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B1D16">
      <w:pPr>
        <w:widowControl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非招标采购交易平台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操作手册</w:t>
      </w:r>
    </w:p>
    <w:p w14:paraId="3560E448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一、注册</w:t>
      </w:r>
    </w:p>
    <w:p w14:paraId="22B695AA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1.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浏览器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打开https://dqytzbzx.com，进入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非招标采购交易平台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界面。</w:t>
      </w:r>
    </w:p>
    <w:p w14:paraId="25E9ECA3">
      <w:pPr>
        <w:widowControl/>
        <w:shd w:val="clear" w:color="auto" w:fill="auto"/>
        <w:tabs>
          <w:tab w:val="left" w:pos="4140"/>
        </w:tabs>
        <w:spacing w:line="360" w:lineRule="auto"/>
        <w:rPr>
          <w:rFonts w:hint="default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.点击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用户注册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，进入注册界面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 w:eastAsia="zh-CN"/>
        </w:rPr>
        <w:t>。</w:t>
      </w:r>
    </w:p>
    <w:p w14:paraId="646DF220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drawing>
          <wp:inline distT="0" distB="0" distL="114300" distR="114300">
            <wp:extent cx="3797300" cy="17887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01268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</w:p>
    <w:p w14:paraId="2B693434">
      <w:pPr>
        <w:widowControl/>
        <w:shd w:val="clear" w:color="auto" w:fill="auto"/>
        <w:tabs>
          <w:tab w:val="left" w:pos="4140"/>
        </w:tabs>
        <w:spacing w:line="360" w:lineRule="auto"/>
        <w:rPr>
          <w:rFonts w:hint="default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drawing>
          <wp:inline distT="0" distB="0" distL="114300" distR="114300">
            <wp:extent cx="5267325" cy="1835785"/>
            <wp:effectExtent l="0" t="0" r="31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A2D2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color w:val="FF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全部填写完毕之后，点击“提交”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等待审核即可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 w:eastAsia="zh-CN"/>
        </w:rPr>
        <w:t>（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工作日8时30分至17时30分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 w:eastAsia="zh-CN"/>
        </w:rPr>
        <w:t>），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审批进度通过短信形式发至注册时所留手机号。</w:t>
      </w:r>
      <w:r>
        <w:rPr>
          <w:rFonts w:hint="eastAsia" w:ascii="宋体" w:hAnsi="宋体" w:eastAsia="宋体" w:cs="宋体"/>
          <w:bCs/>
          <w:color w:val="FF0000"/>
          <w:kern w:val="0"/>
          <w:szCs w:val="21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bCs/>
          <w:color w:val="FF0000"/>
          <w:kern w:val="0"/>
          <w:szCs w:val="21"/>
          <w:u w:val="none"/>
          <w:lang w:val="zh-CN"/>
        </w:rPr>
        <w:t>dqytzbzx.com:880/purchase</w:t>
      </w:r>
      <w:r>
        <w:rPr>
          <w:rFonts w:hint="eastAsia" w:ascii="宋体" w:hAnsi="宋体" w:eastAsia="宋体" w:cs="宋体"/>
          <w:bCs/>
          <w:color w:val="FF0000"/>
          <w:kern w:val="0"/>
          <w:szCs w:val="21"/>
          <w:u w:val="none"/>
          <w:lang w:val="en-US" w:eastAsia="zh-CN"/>
        </w:rPr>
        <w:t>已注册的可直接登录。</w:t>
      </w:r>
    </w:p>
    <w:p w14:paraId="6C57741D">
      <w:pPr>
        <w:widowControl/>
        <w:shd w:val="clear" w:color="auto" w:fill="auto"/>
        <w:tabs>
          <w:tab w:val="left" w:pos="4140"/>
        </w:tabs>
        <w:spacing w:line="360" w:lineRule="auto"/>
        <w:rPr>
          <w:rFonts w:hint="default" w:ascii="宋体" w:hAnsi="宋体" w:eastAsia="宋体" w:cs="宋体"/>
          <w:bCs/>
          <w:color w:val="FF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Cs w:val="21"/>
          <w:u w:val="none"/>
          <w:lang w:val="en-US" w:eastAsia="zh-CN"/>
        </w:rPr>
        <w:t>3.忘记密码时，可通过“忘记密码？”输入账户名或手机号码，输入验证码修改密码。</w:t>
      </w:r>
      <w:bookmarkStart w:id="0" w:name="_GoBack"/>
      <w:bookmarkEnd w:id="0"/>
    </w:p>
    <w:p w14:paraId="0F3BF5A3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二、文件领取</w:t>
      </w:r>
    </w:p>
    <w:p w14:paraId="747B4097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1.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点击拟报名的项目，确认无误后点击立即报名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。</w:t>
      </w:r>
    </w:p>
    <w:p w14:paraId="1C19722C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</w:p>
    <w:p w14:paraId="502E467F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drawing>
          <wp:inline distT="0" distB="0" distL="114300" distR="114300">
            <wp:extent cx="5267325" cy="1338580"/>
            <wp:effectExtent l="0" t="0" r="317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962E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t>.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扫码交费后，点击首页公司图标，在订单管理查看报名交费情况。</w:t>
      </w:r>
    </w:p>
    <w:p w14:paraId="21936C5F">
      <w:pPr>
        <w:widowControl/>
        <w:shd w:val="clear" w:color="auto" w:fill="auto"/>
        <w:tabs>
          <w:tab w:val="left" w:pos="4140"/>
        </w:tabs>
        <w:spacing w:line="360" w:lineRule="auto"/>
        <w:rPr>
          <w:rFonts w:hint="default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drawing>
          <wp:inline distT="0" distB="0" distL="114300" distR="114300">
            <wp:extent cx="5273040" cy="2837815"/>
            <wp:effectExtent l="0" t="0" r="1016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E996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drawing>
          <wp:inline distT="0" distB="0" distL="114300" distR="114300">
            <wp:extent cx="5269865" cy="1203325"/>
            <wp:effectExtent l="0" t="0" r="63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0E2FB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</w:p>
    <w:p w14:paraId="30045DA0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drawing>
          <wp:inline distT="0" distB="0" distL="114300" distR="114300">
            <wp:extent cx="5263515" cy="1167130"/>
            <wp:effectExtent l="0" t="0" r="698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133B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</w:p>
    <w:p w14:paraId="08084708">
      <w:pPr>
        <w:widowControl/>
        <w:shd w:val="clear" w:color="auto" w:fill="auto"/>
        <w:tabs>
          <w:tab w:val="left" w:pos="4140"/>
        </w:tabs>
        <w:spacing w:line="360" w:lineRule="auto"/>
        <w:rPr>
          <w:rFonts w:hint="default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3.交费成功后，可查看、下载此项目的谈判文件。</w:t>
      </w:r>
    </w:p>
    <w:p w14:paraId="47AD386D">
      <w:pPr>
        <w:widowControl/>
        <w:shd w:val="clear" w:color="auto" w:fill="auto"/>
        <w:tabs>
          <w:tab w:val="left" w:pos="4140"/>
        </w:tabs>
        <w:spacing w:line="360" w:lineRule="auto"/>
        <w:rPr>
          <w:rFonts w:hint="default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  <w:drawing>
          <wp:inline distT="0" distB="0" distL="114300" distR="114300">
            <wp:extent cx="5272405" cy="1114425"/>
            <wp:effectExtent l="0" t="0" r="4445" b="95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416FC">
      <w:pPr>
        <w:widowControl/>
        <w:shd w:val="clear" w:color="auto" w:fill="auto"/>
        <w:tabs>
          <w:tab w:val="left" w:pos="4140"/>
        </w:tabs>
        <w:spacing w:line="360" w:lineRule="auto"/>
        <w:rPr>
          <w:rFonts w:hint="default" w:ascii="宋体" w:hAnsi="宋体" w:eastAsia="宋体" w:cs="宋体"/>
          <w:bCs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4.在发票管理中可以查看、下载电子发票，</w:t>
      </w:r>
      <w:r>
        <w:rPr>
          <w:rFonts w:hint="eastAsia" w:ascii="宋体" w:hAnsi="宋体" w:eastAsia="宋体" w:cs="宋体"/>
          <w:bCs/>
          <w:color w:val="FF0000"/>
          <w:kern w:val="0"/>
          <w:szCs w:val="21"/>
          <w:u w:val="none"/>
          <w:lang w:val="en-US" w:eastAsia="zh-CN"/>
        </w:rPr>
        <w:t>首次开票前应填写发票信息（因发票推送平台系统升级维护、网络延迟等原因没有实时推送的，恢复后会自动推送）</w:t>
      </w:r>
      <w:r>
        <w:rPr>
          <w:rFonts w:hint="eastAsia" w:ascii="宋体" w:hAnsi="宋体" w:eastAsia="宋体" w:cs="宋体"/>
          <w:bCs/>
          <w:kern w:val="0"/>
          <w:szCs w:val="21"/>
          <w:u w:val="none"/>
          <w:lang w:val="en-US" w:eastAsia="zh-CN"/>
        </w:rPr>
        <w:t>。</w:t>
      </w:r>
    </w:p>
    <w:p w14:paraId="03C25AF3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drawing>
          <wp:inline distT="0" distB="0" distL="114300" distR="114300">
            <wp:extent cx="5272405" cy="1722120"/>
            <wp:effectExtent l="0" t="0" r="10795" b="508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080CD">
      <w:pPr>
        <w:widowControl/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eastAsia="宋体" w:cs="宋体"/>
          <w:bCs/>
          <w:kern w:val="0"/>
          <w:szCs w:val="21"/>
          <w:u w:val="none"/>
          <w:lang w:val="zh-CN"/>
        </w:rPr>
      </w:pPr>
      <w:r>
        <w:drawing>
          <wp:inline distT="0" distB="0" distL="114300" distR="114300">
            <wp:extent cx="5260975" cy="1242695"/>
            <wp:effectExtent l="0" t="0" r="9525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EBD9">
      <w:pPr>
        <w:widowControl/>
        <w:numPr>
          <w:ilvl w:val="0"/>
          <w:numId w:val="1"/>
        </w:numPr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成交通知书</w:t>
      </w:r>
    </w:p>
    <w:p w14:paraId="3F3A27DC">
      <w:pPr>
        <w:widowControl/>
        <w:numPr>
          <w:ilvl w:val="0"/>
          <w:numId w:val="0"/>
        </w:numPr>
        <w:shd w:val="clear" w:color="auto" w:fill="auto"/>
        <w:tabs>
          <w:tab w:val="left" w:pos="4140"/>
        </w:tabs>
        <w:spacing w:line="360" w:lineRule="auto"/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u w:val="none"/>
          <w:lang w:val="en-US" w:eastAsia="zh-CN"/>
        </w:rPr>
        <w:t>公示期结束后，在项目管理中查找成交项目，在中标详情中交纳代理服务费并根据实际情况选择电子普通发票、专用发票。</w:t>
      </w:r>
    </w:p>
    <w:p w14:paraId="6E03EF33">
      <w:pPr>
        <w:pStyle w:val="3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230630"/>
            <wp:effectExtent l="0" t="0" r="5715" b="12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2E838">
      <w:pPr>
        <w:rPr>
          <w:rFonts w:hint="default"/>
          <w:lang w:val="en-US" w:eastAsia="zh-CN"/>
        </w:rPr>
      </w:pPr>
    </w:p>
    <w:p w14:paraId="6F7DB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A015E"/>
    <w:multiLevelType w:val="singleLevel"/>
    <w:tmpl w:val="70AA015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C0551"/>
    <w:rsid w:val="3E34424D"/>
    <w:rsid w:val="5341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540" w:firstLineChars="192"/>
      <w:jc w:val="center"/>
      <w:outlineLvl w:val="1"/>
    </w:pPr>
    <w:rPr>
      <w:rFonts w:ascii="Arial" w:hAnsi="Arial"/>
      <w:b/>
      <w:bCs/>
      <w:kern w:val="0"/>
      <w:sz w:val="28"/>
      <w:szCs w:val="32"/>
    </w:rPr>
  </w:style>
  <w:style w:type="paragraph" w:styleId="3">
    <w:name w:val="heading 4"/>
    <w:basedOn w:val="2"/>
    <w:next w:val="1"/>
    <w:qFormat/>
    <w:uiPriority w:val="0"/>
    <w:pPr>
      <w:keepNext/>
      <w:keepLines/>
      <w:spacing w:before="78" w:beforeLines="25" w:after="78" w:afterLines="25"/>
      <w:ind w:firstLine="100" w:firstLineChars="100"/>
      <w:outlineLvl w:val="3"/>
    </w:pPr>
    <w:rPr>
      <w:rFonts w:ascii="Cambria" w:hAnsi="Cambria" w:eastAsia="方正黑体简体"/>
      <w:iCs/>
      <w:lang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307</Characters>
  <Lines>0</Lines>
  <Paragraphs>0</Paragraphs>
  <TotalTime>18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2023-05-29T09:33:00Z</dcterms:created>
  <dc:creator>Administrator</dc:creator>
  <cp:lastModifiedBy>飞舞一哥</cp:lastModifiedBy>
  <dcterms:modified xsi:type="dcterms:W3CDTF">2025-03-17T00:34:21Z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eyJoZGlkIjoiN2EyNGU1ZDdlZTQ4M2Q0MTkyNThlNGIyYWZkNWFmZWUiLCJ1c2VySWQiOiI1NTM4NDUwNzcifQ==</vt:lpwstr>
  </property>
  <property fmtid="{D5CDD505-2E9C-101B-9397-08002B2CF9AE}" pid="4" name="ICV">
    <vt:lpwstr>7DBF9D1F17A5447EBCE0744C41BE1164_12</vt:lpwstr>
  </property>
</Properties>
</file>