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3F795">
      <w:pPr>
        <w:pStyle w:val="23"/>
        <w:adjustRightInd w:val="0"/>
        <w:snapToGrid w:val="0"/>
        <w:spacing w:line="240" w:lineRule="atLeast"/>
        <w:jc w:val="center"/>
        <w:rPr>
          <w:rFonts w:hint="eastAsia" w:hAnsi="宋体" w:eastAsia="宋体"/>
          <w:lang w:val="en-US" w:eastAsia="zh-CN"/>
        </w:rPr>
      </w:pPr>
      <w:bookmarkStart w:id="223" w:name="_GoBack"/>
      <w:r>
        <w:rPr>
          <w:rFonts w:hint="eastAsia" w:hAnsi="宋体"/>
          <w:lang w:val="en-US" w:eastAsia="zh-CN"/>
        </w:rPr>
        <w:t xml:space="preserve"> </w:t>
      </w:r>
    </w:p>
    <w:bookmarkEnd w:id="223"/>
    <w:p w14:paraId="6B3F4F45">
      <w:pPr>
        <w:pStyle w:val="23"/>
        <w:adjustRightInd w:val="0"/>
        <w:snapToGrid w:val="0"/>
        <w:spacing w:line="240" w:lineRule="atLeast"/>
        <w:jc w:val="center"/>
        <w:rPr>
          <w:rFonts w:hAnsi="宋体"/>
        </w:rPr>
      </w:pPr>
    </w:p>
    <w:p w14:paraId="3EF7ABC7">
      <w:pPr>
        <w:pStyle w:val="23"/>
        <w:adjustRightInd w:val="0"/>
        <w:snapToGrid w:val="0"/>
        <w:spacing w:line="240" w:lineRule="atLeast"/>
        <w:jc w:val="center"/>
        <w:rPr>
          <w:rFonts w:hAnsi="宋体"/>
        </w:rPr>
      </w:pPr>
    </w:p>
    <w:p w14:paraId="7CA1A607">
      <w:pPr>
        <w:pStyle w:val="23"/>
        <w:adjustRightInd w:val="0"/>
        <w:snapToGrid w:val="0"/>
        <w:spacing w:line="240" w:lineRule="atLeast"/>
        <w:jc w:val="right"/>
        <w:rPr>
          <w:rFonts w:hAnsi="宋体"/>
        </w:rPr>
      </w:pPr>
    </w:p>
    <w:p w14:paraId="6FA01724">
      <w:pPr>
        <w:pStyle w:val="23"/>
        <w:adjustRightInd w:val="0"/>
        <w:snapToGrid w:val="0"/>
        <w:spacing w:line="240" w:lineRule="atLeast"/>
        <w:jc w:val="center"/>
        <w:rPr>
          <w:rFonts w:ascii="黑体" w:hAnsi="黑体" w:eastAsia="黑体" w:cs="黑体"/>
          <w:bCs/>
          <w:sz w:val="72"/>
          <w:szCs w:val="72"/>
        </w:rPr>
      </w:pPr>
      <w:r>
        <w:rPr>
          <w:rFonts w:hint="eastAsia" w:ascii="黑体" w:hAnsi="黑体" w:eastAsia="黑体" w:cs="黑体"/>
          <w:bCs/>
          <w:sz w:val="72"/>
          <w:szCs w:val="72"/>
          <w:lang w:eastAsia="zh-CN"/>
        </w:rPr>
        <w:t>【</w:t>
      </w:r>
      <w:r>
        <w:rPr>
          <w:rFonts w:hint="eastAsia" w:ascii="黑体" w:hAnsi="黑体" w:eastAsia="黑体" w:cs="黑体"/>
          <w:bCs/>
          <w:sz w:val="72"/>
          <w:szCs w:val="72"/>
          <w:lang w:val="en-US" w:eastAsia="zh-CN"/>
        </w:rPr>
        <w:t>郴州</w:t>
      </w:r>
      <w:r>
        <w:rPr>
          <w:rFonts w:hint="eastAsia" w:ascii="黑体" w:hAnsi="黑体" w:eastAsia="黑体" w:cs="黑体"/>
          <w:bCs/>
          <w:sz w:val="72"/>
          <w:szCs w:val="72"/>
          <w:lang w:eastAsia="zh-CN"/>
        </w:rPr>
        <w:t>】</w:t>
      </w:r>
      <w:r>
        <w:rPr>
          <w:rFonts w:hint="eastAsia" w:ascii="黑体" w:hAnsi="黑体" w:eastAsia="黑体" w:cs="黑体"/>
          <w:bCs/>
          <w:sz w:val="72"/>
          <w:szCs w:val="72"/>
        </w:rPr>
        <w:t>政府采购</w:t>
      </w:r>
    </w:p>
    <w:p w14:paraId="485A04EC">
      <w:pPr>
        <w:pStyle w:val="23"/>
        <w:adjustRightInd w:val="0"/>
        <w:snapToGrid w:val="0"/>
        <w:spacing w:line="240" w:lineRule="atLeast"/>
        <w:jc w:val="center"/>
        <w:rPr>
          <w:rFonts w:ascii="黑体" w:hAnsi="黑体" w:eastAsia="黑体" w:cs="黑体"/>
          <w:bCs/>
          <w:sz w:val="72"/>
          <w:szCs w:val="72"/>
        </w:rPr>
      </w:pPr>
    </w:p>
    <w:p w14:paraId="0967E924">
      <w:pPr>
        <w:pStyle w:val="23"/>
        <w:adjustRightInd w:val="0"/>
        <w:snapToGrid w:val="0"/>
        <w:spacing w:line="240" w:lineRule="atLeast"/>
        <w:jc w:val="center"/>
        <w:rPr>
          <w:rFonts w:hint="eastAsia" w:ascii="黑体" w:hAnsi="黑体" w:eastAsia="黑体" w:cs="黑体"/>
          <w:b/>
          <w:bCs/>
          <w:sz w:val="52"/>
          <w:szCs w:val="52"/>
        </w:rPr>
      </w:pPr>
      <w:r>
        <w:rPr>
          <w:rFonts w:hint="eastAsia" w:ascii="黑体" w:hAnsi="黑体" w:eastAsia="黑体" w:cs="黑体"/>
          <w:b/>
          <w:bCs/>
          <w:sz w:val="52"/>
          <w:szCs w:val="52"/>
        </w:rPr>
        <w:t>公开招标文件</w:t>
      </w:r>
      <w:r>
        <w:rPr>
          <w:rFonts w:hint="eastAsia" w:ascii="黑体" w:hAnsi="黑体" w:eastAsia="黑体" w:cs="黑体"/>
          <w:b/>
          <w:bCs/>
          <w:color w:val="auto"/>
          <w:sz w:val="52"/>
          <w:szCs w:val="52"/>
        </w:rPr>
        <w:t>服务类综合评分法</w:t>
      </w:r>
    </w:p>
    <w:p w14:paraId="2ABDC578">
      <w:pPr>
        <w:pStyle w:val="23"/>
        <w:adjustRightInd w:val="0"/>
        <w:snapToGrid w:val="0"/>
        <w:spacing w:line="240" w:lineRule="atLeast"/>
        <w:jc w:val="center"/>
        <w:rPr>
          <w:rFonts w:ascii="黑体" w:hAnsi="黑体" w:eastAsia="黑体" w:cs="黑体"/>
          <w:b/>
          <w:bCs/>
          <w:sz w:val="52"/>
          <w:szCs w:val="52"/>
        </w:rPr>
      </w:pPr>
      <w:r>
        <w:rPr>
          <w:rFonts w:hint="eastAsia" w:ascii="黑体" w:hAnsi="黑体" w:eastAsia="黑体" w:cs="黑体"/>
          <w:b/>
          <w:bCs/>
          <w:sz w:val="52"/>
          <w:szCs w:val="52"/>
        </w:rPr>
        <w:t>（电子标）</w:t>
      </w:r>
    </w:p>
    <w:p w14:paraId="7D1FE0A1">
      <w:pPr>
        <w:pStyle w:val="23"/>
        <w:adjustRightInd w:val="0"/>
        <w:snapToGrid w:val="0"/>
        <w:spacing w:line="240" w:lineRule="atLeast"/>
        <w:jc w:val="center"/>
        <w:rPr>
          <w:rFonts w:ascii="华文中宋" w:hAnsi="华文中宋" w:eastAsia="华文中宋"/>
          <w:b/>
          <w:bCs/>
          <w:sz w:val="32"/>
          <w:szCs w:val="32"/>
        </w:rPr>
      </w:pPr>
    </w:p>
    <w:p w14:paraId="120499F2">
      <w:pPr>
        <w:pStyle w:val="23"/>
        <w:adjustRightInd w:val="0"/>
        <w:snapToGrid w:val="0"/>
        <w:spacing w:line="240" w:lineRule="atLeast"/>
        <w:jc w:val="center"/>
        <w:rPr>
          <w:rFonts w:ascii="楷体" w:hAnsi="楷体" w:eastAsia="楷体" w:cs="楷体"/>
          <w:b/>
          <w:bCs/>
          <w:sz w:val="32"/>
          <w:szCs w:val="32"/>
        </w:rPr>
      </w:pPr>
    </w:p>
    <w:p w14:paraId="2AA19547">
      <w:pPr>
        <w:pStyle w:val="23"/>
        <w:adjustRightInd w:val="0"/>
        <w:snapToGrid w:val="0"/>
        <w:spacing w:line="240" w:lineRule="atLeast"/>
        <w:jc w:val="center"/>
        <w:rPr>
          <w:rFonts w:ascii="华文中宋" w:hAnsi="华文中宋" w:eastAsia="华文中宋"/>
          <w:b/>
          <w:bCs/>
          <w:color w:val="FF0000"/>
          <w:sz w:val="44"/>
          <w:szCs w:val="44"/>
        </w:rPr>
      </w:pPr>
    </w:p>
    <w:p w14:paraId="5997D6C4">
      <w:pPr>
        <w:pStyle w:val="23"/>
        <w:adjustRightInd w:val="0"/>
        <w:snapToGrid w:val="0"/>
        <w:spacing w:line="240" w:lineRule="atLeast"/>
        <w:jc w:val="center"/>
        <w:rPr>
          <w:rFonts w:ascii="华文中宋" w:hAnsi="华文中宋" w:eastAsia="华文中宋"/>
          <w:bCs/>
        </w:rPr>
      </w:pPr>
    </w:p>
    <w:p w14:paraId="0780DA38">
      <w:pPr>
        <w:adjustRightInd w:val="0"/>
        <w:snapToGrid w:val="0"/>
        <w:spacing w:line="360" w:lineRule="auto"/>
        <w:ind w:firstLine="1124" w:firstLineChars="350"/>
        <w:rPr>
          <w:rFonts w:hint="eastAsia" w:hAnsi="宋体" w:cs="Times New Roman"/>
          <w:b/>
          <w:sz w:val="32"/>
          <w:szCs w:val="32"/>
          <w:u w:val="single"/>
          <w:lang w:eastAsia="zh-CN"/>
        </w:rPr>
      </w:pPr>
      <w:r>
        <w:rPr>
          <w:rFonts w:hint="eastAsia" w:hAnsi="宋体"/>
          <w:b/>
          <w:sz w:val="32"/>
          <w:szCs w:val="32"/>
        </w:rPr>
        <w:t>采购项</w:t>
      </w:r>
      <w:r>
        <w:rPr>
          <w:rFonts w:hint="eastAsia" w:ascii="Times New Roman" w:hAnsi="宋体" w:eastAsia="宋体" w:cs="Times New Roman"/>
          <w:b/>
          <w:sz w:val="32"/>
          <w:szCs w:val="32"/>
          <w:lang w:eastAsia="zh-CN"/>
        </w:rPr>
        <w:t>目名称：</w:t>
      </w:r>
      <w:r>
        <w:rPr>
          <w:rFonts w:hint="eastAsia" w:hAnsi="宋体" w:cs="Times New Roman"/>
          <w:b/>
          <w:sz w:val="32"/>
          <w:szCs w:val="32"/>
          <w:u w:val="single"/>
          <w:lang w:eastAsia="zh-CN"/>
        </w:rPr>
        <w:t>桂阳县城区公共区域病媒生物</w:t>
      </w:r>
    </w:p>
    <w:p w14:paraId="3FD519F9">
      <w:pPr>
        <w:adjustRightInd w:val="0"/>
        <w:snapToGrid w:val="0"/>
        <w:spacing w:line="360" w:lineRule="auto"/>
        <w:ind w:firstLine="4016" w:firstLineChars="1250"/>
        <w:rPr>
          <w:b/>
          <w:sz w:val="32"/>
          <w:szCs w:val="32"/>
          <w:u w:val="single"/>
        </w:rPr>
      </w:pPr>
      <w:r>
        <w:rPr>
          <w:rFonts w:hint="eastAsia" w:hAnsi="宋体" w:cs="Times New Roman"/>
          <w:b/>
          <w:sz w:val="32"/>
          <w:szCs w:val="32"/>
          <w:u w:val="single"/>
          <w:lang w:eastAsia="zh-CN"/>
        </w:rPr>
        <w:t>防制服务（</w:t>
      </w:r>
      <w:r>
        <w:rPr>
          <w:rFonts w:hint="eastAsia" w:hAnsi="宋体" w:cs="Times New Roman"/>
          <w:b/>
          <w:sz w:val="32"/>
          <w:szCs w:val="32"/>
          <w:u w:val="single"/>
          <w:lang w:val="en-US" w:eastAsia="zh-CN"/>
        </w:rPr>
        <w:t>第二次）</w:t>
      </w:r>
    </w:p>
    <w:p w14:paraId="5EC56778">
      <w:pPr>
        <w:adjustRightInd w:val="0"/>
        <w:snapToGrid w:val="0"/>
        <w:spacing w:line="360" w:lineRule="auto"/>
        <w:ind w:firstLine="1124" w:firstLineChars="350"/>
        <w:rPr>
          <w:rFonts w:hAnsi="宋体"/>
          <w:b/>
          <w:sz w:val="32"/>
          <w:szCs w:val="32"/>
        </w:rPr>
      </w:pPr>
      <w:r>
        <w:rPr>
          <w:rFonts w:hint="eastAsia" w:hAnsi="宋体"/>
          <w:b/>
          <w:sz w:val="32"/>
          <w:szCs w:val="32"/>
        </w:rPr>
        <w:t>政府采购</w:t>
      </w:r>
      <w:r>
        <w:rPr>
          <w:rFonts w:hint="eastAsia" w:hAnsi="宋体"/>
          <w:b/>
          <w:sz w:val="32"/>
          <w:szCs w:val="32"/>
          <w:lang w:val="en-US" w:eastAsia="zh-CN"/>
        </w:rPr>
        <w:t>计划</w:t>
      </w:r>
      <w:r>
        <w:rPr>
          <w:rFonts w:hint="eastAsia" w:hAnsi="宋体"/>
          <w:b/>
          <w:sz w:val="32"/>
          <w:szCs w:val="32"/>
        </w:rPr>
        <w:t>编号：</w:t>
      </w:r>
      <w:r>
        <w:rPr>
          <w:rFonts w:hint="eastAsia" w:hAnsi="宋体"/>
          <w:b/>
          <w:sz w:val="32"/>
          <w:szCs w:val="32"/>
          <w:u w:val="single"/>
        </w:rPr>
        <w:t xml:space="preserve">   </w:t>
      </w:r>
      <w:r>
        <w:rPr>
          <w:rFonts w:hint="eastAsia" w:hAnsi="宋体"/>
          <w:b/>
          <w:sz w:val="32"/>
          <w:szCs w:val="32"/>
          <w:u w:val="single"/>
          <w:lang w:val="en-US" w:eastAsia="zh-CN"/>
        </w:rPr>
        <w:t>桂财采计【2026】00050</w:t>
      </w:r>
      <w:r>
        <w:rPr>
          <w:rFonts w:hint="eastAsia" w:hAnsi="宋体"/>
          <w:b/>
          <w:sz w:val="32"/>
          <w:szCs w:val="32"/>
          <w:u w:val="none"/>
        </w:rPr>
        <w:t xml:space="preserve">      </w:t>
      </w:r>
      <w:r>
        <w:rPr>
          <w:rFonts w:hint="eastAsia" w:hAnsi="宋体"/>
          <w:b/>
          <w:sz w:val="32"/>
          <w:szCs w:val="32"/>
          <w:u w:val="single"/>
        </w:rPr>
        <w:t xml:space="preserve">    </w:t>
      </w:r>
    </w:p>
    <w:p w14:paraId="0340DEDE">
      <w:pPr>
        <w:adjustRightInd w:val="0"/>
        <w:snapToGrid w:val="0"/>
        <w:spacing w:line="360" w:lineRule="auto"/>
        <w:ind w:firstLine="1124" w:firstLineChars="350"/>
        <w:rPr>
          <w:rFonts w:hint="default" w:ascii="Times New Roman" w:hAnsi="宋体" w:eastAsia="宋体" w:cs="Times New Roman"/>
          <w:b/>
          <w:sz w:val="32"/>
          <w:szCs w:val="32"/>
          <w:lang w:val="en-US" w:eastAsia="zh-CN"/>
        </w:rPr>
      </w:pPr>
      <w:r>
        <w:rPr>
          <w:rFonts w:hint="eastAsia" w:hAnsi="宋体"/>
          <w:b/>
          <w:sz w:val="32"/>
          <w:szCs w:val="32"/>
          <w:lang w:val="en-US" w:eastAsia="zh-CN"/>
        </w:rPr>
        <w:t>采购</w:t>
      </w:r>
      <w:r>
        <w:rPr>
          <w:rFonts w:hint="eastAsia" w:hAnsi="宋体"/>
          <w:b/>
          <w:sz w:val="32"/>
          <w:szCs w:val="32"/>
        </w:rPr>
        <w:t>代理编</w:t>
      </w:r>
      <w:r>
        <w:rPr>
          <w:rFonts w:hint="eastAsia" w:ascii="Times New Roman" w:hAnsi="宋体" w:eastAsia="宋体" w:cs="Times New Roman"/>
          <w:b/>
          <w:sz w:val="32"/>
          <w:szCs w:val="32"/>
          <w:lang w:eastAsia="zh-CN"/>
        </w:rPr>
        <w:t>号：</w:t>
      </w:r>
      <w:r>
        <w:rPr>
          <w:rFonts w:hint="eastAsia" w:hAnsi="宋体" w:cs="Times New Roman"/>
          <w:b/>
          <w:sz w:val="32"/>
          <w:szCs w:val="32"/>
          <w:lang w:val="en-US" w:eastAsia="zh-CN"/>
        </w:rPr>
        <w:t>ZFAZB-FW-2026006</w:t>
      </w:r>
    </w:p>
    <w:p w14:paraId="090F44DF">
      <w:pPr>
        <w:adjustRightInd w:val="0"/>
        <w:snapToGrid w:val="0"/>
        <w:spacing w:line="360" w:lineRule="auto"/>
        <w:ind w:firstLine="1124" w:firstLineChars="350"/>
        <w:rPr>
          <w:rFonts w:hint="eastAsia" w:ascii="Times New Roman" w:hAnsi="宋体" w:cs="Times New Roman"/>
          <w:b/>
          <w:sz w:val="32"/>
          <w:szCs w:val="32"/>
          <w:lang w:eastAsia="zh-CN"/>
        </w:rPr>
      </w:pPr>
      <w:r>
        <w:rPr>
          <w:rFonts w:hint="eastAsia" w:hAnsi="宋体"/>
          <w:b/>
          <w:sz w:val="32"/>
          <w:szCs w:val="32"/>
        </w:rPr>
        <w:t>采</w:t>
      </w:r>
      <w:r>
        <w:rPr>
          <w:rFonts w:hAnsi="宋体"/>
          <w:b/>
          <w:sz w:val="32"/>
          <w:szCs w:val="32"/>
        </w:rPr>
        <w:t xml:space="preserve">   </w:t>
      </w:r>
      <w:r>
        <w:rPr>
          <w:rFonts w:hint="eastAsia" w:hAnsi="宋体"/>
          <w:b/>
          <w:sz w:val="32"/>
          <w:szCs w:val="32"/>
        </w:rPr>
        <w:t>购</w:t>
      </w:r>
      <w:r>
        <w:rPr>
          <w:rFonts w:hAnsi="宋体"/>
          <w:b/>
          <w:sz w:val="32"/>
          <w:szCs w:val="32"/>
        </w:rPr>
        <w:t xml:space="preserve">   </w:t>
      </w:r>
      <w:r>
        <w:rPr>
          <w:rFonts w:hint="eastAsia" w:hAnsi="宋体"/>
          <w:b/>
          <w:sz w:val="32"/>
          <w:szCs w:val="32"/>
        </w:rPr>
        <w:t>人：</w:t>
      </w:r>
      <w:r>
        <w:rPr>
          <w:rFonts w:hint="eastAsia" w:ascii="Times New Roman" w:hAnsi="宋体" w:cs="Times New Roman"/>
          <w:b/>
          <w:sz w:val="32"/>
          <w:szCs w:val="32"/>
          <w:lang w:eastAsia="zh-CN"/>
        </w:rPr>
        <w:t>桂阳县卫生健康局</w:t>
      </w:r>
    </w:p>
    <w:p w14:paraId="18BB5B27">
      <w:pPr>
        <w:adjustRightInd w:val="0"/>
        <w:snapToGrid w:val="0"/>
        <w:spacing w:line="360" w:lineRule="auto"/>
        <w:ind w:firstLine="1124" w:firstLineChars="350"/>
        <w:rPr>
          <w:rFonts w:hint="eastAsia" w:ascii="宋体" w:hAnsi="宋体" w:cs="宋体" w:eastAsiaTheme="minorEastAsia"/>
          <w:b/>
          <w:color w:val="auto"/>
          <w:sz w:val="32"/>
          <w:szCs w:val="32"/>
        </w:rPr>
      </w:pPr>
      <w:r>
        <w:rPr>
          <w:rFonts w:hint="eastAsia" w:ascii="宋体"/>
          <w:b/>
          <w:sz w:val="32"/>
          <w:szCs w:val="21"/>
        </w:rPr>
        <w:t>采购代理机构：</w:t>
      </w:r>
      <w:r>
        <w:rPr>
          <w:rFonts w:hint="eastAsia" w:ascii="宋体" w:hAnsi="宋体" w:cs="宋体" w:eastAsiaTheme="minorEastAsia"/>
          <w:b/>
          <w:color w:val="auto"/>
          <w:sz w:val="32"/>
          <w:szCs w:val="32"/>
        </w:rPr>
        <w:t>中赋安项目管理（四川）有限公司</w:t>
      </w:r>
    </w:p>
    <w:p w14:paraId="037348C3">
      <w:pPr>
        <w:adjustRightInd w:val="0"/>
        <w:snapToGrid w:val="0"/>
        <w:spacing w:line="360" w:lineRule="auto"/>
        <w:ind w:firstLine="1124" w:firstLineChars="350"/>
        <w:rPr>
          <w:rFonts w:ascii="宋体"/>
          <w:b/>
          <w:sz w:val="32"/>
          <w:szCs w:val="21"/>
        </w:rPr>
      </w:pPr>
    </w:p>
    <w:p w14:paraId="29A3115F">
      <w:pPr>
        <w:pStyle w:val="23"/>
        <w:adjustRightInd w:val="0"/>
        <w:snapToGrid w:val="0"/>
        <w:spacing w:line="360" w:lineRule="auto"/>
        <w:jc w:val="center"/>
        <w:rPr>
          <w:rFonts w:hAnsi="宋体"/>
          <w:bCs/>
          <w:sz w:val="32"/>
          <w:szCs w:val="32"/>
        </w:rPr>
      </w:pPr>
    </w:p>
    <w:p w14:paraId="0C1200CD">
      <w:pPr>
        <w:pStyle w:val="23"/>
        <w:adjustRightInd w:val="0"/>
        <w:snapToGrid w:val="0"/>
        <w:spacing w:line="240" w:lineRule="atLeast"/>
        <w:jc w:val="both"/>
        <w:rPr>
          <w:rFonts w:hAnsi="宋体"/>
          <w:bCs/>
          <w:sz w:val="32"/>
          <w:szCs w:val="32"/>
        </w:rPr>
      </w:pPr>
    </w:p>
    <w:p w14:paraId="2FDB5FCB">
      <w:pPr>
        <w:pStyle w:val="23"/>
        <w:adjustRightInd w:val="0"/>
        <w:snapToGrid w:val="0"/>
        <w:spacing w:line="240" w:lineRule="atLeast"/>
        <w:jc w:val="center"/>
        <w:rPr>
          <w:rFonts w:hAnsi="宋体"/>
          <w:bCs/>
          <w:sz w:val="32"/>
          <w:szCs w:val="32"/>
        </w:rPr>
      </w:pPr>
    </w:p>
    <w:p w14:paraId="470088E2">
      <w:pPr>
        <w:pStyle w:val="23"/>
        <w:adjustRightInd w:val="0"/>
        <w:snapToGrid w:val="0"/>
        <w:spacing w:line="240" w:lineRule="atLeast"/>
        <w:jc w:val="center"/>
        <w:rPr>
          <w:rFonts w:hAnsi="宋体"/>
          <w:b/>
          <w:bCs/>
          <w:sz w:val="32"/>
          <w:szCs w:val="32"/>
        </w:rPr>
      </w:pPr>
      <w:r>
        <w:rPr>
          <w:rFonts w:hint="eastAsia" w:ascii="宋体" w:hAnsi="宋体" w:cs="宋体" w:eastAsiaTheme="minorEastAsia"/>
          <w:b/>
          <w:color w:val="auto"/>
          <w:sz w:val="32"/>
          <w:szCs w:val="32"/>
        </w:rPr>
        <w:t>编制日期：</w:t>
      </w:r>
      <w:r>
        <w:rPr>
          <w:rFonts w:hint="eastAsia" w:ascii="宋体" w:hAnsi="宋体" w:cs="宋体"/>
          <w:b/>
          <w:color w:val="auto"/>
          <w:sz w:val="32"/>
          <w:szCs w:val="32"/>
        </w:rPr>
        <w:t>二〇二</w:t>
      </w:r>
      <w:r>
        <w:rPr>
          <w:rFonts w:hint="eastAsia" w:ascii="宋体" w:hAnsi="宋体" w:cs="宋体"/>
          <w:b/>
          <w:color w:val="auto"/>
          <w:sz w:val="32"/>
          <w:szCs w:val="32"/>
          <w:lang w:val="en-US" w:eastAsia="zh-CN"/>
        </w:rPr>
        <w:t>六</w:t>
      </w:r>
      <w:r>
        <w:rPr>
          <w:rFonts w:hint="eastAsia" w:ascii="宋体" w:hAnsi="宋体" w:cs="宋体"/>
          <w:b/>
          <w:color w:val="auto"/>
          <w:sz w:val="32"/>
          <w:szCs w:val="32"/>
        </w:rPr>
        <w:t>年</w:t>
      </w:r>
      <w:r>
        <w:rPr>
          <w:rFonts w:hint="eastAsia" w:hAnsi="宋体" w:cs="宋体"/>
          <w:b/>
          <w:color w:val="auto"/>
          <w:sz w:val="32"/>
          <w:szCs w:val="32"/>
          <w:lang w:val="en-US" w:eastAsia="zh-CN"/>
        </w:rPr>
        <w:t>六</w:t>
      </w:r>
      <w:r>
        <w:rPr>
          <w:rFonts w:hint="eastAsia" w:ascii="宋体" w:hAnsi="宋体" w:cs="宋体"/>
          <w:b/>
          <w:color w:val="auto"/>
          <w:sz w:val="32"/>
          <w:szCs w:val="32"/>
        </w:rPr>
        <w:t>月</w:t>
      </w:r>
    </w:p>
    <w:p w14:paraId="247534B4">
      <w:pPr>
        <w:pStyle w:val="23"/>
        <w:adjustRightInd w:val="0"/>
        <w:snapToGrid w:val="0"/>
        <w:spacing w:line="240" w:lineRule="atLeast"/>
        <w:jc w:val="center"/>
        <w:rPr>
          <w:rFonts w:hAnsi="宋体"/>
          <w:b/>
          <w:bCs/>
          <w:sz w:val="32"/>
          <w:szCs w:val="32"/>
        </w:rPr>
        <w:sectPr>
          <w:headerReference r:id="rId3" w:type="default"/>
          <w:pgSz w:w="11906" w:h="16838"/>
          <w:pgMar w:top="1440" w:right="1588" w:bottom="1440" w:left="1588" w:header="851" w:footer="992" w:gutter="0"/>
          <w:cols w:space="720" w:num="1"/>
          <w:docGrid w:type="lines" w:linePitch="312" w:charSpace="0"/>
        </w:sectPr>
      </w:pPr>
    </w:p>
    <w:p w14:paraId="2F2CD3F4">
      <w:pPr>
        <w:pStyle w:val="23"/>
        <w:adjustRightInd w:val="0"/>
        <w:snapToGrid w:val="0"/>
        <w:spacing w:line="360" w:lineRule="auto"/>
        <w:jc w:val="center"/>
        <w:rPr>
          <w:rFonts w:hint="eastAsia" w:ascii="华文中宋" w:hAnsi="华文中宋" w:eastAsia="华文中宋"/>
          <w:b/>
          <w:spacing w:val="160"/>
          <w:sz w:val="36"/>
          <w:szCs w:val="36"/>
        </w:rPr>
      </w:pPr>
      <w:r>
        <w:rPr>
          <w:rFonts w:hint="eastAsia" w:ascii="华文中宋" w:hAnsi="华文中宋" w:eastAsia="华文中宋"/>
          <w:b/>
          <w:spacing w:val="160"/>
          <w:sz w:val="36"/>
          <w:szCs w:val="36"/>
        </w:rPr>
        <w:t>目录</w:t>
      </w:r>
    </w:p>
    <w:sdt>
      <w:sdtPr>
        <w:rPr>
          <w:rFonts w:ascii="宋体" w:hAnsi="宋体" w:eastAsia="宋体" w:cs="Times New Roman"/>
          <w:kern w:val="2"/>
          <w:sz w:val="21"/>
          <w:szCs w:val="24"/>
          <w:lang w:val="en-US" w:eastAsia="zh-CN" w:bidi="ar-SA"/>
        </w:rPr>
        <w:id w:val="147466507"/>
        <w15:color w:val="DBDBDB"/>
        <w:docPartObj>
          <w:docPartGallery w:val="Table of Contents"/>
          <w:docPartUnique/>
        </w:docPartObj>
      </w:sdtPr>
      <w:sdtEndPr>
        <w:rPr>
          <w:rFonts w:hint="eastAsia" w:ascii="华文中宋" w:hAnsi="华文中宋" w:eastAsia="华文中宋" w:cs="Courier New"/>
          <w:spacing w:val="160"/>
          <w:kern w:val="2"/>
          <w:sz w:val="21"/>
          <w:szCs w:val="36"/>
          <w:lang w:val="en-US" w:eastAsia="zh-CN" w:bidi="ar-SA"/>
        </w:rPr>
      </w:sdtEndPr>
      <w:sdtContent>
        <w:p w14:paraId="5475BFD6">
          <w:pPr>
            <w:spacing w:before="0" w:beforeLines="0" w:after="0" w:afterLines="0" w:line="240" w:lineRule="auto"/>
            <w:ind w:left="0" w:leftChars="0" w:right="0" w:rightChars="0" w:firstLine="0" w:firstLineChars="0"/>
            <w:jc w:val="center"/>
          </w:pPr>
        </w:p>
        <w:p w14:paraId="207D2FE3">
          <w:pPr>
            <w:pStyle w:val="30"/>
            <w:tabs>
              <w:tab w:val="right" w:leader="dot" w:pos="8844"/>
            </w:tabs>
          </w:pPr>
          <w:r>
            <w:rPr>
              <w:rFonts w:hint="eastAsia" w:ascii="华文中宋" w:hAnsi="华文中宋" w:eastAsia="华文中宋"/>
              <w:b/>
              <w:spacing w:val="160"/>
              <w:sz w:val="36"/>
              <w:szCs w:val="36"/>
            </w:rPr>
            <w:fldChar w:fldCharType="begin"/>
          </w:r>
          <w:r>
            <w:rPr>
              <w:rFonts w:hint="eastAsia" w:ascii="华文中宋" w:hAnsi="华文中宋" w:eastAsia="华文中宋"/>
              <w:b/>
              <w:spacing w:val="160"/>
              <w:sz w:val="36"/>
              <w:szCs w:val="36"/>
            </w:rPr>
            <w:instrText xml:space="preserve">TOC \o "1-2" \h \u </w:instrText>
          </w:r>
          <w:r>
            <w:rPr>
              <w:rFonts w:hint="eastAsia" w:ascii="华文中宋" w:hAnsi="华文中宋" w:eastAsia="华文中宋"/>
              <w:b/>
              <w:spacing w:val="160"/>
              <w:sz w:val="36"/>
              <w:szCs w:val="36"/>
            </w:rPr>
            <w:fldChar w:fldCharType="separate"/>
          </w:r>
          <w:r>
            <w:rPr>
              <w:rFonts w:hint="eastAsia" w:ascii="华文中宋" w:hAnsi="华文中宋" w:eastAsia="华文中宋"/>
              <w:spacing w:val="160"/>
              <w:szCs w:val="36"/>
            </w:rPr>
            <w:fldChar w:fldCharType="begin"/>
          </w:r>
          <w:r>
            <w:rPr>
              <w:rFonts w:hint="eastAsia" w:ascii="华文中宋" w:hAnsi="华文中宋" w:eastAsia="华文中宋"/>
              <w:spacing w:val="160"/>
              <w:szCs w:val="36"/>
            </w:rPr>
            <w:instrText xml:space="preserve"> HYPERLINK \l _Toc8844 </w:instrText>
          </w:r>
          <w:r>
            <w:rPr>
              <w:rFonts w:hint="eastAsia" w:ascii="华文中宋" w:hAnsi="华文中宋" w:eastAsia="华文中宋"/>
              <w:spacing w:val="160"/>
              <w:szCs w:val="36"/>
            </w:rPr>
            <w:fldChar w:fldCharType="separate"/>
          </w:r>
          <w:r>
            <w:rPr>
              <w:rFonts w:hint="eastAsia" w:ascii="黑体" w:hAnsi="华文中宋" w:eastAsia="黑体"/>
              <w:szCs w:val="32"/>
            </w:rPr>
            <w:t>第一章 投标邀请</w:t>
          </w:r>
          <w:r>
            <w:tab/>
          </w:r>
          <w:r>
            <w:fldChar w:fldCharType="begin"/>
          </w:r>
          <w:r>
            <w:instrText xml:space="preserve"> PAGEREF _Toc8844 \h </w:instrText>
          </w:r>
          <w:r>
            <w:fldChar w:fldCharType="separate"/>
          </w:r>
          <w:r>
            <w:t>4</w:t>
          </w:r>
          <w:r>
            <w:fldChar w:fldCharType="end"/>
          </w:r>
          <w:r>
            <w:rPr>
              <w:rFonts w:hint="eastAsia" w:ascii="华文中宋" w:hAnsi="华文中宋" w:eastAsia="华文中宋"/>
              <w:spacing w:val="160"/>
              <w:szCs w:val="36"/>
            </w:rPr>
            <w:fldChar w:fldCharType="end"/>
          </w:r>
        </w:p>
        <w:p w14:paraId="165C24F8">
          <w:pPr>
            <w:pStyle w:val="30"/>
            <w:tabs>
              <w:tab w:val="right" w:leader="dot" w:pos="8844"/>
            </w:tabs>
          </w:pPr>
          <w:r>
            <w:rPr>
              <w:rFonts w:hint="eastAsia" w:ascii="华文中宋" w:hAnsi="华文中宋" w:eastAsia="华文中宋"/>
              <w:spacing w:val="160"/>
              <w:szCs w:val="36"/>
            </w:rPr>
            <w:fldChar w:fldCharType="begin"/>
          </w:r>
          <w:r>
            <w:rPr>
              <w:rFonts w:hint="eastAsia" w:ascii="华文中宋" w:hAnsi="华文中宋" w:eastAsia="华文中宋"/>
              <w:spacing w:val="160"/>
              <w:szCs w:val="36"/>
            </w:rPr>
            <w:instrText xml:space="preserve"> HYPERLINK \l _Toc20255 </w:instrText>
          </w:r>
          <w:r>
            <w:rPr>
              <w:rFonts w:hint="eastAsia" w:ascii="华文中宋" w:hAnsi="华文中宋" w:eastAsia="华文中宋"/>
              <w:spacing w:val="160"/>
              <w:szCs w:val="36"/>
            </w:rPr>
            <w:fldChar w:fldCharType="separate"/>
          </w:r>
          <w:r>
            <w:rPr>
              <w:rFonts w:hint="eastAsia" w:ascii="黑体" w:hAnsi="华文中宋" w:eastAsia="黑体"/>
              <w:szCs w:val="32"/>
            </w:rPr>
            <w:t>第二章 投标须知</w:t>
          </w:r>
          <w:r>
            <w:tab/>
          </w:r>
          <w:r>
            <w:fldChar w:fldCharType="begin"/>
          </w:r>
          <w:r>
            <w:instrText xml:space="preserve"> PAGEREF _Toc20255 \h </w:instrText>
          </w:r>
          <w:r>
            <w:fldChar w:fldCharType="separate"/>
          </w:r>
          <w:r>
            <w:t>10</w:t>
          </w:r>
          <w:r>
            <w:fldChar w:fldCharType="end"/>
          </w:r>
          <w:r>
            <w:rPr>
              <w:rFonts w:hint="eastAsia" w:ascii="华文中宋" w:hAnsi="华文中宋" w:eastAsia="华文中宋"/>
              <w:spacing w:val="160"/>
              <w:szCs w:val="36"/>
            </w:rPr>
            <w:fldChar w:fldCharType="end"/>
          </w:r>
        </w:p>
        <w:p w14:paraId="75A03B4B">
          <w:pPr>
            <w:pStyle w:val="34"/>
            <w:tabs>
              <w:tab w:val="right" w:leader="dot" w:pos="8844"/>
            </w:tabs>
          </w:pPr>
          <w:r>
            <w:rPr>
              <w:rFonts w:hint="eastAsia" w:ascii="华文中宋" w:hAnsi="华文中宋" w:eastAsia="华文中宋"/>
              <w:spacing w:val="160"/>
              <w:szCs w:val="36"/>
            </w:rPr>
            <w:fldChar w:fldCharType="begin"/>
          </w:r>
          <w:r>
            <w:rPr>
              <w:rFonts w:hint="eastAsia" w:ascii="华文中宋" w:hAnsi="华文中宋" w:eastAsia="华文中宋"/>
              <w:spacing w:val="160"/>
              <w:szCs w:val="36"/>
            </w:rPr>
            <w:instrText xml:space="preserve"> HYPERLINK \l _Toc8725 </w:instrText>
          </w:r>
          <w:r>
            <w:rPr>
              <w:rFonts w:hint="eastAsia" w:ascii="华文中宋" w:hAnsi="华文中宋" w:eastAsia="华文中宋"/>
              <w:spacing w:val="160"/>
              <w:szCs w:val="36"/>
            </w:rPr>
            <w:fldChar w:fldCharType="separate"/>
          </w:r>
          <w:r>
            <w:rPr>
              <w:rFonts w:hint="eastAsia" w:ascii="黑体" w:hAnsi="华文中宋" w:eastAsia="黑体"/>
              <w:szCs w:val="28"/>
            </w:rPr>
            <w:t>第一节 投标须知前附表</w:t>
          </w:r>
          <w:r>
            <w:tab/>
          </w:r>
          <w:r>
            <w:fldChar w:fldCharType="begin"/>
          </w:r>
          <w:r>
            <w:instrText xml:space="preserve"> PAGEREF _Toc8725 \h </w:instrText>
          </w:r>
          <w:r>
            <w:fldChar w:fldCharType="separate"/>
          </w:r>
          <w:r>
            <w:t>10</w:t>
          </w:r>
          <w:r>
            <w:fldChar w:fldCharType="end"/>
          </w:r>
          <w:r>
            <w:rPr>
              <w:rFonts w:hint="eastAsia" w:ascii="华文中宋" w:hAnsi="华文中宋" w:eastAsia="华文中宋"/>
              <w:spacing w:val="160"/>
              <w:szCs w:val="36"/>
            </w:rPr>
            <w:fldChar w:fldCharType="end"/>
          </w:r>
        </w:p>
        <w:p w14:paraId="0B7DD5B0">
          <w:pPr>
            <w:pStyle w:val="34"/>
            <w:tabs>
              <w:tab w:val="right" w:leader="dot" w:pos="8844"/>
            </w:tabs>
          </w:pPr>
          <w:r>
            <w:rPr>
              <w:rFonts w:hint="eastAsia" w:ascii="华文中宋" w:hAnsi="华文中宋" w:eastAsia="华文中宋"/>
              <w:spacing w:val="160"/>
              <w:szCs w:val="36"/>
            </w:rPr>
            <w:fldChar w:fldCharType="begin"/>
          </w:r>
          <w:r>
            <w:rPr>
              <w:rFonts w:hint="eastAsia" w:ascii="华文中宋" w:hAnsi="华文中宋" w:eastAsia="华文中宋"/>
              <w:spacing w:val="160"/>
              <w:szCs w:val="36"/>
            </w:rPr>
            <w:instrText xml:space="preserve"> HYPERLINK \l _Toc30356 </w:instrText>
          </w:r>
          <w:r>
            <w:rPr>
              <w:rFonts w:hint="eastAsia" w:ascii="华文中宋" w:hAnsi="华文中宋" w:eastAsia="华文中宋"/>
              <w:spacing w:val="160"/>
              <w:szCs w:val="36"/>
            </w:rPr>
            <w:fldChar w:fldCharType="separate"/>
          </w:r>
          <w:r>
            <w:rPr>
              <w:rFonts w:hint="eastAsia" w:ascii="黑体" w:hAnsi="黑体" w:eastAsia="黑体"/>
              <w:szCs w:val="28"/>
            </w:rPr>
            <w:t>第二节 投标须知</w:t>
          </w:r>
          <w:r>
            <w:tab/>
          </w:r>
          <w:r>
            <w:fldChar w:fldCharType="begin"/>
          </w:r>
          <w:r>
            <w:instrText xml:space="preserve"> PAGEREF _Toc30356 \h </w:instrText>
          </w:r>
          <w:r>
            <w:fldChar w:fldCharType="separate"/>
          </w:r>
          <w:r>
            <w:t>14</w:t>
          </w:r>
          <w:r>
            <w:fldChar w:fldCharType="end"/>
          </w:r>
          <w:r>
            <w:rPr>
              <w:rFonts w:hint="eastAsia" w:ascii="华文中宋" w:hAnsi="华文中宋" w:eastAsia="华文中宋"/>
              <w:spacing w:val="160"/>
              <w:szCs w:val="36"/>
            </w:rPr>
            <w:fldChar w:fldCharType="end"/>
          </w:r>
        </w:p>
        <w:p w14:paraId="0D4D0007">
          <w:pPr>
            <w:pStyle w:val="30"/>
            <w:tabs>
              <w:tab w:val="right" w:leader="dot" w:pos="8844"/>
            </w:tabs>
          </w:pPr>
          <w:r>
            <w:rPr>
              <w:rFonts w:hint="eastAsia" w:ascii="华文中宋" w:hAnsi="华文中宋" w:eastAsia="华文中宋"/>
              <w:spacing w:val="160"/>
              <w:szCs w:val="36"/>
            </w:rPr>
            <w:fldChar w:fldCharType="begin"/>
          </w:r>
          <w:r>
            <w:rPr>
              <w:rFonts w:hint="eastAsia" w:ascii="华文中宋" w:hAnsi="华文中宋" w:eastAsia="华文中宋"/>
              <w:spacing w:val="160"/>
              <w:szCs w:val="36"/>
            </w:rPr>
            <w:instrText xml:space="preserve"> HYPERLINK \l _Toc19105 </w:instrText>
          </w:r>
          <w:r>
            <w:rPr>
              <w:rFonts w:hint="eastAsia" w:ascii="华文中宋" w:hAnsi="华文中宋" w:eastAsia="华文中宋"/>
              <w:spacing w:val="160"/>
              <w:szCs w:val="36"/>
            </w:rPr>
            <w:fldChar w:fldCharType="separate"/>
          </w:r>
          <w:r>
            <w:rPr>
              <w:rFonts w:hint="eastAsia" w:ascii="黑体" w:hAnsi="华文中宋" w:eastAsia="黑体"/>
              <w:szCs w:val="32"/>
            </w:rPr>
            <w:t>第三章 资格审查</w:t>
          </w:r>
          <w:r>
            <w:tab/>
          </w:r>
          <w:r>
            <w:fldChar w:fldCharType="begin"/>
          </w:r>
          <w:r>
            <w:instrText xml:space="preserve"> PAGEREF _Toc19105 \h </w:instrText>
          </w:r>
          <w:r>
            <w:fldChar w:fldCharType="separate"/>
          </w:r>
          <w:r>
            <w:t>27</w:t>
          </w:r>
          <w:r>
            <w:fldChar w:fldCharType="end"/>
          </w:r>
          <w:r>
            <w:rPr>
              <w:rFonts w:hint="eastAsia" w:ascii="华文中宋" w:hAnsi="华文中宋" w:eastAsia="华文中宋"/>
              <w:spacing w:val="160"/>
              <w:szCs w:val="36"/>
            </w:rPr>
            <w:fldChar w:fldCharType="end"/>
          </w:r>
        </w:p>
        <w:p w14:paraId="58DD75F9">
          <w:pPr>
            <w:pStyle w:val="30"/>
            <w:tabs>
              <w:tab w:val="right" w:leader="dot" w:pos="8844"/>
            </w:tabs>
          </w:pPr>
          <w:r>
            <w:rPr>
              <w:rFonts w:hint="eastAsia" w:ascii="华文中宋" w:hAnsi="华文中宋" w:eastAsia="华文中宋"/>
              <w:spacing w:val="160"/>
              <w:szCs w:val="36"/>
            </w:rPr>
            <w:fldChar w:fldCharType="begin"/>
          </w:r>
          <w:r>
            <w:rPr>
              <w:rFonts w:hint="eastAsia" w:ascii="华文中宋" w:hAnsi="华文中宋" w:eastAsia="华文中宋"/>
              <w:spacing w:val="160"/>
              <w:szCs w:val="36"/>
            </w:rPr>
            <w:instrText xml:space="preserve"> HYPERLINK \l _Toc27858 </w:instrText>
          </w:r>
          <w:r>
            <w:rPr>
              <w:rFonts w:hint="eastAsia" w:ascii="华文中宋" w:hAnsi="华文中宋" w:eastAsia="华文中宋"/>
              <w:spacing w:val="160"/>
              <w:szCs w:val="36"/>
            </w:rPr>
            <w:fldChar w:fldCharType="separate"/>
          </w:r>
          <w:r>
            <w:rPr>
              <w:rFonts w:hint="eastAsia" w:ascii="黑体" w:hAnsi="华文中宋" w:eastAsia="黑体"/>
              <w:szCs w:val="32"/>
            </w:rPr>
            <w:t>第四章 评标方法及标准（综合评分法）</w:t>
          </w:r>
          <w:r>
            <w:tab/>
          </w:r>
          <w:r>
            <w:fldChar w:fldCharType="begin"/>
          </w:r>
          <w:r>
            <w:instrText xml:space="preserve"> PAGEREF _Toc27858 \h </w:instrText>
          </w:r>
          <w:r>
            <w:fldChar w:fldCharType="separate"/>
          </w:r>
          <w:r>
            <w:t>33</w:t>
          </w:r>
          <w:r>
            <w:fldChar w:fldCharType="end"/>
          </w:r>
          <w:r>
            <w:rPr>
              <w:rFonts w:hint="eastAsia" w:ascii="华文中宋" w:hAnsi="华文中宋" w:eastAsia="华文中宋"/>
              <w:spacing w:val="160"/>
              <w:szCs w:val="36"/>
            </w:rPr>
            <w:fldChar w:fldCharType="end"/>
          </w:r>
        </w:p>
        <w:p w14:paraId="0DA6B23E">
          <w:pPr>
            <w:pStyle w:val="34"/>
            <w:tabs>
              <w:tab w:val="right" w:leader="dot" w:pos="8844"/>
            </w:tabs>
          </w:pPr>
          <w:r>
            <w:rPr>
              <w:rFonts w:hint="eastAsia" w:ascii="华文中宋" w:hAnsi="华文中宋" w:eastAsia="华文中宋"/>
              <w:spacing w:val="160"/>
              <w:szCs w:val="36"/>
            </w:rPr>
            <w:fldChar w:fldCharType="begin"/>
          </w:r>
          <w:r>
            <w:rPr>
              <w:rFonts w:hint="eastAsia" w:ascii="华文中宋" w:hAnsi="华文中宋" w:eastAsia="华文中宋"/>
              <w:spacing w:val="160"/>
              <w:szCs w:val="36"/>
            </w:rPr>
            <w:instrText xml:space="preserve"> HYPERLINK \l _Toc12901 </w:instrText>
          </w:r>
          <w:r>
            <w:rPr>
              <w:rFonts w:hint="eastAsia" w:ascii="华文中宋" w:hAnsi="华文中宋" w:eastAsia="华文中宋"/>
              <w:spacing w:val="160"/>
              <w:szCs w:val="36"/>
            </w:rPr>
            <w:fldChar w:fldCharType="separate"/>
          </w:r>
          <w:r>
            <w:rPr>
              <w:rFonts w:hint="eastAsia" w:ascii="黑体" w:hAnsi="华文中宋" w:eastAsia="黑体"/>
              <w:szCs w:val="28"/>
            </w:rPr>
            <w:t>第一节 评标方法及标准前附表</w:t>
          </w:r>
          <w:r>
            <w:tab/>
          </w:r>
          <w:r>
            <w:fldChar w:fldCharType="begin"/>
          </w:r>
          <w:r>
            <w:instrText xml:space="preserve"> PAGEREF _Toc12901 \h </w:instrText>
          </w:r>
          <w:r>
            <w:fldChar w:fldCharType="separate"/>
          </w:r>
          <w:r>
            <w:t>33</w:t>
          </w:r>
          <w:r>
            <w:fldChar w:fldCharType="end"/>
          </w:r>
          <w:r>
            <w:rPr>
              <w:rFonts w:hint="eastAsia" w:ascii="华文中宋" w:hAnsi="华文中宋" w:eastAsia="华文中宋"/>
              <w:spacing w:val="160"/>
              <w:szCs w:val="36"/>
            </w:rPr>
            <w:fldChar w:fldCharType="end"/>
          </w:r>
        </w:p>
        <w:p w14:paraId="79ADCA65">
          <w:pPr>
            <w:pStyle w:val="34"/>
            <w:tabs>
              <w:tab w:val="right" w:leader="dot" w:pos="8844"/>
            </w:tabs>
          </w:pPr>
          <w:r>
            <w:rPr>
              <w:rFonts w:hint="eastAsia" w:ascii="华文中宋" w:hAnsi="华文中宋" w:eastAsia="华文中宋"/>
              <w:spacing w:val="160"/>
              <w:szCs w:val="36"/>
            </w:rPr>
            <w:fldChar w:fldCharType="begin"/>
          </w:r>
          <w:r>
            <w:rPr>
              <w:rFonts w:hint="eastAsia" w:ascii="华文中宋" w:hAnsi="华文中宋" w:eastAsia="华文中宋"/>
              <w:spacing w:val="160"/>
              <w:szCs w:val="36"/>
            </w:rPr>
            <w:instrText xml:space="preserve"> HYPERLINK \l _Toc1958 </w:instrText>
          </w:r>
          <w:r>
            <w:rPr>
              <w:rFonts w:hint="eastAsia" w:ascii="华文中宋" w:hAnsi="华文中宋" w:eastAsia="华文中宋"/>
              <w:spacing w:val="160"/>
              <w:szCs w:val="36"/>
            </w:rPr>
            <w:fldChar w:fldCharType="separate"/>
          </w:r>
          <w:r>
            <w:rPr>
              <w:rFonts w:hint="eastAsia" w:ascii="黑体" w:hAnsi="华文中宋" w:eastAsia="黑体"/>
              <w:szCs w:val="28"/>
            </w:rPr>
            <w:t>第二节 评标方法及标准</w:t>
          </w:r>
          <w:r>
            <w:tab/>
          </w:r>
          <w:r>
            <w:fldChar w:fldCharType="begin"/>
          </w:r>
          <w:r>
            <w:instrText xml:space="preserve"> PAGEREF _Toc1958 \h </w:instrText>
          </w:r>
          <w:r>
            <w:fldChar w:fldCharType="separate"/>
          </w:r>
          <w:r>
            <w:t>35</w:t>
          </w:r>
          <w:r>
            <w:fldChar w:fldCharType="end"/>
          </w:r>
          <w:r>
            <w:rPr>
              <w:rFonts w:hint="eastAsia" w:ascii="华文中宋" w:hAnsi="华文中宋" w:eastAsia="华文中宋"/>
              <w:spacing w:val="160"/>
              <w:szCs w:val="36"/>
            </w:rPr>
            <w:fldChar w:fldCharType="end"/>
          </w:r>
        </w:p>
        <w:p w14:paraId="20F320BE">
          <w:pPr>
            <w:pStyle w:val="34"/>
            <w:tabs>
              <w:tab w:val="right" w:leader="dot" w:pos="8844"/>
            </w:tabs>
          </w:pPr>
          <w:r>
            <w:rPr>
              <w:rFonts w:hint="eastAsia" w:ascii="华文中宋" w:hAnsi="华文中宋" w:eastAsia="华文中宋"/>
              <w:spacing w:val="160"/>
              <w:szCs w:val="36"/>
            </w:rPr>
            <w:fldChar w:fldCharType="begin"/>
          </w:r>
          <w:r>
            <w:rPr>
              <w:rFonts w:hint="eastAsia" w:ascii="华文中宋" w:hAnsi="华文中宋" w:eastAsia="华文中宋"/>
              <w:spacing w:val="160"/>
              <w:szCs w:val="36"/>
            </w:rPr>
            <w:instrText xml:space="preserve"> HYPERLINK \l _Toc22185 </w:instrText>
          </w:r>
          <w:r>
            <w:rPr>
              <w:rFonts w:hint="eastAsia" w:ascii="华文中宋" w:hAnsi="华文中宋" w:eastAsia="华文中宋"/>
              <w:spacing w:val="160"/>
              <w:szCs w:val="36"/>
            </w:rPr>
            <w:fldChar w:fldCharType="separate"/>
          </w:r>
          <w:r>
            <w:rPr>
              <w:rFonts w:hint="eastAsia" w:ascii="黑体" w:hAnsi="华文中宋" w:eastAsia="黑体"/>
              <w:szCs w:val="28"/>
            </w:rPr>
            <w:t>第三节 投标文件的符合性审查</w:t>
          </w:r>
          <w:r>
            <w:tab/>
          </w:r>
          <w:r>
            <w:fldChar w:fldCharType="begin"/>
          </w:r>
          <w:r>
            <w:instrText xml:space="preserve"> PAGEREF _Toc22185 \h </w:instrText>
          </w:r>
          <w:r>
            <w:fldChar w:fldCharType="separate"/>
          </w:r>
          <w:r>
            <w:t>39</w:t>
          </w:r>
          <w:r>
            <w:fldChar w:fldCharType="end"/>
          </w:r>
          <w:r>
            <w:rPr>
              <w:rFonts w:hint="eastAsia" w:ascii="华文中宋" w:hAnsi="华文中宋" w:eastAsia="华文中宋"/>
              <w:spacing w:val="160"/>
              <w:szCs w:val="36"/>
            </w:rPr>
            <w:fldChar w:fldCharType="end"/>
          </w:r>
        </w:p>
        <w:p w14:paraId="77DEC6B2">
          <w:pPr>
            <w:pStyle w:val="34"/>
            <w:tabs>
              <w:tab w:val="right" w:leader="dot" w:pos="8844"/>
            </w:tabs>
          </w:pPr>
          <w:r>
            <w:rPr>
              <w:rFonts w:hint="eastAsia" w:ascii="华文中宋" w:hAnsi="华文中宋" w:eastAsia="华文中宋"/>
              <w:spacing w:val="160"/>
              <w:szCs w:val="36"/>
            </w:rPr>
            <w:fldChar w:fldCharType="begin"/>
          </w:r>
          <w:r>
            <w:rPr>
              <w:rFonts w:hint="eastAsia" w:ascii="华文中宋" w:hAnsi="华文中宋" w:eastAsia="华文中宋"/>
              <w:spacing w:val="160"/>
              <w:szCs w:val="36"/>
            </w:rPr>
            <w:instrText xml:space="preserve"> HYPERLINK \l _Toc31547 </w:instrText>
          </w:r>
          <w:r>
            <w:rPr>
              <w:rFonts w:hint="eastAsia" w:ascii="华文中宋" w:hAnsi="华文中宋" w:eastAsia="华文中宋"/>
              <w:spacing w:val="160"/>
              <w:szCs w:val="36"/>
            </w:rPr>
            <w:fldChar w:fldCharType="separate"/>
          </w:r>
          <w:r>
            <w:rPr>
              <w:rFonts w:hint="eastAsia" w:ascii="黑体" w:hAnsi="华文中宋" w:eastAsia="黑体"/>
              <w:szCs w:val="28"/>
            </w:rPr>
            <w:t>第四节 投标文件的比较与评价</w:t>
          </w:r>
          <w:r>
            <w:tab/>
          </w:r>
          <w:r>
            <w:fldChar w:fldCharType="begin"/>
          </w:r>
          <w:r>
            <w:instrText xml:space="preserve"> PAGEREF _Toc31547 \h </w:instrText>
          </w:r>
          <w:r>
            <w:fldChar w:fldCharType="separate"/>
          </w:r>
          <w:r>
            <w:t>43</w:t>
          </w:r>
          <w:r>
            <w:fldChar w:fldCharType="end"/>
          </w:r>
          <w:r>
            <w:rPr>
              <w:rFonts w:hint="eastAsia" w:ascii="华文中宋" w:hAnsi="华文中宋" w:eastAsia="华文中宋"/>
              <w:spacing w:val="160"/>
              <w:szCs w:val="36"/>
            </w:rPr>
            <w:fldChar w:fldCharType="end"/>
          </w:r>
        </w:p>
        <w:p w14:paraId="5E9589A7">
          <w:pPr>
            <w:pStyle w:val="30"/>
            <w:tabs>
              <w:tab w:val="right" w:leader="dot" w:pos="8844"/>
            </w:tabs>
          </w:pPr>
          <w:r>
            <w:rPr>
              <w:rFonts w:hint="eastAsia" w:ascii="华文中宋" w:hAnsi="华文中宋" w:eastAsia="华文中宋"/>
              <w:spacing w:val="160"/>
              <w:szCs w:val="36"/>
            </w:rPr>
            <w:fldChar w:fldCharType="begin"/>
          </w:r>
          <w:r>
            <w:rPr>
              <w:rFonts w:hint="eastAsia" w:ascii="华文中宋" w:hAnsi="华文中宋" w:eastAsia="华文中宋"/>
              <w:spacing w:val="160"/>
              <w:szCs w:val="36"/>
            </w:rPr>
            <w:instrText xml:space="preserve"> HYPERLINK \l _Toc7906 </w:instrText>
          </w:r>
          <w:r>
            <w:rPr>
              <w:rFonts w:hint="eastAsia" w:ascii="华文中宋" w:hAnsi="华文中宋" w:eastAsia="华文中宋"/>
              <w:spacing w:val="160"/>
              <w:szCs w:val="36"/>
            </w:rPr>
            <w:fldChar w:fldCharType="separate"/>
          </w:r>
          <w:r>
            <w:rPr>
              <w:rFonts w:hint="eastAsia" w:ascii="黑体" w:hAnsi="华文中宋" w:eastAsia="黑体"/>
              <w:szCs w:val="32"/>
            </w:rPr>
            <w:t>第五章 采购需求</w:t>
          </w:r>
          <w:r>
            <w:tab/>
          </w:r>
          <w:r>
            <w:fldChar w:fldCharType="begin"/>
          </w:r>
          <w:r>
            <w:instrText xml:space="preserve"> PAGEREF _Toc7906 \h </w:instrText>
          </w:r>
          <w:r>
            <w:fldChar w:fldCharType="separate"/>
          </w:r>
          <w:r>
            <w:t>48</w:t>
          </w:r>
          <w:r>
            <w:fldChar w:fldCharType="end"/>
          </w:r>
          <w:r>
            <w:rPr>
              <w:rFonts w:hint="eastAsia" w:ascii="华文中宋" w:hAnsi="华文中宋" w:eastAsia="华文中宋"/>
              <w:spacing w:val="160"/>
              <w:szCs w:val="36"/>
            </w:rPr>
            <w:fldChar w:fldCharType="end"/>
          </w:r>
        </w:p>
        <w:p w14:paraId="29380A8F">
          <w:pPr>
            <w:pStyle w:val="30"/>
            <w:tabs>
              <w:tab w:val="right" w:leader="dot" w:pos="8844"/>
            </w:tabs>
          </w:pPr>
          <w:r>
            <w:rPr>
              <w:rFonts w:hint="eastAsia" w:ascii="华文中宋" w:hAnsi="华文中宋" w:eastAsia="华文中宋"/>
              <w:spacing w:val="160"/>
              <w:szCs w:val="36"/>
            </w:rPr>
            <w:fldChar w:fldCharType="begin"/>
          </w:r>
          <w:r>
            <w:rPr>
              <w:rFonts w:hint="eastAsia" w:ascii="华文中宋" w:hAnsi="华文中宋" w:eastAsia="华文中宋"/>
              <w:spacing w:val="160"/>
              <w:szCs w:val="36"/>
            </w:rPr>
            <w:instrText xml:space="preserve"> HYPERLINK \l _Toc27977 </w:instrText>
          </w:r>
          <w:r>
            <w:rPr>
              <w:rFonts w:hint="eastAsia" w:ascii="华文中宋" w:hAnsi="华文中宋" w:eastAsia="华文中宋"/>
              <w:spacing w:val="160"/>
              <w:szCs w:val="36"/>
            </w:rPr>
            <w:fldChar w:fldCharType="separate"/>
          </w:r>
          <w:r>
            <w:rPr>
              <w:rFonts w:hint="eastAsia" w:ascii="黑体" w:hAnsi="华文中宋" w:eastAsia="黑体"/>
              <w:szCs w:val="32"/>
            </w:rPr>
            <w:t>第六章 政府采购合同</w:t>
          </w:r>
          <w:r>
            <w:tab/>
          </w:r>
          <w:r>
            <w:fldChar w:fldCharType="begin"/>
          </w:r>
          <w:r>
            <w:instrText xml:space="preserve"> PAGEREF _Toc27977 \h </w:instrText>
          </w:r>
          <w:r>
            <w:fldChar w:fldCharType="separate"/>
          </w:r>
          <w:r>
            <w:t>57</w:t>
          </w:r>
          <w:r>
            <w:fldChar w:fldCharType="end"/>
          </w:r>
          <w:r>
            <w:rPr>
              <w:rFonts w:hint="eastAsia" w:ascii="华文中宋" w:hAnsi="华文中宋" w:eastAsia="华文中宋"/>
              <w:spacing w:val="160"/>
              <w:szCs w:val="36"/>
            </w:rPr>
            <w:fldChar w:fldCharType="end"/>
          </w:r>
        </w:p>
        <w:p w14:paraId="0054B87B">
          <w:pPr>
            <w:pStyle w:val="34"/>
            <w:tabs>
              <w:tab w:val="right" w:leader="dot" w:pos="8844"/>
            </w:tabs>
          </w:pPr>
          <w:r>
            <w:rPr>
              <w:rFonts w:hint="eastAsia" w:ascii="华文中宋" w:hAnsi="华文中宋" w:eastAsia="华文中宋"/>
              <w:spacing w:val="160"/>
              <w:szCs w:val="36"/>
            </w:rPr>
            <w:fldChar w:fldCharType="begin"/>
          </w:r>
          <w:r>
            <w:rPr>
              <w:rFonts w:hint="eastAsia" w:ascii="华文中宋" w:hAnsi="华文中宋" w:eastAsia="华文中宋"/>
              <w:spacing w:val="160"/>
              <w:szCs w:val="36"/>
            </w:rPr>
            <w:instrText xml:space="preserve"> HYPERLINK \l _Toc19893 </w:instrText>
          </w:r>
          <w:r>
            <w:rPr>
              <w:rFonts w:hint="eastAsia" w:ascii="华文中宋" w:hAnsi="华文中宋" w:eastAsia="华文中宋"/>
              <w:spacing w:val="160"/>
              <w:szCs w:val="36"/>
            </w:rPr>
            <w:fldChar w:fldCharType="separate"/>
          </w:r>
          <w:r>
            <w:rPr>
              <w:rFonts w:hint="eastAsia" w:ascii="黑体" w:hAnsi="华文中宋" w:eastAsia="黑体"/>
              <w:szCs w:val="28"/>
            </w:rPr>
            <w:t>第一节 政府采购合同协议书</w:t>
          </w:r>
          <w:r>
            <w:tab/>
          </w:r>
          <w:r>
            <w:fldChar w:fldCharType="begin"/>
          </w:r>
          <w:r>
            <w:instrText xml:space="preserve"> PAGEREF _Toc19893 \h </w:instrText>
          </w:r>
          <w:r>
            <w:fldChar w:fldCharType="separate"/>
          </w:r>
          <w:r>
            <w:t>57</w:t>
          </w:r>
          <w:r>
            <w:fldChar w:fldCharType="end"/>
          </w:r>
          <w:r>
            <w:rPr>
              <w:rFonts w:hint="eastAsia" w:ascii="华文中宋" w:hAnsi="华文中宋" w:eastAsia="华文中宋"/>
              <w:spacing w:val="160"/>
              <w:szCs w:val="36"/>
            </w:rPr>
            <w:fldChar w:fldCharType="end"/>
          </w:r>
        </w:p>
        <w:p w14:paraId="5CD705E7">
          <w:pPr>
            <w:pStyle w:val="34"/>
            <w:tabs>
              <w:tab w:val="right" w:leader="dot" w:pos="8844"/>
            </w:tabs>
          </w:pPr>
          <w:r>
            <w:rPr>
              <w:rFonts w:hint="eastAsia" w:ascii="华文中宋" w:hAnsi="华文中宋" w:eastAsia="华文中宋"/>
              <w:spacing w:val="160"/>
              <w:szCs w:val="36"/>
            </w:rPr>
            <w:fldChar w:fldCharType="begin"/>
          </w:r>
          <w:r>
            <w:rPr>
              <w:rFonts w:hint="eastAsia" w:ascii="华文中宋" w:hAnsi="华文中宋" w:eastAsia="华文中宋"/>
              <w:spacing w:val="160"/>
              <w:szCs w:val="36"/>
            </w:rPr>
            <w:instrText xml:space="preserve"> HYPERLINK \l _Toc8828 </w:instrText>
          </w:r>
          <w:r>
            <w:rPr>
              <w:rFonts w:hint="eastAsia" w:ascii="华文中宋" w:hAnsi="华文中宋" w:eastAsia="华文中宋"/>
              <w:spacing w:val="160"/>
              <w:szCs w:val="36"/>
            </w:rPr>
            <w:fldChar w:fldCharType="separate"/>
          </w:r>
          <w:r>
            <w:rPr>
              <w:rFonts w:hint="eastAsia" w:ascii="黑体" w:hAnsi="黑体" w:eastAsia="黑体"/>
              <w:szCs w:val="28"/>
            </w:rPr>
            <w:t>第二节 政府采购合同通用条款</w:t>
          </w:r>
          <w:r>
            <w:tab/>
          </w:r>
          <w:r>
            <w:fldChar w:fldCharType="begin"/>
          </w:r>
          <w:r>
            <w:instrText xml:space="preserve"> PAGEREF _Toc8828 \h </w:instrText>
          </w:r>
          <w:r>
            <w:fldChar w:fldCharType="separate"/>
          </w:r>
          <w:r>
            <w:t>60</w:t>
          </w:r>
          <w:r>
            <w:fldChar w:fldCharType="end"/>
          </w:r>
          <w:r>
            <w:rPr>
              <w:rFonts w:hint="eastAsia" w:ascii="华文中宋" w:hAnsi="华文中宋" w:eastAsia="华文中宋"/>
              <w:spacing w:val="160"/>
              <w:szCs w:val="36"/>
            </w:rPr>
            <w:fldChar w:fldCharType="end"/>
          </w:r>
        </w:p>
        <w:p w14:paraId="7C542AF5">
          <w:pPr>
            <w:pStyle w:val="30"/>
            <w:tabs>
              <w:tab w:val="right" w:leader="dot" w:pos="8844"/>
            </w:tabs>
          </w:pPr>
          <w:r>
            <w:rPr>
              <w:rFonts w:hint="eastAsia" w:ascii="华文中宋" w:hAnsi="华文中宋" w:eastAsia="华文中宋"/>
              <w:spacing w:val="160"/>
              <w:szCs w:val="36"/>
            </w:rPr>
            <w:fldChar w:fldCharType="begin"/>
          </w:r>
          <w:r>
            <w:rPr>
              <w:rFonts w:hint="eastAsia" w:ascii="华文中宋" w:hAnsi="华文中宋" w:eastAsia="华文中宋"/>
              <w:spacing w:val="160"/>
              <w:szCs w:val="36"/>
            </w:rPr>
            <w:instrText xml:space="preserve"> HYPERLINK \l _Toc30516 </w:instrText>
          </w:r>
          <w:r>
            <w:rPr>
              <w:rFonts w:hint="eastAsia" w:ascii="华文中宋" w:hAnsi="华文中宋" w:eastAsia="华文中宋"/>
              <w:spacing w:val="160"/>
              <w:szCs w:val="36"/>
            </w:rPr>
            <w:fldChar w:fldCharType="separate"/>
          </w:r>
          <w:r>
            <w:rPr>
              <w:rFonts w:hint="eastAsia" w:ascii="黑体" w:hAnsi="华文中宋" w:eastAsia="黑体"/>
              <w:szCs w:val="32"/>
            </w:rPr>
            <w:t>第七章 投标文件的组成</w:t>
          </w:r>
          <w:r>
            <w:tab/>
          </w:r>
          <w:r>
            <w:fldChar w:fldCharType="begin"/>
          </w:r>
          <w:r>
            <w:instrText xml:space="preserve"> PAGEREF _Toc30516 \h </w:instrText>
          </w:r>
          <w:r>
            <w:fldChar w:fldCharType="separate"/>
          </w:r>
          <w:r>
            <w:t>67</w:t>
          </w:r>
          <w:r>
            <w:fldChar w:fldCharType="end"/>
          </w:r>
          <w:r>
            <w:rPr>
              <w:rFonts w:hint="eastAsia" w:ascii="华文中宋" w:hAnsi="华文中宋" w:eastAsia="华文中宋"/>
              <w:spacing w:val="160"/>
              <w:szCs w:val="36"/>
            </w:rPr>
            <w:fldChar w:fldCharType="end"/>
          </w:r>
        </w:p>
        <w:p w14:paraId="73680DD6">
          <w:pPr>
            <w:pStyle w:val="34"/>
            <w:tabs>
              <w:tab w:val="right" w:leader="dot" w:pos="8844"/>
            </w:tabs>
          </w:pPr>
          <w:r>
            <w:rPr>
              <w:rFonts w:hint="eastAsia" w:ascii="华文中宋" w:hAnsi="华文中宋" w:eastAsia="华文中宋"/>
              <w:spacing w:val="160"/>
              <w:szCs w:val="36"/>
            </w:rPr>
            <w:fldChar w:fldCharType="begin"/>
          </w:r>
          <w:r>
            <w:rPr>
              <w:rFonts w:hint="eastAsia" w:ascii="华文中宋" w:hAnsi="华文中宋" w:eastAsia="华文中宋"/>
              <w:spacing w:val="160"/>
              <w:szCs w:val="36"/>
            </w:rPr>
            <w:instrText xml:space="preserve"> HYPERLINK \l _Toc8277 </w:instrText>
          </w:r>
          <w:r>
            <w:rPr>
              <w:rFonts w:hint="eastAsia" w:ascii="华文中宋" w:hAnsi="华文中宋" w:eastAsia="华文中宋"/>
              <w:spacing w:val="160"/>
              <w:szCs w:val="36"/>
            </w:rPr>
            <w:fldChar w:fldCharType="separate"/>
          </w:r>
          <w:r>
            <w:rPr>
              <w:rFonts w:hint="eastAsia" w:ascii="黑体" w:hAnsi="黑体" w:eastAsia="黑体"/>
              <w:szCs w:val="44"/>
            </w:rPr>
            <w:t>第一部分 资格证明文件</w:t>
          </w:r>
          <w:r>
            <w:tab/>
          </w:r>
          <w:r>
            <w:fldChar w:fldCharType="begin"/>
          </w:r>
          <w:r>
            <w:instrText xml:space="preserve"> PAGEREF _Toc8277 \h </w:instrText>
          </w:r>
          <w:r>
            <w:fldChar w:fldCharType="separate"/>
          </w:r>
          <w:r>
            <w:t>68</w:t>
          </w:r>
          <w:r>
            <w:fldChar w:fldCharType="end"/>
          </w:r>
          <w:r>
            <w:rPr>
              <w:rFonts w:hint="eastAsia" w:ascii="华文中宋" w:hAnsi="华文中宋" w:eastAsia="华文中宋"/>
              <w:spacing w:val="160"/>
              <w:szCs w:val="36"/>
            </w:rPr>
            <w:fldChar w:fldCharType="end"/>
          </w:r>
        </w:p>
        <w:p w14:paraId="7AC51E8F">
          <w:pPr>
            <w:pStyle w:val="34"/>
            <w:tabs>
              <w:tab w:val="right" w:leader="dot" w:pos="8844"/>
            </w:tabs>
          </w:pPr>
          <w:r>
            <w:rPr>
              <w:rFonts w:hint="eastAsia" w:ascii="华文中宋" w:hAnsi="华文中宋" w:eastAsia="华文中宋"/>
              <w:spacing w:val="160"/>
              <w:szCs w:val="36"/>
            </w:rPr>
            <w:fldChar w:fldCharType="begin"/>
          </w:r>
          <w:r>
            <w:rPr>
              <w:rFonts w:hint="eastAsia" w:ascii="华文中宋" w:hAnsi="华文中宋" w:eastAsia="华文中宋"/>
              <w:spacing w:val="160"/>
              <w:szCs w:val="36"/>
            </w:rPr>
            <w:instrText xml:space="preserve"> HYPERLINK \l _Toc3529 </w:instrText>
          </w:r>
          <w:r>
            <w:rPr>
              <w:rFonts w:hint="eastAsia" w:ascii="华文中宋" w:hAnsi="华文中宋" w:eastAsia="华文中宋"/>
              <w:spacing w:val="160"/>
              <w:szCs w:val="36"/>
            </w:rPr>
            <w:fldChar w:fldCharType="separate"/>
          </w:r>
          <w:r>
            <w:rPr>
              <w:rFonts w:hint="eastAsia" w:ascii="黑体" w:hAnsi="黑体" w:eastAsia="黑体"/>
              <w:szCs w:val="44"/>
            </w:rPr>
            <w:t>第二部分 商务技术文件</w:t>
          </w:r>
          <w:r>
            <w:tab/>
          </w:r>
          <w:r>
            <w:fldChar w:fldCharType="begin"/>
          </w:r>
          <w:r>
            <w:instrText xml:space="preserve"> PAGEREF _Toc3529 \h </w:instrText>
          </w:r>
          <w:r>
            <w:fldChar w:fldCharType="separate"/>
          </w:r>
          <w:r>
            <w:t>81</w:t>
          </w:r>
          <w:r>
            <w:fldChar w:fldCharType="end"/>
          </w:r>
          <w:r>
            <w:rPr>
              <w:rFonts w:hint="eastAsia" w:ascii="华文中宋" w:hAnsi="华文中宋" w:eastAsia="华文中宋"/>
              <w:spacing w:val="160"/>
              <w:szCs w:val="36"/>
            </w:rPr>
            <w:fldChar w:fldCharType="end"/>
          </w:r>
        </w:p>
        <w:p w14:paraId="58D1A490">
          <w:pPr>
            <w:pStyle w:val="23"/>
            <w:adjustRightInd w:val="0"/>
            <w:snapToGrid w:val="0"/>
            <w:spacing w:line="360" w:lineRule="auto"/>
            <w:jc w:val="center"/>
            <w:rPr>
              <w:rFonts w:hint="eastAsia" w:ascii="华文中宋" w:hAnsi="华文中宋" w:eastAsia="华文中宋" w:cs="Courier New"/>
              <w:spacing w:val="160"/>
              <w:kern w:val="2"/>
              <w:sz w:val="21"/>
              <w:szCs w:val="36"/>
              <w:lang w:val="en-US" w:eastAsia="zh-CN" w:bidi="ar-SA"/>
            </w:rPr>
          </w:pPr>
          <w:r>
            <w:rPr>
              <w:rFonts w:hint="eastAsia" w:ascii="华文中宋" w:hAnsi="华文中宋" w:eastAsia="华文中宋"/>
              <w:spacing w:val="160"/>
              <w:szCs w:val="36"/>
            </w:rPr>
            <w:fldChar w:fldCharType="end"/>
          </w:r>
        </w:p>
      </w:sdtContent>
    </w:sdt>
    <w:p w14:paraId="6513FAF2">
      <w:r>
        <w:t xml:space="preserve"> </w:t>
      </w:r>
    </w:p>
    <w:p w14:paraId="27477ED3">
      <w:pPr>
        <w:adjustRightInd w:val="0"/>
        <w:snapToGrid w:val="0"/>
        <w:spacing w:line="240" w:lineRule="atLeast"/>
        <w:ind w:firstLine="840" w:firstLineChars="400"/>
        <w:rPr>
          <w:rFonts w:ascii="宋体" w:hAnsi="宋体"/>
          <w:szCs w:val="21"/>
        </w:rPr>
      </w:pPr>
    </w:p>
    <w:p w14:paraId="543DB204">
      <w:pPr>
        <w:pStyle w:val="2"/>
        <w:sectPr>
          <w:headerReference r:id="rId6" w:type="first"/>
          <w:headerReference r:id="rId4" w:type="default"/>
          <w:footerReference r:id="rId7" w:type="default"/>
          <w:headerReference r:id="rId5" w:type="even"/>
          <w:pgSz w:w="11906" w:h="16838"/>
          <w:pgMar w:top="1474" w:right="1474" w:bottom="1474" w:left="1588" w:header="851" w:footer="992" w:gutter="0"/>
          <w:pgNumType w:start="1"/>
          <w:cols w:space="720" w:num="1"/>
          <w:docGrid w:type="lines" w:linePitch="312" w:charSpace="0"/>
        </w:sectPr>
      </w:pPr>
    </w:p>
    <w:p w14:paraId="0FB41C93">
      <w:pPr>
        <w:spacing w:line="360" w:lineRule="auto"/>
        <w:jc w:val="center"/>
        <w:rPr>
          <w:rFonts w:hint="eastAsia" w:ascii="宋体" w:hAnsi="宋体" w:cs="宋体"/>
          <w:sz w:val="44"/>
          <w:szCs w:val="44"/>
          <w:highlight w:val="white"/>
        </w:rPr>
      </w:pPr>
      <w:bookmarkStart w:id="0" w:name="_Toc29913893"/>
      <w:r>
        <w:rPr>
          <w:rFonts w:hint="eastAsia" w:ascii="宋体" w:hAnsi="宋体" w:cs="宋体"/>
          <w:sz w:val="44"/>
          <w:szCs w:val="44"/>
          <w:highlight w:val="white"/>
        </w:rPr>
        <w:t>电子招投标相关规定</w:t>
      </w:r>
    </w:p>
    <w:p w14:paraId="2F6E88B9">
      <w:pPr>
        <w:pStyle w:val="38"/>
        <w:keepNext w:val="0"/>
        <w:keepLines w:val="0"/>
        <w:widowControl/>
        <w:suppressLineNumbers w:val="0"/>
        <w:spacing w:line="240" w:lineRule="auto"/>
        <w:ind w:left="0" w:firstLine="482"/>
        <w:jc w:val="left"/>
        <w:textAlignment w:val="center"/>
        <w:rPr>
          <w:rFonts w:hint="eastAsia" w:ascii="仿宋" w:hAnsi="仿宋" w:eastAsia="仿宋" w:cs="仿宋"/>
          <w:kern w:val="2"/>
          <w:sz w:val="28"/>
          <w:szCs w:val="28"/>
          <w:highlight w:val="white"/>
          <w:lang w:val="en-US" w:eastAsia="zh-CN" w:bidi="ar-SA"/>
        </w:rPr>
      </w:pPr>
      <w:r>
        <w:rPr>
          <w:rFonts w:hint="eastAsia" w:ascii="仿宋" w:hAnsi="仿宋" w:eastAsia="仿宋" w:cs="仿宋"/>
          <w:kern w:val="2"/>
          <w:sz w:val="28"/>
          <w:szCs w:val="28"/>
          <w:highlight w:val="white"/>
          <w:lang w:val="en-US" w:eastAsia="zh-CN" w:bidi="ar-SA"/>
        </w:rPr>
        <w:t>一、本项目采用电子招投标方式，招标文件的下载、上传、解密，开评标均通过互联网操作，电子招标文件免费提供。</w:t>
      </w:r>
    </w:p>
    <w:p w14:paraId="0536B9AC">
      <w:pPr>
        <w:pStyle w:val="38"/>
        <w:keepNext w:val="0"/>
        <w:keepLines w:val="0"/>
        <w:widowControl/>
        <w:suppressLineNumbers w:val="0"/>
        <w:spacing w:line="240" w:lineRule="auto"/>
        <w:ind w:left="0" w:firstLine="476"/>
        <w:jc w:val="left"/>
        <w:textAlignment w:val="center"/>
        <w:rPr>
          <w:rFonts w:hint="eastAsia" w:ascii="仿宋" w:hAnsi="仿宋" w:eastAsia="仿宋" w:cs="仿宋"/>
          <w:kern w:val="2"/>
          <w:sz w:val="28"/>
          <w:szCs w:val="28"/>
          <w:highlight w:val="white"/>
          <w:lang w:val="en-US" w:eastAsia="zh-CN" w:bidi="ar-SA"/>
        </w:rPr>
      </w:pPr>
      <w:r>
        <w:rPr>
          <w:rFonts w:hint="eastAsia" w:ascii="仿宋" w:hAnsi="仿宋" w:eastAsia="仿宋" w:cs="仿宋"/>
          <w:kern w:val="2"/>
          <w:sz w:val="28"/>
          <w:szCs w:val="28"/>
          <w:highlight w:val="white"/>
          <w:lang w:val="en-US" w:eastAsia="zh-CN" w:bidi="ar-SA"/>
        </w:rPr>
        <w:t>招标文件在湖南省政府采购网(www.ccgp-hunan.gov.cn)和郴州市公共资源交易中心(http://czggzy.czs.gov.cn/)上发布。投标人应仔细阅读本招标文件第二章《投标须知》，并在“郴州市公共资源交易中心(http://czggzy.czs.gov.cn/)办事指南--招投标相关”）进行学习，操作手册下载地址： http://www.czggzy.net/TPBidder/pages/customframe4bid/DownLoad/郴州市公共资源交易中心交易系统操作手册.zip</w:t>
      </w:r>
    </w:p>
    <w:p w14:paraId="78E13D01">
      <w:pPr>
        <w:pStyle w:val="38"/>
        <w:keepNext w:val="0"/>
        <w:keepLines w:val="0"/>
        <w:widowControl/>
        <w:suppressLineNumbers w:val="0"/>
        <w:spacing w:before="0" w:beforeAutospacing="0" w:after="0" w:afterAutospacing="0" w:line="240" w:lineRule="auto"/>
        <w:ind w:left="0" w:firstLine="486"/>
        <w:contextualSpacing/>
        <w:jc w:val="left"/>
        <w:rPr>
          <w:rFonts w:hint="eastAsia" w:ascii="仿宋" w:hAnsi="仿宋" w:eastAsia="仿宋" w:cs="仿宋"/>
          <w:kern w:val="2"/>
          <w:sz w:val="28"/>
          <w:szCs w:val="28"/>
          <w:highlight w:val="white"/>
          <w:lang w:val="en-US" w:eastAsia="zh-CN" w:bidi="ar-SA"/>
        </w:rPr>
      </w:pPr>
      <w:r>
        <w:rPr>
          <w:rFonts w:hint="eastAsia" w:ascii="仿宋" w:hAnsi="仿宋" w:eastAsia="仿宋" w:cs="仿宋"/>
          <w:kern w:val="2"/>
          <w:sz w:val="28"/>
          <w:szCs w:val="28"/>
          <w:highlight w:val="white"/>
          <w:lang w:val="en-US" w:eastAsia="zh-CN" w:bidi="ar-SA"/>
        </w:rPr>
        <w:t>二、投标人使用电子投标遇到问题时，请及时向软件公司咨询，联系方式：客服电话4009980000。</w:t>
      </w:r>
    </w:p>
    <w:p w14:paraId="2C4B5F63">
      <w:pPr>
        <w:pStyle w:val="38"/>
        <w:keepNext w:val="0"/>
        <w:keepLines w:val="0"/>
        <w:widowControl/>
        <w:suppressLineNumbers w:val="0"/>
        <w:spacing w:before="0" w:beforeAutospacing="0" w:after="0" w:afterAutospacing="0" w:line="240" w:lineRule="auto"/>
        <w:ind w:left="0" w:firstLine="482"/>
        <w:contextualSpacing/>
        <w:jc w:val="left"/>
        <w:rPr>
          <w:rFonts w:hint="eastAsia" w:ascii="仿宋" w:hAnsi="仿宋" w:eastAsia="仿宋" w:cs="仿宋"/>
          <w:kern w:val="2"/>
          <w:sz w:val="28"/>
          <w:szCs w:val="28"/>
          <w:highlight w:val="white"/>
          <w:lang w:val="en-US" w:eastAsia="zh-CN" w:bidi="ar-SA"/>
        </w:rPr>
      </w:pPr>
      <w:r>
        <w:rPr>
          <w:rFonts w:hint="eastAsia" w:ascii="仿宋" w:hAnsi="仿宋" w:eastAsia="仿宋" w:cs="仿宋"/>
          <w:kern w:val="2"/>
          <w:sz w:val="28"/>
          <w:szCs w:val="28"/>
          <w:highlight w:val="white"/>
          <w:lang w:val="en-US" w:eastAsia="zh-CN" w:bidi="ar-SA"/>
        </w:rPr>
        <w:t>三、湖南省政府采购网和郴州市公共资源交易中心网上办事系统均需使用数字证书登陆进行操作。</w:t>
      </w:r>
    </w:p>
    <w:p w14:paraId="03170827">
      <w:pPr>
        <w:pStyle w:val="38"/>
        <w:keepNext w:val="0"/>
        <w:keepLines w:val="0"/>
        <w:widowControl/>
        <w:suppressLineNumbers w:val="0"/>
        <w:spacing w:before="0" w:beforeAutospacing="0" w:after="0" w:afterAutospacing="0" w:line="240" w:lineRule="auto"/>
        <w:ind w:left="0" w:firstLine="444"/>
        <w:contextualSpacing/>
        <w:jc w:val="left"/>
        <w:rPr>
          <w:rFonts w:hint="eastAsia" w:ascii="仿宋" w:hAnsi="仿宋" w:eastAsia="仿宋" w:cs="仿宋"/>
          <w:kern w:val="2"/>
          <w:sz w:val="28"/>
          <w:szCs w:val="28"/>
          <w:highlight w:val="white"/>
          <w:lang w:val="en-US" w:eastAsia="zh-CN" w:bidi="ar-SA"/>
        </w:rPr>
      </w:pPr>
      <w:r>
        <w:rPr>
          <w:rFonts w:hint="eastAsia" w:ascii="仿宋" w:hAnsi="仿宋" w:eastAsia="仿宋" w:cs="仿宋"/>
          <w:kern w:val="2"/>
          <w:sz w:val="28"/>
          <w:szCs w:val="28"/>
          <w:highlight w:val="white"/>
          <w:lang w:val="en-US" w:eastAsia="zh-CN" w:bidi="ar-SA"/>
        </w:rPr>
        <w:t>四、本项目采用“不见面开标”模式，是指将传统的开标场所移到互联网,招标人在不见面开标大厅组织线上开标,投标人通过互联网远程参加开标,并共同完成交易文件解密、唱标、异议和答复、开标确认、交流互动等开标活动。</w:t>
      </w:r>
    </w:p>
    <w:p w14:paraId="6613A410">
      <w:pPr>
        <w:pStyle w:val="38"/>
        <w:keepNext w:val="0"/>
        <w:keepLines w:val="0"/>
        <w:widowControl/>
        <w:suppressLineNumbers w:val="0"/>
        <w:spacing w:before="0" w:beforeAutospacing="0" w:after="0" w:afterAutospacing="0" w:line="240" w:lineRule="auto"/>
        <w:ind w:left="0" w:firstLine="486"/>
        <w:contextualSpacing/>
        <w:jc w:val="left"/>
        <w:rPr>
          <w:rFonts w:hint="eastAsia" w:ascii="仿宋" w:hAnsi="仿宋" w:eastAsia="仿宋" w:cs="仿宋"/>
          <w:kern w:val="2"/>
          <w:sz w:val="28"/>
          <w:szCs w:val="28"/>
          <w:highlight w:val="white"/>
          <w:lang w:val="en-US" w:eastAsia="zh-CN" w:bidi="ar-SA"/>
        </w:rPr>
      </w:pPr>
      <w:r>
        <w:rPr>
          <w:rFonts w:hint="eastAsia" w:ascii="仿宋" w:hAnsi="仿宋" w:eastAsia="仿宋" w:cs="仿宋"/>
          <w:kern w:val="2"/>
          <w:sz w:val="28"/>
          <w:szCs w:val="28"/>
          <w:highlight w:val="white"/>
          <w:lang w:val="en-US" w:eastAsia="zh-CN" w:bidi="ar-SA"/>
        </w:rPr>
        <w:t>五、网上开标系统登录地址为http://www.czggzyzx.cn/BidOpening，郴州市公共资源交易中心网上办事系统的“开标签到解密”模块（http://www.czggzyzx.cn/BidOpening）。</w:t>
      </w:r>
    </w:p>
    <w:p w14:paraId="34B2914D">
      <w:pPr>
        <w:pStyle w:val="38"/>
        <w:keepNext w:val="0"/>
        <w:keepLines w:val="0"/>
        <w:widowControl/>
        <w:suppressLineNumbers w:val="0"/>
        <w:spacing w:before="0" w:beforeAutospacing="0" w:after="0" w:afterAutospacing="0" w:line="240" w:lineRule="auto"/>
        <w:ind w:left="0" w:firstLine="484"/>
        <w:contextualSpacing/>
        <w:jc w:val="left"/>
        <w:rPr>
          <w:rFonts w:hint="eastAsia" w:ascii="仿宋" w:hAnsi="仿宋" w:eastAsia="仿宋" w:cs="仿宋"/>
          <w:kern w:val="2"/>
          <w:sz w:val="28"/>
          <w:szCs w:val="28"/>
          <w:highlight w:val="white"/>
          <w:lang w:val="en-US" w:eastAsia="zh-CN" w:bidi="ar-SA"/>
        </w:rPr>
      </w:pPr>
      <w:r>
        <w:rPr>
          <w:rFonts w:hint="eastAsia" w:ascii="仿宋" w:hAnsi="仿宋" w:eastAsia="仿宋" w:cs="仿宋"/>
          <w:kern w:val="2"/>
          <w:sz w:val="28"/>
          <w:szCs w:val="28"/>
          <w:highlight w:val="white"/>
          <w:lang w:val="en-US" w:eastAsia="zh-CN" w:bidi="ar-SA"/>
        </w:rPr>
        <w:t>六、投标人应在投标截止时间之前使用数字证书(CA)，自备具有上网卡和音视频功能的电脑自行登录网上不见面开标大厅（郴州市公共资源交易中心网上办事系统的“开标签到解密”模块（http://www.czggzyzx.cn/BidOpening）,在线等待开标,并在开标期间保持通讯畅通。开标期间，投标人在开标大厅与招标人进行相关操作、音视频及文字交互，各电脑终端上的所有操作、音视频及文字交互均被视为各交易主体的行为。未按时加入开标会议区并完成CA 或账号密码登录操作的或未能在开标会议区内全程参与交互的，视为放弃交互和放弃对开评标全过程提出疑问的权利，投标人将无法看到解密指令、开标、唱标等实时情况，投标人自行承担由此导致的一切后果。</w:t>
      </w:r>
    </w:p>
    <w:p w14:paraId="0B08854C">
      <w:pPr>
        <w:pStyle w:val="38"/>
        <w:keepNext w:val="0"/>
        <w:keepLines w:val="0"/>
        <w:widowControl/>
        <w:suppressLineNumbers w:val="0"/>
        <w:spacing w:before="0" w:beforeAutospacing="0" w:after="0" w:afterAutospacing="0" w:line="240" w:lineRule="auto"/>
        <w:ind w:left="0" w:firstLine="480"/>
        <w:contextualSpacing/>
        <w:jc w:val="left"/>
        <w:rPr>
          <w:rFonts w:hint="eastAsia" w:ascii="仿宋" w:hAnsi="仿宋" w:eastAsia="仿宋" w:cs="仿宋"/>
          <w:kern w:val="2"/>
          <w:sz w:val="28"/>
          <w:szCs w:val="28"/>
          <w:highlight w:val="white"/>
          <w:lang w:val="en-US" w:eastAsia="zh-CN" w:bidi="ar-SA"/>
        </w:rPr>
      </w:pPr>
      <w:r>
        <w:rPr>
          <w:rFonts w:hint="eastAsia" w:ascii="仿宋" w:hAnsi="仿宋" w:eastAsia="仿宋" w:cs="仿宋"/>
          <w:kern w:val="2"/>
          <w:sz w:val="28"/>
          <w:szCs w:val="28"/>
          <w:highlight w:val="white"/>
          <w:lang w:val="en-US" w:eastAsia="zh-CN" w:bidi="ar-SA"/>
        </w:rPr>
        <w:t>七、开评标全过程中，投标人参与远程交互的授权委托人或法人代表应始终为同一个人，中途不得更换，在废标、澄清、提疑、传送文件等特殊情况下需要交互时，投标人一端参与交互的人员将均被视为是投标人的授权委托人或法人代表，投标人不得以不承认交互人员的资格或身份等为借口抵赖推脱，投标人自行承担随意更换人员所导致的一切后果。</w:t>
      </w:r>
    </w:p>
    <w:p w14:paraId="5BA1D8B9">
      <w:pPr>
        <w:spacing w:line="360" w:lineRule="auto"/>
        <w:jc w:val="center"/>
        <w:rPr>
          <w:rFonts w:hint="eastAsia" w:ascii="宋体" w:hAnsi="宋体" w:cs="宋体"/>
          <w:sz w:val="44"/>
          <w:szCs w:val="44"/>
          <w:highlight w:val="white"/>
        </w:rPr>
      </w:pPr>
    </w:p>
    <w:p w14:paraId="75DA8721">
      <w:pPr>
        <w:spacing w:line="360" w:lineRule="auto"/>
        <w:jc w:val="center"/>
        <w:rPr>
          <w:rFonts w:hint="eastAsia" w:ascii="宋体" w:hAnsi="宋体" w:cs="宋体"/>
          <w:sz w:val="44"/>
          <w:szCs w:val="44"/>
          <w:highlight w:val="white"/>
        </w:rPr>
      </w:pPr>
    </w:p>
    <w:p w14:paraId="3EA0633E">
      <w:pPr>
        <w:spacing w:line="360" w:lineRule="auto"/>
        <w:jc w:val="center"/>
        <w:rPr>
          <w:rFonts w:hint="eastAsia" w:ascii="宋体" w:hAnsi="宋体" w:cs="宋体"/>
          <w:sz w:val="44"/>
          <w:szCs w:val="44"/>
          <w:highlight w:val="white"/>
        </w:rPr>
      </w:pPr>
    </w:p>
    <w:p w14:paraId="0F4DBBA2">
      <w:pPr>
        <w:spacing w:line="360" w:lineRule="auto"/>
        <w:jc w:val="center"/>
        <w:rPr>
          <w:rFonts w:hint="eastAsia" w:ascii="宋体" w:hAnsi="宋体" w:cs="宋体"/>
          <w:sz w:val="44"/>
          <w:szCs w:val="44"/>
          <w:highlight w:val="white"/>
        </w:rPr>
      </w:pPr>
    </w:p>
    <w:p w14:paraId="7BF6E19A">
      <w:pPr>
        <w:spacing w:line="360" w:lineRule="auto"/>
        <w:jc w:val="center"/>
        <w:rPr>
          <w:rFonts w:hint="eastAsia" w:ascii="宋体" w:hAnsi="宋体" w:cs="宋体"/>
          <w:sz w:val="44"/>
          <w:szCs w:val="44"/>
          <w:highlight w:val="white"/>
        </w:rPr>
      </w:pPr>
    </w:p>
    <w:p w14:paraId="55ACA0F9">
      <w:pPr>
        <w:spacing w:line="360" w:lineRule="auto"/>
        <w:jc w:val="center"/>
        <w:rPr>
          <w:rFonts w:hint="eastAsia" w:ascii="宋体" w:hAnsi="宋体" w:cs="宋体"/>
          <w:sz w:val="44"/>
          <w:szCs w:val="44"/>
          <w:highlight w:val="white"/>
        </w:rPr>
      </w:pPr>
    </w:p>
    <w:p w14:paraId="428A5B61">
      <w:pPr>
        <w:pStyle w:val="2"/>
        <w:ind w:left="1215"/>
        <w:jc w:val="center"/>
        <w:rPr>
          <w:rFonts w:ascii="黑体" w:hAnsi="华文中宋" w:eastAsia="黑体"/>
          <w:sz w:val="32"/>
          <w:szCs w:val="32"/>
        </w:rPr>
      </w:pPr>
      <w:bookmarkStart w:id="1" w:name="_Toc19144"/>
      <w:bookmarkStart w:id="2" w:name="_Toc21937"/>
      <w:bookmarkStart w:id="3" w:name="_Toc8844"/>
      <w:r>
        <w:rPr>
          <w:rFonts w:hint="eastAsia" w:ascii="黑体" w:hAnsi="华文中宋" w:eastAsia="黑体"/>
          <w:sz w:val="32"/>
          <w:szCs w:val="32"/>
        </w:rPr>
        <w:t>第一章 投标邀请</w:t>
      </w:r>
      <w:bookmarkEnd w:id="0"/>
      <w:bookmarkEnd w:id="1"/>
      <w:bookmarkEnd w:id="2"/>
      <w:bookmarkEnd w:id="3"/>
    </w:p>
    <w:p w14:paraId="7B399468"/>
    <w:p w14:paraId="3CACB69E">
      <w:pPr>
        <w:spacing w:line="360" w:lineRule="auto"/>
        <w:jc w:val="center"/>
        <w:rPr>
          <w:sz w:val="24"/>
        </w:rPr>
      </w:pPr>
      <w:r>
        <w:rPr>
          <w:rFonts w:hint="eastAsia" w:ascii="宋体" w:hAnsi="宋体" w:cs="Times New Roman"/>
          <w:b/>
          <w:bCs/>
          <w:color w:val="000000"/>
          <w:sz w:val="24"/>
          <w:lang w:eastAsia="zh-CN"/>
        </w:rPr>
        <w:t>桂阳县城区公共区域病媒生物防制服务（第二次）</w:t>
      </w:r>
      <w:r>
        <w:rPr>
          <w:rFonts w:hint="eastAsia" w:ascii="宋体" w:hAnsi="宋体" w:eastAsia="宋体" w:cs="Times New Roman"/>
          <w:b/>
          <w:bCs/>
          <w:color w:val="000000"/>
          <w:sz w:val="24"/>
        </w:rPr>
        <w:t>项</w:t>
      </w:r>
      <w:r>
        <w:rPr>
          <w:rFonts w:hint="eastAsia" w:ascii="宋体" w:hAnsi="宋体"/>
          <w:b/>
          <w:bCs/>
          <w:color w:val="000000"/>
          <w:sz w:val="24"/>
        </w:rPr>
        <w:t>目招标公告</w:t>
      </w:r>
    </w:p>
    <w:p w14:paraId="1714D279">
      <w:pPr>
        <w:keepNext w:val="0"/>
        <w:keepLines w:val="0"/>
        <w:pageBreakBefore w:val="0"/>
        <w:kinsoku/>
        <w:overflowPunct/>
        <w:bidi w:val="0"/>
        <w:adjustRightInd w:val="0"/>
        <w:snapToGrid w:val="0"/>
        <w:spacing w:line="500" w:lineRule="exact"/>
        <w:ind w:firstLine="480" w:firstLineChars="200"/>
        <w:textAlignment w:val="auto"/>
        <w:rPr>
          <w:rFonts w:asciiTheme="minorEastAsia" w:hAnsiTheme="minorEastAsia" w:eastAsiaTheme="minorEastAsia"/>
          <w:sz w:val="24"/>
        </w:rPr>
      </w:pPr>
      <w:r>
        <w:rPr>
          <w:rFonts w:hint="eastAsia" w:cs="Times New Roman" w:asciiTheme="minorEastAsia" w:hAnsiTheme="minorEastAsia" w:eastAsiaTheme="minorEastAsia"/>
          <w:sz w:val="24"/>
          <w:u w:val="single"/>
          <w:lang w:eastAsia="zh-CN"/>
        </w:rPr>
        <w:t>桂阳县卫生健康局</w:t>
      </w:r>
      <w:r>
        <w:rPr>
          <w:rFonts w:hint="eastAsia" w:asciiTheme="minorEastAsia" w:hAnsiTheme="minorEastAsia" w:eastAsiaTheme="minorEastAsia"/>
          <w:sz w:val="24"/>
        </w:rPr>
        <w:t>的</w:t>
      </w:r>
      <w:r>
        <w:rPr>
          <w:rFonts w:hint="eastAsia" w:cs="Times New Roman" w:asciiTheme="minorEastAsia" w:hAnsiTheme="minorEastAsia" w:eastAsiaTheme="minorEastAsia"/>
          <w:sz w:val="24"/>
          <w:u w:val="single"/>
          <w:lang w:eastAsia="zh-CN"/>
        </w:rPr>
        <w:t>桂阳县城区公共区域病媒生物防制服务（第二次）项目</w:t>
      </w:r>
      <w:r>
        <w:rPr>
          <w:rFonts w:hint="eastAsia" w:asciiTheme="minorEastAsia" w:hAnsiTheme="minorEastAsia" w:eastAsiaTheme="minorEastAsia"/>
          <w:sz w:val="24"/>
        </w:rPr>
        <w:t>进行公开招标采购，现邀请合格投标人参加投标。</w:t>
      </w:r>
    </w:p>
    <w:p w14:paraId="27B56E7A">
      <w:pPr>
        <w:keepNext w:val="0"/>
        <w:keepLines w:val="0"/>
        <w:pageBreakBefore w:val="0"/>
        <w:kinsoku/>
        <w:overflowPunct/>
        <w:bidi w:val="0"/>
        <w:adjustRightInd w:val="0"/>
        <w:snapToGrid w:val="0"/>
        <w:spacing w:line="500" w:lineRule="exact"/>
        <w:ind w:firstLine="482" w:firstLineChars="200"/>
        <w:textAlignment w:val="auto"/>
        <w:rPr>
          <w:rFonts w:hint="eastAsia" w:asciiTheme="minorEastAsia" w:hAnsiTheme="minorEastAsia" w:eastAsiaTheme="minorEastAsia"/>
          <w:b/>
          <w:sz w:val="24"/>
          <w:lang w:eastAsia="zh-CN"/>
        </w:rPr>
      </w:pPr>
      <w:r>
        <w:rPr>
          <w:rFonts w:hint="eastAsia" w:asciiTheme="minorEastAsia" w:hAnsiTheme="minorEastAsia" w:eastAsiaTheme="minorEastAsia"/>
          <w:b/>
          <w:sz w:val="24"/>
        </w:rPr>
        <w:t>一、采购项目</w:t>
      </w:r>
      <w:r>
        <w:rPr>
          <w:rFonts w:hint="eastAsia" w:asciiTheme="minorEastAsia" w:hAnsiTheme="minorEastAsia" w:eastAsiaTheme="minorEastAsia"/>
          <w:b/>
          <w:sz w:val="24"/>
          <w:lang w:val="en-US" w:eastAsia="zh-CN"/>
        </w:rPr>
        <w:t>基本信息</w:t>
      </w:r>
    </w:p>
    <w:p w14:paraId="7C64E0D5">
      <w:pPr>
        <w:keepNext w:val="0"/>
        <w:keepLines w:val="0"/>
        <w:pageBreakBefore w:val="0"/>
        <w:kinsoku/>
        <w:overflowPunct/>
        <w:bidi w:val="0"/>
        <w:adjustRightInd w:val="0"/>
        <w:snapToGrid w:val="0"/>
        <w:spacing w:line="500" w:lineRule="exact"/>
        <w:ind w:firstLine="480" w:firstLineChars="200"/>
        <w:textAlignment w:val="auto"/>
        <w:rPr>
          <w:rFonts w:hint="eastAsia" w:cs="Times New Roman" w:asciiTheme="minorEastAsia" w:hAnsiTheme="minorEastAsia" w:eastAsiaTheme="minorEastAsia"/>
          <w:sz w:val="24"/>
          <w:lang w:eastAsia="zh-CN"/>
        </w:rPr>
      </w:pPr>
      <w:r>
        <w:rPr>
          <w:rFonts w:hint="eastAsia" w:asciiTheme="minorEastAsia" w:hAnsiTheme="minorEastAsia" w:eastAsiaTheme="minorEastAsia"/>
          <w:sz w:val="24"/>
        </w:rPr>
        <w:t>1、采购项目名</w:t>
      </w:r>
      <w:r>
        <w:rPr>
          <w:rFonts w:hint="eastAsia" w:cs="Times New Roman" w:asciiTheme="minorEastAsia" w:hAnsiTheme="minorEastAsia" w:eastAsiaTheme="minorEastAsia"/>
          <w:sz w:val="24"/>
        </w:rPr>
        <w:t>称：</w:t>
      </w:r>
      <w:r>
        <w:rPr>
          <w:rFonts w:hint="eastAsia" w:cs="Times New Roman" w:asciiTheme="minorEastAsia" w:hAnsiTheme="minorEastAsia" w:eastAsiaTheme="minorEastAsia"/>
          <w:sz w:val="24"/>
          <w:u w:val="single"/>
          <w:lang w:eastAsia="zh-CN"/>
        </w:rPr>
        <w:t>桂阳县城区公共区域病媒生物防制服务（第二次）</w:t>
      </w:r>
    </w:p>
    <w:p w14:paraId="3B970CDC">
      <w:pPr>
        <w:keepNext w:val="0"/>
        <w:keepLines w:val="0"/>
        <w:pageBreakBefore w:val="0"/>
        <w:kinsoku/>
        <w:overflowPunct/>
        <w:bidi w:val="0"/>
        <w:adjustRightInd w:val="0"/>
        <w:snapToGrid w:val="0"/>
        <w:spacing w:line="500" w:lineRule="exact"/>
        <w:ind w:firstLine="480" w:firstLineChars="200"/>
        <w:textAlignment w:val="auto"/>
        <w:rPr>
          <w:rFonts w:hint="eastAsia" w:asciiTheme="minorEastAsia" w:hAnsiTheme="minorEastAsia" w:eastAsiaTheme="minorEastAsia"/>
          <w:sz w:val="24"/>
          <w:u w:val="single"/>
        </w:rPr>
      </w:pPr>
      <w:r>
        <w:rPr>
          <w:rFonts w:hint="eastAsia" w:asciiTheme="minorEastAsia" w:hAnsiTheme="minorEastAsia" w:eastAsiaTheme="minorEastAsia"/>
          <w:sz w:val="24"/>
        </w:rPr>
        <w:t>2、政府采购计划编号：</w:t>
      </w:r>
      <w:r>
        <w:rPr>
          <w:rFonts w:hint="eastAsia" w:asciiTheme="minorEastAsia" w:hAnsiTheme="minorEastAsia" w:eastAsiaTheme="minorEastAsia"/>
          <w:sz w:val="24"/>
          <w:u w:val="single"/>
          <w:lang w:val="en-US" w:eastAsia="zh-CN"/>
        </w:rPr>
        <w:t xml:space="preserve">  桂财采计【2026】00050</w:t>
      </w:r>
    </w:p>
    <w:p w14:paraId="0A08D127">
      <w:pPr>
        <w:keepNext w:val="0"/>
        <w:keepLines w:val="0"/>
        <w:pageBreakBefore w:val="0"/>
        <w:kinsoku/>
        <w:overflowPunct/>
        <w:bidi w:val="0"/>
        <w:adjustRightInd w:val="0"/>
        <w:snapToGrid w:val="0"/>
        <w:spacing w:line="500" w:lineRule="exact"/>
        <w:ind w:firstLine="480" w:firstLineChars="200"/>
        <w:textAlignment w:val="auto"/>
        <w:rPr>
          <w:rFonts w:hint="default" w:cs="Times New Roman" w:asciiTheme="minorEastAsia" w:hAnsiTheme="minorEastAsia" w:eastAsiaTheme="minorEastAsia"/>
          <w:sz w:val="24"/>
          <w:u w:val="single"/>
          <w:lang w:val="en-US" w:eastAsia="zh-CN"/>
        </w:rPr>
      </w:pPr>
      <w:r>
        <w:rPr>
          <w:rFonts w:hint="eastAsia" w:asciiTheme="minorEastAsia" w:hAnsiTheme="minorEastAsia" w:eastAsiaTheme="minorEastAsia"/>
          <w:sz w:val="24"/>
        </w:rPr>
        <w:t>3、</w:t>
      </w:r>
      <w:r>
        <w:rPr>
          <w:rFonts w:hint="eastAsia" w:asciiTheme="minorEastAsia" w:hAnsiTheme="minorEastAsia" w:eastAsiaTheme="minorEastAsia"/>
          <w:sz w:val="24"/>
          <w:lang w:eastAsia="zh-CN"/>
        </w:rPr>
        <w:t>委托代理编号</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ZFAZB-FW-2026006</w:t>
      </w:r>
    </w:p>
    <w:p w14:paraId="15E8BF5A">
      <w:pPr>
        <w:keepNext w:val="0"/>
        <w:keepLines w:val="0"/>
        <w:pageBreakBefore w:val="0"/>
        <w:kinsoku/>
        <w:overflowPunct/>
        <w:bidi w:val="0"/>
        <w:adjustRightInd w:val="0"/>
        <w:snapToGrid w:val="0"/>
        <w:spacing w:line="500" w:lineRule="exact"/>
        <w:ind w:firstLine="480" w:firstLineChars="200"/>
        <w:textAlignment w:val="auto"/>
        <w:rPr>
          <w:rFonts w:hint="default" w:cs="Times New Roman" w:asciiTheme="minorEastAsia" w:hAnsiTheme="minorEastAsia" w:eastAsiaTheme="minorEastAsia"/>
          <w:sz w:val="24"/>
          <w:u w:val="single"/>
          <w:lang w:val="en-US" w:eastAsia="zh-CN"/>
        </w:rPr>
      </w:pPr>
      <w:r>
        <w:rPr>
          <w:rFonts w:hint="eastAsia" w:asciiTheme="minorEastAsia" w:hAnsiTheme="minorEastAsia" w:eastAsiaTheme="minorEastAsia"/>
          <w:sz w:val="24"/>
        </w:rPr>
        <w:t>4、采购项目预算：</w:t>
      </w:r>
      <w:r>
        <w:rPr>
          <w:rFonts w:hint="eastAsia" w:cs="Times New Roman" w:asciiTheme="minorEastAsia" w:hAnsiTheme="minorEastAsia" w:eastAsiaTheme="minorEastAsia"/>
          <w:sz w:val="24"/>
          <w:u w:val="single"/>
          <w:lang w:val="en-US" w:eastAsia="zh-CN"/>
        </w:rPr>
        <w:t xml:space="preserve">240万元   </w:t>
      </w:r>
    </w:p>
    <w:p w14:paraId="11C13A65">
      <w:pPr>
        <w:keepNext w:val="0"/>
        <w:keepLines w:val="0"/>
        <w:pageBreakBefore w:val="0"/>
        <w:kinsoku/>
        <w:overflowPunct/>
        <w:bidi w:val="0"/>
        <w:adjustRightInd w:val="0"/>
        <w:snapToGrid w:val="0"/>
        <w:spacing w:line="500" w:lineRule="exact"/>
        <w:ind w:firstLine="720" w:firstLineChars="300"/>
        <w:textAlignment w:val="auto"/>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sym w:font="Wingdings" w:char="00A8"/>
      </w:r>
      <w:r>
        <w:rPr>
          <w:rFonts w:hint="eastAsia" w:asciiTheme="minorEastAsia" w:hAnsiTheme="minorEastAsia" w:eastAsiaTheme="minorEastAsia"/>
          <w:sz w:val="24"/>
        </w:rPr>
        <w:t>支持预付款，预付比例：</w:t>
      </w:r>
      <w:r>
        <w:rPr>
          <w:rFonts w:hint="eastAsia" w:asciiTheme="minorEastAsia" w:hAnsiTheme="minorEastAsia" w:eastAsiaTheme="minorEastAsia"/>
          <w:sz w:val="24"/>
          <w:u w:val="single"/>
          <w:lang w:val="en-US" w:eastAsia="zh-CN"/>
        </w:rPr>
        <w:t xml:space="preserve"> </w:t>
      </w:r>
      <w:r>
        <w:rPr>
          <w:rFonts w:hint="eastAsia" w:cs="Times New Roman" w:asciiTheme="minorEastAsia" w:hAnsiTheme="minorEastAsia" w:eastAsiaTheme="minorEastAsia"/>
          <w:sz w:val="24"/>
          <w:u w:val="single"/>
          <w:lang w:val="en-US" w:eastAsia="zh-CN"/>
        </w:rPr>
        <w:t xml:space="preserve">/ </w:t>
      </w:r>
    </w:p>
    <w:p w14:paraId="51078AB4">
      <w:pPr>
        <w:keepNext w:val="0"/>
        <w:keepLines w:val="0"/>
        <w:pageBreakBefore w:val="0"/>
        <w:kinsoku/>
        <w:overflowPunct/>
        <w:bidi w:val="0"/>
        <w:adjustRightInd w:val="0"/>
        <w:snapToGrid w:val="0"/>
        <w:spacing w:line="50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5、本项目对应的中小企业划分标准所属行业：</w:t>
      </w:r>
      <w:r>
        <w:rPr>
          <w:rFonts w:hint="eastAsia" w:asciiTheme="minorEastAsia" w:hAnsiTheme="minorEastAsia" w:eastAsiaTheme="minorEastAsia"/>
          <w:sz w:val="24"/>
          <w:u w:val="single"/>
          <w:lang w:eastAsia="zh-CN"/>
        </w:rPr>
        <w:t>其他</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rPr>
        <w:t xml:space="preserve"> </w:t>
      </w:r>
    </w:p>
    <w:p w14:paraId="218BFFA5">
      <w:pPr>
        <w:keepNext w:val="0"/>
        <w:keepLines w:val="0"/>
        <w:pageBreakBefore w:val="0"/>
        <w:kinsoku/>
        <w:overflowPunct/>
        <w:bidi w:val="0"/>
        <w:adjustRightInd w:val="0"/>
        <w:snapToGrid w:val="0"/>
        <w:spacing w:line="50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6、评标方法：</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 xml:space="preserve">综合评分法 </w:t>
      </w:r>
      <w:r>
        <w:rPr>
          <w:rFonts w:hint="eastAsia" w:asciiTheme="minorEastAsia" w:hAnsiTheme="minorEastAsia" w:eastAsiaTheme="minorEastAsia"/>
          <w:sz w:val="24"/>
        </w:rPr>
        <w:sym w:font="Wingdings" w:char="00A8"/>
      </w:r>
      <w:r>
        <w:rPr>
          <w:rFonts w:hint="eastAsia" w:asciiTheme="minorEastAsia" w:hAnsiTheme="minorEastAsia" w:eastAsiaTheme="minorEastAsia"/>
          <w:sz w:val="24"/>
        </w:rPr>
        <w:t>最低评标价法</w:t>
      </w:r>
    </w:p>
    <w:p w14:paraId="40211929">
      <w:pPr>
        <w:keepNext w:val="0"/>
        <w:keepLines w:val="0"/>
        <w:pageBreakBefore w:val="0"/>
        <w:kinsoku/>
        <w:overflowPunct/>
        <w:bidi w:val="0"/>
        <w:adjustRightInd w:val="0"/>
        <w:snapToGrid w:val="0"/>
        <w:spacing w:line="50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7、合同定价方式：</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 xml:space="preserve">固定总价 </w:t>
      </w:r>
      <w:r>
        <w:rPr>
          <w:rFonts w:hint="eastAsia" w:asciiTheme="minorEastAsia" w:hAnsiTheme="minorEastAsia" w:eastAsiaTheme="minorEastAsia"/>
          <w:sz w:val="24"/>
        </w:rPr>
        <w:sym w:font="Wingdings" w:char="00A8"/>
      </w:r>
      <w:r>
        <w:rPr>
          <w:rFonts w:hint="eastAsia" w:asciiTheme="minorEastAsia" w:hAnsiTheme="minorEastAsia" w:eastAsiaTheme="minorEastAsia"/>
          <w:sz w:val="24"/>
        </w:rPr>
        <w:t xml:space="preserve">固定单价 </w:t>
      </w:r>
      <w:r>
        <w:rPr>
          <w:rFonts w:hint="eastAsia" w:asciiTheme="minorEastAsia" w:hAnsiTheme="minorEastAsia" w:eastAsiaTheme="minorEastAsia"/>
          <w:sz w:val="24"/>
        </w:rPr>
        <w:sym w:font="Wingdings" w:char="00A8"/>
      </w:r>
      <w:r>
        <w:rPr>
          <w:rFonts w:hint="eastAsia" w:asciiTheme="minorEastAsia" w:hAnsiTheme="minorEastAsia" w:eastAsiaTheme="minorEastAsia"/>
          <w:sz w:val="24"/>
        </w:rPr>
        <w:t xml:space="preserve">成本补偿 </w:t>
      </w:r>
      <w:r>
        <w:rPr>
          <w:rFonts w:hint="eastAsia" w:asciiTheme="minorEastAsia" w:hAnsiTheme="minorEastAsia" w:eastAsiaTheme="minorEastAsia"/>
          <w:sz w:val="24"/>
        </w:rPr>
        <w:sym w:font="Wingdings" w:char="00A8"/>
      </w:r>
      <w:r>
        <w:rPr>
          <w:rFonts w:hint="eastAsia" w:asciiTheme="minorEastAsia" w:hAnsiTheme="minorEastAsia" w:eastAsiaTheme="minorEastAsia"/>
          <w:sz w:val="24"/>
        </w:rPr>
        <w:t>绩效激励</w:t>
      </w:r>
    </w:p>
    <w:p w14:paraId="51CC6B4C">
      <w:pPr>
        <w:keepNext w:val="0"/>
        <w:keepLines w:val="0"/>
        <w:pageBreakBefore w:val="0"/>
        <w:kinsoku/>
        <w:overflowPunct/>
        <w:bidi w:val="0"/>
        <w:adjustRightInd w:val="0"/>
        <w:snapToGrid w:val="0"/>
        <w:spacing w:line="500" w:lineRule="exact"/>
        <w:ind w:firstLine="480" w:firstLineChars="200"/>
        <w:textAlignment w:val="auto"/>
        <w:rPr>
          <w:rFonts w:hint="default" w:asciiTheme="minorEastAsia" w:hAnsiTheme="minorEastAsia" w:eastAsiaTheme="minorEastAsia"/>
          <w:sz w:val="24"/>
          <w:lang w:val="en-US"/>
        </w:rPr>
      </w:pPr>
      <w:r>
        <w:rPr>
          <w:rFonts w:hint="eastAsia" w:asciiTheme="minorEastAsia" w:hAnsiTheme="minorEastAsia" w:eastAsiaTheme="minorEastAsia"/>
          <w:sz w:val="24"/>
        </w:rPr>
        <w:t>8、合同履行期限：</w:t>
      </w:r>
      <w:r>
        <w:rPr>
          <w:rFonts w:hint="eastAsia" w:asciiTheme="minorEastAsia" w:hAnsiTheme="minorEastAsia" w:eastAsiaTheme="minorEastAsia"/>
          <w:sz w:val="24"/>
          <w:u w:val="single"/>
          <w:lang w:val="en-US" w:eastAsia="zh-CN"/>
        </w:rPr>
        <w:t xml:space="preserve">  三</w:t>
      </w:r>
      <w:r>
        <w:rPr>
          <w:rFonts w:hint="eastAsia" w:cs="Times New Roman" w:asciiTheme="minorEastAsia" w:hAnsiTheme="minorEastAsia" w:eastAsiaTheme="minorEastAsia"/>
          <w:sz w:val="24"/>
          <w:u w:val="single"/>
          <w:lang w:val="en-US" w:eastAsia="zh-CN"/>
        </w:rPr>
        <w:t xml:space="preserve">年  </w:t>
      </w:r>
    </w:p>
    <w:p w14:paraId="27CA2C33">
      <w:pPr>
        <w:keepNext w:val="0"/>
        <w:keepLines w:val="0"/>
        <w:pageBreakBefore w:val="0"/>
        <w:kinsoku/>
        <w:overflowPunct/>
        <w:bidi w:val="0"/>
        <w:adjustRightInd w:val="0"/>
        <w:snapToGrid w:val="0"/>
        <w:spacing w:line="500" w:lineRule="exact"/>
        <w:ind w:firstLine="482" w:firstLineChars="200"/>
        <w:textAlignment w:val="auto"/>
        <w:rPr>
          <w:rFonts w:hint="eastAsia" w:asciiTheme="minorEastAsia" w:hAnsiTheme="minorEastAsia" w:eastAsiaTheme="minorEastAsia"/>
          <w:b/>
          <w:bCs/>
          <w:sz w:val="24"/>
          <w:lang w:eastAsia="zh-CN"/>
        </w:rPr>
      </w:pPr>
      <w:r>
        <w:rPr>
          <w:rFonts w:hint="eastAsia" w:asciiTheme="minorEastAsia" w:hAnsiTheme="minorEastAsia" w:eastAsiaTheme="minorEastAsia"/>
          <w:b/>
          <w:bCs/>
          <w:sz w:val="24"/>
        </w:rPr>
        <w:t>9、根据《关于进一步优化政府采购领域营商环境的通知》郴财采资〔2024〕6 号文件精神，本项目取消投标保证金及履约保证金。</w:t>
      </w:r>
    </w:p>
    <w:p w14:paraId="2BEEFC08">
      <w:pPr>
        <w:keepNext w:val="0"/>
        <w:keepLines w:val="0"/>
        <w:pageBreakBefore w:val="0"/>
        <w:numPr>
          <w:ilvl w:val="0"/>
          <w:numId w:val="1"/>
        </w:numPr>
        <w:kinsoku/>
        <w:overflowPunct/>
        <w:bidi w:val="0"/>
        <w:adjustRightInd w:val="0"/>
        <w:snapToGrid w:val="0"/>
        <w:spacing w:line="500" w:lineRule="exact"/>
        <w:ind w:firstLine="482" w:firstLineChars="200"/>
        <w:textAlignment w:val="auto"/>
        <w:rPr>
          <w:rFonts w:hint="eastAsia" w:asciiTheme="minorEastAsia" w:hAnsiTheme="minorEastAsia" w:eastAsiaTheme="minorEastAsia"/>
          <w:b/>
          <w:sz w:val="24"/>
        </w:rPr>
      </w:pPr>
      <w:r>
        <w:rPr>
          <w:rFonts w:hint="eastAsia" w:asciiTheme="minorEastAsia" w:hAnsiTheme="minorEastAsia" w:eastAsiaTheme="minorEastAsia"/>
          <w:b/>
          <w:sz w:val="24"/>
        </w:rPr>
        <w:t>采购人的采购需求</w:t>
      </w:r>
    </w:p>
    <w:tbl>
      <w:tblPr>
        <w:tblStyle w:val="43"/>
        <w:tblW w:w="9373" w:type="dxa"/>
        <w:tblInd w:w="108"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020"/>
        <w:gridCol w:w="2130"/>
        <w:gridCol w:w="1583"/>
        <w:gridCol w:w="1792"/>
        <w:gridCol w:w="1310"/>
        <w:gridCol w:w="1538"/>
      </w:tblGrid>
      <w:tr w14:paraId="6BC1047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452" w:hRule="atLeast"/>
        </w:trPr>
        <w:tc>
          <w:tcPr>
            <w:tcW w:w="1020" w:type="dxa"/>
            <w:tcBorders>
              <w:right w:val="single" w:color="auto" w:sz="4" w:space="0"/>
            </w:tcBorders>
            <w:noWrap w:val="0"/>
            <w:vAlign w:val="center"/>
          </w:tcPr>
          <w:p w14:paraId="7F4E241B">
            <w:pPr>
              <w:widowControl/>
              <w:adjustRightInd w:val="0"/>
              <w:snapToGrid w:val="0"/>
              <w:spacing w:line="500" w:lineRule="exact"/>
              <w:jc w:val="center"/>
              <w:rPr>
                <w:rFonts w:ascii="宋体" w:hAnsi="宋体" w:eastAsia="宋体" w:cs="宋体"/>
                <w:kern w:val="0"/>
                <w:szCs w:val="21"/>
              </w:rPr>
            </w:pPr>
            <w:r>
              <w:rPr>
                <w:rFonts w:hint="eastAsia" w:ascii="宋体" w:hAnsi="宋体" w:eastAsia="宋体" w:cs="宋体"/>
                <w:kern w:val="0"/>
                <w:szCs w:val="21"/>
              </w:rPr>
              <w:t xml:space="preserve"> 序号</w:t>
            </w:r>
          </w:p>
        </w:tc>
        <w:tc>
          <w:tcPr>
            <w:tcW w:w="2130" w:type="dxa"/>
            <w:tcBorders>
              <w:left w:val="single" w:color="auto" w:sz="4" w:space="0"/>
            </w:tcBorders>
            <w:noWrap w:val="0"/>
            <w:vAlign w:val="center"/>
          </w:tcPr>
          <w:p w14:paraId="2826249E">
            <w:pPr>
              <w:widowControl/>
              <w:adjustRightInd w:val="0"/>
              <w:snapToGrid w:val="0"/>
              <w:spacing w:line="500" w:lineRule="exact"/>
              <w:jc w:val="center"/>
              <w:rPr>
                <w:rFonts w:ascii="宋体" w:hAnsi="宋体" w:eastAsia="宋体" w:cs="宋体"/>
                <w:kern w:val="0"/>
                <w:szCs w:val="21"/>
              </w:rPr>
            </w:pPr>
            <w:r>
              <w:rPr>
                <w:rFonts w:hint="eastAsia" w:ascii="宋体" w:hAnsi="宋体" w:eastAsia="宋体" w:cs="Times New Roman"/>
                <w:kern w:val="0"/>
                <w:szCs w:val="21"/>
              </w:rPr>
              <w:t>包名称</w:t>
            </w:r>
          </w:p>
        </w:tc>
        <w:tc>
          <w:tcPr>
            <w:tcW w:w="1583" w:type="dxa"/>
            <w:tcBorders>
              <w:right w:val="single" w:color="auto" w:sz="4" w:space="0"/>
            </w:tcBorders>
            <w:noWrap w:val="0"/>
            <w:vAlign w:val="center"/>
          </w:tcPr>
          <w:p w14:paraId="3D4E1947">
            <w:pPr>
              <w:widowControl/>
              <w:adjustRightInd w:val="0"/>
              <w:snapToGrid w:val="0"/>
              <w:spacing w:line="500" w:lineRule="exact"/>
              <w:jc w:val="center"/>
              <w:rPr>
                <w:rFonts w:ascii="宋体" w:hAnsi="宋体" w:eastAsia="宋体" w:cs="宋体"/>
                <w:kern w:val="0"/>
                <w:szCs w:val="21"/>
              </w:rPr>
            </w:pPr>
            <w:r>
              <w:rPr>
                <w:rFonts w:hint="eastAsia" w:ascii="宋体" w:hAnsi="宋体" w:eastAsia="宋体" w:cs="宋体"/>
                <w:kern w:val="0"/>
                <w:szCs w:val="21"/>
              </w:rPr>
              <w:t>采购项目简要说明（简要技术要求）</w:t>
            </w:r>
          </w:p>
        </w:tc>
        <w:tc>
          <w:tcPr>
            <w:tcW w:w="1792" w:type="dxa"/>
            <w:tcBorders>
              <w:left w:val="single" w:color="auto" w:sz="4" w:space="0"/>
              <w:right w:val="single" w:color="auto" w:sz="4" w:space="0"/>
            </w:tcBorders>
            <w:noWrap w:val="0"/>
            <w:vAlign w:val="center"/>
          </w:tcPr>
          <w:p w14:paraId="548DAC5E">
            <w:pPr>
              <w:widowControl/>
              <w:adjustRightInd w:val="0"/>
              <w:snapToGrid w:val="0"/>
              <w:spacing w:line="500" w:lineRule="exact"/>
              <w:jc w:val="center"/>
              <w:rPr>
                <w:rFonts w:ascii="宋体" w:hAnsi="宋体" w:eastAsia="宋体" w:cs="宋体"/>
                <w:kern w:val="0"/>
                <w:szCs w:val="21"/>
              </w:rPr>
            </w:pPr>
            <w:r>
              <w:rPr>
                <w:rFonts w:hint="eastAsia" w:ascii="宋体" w:hAnsi="宋体" w:eastAsia="宋体" w:cs="宋体"/>
                <w:kern w:val="0"/>
                <w:szCs w:val="21"/>
              </w:rPr>
              <w:t>数量</w:t>
            </w:r>
          </w:p>
        </w:tc>
        <w:tc>
          <w:tcPr>
            <w:tcW w:w="1310" w:type="dxa"/>
            <w:tcBorders>
              <w:left w:val="single" w:color="auto" w:sz="4" w:space="0"/>
              <w:right w:val="single" w:color="auto" w:sz="4" w:space="0"/>
            </w:tcBorders>
            <w:noWrap w:val="0"/>
            <w:vAlign w:val="center"/>
          </w:tcPr>
          <w:p w14:paraId="377622BE">
            <w:pPr>
              <w:pStyle w:val="38"/>
              <w:keepNext w:val="0"/>
              <w:keepLines w:val="0"/>
              <w:widowControl/>
              <w:suppressLineNumbers w:val="0"/>
              <w:spacing w:line="240" w:lineRule="auto"/>
              <w:ind w:left="0" w:hanging="110"/>
              <w:jc w:val="left"/>
              <w:textAlignment w:val="center"/>
              <w:rPr>
                <w:rFonts w:ascii="宋体" w:hAnsi="宋体" w:eastAsia="宋体" w:cs="宋体"/>
                <w:kern w:val="0"/>
                <w:szCs w:val="21"/>
              </w:rPr>
            </w:pPr>
            <w:r>
              <w:rPr>
                <w:rFonts w:hint="eastAsia" w:ascii="宋体" w:hAnsi="宋体" w:eastAsia="宋体" w:cs="宋体"/>
                <w:kern w:val="0"/>
                <w:szCs w:val="21"/>
              </w:rPr>
              <w:t>采购项目预算（万元人民币）</w:t>
            </w:r>
          </w:p>
        </w:tc>
        <w:tc>
          <w:tcPr>
            <w:tcW w:w="1538" w:type="dxa"/>
            <w:noWrap w:val="0"/>
            <w:vAlign w:val="center"/>
          </w:tcPr>
          <w:p w14:paraId="1503981A">
            <w:pPr>
              <w:pStyle w:val="38"/>
              <w:keepNext w:val="0"/>
              <w:keepLines w:val="0"/>
              <w:widowControl/>
              <w:suppressLineNumbers w:val="0"/>
              <w:spacing w:line="240" w:lineRule="auto"/>
              <w:ind w:left="0" w:hanging="110"/>
              <w:jc w:val="left"/>
              <w:textAlignment w:val="center"/>
              <w:rPr>
                <w:rFonts w:ascii="宋体" w:hAnsi="宋体" w:eastAsia="宋体" w:cs="宋体"/>
                <w:kern w:val="0"/>
                <w:szCs w:val="21"/>
              </w:rPr>
            </w:pPr>
            <w:r>
              <w:rPr>
                <w:rFonts w:hint="eastAsia" w:ascii="宋体" w:hAnsi="宋体" w:eastAsia="宋体" w:cs="宋体"/>
                <w:kern w:val="0"/>
                <w:szCs w:val="21"/>
                <w:lang w:val="en-US" w:eastAsia="zh-CN"/>
              </w:rPr>
              <w:t>采购项目最高限价（</w:t>
            </w:r>
            <w:r>
              <w:rPr>
                <w:rFonts w:hint="eastAsia" w:ascii="宋体" w:hAnsi="宋体" w:eastAsia="宋体" w:cs="宋体"/>
                <w:kern w:val="0"/>
                <w:szCs w:val="21"/>
              </w:rPr>
              <w:t>万元</w:t>
            </w:r>
            <w:r>
              <w:rPr>
                <w:rFonts w:hint="eastAsia" w:ascii="宋体" w:hAnsi="宋体" w:eastAsia="宋体" w:cs="宋体"/>
                <w:kern w:val="0"/>
                <w:szCs w:val="21"/>
                <w:lang w:val="en-US" w:eastAsia="zh-CN"/>
              </w:rPr>
              <w:t>人民币</w:t>
            </w:r>
            <w:r>
              <w:rPr>
                <w:rFonts w:hint="eastAsia" w:ascii="宋体" w:hAnsi="宋体" w:eastAsia="宋体" w:cs="宋体"/>
                <w:kern w:val="0"/>
                <w:szCs w:val="21"/>
              </w:rPr>
              <w:t>）</w:t>
            </w:r>
          </w:p>
        </w:tc>
      </w:tr>
      <w:tr w14:paraId="51AC6464">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691" w:hRule="atLeast"/>
        </w:trPr>
        <w:tc>
          <w:tcPr>
            <w:tcW w:w="1020" w:type="dxa"/>
            <w:tcBorders>
              <w:right w:val="single" w:color="auto" w:sz="4" w:space="0"/>
            </w:tcBorders>
            <w:noWrap w:val="0"/>
            <w:vAlign w:val="center"/>
          </w:tcPr>
          <w:p w14:paraId="7D5F4F6C">
            <w:pPr>
              <w:adjustRightInd w:val="0"/>
              <w:snapToGrid w:val="0"/>
              <w:spacing w:line="500" w:lineRule="exact"/>
              <w:jc w:val="center"/>
              <w:rPr>
                <w:rFonts w:ascii="宋体" w:hAnsi="宋体" w:eastAsia="宋体" w:cs="Courier New"/>
                <w:kern w:val="0"/>
                <w:szCs w:val="21"/>
              </w:rPr>
            </w:pPr>
            <w:r>
              <w:rPr>
                <w:rFonts w:hint="eastAsia" w:ascii="宋体" w:hAnsi="宋体" w:eastAsia="宋体" w:cs="Courier New"/>
                <w:kern w:val="0"/>
                <w:szCs w:val="21"/>
              </w:rPr>
              <w:t>1</w:t>
            </w:r>
          </w:p>
        </w:tc>
        <w:tc>
          <w:tcPr>
            <w:tcW w:w="2130" w:type="dxa"/>
            <w:tcBorders>
              <w:left w:val="single" w:color="auto" w:sz="4" w:space="0"/>
            </w:tcBorders>
            <w:noWrap w:val="0"/>
            <w:vAlign w:val="center"/>
          </w:tcPr>
          <w:p w14:paraId="14A3A488">
            <w:pPr>
              <w:adjustRightInd w:val="0"/>
              <w:snapToGrid w:val="0"/>
              <w:spacing w:line="500" w:lineRule="exact"/>
              <w:jc w:val="center"/>
              <w:rPr>
                <w:rFonts w:ascii="宋体" w:hAnsi="宋体" w:eastAsia="宋体" w:cs="Times New Roman"/>
                <w:szCs w:val="21"/>
              </w:rPr>
            </w:pPr>
            <w:r>
              <w:rPr>
                <w:rFonts w:hint="eastAsia" w:ascii="宋体" w:hAnsi="宋体" w:cs="Times New Roman"/>
                <w:bCs/>
                <w:szCs w:val="21"/>
                <w:lang w:eastAsia="zh-CN"/>
              </w:rPr>
              <w:t>桂阳县城区公共区域病媒生物防制服务（第二次）</w:t>
            </w:r>
            <w:r>
              <w:rPr>
                <w:rFonts w:hint="eastAsia" w:ascii="宋体" w:hAnsi="宋体" w:eastAsia="宋体" w:cs="Times New Roman"/>
                <w:szCs w:val="21"/>
              </w:rPr>
              <w:t xml:space="preserve">    </w:t>
            </w:r>
          </w:p>
        </w:tc>
        <w:tc>
          <w:tcPr>
            <w:tcW w:w="1583" w:type="dxa"/>
            <w:tcBorders>
              <w:right w:val="single" w:color="auto" w:sz="4" w:space="0"/>
            </w:tcBorders>
            <w:noWrap w:val="0"/>
            <w:vAlign w:val="center"/>
          </w:tcPr>
          <w:p w14:paraId="532E001A">
            <w:pPr>
              <w:adjustRightInd w:val="0"/>
              <w:snapToGrid w:val="0"/>
              <w:spacing w:line="500" w:lineRule="exact"/>
              <w:jc w:val="center"/>
              <w:rPr>
                <w:rFonts w:ascii="宋体" w:hAnsi="宋体" w:eastAsia="宋体" w:cs="Courier New"/>
                <w:kern w:val="0"/>
                <w:szCs w:val="21"/>
              </w:rPr>
            </w:pPr>
            <w:r>
              <w:rPr>
                <w:rFonts w:hint="eastAsia" w:ascii="宋体" w:hAnsi="宋体" w:eastAsia="宋体" w:cs="Courier New"/>
                <w:kern w:val="0"/>
                <w:szCs w:val="21"/>
              </w:rPr>
              <w:t>详见第五章采购需求　</w:t>
            </w:r>
          </w:p>
        </w:tc>
        <w:tc>
          <w:tcPr>
            <w:tcW w:w="1792" w:type="dxa"/>
            <w:tcBorders>
              <w:left w:val="single" w:color="auto" w:sz="4" w:space="0"/>
              <w:right w:val="single" w:color="auto" w:sz="4" w:space="0"/>
            </w:tcBorders>
            <w:noWrap w:val="0"/>
            <w:vAlign w:val="center"/>
          </w:tcPr>
          <w:p w14:paraId="5A61999B">
            <w:pPr>
              <w:adjustRightInd w:val="0"/>
              <w:snapToGrid w:val="0"/>
              <w:spacing w:line="500" w:lineRule="exact"/>
              <w:jc w:val="center"/>
              <w:rPr>
                <w:rFonts w:ascii="宋体" w:hAnsi="宋体" w:eastAsia="宋体" w:cs="Courier New"/>
                <w:kern w:val="0"/>
                <w:szCs w:val="21"/>
              </w:rPr>
            </w:pPr>
            <w:r>
              <w:rPr>
                <w:rFonts w:hint="eastAsia" w:ascii="宋体" w:hAnsi="宋体" w:eastAsia="宋体" w:cs="Courier New"/>
                <w:kern w:val="0"/>
                <w:szCs w:val="21"/>
              </w:rPr>
              <w:t>详见第五章采购需求　</w:t>
            </w:r>
          </w:p>
        </w:tc>
        <w:tc>
          <w:tcPr>
            <w:tcW w:w="1310" w:type="dxa"/>
            <w:tcBorders>
              <w:left w:val="single" w:color="auto" w:sz="4" w:space="0"/>
              <w:right w:val="single" w:color="auto" w:sz="4" w:space="0"/>
            </w:tcBorders>
            <w:noWrap w:val="0"/>
            <w:vAlign w:val="center"/>
          </w:tcPr>
          <w:p w14:paraId="3EDC30CC">
            <w:pPr>
              <w:adjustRightInd w:val="0"/>
              <w:snapToGrid w:val="0"/>
              <w:spacing w:line="500" w:lineRule="exact"/>
              <w:jc w:val="center"/>
              <w:rPr>
                <w:rFonts w:hint="default" w:ascii="宋体" w:hAnsi="宋体" w:eastAsia="宋体" w:cs="Courier New"/>
                <w:color w:val="auto"/>
                <w:kern w:val="0"/>
                <w:szCs w:val="21"/>
                <w:lang w:val="en-US"/>
              </w:rPr>
            </w:pPr>
            <w:r>
              <w:rPr>
                <w:rFonts w:hint="eastAsia" w:ascii="宋体" w:hAnsi="宋体" w:cs="Courier New"/>
                <w:color w:val="auto"/>
                <w:kern w:val="0"/>
                <w:szCs w:val="21"/>
                <w:lang w:val="en-US" w:eastAsia="zh-CN"/>
              </w:rPr>
              <w:t>240.00</w:t>
            </w:r>
          </w:p>
        </w:tc>
        <w:tc>
          <w:tcPr>
            <w:tcW w:w="1538" w:type="dxa"/>
            <w:noWrap w:val="0"/>
            <w:vAlign w:val="center"/>
          </w:tcPr>
          <w:p w14:paraId="5A710CF5">
            <w:pPr>
              <w:adjustRightInd w:val="0"/>
              <w:snapToGrid w:val="0"/>
              <w:spacing w:line="500" w:lineRule="exact"/>
              <w:jc w:val="center"/>
              <w:rPr>
                <w:rFonts w:hint="default" w:ascii="宋体" w:hAnsi="宋体" w:eastAsia="宋体" w:cs="Courier New"/>
                <w:color w:val="auto"/>
                <w:kern w:val="0"/>
                <w:szCs w:val="21"/>
                <w:lang w:val="en-US"/>
              </w:rPr>
            </w:pPr>
            <w:r>
              <w:rPr>
                <w:rFonts w:hint="eastAsia" w:ascii="宋体" w:hAnsi="宋体" w:cs="Courier New"/>
                <w:color w:val="auto"/>
                <w:kern w:val="0"/>
                <w:szCs w:val="21"/>
                <w:lang w:val="en-US" w:eastAsia="zh-CN"/>
              </w:rPr>
              <w:t>240.00</w:t>
            </w:r>
          </w:p>
        </w:tc>
      </w:tr>
    </w:tbl>
    <w:p w14:paraId="1D5758CA">
      <w:pPr>
        <w:keepNext w:val="0"/>
        <w:keepLines w:val="0"/>
        <w:pageBreakBefore w:val="0"/>
        <w:numPr>
          <w:ilvl w:val="0"/>
          <w:numId w:val="0"/>
        </w:numPr>
        <w:kinsoku/>
        <w:overflowPunct/>
        <w:bidi w:val="0"/>
        <w:adjustRightInd w:val="0"/>
        <w:snapToGrid w:val="0"/>
        <w:spacing w:line="500" w:lineRule="exact"/>
        <w:textAlignment w:val="auto"/>
        <w:rPr>
          <w:rFonts w:hint="eastAsia" w:asciiTheme="minorEastAsia" w:hAnsiTheme="minorEastAsia" w:eastAsiaTheme="minorEastAsia"/>
          <w:b/>
          <w:sz w:val="24"/>
        </w:rPr>
      </w:pPr>
    </w:p>
    <w:p w14:paraId="450B90A2">
      <w:pPr>
        <w:keepNext w:val="0"/>
        <w:keepLines w:val="0"/>
        <w:pageBreakBefore w:val="0"/>
        <w:kinsoku/>
        <w:overflowPunct/>
        <w:bidi w:val="0"/>
        <w:adjustRightInd w:val="0"/>
        <w:snapToGrid w:val="0"/>
        <w:spacing w:line="50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说明：</w:t>
      </w:r>
    </w:p>
    <w:p w14:paraId="342F45B8">
      <w:pPr>
        <w:keepNext w:val="0"/>
        <w:keepLines w:val="0"/>
        <w:pageBreakBefore w:val="0"/>
        <w:kinsoku/>
        <w:overflowPunct/>
        <w:bidi w:val="0"/>
        <w:adjustRightInd w:val="0"/>
        <w:snapToGrid w:val="0"/>
        <w:spacing w:line="50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节能产品实行强制采购的，需提供国家认证机构出具的、处于有效期内的节能产品证书。</w:t>
      </w:r>
    </w:p>
    <w:p w14:paraId="409B3B7E">
      <w:pPr>
        <w:keepNext w:val="0"/>
        <w:keepLines w:val="0"/>
        <w:pageBreakBefore w:val="0"/>
        <w:kinsoku/>
        <w:overflowPunct/>
        <w:bidi w:val="0"/>
        <w:adjustRightInd w:val="0"/>
        <w:snapToGrid w:val="0"/>
        <w:spacing w:line="50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同意购买进口产品的，不限制满足采购需求的国内产品参与投标。</w:t>
      </w:r>
    </w:p>
    <w:p w14:paraId="17E8956D">
      <w:pPr>
        <w:keepNext w:val="0"/>
        <w:keepLines w:val="0"/>
        <w:pageBreakBefore w:val="0"/>
        <w:kinsoku/>
        <w:overflowPunct/>
        <w:bidi w:val="0"/>
        <w:adjustRightInd w:val="0"/>
        <w:snapToGrid w:val="0"/>
        <w:spacing w:line="500" w:lineRule="exact"/>
        <w:ind w:firstLine="482" w:firstLineChars="200"/>
        <w:textAlignment w:val="auto"/>
        <w:rPr>
          <w:rFonts w:hint="eastAsia" w:asciiTheme="minorEastAsia" w:hAnsiTheme="minorEastAsia" w:eastAsiaTheme="minorEastAsia"/>
          <w:sz w:val="24"/>
        </w:rPr>
      </w:pPr>
      <w:r>
        <w:rPr>
          <w:rFonts w:hint="eastAsia" w:asciiTheme="minorEastAsia" w:hAnsiTheme="minorEastAsia" w:eastAsiaTheme="minorEastAsia"/>
          <w:b/>
          <w:sz w:val="24"/>
        </w:rPr>
        <w:t>三、采购项目需落实的政府采购政策：</w:t>
      </w:r>
    </w:p>
    <w:p w14:paraId="0A0BE5B8">
      <w:pPr>
        <w:keepNext w:val="0"/>
        <w:keepLines w:val="0"/>
        <w:pageBreakBefore w:val="0"/>
        <w:kinsoku/>
        <w:overflowPunct/>
        <w:bidi w:val="0"/>
        <w:adjustRightInd w:val="0"/>
        <w:snapToGrid w:val="0"/>
        <w:spacing w:line="50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□强制采购：政府采购实行强制采购的节能产品。</w:t>
      </w:r>
    </w:p>
    <w:p w14:paraId="76436B48">
      <w:pPr>
        <w:keepNext w:val="0"/>
        <w:keepLines w:val="0"/>
        <w:pageBreakBefore w:val="0"/>
        <w:kinsoku/>
        <w:overflowPunct/>
        <w:bidi w:val="0"/>
        <w:adjustRightInd w:val="0"/>
        <w:snapToGrid w:val="0"/>
        <w:spacing w:line="50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□优先采购：政府采购鼓励采购节能环保产品、政府采购支持两型产品。</w:t>
      </w:r>
    </w:p>
    <w:p w14:paraId="72144119">
      <w:pPr>
        <w:keepNext w:val="0"/>
        <w:keepLines w:val="0"/>
        <w:pageBreakBefore w:val="0"/>
        <w:kinsoku/>
        <w:overflowPunct/>
        <w:bidi w:val="0"/>
        <w:adjustRightInd w:val="0"/>
        <w:snapToGrid w:val="0"/>
        <w:spacing w:line="50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价格评审优惠：政府采购促进小微企业发展（包括政府采购支持监狱企业发展、政府采购促进残疾人就业）。</w:t>
      </w:r>
    </w:p>
    <w:p w14:paraId="37443FB1">
      <w:pPr>
        <w:keepNext w:val="0"/>
        <w:keepLines w:val="0"/>
        <w:pageBreakBefore w:val="0"/>
        <w:kinsoku/>
        <w:overflowPunct/>
        <w:bidi w:val="0"/>
        <w:adjustRightInd w:val="0"/>
        <w:snapToGrid w:val="0"/>
        <w:spacing w:line="500" w:lineRule="exact"/>
        <w:ind w:firstLine="482" w:firstLineChars="200"/>
        <w:textAlignment w:val="auto"/>
        <w:rPr>
          <w:rFonts w:asciiTheme="minorEastAsia" w:hAnsiTheme="minorEastAsia" w:eastAsiaTheme="minorEastAsia"/>
          <w:b/>
          <w:sz w:val="24"/>
        </w:rPr>
      </w:pPr>
      <w:r>
        <w:rPr>
          <w:rFonts w:hint="eastAsia" w:asciiTheme="minorEastAsia" w:hAnsiTheme="minorEastAsia" w:eastAsiaTheme="minorEastAsia"/>
          <w:b/>
          <w:sz w:val="24"/>
          <w:lang w:val="en-US" w:eastAsia="zh-CN"/>
        </w:rPr>
        <w:t>四</w:t>
      </w:r>
      <w:r>
        <w:rPr>
          <w:rFonts w:hint="eastAsia" w:asciiTheme="minorEastAsia" w:hAnsiTheme="minorEastAsia" w:eastAsiaTheme="minorEastAsia"/>
          <w:b/>
          <w:sz w:val="24"/>
        </w:rPr>
        <w:t>、投标人的资格要求：</w:t>
      </w:r>
    </w:p>
    <w:p w14:paraId="76A42C41">
      <w:pPr>
        <w:keepNext w:val="0"/>
        <w:keepLines w:val="0"/>
        <w:pageBreakBefore w:val="0"/>
        <w:kinsoku/>
        <w:overflowPunct/>
        <w:bidi w:val="0"/>
        <w:adjustRightInd w:val="0"/>
        <w:snapToGrid w:val="0"/>
        <w:spacing w:line="50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1、投标人的基本资格条件：投标人必须是在中华人民共和国境内注册登记的法人、其他组织或者自然人，且应当符合《政府采购法》第二十二条第一款的规定，即：</w:t>
      </w:r>
    </w:p>
    <w:p w14:paraId="4DEBB68F">
      <w:pPr>
        <w:keepNext w:val="0"/>
        <w:keepLines w:val="0"/>
        <w:pageBreakBefore w:val="0"/>
        <w:kinsoku/>
        <w:overflowPunct/>
        <w:bidi w:val="0"/>
        <w:adjustRightInd w:val="0"/>
        <w:snapToGrid w:val="0"/>
        <w:spacing w:line="50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（1）具有独立承担民事责任的能力；</w:t>
      </w:r>
    </w:p>
    <w:p w14:paraId="6241EAF9">
      <w:pPr>
        <w:keepNext w:val="0"/>
        <w:keepLines w:val="0"/>
        <w:pageBreakBefore w:val="0"/>
        <w:kinsoku/>
        <w:overflowPunct/>
        <w:bidi w:val="0"/>
        <w:adjustRightInd w:val="0"/>
        <w:snapToGrid w:val="0"/>
        <w:spacing w:line="50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（2）具有良好的商业信誉和健全的财务会计制度；</w:t>
      </w:r>
    </w:p>
    <w:p w14:paraId="14AF57D2">
      <w:pPr>
        <w:keepNext w:val="0"/>
        <w:keepLines w:val="0"/>
        <w:pageBreakBefore w:val="0"/>
        <w:kinsoku/>
        <w:overflowPunct/>
        <w:bidi w:val="0"/>
        <w:adjustRightInd w:val="0"/>
        <w:snapToGrid w:val="0"/>
        <w:spacing w:line="50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（3）具有履行合同所必需的设备和专业技术能力；</w:t>
      </w:r>
    </w:p>
    <w:p w14:paraId="111B79DA">
      <w:pPr>
        <w:keepNext w:val="0"/>
        <w:keepLines w:val="0"/>
        <w:pageBreakBefore w:val="0"/>
        <w:kinsoku/>
        <w:overflowPunct/>
        <w:bidi w:val="0"/>
        <w:adjustRightInd w:val="0"/>
        <w:snapToGrid w:val="0"/>
        <w:spacing w:line="50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（4）有依法缴纳税收和社会保障资金的良好记录；</w:t>
      </w:r>
    </w:p>
    <w:p w14:paraId="244D44FD">
      <w:pPr>
        <w:keepNext w:val="0"/>
        <w:keepLines w:val="0"/>
        <w:pageBreakBefore w:val="0"/>
        <w:kinsoku/>
        <w:overflowPunct/>
        <w:bidi w:val="0"/>
        <w:adjustRightInd w:val="0"/>
        <w:snapToGrid w:val="0"/>
        <w:spacing w:line="50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（5）参加政府采购活动前三年内，在经营活动中没有重大违法记录；</w:t>
      </w:r>
    </w:p>
    <w:p w14:paraId="40594106">
      <w:pPr>
        <w:keepNext w:val="0"/>
        <w:keepLines w:val="0"/>
        <w:pageBreakBefore w:val="0"/>
        <w:kinsoku/>
        <w:overflowPunct/>
        <w:bidi w:val="0"/>
        <w:adjustRightInd w:val="0"/>
        <w:snapToGrid w:val="0"/>
        <w:spacing w:line="50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（6）法律、行政法规规定的其他条件。</w:t>
      </w:r>
    </w:p>
    <w:p w14:paraId="3E735E5A">
      <w:pPr>
        <w:keepNext w:val="0"/>
        <w:keepLines w:val="0"/>
        <w:pageBreakBefore w:val="0"/>
        <w:kinsoku/>
        <w:overflowPunct/>
        <w:bidi w:val="0"/>
        <w:adjustRightInd w:val="0"/>
        <w:snapToGrid w:val="0"/>
        <w:spacing w:line="50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2、被“信用中国”“信用湖南”“信用郴州”网站列入失信被执行人和重大税收违法案件当事人名单的、被“中国政府采购网”“湖南省政府采购网”网站列入政府采购严重违法失信行为记录名单（处罚期限尚未届满的），不得参与本项目的政府采购活动。</w:t>
      </w:r>
    </w:p>
    <w:p w14:paraId="56E56EB9">
      <w:pPr>
        <w:keepNext w:val="0"/>
        <w:keepLines w:val="0"/>
        <w:pageBreakBefore w:val="0"/>
        <w:kinsoku/>
        <w:overflowPunct/>
        <w:bidi w:val="0"/>
        <w:adjustRightInd w:val="0"/>
        <w:snapToGrid w:val="0"/>
        <w:spacing w:line="50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、落实政府采购政策需满足的资格要求：</w:t>
      </w:r>
    </w:p>
    <w:p w14:paraId="56885BFA">
      <w:pPr>
        <w:keepNext w:val="0"/>
        <w:keepLines w:val="0"/>
        <w:pageBreakBefore w:val="0"/>
        <w:kinsoku/>
        <w:overflowPunct/>
        <w:bidi w:val="0"/>
        <w:adjustRightInd w:val="0"/>
        <w:snapToGrid w:val="0"/>
        <w:spacing w:line="50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rPr>
        <w:sym w:font="Wingdings" w:char="00FE"/>
      </w:r>
      <w:r>
        <w:rPr>
          <w:rFonts w:hint="eastAsia" w:asciiTheme="minorEastAsia" w:hAnsiTheme="minorEastAsia" w:eastAsiaTheme="minorEastAsia"/>
          <w:sz w:val="24"/>
          <w:lang w:val="en-US" w:eastAsia="zh-CN"/>
        </w:rPr>
        <w:t>专门面向</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sym w:font="Wingdings" w:char="00FE"/>
      </w:r>
      <w:r>
        <w:rPr>
          <w:rFonts w:hint="eastAsia" w:asciiTheme="minorEastAsia" w:hAnsiTheme="minorEastAsia" w:eastAsiaTheme="minorEastAsia"/>
          <w:sz w:val="24"/>
        </w:rPr>
        <w:t>中</w:t>
      </w:r>
      <w:r>
        <w:rPr>
          <w:rFonts w:hint="eastAsia" w:asciiTheme="minorEastAsia" w:hAnsiTheme="minorEastAsia" w:eastAsiaTheme="minorEastAsia"/>
          <w:sz w:val="24"/>
          <w:lang w:val="en-US" w:eastAsia="zh-CN"/>
        </w:rPr>
        <w:t>小</w:t>
      </w:r>
      <w:r>
        <w:rPr>
          <w:rFonts w:hint="eastAsia" w:asciiTheme="minorEastAsia" w:hAnsiTheme="minorEastAsia" w:eastAsiaTheme="minorEastAsia"/>
          <w:sz w:val="24"/>
        </w:rPr>
        <w:t xml:space="preserve">企业  </w:t>
      </w:r>
      <w:r>
        <w:rPr>
          <w:rFonts w:hint="eastAsia" w:asciiTheme="minorEastAsia" w:hAnsiTheme="minorEastAsia" w:eastAsiaTheme="minorEastAsia"/>
          <w:sz w:val="24"/>
        </w:rPr>
        <w:sym w:font="Wingdings" w:char="00FE"/>
      </w:r>
      <w:r>
        <w:rPr>
          <w:rFonts w:hint="eastAsia" w:asciiTheme="minorEastAsia" w:hAnsiTheme="minorEastAsia" w:eastAsiaTheme="minorEastAsia"/>
          <w:sz w:val="24"/>
        </w:rPr>
        <w:t xml:space="preserve">小微企业 </w:t>
      </w:r>
      <w:r>
        <w:rPr>
          <w:rFonts w:hint="eastAsia" w:asciiTheme="minorEastAsia" w:hAnsiTheme="minorEastAsia" w:eastAsiaTheme="minorEastAsia"/>
          <w:sz w:val="24"/>
        </w:rPr>
        <w:sym w:font="Wingdings" w:char="00A8"/>
      </w:r>
      <w:r>
        <w:rPr>
          <w:rFonts w:hint="eastAsia" w:asciiTheme="minorEastAsia" w:hAnsiTheme="minorEastAsia" w:eastAsiaTheme="minorEastAsia"/>
          <w:sz w:val="24"/>
        </w:rPr>
        <w:t xml:space="preserve">监狱企业 </w:t>
      </w:r>
      <w:r>
        <w:rPr>
          <w:rFonts w:hint="eastAsia" w:asciiTheme="minorEastAsia" w:hAnsiTheme="minorEastAsia" w:eastAsiaTheme="minorEastAsia"/>
          <w:sz w:val="24"/>
        </w:rPr>
        <w:sym w:font="Wingdings" w:char="00A8"/>
      </w:r>
      <w:r>
        <w:rPr>
          <w:rFonts w:hint="eastAsia" w:asciiTheme="minorEastAsia" w:hAnsiTheme="minorEastAsia" w:eastAsiaTheme="minorEastAsia"/>
          <w:sz w:val="24"/>
        </w:rPr>
        <w:t>福利性单位。</w:t>
      </w:r>
    </w:p>
    <w:p w14:paraId="5EF434E5">
      <w:pPr>
        <w:keepNext w:val="0"/>
        <w:keepLines w:val="0"/>
        <w:pageBreakBefore w:val="0"/>
        <w:kinsoku/>
        <w:overflowPunct/>
        <w:bidi w:val="0"/>
        <w:adjustRightInd w:val="0"/>
        <w:snapToGrid w:val="0"/>
        <w:spacing w:line="50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rPr>
        <w:sym w:font="Wingdings" w:char="00A8"/>
      </w:r>
      <w:r>
        <w:rPr>
          <w:rFonts w:hint="eastAsia" w:asciiTheme="minorEastAsia" w:hAnsiTheme="minorEastAsia" w:eastAsiaTheme="minorEastAsia"/>
          <w:sz w:val="24"/>
        </w:rPr>
        <w:t>强制分包</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大型企业应将采购份额</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u w:val="single"/>
          <w:lang w:val="en-US" w:eastAsia="zh-CN"/>
        </w:rPr>
        <w:t xml:space="preserve">  </w:t>
      </w:r>
      <w:r>
        <w:rPr>
          <w:rFonts w:hint="eastAsia" w:cs="Times New Roman" w:asciiTheme="minorEastAsia" w:hAnsiTheme="minorEastAsia" w:eastAsiaTheme="minorEastAsia"/>
          <w:sz w:val="24"/>
          <w:u w:val="single"/>
          <w:lang w:val="en-US" w:eastAsia="zh-CN"/>
        </w:rPr>
        <w:t>/</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rPr>
        <w:t>%分包给中小企业。</w:t>
      </w:r>
    </w:p>
    <w:p w14:paraId="14938F6C">
      <w:pPr>
        <w:keepNext w:val="0"/>
        <w:keepLines w:val="0"/>
        <w:pageBreakBefore w:val="0"/>
        <w:kinsoku/>
        <w:overflowPunct/>
        <w:bidi w:val="0"/>
        <w:adjustRightInd w:val="0"/>
        <w:snapToGrid w:val="0"/>
        <w:spacing w:line="50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4、采购项目的特定资格条件</w:t>
      </w:r>
    </w:p>
    <w:p w14:paraId="229EA509">
      <w:pPr>
        <w:keepNext w:val="0"/>
        <w:keepLines w:val="0"/>
        <w:pageBreakBefore w:val="0"/>
        <w:kinsoku/>
        <w:overflowPunct/>
        <w:bidi w:val="0"/>
        <w:adjustRightInd w:val="0"/>
        <w:snapToGrid w:val="0"/>
        <w:spacing w:line="500" w:lineRule="exact"/>
        <w:ind w:firstLine="480" w:firstLineChars="200"/>
        <w:textAlignment w:val="auto"/>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（1）投标人须具有独立承担民事责任的能力，营业执照经营范围包含病媒生物防治、有害生物防制、消杀服务等相关经营内容，且在有效期内，并提供证明文件。</w:t>
      </w:r>
    </w:p>
    <w:p w14:paraId="035AD54F">
      <w:pPr>
        <w:spacing w:before="120" w:after="120" w:line="288" w:lineRule="auto"/>
        <w:ind w:firstLine="440" w:firstLineChars="200"/>
        <w:jc w:val="left"/>
        <w:rPr>
          <w:rFonts w:hint="default" w:ascii="Arial" w:hAnsi="Arial" w:eastAsia="等线" w:cs="Arial"/>
          <w:sz w:val="22"/>
          <w:lang w:val="en-US" w:eastAsia="zh-CN"/>
        </w:rPr>
      </w:pPr>
      <w:r>
        <w:rPr>
          <w:rFonts w:hint="eastAsia" w:ascii="Arial" w:hAnsi="Arial" w:eastAsia="等线" w:cs="Arial"/>
          <w:sz w:val="22"/>
          <w:lang w:eastAsia="zh-CN"/>
        </w:rPr>
        <w:t>（</w:t>
      </w:r>
      <w:r>
        <w:rPr>
          <w:rFonts w:hint="eastAsia" w:asciiTheme="minorEastAsia" w:hAnsiTheme="minorEastAsia" w:eastAsiaTheme="minorEastAsia"/>
          <w:sz w:val="24"/>
          <w:lang w:val="en-US" w:eastAsia="zh-CN"/>
        </w:rPr>
        <w:t>2）投标人近 3 年内（自投标截止之日起倒算），具有1 项及以上县级及以上城区公共区域病媒生物防治 / 有害生物防制服务同类业绩，提供对应业绩合同复印件（加盖投标人公章）。</w:t>
      </w:r>
    </w:p>
    <w:p w14:paraId="310CF291">
      <w:pPr>
        <w:keepNext w:val="0"/>
        <w:keepLines w:val="0"/>
        <w:pageBreakBefore w:val="0"/>
        <w:kinsoku/>
        <w:overflowPunct/>
        <w:bidi w:val="0"/>
        <w:adjustRightInd w:val="0"/>
        <w:snapToGrid w:val="0"/>
        <w:spacing w:line="50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、单位负责人为同一人或者存在直接控股、管理关系的不同投标人，不得参加同一合同项下的政府采购活动。</w:t>
      </w:r>
    </w:p>
    <w:p w14:paraId="0E5C6428">
      <w:pPr>
        <w:keepNext w:val="0"/>
        <w:keepLines w:val="0"/>
        <w:pageBreakBefore w:val="0"/>
        <w:kinsoku/>
        <w:overflowPunct/>
        <w:bidi w:val="0"/>
        <w:adjustRightInd w:val="0"/>
        <w:snapToGrid w:val="0"/>
        <w:spacing w:line="50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、为本采购项目提供整体设计、规范编制或者项目管理、监理、检测等服务的，不得再参加此项目的其他招标采购活动。</w:t>
      </w:r>
    </w:p>
    <w:p w14:paraId="646534A2">
      <w:pPr>
        <w:keepNext w:val="0"/>
        <w:keepLines w:val="0"/>
        <w:pageBreakBefore w:val="0"/>
        <w:kinsoku/>
        <w:overflowPunct/>
        <w:bidi w:val="0"/>
        <w:adjustRightInd w:val="0"/>
        <w:snapToGrid w:val="0"/>
        <w:spacing w:line="50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、联合体投标。本次招标不接受</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(接受或不接受)联合体投标。接受联合体投标的，联合体应当具备下列条件：</w:t>
      </w:r>
      <w:r>
        <w:rPr>
          <w:rFonts w:hint="eastAsia" w:asciiTheme="minorEastAsia" w:hAnsiTheme="minorEastAsia" w:eastAsiaTheme="minorEastAsia"/>
          <w:sz w:val="24"/>
          <w:lang w:val="en-US" w:eastAsia="zh-CN"/>
        </w:rPr>
        <w:t xml:space="preserve"> /  </w:t>
      </w:r>
      <w:r>
        <w:rPr>
          <w:rFonts w:hint="eastAsia" w:asciiTheme="minorEastAsia" w:hAnsiTheme="minorEastAsia" w:eastAsiaTheme="minorEastAsia"/>
          <w:sz w:val="24"/>
        </w:rPr>
        <w:t xml:space="preserve">。 </w:t>
      </w:r>
    </w:p>
    <w:p w14:paraId="7155EE6A">
      <w:pPr>
        <w:keepNext w:val="0"/>
        <w:keepLines w:val="0"/>
        <w:pageBreakBefore w:val="0"/>
        <w:kinsoku/>
        <w:overflowPunct/>
        <w:bidi w:val="0"/>
        <w:adjustRightInd w:val="0"/>
        <w:snapToGrid w:val="0"/>
        <w:spacing w:line="500" w:lineRule="exact"/>
        <w:ind w:firstLine="482" w:firstLineChars="200"/>
        <w:textAlignment w:val="auto"/>
        <w:rPr>
          <w:rFonts w:asciiTheme="minorEastAsia" w:hAnsiTheme="minorEastAsia" w:eastAsiaTheme="minorEastAsia"/>
          <w:color w:val="FF0000"/>
          <w:sz w:val="24"/>
        </w:rPr>
      </w:pPr>
      <w:r>
        <w:rPr>
          <w:rFonts w:hint="eastAsia" w:asciiTheme="minorEastAsia" w:hAnsiTheme="minorEastAsia" w:eastAsiaTheme="minorEastAsia"/>
          <w:b/>
          <w:bCs/>
          <w:sz w:val="24"/>
          <w:lang w:val="en-US" w:eastAsia="zh-CN"/>
        </w:rPr>
        <w:t>注：关于政府采购促进中小企业发展有关措施的通知：符合法定条件的供应商可凭《湖南省政府采购 供应商资格承诺函》参与政府采购活动，也可通过在金融机构办理电子增信取得对应信用星级参与政府采购活动和电子卖场交易，无需提供财务状况、缴纳税收和社会保障资金等资格证明材料。</w:t>
      </w:r>
    </w:p>
    <w:p w14:paraId="14D5AD73">
      <w:pPr>
        <w:keepNext w:val="0"/>
        <w:keepLines w:val="0"/>
        <w:pageBreakBefore w:val="0"/>
        <w:kinsoku/>
        <w:overflowPunct/>
        <w:bidi w:val="0"/>
        <w:adjustRightInd w:val="0"/>
        <w:snapToGrid w:val="0"/>
        <w:spacing w:line="500" w:lineRule="exact"/>
        <w:ind w:firstLine="482" w:firstLineChars="200"/>
        <w:textAlignment w:val="auto"/>
        <w:rPr>
          <w:rFonts w:asciiTheme="minorEastAsia" w:hAnsiTheme="minorEastAsia" w:eastAsiaTheme="minorEastAsia"/>
          <w:b/>
          <w:sz w:val="24"/>
        </w:rPr>
      </w:pPr>
      <w:r>
        <w:rPr>
          <w:rFonts w:hint="eastAsia" w:asciiTheme="minorEastAsia" w:hAnsiTheme="minorEastAsia" w:eastAsiaTheme="minorEastAsia"/>
          <w:b/>
          <w:sz w:val="24"/>
          <w:lang w:val="en-US" w:eastAsia="zh-CN"/>
        </w:rPr>
        <w:t>五</w:t>
      </w:r>
      <w:r>
        <w:rPr>
          <w:rFonts w:hint="eastAsia" w:asciiTheme="minorEastAsia" w:hAnsiTheme="minorEastAsia" w:eastAsiaTheme="minorEastAsia"/>
          <w:b/>
          <w:sz w:val="24"/>
        </w:rPr>
        <w:t>、获取电子招标文件的时间、期限、方式</w:t>
      </w:r>
    </w:p>
    <w:p w14:paraId="5A3974BE">
      <w:pPr>
        <w:keepNext w:val="0"/>
        <w:keepLines w:val="0"/>
        <w:pageBreakBefore w:val="0"/>
        <w:tabs>
          <w:tab w:val="left" w:pos="3500"/>
        </w:tabs>
        <w:kinsoku/>
        <w:overflowPunct/>
        <w:autoSpaceDE w:val="0"/>
        <w:autoSpaceDN w:val="0"/>
        <w:bidi w:val="0"/>
        <w:adjustRightInd w:val="0"/>
        <w:snapToGrid w:val="0"/>
        <w:spacing w:line="500" w:lineRule="exact"/>
        <w:ind w:firstLine="480" w:firstLineChars="200"/>
        <w:jc w:val="left"/>
        <w:textAlignment w:val="auto"/>
        <w:rPr>
          <w:rFonts w:asciiTheme="minorEastAsia" w:hAnsiTheme="minorEastAsia" w:eastAsiaTheme="minorEastAsia"/>
          <w:kern w:val="0"/>
          <w:sz w:val="24"/>
        </w:rPr>
      </w:pPr>
      <w:r>
        <w:rPr>
          <w:rFonts w:hint="eastAsia" w:asciiTheme="minorEastAsia" w:hAnsiTheme="minorEastAsia" w:eastAsiaTheme="minorEastAsia"/>
          <w:kern w:val="0"/>
          <w:sz w:val="24"/>
        </w:rPr>
        <w:t>1. 凡符</w:t>
      </w:r>
      <w:r>
        <w:rPr>
          <w:rFonts w:hint="eastAsia" w:asciiTheme="minorEastAsia" w:hAnsiTheme="minorEastAsia" w:eastAsiaTheme="minorEastAsia"/>
          <w:sz w:val="24"/>
        </w:rPr>
        <w:t>合投标资格要求并有意参加投标者，可在公告发布之日起至提交投标文件截止之日通过郴州</w:t>
      </w:r>
      <w:r>
        <w:rPr>
          <w:rFonts w:hint="eastAsia" w:asciiTheme="minorEastAsia" w:hAnsiTheme="minorEastAsia" w:eastAsiaTheme="minorEastAsia"/>
          <w:kern w:val="0"/>
          <w:sz w:val="24"/>
        </w:rPr>
        <w:t>市公共资源交易中心(</w:t>
      </w:r>
      <w:r>
        <w:rPr>
          <w:rFonts w:asciiTheme="minorEastAsia" w:hAnsiTheme="minorEastAsia" w:eastAsiaTheme="minorEastAsia"/>
          <w:kern w:val="0"/>
          <w:sz w:val="24"/>
        </w:rPr>
        <w:t>http://czggzy.czs.gov.cn/</w:t>
      </w:r>
      <w:r>
        <w:rPr>
          <w:rFonts w:hint="eastAsia" w:asciiTheme="minorEastAsia" w:hAnsiTheme="minorEastAsia" w:eastAsiaTheme="minorEastAsia"/>
          <w:kern w:val="0"/>
          <w:sz w:val="24"/>
        </w:rPr>
        <w:t>)免费获取电子招标文件。</w:t>
      </w:r>
    </w:p>
    <w:p w14:paraId="22023644">
      <w:pPr>
        <w:keepNext w:val="0"/>
        <w:keepLines w:val="0"/>
        <w:pageBreakBefore w:val="0"/>
        <w:tabs>
          <w:tab w:val="left" w:pos="3500"/>
        </w:tabs>
        <w:kinsoku/>
        <w:overflowPunct/>
        <w:autoSpaceDE w:val="0"/>
        <w:autoSpaceDN w:val="0"/>
        <w:bidi w:val="0"/>
        <w:adjustRightInd w:val="0"/>
        <w:snapToGrid w:val="0"/>
        <w:spacing w:line="500" w:lineRule="exact"/>
        <w:ind w:firstLine="480" w:firstLineChars="200"/>
        <w:jc w:val="left"/>
        <w:textAlignment w:val="auto"/>
        <w:rPr>
          <w:rFonts w:ascii="宋体" w:hAnsi="宋体"/>
          <w:color w:val="FF0000"/>
          <w:sz w:val="24"/>
        </w:rPr>
      </w:pPr>
      <w:r>
        <w:rPr>
          <w:rFonts w:hint="eastAsia" w:asciiTheme="minorEastAsia" w:hAnsiTheme="minorEastAsia" w:eastAsiaTheme="minorEastAsia"/>
          <w:kern w:val="0"/>
          <w:sz w:val="24"/>
        </w:rPr>
        <w:t>2、公开招标文件及修改、澄清文件获取方式:投标人应在本项目获取招标文件截止时间前登录郴州市公共资源交易中心(</w:t>
      </w:r>
      <w:r>
        <w:rPr>
          <w:rFonts w:asciiTheme="minorEastAsia" w:hAnsiTheme="minorEastAsia" w:eastAsiaTheme="minorEastAsia"/>
          <w:kern w:val="0"/>
          <w:sz w:val="24"/>
        </w:rPr>
        <w:t>http://czggzy.czs.gov.cn/</w:t>
      </w:r>
      <w:r>
        <w:rPr>
          <w:rFonts w:hint="eastAsia" w:asciiTheme="minorEastAsia" w:hAnsiTheme="minorEastAsia" w:eastAsiaTheme="minorEastAsia"/>
          <w:kern w:val="0"/>
          <w:sz w:val="24"/>
        </w:rPr>
        <w:t>)中进入"政府采购交易系统进行“用户登录”“我要投标”“下载文件”操作，逾期将不能获取文件。修改、澄清后的招标文件请投标人</w:t>
      </w:r>
      <w:r>
        <w:rPr>
          <w:rFonts w:hint="eastAsia" w:asciiTheme="minorEastAsia" w:hAnsiTheme="minorEastAsia"/>
          <w:kern w:val="0"/>
          <w:sz w:val="24"/>
        </w:rPr>
        <w:t>自行在以上网站下载或查阅</w:t>
      </w:r>
      <w:r>
        <w:rPr>
          <w:rFonts w:hint="eastAsia" w:asciiTheme="minorEastAsia" w:hAnsiTheme="minorEastAsia" w:eastAsiaTheme="minorEastAsia"/>
          <w:kern w:val="0"/>
          <w:sz w:val="24"/>
        </w:rPr>
        <w:t>,恕不另行通知，如有遗漏投标人自行承担全部责任。</w:t>
      </w:r>
    </w:p>
    <w:p w14:paraId="2C3E68E0">
      <w:pPr>
        <w:keepNext w:val="0"/>
        <w:keepLines w:val="0"/>
        <w:pageBreakBefore w:val="0"/>
        <w:tabs>
          <w:tab w:val="left" w:pos="3500"/>
        </w:tabs>
        <w:kinsoku/>
        <w:overflowPunct/>
        <w:autoSpaceDE w:val="0"/>
        <w:autoSpaceDN w:val="0"/>
        <w:bidi w:val="0"/>
        <w:adjustRightInd w:val="0"/>
        <w:snapToGrid w:val="0"/>
        <w:spacing w:line="500" w:lineRule="exact"/>
        <w:ind w:firstLine="480" w:firstLineChars="200"/>
        <w:jc w:val="left"/>
        <w:textAlignment w:val="auto"/>
        <w:rPr>
          <w:rFonts w:ascii="宋体" w:hAnsi="宋体"/>
          <w:color w:val="000000"/>
          <w:sz w:val="24"/>
        </w:rPr>
      </w:pPr>
      <w:r>
        <w:rPr>
          <w:rFonts w:hint="eastAsia" w:asciiTheme="minorEastAsia" w:hAnsiTheme="minorEastAsia" w:eastAsiaTheme="minorEastAsia"/>
          <w:kern w:val="0"/>
          <w:sz w:val="24"/>
        </w:rPr>
        <w:t>3、</w:t>
      </w:r>
      <w:r>
        <w:rPr>
          <w:rFonts w:hint="eastAsia" w:ascii="宋体" w:hAnsi="宋体"/>
          <w:sz w:val="24"/>
        </w:rPr>
        <w:t>通过网络下载，其招标文件与备案的书面招标文件具</w:t>
      </w:r>
      <w:r>
        <w:rPr>
          <w:rFonts w:hint="eastAsia" w:ascii="宋体" w:hAnsi="宋体"/>
          <w:color w:val="000000"/>
          <w:sz w:val="24"/>
        </w:rPr>
        <w:t>有同等法律效力。投标人应及时关注网上相关招标信息，如有遗漏（包括但不限于文件未下载或下载不完整）招标人概不负责，所造成的投标失败或损失由投标人自行负责。</w:t>
      </w:r>
    </w:p>
    <w:p w14:paraId="381DB7AB">
      <w:pPr>
        <w:keepNext w:val="0"/>
        <w:keepLines w:val="0"/>
        <w:pageBreakBefore w:val="0"/>
        <w:kinsoku/>
        <w:overflowPunct/>
        <w:bidi w:val="0"/>
        <w:adjustRightInd w:val="0"/>
        <w:snapToGrid w:val="0"/>
        <w:spacing w:line="500" w:lineRule="exact"/>
        <w:ind w:firstLine="482" w:firstLineChars="200"/>
        <w:textAlignment w:val="auto"/>
        <w:rPr>
          <w:rFonts w:asciiTheme="minorEastAsia" w:hAnsiTheme="minorEastAsia" w:eastAsiaTheme="minorEastAsia"/>
          <w:b/>
          <w:sz w:val="24"/>
        </w:rPr>
      </w:pPr>
      <w:r>
        <w:rPr>
          <w:rFonts w:hint="eastAsia" w:asciiTheme="minorEastAsia" w:hAnsiTheme="minorEastAsia" w:eastAsiaTheme="minorEastAsia"/>
          <w:b/>
          <w:sz w:val="24"/>
          <w:lang w:val="en-US" w:eastAsia="zh-CN"/>
        </w:rPr>
        <w:t>六</w:t>
      </w:r>
      <w:r>
        <w:rPr>
          <w:rFonts w:hint="eastAsia" w:asciiTheme="minorEastAsia" w:hAnsiTheme="minorEastAsia" w:eastAsiaTheme="minorEastAsia"/>
          <w:b/>
          <w:sz w:val="24"/>
        </w:rPr>
        <w:t>、投标截止时间、开标时间、开标地点</w:t>
      </w:r>
    </w:p>
    <w:p w14:paraId="0122A011">
      <w:pPr>
        <w:keepNext w:val="0"/>
        <w:keepLines w:val="0"/>
        <w:pageBreakBefore w:val="0"/>
        <w:kinsoku/>
        <w:overflowPunct/>
        <w:bidi w:val="0"/>
        <w:adjustRightInd w:val="0"/>
        <w:snapToGrid w:val="0"/>
        <w:spacing w:line="50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1、提交投标文件的截止时间：</w:t>
      </w:r>
      <w:r>
        <w:rPr>
          <w:rFonts w:hint="eastAsia" w:asciiTheme="minorEastAsia" w:hAnsiTheme="minorEastAsia" w:eastAsiaTheme="minorEastAsia"/>
          <w:sz w:val="24"/>
          <w:lang w:val="en-US" w:eastAsia="zh-CN"/>
        </w:rPr>
        <w:t>2026</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06</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30</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09</w:t>
      </w:r>
      <w:r>
        <w:rPr>
          <w:rFonts w:hint="eastAsia" w:asciiTheme="minorEastAsia" w:hAnsiTheme="minorEastAsia" w:eastAsiaTheme="minorEastAsia"/>
          <w:sz w:val="24"/>
        </w:rPr>
        <w:t>时</w:t>
      </w:r>
      <w:r>
        <w:rPr>
          <w:rFonts w:hint="eastAsia" w:asciiTheme="minorEastAsia" w:hAnsiTheme="minorEastAsia" w:eastAsiaTheme="minorEastAsia"/>
          <w:sz w:val="24"/>
          <w:lang w:val="en-US" w:eastAsia="zh-CN"/>
        </w:rPr>
        <w:t>30</w:t>
      </w:r>
      <w:r>
        <w:rPr>
          <w:rFonts w:hint="eastAsia" w:asciiTheme="minorEastAsia" w:hAnsiTheme="minorEastAsia" w:eastAsiaTheme="minorEastAsia"/>
          <w:sz w:val="24"/>
        </w:rPr>
        <w:t>分（北京时间），</w:t>
      </w:r>
      <w:r>
        <w:rPr>
          <w:rFonts w:hint="eastAsia" w:ascii="宋体" w:hAnsi="宋体"/>
          <w:color w:val="000000"/>
          <w:sz w:val="24"/>
        </w:rPr>
        <w:t>超过截止时间的投标将被拒绝。</w:t>
      </w:r>
    </w:p>
    <w:p w14:paraId="57B0A93D">
      <w:pPr>
        <w:keepNext w:val="0"/>
        <w:keepLines w:val="0"/>
        <w:pageBreakBefore w:val="0"/>
        <w:kinsoku/>
        <w:overflowPunct/>
        <w:bidi w:val="0"/>
        <w:adjustRightInd w:val="0"/>
        <w:snapToGrid w:val="0"/>
        <w:spacing w:line="50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、开标时间：</w:t>
      </w:r>
      <w:r>
        <w:rPr>
          <w:rFonts w:hint="eastAsia" w:asciiTheme="minorEastAsia" w:hAnsiTheme="minorEastAsia" w:eastAsiaTheme="minorEastAsia"/>
          <w:sz w:val="24"/>
          <w:lang w:val="en-US" w:eastAsia="zh-CN"/>
        </w:rPr>
        <w:t>2026</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06</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30</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09</w:t>
      </w:r>
      <w:r>
        <w:rPr>
          <w:rFonts w:hint="eastAsia" w:asciiTheme="minorEastAsia" w:hAnsiTheme="minorEastAsia" w:eastAsiaTheme="minorEastAsia"/>
          <w:sz w:val="24"/>
        </w:rPr>
        <w:t>时</w:t>
      </w:r>
      <w:r>
        <w:rPr>
          <w:rFonts w:hint="eastAsia" w:asciiTheme="minorEastAsia" w:hAnsiTheme="minorEastAsia" w:eastAsiaTheme="minorEastAsia"/>
          <w:sz w:val="24"/>
          <w:lang w:val="en-US" w:eastAsia="zh-CN"/>
        </w:rPr>
        <w:t>30</w:t>
      </w:r>
      <w:r>
        <w:rPr>
          <w:rFonts w:hint="eastAsia" w:asciiTheme="minorEastAsia" w:hAnsiTheme="minorEastAsia" w:eastAsiaTheme="minorEastAsia"/>
          <w:sz w:val="24"/>
        </w:rPr>
        <w:t>分（北京时间）</w:t>
      </w:r>
    </w:p>
    <w:p w14:paraId="192787D0">
      <w:pPr>
        <w:keepNext w:val="0"/>
        <w:keepLines w:val="0"/>
        <w:pageBreakBefore w:val="0"/>
        <w:kinsoku/>
        <w:overflowPunct/>
        <w:bidi w:val="0"/>
        <w:adjustRightInd w:val="0"/>
        <w:snapToGrid w:val="0"/>
        <w:spacing w:line="500" w:lineRule="exact"/>
        <w:ind w:firstLine="480" w:firstLineChars="200"/>
        <w:textAlignment w:val="auto"/>
        <w:rPr>
          <w:rFonts w:asciiTheme="minorEastAsia" w:hAnsiTheme="minorEastAsia" w:eastAsiaTheme="minorEastAsia"/>
          <w:sz w:val="24"/>
          <w:u w:val="single"/>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、开标地点：</w:t>
      </w:r>
      <w:r>
        <w:rPr>
          <w:rFonts w:hint="eastAsia" w:ascii="宋体" w:hAnsi="宋体"/>
          <w:color w:val="000000"/>
          <w:sz w:val="24"/>
          <w:u w:val="single"/>
        </w:rPr>
        <w:t>郴州市市民服务中心4楼市公共资源交易中心第</w:t>
      </w:r>
      <w:r>
        <w:rPr>
          <w:rFonts w:hint="eastAsia" w:ascii="宋体" w:hAnsi="宋体"/>
          <w:color w:val="auto"/>
          <w:sz w:val="24"/>
          <w:highlight w:val="none"/>
          <w:u w:val="single"/>
          <w:lang w:val="en-US" w:eastAsia="zh-CN"/>
        </w:rPr>
        <w:t>三</w:t>
      </w:r>
      <w:r>
        <w:rPr>
          <w:rFonts w:hint="eastAsia" w:ascii="宋体" w:hAnsi="宋体"/>
          <w:color w:val="000000"/>
          <w:sz w:val="24"/>
          <w:u w:val="single"/>
        </w:rPr>
        <w:t>开标室</w:t>
      </w:r>
      <w:r>
        <w:rPr>
          <w:rFonts w:hint="eastAsia" w:asciiTheme="minorEastAsia" w:hAnsiTheme="minorEastAsia" w:eastAsiaTheme="minorEastAsia"/>
          <w:sz w:val="24"/>
          <w:u w:val="single"/>
        </w:rPr>
        <w:t>_</w:t>
      </w:r>
      <w:r>
        <w:rPr>
          <w:rFonts w:asciiTheme="minorEastAsia" w:hAnsiTheme="minorEastAsia" w:eastAsiaTheme="minorEastAsia"/>
          <w:sz w:val="24"/>
          <w:u w:val="single"/>
        </w:rPr>
        <w:t xml:space="preserve"> </w:t>
      </w:r>
    </w:p>
    <w:p w14:paraId="034B9005">
      <w:pPr>
        <w:keepNext w:val="0"/>
        <w:keepLines w:val="0"/>
        <w:pageBreakBefore w:val="0"/>
        <w:kinsoku/>
        <w:wordWrap w:val="0"/>
        <w:overflowPunct/>
        <w:topLinePunct/>
        <w:bidi w:val="0"/>
        <w:adjustRightInd w:val="0"/>
        <w:snapToGrid w:val="0"/>
        <w:spacing w:line="500" w:lineRule="exact"/>
        <w:ind w:firstLine="480" w:firstLineChars="200"/>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rPr>
        <w:t>、电子标项目实行网上投标及解密，具体操作为投标人在“郴州市公共资源交易中心”登录“政府采购交易系统”（http://www.czggzy</w:t>
      </w:r>
      <w:r>
        <w:rPr>
          <w:rFonts w:hint="eastAsia" w:asciiTheme="minorEastAsia" w:hAnsiTheme="minorEastAsia" w:eastAsiaTheme="minorEastAsia"/>
          <w:color w:val="auto"/>
          <w:sz w:val="24"/>
          <w:lang w:val="en-US" w:eastAsia="zh-CN"/>
        </w:rPr>
        <w:t>zx</w:t>
      </w:r>
      <w:r>
        <w:rPr>
          <w:rFonts w:hint="eastAsia" w:asciiTheme="minorEastAsia" w:hAnsiTheme="minorEastAsia" w:eastAsiaTheme="minorEastAsia"/>
          <w:color w:val="auto"/>
          <w:sz w:val="24"/>
        </w:rPr>
        <w:t>.net/TPBidder），</w:t>
      </w:r>
      <w:r>
        <w:rPr>
          <w:rFonts w:hint="eastAsia"/>
          <w:color w:val="auto"/>
          <w:sz w:val="24"/>
        </w:rPr>
        <w:t>上传电子投标文件，登录“不见面开标大厅”</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http://www.czggzy</w:t>
      </w:r>
      <w:r>
        <w:rPr>
          <w:rFonts w:hint="eastAsia" w:asciiTheme="minorEastAsia" w:hAnsiTheme="minorEastAsia" w:eastAsiaTheme="minorEastAsia"/>
          <w:color w:val="auto"/>
          <w:sz w:val="24"/>
          <w:lang w:val="en-US" w:eastAsia="zh-CN"/>
        </w:rPr>
        <w:t>zx</w:t>
      </w:r>
      <w:r>
        <w:rPr>
          <w:rFonts w:asciiTheme="minorEastAsia" w:hAnsiTheme="minorEastAsia" w:eastAsiaTheme="minorEastAsia"/>
          <w:color w:val="auto"/>
          <w:sz w:val="24"/>
        </w:rPr>
        <w:t>.net/BidOpening</w:t>
      </w:r>
      <w:r>
        <w:rPr>
          <w:rFonts w:hint="eastAsia" w:asciiTheme="minorEastAsia" w:hAnsiTheme="minorEastAsia" w:eastAsiaTheme="minorEastAsia"/>
          <w:color w:val="auto"/>
          <w:sz w:val="24"/>
        </w:rPr>
        <w:t>）在规定时间自行远程解密参加网上开标活动。建议投标人上传电子投标文件容量为200MB以内。</w:t>
      </w:r>
    </w:p>
    <w:p w14:paraId="462F02EE">
      <w:pPr>
        <w:keepNext w:val="0"/>
        <w:keepLines w:val="0"/>
        <w:pageBreakBefore w:val="0"/>
        <w:kinsoku/>
        <w:wordWrap w:val="0"/>
        <w:overflowPunct/>
        <w:topLinePunct/>
        <w:bidi w:val="0"/>
        <w:adjustRightInd w:val="0"/>
        <w:snapToGrid w:val="0"/>
        <w:spacing w:line="500" w:lineRule="exact"/>
        <w:ind w:firstLine="480" w:firstLineChars="200"/>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5</w:t>
      </w:r>
      <w:r>
        <w:rPr>
          <w:rFonts w:hint="eastAsia" w:asciiTheme="minorEastAsia" w:hAnsiTheme="minorEastAsia" w:eastAsiaTheme="minorEastAsia"/>
          <w:color w:val="auto"/>
          <w:sz w:val="24"/>
        </w:rPr>
        <w:t>、电子投标文件解密时限：30分钟</w:t>
      </w:r>
    </w:p>
    <w:p w14:paraId="587272F8">
      <w:pPr>
        <w:keepNext w:val="0"/>
        <w:keepLines w:val="0"/>
        <w:pageBreakBefore w:val="0"/>
        <w:kinsoku/>
        <w:overflowPunct/>
        <w:bidi w:val="0"/>
        <w:adjustRightInd w:val="0"/>
        <w:snapToGrid w:val="0"/>
        <w:spacing w:line="500" w:lineRule="exact"/>
        <w:ind w:firstLine="482" w:firstLineChars="200"/>
        <w:textAlignment w:val="auto"/>
        <w:rPr>
          <w:rFonts w:asciiTheme="minorEastAsia" w:hAnsiTheme="minorEastAsia" w:eastAsiaTheme="minorEastAsia"/>
          <w:b/>
          <w:sz w:val="24"/>
        </w:rPr>
      </w:pPr>
      <w:r>
        <w:rPr>
          <w:rFonts w:hint="eastAsia" w:asciiTheme="minorEastAsia" w:hAnsiTheme="minorEastAsia" w:eastAsiaTheme="minorEastAsia"/>
          <w:b/>
          <w:sz w:val="24"/>
          <w:lang w:val="en-US" w:eastAsia="zh-CN"/>
        </w:rPr>
        <w:t>七</w:t>
      </w:r>
      <w:r>
        <w:rPr>
          <w:rFonts w:hint="eastAsia" w:asciiTheme="minorEastAsia" w:hAnsiTheme="minorEastAsia" w:eastAsiaTheme="minorEastAsia"/>
          <w:b/>
          <w:sz w:val="24"/>
        </w:rPr>
        <w:t>、招标文件公告期限：</w:t>
      </w:r>
    </w:p>
    <w:p w14:paraId="6F7618B3">
      <w:pPr>
        <w:keepNext w:val="0"/>
        <w:keepLines w:val="0"/>
        <w:pageBreakBefore w:val="0"/>
        <w:kinsoku/>
        <w:overflowPunct/>
        <w:bidi w:val="0"/>
        <w:adjustRightInd w:val="0"/>
        <w:snapToGrid w:val="0"/>
        <w:spacing w:line="50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1、招标文件公告期限：</w:t>
      </w:r>
      <w:r>
        <w:rPr>
          <w:rFonts w:hint="eastAsia" w:asciiTheme="minorEastAsia" w:hAnsiTheme="minorEastAsia" w:eastAsiaTheme="minorEastAsia"/>
          <w:sz w:val="24"/>
          <w:u w:val="single"/>
          <w:lang w:val="en-US" w:eastAsia="zh-CN"/>
        </w:rPr>
        <w:t>2026</w:t>
      </w:r>
      <w:r>
        <w:rPr>
          <w:rFonts w:hint="eastAsia" w:asciiTheme="minorEastAsia" w:hAnsiTheme="minorEastAsia" w:eastAsiaTheme="minorEastAsia"/>
          <w:sz w:val="24"/>
          <w:u w:val="single"/>
        </w:rPr>
        <w:t>年</w:t>
      </w:r>
      <w:r>
        <w:rPr>
          <w:rFonts w:hint="eastAsia" w:asciiTheme="minorEastAsia" w:hAnsiTheme="minorEastAsia" w:eastAsiaTheme="minorEastAsia"/>
          <w:sz w:val="24"/>
          <w:u w:val="single"/>
          <w:lang w:val="en-US" w:eastAsia="zh-CN"/>
        </w:rPr>
        <w:t>06</w:t>
      </w:r>
      <w:r>
        <w:rPr>
          <w:rFonts w:hint="eastAsia" w:asciiTheme="minorEastAsia" w:hAnsiTheme="minorEastAsia" w:eastAsiaTheme="minorEastAsia"/>
          <w:sz w:val="24"/>
          <w:u w:val="single"/>
        </w:rPr>
        <w:t>月</w:t>
      </w:r>
      <w:r>
        <w:rPr>
          <w:rFonts w:hint="eastAsia" w:asciiTheme="minorEastAsia" w:hAnsiTheme="minorEastAsia" w:eastAsiaTheme="minorEastAsia"/>
          <w:sz w:val="24"/>
          <w:u w:val="single"/>
          <w:lang w:val="en-US" w:eastAsia="zh-CN"/>
        </w:rPr>
        <w:t>09</w:t>
      </w:r>
      <w:r>
        <w:rPr>
          <w:rFonts w:hint="eastAsia" w:asciiTheme="minorEastAsia" w:hAnsiTheme="minorEastAsia" w:eastAsiaTheme="minorEastAsia"/>
          <w:sz w:val="24"/>
          <w:u w:val="single"/>
        </w:rPr>
        <w:t>日</w:t>
      </w:r>
      <w:r>
        <w:rPr>
          <w:rFonts w:hint="eastAsia" w:asciiTheme="minorEastAsia" w:hAnsiTheme="minorEastAsia" w:eastAsiaTheme="minorEastAsia"/>
          <w:sz w:val="24"/>
          <w:u w:val="single"/>
          <w:lang w:val="en-US" w:eastAsia="zh-CN"/>
        </w:rPr>
        <w:t>09</w:t>
      </w:r>
      <w:r>
        <w:rPr>
          <w:rFonts w:hint="eastAsia" w:asciiTheme="minorEastAsia" w:hAnsiTheme="minorEastAsia" w:eastAsiaTheme="minorEastAsia"/>
          <w:sz w:val="24"/>
          <w:u w:val="single"/>
        </w:rPr>
        <w:t>时</w:t>
      </w:r>
      <w:r>
        <w:rPr>
          <w:rFonts w:hint="eastAsia" w:asciiTheme="minorEastAsia" w:hAnsiTheme="minorEastAsia" w:eastAsiaTheme="minorEastAsia"/>
          <w:sz w:val="24"/>
          <w:u w:val="single"/>
          <w:lang w:val="en-US" w:eastAsia="zh-CN"/>
        </w:rPr>
        <w:t>00</w:t>
      </w:r>
      <w:r>
        <w:rPr>
          <w:rFonts w:hint="eastAsia" w:asciiTheme="minorEastAsia" w:hAnsiTheme="minorEastAsia" w:eastAsiaTheme="minorEastAsia"/>
          <w:sz w:val="24"/>
          <w:u w:val="single"/>
        </w:rPr>
        <w:t>分至</w:t>
      </w:r>
      <w:r>
        <w:rPr>
          <w:rFonts w:hint="eastAsia" w:asciiTheme="minorEastAsia" w:hAnsiTheme="minorEastAsia" w:eastAsiaTheme="minorEastAsia"/>
          <w:sz w:val="24"/>
          <w:u w:val="single"/>
          <w:lang w:val="en-US" w:eastAsia="zh-CN"/>
        </w:rPr>
        <w:t>2026</w:t>
      </w:r>
      <w:r>
        <w:rPr>
          <w:rFonts w:hint="eastAsia" w:asciiTheme="minorEastAsia" w:hAnsiTheme="minorEastAsia" w:eastAsiaTheme="minorEastAsia"/>
          <w:sz w:val="24"/>
          <w:u w:val="single"/>
        </w:rPr>
        <w:t>年</w:t>
      </w:r>
      <w:r>
        <w:rPr>
          <w:rFonts w:hint="eastAsia" w:asciiTheme="minorEastAsia" w:hAnsiTheme="minorEastAsia" w:eastAsiaTheme="minorEastAsia"/>
          <w:sz w:val="24"/>
          <w:u w:val="single"/>
          <w:lang w:val="en-US" w:eastAsia="zh-CN"/>
        </w:rPr>
        <w:t>6</w:t>
      </w:r>
      <w:r>
        <w:rPr>
          <w:rFonts w:hint="eastAsia" w:asciiTheme="minorEastAsia" w:hAnsiTheme="minorEastAsia" w:eastAsiaTheme="minorEastAsia"/>
          <w:sz w:val="24"/>
          <w:u w:val="single"/>
        </w:rPr>
        <w:t>月</w:t>
      </w:r>
      <w:r>
        <w:rPr>
          <w:rFonts w:hint="eastAsia" w:asciiTheme="minorEastAsia" w:hAnsiTheme="minorEastAsia" w:eastAsiaTheme="minorEastAsia"/>
          <w:sz w:val="24"/>
          <w:u w:val="single"/>
          <w:lang w:val="en-US" w:eastAsia="zh-CN"/>
        </w:rPr>
        <w:t>15</w:t>
      </w:r>
      <w:r>
        <w:rPr>
          <w:rFonts w:hint="eastAsia" w:asciiTheme="minorEastAsia" w:hAnsiTheme="minorEastAsia" w:eastAsiaTheme="minorEastAsia"/>
          <w:sz w:val="24"/>
          <w:u w:val="single"/>
        </w:rPr>
        <w:t>日</w:t>
      </w:r>
      <w:r>
        <w:rPr>
          <w:rFonts w:hint="eastAsia" w:asciiTheme="minorEastAsia" w:hAnsiTheme="minorEastAsia" w:eastAsiaTheme="minorEastAsia"/>
          <w:sz w:val="24"/>
          <w:u w:val="single"/>
          <w:lang w:val="en-US" w:eastAsia="zh-CN"/>
        </w:rPr>
        <w:t>17</w:t>
      </w:r>
      <w:r>
        <w:rPr>
          <w:rFonts w:hint="eastAsia" w:asciiTheme="minorEastAsia" w:hAnsiTheme="minorEastAsia" w:eastAsiaTheme="minorEastAsia"/>
          <w:sz w:val="24"/>
          <w:u w:val="single"/>
        </w:rPr>
        <w:t>时</w:t>
      </w:r>
      <w:r>
        <w:rPr>
          <w:rFonts w:hint="eastAsia" w:asciiTheme="minorEastAsia" w:hAnsiTheme="minorEastAsia" w:eastAsiaTheme="minorEastAsia"/>
          <w:sz w:val="24"/>
          <w:u w:val="single"/>
          <w:lang w:val="en-US" w:eastAsia="zh-CN"/>
        </w:rPr>
        <w:t>00</w:t>
      </w:r>
      <w:r>
        <w:rPr>
          <w:rFonts w:hint="eastAsia" w:asciiTheme="minorEastAsia" w:hAnsiTheme="minorEastAsia" w:eastAsiaTheme="minorEastAsia"/>
          <w:sz w:val="24"/>
          <w:u w:val="single"/>
        </w:rPr>
        <w:t>分</w:t>
      </w:r>
      <w:r>
        <w:rPr>
          <w:rFonts w:hint="eastAsia" w:asciiTheme="minorEastAsia" w:hAnsiTheme="minorEastAsia" w:eastAsiaTheme="minorEastAsia"/>
          <w:sz w:val="24"/>
        </w:rPr>
        <w:t>止（5个工作日）。</w:t>
      </w:r>
    </w:p>
    <w:p w14:paraId="6F7425D7">
      <w:pPr>
        <w:keepNext w:val="0"/>
        <w:keepLines w:val="0"/>
        <w:pageBreakBefore w:val="0"/>
        <w:kinsoku/>
        <w:overflowPunct/>
        <w:bidi w:val="0"/>
        <w:adjustRightInd w:val="0"/>
        <w:snapToGrid w:val="0"/>
        <w:spacing w:line="50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2、本招标公告在中国湖南政府采购网（www.ccgp-hunan.gov.cn）、郴州市公共资源交易中心(</w:t>
      </w:r>
      <w:r>
        <w:rPr>
          <w:rFonts w:asciiTheme="minorEastAsia" w:hAnsiTheme="minorEastAsia" w:eastAsiaTheme="minorEastAsia"/>
          <w:sz w:val="24"/>
        </w:rPr>
        <w:t>http://czggzy.c</w:t>
      </w:r>
      <w:r>
        <w:rPr>
          <w:rFonts w:asciiTheme="minorEastAsia" w:hAnsiTheme="minorEastAsia" w:eastAsiaTheme="minorEastAsia"/>
          <w:kern w:val="0"/>
          <w:sz w:val="24"/>
        </w:rPr>
        <w:t>zs.gov.cn/</w:t>
      </w:r>
      <w:r>
        <w:rPr>
          <w:rFonts w:hint="eastAsia" w:asciiTheme="minorEastAsia" w:hAnsiTheme="minorEastAsia" w:eastAsiaTheme="minorEastAsia"/>
          <w:kern w:val="0"/>
          <w:sz w:val="24"/>
        </w:rPr>
        <w:t>)</w:t>
      </w:r>
      <w:r>
        <w:rPr>
          <w:rFonts w:hint="eastAsia" w:asciiTheme="minorEastAsia" w:hAnsiTheme="minorEastAsia" w:eastAsiaTheme="minorEastAsia"/>
          <w:sz w:val="24"/>
        </w:rPr>
        <w:t>发布。在其他媒体发布的招标公告，公告内容以本招标公告指定媒体发布的公告为准；公告期限自本招标公告指定媒体最先发布公告之日起算。</w:t>
      </w:r>
    </w:p>
    <w:p w14:paraId="7D09A484">
      <w:pPr>
        <w:keepNext w:val="0"/>
        <w:keepLines w:val="0"/>
        <w:pageBreakBefore w:val="0"/>
        <w:kinsoku/>
        <w:overflowPunct/>
        <w:bidi w:val="0"/>
        <w:adjustRightInd w:val="0"/>
        <w:snapToGrid w:val="0"/>
        <w:spacing w:line="500" w:lineRule="exact"/>
        <w:ind w:firstLine="482" w:firstLineChars="200"/>
        <w:textAlignment w:val="auto"/>
        <w:rPr>
          <w:rFonts w:asciiTheme="minorEastAsia" w:hAnsiTheme="minorEastAsia" w:eastAsiaTheme="minorEastAsia"/>
          <w:sz w:val="24"/>
        </w:rPr>
      </w:pPr>
      <w:r>
        <w:rPr>
          <w:rFonts w:hint="eastAsia" w:asciiTheme="minorEastAsia" w:hAnsiTheme="minorEastAsia" w:eastAsiaTheme="minorEastAsia"/>
          <w:b/>
          <w:sz w:val="24"/>
          <w:lang w:val="en-US" w:eastAsia="zh-CN"/>
        </w:rPr>
        <w:t>八</w:t>
      </w:r>
      <w:r>
        <w:rPr>
          <w:rFonts w:hint="eastAsia" w:asciiTheme="minorEastAsia" w:hAnsiTheme="minorEastAsia" w:eastAsiaTheme="minorEastAsia"/>
          <w:b/>
          <w:sz w:val="24"/>
        </w:rPr>
        <w:t>、疑问及质疑</w:t>
      </w:r>
      <w:r>
        <w:rPr>
          <w:rFonts w:hint="eastAsia" w:asciiTheme="minorEastAsia" w:hAnsiTheme="minorEastAsia" w:eastAsiaTheme="minorEastAsia"/>
          <w:sz w:val="24"/>
        </w:rPr>
        <w:t>：</w:t>
      </w:r>
    </w:p>
    <w:p w14:paraId="5E9CAE51">
      <w:pPr>
        <w:keepNext w:val="0"/>
        <w:keepLines w:val="0"/>
        <w:pageBreakBefore w:val="0"/>
        <w:kinsoku/>
        <w:overflowPunct/>
        <w:bidi w:val="0"/>
        <w:adjustRightInd w:val="0"/>
        <w:snapToGrid w:val="0"/>
        <w:spacing w:line="50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1、投标人对政府采购活动事项如有疑问的，可以向采购人、采购代理机构提出询问。采购人、采购代理机构将在3个工作日内作出答复。</w:t>
      </w:r>
    </w:p>
    <w:p w14:paraId="40549ABD">
      <w:pPr>
        <w:keepNext w:val="0"/>
        <w:keepLines w:val="0"/>
        <w:pageBreakBefore w:val="0"/>
        <w:kinsoku/>
        <w:overflowPunct/>
        <w:bidi w:val="0"/>
        <w:adjustRightInd w:val="0"/>
        <w:snapToGrid w:val="0"/>
        <w:spacing w:line="50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2、潜在投标人认为招标文件或招标公告使自己的合法权益受到损害的，可以在获取招标文件之日或招标公告期限届满之日</w:t>
      </w:r>
      <w:r>
        <w:rPr>
          <w:rFonts w:hint="eastAsia" w:asciiTheme="minorEastAsia" w:hAnsiTheme="minorEastAsia" w:eastAsiaTheme="minorEastAsia"/>
          <w:b/>
          <w:sz w:val="24"/>
        </w:rPr>
        <w:t>（公告期限届满后获取采购文件的，以公告期限届满之日为准）</w:t>
      </w:r>
      <w:r>
        <w:rPr>
          <w:rFonts w:hint="eastAsia" w:asciiTheme="minorEastAsia" w:hAnsiTheme="minorEastAsia" w:eastAsiaTheme="minorEastAsia"/>
          <w:sz w:val="24"/>
        </w:rPr>
        <w:t>起7个工作日内，按《湖南省财政厅关于印发＜政府采购质疑答复和投诉处理操作规程＞的通知》(湘财购〔2019〕20号)规定，以书面形式向采购人、采购代理机构提出质疑。</w:t>
      </w:r>
    </w:p>
    <w:p w14:paraId="15D554DA">
      <w:pPr>
        <w:keepNext w:val="0"/>
        <w:keepLines w:val="0"/>
        <w:pageBreakBefore w:val="0"/>
        <w:kinsoku/>
        <w:overflowPunct/>
        <w:bidi w:val="0"/>
        <w:adjustRightInd w:val="0"/>
        <w:snapToGrid w:val="0"/>
        <w:spacing w:line="500" w:lineRule="exact"/>
        <w:ind w:firstLine="472" w:firstLineChars="196"/>
        <w:textAlignment w:val="auto"/>
        <w:rPr>
          <w:rFonts w:hint="eastAsia" w:asciiTheme="minorEastAsia" w:hAnsiTheme="minorEastAsia" w:eastAsiaTheme="minorEastAsia"/>
          <w:b/>
          <w:sz w:val="24"/>
        </w:rPr>
      </w:pPr>
      <w:r>
        <w:rPr>
          <w:rFonts w:hint="eastAsia" w:asciiTheme="minorEastAsia" w:hAnsiTheme="minorEastAsia" w:eastAsiaTheme="minorEastAsia"/>
          <w:b/>
          <w:sz w:val="24"/>
          <w:lang w:val="en-US" w:eastAsia="zh-CN"/>
        </w:rPr>
        <w:t>九</w:t>
      </w:r>
      <w:r>
        <w:rPr>
          <w:rFonts w:hint="eastAsia" w:asciiTheme="minorEastAsia" w:hAnsiTheme="minorEastAsia" w:eastAsiaTheme="minorEastAsia"/>
          <w:b/>
          <w:sz w:val="24"/>
        </w:rPr>
        <w:t>、对本次招标提出询问，请按以下方式联系</w:t>
      </w:r>
    </w:p>
    <w:p w14:paraId="6A09309D">
      <w:pPr>
        <w:bidi w:val="0"/>
        <w:rPr>
          <w:rFonts w:hint="eastAsia" w:cs="Times New Roman" w:asciiTheme="minorEastAsia" w:hAnsiTheme="minorEastAsia" w:eastAsiaTheme="minorEastAsia"/>
          <w:b w:val="0"/>
          <w:bCs w:val="0"/>
          <w:kern w:val="2"/>
          <w:sz w:val="24"/>
          <w:szCs w:val="24"/>
          <w:lang w:val="en-US" w:eastAsia="zh-CN" w:bidi="ar-SA"/>
        </w:rPr>
      </w:pPr>
      <w:r>
        <w:rPr>
          <w:rFonts w:hint="eastAsia" w:asciiTheme="minorEastAsia" w:hAnsiTheme="minorEastAsia" w:eastAsiaTheme="minorEastAsia"/>
          <w:b/>
          <w:sz w:val="24"/>
          <w:lang w:val="en-US" w:eastAsia="zh-CN"/>
        </w:rPr>
        <w:t xml:space="preserve">  </w:t>
      </w:r>
      <w:r>
        <w:rPr>
          <w:rFonts w:hint="eastAsia" w:cs="Times New Roman" w:asciiTheme="minorEastAsia" w:hAnsiTheme="minorEastAsia" w:eastAsiaTheme="minorEastAsia"/>
          <w:b w:val="0"/>
          <w:bCs w:val="0"/>
          <w:kern w:val="2"/>
          <w:sz w:val="24"/>
          <w:szCs w:val="24"/>
          <w:lang w:val="en-US" w:eastAsia="zh-CN" w:bidi="ar-SA"/>
        </w:rPr>
        <w:t xml:space="preserve"> </w:t>
      </w:r>
    </w:p>
    <w:p w14:paraId="5B7EAA4D">
      <w:pPr>
        <w:bidi w:val="0"/>
        <w:ind w:firstLine="480" w:firstLineChars="200"/>
        <w:rPr>
          <w:rFonts w:hint="default" w:cs="Times New Roman" w:asciiTheme="minorEastAsia" w:hAnsiTheme="minorEastAsia" w:eastAsiaTheme="minorEastAsia"/>
          <w:b w:val="0"/>
          <w:bCs w:val="0"/>
          <w:kern w:val="2"/>
          <w:sz w:val="24"/>
          <w:szCs w:val="24"/>
          <w:lang w:val="en-US" w:eastAsia="zh-CN" w:bidi="ar-SA"/>
        </w:rPr>
      </w:pPr>
      <w:r>
        <w:rPr>
          <w:rFonts w:hint="eastAsia" w:cs="Times New Roman" w:asciiTheme="minorEastAsia" w:hAnsiTheme="minorEastAsia" w:eastAsiaTheme="minorEastAsia"/>
          <w:b w:val="0"/>
          <w:bCs w:val="0"/>
          <w:kern w:val="2"/>
          <w:sz w:val="24"/>
          <w:szCs w:val="24"/>
          <w:lang w:val="en-US" w:eastAsia="zh-CN" w:bidi="ar-SA"/>
        </w:rPr>
        <w:t xml:space="preserve"> 1、采购人信息</w:t>
      </w:r>
    </w:p>
    <w:p w14:paraId="0BD10F48">
      <w:pPr>
        <w:keepNext w:val="0"/>
        <w:keepLines w:val="0"/>
        <w:pageBreakBefore w:val="0"/>
        <w:kinsoku/>
        <w:overflowPunct/>
        <w:bidi w:val="0"/>
        <w:adjustRightInd w:val="0"/>
        <w:snapToGrid w:val="0"/>
        <w:spacing w:line="500" w:lineRule="exact"/>
        <w:ind w:firstLine="480" w:firstLineChars="200"/>
        <w:textAlignment w:val="auto"/>
        <w:rPr>
          <w:rFonts w:hint="eastAsia"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（1）名 称：桂阳县卫生健康局</w:t>
      </w:r>
    </w:p>
    <w:p w14:paraId="2108705E">
      <w:pPr>
        <w:keepNext w:val="0"/>
        <w:keepLines w:val="0"/>
        <w:pageBreakBefore w:val="0"/>
        <w:kinsoku/>
        <w:overflowPunct/>
        <w:bidi w:val="0"/>
        <w:adjustRightInd w:val="0"/>
        <w:snapToGrid w:val="0"/>
        <w:spacing w:line="500" w:lineRule="exact"/>
        <w:ind w:firstLine="480" w:firstLineChars="200"/>
        <w:textAlignment w:val="auto"/>
        <w:rPr>
          <w:rFonts w:hint="eastAsia"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（2）地 址：郴州市桂阳县</w:t>
      </w:r>
    </w:p>
    <w:p w14:paraId="713F1ED2">
      <w:pPr>
        <w:keepNext w:val="0"/>
        <w:keepLines w:val="0"/>
        <w:pageBreakBefore w:val="0"/>
        <w:kinsoku/>
        <w:overflowPunct/>
        <w:bidi w:val="0"/>
        <w:adjustRightInd w:val="0"/>
        <w:snapToGrid w:val="0"/>
        <w:spacing w:line="500" w:lineRule="exact"/>
        <w:ind w:firstLine="480" w:firstLineChars="200"/>
        <w:textAlignment w:val="auto"/>
        <w:rPr>
          <w:rFonts w:hint="eastAsia"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（3）联系人：史先生</w:t>
      </w:r>
    </w:p>
    <w:p w14:paraId="5772F9D0">
      <w:pPr>
        <w:keepNext w:val="0"/>
        <w:keepLines w:val="0"/>
        <w:pageBreakBefore w:val="0"/>
        <w:kinsoku/>
        <w:overflowPunct/>
        <w:bidi w:val="0"/>
        <w:adjustRightInd w:val="0"/>
        <w:snapToGrid w:val="0"/>
        <w:spacing w:line="500" w:lineRule="exact"/>
        <w:ind w:firstLine="480" w:firstLineChars="200"/>
        <w:textAlignment w:val="auto"/>
        <w:rPr>
          <w:rFonts w:hint="eastAsia"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（4）邮 编：424400</w:t>
      </w:r>
    </w:p>
    <w:p w14:paraId="55ADED3B">
      <w:pPr>
        <w:keepNext w:val="0"/>
        <w:keepLines w:val="0"/>
        <w:pageBreakBefore w:val="0"/>
        <w:kinsoku/>
        <w:overflowPunct/>
        <w:bidi w:val="0"/>
        <w:adjustRightInd w:val="0"/>
        <w:snapToGrid w:val="0"/>
        <w:spacing w:line="500" w:lineRule="exact"/>
        <w:ind w:firstLine="480" w:firstLineChars="200"/>
        <w:textAlignment w:val="auto"/>
        <w:rPr>
          <w:rFonts w:hint="eastAsia"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（5）电 话：15273528966</w:t>
      </w:r>
    </w:p>
    <w:p w14:paraId="176E4817">
      <w:pPr>
        <w:keepNext w:val="0"/>
        <w:keepLines w:val="0"/>
        <w:pageBreakBefore w:val="0"/>
        <w:kinsoku/>
        <w:overflowPunct/>
        <w:bidi w:val="0"/>
        <w:adjustRightInd w:val="0"/>
        <w:snapToGrid w:val="0"/>
        <w:spacing w:line="500" w:lineRule="exact"/>
        <w:ind w:firstLine="480" w:firstLineChars="200"/>
        <w:textAlignment w:val="auto"/>
        <w:rPr>
          <w:rFonts w:hint="eastAsia"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2、采购代理机构信息</w:t>
      </w:r>
    </w:p>
    <w:p w14:paraId="610BC86A">
      <w:pPr>
        <w:keepNext w:val="0"/>
        <w:keepLines w:val="0"/>
        <w:pageBreakBefore w:val="0"/>
        <w:kinsoku/>
        <w:overflowPunct/>
        <w:bidi w:val="0"/>
        <w:adjustRightInd w:val="0"/>
        <w:snapToGrid w:val="0"/>
        <w:spacing w:line="500" w:lineRule="exact"/>
        <w:ind w:firstLine="480" w:firstLineChars="200"/>
        <w:textAlignment w:val="auto"/>
        <w:rPr>
          <w:rFonts w:hint="eastAsia"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（1）名 称：中赋安项目管理（四川）有限公司</w:t>
      </w:r>
    </w:p>
    <w:p w14:paraId="0DFF9AFD">
      <w:pPr>
        <w:keepNext w:val="0"/>
        <w:keepLines w:val="0"/>
        <w:pageBreakBefore w:val="0"/>
        <w:kinsoku/>
        <w:overflowPunct/>
        <w:bidi w:val="0"/>
        <w:adjustRightInd w:val="0"/>
        <w:snapToGrid w:val="0"/>
        <w:spacing w:line="500" w:lineRule="exact"/>
        <w:ind w:firstLine="480" w:firstLineChars="200"/>
        <w:textAlignment w:val="auto"/>
        <w:rPr>
          <w:rFonts w:hint="eastAsia"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（2）地 址：郴州市北湖区南岭大道辅路与柏树路交叉口正北方向110米左右</w:t>
      </w:r>
    </w:p>
    <w:p w14:paraId="13F35469">
      <w:pPr>
        <w:keepNext w:val="0"/>
        <w:keepLines w:val="0"/>
        <w:pageBreakBefore w:val="0"/>
        <w:kinsoku/>
        <w:overflowPunct/>
        <w:bidi w:val="0"/>
        <w:adjustRightInd w:val="0"/>
        <w:snapToGrid w:val="0"/>
        <w:spacing w:line="500" w:lineRule="exact"/>
        <w:ind w:firstLine="480" w:firstLineChars="200"/>
        <w:textAlignment w:val="auto"/>
        <w:rPr>
          <w:rFonts w:hint="default"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（3）联系人： 刘燕涛</w:t>
      </w:r>
    </w:p>
    <w:p w14:paraId="4F848B16">
      <w:pPr>
        <w:keepNext w:val="0"/>
        <w:keepLines w:val="0"/>
        <w:pageBreakBefore w:val="0"/>
        <w:kinsoku/>
        <w:overflowPunct/>
        <w:bidi w:val="0"/>
        <w:adjustRightInd w:val="0"/>
        <w:snapToGrid w:val="0"/>
        <w:spacing w:line="500" w:lineRule="exact"/>
        <w:ind w:firstLine="480" w:firstLineChars="200"/>
        <w:textAlignment w:val="auto"/>
        <w:rPr>
          <w:rFonts w:hint="eastAsia"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 xml:space="preserve">（4）邮 编： 423000 </w:t>
      </w:r>
    </w:p>
    <w:p w14:paraId="742D072A">
      <w:pPr>
        <w:keepNext w:val="0"/>
        <w:keepLines w:val="0"/>
        <w:pageBreakBefore w:val="0"/>
        <w:kinsoku/>
        <w:overflowPunct/>
        <w:bidi w:val="0"/>
        <w:adjustRightInd w:val="0"/>
        <w:snapToGrid w:val="0"/>
        <w:spacing w:line="500" w:lineRule="exact"/>
        <w:ind w:firstLine="480" w:firstLineChars="200"/>
        <w:textAlignment w:val="auto"/>
        <w:rPr>
          <w:rFonts w:hint="default"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（5）电 话：0735-7638201\18873508608</w:t>
      </w:r>
    </w:p>
    <w:p w14:paraId="0B1A55CA">
      <w:pPr>
        <w:keepNext w:val="0"/>
        <w:keepLines w:val="0"/>
        <w:pageBreakBefore w:val="0"/>
        <w:kinsoku/>
        <w:overflowPunct/>
        <w:bidi w:val="0"/>
        <w:adjustRightInd w:val="0"/>
        <w:snapToGrid w:val="0"/>
        <w:spacing w:line="500" w:lineRule="exact"/>
        <w:ind w:firstLine="480" w:firstLineChars="200"/>
        <w:textAlignment w:val="auto"/>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3、电子交易平台服务机构信息</w:t>
      </w:r>
    </w:p>
    <w:p w14:paraId="40B5AD55">
      <w:pPr>
        <w:keepNext w:val="0"/>
        <w:keepLines w:val="0"/>
        <w:pageBreakBefore w:val="0"/>
        <w:kinsoku/>
        <w:overflowPunct/>
        <w:bidi w:val="0"/>
        <w:adjustRightInd w:val="0"/>
        <w:snapToGrid w:val="0"/>
        <w:spacing w:line="500" w:lineRule="exact"/>
        <w:ind w:firstLine="470" w:firstLineChars="196"/>
        <w:textAlignment w:val="auto"/>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（1）</w:t>
      </w:r>
      <w:r>
        <w:rPr>
          <w:rFonts w:hint="eastAsia" w:asciiTheme="minorEastAsia" w:hAnsiTheme="minorEastAsia" w:eastAsiaTheme="minorEastAsia"/>
          <w:bCs/>
          <w:sz w:val="24"/>
        </w:rPr>
        <w:t>名  称：</w:t>
      </w:r>
      <w:r>
        <w:rPr>
          <w:rFonts w:hint="eastAsia" w:asciiTheme="minorEastAsia" w:hAnsiTheme="minorEastAsia" w:eastAsiaTheme="minorEastAsia"/>
          <w:bCs/>
          <w:sz w:val="24"/>
          <w:lang w:val="en-US" w:eastAsia="zh-CN"/>
        </w:rPr>
        <w:t>郴州市公共资源交易中心</w:t>
      </w:r>
    </w:p>
    <w:p w14:paraId="42F17CD5">
      <w:pPr>
        <w:keepNext w:val="0"/>
        <w:keepLines w:val="0"/>
        <w:pageBreakBefore w:val="0"/>
        <w:kinsoku/>
        <w:overflowPunct/>
        <w:bidi w:val="0"/>
        <w:adjustRightInd w:val="0"/>
        <w:snapToGrid w:val="0"/>
        <w:spacing w:line="50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（2）地  址：</w:t>
      </w:r>
      <w:r>
        <w:rPr>
          <w:rFonts w:hint="eastAsia" w:ascii="宋体" w:hAnsi="宋体"/>
          <w:color w:val="000000"/>
          <w:sz w:val="24"/>
          <w:u w:val="none"/>
        </w:rPr>
        <w:t>郴州市市民服务中心4楼市公共资源交易中心</w:t>
      </w:r>
    </w:p>
    <w:p w14:paraId="6F8B4E1C">
      <w:pPr>
        <w:keepNext w:val="0"/>
        <w:keepLines w:val="0"/>
        <w:pageBreakBefore w:val="0"/>
        <w:kinsoku/>
        <w:overflowPunct/>
        <w:bidi w:val="0"/>
        <w:adjustRightInd w:val="0"/>
        <w:snapToGrid w:val="0"/>
        <w:spacing w:line="500" w:lineRule="exact"/>
        <w:ind w:firstLine="480" w:firstLineChars="200"/>
        <w:textAlignment w:val="auto"/>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（3）联系人：</w:t>
      </w:r>
      <w:r>
        <w:rPr>
          <w:rFonts w:hint="eastAsia" w:asciiTheme="minorEastAsia" w:hAnsiTheme="minorEastAsia" w:eastAsiaTheme="minorEastAsia"/>
          <w:sz w:val="24"/>
          <w:lang w:val="en-US" w:eastAsia="zh-CN"/>
        </w:rPr>
        <w:t>政府采购科</w:t>
      </w:r>
    </w:p>
    <w:p w14:paraId="40FEBF76">
      <w:pPr>
        <w:keepNext w:val="0"/>
        <w:keepLines w:val="0"/>
        <w:pageBreakBefore w:val="0"/>
        <w:kinsoku/>
        <w:overflowPunct/>
        <w:bidi w:val="0"/>
        <w:adjustRightInd w:val="0"/>
        <w:snapToGrid w:val="0"/>
        <w:spacing w:line="50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（4）电  话：</w:t>
      </w:r>
      <w:r>
        <w:rPr>
          <w:rFonts w:hint="eastAsia" w:asciiTheme="minorEastAsia" w:hAnsiTheme="minorEastAsia" w:eastAsiaTheme="minorEastAsia"/>
          <w:sz w:val="24"/>
          <w:lang w:val="en-US" w:eastAsia="zh-CN"/>
        </w:rPr>
        <w:t>0735-2299020</w:t>
      </w:r>
    </w:p>
    <w:p w14:paraId="607AA3F7">
      <w:pPr>
        <w:keepNext w:val="0"/>
        <w:keepLines w:val="0"/>
        <w:pageBreakBefore w:val="0"/>
        <w:kinsoku/>
        <w:overflowPunct/>
        <w:bidi w:val="0"/>
        <w:adjustRightInd w:val="0"/>
        <w:snapToGrid w:val="0"/>
        <w:spacing w:line="500" w:lineRule="exact"/>
        <w:ind w:firstLine="472" w:firstLineChars="196"/>
        <w:textAlignment w:val="auto"/>
        <w:rPr>
          <w:rFonts w:asciiTheme="minorEastAsia" w:hAnsiTheme="minorEastAsia" w:eastAsiaTheme="minorEastAsia"/>
          <w:b/>
          <w:sz w:val="24"/>
        </w:rPr>
      </w:pPr>
      <w:r>
        <w:rPr>
          <w:rFonts w:hint="eastAsia" w:asciiTheme="minorEastAsia" w:hAnsiTheme="minorEastAsia" w:eastAsiaTheme="minorEastAsia"/>
          <w:b/>
          <w:sz w:val="24"/>
          <w:lang w:val="en-US" w:eastAsia="zh-CN"/>
        </w:rPr>
        <w:t>十</w:t>
      </w:r>
      <w:r>
        <w:rPr>
          <w:rFonts w:hint="eastAsia" w:asciiTheme="minorEastAsia" w:hAnsiTheme="minorEastAsia" w:eastAsiaTheme="minorEastAsia"/>
          <w:b/>
          <w:sz w:val="24"/>
        </w:rPr>
        <w:t>、其它补充事宜</w:t>
      </w:r>
    </w:p>
    <w:p w14:paraId="496F2DE6">
      <w:pPr>
        <w:keepNext w:val="0"/>
        <w:keepLines w:val="0"/>
        <w:pageBreakBefore w:val="0"/>
        <w:kinsoku/>
        <w:overflowPunct/>
        <w:bidi w:val="0"/>
        <w:adjustRightInd w:val="0"/>
        <w:snapToGrid w:val="0"/>
        <w:spacing w:line="500" w:lineRule="exact"/>
        <w:ind w:firstLine="480" w:firstLineChars="200"/>
        <w:jc w:val="left"/>
        <w:textAlignment w:val="auto"/>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1、本公告选项：</w:t>
      </w:r>
      <w:r>
        <w:rPr>
          <w:rFonts w:hint="eastAsia" w:asciiTheme="minorEastAsia" w:hAnsiTheme="minorEastAsia" w:eastAsiaTheme="minorEastAsia"/>
          <w:sz w:val="24"/>
          <w:lang w:val="en-US" w:eastAsia="zh-CN"/>
        </w:rPr>
        <w:sym w:font="Wingdings 2" w:char="0052"/>
      </w:r>
      <w:r>
        <w:rPr>
          <w:rFonts w:hint="eastAsia" w:asciiTheme="minorEastAsia" w:hAnsiTheme="minorEastAsia" w:eastAsiaTheme="minorEastAsia"/>
          <w:sz w:val="24"/>
          <w:lang w:val="en-US" w:eastAsia="zh-CN"/>
        </w:rPr>
        <w:t xml:space="preserve">表示选择  </w:t>
      </w:r>
      <w:r>
        <w:rPr>
          <w:rFonts w:hint="eastAsia" w:asciiTheme="minorEastAsia" w:hAnsiTheme="minorEastAsia" w:eastAsiaTheme="minorEastAsia"/>
          <w:sz w:val="24"/>
          <w:lang w:val="en-US" w:eastAsia="zh-CN"/>
        </w:rPr>
        <w:sym w:font="Wingdings 2" w:char="00A3"/>
      </w:r>
      <w:r>
        <w:rPr>
          <w:rFonts w:hint="eastAsia" w:asciiTheme="minorEastAsia" w:hAnsiTheme="minorEastAsia" w:eastAsiaTheme="minorEastAsia"/>
          <w:sz w:val="24"/>
          <w:lang w:val="en-US" w:eastAsia="zh-CN"/>
        </w:rPr>
        <w:t>表示不选择</w:t>
      </w:r>
    </w:p>
    <w:p w14:paraId="741AD5F0">
      <w:pPr>
        <w:keepNext w:val="0"/>
        <w:keepLines w:val="0"/>
        <w:pageBreakBefore w:val="0"/>
        <w:kinsoku/>
        <w:overflowPunct/>
        <w:bidi w:val="0"/>
        <w:adjustRightInd w:val="0"/>
        <w:snapToGrid w:val="0"/>
        <w:spacing w:line="500" w:lineRule="exact"/>
        <w:ind w:firstLine="480" w:firstLineChars="200"/>
        <w:jc w:val="left"/>
        <w:textAlignment w:val="auto"/>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2、投标人参与政府采购活动，无需向采购人、代理机构、交易平台缴纳任何费用。</w:t>
      </w:r>
    </w:p>
    <w:p w14:paraId="20A73230">
      <w:pPr>
        <w:keepNext w:val="0"/>
        <w:keepLines w:val="0"/>
        <w:pageBreakBefore w:val="0"/>
        <w:kinsoku/>
        <w:overflowPunct/>
        <w:bidi w:val="0"/>
        <w:adjustRightInd w:val="0"/>
        <w:snapToGrid w:val="0"/>
        <w:spacing w:line="500" w:lineRule="exact"/>
        <w:ind w:firstLine="480" w:firstLineChars="200"/>
        <w:jc w:val="left"/>
        <w:textAlignment w:val="auto"/>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3、招标代理服务费和专家评审费由</w:t>
      </w:r>
      <w:r>
        <w:rPr>
          <w:rFonts w:hint="eastAsia" w:asciiTheme="minorEastAsia" w:hAnsiTheme="minorEastAsia" w:eastAsiaTheme="minorEastAsia"/>
          <w:sz w:val="24"/>
          <w:u w:val="single"/>
          <w:lang w:val="en-US" w:eastAsia="zh-CN"/>
        </w:rPr>
        <w:t>采购人</w:t>
      </w:r>
      <w:r>
        <w:rPr>
          <w:rFonts w:hint="eastAsia" w:asciiTheme="minorEastAsia" w:hAnsiTheme="minorEastAsia" w:eastAsiaTheme="minorEastAsia"/>
          <w:sz w:val="24"/>
          <w:lang w:val="en-US" w:eastAsia="zh-CN"/>
        </w:rPr>
        <w:t xml:space="preserve">支付，代理服务收费最高限价：￥18000.00。 </w:t>
      </w:r>
    </w:p>
    <w:p w14:paraId="5642FA24">
      <w:pPr>
        <w:keepNext w:val="0"/>
        <w:keepLines w:val="0"/>
        <w:pageBreakBefore w:val="0"/>
        <w:kinsoku/>
        <w:overflowPunct/>
        <w:bidi w:val="0"/>
        <w:adjustRightInd w:val="0"/>
        <w:snapToGrid w:val="0"/>
        <w:spacing w:line="500" w:lineRule="exact"/>
        <w:ind w:firstLine="480" w:firstLineChars="200"/>
        <w:jc w:val="left"/>
        <w:textAlignment w:val="auto"/>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4、请投标人在郴州市公共资源交易中心“下载中心”中及时下载安装最新版本“投标文件制作软件（湖南公共资源版）”、“湖南CA 驱动”。参与投标的投标人需使用电子标书编制 软 件 制 作 投 标 文 件。 操 作 手 册 下 载 地 址： http://www.czggzy.net/TPBidder/pages/customframe4bid/DownLoad/郴州市公共资源交易中心交易系统操作手册.zip</w:t>
      </w:r>
    </w:p>
    <w:p w14:paraId="27CFA8DE">
      <w:pPr>
        <w:keepNext w:val="0"/>
        <w:keepLines w:val="0"/>
        <w:pageBreakBefore w:val="0"/>
        <w:kinsoku/>
        <w:overflowPunct/>
        <w:bidi w:val="0"/>
        <w:adjustRightInd w:val="0"/>
        <w:snapToGrid w:val="0"/>
        <w:spacing w:line="500" w:lineRule="exact"/>
        <w:ind w:firstLine="480" w:firstLineChars="200"/>
        <w:jc w:val="left"/>
        <w:textAlignment w:val="auto"/>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5、 因电子招投标需要，投标人应及时办理CA 数字证书（含电子签章）。移动CA 数字证书（含电子签章）办理咨询电话：4009980000、0731-82817876，介质CA 数字证书（含电子签章）办理地址：郴州市公共资源交易中心四楼大厅，咨询电话：4006682666、18175580110。</w:t>
      </w:r>
    </w:p>
    <w:p w14:paraId="494E2344">
      <w:pPr>
        <w:keepNext w:val="0"/>
        <w:keepLines w:val="0"/>
        <w:pageBreakBefore w:val="0"/>
        <w:kinsoku/>
        <w:overflowPunct/>
        <w:bidi w:val="0"/>
        <w:adjustRightInd w:val="0"/>
        <w:snapToGrid w:val="0"/>
        <w:spacing w:line="500" w:lineRule="exact"/>
        <w:ind w:firstLine="480" w:firstLineChars="200"/>
        <w:jc w:val="left"/>
        <w:textAlignment w:val="auto"/>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6、由对网上招投标操作不熟悉或自身电脑、个人网络等原因导致不能在投标截止时间之前完成投标文件上传的，相应责任由投标人自行承担。建议各投标人在工作时间段内上传投标文件，选择IE11 浏览器进行文件解密，在操作系统过程中有疑问或困难请及时进行咨询。</w:t>
      </w:r>
    </w:p>
    <w:p w14:paraId="44E77541">
      <w:pPr>
        <w:keepNext w:val="0"/>
        <w:keepLines w:val="0"/>
        <w:pageBreakBefore w:val="0"/>
        <w:kinsoku/>
        <w:overflowPunct/>
        <w:bidi w:val="0"/>
        <w:adjustRightInd w:val="0"/>
        <w:snapToGrid w:val="0"/>
        <w:spacing w:line="500" w:lineRule="exact"/>
        <w:ind w:firstLine="480" w:firstLineChars="200"/>
        <w:jc w:val="left"/>
        <w:textAlignment w:val="auto"/>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7、如果开标时出现网络故障、技术故障等情形而影响招投标活动，招标人将采取项目延期、延长投标文件解密时间等相应措施，以保障招投标活动的公开、公平和公正，投标人不得对此持有异议。</w:t>
      </w:r>
    </w:p>
    <w:p w14:paraId="4AFB5B95">
      <w:pPr>
        <w:keepNext w:val="0"/>
        <w:keepLines w:val="0"/>
        <w:pageBreakBefore w:val="0"/>
        <w:kinsoku/>
        <w:overflowPunct/>
        <w:bidi w:val="0"/>
        <w:adjustRightInd w:val="0"/>
        <w:snapToGrid w:val="0"/>
        <w:spacing w:line="500" w:lineRule="exact"/>
        <w:ind w:firstLine="480" w:firstLineChars="200"/>
        <w:jc w:val="left"/>
        <w:textAlignment w:val="auto"/>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8、交易平台技术支持联系方式</w:t>
      </w:r>
    </w:p>
    <w:p w14:paraId="3F9D3327">
      <w:pPr>
        <w:keepNext w:val="0"/>
        <w:keepLines w:val="0"/>
        <w:pageBreakBefore w:val="0"/>
        <w:kinsoku/>
        <w:overflowPunct/>
        <w:bidi w:val="0"/>
        <w:adjustRightInd w:val="0"/>
        <w:snapToGrid w:val="0"/>
        <w:spacing w:line="500" w:lineRule="exact"/>
        <w:ind w:firstLine="480" w:firstLineChars="200"/>
        <w:jc w:val="left"/>
        <w:textAlignment w:val="auto"/>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联系电话：4009980000</w:t>
      </w:r>
    </w:p>
    <w:p w14:paraId="36B7C18A">
      <w:pPr>
        <w:pStyle w:val="23"/>
        <w:adjustRightInd w:val="0"/>
        <w:snapToGrid w:val="0"/>
        <w:spacing w:line="360" w:lineRule="auto"/>
        <w:jc w:val="both"/>
        <w:rPr>
          <w:rFonts w:ascii="黑体" w:hAnsi="华文中宋" w:eastAsia="黑体"/>
          <w:b/>
          <w:sz w:val="32"/>
          <w:szCs w:val="32"/>
        </w:rPr>
      </w:pPr>
      <w:r>
        <w:rPr>
          <w:rFonts w:ascii="黑体" w:hAnsi="华文中宋" w:eastAsia="黑体"/>
          <w:b/>
          <w:sz w:val="32"/>
          <w:szCs w:val="32"/>
        </w:rPr>
        <w:br w:type="page"/>
      </w:r>
    </w:p>
    <w:p w14:paraId="31FFA388">
      <w:pPr>
        <w:pStyle w:val="23"/>
        <w:adjustRightInd w:val="0"/>
        <w:snapToGrid w:val="0"/>
        <w:spacing w:line="360" w:lineRule="auto"/>
        <w:jc w:val="center"/>
        <w:outlineLvl w:val="0"/>
        <w:rPr>
          <w:rFonts w:ascii="黑体" w:hAnsi="华文中宋" w:eastAsia="黑体"/>
          <w:b/>
          <w:spacing w:val="100"/>
          <w:sz w:val="32"/>
          <w:szCs w:val="32"/>
        </w:rPr>
      </w:pPr>
      <w:bookmarkStart w:id="4" w:name="_Toc30326"/>
      <w:bookmarkStart w:id="5" w:name="_Toc20255"/>
      <w:bookmarkStart w:id="6" w:name="_Toc29913894"/>
      <w:bookmarkStart w:id="7" w:name="_Toc11119"/>
      <w:r>
        <w:rPr>
          <w:rFonts w:hint="eastAsia" w:ascii="黑体" w:hAnsi="华文中宋" w:eastAsia="黑体"/>
          <w:b/>
          <w:sz w:val="32"/>
          <w:szCs w:val="32"/>
        </w:rPr>
        <w:t>第二章 投标须知</w:t>
      </w:r>
      <w:bookmarkEnd w:id="4"/>
      <w:bookmarkEnd w:id="5"/>
      <w:bookmarkEnd w:id="6"/>
      <w:bookmarkEnd w:id="7"/>
    </w:p>
    <w:p w14:paraId="0D3C35D3">
      <w:pPr>
        <w:pStyle w:val="3"/>
        <w:adjustRightInd w:val="0"/>
        <w:snapToGrid w:val="0"/>
        <w:jc w:val="center"/>
        <w:rPr>
          <w:rFonts w:ascii="黑体" w:hAnsi="华文中宋" w:eastAsia="黑体"/>
          <w:spacing w:val="100"/>
          <w:sz w:val="28"/>
          <w:szCs w:val="28"/>
        </w:rPr>
      </w:pPr>
      <w:bookmarkStart w:id="8" w:name="_Toc29942"/>
      <w:bookmarkStart w:id="9" w:name="_Toc8725"/>
      <w:bookmarkStart w:id="10" w:name="_Toc29913895"/>
      <w:bookmarkStart w:id="11" w:name="_Toc27694"/>
      <w:r>
        <w:rPr>
          <w:rFonts w:hint="eastAsia" w:ascii="黑体" w:hAnsi="华文中宋" w:eastAsia="黑体"/>
          <w:sz w:val="28"/>
          <w:szCs w:val="28"/>
        </w:rPr>
        <w:t>第一节 投标须知前附表</w:t>
      </w:r>
      <w:bookmarkEnd w:id="8"/>
      <w:bookmarkEnd w:id="9"/>
      <w:bookmarkEnd w:id="10"/>
      <w:bookmarkEnd w:id="11"/>
    </w:p>
    <w:tbl>
      <w:tblPr>
        <w:tblStyle w:val="43"/>
        <w:tblW w:w="8931"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60"/>
        <w:gridCol w:w="2693"/>
        <w:gridCol w:w="4678"/>
      </w:tblGrid>
      <w:tr w14:paraId="310177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blHeader/>
        </w:trPr>
        <w:tc>
          <w:tcPr>
            <w:tcW w:w="1560" w:type="dxa"/>
            <w:vAlign w:val="center"/>
          </w:tcPr>
          <w:p w14:paraId="64482B65">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条款号</w:t>
            </w:r>
          </w:p>
        </w:tc>
        <w:tc>
          <w:tcPr>
            <w:tcW w:w="2693" w:type="dxa"/>
            <w:vAlign w:val="center"/>
          </w:tcPr>
          <w:p w14:paraId="05B90BEF">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条款名称</w:t>
            </w:r>
          </w:p>
        </w:tc>
        <w:tc>
          <w:tcPr>
            <w:tcW w:w="4678" w:type="dxa"/>
            <w:vAlign w:val="center"/>
          </w:tcPr>
          <w:p w14:paraId="02AAB832">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编列内容规定</w:t>
            </w:r>
          </w:p>
        </w:tc>
      </w:tr>
      <w:tr w14:paraId="70D160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31" w:type="dxa"/>
            <w:gridSpan w:val="3"/>
            <w:vAlign w:val="center"/>
          </w:tcPr>
          <w:p w14:paraId="5FB05F11">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b/>
                <w:szCs w:val="21"/>
              </w:rPr>
              <w:t>一、说明</w:t>
            </w:r>
          </w:p>
        </w:tc>
      </w:tr>
      <w:tr w14:paraId="4A65CB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322DFF49">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第1.1款</w:t>
            </w:r>
          </w:p>
        </w:tc>
        <w:tc>
          <w:tcPr>
            <w:tcW w:w="2693" w:type="dxa"/>
            <w:vAlign w:val="center"/>
          </w:tcPr>
          <w:p w14:paraId="603BEFF0">
            <w:pPr>
              <w:adjustRightInd w:val="0"/>
              <w:snapToGrid w:val="0"/>
              <w:spacing w:line="360" w:lineRule="auto"/>
              <w:rPr>
                <w:rFonts w:hAnsi="宋体"/>
                <w:szCs w:val="21"/>
              </w:rPr>
            </w:pPr>
            <w:r>
              <w:rPr>
                <w:rFonts w:hint="eastAsia" w:hAnsi="宋体"/>
                <w:szCs w:val="21"/>
              </w:rPr>
              <w:t>采购项目</w:t>
            </w:r>
          </w:p>
        </w:tc>
        <w:tc>
          <w:tcPr>
            <w:tcW w:w="4678" w:type="dxa"/>
            <w:vAlign w:val="center"/>
          </w:tcPr>
          <w:p w14:paraId="29C30CB0">
            <w:pPr>
              <w:adjustRightInd w:val="0"/>
              <w:snapToGrid w:val="0"/>
              <w:spacing w:line="420" w:lineRule="exact"/>
              <w:rPr>
                <w:rFonts w:hAnsi="宋体"/>
                <w:szCs w:val="21"/>
                <w:u w:val="single"/>
              </w:rPr>
            </w:pPr>
            <w:r>
              <w:rPr>
                <w:rFonts w:hint="eastAsia" w:ascii="宋体" w:hAnsi="宋体" w:cs="Times New Roman"/>
                <w:bCs/>
                <w:szCs w:val="21"/>
                <w:lang w:eastAsia="zh-CN"/>
              </w:rPr>
              <w:t>桂阳县城区公共区域病媒生物防制服务（第二次）</w:t>
            </w:r>
          </w:p>
        </w:tc>
      </w:tr>
      <w:tr w14:paraId="131469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5F5E3D31">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第1.2款</w:t>
            </w:r>
          </w:p>
        </w:tc>
        <w:tc>
          <w:tcPr>
            <w:tcW w:w="2693" w:type="dxa"/>
            <w:vAlign w:val="center"/>
          </w:tcPr>
          <w:p w14:paraId="76783BF5">
            <w:pPr>
              <w:adjustRightInd w:val="0"/>
              <w:snapToGrid w:val="0"/>
              <w:spacing w:line="360" w:lineRule="auto"/>
              <w:rPr>
                <w:rFonts w:hAnsi="宋体"/>
                <w:szCs w:val="21"/>
              </w:rPr>
            </w:pPr>
            <w:r>
              <w:rPr>
                <w:rFonts w:hint="eastAsia" w:hAnsi="宋体"/>
                <w:szCs w:val="21"/>
              </w:rPr>
              <w:t>专门面向中小企业采购</w:t>
            </w:r>
          </w:p>
        </w:tc>
        <w:tc>
          <w:tcPr>
            <w:tcW w:w="4678" w:type="dxa"/>
            <w:vAlign w:val="center"/>
          </w:tcPr>
          <w:p w14:paraId="3FD1432D">
            <w:pPr>
              <w:adjustRightInd w:val="0"/>
              <w:snapToGrid w:val="0"/>
              <w:spacing w:line="420" w:lineRule="exact"/>
              <w:rPr>
                <w:rFonts w:hAnsi="宋体"/>
                <w:szCs w:val="21"/>
              </w:rPr>
            </w:pPr>
            <w:r>
              <w:rPr>
                <w:rFonts w:hint="eastAsia" w:ascii="宋体" w:hAnsi="宋体"/>
                <w:szCs w:val="21"/>
                <w:lang w:eastAsia="zh-CN"/>
              </w:rPr>
              <w:t>☑</w:t>
            </w:r>
            <w:r>
              <w:rPr>
                <w:rFonts w:hint="eastAsia" w:hAnsi="宋体"/>
                <w:szCs w:val="21"/>
              </w:rPr>
              <w:t>是</w:t>
            </w:r>
          </w:p>
          <w:p w14:paraId="31043ECE">
            <w:pPr>
              <w:adjustRightInd w:val="0"/>
              <w:snapToGrid w:val="0"/>
              <w:spacing w:line="420" w:lineRule="exact"/>
              <w:rPr>
                <w:rFonts w:hAnsi="宋体"/>
                <w:szCs w:val="21"/>
              </w:rPr>
            </w:pPr>
            <w:r>
              <w:rPr>
                <w:rFonts w:hint="eastAsia" w:ascii="宋体" w:hAnsi="宋体"/>
                <w:szCs w:val="21"/>
              </w:rPr>
              <w:t>□否</w:t>
            </w:r>
          </w:p>
        </w:tc>
      </w:tr>
      <w:tr w14:paraId="49CEAD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1447661F">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第2.1</w:t>
            </w:r>
            <w:r>
              <w:rPr>
                <w:rFonts w:hint="eastAsia" w:cs="宋体" w:asciiTheme="minorEastAsia" w:hAnsiTheme="minorEastAsia" w:eastAsiaTheme="minorEastAsia"/>
                <w:kern w:val="0"/>
                <w:szCs w:val="21"/>
                <w:lang w:val="zh-CN"/>
              </w:rPr>
              <w:t>款</w:t>
            </w:r>
          </w:p>
        </w:tc>
        <w:tc>
          <w:tcPr>
            <w:tcW w:w="2693" w:type="dxa"/>
          </w:tcPr>
          <w:p w14:paraId="02DED8D5">
            <w:pPr>
              <w:adjustRightInd w:val="0"/>
              <w:snapToGrid w:val="0"/>
              <w:spacing w:line="360" w:lineRule="auto"/>
              <w:rPr>
                <w:rFonts w:asciiTheme="minorEastAsia" w:hAnsiTheme="minorEastAsia" w:eastAsiaTheme="minorEastAsia"/>
                <w:szCs w:val="21"/>
              </w:rPr>
            </w:pPr>
            <w:r>
              <w:rPr>
                <w:rFonts w:hint="eastAsia" w:hAnsi="宋体"/>
                <w:szCs w:val="21"/>
              </w:rPr>
              <w:t>采购项目联系人姓名和电话</w:t>
            </w:r>
          </w:p>
        </w:tc>
        <w:tc>
          <w:tcPr>
            <w:tcW w:w="4678" w:type="dxa"/>
            <w:vAlign w:val="center"/>
          </w:tcPr>
          <w:p w14:paraId="5FE8AF25">
            <w:pPr>
              <w:adjustRightInd w:val="0"/>
              <w:snapToGrid w:val="0"/>
              <w:spacing w:line="420" w:lineRule="exact"/>
              <w:rPr>
                <w:rFonts w:hAnsi="宋体"/>
                <w:szCs w:val="21"/>
              </w:rPr>
            </w:pPr>
            <w:r>
              <w:rPr>
                <w:rFonts w:hint="eastAsia" w:hAnsi="宋体"/>
                <w:szCs w:val="21"/>
              </w:rPr>
              <w:t>详见第一章</w:t>
            </w:r>
            <w:r>
              <w:rPr>
                <w:rFonts w:hint="eastAsia" w:ascii="宋体" w:hAnsi="宋体"/>
                <w:szCs w:val="21"/>
              </w:rPr>
              <w:t>【</w:t>
            </w:r>
            <w:r>
              <w:rPr>
                <w:rFonts w:hint="eastAsia" w:hAnsi="宋体"/>
                <w:szCs w:val="21"/>
              </w:rPr>
              <w:t>投标邀请</w:t>
            </w:r>
            <w:r>
              <w:rPr>
                <w:rFonts w:hint="eastAsia" w:ascii="宋体" w:hAnsi="宋体"/>
                <w:szCs w:val="21"/>
              </w:rPr>
              <w:t>】</w:t>
            </w:r>
          </w:p>
        </w:tc>
      </w:tr>
      <w:tr w14:paraId="6F41A2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31C16294">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第2.2</w:t>
            </w:r>
            <w:r>
              <w:rPr>
                <w:rFonts w:hint="eastAsia" w:cs="宋体" w:asciiTheme="minorEastAsia" w:hAnsiTheme="minorEastAsia" w:eastAsiaTheme="minorEastAsia"/>
                <w:kern w:val="0"/>
                <w:szCs w:val="21"/>
                <w:lang w:val="zh-CN"/>
              </w:rPr>
              <w:t>款</w:t>
            </w:r>
          </w:p>
        </w:tc>
        <w:tc>
          <w:tcPr>
            <w:tcW w:w="2693" w:type="dxa"/>
            <w:vAlign w:val="center"/>
          </w:tcPr>
          <w:p w14:paraId="4B5E97BE">
            <w:pPr>
              <w:adjustRightInd w:val="0"/>
              <w:snapToGrid w:val="0"/>
              <w:spacing w:line="360" w:lineRule="auto"/>
              <w:jc w:val="left"/>
              <w:rPr>
                <w:rFonts w:asciiTheme="minorEastAsia" w:hAnsiTheme="minorEastAsia" w:eastAsiaTheme="minorEastAsia"/>
                <w:szCs w:val="21"/>
              </w:rPr>
            </w:pPr>
            <w:r>
              <w:rPr>
                <w:rFonts w:hint="eastAsia" w:hAnsi="宋体"/>
                <w:szCs w:val="21"/>
              </w:rPr>
              <w:t>采购人名称、地址、电话、联系人</w:t>
            </w:r>
          </w:p>
        </w:tc>
        <w:tc>
          <w:tcPr>
            <w:tcW w:w="4678" w:type="dxa"/>
            <w:vAlign w:val="center"/>
          </w:tcPr>
          <w:p w14:paraId="48CA3755">
            <w:pPr>
              <w:adjustRightInd w:val="0"/>
              <w:snapToGrid w:val="0"/>
              <w:spacing w:line="420" w:lineRule="exact"/>
              <w:rPr>
                <w:rFonts w:hAnsi="宋体"/>
                <w:szCs w:val="21"/>
              </w:rPr>
            </w:pPr>
            <w:r>
              <w:rPr>
                <w:rFonts w:hint="eastAsia" w:hAnsi="宋体"/>
                <w:szCs w:val="21"/>
              </w:rPr>
              <w:t>详见第一章</w:t>
            </w:r>
            <w:r>
              <w:rPr>
                <w:rFonts w:hint="eastAsia" w:ascii="宋体" w:hAnsi="宋体"/>
                <w:szCs w:val="21"/>
              </w:rPr>
              <w:t>【</w:t>
            </w:r>
            <w:r>
              <w:rPr>
                <w:rFonts w:hint="eastAsia" w:hAnsi="宋体"/>
                <w:szCs w:val="21"/>
              </w:rPr>
              <w:t>投标邀请</w:t>
            </w:r>
            <w:r>
              <w:rPr>
                <w:rFonts w:hint="eastAsia" w:ascii="宋体" w:hAnsi="宋体"/>
                <w:szCs w:val="21"/>
              </w:rPr>
              <w:t>】</w:t>
            </w:r>
          </w:p>
        </w:tc>
      </w:tr>
      <w:tr w14:paraId="5B4251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56844C3F">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第2.3</w:t>
            </w:r>
            <w:r>
              <w:rPr>
                <w:rFonts w:hint="eastAsia" w:cs="宋体" w:asciiTheme="minorEastAsia" w:hAnsiTheme="minorEastAsia" w:eastAsiaTheme="minorEastAsia"/>
                <w:kern w:val="0"/>
                <w:szCs w:val="21"/>
                <w:lang w:val="zh-CN"/>
              </w:rPr>
              <w:t>款</w:t>
            </w:r>
          </w:p>
        </w:tc>
        <w:tc>
          <w:tcPr>
            <w:tcW w:w="2693" w:type="dxa"/>
            <w:vAlign w:val="center"/>
          </w:tcPr>
          <w:p w14:paraId="44ACAD15">
            <w:pPr>
              <w:adjustRightInd w:val="0"/>
              <w:snapToGrid w:val="0"/>
              <w:spacing w:line="360" w:lineRule="auto"/>
              <w:jc w:val="left"/>
              <w:rPr>
                <w:rFonts w:asciiTheme="minorEastAsia" w:hAnsiTheme="minorEastAsia" w:eastAsiaTheme="minorEastAsia"/>
                <w:szCs w:val="21"/>
              </w:rPr>
            </w:pPr>
            <w:r>
              <w:rPr>
                <w:rFonts w:hint="eastAsia" w:hAnsi="宋体"/>
                <w:szCs w:val="21"/>
              </w:rPr>
              <w:t>采购代理机构名称、地址、电话、联系人</w:t>
            </w:r>
          </w:p>
        </w:tc>
        <w:tc>
          <w:tcPr>
            <w:tcW w:w="4678" w:type="dxa"/>
            <w:vAlign w:val="center"/>
          </w:tcPr>
          <w:p w14:paraId="774DD69C">
            <w:pPr>
              <w:adjustRightInd w:val="0"/>
              <w:snapToGrid w:val="0"/>
              <w:spacing w:line="420" w:lineRule="exact"/>
              <w:rPr>
                <w:rFonts w:hAnsi="宋体"/>
                <w:szCs w:val="21"/>
              </w:rPr>
            </w:pPr>
            <w:r>
              <w:rPr>
                <w:rFonts w:hint="eastAsia" w:hAnsi="宋体"/>
                <w:szCs w:val="21"/>
              </w:rPr>
              <w:t>详见第一章</w:t>
            </w:r>
            <w:r>
              <w:rPr>
                <w:rFonts w:hint="eastAsia" w:ascii="宋体" w:hAnsi="宋体"/>
                <w:szCs w:val="21"/>
              </w:rPr>
              <w:t>【</w:t>
            </w:r>
            <w:r>
              <w:rPr>
                <w:rFonts w:hint="eastAsia" w:hAnsi="宋体"/>
                <w:szCs w:val="21"/>
              </w:rPr>
              <w:t>投标邀请</w:t>
            </w:r>
            <w:r>
              <w:rPr>
                <w:rFonts w:hint="eastAsia" w:ascii="宋体" w:hAnsi="宋体"/>
                <w:szCs w:val="21"/>
              </w:rPr>
              <w:t>】</w:t>
            </w:r>
          </w:p>
        </w:tc>
      </w:tr>
      <w:tr w14:paraId="0D470C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1309317B">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第2.5</w:t>
            </w:r>
            <w:r>
              <w:rPr>
                <w:rFonts w:hint="eastAsia" w:cs="宋体" w:asciiTheme="minorEastAsia" w:hAnsiTheme="minorEastAsia" w:eastAsiaTheme="minorEastAsia"/>
                <w:kern w:val="0"/>
                <w:szCs w:val="21"/>
                <w:lang w:val="zh-CN"/>
              </w:rPr>
              <w:t>款</w:t>
            </w:r>
          </w:p>
        </w:tc>
        <w:tc>
          <w:tcPr>
            <w:tcW w:w="2693" w:type="dxa"/>
            <w:vAlign w:val="center"/>
          </w:tcPr>
          <w:p w14:paraId="395990C6">
            <w:pPr>
              <w:adjustRightInd w:val="0"/>
              <w:snapToGrid w:val="0"/>
              <w:spacing w:line="360" w:lineRule="auto"/>
              <w:jc w:val="left"/>
              <w:rPr>
                <w:rFonts w:hAnsi="宋体"/>
                <w:szCs w:val="21"/>
              </w:rPr>
            </w:pPr>
            <w:r>
              <w:rPr>
                <w:rFonts w:hint="eastAsia" w:hAnsi="宋体"/>
                <w:szCs w:val="21"/>
              </w:rPr>
              <w:t>采购进口产品</w:t>
            </w:r>
          </w:p>
        </w:tc>
        <w:tc>
          <w:tcPr>
            <w:tcW w:w="4678" w:type="dxa"/>
            <w:vAlign w:val="center"/>
          </w:tcPr>
          <w:p w14:paraId="2F209711">
            <w:pPr>
              <w:adjustRightInd w:val="0"/>
              <w:snapToGrid w:val="0"/>
              <w:spacing w:line="420" w:lineRule="exact"/>
              <w:rPr>
                <w:rFonts w:ascii="楷体" w:hAnsi="楷体" w:eastAsia="楷体" w:cs="楷体"/>
                <w:szCs w:val="21"/>
              </w:rPr>
            </w:pPr>
            <w:r>
              <w:rPr>
                <w:rFonts w:hint="eastAsia" w:ascii="宋体" w:hAnsi="宋体" w:cs="宋体"/>
                <w:szCs w:val="21"/>
              </w:rPr>
              <w:t xml:space="preserve">□接受    </w:t>
            </w:r>
            <w:r>
              <w:rPr>
                <w:rFonts w:hint="eastAsia" w:ascii="楷体" w:hAnsi="楷体" w:eastAsia="楷体" w:cs="楷体"/>
                <w:szCs w:val="21"/>
              </w:rPr>
              <w:t>本项目已经财政部门审核同意购买进口产品</w:t>
            </w:r>
            <w:r>
              <w:rPr>
                <w:rFonts w:ascii="楷体" w:hAnsi="楷体" w:eastAsia="楷体" w:cs="楷体"/>
                <w:szCs w:val="21"/>
              </w:rPr>
              <w:t xml:space="preserve">  </w:t>
            </w:r>
          </w:p>
          <w:p w14:paraId="1C650FE1">
            <w:pPr>
              <w:adjustRightInd w:val="0"/>
              <w:snapToGrid w:val="0"/>
              <w:spacing w:line="420" w:lineRule="exact"/>
              <w:rPr>
                <w:rFonts w:hAnsi="宋体"/>
                <w:szCs w:val="21"/>
              </w:rPr>
            </w:pPr>
            <w:r>
              <w:rPr>
                <w:rFonts w:hint="eastAsia" w:ascii="宋体" w:hAnsi="宋体" w:cs="宋体"/>
                <w:szCs w:val="21"/>
                <w:lang w:eastAsia="zh-CN"/>
              </w:rPr>
              <w:t>☑</w:t>
            </w:r>
            <w:r>
              <w:rPr>
                <w:rFonts w:hint="eastAsia" w:ascii="宋体" w:hAnsi="宋体" w:cs="宋体"/>
                <w:szCs w:val="21"/>
              </w:rPr>
              <w:t xml:space="preserve">拒绝   </w:t>
            </w:r>
            <w:r>
              <w:rPr>
                <w:rFonts w:hint="eastAsia" w:ascii="楷体" w:hAnsi="楷体" w:eastAsia="楷体" w:cs="楷体"/>
                <w:szCs w:val="21"/>
              </w:rPr>
              <w:t>本项目拒绝进口产品参加投标</w:t>
            </w:r>
          </w:p>
        </w:tc>
      </w:tr>
      <w:tr w14:paraId="103B7F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4BBC152E">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第3.1</w:t>
            </w:r>
            <w:r>
              <w:rPr>
                <w:rFonts w:hint="eastAsia" w:cs="宋体" w:asciiTheme="minorEastAsia" w:hAnsiTheme="minorEastAsia" w:eastAsiaTheme="minorEastAsia"/>
                <w:kern w:val="0"/>
                <w:szCs w:val="21"/>
                <w:lang w:val="zh-CN"/>
              </w:rPr>
              <w:t>款</w:t>
            </w:r>
          </w:p>
        </w:tc>
        <w:tc>
          <w:tcPr>
            <w:tcW w:w="2693" w:type="dxa"/>
            <w:vAlign w:val="center"/>
          </w:tcPr>
          <w:p w14:paraId="68AAFE1E">
            <w:pPr>
              <w:adjustRightInd w:val="0"/>
              <w:snapToGrid w:val="0"/>
              <w:spacing w:line="360" w:lineRule="auto"/>
              <w:jc w:val="left"/>
              <w:rPr>
                <w:rFonts w:hAnsi="宋体"/>
                <w:szCs w:val="21"/>
              </w:rPr>
            </w:pPr>
            <w:r>
              <w:rPr>
                <w:rFonts w:hint="eastAsia" w:asciiTheme="minorEastAsia" w:hAnsiTheme="minorEastAsia" w:eastAsiaTheme="minorEastAsia"/>
                <w:szCs w:val="21"/>
              </w:rPr>
              <w:t>投标人资格条件</w:t>
            </w:r>
          </w:p>
        </w:tc>
        <w:tc>
          <w:tcPr>
            <w:tcW w:w="4678" w:type="dxa"/>
            <w:vAlign w:val="center"/>
          </w:tcPr>
          <w:p w14:paraId="581C2202">
            <w:pPr>
              <w:adjustRightInd w:val="0"/>
              <w:snapToGrid w:val="0"/>
              <w:spacing w:line="420" w:lineRule="exact"/>
              <w:rPr>
                <w:rFonts w:hAnsi="宋体"/>
                <w:szCs w:val="21"/>
              </w:rPr>
            </w:pPr>
            <w:r>
              <w:rPr>
                <w:rFonts w:hint="eastAsia" w:hAnsi="宋体"/>
                <w:szCs w:val="21"/>
              </w:rPr>
              <w:t>详见第一章</w:t>
            </w:r>
            <w:r>
              <w:rPr>
                <w:rFonts w:hint="eastAsia" w:ascii="宋体" w:hAnsi="宋体"/>
                <w:szCs w:val="21"/>
              </w:rPr>
              <w:t>【</w:t>
            </w:r>
            <w:r>
              <w:rPr>
                <w:rFonts w:hint="eastAsia" w:hAnsi="宋体"/>
                <w:szCs w:val="21"/>
              </w:rPr>
              <w:t>投标邀请</w:t>
            </w:r>
            <w:r>
              <w:rPr>
                <w:rFonts w:hint="eastAsia" w:ascii="宋体" w:hAnsi="宋体"/>
                <w:szCs w:val="21"/>
              </w:rPr>
              <w:t>】</w:t>
            </w:r>
          </w:p>
        </w:tc>
      </w:tr>
      <w:tr w14:paraId="61970C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162DAF96">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第3.2</w:t>
            </w:r>
            <w:r>
              <w:rPr>
                <w:rFonts w:hint="eastAsia" w:cs="宋体" w:asciiTheme="minorEastAsia" w:hAnsiTheme="minorEastAsia" w:eastAsiaTheme="minorEastAsia"/>
                <w:kern w:val="0"/>
                <w:szCs w:val="21"/>
                <w:lang w:val="zh-CN"/>
              </w:rPr>
              <w:t>款</w:t>
            </w:r>
          </w:p>
        </w:tc>
        <w:tc>
          <w:tcPr>
            <w:tcW w:w="2693" w:type="dxa"/>
            <w:vAlign w:val="center"/>
          </w:tcPr>
          <w:p w14:paraId="240DA589">
            <w:pPr>
              <w:adjustRightInd w:val="0"/>
              <w:snapToGrid w:val="0"/>
              <w:spacing w:line="360" w:lineRule="auto"/>
              <w:jc w:val="left"/>
              <w:rPr>
                <w:rFonts w:hAnsi="宋体"/>
                <w:szCs w:val="21"/>
              </w:rPr>
            </w:pPr>
            <w:r>
              <w:rPr>
                <w:rFonts w:hint="eastAsia" w:hAnsi="宋体"/>
                <w:szCs w:val="21"/>
              </w:rPr>
              <w:t>接受联合体形式投标</w:t>
            </w:r>
          </w:p>
        </w:tc>
        <w:tc>
          <w:tcPr>
            <w:tcW w:w="4678" w:type="dxa"/>
            <w:vAlign w:val="center"/>
          </w:tcPr>
          <w:p w14:paraId="7C12DE88">
            <w:pPr>
              <w:adjustRightInd w:val="0"/>
              <w:snapToGrid w:val="0"/>
              <w:spacing w:line="420" w:lineRule="exact"/>
              <w:rPr>
                <w:rFonts w:ascii="宋体" w:hAnsi="宋体" w:cs="宋体"/>
                <w:szCs w:val="21"/>
              </w:rPr>
            </w:pPr>
            <w:r>
              <w:rPr>
                <w:rFonts w:hint="eastAsia" w:ascii="宋体" w:hAnsi="宋体" w:cs="宋体"/>
                <w:szCs w:val="21"/>
              </w:rPr>
              <w:t>□接受</w:t>
            </w:r>
          </w:p>
          <w:p w14:paraId="5E5F0BEB">
            <w:pPr>
              <w:adjustRightInd w:val="0"/>
              <w:snapToGrid w:val="0"/>
              <w:spacing w:line="420" w:lineRule="exact"/>
              <w:rPr>
                <w:rFonts w:hAnsi="宋体"/>
                <w:szCs w:val="21"/>
              </w:rPr>
            </w:pPr>
            <w:r>
              <w:rPr>
                <w:rFonts w:hint="eastAsia" w:ascii="宋体" w:hAnsi="宋体" w:cs="宋体"/>
                <w:szCs w:val="21"/>
                <w:lang w:eastAsia="zh-CN"/>
              </w:rPr>
              <w:t>☑</w:t>
            </w:r>
            <w:r>
              <w:rPr>
                <w:rFonts w:hint="eastAsia" w:ascii="宋体" w:hAnsi="宋体" w:cs="宋体"/>
                <w:szCs w:val="21"/>
              </w:rPr>
              <w:t>不接受</w:t>
            </w:r>
          </w:p>
        </w:tc>
      </w:tr>
      <w:tr w14:paraId="615452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4BB6EB0A">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第5.1</w:t>
            </w:r>
            <w:r>
              <w:rPr>
                <w:rFonts w:hint="eastAsia" w:cs="宋体" w:asciiTheme="minorEastAsia" w:hAnsiTheme="minorEastAsia" w:eastAsiaTheme="minorEastAsia"/>
                <w:kern w:val="0"/>
                <w:szCs w:val="21"/>
                <w:lang w:val="zh-CN"/>
              </w:rPr>
              <w:t>款</w:t>
            </w:r>
          </w:p>
        </w:tc>
        <w:tc>
          <w:tcPr>
            <w:tcW w:w="2693" w:type="dxa"/>
            <w:vAlign w:val="center"/>
          </w:tcPr>
          <w:p w14:paraId="7AC20ED5">
            <w:pPr>
              <w:adjustRightInd w:val="0"/>
              <w:snapToGrid w:val="0"/>
              <w:spacing w:line="360" w:lineRule="auto"/>
              <w:jc w:val="left"/>
              <w:rPr>
                <w:rFonts w:hAnsi="宋体"/>
                <w:szCs w:val="21"/>
              </w:rPr>
            </w:pPr>
            <w:r>
              <w:rPr>
                <w:rFonts w:hint="eastAsia" w:asciiTheme="minorEastAsia" w:hAnsiTheme="minorEastAsia" w:eastAsiaTheme="minorEastAsia"/>
                <w:szCs w:val="21"/>
              </w:rPr>
              <w:t>招标文件提供期限</w:t>
            </w:r>
          </w:p>
        </w:tc>
        <w:tc>
          <w:tcPr>
            <w:tcW w:w="4678" w:type="dxa"/>
            <w:vAlign w:val="center"/>
          </w:tcPr>
          <w:p w14:paraId="27916149">
            <w:pPr>
              <w:adjustRightInd w:val="0"/>
              <w:snapToGrid w:val="0"/>
              <w:spacing w:line="420" w:lineRule="exact"/>
              <w:rPr>
                <w:rFonts w:hAnsi="宋体"/>
                <w:szCs w:val="21"/>
              </w:rPr>
            </w:pPr>
            <w:r>
              <w:rPr>
                <w:rFonts w:hint="eastAsia" w:hAnsi="宋体"/>
                <w:szCs w:val="21"/>
              </w:rPr>
              <w:t>详见第一章</w:t>
            </w:r>
            <w:r>
              <w:rPr>
                <w:rFonts w:hint="eastAsia" w:ascii="宋体" w:hAnsi="宋体"/>
                <w:szCs w:val="21"/>
              </w:rPr>
              <w:t>【</w:t>
            </w:r>
            <w:r>
              <w:rPr>
                <w:rFonts w:hint="eastAsia" w:hAnsi="宋体"/>
                <w:szCs w:val="21"/>
              </w:rPr>
              <w:t>投标邀请</w:t>
            </w:r>
            <w:r>
              <w:rPr>
                <w:rFonts w:hint="eastAsia" w:ascii="宋体" w:hAnsi="宋体"/>
                <w:szCs w:val="21"/>
              </w:rPr>
              <w:t>】</w:t>
            </w:r>
          </w:p>
        </w:tc>
      </w:tr>
      <w:tr w14:paraId="6E2B64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70B0A491">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第5.2</w:t>
            </w:r>
            <w:r>
              <w:rPr>
                <w:rFonts w:hint="eastAsia" w:cs="宋体" w:asciiTheme="minorEastAsia" w:hAnsiTheme="minorEastAsia" w:eastAsiaTheme="minorEastAsia"/>
                <w:kern w:val="0"/>
                <w:szCs w:val="21"/>
                <w:lang w:val="zh-CN"/>
              </w:rPr>
              <w:t>款</w:t>
            </w:r>
          </w:p>
        </w:tc>
        <w:tc>
          <w:tcPr>
            <w:tcW w:w="2693" w:type="dxa"/>
            <w:vAlign w:val="center"/>
          </w:tcPr>
          <w:p w14:paraId="1F83CA81">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组织现场考察或者召开答疑会</w:t>
            </w:r>
          </w:p>
        </w:tc>
        <w:tc>
          <w:tcPr>
            <w:tcW w:w="4678" w:type="dxa"/>
            <w:vAlign w:val="center"/>
          </w:tcPr>
          <w:p w14:paraId="71B472EA">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不组织</w:t>
            </w:r>
          </w:p>
          <w:p w14:paraId="1F64EE46">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组织</w:t>
            </w:r>
          </w:p>
          <w:p w14:paraId="4DCDDF9A">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时间：         </w:t>
            </w:r>
          </w:p>
          <w:p w14:paraId="265F58CF">
            <w:pPr>
              <w:adjustRightInd w:val="0"/>
              <w:snapToGrid w:val="0"/>
              <w:spacing w:line="36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地点：         </w:t>
            </w:r>
          </w:p>
          <w:p w14:paraId="39377E59">
            <w:pPr>
              <w:adjustRightInd w:val="0"/>
              <w:snapToGrid w:val="0"/>
              <w:spacing w:line="36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联系人：        </w:t>
            </w:r>
          </w:p>
          <w:p w14:paraId="5660D9F9">
            <w:pPr>
              <w:adjustRightInd w:val="0"/>
              <w:snapToGrid w:val="0"/>
              <w:spacing w:line="36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联系方式：      </w:t>
            </w:r>
          </w:p>
          <w:p w14:paraId="1042C1AC">
            <w:pPr>
              <w:adjustRightInd w:val="0"/>
              <w:snapToGrid w:val="0"/>
              <w:spacing w:line="360" w:lineRule="auto"/>
              <w:rPr>
                <w:rFonts w:ascii="宋体" w:hAnsi="宋体"/>
                <w:color w:val="FF0000"/>
                <w:szCs w:val="21"/>
                <w:u w:val="single"/>
              </w:rPr>
            </w:pPr>
            <w:r>
              <w:rPr>
                <w:rFonts w:hint="eastAsia" w:ascii="宋体" w:hAnsi="宋体"/>
                <w:color w:val="000000" w:themeColor="text1"/>
                <w:szCs w:val="21"/>
                <w:u w:val="single"/>
                <w14:textFill>
                  <w14:solidFill>
                    <w14:schemeClr w14:val="tx1"/>
                  </w14:solidFill>
                </w14:textFill>
              </w:rPr>
              <w:t>说明事项：</w:t>
            </w:r>
          </w:p>
        </w:tc>
      </w:tr>
      <w:tr w14:paraId="56C742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vAlign w:val="center"/>
          </w:tcPr>
          <w:p w14:paraId="1B4A7421">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二、招标文件</w:t>
            </w:r>
          </w:p>
        </w:tc>
      </w:tr>
      <w:tr w14:paraId="43232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4D6F49E4">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第7.4</w:t>
            </w:r>
            <w:r>
              <w:rPr>
                <w:rFonts w:hint="eastAsia" w:cs="宋体" w:asciiTheme="minorEastAsia" w:hAnsiTheme="minorEastAsia" w:eastAsiaTheme="minorEastAsia"/>
                <w:kern w:val="0"/>
                <w:szCs w:val="21"/>
                <w:lang w:val="zh-CN"/>
              </w:rPr>
              <w:t>款</w:t>
            </w:r>
          </w:p>
        </w:tc>
        <w:tc>
          <w:tcPr>
            <w:tcW w:w="2693" w:type="dxa"/>
            <w:vAlign w:val="center"/>
          </w:tcPr>
          <w:p w14:paraId="456CA2E4">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非实质性偏离的范围和幅度</w:t>
            </w:r>
          </w:p>
        </w:tc>
        <w:tc>
          <w:tcPr>
            <w:tcW w:w="4678" w:type="dxa"/>
            <w:vAlign w:val="center"/>
          </w:tcPr>
          <w:p w14:paraId="1AA3C86C">
            <w:pPr>
              <w:adjustRightInd w:val="0"/>
              <w:snapToGrid w:val="0"/>
              <w:spacing w:line="360" w:lineRule="auto"/>
              <w:ind w:left="105" w:hanging="105" w:hangingChars="50"/>
              <w:jc w:val="left"/>
              <w:rPr>
                <w:rFonts w:asciiTheme="minorEastAsia" w:hAnsiTheme="minorEastAsia" w:eastAsiaTheme="minorEastAsia"/>
                <w:szCs w:val="21"/>
                <w:u w:val="single"/>
              </w:rPr>
            </w:pPr>
            <w:r>
              <w:rPr>
                <w:rFonts w:hint="eastAsia" w:asciiTheme="minorEastAsia" w:hAnsiTheme="minorEastAsia" w:eastAsiaTheme="minorEastAsia"/>
                <w:b/>
                <w:bCs/>
                <w:szCs w:val="21"/>
              </w:rPr>
              <w:t>招标文件第五章【采购需求】中条款偏离项数之和≥</w:t>
            </w:r>
            <w:r>
              <w:rPr>
                <w:rFonts w:hint="eastAsia" w:asciiTheme="minorEastAsia" w:hAnsiTheme="minorEastAsia" w:eastAsiaTheme="minorEastAsia"/>
                <w:b/>
                <w:bCs/>
                <w:szCs w:val="21"/>
                <w:u w:val="single"/>
                <w:lang w:val="en-US" w:eastAsia="zh-CN"/>
              </w:rPr>
              <w:t>10</w:t>
            </w:r>
            <w:r>
              <w:rPr>
                <w:rFonts w:hint="eastAsia" w:asciiTheme="minorEastAsia" w:hAnsiTheme="minorEastAsia" w:eastAsiaTheme="minorEastAsia"/>
                <w:b/>
                <w:bCs/>
                <w:szCs w:val="21"/>
              </w:rPr>
              <w:t>项将导致无效投标。</w:t>
            </w:r>
          </w:p>
        </w:tc>
      </w:tr>
      <w:tr w14:paraId="2C88D6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3F1CE19A">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第9.1</w:t>
            </w:r>
            <w:r>
              <w:rPr>
                <w:rFonts w:hint="eastAsia" w:cs="宋体" w:asciiTheme="minorEastAsia" w:hAnsiTheme="minorEastAsia" w:eastAsiaTheme="minorEastAsia"/>
                <w:kern w:val="0"/>
                <w:szCs w:val="21"/>
                <w:lang w:val="zh-CN"/>
              </w:rPr>
              <w:t>款</w:t>
            </w:r>
          </w:p>
        </w:tc>
        <w:tc>
          <w:tcPr>
            <w:tcW w:w="2693" w:type="dxa"/>
            <w:vAlign w:val="center"/>
          </w:tcPr>
          <w:p w14:paraId="25B647D3">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招标公告指定媒体</w:t>
            </w:r>
          </w:p>
        </w:tc>
        <w:tc>
          <w:tcPr>
            <w:tcW w:w="4678" w:type="dxa"/>
            <w:vAlign w:val="center"/>
          </w:tcPr>
          <w:p w14:paraId="68A61398">
            <w:pPr>
              <w:adjustRightInd w:val="0"/>
              <w:snapToGrid w:val="0"/>
              <w:spacing w:line="360" w:lineRule="auto"/>
              <w:ind w:left="105" w:hanging="105" w:hangingChars="50"/>
              <w:rPr>
                <w:rFonts w:hAnsi="宋体"/>
                <w:szCs w:val="21"/>
              </w:rPr>
            </w:pPr>
            <w:r>
              <w:rPr>
                <w:rFonts w:hint="eastAsia" w:cs="Times New Roman" w:asciiTheme="minorEastAsia" w:hAnsiTheme="minorEastAsia" w:eastAsiaTheme="minorEastAsia"/>
                <w:kern w:val="2"/>
                <w:sz w:val="21"/>
                <w:szCs w:val="21"/>
                <w:u w:val="single"/>
              </w:rPr>
              <w:t>湖南省政府采购网(www.ccgp-hunan.gov.cn)和</w:t>
            </w:r>
            <w:r>
              <w:rPr>
                <w:rFonts w:hint="eastAsia" w:cs="Times New Roman" w:asciiTheme="minorEastAsia" w:hAnsiTheme="minorEastAsia" w:eastAsiaTheme="minorEastAsia"/>
                <w:sz w:val="21"/>
                <w:szCs w:val="21"/>
                <w:u w:val="single"/>
              </w:rPr>
              <w:t>郴州市公共资源交易中心(http://czggzy.czs.gov.cn/</w:t>
            </w:r>
          </w:p>
        </w:tc>
      </w:tr>
      <w:tr w14:paraId="76C446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31" w:type="dxa"/>
            <w:gridSpan w:val="3"/>
            <w:vAlign w:val="center"/>
          </w:tcPr>
          <w:p w14:paraId="164D3D11">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b/>
                <w:szCs w:val="21"/>
              </w:rPr>
              <w:t>三、投标文件</w:t>
            </w:r>
          </w:p>
        </w:tc>
      </w:tr>
      <w:tr w14:paraId="31C5AD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1F4C6915">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第13.2</w:t>
            </w:r>
            <w:r>
              <w:rPr>
                <w:rFonts w:hint="eastAsia" w:cs="宋体" w:asciiTheme="minorEastAsia" w:hAnsiTheme="minorEastAsia" w:eastAsiaTheme="minorEastAsia"/>
                <w:kern w:val="0"/>
                <w:szCs w:val="21"/>
                <w:lang w:val="zh-CN"/>
              </w:rPr>
              <w:t>款</w:t>
            </w:r>
          </w:p>
        </w:tc>
        <w:tc>
          <w:tcPr>
            <w:tcW w:w="2693" w:type="dxa"/>
            <w:vAlign w:val="center"/>
          </w:tcPr>
          <w:p w14:paraId="5BF69761">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采购预算、最高限价</w:t>
            </w:r>
          </w:p>
        </w:tc>
        <w:tc>
          <w:tcPr>
            <w:tcW w:w="4678" w:type="dxa"/>
            <w:vAlign w:val="center"/>
          </w:tcPr>
          <w:p w14:paraId="0691384B">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第1包：</w:t>
            </w:r>
          </w:p>
          <w:p w14:paraId="147B05D2">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采购预算：</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color w:val="auto"/>
                <w:szCs w:val="21"/>
                <w:u w:val="single"/>
                <w:lang w:val="en-US" w:eastAsia="zh-CN"/>
              </w:rPr>
              <w:t>240</w:t>
            </w:r>
            <w:r>
              <w:rPr>
                <w:rFonts w:hint="eastAsia" w:asciiTheme="minorEastAsia" w:hAnsiTheme="minorEastAsia" w:eastAsiaTheme="minorEastAsia"/>
                <w:szCs w:val="21"/>
                <w:u w:val="single"/>
                <w:lang w:val="en-US" w:eastAsia="zh-CN"/>
              </w:rPr>
              <w:t>万</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元，最高限价：</w:t>
            </w:r>
            <w:r>
              <w:rPr>
                <w:rFonts w:hint="eastAsia" w:asciiTheme="minorEastAsia" w:hAnsiTheme="minorEastAsia" w:eastAsiaTheme="minorEastAsia"/>
                <w:color w:val="auto"/>
                <w:szCs w:val="21"/>
                <w:u w:val="single"/>
                <w:lang w:val="en-US" w:eastAsia="zh-CN"/>
              </w:rPr>
              <w:t>240万</w:t>
            </w:r>
            <w:r>
              <w:rPr>
                <w:rFonts w:hint="eastAsia" w:asciiTheme="minorEastAsia" w:hAnsiTheme="minorEastAsia" w:eastAsiaTheme="minorEastAsia"/>
                <w:color w:val="auto"/>
                <w:szCs w:val="21"/>
                <w:u w:val="single"/>
              </w:rPr>
              <w:t xml:space="preserve">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元。</w:t>
            </w:r>
          </w:p>
        </w:tc>
      </w:tr>
      <w:tr w14:paraId="73CF53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30A58620">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第13.8款</w:t>
            </w:r>
          </w:p>
        </w:tc>
        <w:tc>
          <w:tcPr>
            <w:tcW w:w="2693" w:type="dxa"/>
            <w:vAlign w:val="center"/>
          </w:tcPr>
          <w:p w14:paraId="1492039B">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投标报价的其他要求</w:t>
            </w:r>
          </w:p>
        </w:tc>
        <w:tc>
          <w:tcPr>
            <w:tcW w:w="4678" w:type="dxa"/>
            <w:vAlign w:val="center"/>
          </w:tcPr>
          <w:p w14:paraId="482CE66F">
            <w:pPr>
              <w:adjustRightInd w:val="0"/>
              <w:snapToGrid w:val="0"/>
              <w:spacing w:line="360" w:lineRule="auto"/>
              <w:rPr>
                <w:rFonts w:asciiTheme="minorEastAsia" w:hAnsiTheme="minorEastAsia" w:eastAsiaTheme="minorEastAsia"/>
                <w:szCs w:val="21"/>
                <w:u w:val="single"/>
              </w:rPr>
            </w:pPr>
            <w:r>
              <w:rPr>
                <w:rFonts w:hint="eastAsia" w:ascii="宋体" w:hAnsi="宋体"/>
                <w:szCs w:val="21"/>
              </w:rPr>
              <w:t>各投标人的投标报价均不得超过本项目采购预算和最高限价，否则将被视为无效投标。</w:t>
            </w:r>
          </w:p>
        </w:tc>
      </w:tr>
      <w:tr w14:paraId="027F7D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50E20129">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第14.1款</w:t>
            </w:r>
          </w:p>
        </w:tc>
        <w:tc>
          <w:tcPr>
            <w:tcW w:w="2693" w:type="dxa"/>
            <w:vAlign w:val="center"/>
          </w:tcPr>
          <w:p w14:paraId="3B3A5254">
            <w:pPr>
              <w:adjustRightInd w:val="0"/>
              <w:snapToGrid w:val="0"/>
              <w:spacing w:line="360" w:lineRule="auto"/>
              <w:rPr>
                <w:rFonts w:asciiTheme="minorEastAsia" w:hAnsiTheme="minorEastAsia" w:eastAsiaTheme="minorEastAsia"/>
                <w:bCs/>
                <w:szCs w:val="21"/>
              </w:rPr>
            </w:pPr>
            <w:r>
              <w:rPr>
                <w:rFonts w:hint="eastAsia" w:asciiTheme="minorEastAsia" w:hAnsiTheme="minorEastAsia" w:eastAsiaTheme="minorEastAsia"/>
                <w:szCs w:val="21"/>
              </w:rPr>
              <w:t>投标人应提供资格审查资料</w:t>
            </w:r>
          </w:p>
        </w:tc>
        <w:tc>
          <w:tcPr>
            <w:tcW w:w="4678" w:type="dxa"/>
            <w:vAlign w:val="center"/>
          </w:tcPr>
          <w:p w14:paraId="37C24604">
            <w:pPr>
              <w:adjustRightInd w:val="0"/>
              <w:snapToGrid w:val="0"/>
              <w:spacing w:line="360" w:lineRule="auto"/>
              <w:rPr>
                <w:rFonts w:asciiTheme="minorEastAsia" w:hAnsiTheme="minorEastAsia" w:eastAsiaTheme="minorEastAsia"/>
                <w:szCs w:val="21"/>
              </w:rPr>
            </w:pPr>
            <w:r>
              <w:rPr>
                <w:rFonts w:hint="eastAsia" w:hAnsi="宋体"/>
                <w:szCs w:val="21"/>
              </w:rPr>
              <w:t>详见投标人资格条件</w:t>
            </w:r>
          </w:p>
        </w:tc>
      </w:tr>
      <w:tr w14:paraId="25E059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6725F607">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第14.1(3)项</w:t>
            </w:r>
          </w:p>
        </w:tc>
        <w:tc>
          <w:tcPr>
            <w:tcW w:w="2693" w:type="dxa"/>
            <w:vAlign w:val="center"/>
          </w:tcPr>
          <w:p w14:paraId="0A12FB2C">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特定资格条件应提供的资格审查资料</w:t>
            </w:r>
          </w:p>
        </w:tc>
        <w:tc>
          <w:tcPr>
            <w:tcW w:w="4678" w:type="dxa"/>
            <w:vAlign w:val="center"/>
          </w:tcPr>
          <w:p w14:paraId="0A5BB3F4">
            <w:pPr>
              <w:adjustRightInd w:val="0"/>
              <w:snapToGrid w:val="0"/>
              <w:spacing w:line="360" w:lineRule="auto"/>
              <w:rPr>
                <w:rFonts w:asciiTheme="minorEastAsia" w:hAnsiTheme="minorEastAsia" w:eastAsiaTheme="minorEastAsia"/>
                <w:szCs w:val="21"/>
              </w:rPr>
            </w:pPr>
            <w:r>
              <w:rPr>
                <w:rFonts w:hint="eastAsia" w:ascii="宋体" w:hAnsi="宋体"/>
                <w:szCs w:val="21"/>
              </w:rPr>
              <w:t>详见投标人特定资格条件</w:t>
            </w:r>
          </w:p>
        </w:tc>
      </w:tr>
      <w:tr w14:paraId="0D4B07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3" w:hRule="atLeast"/>
        </w:trPr>
        <w:tc>
          <w:tcPr>
            <w:tcW w:w="1560" w:type="dxa"/>
            <w:vAlign w:val="center"/>
          </w:tcPr>
          <w:p w14:paraId="7AFD2BEF">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第15.3款</w:t>
            </w:r>
          </w:p>
        </w:tc>
        <w:tc>
          <w:tcPr>
            <w:tcW w:w="2693" w:type="dxa"/>
            <w:vAlign w:val="center"/>
          </w:tcPr>
          <w:p w14:paraId="187E5738">
            <w:pPr>
              <w:adjustRightInd w:val="0"/>
              <w:snapToGrid w:val="0"/>
              <w:spacing w:line="360" w:lineRule="auto"/>
              <w:rPr>
                <w:rFonts w:asciiTheme="minorEastAsia" w:hAnsiTheme="minorEastAsia" w:eastAsiaTheme="minorEastAsia"/>
                <w:szCs w:val="21"/>
              </w:rPr>
            </w:pPr>
            <w:r>
              <w:rPr>
                <w:rFonts w:hint="eastAsia" w:ascii="宋体" w:hAnsi="宋体"/>
                <w:szCs w:val="21"/>
              </w:rPr>
              <w:t>样品提供的规定</w:t>
            </w:r>
          </w:p>
        </w:tc>
        <w:tc>
          <w:tcPr>
            <w:tcW w:w="4678" w:type="dxa"/>
            <w:vAlign w:val="center"/>
          </w:tcPr>
          <w:p w14:paraId="630C890B">
            <w:pPr>
              <w:adjustRightInd w:val="0"/>
              <w:snapToGrid w:val="0"/>
              <w:spacing w:before="156" w:beforeLines="50" w:line="360" w:lineRule="auto"/>
              <w:rPr>
                <w:rFonts w:ascii="宋体" w:hAnsi="宋体"/>
                <w:szCs w:val="21"/>
              </w:rPr>
            </w:pPr>
            <w:r>
              <w:rPr>
                <w:rFonts w:hint="eastAsia" w:ascii="宋体" w:hAnsi="宋体"/>
                <w:szCs w:val="21"/>
                <w:lang w:eastAsia="zh-CN"/>
              </w:rPr>
              <w:t>☑</w:t>
            </w:r>
            <w:r>
              <w:rPr>
                <w:rFonts w:hint="eastAsia" w:ascii="宋体" w:hAnsi="宋体"/>
                <w:szCs w:val="21"/>
              </w:rPr>
              <w:t xml:space="preserve"> 不要求提供</w:t>
            </w:r>
          </w:p>
          <w:p w14:paraId="2553AFA4">
            <w:pPr>
              <w:adjustRightInd w:val="0"/>
              <w:snapToGrid w:val="0"/>
              <w:spacing w:before="156" w:beforeLines="50" w:line="360" w:lineRule="auto"/>
              <w:rPr>
                <w:rFonts w:ascii="宋体" w:hAnsi="宋体"/>
                <w:szCs w:val="21"/>
              </w:rPr>
            </w:pPr>
            <w:r>
              <w:rPr>
                <w:rFonts w:hint="eastAsia" w:ascii="宋体" w:hAnsi="宋体"/>
                <w:szCs w:val="21"/>
              </w:rPr>
              <w:t>□ 要求提供，提交的时间：</w:t>
            </w:r>
            <w:r>
              <w:rPr>
                <w:rFonts w:hint="eastAsia" w:ascii="宋体" w:hAnsi="宋体"/>
                <w:szCs w:val="21"/>
                <w:u w:val="single"/>
              </w:rPr>
              <w:t xml:space="preserve"> </w:t>
            </w:r>
            <w:r>
              <w:rPr>
                <w:rFonts w:hint="eastAsia" w:cs="Times New Roman" w:asciiTheme="minorEastAsia" w:hAnsiTheme="minorEastAsia" w:eastAsiaTheme="minorEastAsia"/>
                <w:sz w:val="21"/>
                <w:szCs w:val="21"/>
                <w:u w:val="single"/>
              </w:rPr>
              <w:t>/</w:t>
            </w:r>
            <w:r>
              <w:rPr>
                <w:rFonts w:hint="eastAsia" w:ascii="宋体" w:hAnsi="宋体"/>
                <w:szCs w:val="21"/>
                <w:u w:val="single"/>
              </w:rPr>
              <w:t xml:space="preserve"> </w:t>
            </w:r>
            <w:r>
              <w:rPr>
                <w:rFonts w:hint="eastAsia" w:ascii="宋体" w:hAnsi="宋体"/>
                <w:szCs w:val="21"/>
              </w:rPr>
              <w:t xml:space="preserve"> 地点</w:t>
            </w:r>
            <w:r>
              <w:rPr>
                <w:rFonts w:hint="eastAsia" w:ascii="宋体" w:hAnsi="宋体"/>
                <w:szCs w:val="21"/>
                <w:u w:val="single"/>
              </w:rPr>
              <w:t xml:space="preserve">  </w:t>
            </w:r>
            <w:r>
              <w:rPr>
                <w:rFonts w:hint="eastAsia" w:cs="Times New Roman" w:asciiTheme="minorEastAsia" w:hAnsiTheme="minorEastAsia" w:eastAsiaTheme="minorEastAsia"/>
                <w:sz w:val="21"/>
                <w:szCs w:val="21"/>
                <w:u w:val="single"/>
              </w:rPr>
              <w:t>/</w:t>
            </w:r>
            <w:r>
              <w:rPr>
                <w:rFonts w:hint="eastAsia" w:ascii="宋体" w:hAnsi="宋体"/>
                <w:szCs w:val="21"/>
                <w:u w:val="single"/>
              </w:rPr>
              <w:t xml:space="preserve">  </w:t>
            </w:r>
            <w:r>
              <w:rPr>
                <w:rFonts w:hint="eastAsia" w:ascii="宋体" w:hAnsi="宋体"/>
                <w:szCs w:val="21"/>
              </w:rPr>
              <w:t xml:space="preserve"> 。</w:t>
            </w:r>
          </w:p>
          <w:p w14:paraId="6C0F1DEE">
            <w:pPr>
              <w:adjustRightInd w:val="0"/>
              <w:snapToGrid w:val="0"/>
              <w:spacing w:before="156" w:beforeLines="50" w:line="360" w:lineRule="auto"/>
              <w:rPr>
                <w:rFonts w:ascii="宋体" w:hAnsi="宋体"/>
                <w:szCs w:val="21"/>
              </w:rPr>
            </w:pPr>
            <w:r>
              <w:rPr>
                <w:rFonts w:hint="eastAsia" w:ascii="宋体" w:hAnsi="宋体"/>
                <w:szCs w:val="21"/>
              </w:rPr>
              <w:t>1、样品制作的标准和要求、是否需要随样品提交相关检测报告、样品的评审方法以及评审标准详见第三章及第四章。</w:t>
            </w:r>
          </w:p>
          <w:p w14:paraId="50FF0E04">
            <w:pPr>
              <w:adjustRightInd w:val="0"/>
              <w:snapToGrid w:val="0"/>
              <w:spacing w:before="156" w:beforeLines="50" w:line="360" w:lineRule="auto"/>
              <w:rPr>
                <w:rFonts w:asciiTheme="minorEastAsia" w:hAnsiTheme="minorEastAsia" w:eastAsiaTheme="minorEastAsia"/>
                <w:szCs w:val="21"/>
              </w:rPr>
            </w:pPr>
            <w:r>
              <w:rPr>
                <w:rFonts w:hint="eastAsia" w:ascii="宋体" w:hAnsi="宋体"/>
                <w:szCs w:val="21"/>
              </w:rPr>
              <w:t>2、中标人提供的样品保管、封存规定：</w:t>
            </w:r>
            <w:r>
              <w:rPr>
                <w:rFonts w:hint="eastAsia" w:cs="Times New Roman" w:asciiTheme="minorEastAsia" w:hAnsiTheme="minorEastAsia" w:eastAsiaTheme="minorEastAsia"/>
                <w:sz w:val="21"/>
                <w:szCs w:val="21"/>
                <w:u w:val="single"/>
              </w:rPr>
              <w:t>/</w:t>
            </w:r>
          </w:p>
        </w:tc>
      </w:tr>
      <w:tr w14:paraId="0B2FCA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2647333A">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第16.1</w:t>
            </w:r>
            <w:r>
              <w:rPr>
                <w:rFonts w:hint="eastAsia" w:cs="宋体" w:asciiTheme="minorEastAsia" w:hAnsiTheme="minorEastAsia" w:eastAsiaTheme="minorEastAsia"/>
                <w:kern w:val="0"/>
                <w:szCs w:val="21"/>
                <w:lang w:val="zh-CN"/>
              </w:rPr>
              <w:t>款</w:t>
            </w:r>
          </w:p>
        </w:tc>
        <w:tc>
          <w:tcPr>
            <w:tcW w:w="2693" w:type="dxa"/>
            <w:vAlign w:val="center"/>
          </w:tcPr>
          <w:p w14:paraId="38D7A4E6">
            <w:pPr>
              <w:adjustRightInd w:val="0"/>
              <w:snapToGri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投标有效期</w:t>
            </w:r>
          </w:p>
        </w:tc>
        <w:tc>
          <w:tcPr>
            <w:tcW w:w="4678" w:type="dxa"/>
            <w:vAlign w:val="center"/>
          </w:tcPr>
          <w:p w14:paraId="65846556">
            <w:pPr>
              <w:adjustRightInd w:val="0"/>
              <w:snapToGrid w:val="0"/>
              <w:spacing w:line="360" w:lineRule="auto"/>
              <w:rPr>
                <w:rFonts w:asciiTheme="minorEastAsia" w:hAnsiTheme="minorEastAsia" w:eastAsiaTheme="minorEastAsia"/>
                <w:bCs/>
                <w:szCs w:val="21"/>
              </w:rPr>
            </w:pP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90</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rPr>
              <w:t>日（日历日），如投标有效期不足的，在评标时将视为无效投标。</w:t>
            </w:r>
          </w:p>
        </w:tc>
      </w:tr>
      <w:tr w14:paraId="2FEA0A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1990D04A">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第1</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.1</w:t>
            </w:r>
            <w:r>
              <w:rPr>
                <w:rFonts w:hint="eastAsia" w:cs="宋体" w:asciiTheme="minorEastAsia" w:hAnsiTheme="minorEastAsia" w:eastAsiaTheme="minorEastAsia"/>
                <w:kern w:val="0"/>
                <w:szCs w:val="21"/>
                <w:lang w:val="zh-CN"/>
              </w:rPr>
              <w:t>款</w:t>
            </w:r>
          </w:p>
        </w:tc>
        <w:tc>
          <w:tcPr>
            <w:tcW w:w="2693" w:type="dxa"/>
            <w:vAlign w:val="center"/>
          </w:tcPr>
          <w:p w14:paraId="351F7B9A">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bCs/>
                <w:szCs w:val="21"/>
              </w:rPr>
              <w:t>分包</w:t>
            </w:r>
          </w:p>
        </w:tc>
        <w:tc>
          <w:tcPr>
            <w:tcW w:w="4678" w:type="dxa"/>
            <w:vAlign w:val="center"/>
          </w:tcPr>
          <w:p w14:paraId="68FEEDB6">
            <w:pPr>
              <w:adjustRightInd w:val="0"/>
              <w:snapToGrid w:val="0"/>
              <w:spacing w:line="360" w:lineRule="auto"/>
              <w:rPr>
                <w:rFonts w:hint="eastAsia" w:asciiTheme="minorEastAsia" w:hAnsiTheme="minorEastAsia" w:eastAsiaTheme="minorEastAsia"/>
                <w:b/>
                <w:bCs/>
                <w:szCs w:val="21"/>
                <w:lang w:eastAsia="zh-CN"/>
              </w:rPr>
            </w:pPr>
            <w:r>
              <w:rPr>
                <w:rFonts w:hint="eastAsia" w:ascii="宋体" w:hAnsi="宋体" w:cs="Times New Roman"/>
                <w:bCs/>
                <w:szCs w:val="21"/>
              </w:rPr>
              <w:t>不允许向外分包转包。</w:t>
            </w:r>
          </w:p>
        </w:tc>
      </w:tr>
      <w:tr w14:paraId="43D3CF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vAlign w:val="center"/>
          </w:tcPr>
          <w:p w14:paraId="190ED367">
            <w:pPr>
              <w:adjustRightInd w:val="0"/>
              <w:snapToGrid w:val="0"/>
              <w:spacing w:line="360" w:lineRule="auto"/>
              <w:rPr>
                <w:rFonts w:asciiTheme="minorEastAsia" w:hAnsiTheme="minorEastAsia" w:eastAsiaTheme="minorEastAsia"/>
                <w:b/>
                <w:bCs/>
                <w:szCs w:val="21"/>
              </w:rPr>
            </w:pPr>
            <w:r>
              <w:rPr>
                <w:rFonts w:hint="eastAsia" w:asciiTheme="minorEastAsia" w:hAnsiTheme="minorEastAsia" w:eastAsiaTheme="minorEastAsia"/>
                <w:b/>
                <w:szCs w:val="21"/>
              </w:rPr>
              <w:t>四、投标</w:t>
            </w:r>
          </w:p>
        </w:tc>
      </w:tr>
      <w:tr w14:paraId="1ADCB5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049B01CC">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第20.2</w:t>
            </w:r>
            <w:r>
              <w:rPr>
                <w:rFonts w:hint="eastAsia" w:cs="宋体" w:asciiTheme="minorEastAsia" w:hAnsiTheme="minorEastAsia" w:eastAsiaTheme="minorEastAsia"/>
                <w:kern w:val="0"/>
                <w:szCs w:val="21"/>
                <w:lang w:val="zh-CN"/>
              </w:rPr>
              <w:t>款</w:t>
            </w:r>
          </w:p>
        </w:tc>
        <w:tc>
          <w:tcPr>
            <w:tcW w:w="2693" w:type="dxa"/>
            <w:vAlign w:val="center"/>
          </w:tcPr>
          <w:p w14:paraId="38460263">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投标截止时间（开标时间）</w:t>
            </w:r>
          </w:p>
        </w:tc>
        <w:tc>
          <w:tcPr>
            <w:tcW w:w="4678" w:type="dxa"/>
            <w:vAlign w:val="center"/>
          </w:tcPr>
          <w:p w14:paraId="5A5B6E70">
            <w:pPr>
              <w:adjustRightInd w:val="0"/>
              <w:snapToGrid w:val="0"/>
              <w:spacing w:line="360" w:lineRule="auto"/>
              <w:rPr>
                <w:rFonts w:asciiTheme="minorEastAsia" w:hAnsiTheme="minorEastAsia" w:eastAsiaTheme="minorEastAsia"/>
                <w:bCs/>
                <w:szCs w:val="21"/>
              </w:rPr>
            </w:pPr>
            <w:r>
              <w:rPr>
                <w:rFonts w:hint="eastAsia" w:hAnsi="宋体"/>
                <w:szCs w:val="21"/>
              </w:rPr>
              <w:t>详见第一章</w:t>
            </w:r>
            <w:r>
              <w:rPr>
                <w:rFonts w:hint="eastAsia" w:ascii="宋体" w:hAnsi="宋体"/>
                <w:szCs w:val="21"/>
              </w:rPr>
              <w:t>【</w:t>
            </w:r>
            <w:r>
              <w:rPr>
                <w:rFonts w:hint="eastAsia" w:hAnsi="宋体"/>
                <w:szCs w:val="21"/>
              </w:rPr>
              <w:t>投标邀请</w:t>
            </w:r>
            <w:r>
              <w:rPr>
                <w:rFonts w:hint="eastAsia" w:ascii="宋体" w:hAnsi="宋体"/>
                <w:szCs w:val="21"/>
              </w:rPr>
              <w:t>】</w:t>
            </w:r>
          </w:p>
        </w:tc>
      </w:tr>
      <w:tr w14:paraId="377976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vAlign w:val="center"/>
          </w:tcPr>
          <w:p w14:paraId="5ED74538">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b/>
                <w:bCs/>
                <w:szCs w:val="21"/>
              </w:rPr>
              <w:t>五、开标、资格审查和评标</w:t>
            </w:r>
          </w:p>
        </w:tc>
      </w:tr>
      <w:tr w14:paraId="2A8F02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1955C93C">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第23.3款</w:t>
            </w:r>
          </w:p>
        </w:tc>
        <w:tc>
          <w:tcPr>
            <w:tcW w:w="2693" w:type="dxa"/>
            <w:vAlign w:val="center"/>
          </w:tcPr>
          <w:p w14:paraId="123E49E2">
            <w:pPr>
              <w:adjustRightInd w:val="0"/>
              <w:snapToGrid w:val="0"/>
              <w:spacing w:before="156" w:beforeLines="50" w:line="360" w:lineRule="auto"/>
              <w:rPr>
                <w:rFonts w:ascii="宋体"/>
                <w:szCs w:val="21"/>
              </w:rPr>
            </w:pPr>
            <w:r>
              <w:rPr>
                <w:rFonts w:hint="eastAsia" w:ascii="宋体" w:hAnsi="宋体" w:cs="宋体"/>
                <w:szCs w:val="21"/>
              </w:rPr>
              <w:t>解密电子投标文件时限及方式</w:t>
            </w:r>
          </w:p>
        </w:tc>
        <w:tc>
          <w:tcPr>
            <w:tcW w:w="4678" w:type="dxa"/>
            <w:vAlign w:val="center"/>
          </w:tcPr>
          <w:p w14:paraId="3971F022">
            <w:pPr>
              <w:adjustRightInd w:val="0"/>
              <w:snapToGrid w:val="0"/>
              <w:spacing w:before="156" w:beforeLines="50" w:line="360" w:lineRule="auto"/>
              <w:rPr>
                <w:rFonts w:ascii="宋体"/>
                <w:szCs w:val="21"/>
              </w:rPr>
            </w:pPr>
            <w:r>
              <w:rPr>
                <w:rFonts w:hint="eastAsia" w:ascii="宋体" w:hAnsi="宋体" w:cs="宋体"/>
                <w:szCs w:val="21"/>
              </w:rPr>
              <w:t>投标人使用加密投标文件的CA数字证书在投标截止时间起</w:t>
            </w:r>
            <w:r>
              <w:rPr>
                <w:rFonts w:hint="eastAsia" w:ascii="宋体" w:hAnsi="宋体" w:cs="宋体"/>
                <w:szCs w:val="21"/>
                <w:u w:val="single"/>
              </w:rPr>
              <w:t xml:space="preserve"> </w:t>
            </w:r>
            <w:r>
              <w:rPr>
                <w:rFonts w:hint="eastAsia" w:ascii="宋体" w:hAnsi="宋体" w:cs="宋体"/>
                <w:szCs w:val="21"/>
                <w:u w:val="single"/>
                <w:lang w:val="en-US" w:eastAsia="zh-CN"/>
              </w:rPr>
              <w:t>30</w:t>
            </w:r>
            <w:r>
              <w:rPr>
                <w:rFonts w:hint="eastAsia" w:ascii="宋体" w:hAnsi="宋体" w:cs="宋体"/>
                <w:szCs w:val="21"/>
                <w:u w:val="single"/>
              </w:rPr>
              <w:t xml:space="preserve"> </w:t>
            </w:r>
            <w:r>
              <w:rPr>
                <w:rFonts w:hint="eastAsia" w:ascii="宋体" w:hAnsi="宋体" w:cs="宋体"/>
                <w:szCs w:val="21"/>
              </w:rPr>
              <w:t>分钟内完成投标文件的解密，投标文件在解密时限内未解密或解密失败，视为撤销其投标文件，开标继续进行。（如因交易平台出现系统故障，导致解密无法完成的，由采购人或采购代理机构酌情延长解密时间）</w:t>
            </w:r>
          </w:p>
        </w:tc>
      </w:tr>
      <w:tr w14:paraId="2EB382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vAlign w:val="center"/>
          </w:tcPr>
          <w:p w14:paraId="550A82DA">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六、中标信息公布</w:t>
            </w:r>
          </w:p>
        </w:tc>
      </w:tr>
      <w:tr w14:paraId="00CF7B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6CCFCCF5">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第27.2</w:t>
            </w:r>
            <w:r>
              <w:rPr>
                <w:rFonts w:hint="eastAsia" w:cs="宋体" w:asciiTheme="minorEastAsia" w:hAnsiTheme="minorEastAsia" w:eastAsiaTheme="minorEastAsia"/>
                <w:kern w:val="0"/>
                <w:szCs w:val="21"/>
                <w:lang w:val="zh-CN"/>
              </w:rPr>
              <w:t>款</w:t>
            </w:r>
          </w:p>
        </w:tc>
        <w:tc>
          <w:tcPr>
            <w:tcW w:w="2693" w:type="dxa"/>
            <w:vAlign w:val="center"/>
          </w:tcPr>
          <w:p w14:paraId="7BD08393">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中标候选人并列的确定中标人的方式</w:t>
            </w:r>
          </w:p>
        </w:tc>
        <w:tc>
          <w:tcPr>
            <w:tcW w:w="4678" w:type="dxa"/>
            <w:vAlign w:val="center"/>
          </w:tcPr>
          <w:p w14:paraId="2150014C">
            <w:pPr>
              <w:adjustRightInd w:val="0"/>
              <w:snapToGrid w:val="0"/>
              <w:spacing w:line="360" w:lineRule="auto"/>
              <w:rPr>
                <w:rFonts w:hint="eastAsia" w:ascii="宋体" w:hAnsi="宋体" w:cs="Times New Roman"/>
                <w:szCs w:val="21"/>
              </w:rPr>
            </w:pPr>
            <w:r>
              <w:rPr>
                <w:rFonts w:hint="eastAsia" w:ascii="宋体" w:hAnsi="宋体" w:cs="Times New Roman"/>
                <w:szCs w:val="21"/>
              </w:rPr>
              <w:t>☑中标候选人并列的：当中标候选人得分相同时，按投标报价由低到高顺序排列，得分且投标报价相同的，按技术指标优劣顺序排列。</w:t>
            </w:r>
          </w:p>
          <w:p w14:paraId="5989AF8C">
            <w:pPr>
              <w:adjustRightInd w:val="0"/>
              <w:snapToGrid w:val="0"/>
              <w:spacing w:line="360" w:lineRule="auto"/>
              <w:rPr>
                <w:rFonts w:asciiTheme="minorEastAsia" w:hAnsiTheme="minorEastAsia" w:eastAsiaTheme="minorEastAsia"/>
                <w:szCs w:val="21"/>
                <w:u w:val="single"/>
              </w:rPr>
            </w:pPr>
            <w:r>
              <w:rPr>
                <w:rFonts w:hint="eastAsia" w:ascii="宋体" w:hAnsi="宋体" w:cs="Times New Roman"/>
                <w:szCs w:val="21"/>
              </w:rPr>
              <w:t>□中标候选人并列的，随机抽取</w:t>
            </w:r>
          </w:p>
        </w:tc>
      </w:tr>
      <w:tr w14:paraId="49B16A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4DD83371">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第28.3</w:t>
            </w:r>
            <w:r>
              <w:rPr>
                <w:rFonts w:hint="eastAsia" w:cs="宋体" w:asciiTheme="minorEastAsia" w:hAnsiTheme="minorEastAsia" w:eastAsiaTheme="minorEastAsia"/>
                <w:kern w:val="0"/>
                <w:szCs w:val="21"/>
                <w:lang w:val="zh-CN"/>
              </w:rPr>
              <w:t>款</w:t>
            </w:r>
          </w:p>
        </w:tc>
        <w:tc>
          <w:tcPr>
            <w:tcW w:w="2693" w:type="dxa"/>
            <w:vAlign w:val="center"/>
          </w:tcPr>
          <w:p w14:paraId="21A90CE3">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接收质疑函的联系部门、联系电话和通讯地址</w:t>
            </w:r>
          </w:p>
        </w:tc>
        <w:tc>
          <w:tcPr>
            <w:tcW w:w="4678" w:type="dxa"/>
            <w:vAlign w:val="center"/>
          </w:tcPr>
          <w:p w14:paraId="34F2F372">
            <w:pPr>
              <w:adjustRightInd w:val="0"/>
              <w:snapToGrid w:val="0"/>
              <w:spacing w:line="360" w:lineRule="auto"/>
              <w:rPr>
                <w:rFonts w:ascii="宋体" w:hAnsi="宋体" w:cs="Times New Roman"/>
                <w:szCs w:val="21"/>
              </w:rPr>
            </w:pPr>
            <w:r>
              <w:rPr>
                <w:rFonts w:hint="eastAsia" w:ascii="宋体" w:hAnsi="宋体" w:cs="Times New Roman"/>
                <w:szCs w:val="21"/>
              </w:rPr>
              <w:t>1、接收质疑函的方式：投标人应当按照《湖南省</w:t>
            </w:r>
          </w:p>
          <w:p w14:paraId="656976E3">
            <w:pPr>
              <w:adjustRightInd w:val="0"/>
              <w:snapToGrid w:val="0"/>
              <w:spacing w:line="360" w:lineRule="auto"/>
              <w:rPr>
                <w:rFonts w:ascii="宋体" w:hAnsi="宋体" w:cs="Times New Roman"/>
                <w:szCs w:val="21"/>
              </w:rPr>
            </w:pPr>
            <w:r>
              <w:rPr>
                <w:rFonts w:hint="eastAsia" w:ascii="宋体" w:hAnsi="宋体" w:cs="Times New Roman"/>
                <w:szCs w:val="21"/>
              </w:rPr>
              <w:t>财政厅关于印发&lt;政府采购质疑答复和投诉处理</w:t>
            </w:r>
          </w:p>
          <w:p w14:paraId="71B60E2E">
            <w:pPr>
              <w:adjustRightInd w:val="0"/>
              <w:snapToGrid w:val="0"/>
              <w:spacing w:line="360" w:lineRule="auto"/>
              <w:rPr>
                <w:rFonts w:ascii="宋体" w:hAnsi="宋体" w:cs="Times New Roman"/>
                <w:szCs w:val="21"/>
              </w:rPr>
            </w:pPr>
            <w:r>
              <w:rPr>
                <w:rFonts w:hint="eastAsia" w:ascii="宋体" w:hAnsi="宋体" w:cs="Times New Roman"/>
                <w:szCs w:val="21"/>
              </w:rPr>
              <w:t>操作规程&gt;的通知》（湘财购【2019】20 号）规</w:t>
            </w:r>
          </w:p>
          <w:p w14:paraId="2BBB314D">
            <w:pPr>
              <w:adjustRightInd w:val="0"/>
              <w:snapToGrid w:val="0"/>
              <w:spacing w:line="360" w:lineRule="auto"/>
              <w:rPr>
                <w:rFonts w:ascii="宋体" w:hAnsi="宋体" w:cs="Times New Roman"/>
                <w:szCs w:val="21"/>
              </w:rPr>
            </w:pPr>
            <w:r>
              <w:rPr>
                <w:rFonts w:hint="eastAsia" w:ascii="宋体" w:hAnsi="宋体" w:cs="Times New Roman"/>
                <w:szCs w:val="21"/>
              </w:rPr>
              <w:t>定向采购人和采购代理机构一并提交书面质疑函</w:t>
            </w:r>
          </w:p>
          <w:p w14:paraId="0BF3CC45">
            <w:pPr>
              <w:adjustRightInd w:val="0"/>
              <w:snapToGrid w:val="0"/>
              <w:spacing w:line="360" w:lineRule="auto"/>
              <w:rPr>
                <w:rFonts w:ascii="宋体" w:hAnsi="宋体" w:cs="Times New Roman"/>
                <w:szCs w:val="21"/>
              </w:rPr>
            </w:pPr>
            <w:r>
              <w:rPr>
                <w:rFonts w:hint="eastAsia" w:ascii="宋体" w:hAnsi="宋体" w:cs="Times New Roman"/>
                <w:szCs w:val="21"/>
              </w:rPr>
              <w:t>及相关证明材料。</w:t>
            </w:r>
          </w:p>
          <w:p w14:paraId="4A8E6B8C">
            <w:pPr>
              <w:adjustRightInd w:val="0"/>
              <w:snapToGrid w:val="0"/>
              <w:spacing w:line="360" w:lineRule="auto"/>
              <w:rPr>
                <w:rFonts w:ascii="宋体" w:hAnsi="宋体" w:cs="Times New Roman"/>
                <w:szCs w:val="21"/>
              </w:rPr>
            </w:pPr>
            <w:r>
              <w:rPr>
                <w:rFonts w:hint="eastAsia" w:ascii="宋体" w:hAnsi="宋体" w:cs="Times New Roman"/>
                <w:szCs w:val="21"/>
              </w:rPr>
              <w:t xml:space="preserve">2、接收质疑函的联系部门、联系电话和通讯地址： </w:t>
            </w:r>
          </w:p>
          <w:p w14:paraId="0C554467">
            <w:pPr>
              <w:adjustRightInd w:val="0"/>
              <w:snapToGrid w:val="0"/>
              <w:spacing w:line="360" w:lineRule="auto"/>
              <w:rPr>
                <w:rFonts w:ascii="宋体" w:hAnsi="宋体" w:cs="Times New Roman"/>
                <w:szCs w:val="21"/>
              </w:rPr>
            </w:pPr>
            <w:r>
              <w:rPr>
                <w:rFonts w:hint="eastAsia" w:ascii="宋体" w:hAnsi="宋体" w:cs="Times New Roman"/>
                <w:szCs w:val="21"/>
              </w:rPr>
              <w:t xml:space="preserve">2.1 采购人信息 </w:t>
            </w:r>
          </w:p>
          <w:p w14:paraId="0405B9E5">
            <w:pPr>
              <w:adjustRightInd w:val="0"/>
              <w:snapToGrid w:val="0"/>
              <w:spacing w:line="360" w:lineRule="auto"/>
              <w:rPr>
                <w:rFonts w:hint="eastAsia" w:ascii="宋体" w:hAnsi="宋体" w:eastAsia="宋体" w:cs="Times New Roman"/>
                <w:szCs w:val="21"/>
                <w:lang w:eastAsia="zh-CN"/>
              </w:rPr>
            </w:pPr>
            <w:r>
              <w:rPr>
                <w:rFonts w:hint="eastAsia" w:ascii="宋体" w:hAnsi="宋体" w:cs="Times New Roman"/>
                <w:szCs w:val="21"/>
              </w:rPr>
              <w:t>联 系 人：</w:t>
            </w:r>
            <w:r>
              <w:rPr>
                <w:rFonts w:hint="eastAsia" w:ascii="宋体" w:hAnsi="宋体" w:cs="Times New Roman"/>
                <w:szCs w:val="21"/>
                <w:lang w:eastAsia="zh-CN"/>
              </w:rPr>
              <w:t>史先生</w:t>
            </w:r>
          </w:p>
          <w:p w14:paraId="7F59C1DC">
            <w:pPr>
              <w:adjustRightInd w:val="0"/>
              <w:snapToGrid w:val="0"/>
              <w:spacing w:line="360" w:lineRule="auto"/>
              <w:rPr>
                <w:rFonts w:hint="eastAsia" w:ascii="宋体" w:hAnsi="宋体" w:cs="Times New Roman"/>
                <w:szCs w:val="21"/>
                <w:lang w:val="en-US" w:eastAsia="zh-CN"/>
              </w:rPr>
            </w:pPr>
            <w:r>
              <w:rPr>
                <w:rFonts w:hint="eastAsia" w:ascii="宋体" w:hAnsi="宋体" w:cs="Times New Roman"/>
                <w:szCs w:val="21"/>
              </w:rPr>
              <w:t>联系电话：</w:t>
            </w:r>
            <w:r>
              <w:rPr>
                <w:rFonts w:hint="eastAsia" w:ascii="宋体" w:hAnsi="宋体" w:cs="Times New Roman"/>
                <w:szCs w:val="21"/>
                <w:lang w:val="en-US" w:eastAsia="zh-CN"/>
              </w:rPr>
              <w:t>15273528966</w:t>
            </w:r>
          </w:p>
          <w:p w14:paraId="3A5DCA29">
            <w:pPr>
              <w:adjustRightInd w:val="0"/>
              <w:snapToGrid w:val="0"/>
              <w:spacing w:line="360" w:lineRule="auto"/>
              <w:rPr>
                <w:rFonts w:ascii="宋体" w:hAnsi="宋体" w:cs="Times New Roman"/>
                <w:szCs w:val="21"/>
              </w:rPr>
            </w:pPr>
            <w:r>
              <w:rPr>
                <w:rFonts w:hint="eastAsia" w:ascii="宋体" w:hAnsi="宋体" w:cs="Times New Roman"/>
                <w:szCs w:val="21"/>
              </w:rPr>
              <w:t>通讯地址：郴州市桂阳县</w:t>
            </w:r>
          </w:p>
          <w:p w14:paraId="6184AC74">
            <w:pPr>
              <w:adjustRightInd w:val="0"/>
              <w:snapToGrid w:val="0"/>
              <w:spacing w:line="360" w:lineRule="auto"/>
              <w:rPr>
                <w:rFonts w:ascii="宋体" w:hAnsi="宋体" w:cs="Times New Roman"/>
                <w:szCs w:val="21"/>
              </w:rPr>
            </w:pPr>
            <w:r>
              <w:rPr>
                <w:rFonts w:hint="eastAsia" w:ascii="宋体" w:hAnsi="宋体" w:cs="Times New Roman"/>
                <w:szCs w:val="21"/>
              </w:rPr>
              <w:t xml:space="preserve">2.2 采购代理机构信息 </w:t>
            </w:r>
          </w:p>
          <w:p w14:paraId="3703F6D8">
            <w:pPr>
              <w:adjustRightInd w:val="0"/>
              <w:snapToGrid w:val="0"/>
              <w:spacing w:line="360" w:lineRule="auto"/>
              <w:rPr>
                <w:rFonts w:hint="eastAsia" w:ascii="宋体" w:hAnsi="宋体" w:cs="Times New Roman"/>
                <w:szCs w:val="21"/>
                <w:lang w:val="en-US" w:eastAsia="zh-CN"/>
              </w:rPr>
            </w:pPr>
            <w:r>
              <w:rPr>
                <w:rFonts w:hint="eastAsia" w:ascii="宋体" w:hAnsi="宋体" w:cs="Times New Roman"/>
                <w:szCs w:val="21"/>
              </w:rPr>
              <w:t>联系部门：</w:t>
            </w:r>
            <w:r>
              <w:rPr>
                <w:rFonts w:hint="eastAsia" w:ascii="宋体" w:hAnsi="宋体" w:cs="Times New Roman"/>
                <w:szCs w:val="21"/>
                <w:lang w:val="en-US" w:eastAsia="zh-CN"/>
              </w:rPr>
              <w:t>中赋安项目管理（四川）有限公司</w:t>
            </w:r>
          </w:p>
          <w:p w14:paraId="0420D42B">
            <w:pPr>
              <w:adjustRightInd w:val="0"/>
              <w:snapToGrid w:val="0"/>
              <w:spacing w:line="360" w:lineRule="auto"/>
              <w:rPr>
                <w:rFonts w:ascii="宋体" w:hAnsi="宋体" w:cs="Times New Roman"/>
                <w:szCs w:val="21"/>
              </w:rPr>
            </w:pPr>
            <w:r>
              <w:rPr>
                <w:rFonts w:hint="eastAsia" w:ascii="宋体" w:hAnsi="宋体" w:cs="Times New Roman"/>
                <w:szCs w:val="21"/>
              </w:rPr>
              <w:t>联系电话：</w:t>
            </w:r>
            <w:r>
              <w:rPr>
                <w:rFonts w:hint="eastAsia" w:ascii="宋体" w:hAnsi="宋体" w:cs="Times New Roman"/>
                <w:szCs w:val="21"/>
                <w:lang w:val="en-US" w:eastAsia="zh-CN"/>
              </w:rPr>
              <w:t>0735-7638201\18873508608</w:t>
            </w:r>
          </w:p>
          <w:p w14:paraId="77074122">
            <w:pPr>
              <w:adjustRightInd w:val="0"/>
              <w:snapToGrid w:val="0"/>
              <w:spacing w:line="360" w:lineRule="auto"/>
              <w:rPr>
                <w:rFonts w:hint="eastAsia" w:ascii="宋体" w:hAnsi="宋体" w:cs="Times New Roman"/>
                <w:szCs w:val="21"/>
                <w:lang w:val="en-US" w:eastAsia="zh-CN"/>
              </w:rPr>
            </w:pPr>
            <w:r>
              <w:rPr>
                <w:rFonts w:hint="eastAsia" w:ascii="宋体" w:hAnsi="宋体" w:cs="Times New Roman"/>
                <w:szCs w:val="21"/>
              </w:rPr>
              <w:t>通讯地址：</w:t>
            </w:r>
            <w:r>
              <w:rPr>
                <w:rFonts w:hint="eastAsia" w:ascii="宋体" w:hAnsi="宋体" w:cs="Times New Roman"/>
                <w:szCs w:val="21"/>
                <w:lang w:val="en-US" w:eastAsia="zh-CN"/>
              </w:rPr>
              <w:t>郴州市北湖区南岭大道辅路与柏树路交叉口正北方向110米左右</w:t>
            </w:r>
          </w:p>
          <w:p w14:paraId="157E93DE">
            <w:pPr>
              <w:adjustRightInd w:val="0"/>
              <w:snapToGrid w:val="0"/>
              <w:spacing w:line="360" w:lineRule="auto"/>
              <w:rPr>
                <w:rFonts w:ascii="宋体" w:hAnsi="宋体" w:cs="Times New Roman"/>
                <w:szCs w:val="21"/>
              </w:rPr>
            </w:pPr>
            <w:r>
              <w:rPr>
                <w:rFonts w:hint="eastAsia" w:ascii="宋体" w:hAnsi="宋体" w:cs="Times New Roman"/>
                <w:szCs w:val="21"/>
              </w:rPr>
              <w:t>注：投标人在法定质疑期内针对同一采购程序环</w:t>
            </w:r>
          </w:p>
          <w:p w14:paraId="5C269C95">
            <w:pPr>
              <w:adjustRightInd w:val="0"/>
              <w:snapToGrid w:val="0"/>
              <w:spacing w:line="360" w:lineRule="auto"/>
              <w:rPr>
                <w:rFonts w:asciiTheme="minorEastAsia" w:hAnsiTheme="minorEastAsia" w:eastAsiaTheme="minorEastAsia"/>
                <w:szCs w:val="21"/>
              </w:rPr>
            </w:pPr>
            <w:r>
              <w:rPr>
                <w:rFonts w:hint="eastAsia" w:ascii="宋体" w:hAnsi="宋体" w:cs="Times New Roman"/>
                <w:szCs w:val="21"/>
              </w:rPr>
              <w:t>节的质疑要求一次性提出。</w:t>
            </w:r>
          </w:p>
        </w:tc>
      </w:tr>
      <w:tr w14:paraId="0CEE12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vAlign w:val="center"/>
          </w:tcPr>
          <w:p w14:paraId="3476FEC6">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b/>
                <w:szCs w:val="21"/>
              </w:rPr>
              <w:t>七、合同签订</w:t>
            </w:r>
          </w:p>
        </w:tc>
      </w:tr>
      <w:tr w14:paraId="7307E8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1972B4FE">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第30.1</w:t>
            </w:r>
            <w:r>
              <w:rPr>
                <w:rFonts w:hint="eastAsia" w:cs="宋体" w:asciiTheme="minorEastAsia" w:hAnsiTheme="minorEastAsia" w:eastAsiaTheme="minorEastAsia"/>
                <w:kern w:val="0"/>
                <w:szCs w:val="21"/>
                <w:lang w:val="zh-CN"/>
              </w:rPr>
              <w:t>款</w:t>
            </w:r>
          </w:p>
        </w:tc>
        <w:tc>
          <w:tcPr>
            <w:tcW w:w="2693" w:type="dxa"/>
            <w:vAlign w:val="center"/>
          </w:tcPr>
          <w:p w14:paraId="6A608AD7">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履约担保</w:t>
            </w:r>
          </w:p>
        </w:tc>
        <w:tc>
          <w:tcPr>
            <w:tcW w:w="4678" w:type="dxa"/>
            <w:vAlign w:val="center"/>
          </w:tcPr>
          <w:p w14:paraId="57D4EC03">
            <w:pPr>
              <w:adjustRightInd w:val="0"/>
              <w:snapToGrid w:val="0"/>
              <w:spacing w:line="360" w:lineRule="auto"/>
              <w:rPr>
                <w:rFonts w:ascii="宋体" w:hAnsi="宋体" w:cs="宋体"/>
                <w:szCs w:val="21"/>
              </w:rPr>
            </w:pPr>
            <w:r>
              <w:rPr>
                <w:rFonts w:hint="eastAsia" w:ascii="宋体" w:hAnsi="宋体" w:cs="宋体"/>
                <w:szCs w:val="21"/>
              </w:rPr>
              <w:t>□需要。中标后需向采购人缴纳合同金额</w:t>
            </w:r>
            <w:r>
              <w:rPr>
                <w:rFonts w:hint="eastAsia" w:ascii="宋体" w:hAnsi="宋体" w:cs="宋体"/>
                <w:szCs w:val="21"/>
                <w:u w:val="single"/>
              </w:rPr>
              <w:t xml:space="preserve"> </w:t>
            </w:r>
            <w:r>
              <w:rPr>
                <w:rFonts w:hint="eastAsia" w:cs="Times New Roman" w:asciiTheme="minorEastAsia" w:hAnsiTheme="minorEastAsia" w:eastAsiaTheme="minorEastAsia"/>
                <w:sz w:val="21"/>
                <w:szCs w:val="21"/>
                <w:u w:val="single"/>
              </w:rPr>
              <w:t>/</w:t>
            </w:r>
            <w:r>
              <w:rPr>
                <w:rFonts w:hint="eastAsia" w:ascii="宋体" w:hAnsi="宋体" w:cs="宋体"/>
                <w:szCs w:val="21"/>
                <w:u w:val="single"/>
              </w:rPr>
              <w:t xml:space="preserve"> %</w:t>
            </w:r>
            <w:r>
              <w:rPr>
                <w:rFonts w:hint="eastAsia" w:ascii="宋体" w:hAnsi="宋体" w:cs="宋体"/>
                <w:szCs w:val="21"/>
              </w:rPr>
              <w:t xml:space="preserve">履约担保金。   </w:t>
            </w:r>
          </w:p>
          <w:p w14:paraId="5048769B">
            <w:pPr>
              <w:adjustRightInd w:val="0"/>
              <w:snapToGrid w:val="0"/>
              <w:spacing w:line="360" w:lineRule="auto"/>
              <w:rPr>
                <w:rFonts w:asciiTheme="minorEastAsia" w:hAnsiTheme="minorEastAsia" w:eastAsiaTheme="minorEastAsia"/>
                <w:strike/>
                <w:szCs w:val="21"/>
              </w:rPr>
            </w:pPr>
            <w:r>
              <w:rPr>
                <w:rFonts w:hint="eastAsia" w:ascii="宋体" w:hAnsi="宋体" w:cs="宋体"/>
                <w:szCs w:val="21"/>
                <w:lang w:eastAsia="zh-CN"/>
              </w:rPr>
              <w:t>☑</w:t>
            </w:r>
            <w:r>
              <w:rPr>
                <w:rFonts w:ascii="宋体" w:hAnsi="宋体" w:cs="宋体"/>
                <w:szCs w:val="21"/>
              </w:rPr>
              <w:t>不需要</w:t>
            </w:r>
          </w:p>
        </w:tc>
      </w:tr>
      <w:tr w14:paraId="34CB98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vAlign w:val="center"/>
          </w:tcPr>
          <w:p w14:paraId="0F2A4F45">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b/>
                <w:szCs w:val="21"/>
                <w:lang w:eastAsia="zh-CN"/>
              </w:rPr>
              <w:t>八</w:t>
            </w:r>
            <w:r>
              <w:rPr>
                <w:rFonts w:hint="eastAsia" w:asciiTheme="minorEastAsia" w:hAnsiTheme="minorEastAsia" w:eastAsiaTheme="minorEastAsia"/>
                <w:b/>
                <w:szCs w:val="21"/>
              </w:rPr>
              <w:t>、其他规定</w:t>
            </w:r>
          </w:p>
        </w:tc>
      </w:tr>
      <w:tr w14:paraId="6EEFDA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7162DB6C">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第34.1</w:t>
            </w:r>
            <w:r>
              <w:rPr>
                <w:rFonts w:hint="eastAsia" w:cs="宋体" w:asciiTheme="minorEastAsia" w:hAnsiTheme="minorEastAsia" w:eastAsiaTheme="minorEastAsia"/>
                <w:kern w:val="0"/>
                <w:szCs w:val="21"/>
                <w:lang w:val="zh-CN"/>
              </w:rPr>
              <w:t>款</w:t>
            </w:r>
          </w:p>
        </w:tc>
        <w:tc>
          <w:tcPr>
            <w:tcW w:w="2693" w:type="dxa"/>
            <w:vAlign w:val="center"/>
          </w:tcPr>
          <w:p w14:paraId="37162A5F">
            <w:pPr>
              <w:adjustRightInd w:val="0"/>
              <w:snapToGrid w:val="0"/>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招标代理费及建设工程交易费等</w:t>
            </w:r>
          </w:p>
          <w:p w14:paraId="6224F17D">
            <w:pPr>
              <w:adjustRightInd w:val="0"/>
              <w:snapToGrid w:val="0"/>
              <w:spacing w:line="360" w:lineRule="auto"/>
              <w:jc w:val="left"/>
              <w:rPr>
                <w:rFonts w:asciiTheme="minorEastAsia" w:hAnsiTheme="minorEastAsia" w:eastAsiaTheme="minorEastAsia"/>
                <w:szCs w:val="21"/>
              </w:rPr>
            </w:pPr>
          </w:p>
        </w:tc>
        <w:tc>
          <w:tcPr>
            <w:tcW w:w="4678" w:type="dxa"/>
            <w:vAlign w:val="center"/>
          </w:tcPr>
          <w:p w14:paraId="2FFC9A6B">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□集中采购机构不收代理服务费。</w:t>
            </w:r>
          </w:p>
          <w:p w14:paraId="2EE7AA79">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lang w:eastAsia="zh-CN"/>
              </w:rPr>
              <w:t>☑招标代理服务费由采购人支付，</w:t>
            </w:r>
            <w:r>
              <w:rPr>
                <w:rFonts w:hint="eastAsia" w:asciiTheme="minorEastAsia" w:hAnsiTheme="minorEastAsia" w:eastAsiaTheme="minorEastAsia"/>
                <w:szCs w:val="21"/>
              </w:rPr>
              <w:t>在中标、成交公告发布之日起10个工作日内,由采购代理机构向采购人一次性收取。</w:t>
            </w:r>
          </w:p>
        </w:tc>
      </w:tr>
      <w:tr w14:paraId="017D41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49B34E35">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第35.1</w:t>
            </w:r>
            <w:r>
              <w:rPr>
                <w:rFonts w:hint="eastAsia" w:cs="宋体" w:asciiTheme="minorEastAsia" w:hAnsiTheme="minorEastAsia" w:eastAsiaTheme="minorEastAsia"/>
                <w:kern w:val="0"/>
                <w:szCs w:val="21"/>
                <w:lang w:val="zh-CN"/>
              </w:rPr>
              <w:t>款</w:t>
            </w:r>
          </w:p>
        </w:tc>
        <w:tc>
          <w:tcPr>
            <w:tcW w:w="2693" w:type="dxa"/>
            <w:vAlign w:val="center"/>
          </w:tcPr>
          <w:p w14:paraId="6C03B501">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其他规定</w:t>
            </w:r>
          </w:p>
        </w:tc>
        <w:tc>
          <w:tcPr>
            <w:tcW w:w="4678" w:type="dxa"/>
            <w:vAlign w:val="center"/>
          </w:tcPr>
          <w:p w14:paraId="63D7A5AD">
            <w:pPr>
              <w:adjustRightInd w:val="0"/>
              <w:snapToGrid w:val="0"/>
              <w:spacing w:line="360" w:lineRule="exact"/>
              <w:rPr>
                <w:rFonts w:ascii="宋体" w:hAnsi="宋体" w:eastAsia="宋体" w:cs="Times New Roman"/>
                <w:szCs w:val="21"/>
              </w:rPr>
            </w:pPr>
            <w:r>
              <w:rPr>
                <w:rFonts w:hint="eastAsia" w:ascii="宋体" w:hAnsi="宋体" w:eastAsia="宋体" w:cs="Times New Roman"/>
                <w:szCs w:val="21"/>
              </w:rPr>
              <w:t>1、合同价款支付方式：签订合同时约定。</w:t>
            </w:r>
          </w:p>
          <w:p w14:paraId="2C2A9A6A">
            <w:pPr>
              <w:adjustRightInd w:val="0"/>
              <w:snapToGrid w:val="0"/>
              <w:spacing w:line="360" w:lineRule="exact"/>
              <w:rPr>
                <w:rFonts w:ascii="宋体" w:hAnsi="宋体" w:eastAsia="宋体" w:cs="Times New Roman"/>
                <w:szCs w:val="21"/>
              </w:rPr>
            </w:pPr>
            <w:r>
              <w:rPr>
                <w:rFonts w:hint="eastAsia" w:ascii="宋体" w:hAnsi="宋体" w:eastAsia="宋体" w:cs="Times New Roman"/>
                <w:szCs w:val="21"/>
              </w:rPr>
              <w:t>2、地 点：</w:t>
            </w:r>
            <w:r>
              <w:rPr>
                <w:rFonts w:hint="eastAsia" w:ascii="宋体" w:hAnsi="宋体" w:eastAsia="宋体" w:cs="Times New Roman"/>
                <w:szCs w:val="21"/>
                <w:lang w:eastAsia="zh-CN"/>
              </w:rPr>
              <w:t>桂阳县卫生健康局</w:t>
            </w:r>
            <w:r>
              <w:rPr>
                <w:rFonts w:hint="eastAsia" w:ascii="宋体" w:hAnsi="宋体" w:eastAsia="宋体" w:cs="Times New Roman"/>
                <w:szCs w:val="21"/>
              </w:rPr>
              <w:t>指定地点；</w:t>
            </w:r>
          </w:p>
          <w:p w14:paraId="534E8020">
            <w:pPr>
              <w:widowControl/>
              <w:jc w:val="left"/>
              <w:rPr>
                <w:rFonts w:ascii="宋体" w:hAnsi="宋体" w:eastAsia="宋体" w:cs="Times New Roman"/>
                <w:szCs w:val="21"/>
              </w:rPr>
            </w:pPr>
            <w:r>
              <w:rPr>
                <w:rFonts w:hint="eastAsia" w:ascii="宋体" w:hAnsi="宋体" w:eastAsia="宋体" w:cs="Times New Roman"/>
                <w:szCs w:val="21"/>
              </w:rPr>
              <w:t>3、</w:t>
            </w:r>
            <w:r>
              <w:rPr>
                <w:rFonts w:hint="eastAsia" w:ascii="宋体" w:hAnsi="宋体" w:eastAsia="宋体" w:cs="Times New Roman"/>
                <w:szCs w:val="21"/>
                <w:lang w:eastAsia="zh-CN"/>
              </w:rPr>
              <w:t>服务期：</w:t>
            </w:r>
            <w:r>
              <w:rPr>
                <w:rFonts w:hint="eastAsia" w:ascii="宋体" w:hAnsi="宋体" w:cs="Times New Roman"/>
                <w:szCs w:val="21"/>
                <w:lang w:eastAsia="zh-CN"/>
              </w:rPr>
              <w:t>三</w:t>
            </w:r>
            <w:r>
              <w:rPr>
                <w:rFonts w:hint="eastAsia" w:ascii="宋体" w:hAnsi="宋体" w:eastAsia="宋体" w:cs="Times New Roman"/>
                <w:szCs w:val="21"/>
                <w:lang w:eastAsia="zh-CN"/>
              </w:rPr>
              <w:t xml:space="preserve">年 </w:t>
            </w:r>
            <w:r>
              <w:rPr>
                <w:rFonts w:hint="eastAsia" w:ascii="宋体" w:hAnsi="宋体" w:eastAsia="宋体" w:cs="宋体"/>
                <w:color w:val="000000"/>
                <w:kern w:val="0"/>
                <w:szCs w:val="21"/>
              </w:rPr>
              <w:t>。</w:t>
            </w:r>
          </w:p>
          <w:p w14:paraId="52BC0252">
            <w:pPr>
              <w:adjustRightInd w:val="0"/>
              <w:snapToGrid w:val="0"/>
              <w:spacing w:line="360" w:lineRule="auto"/>
              <w:rPr>
                <w:rFonts w:asciiTheme="minorEastAsia" w:hAnsiTheme="minorEastAsia" w:eastAsiaTheme="minorEastAsia"/>
                <w:szCs w:val="21"/>
                <w:u w:val="single"/>
              </w:rPr>
            </w:pPr>
            <w:r>
              <w:rPr>
                <w:rFonts w:hint="eastAsia" w:ascii="宋体" w:hAnsi="宋体" w:eastAsia="宋体" w:cs="Times New Roman"/>
                <w:szCs w:val="21"/>
              </w:rPr>
              <w:t>4、中标人须在中标通知书发放前提交与网上投标文件一致的纸质投标文件伍份，U盘盖章扫描件壹份。</w:t>
            </w:r>
          </w:p>
        </w:tc>
      </w:tr>
    </w:tbl>
    <w:p w14:paraId="7F68FAF4">
      <w:pPr>
        <w:adjustRightInd w:val="0"/>
        <w:snapToGrid w:val="0"/>
        <w:spacing w:line="360" w:lineRule="auto"/>
        <w:rPr>
          <w:rFonts w:ascii="宋体" w:hAnsi="宋体"/>
          <w:b/>
          <w:szCs w:val="21"/>
        </w:rPr>
      </w:pPr>
      <w:r>
        <w:rPr>
          <w:rFonts w:ascii="宋体" w:hAnsi="宋体"/>
          <w:b/>
          <w:szCs w:val="21"/>
        </w:rPr>
        <w:br w:type="page"/>
      </w:r>
    </w:p>
    <w:p w14:paraId="0C518C8B">
      <w:pPr>
        <w:pStyle w:val="3"/>
        <w:adjustRightInd w:val="0"/>
        <w:snapToGrid w:val="0"/>
        <w:spacing w:before="156" w:beforeLines="50"/>
        <w:jc w:val="center"/>
        <w:rPr>
          <w:rFonts w:ascii="黑体" w:hAnsi="黑体" w:eastAsia="黑体"/>
          <w:sz w:val="28"/>
          <w:szCs w:val="28"/>
        </w:rPr>
      </w:pPr>
      <w:bookmarkStart w:id="12" w:name="_Toc11081"/>
      <w:bookmarkStart w:id="13" w:name="_Toc29913896"/>
      <w:bookmarkStart w:id="14" w:name="_Toc30356"/>
      <w:bookmarkStart w:id="15" w:name="_Toc30509"/>
      <w:r>
        <w:rPr>
          <w:rFonts w:hint="eastAsia" w:ascii="黑体" w:hAnsi="黑体" w:eastAsia="黑体"/>
          <w:sz w:val="28"/>
          <w:szCs w:val="28"/>
        </w:rPr>
        <w:t>第二节 投标须知</w:t>
      </w:r>
      <w:bookmarkEnd w:id="12"/>
      <w:bookmarkEnd w:id="13"/>
      <w:bookmarkEnd w:id="14"/>
      <w:bookmarkEnd w:id="15"/>
    </w:p>
    <w:p w14:paraId="6C65BC0B">
      <w:pPr>
        <w:pStyle w:val="4"/>
        <w:adjustRightInd w:val="0"/>
        <w:snapToGrid w:val="0"/>
        <w:spacing w:before="156" w:beforeLines="50" w:after="0" w:line="360" w:lineRule="auto"/>
        <w:jc w:val="center"/>
        <w:rPr>
          <w:rFonts w:ascii="黑体" w:hAnsi="黑体" w:eastAsia="黑体"/>
          <w:b w:val="0"/>
          <w:sz w:val="28"/>
          <w:szCs w:val="28"/>
        </w:rPr>
      </w:pPr>
      <w:bookmarkStart w:id="16" w:name="_Toc20074"/>
      <w:bookmarkStart w:id="17" w:name="_Toc13834"/>
      <w:bookmarkStart w:id="18" w:name="_Toc29913897"/>
      <w:r>
        <w:rPr>
          <w:rFonts w:hint="eastAsia" w:ascii="黑体" w:hAnsi="黑体" w:eastAsia="黑体"/>
          <w:sz w:val="28"/>
          <w:szCs w:val="28"/>
        </w:rPr>
        <w:t>一、总则</w:t>
      </w:r>
      <w:bookmarkEnd w:id="16"/>
      <w:bookmarkEnd w:id="17"/>
      <w:bookmarkEnd w:id="18"/>
    </w:p>
    <w:p w14:paraId="03C13569">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1. 适用范围</w:t>
      </w:r>
    </w:p>
    <w:p w14:paraId="3B959331">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1.1本招标文件仅适用于本章第一节“投标须知前附表”（以下简称</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）中所叙述的采购项目。</w:t>
      </w:r>
    </w:p>
    <w:p w14:paraId="12AE8860">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1.2</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规定采购项目专门面向中小企业采购的，如投标人为非中小企业，其</w:t>
      </w:r>
      <w:r>
        <w:rPr>
          <w:rFonts w:hint="eastAsia" w:asciiTheme="minorEastAsia" w:hAnsiTheme="minorEastAsia" w:eastAsiaTheme="minorEastAsia"/>
          <w:b/>
          <w:szCs w:val="21"/>
        </w:rPr>
        <w:t>投标无效</w:t>
      </w:r>
      <w:r>
        <w:rPr>
          <w:rFonts w:hint="eastAsia" w:asciiTheme="minorEastAsia" w:hAnsiTheme="minorEastAsia" w:eastAsiaTheme="minorEastAsia"/>
          <w:szCs w:val="21"/>
        </w:rPr>
        <w:t>。</w:t>
      </w:r>
    </w:p>
    <w:p w14:paraId="5F114704">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2. 定义</w:t>
      </w:r>
    </w:p>
    <w:p w14:paraId="2EB6E900">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2.1采购项目联系人姓名和电话见</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w:t>
      </w:r>
    </w:p>
    <w:p w14:paraId="7B38753F">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2.2采购人名称、地址、电话、联系人见</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w:t>
      </w:r>
    </w:p>
    <w:p w14:paraId="577ADFDA">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2.3采购代理机构名称、地址、电话、联系人见</w:t>
      </w:r>
      <w:r>
        <w:rPr>
          <w:rFonts w:hint="eastAsia" w:asciiTheme="minorEastAsia" w:hAnsiTheme="minorEastAsia" w:eastAsiaTheme="minorEastAsia"/>
          <w:b/>
          <w:szCs w:val="21"/>
        </w:rPr>
        <w:t>【投标须知前附表】。</w:t>
      </w:r>
    </w:p>
    <w:p w14:paraId="352693AB">
      <w:pPr>
        <w:adjustRightInd w:val="0"/>
        <w:snapToGrid w:val="0"/>
        <w:spacing w:before="156" w:beforeLines="50" w:line="360" w:lineRule="auto"/>
        <w:ind w:firstLine="420" w:firstLineChars="200"/>
        <w:jc w:val="left"/>
        <w:rPr>
          <w:rFonts w:asciiTheme="minorEastAsia" w:hAnsiTheme="minorEastAsia" w:eastAsiaTheme="minorEastAsia"/>
          <w:b/>
          <w:szCs w:val="21"/>
        </w:rPr>
      </w:pPr>
      <w:r>
        <w:rPr>
          <w:rFonts w:hint="eastAsia" w:asciiTheme="minorEastAsia" w:hAnsiTheme="minorEastAsia" w:eastAsiaTheme="minorEastAsia"/>
          <w:szCs w:val="21"/>
        </w:rPr>
        <w:t>2.4投标人系指响应招标、参加投标竞争的法人、其他组织或自然人。</w:t>
      </w:r>
    </w:p>
    <w:p w14:paraId="23FC2E92">
      <w:pPr>
        <w:adjustRightInd w:val="0"/>
        <w:snapToGrid w:val="0"/>
        <w:spacing w:before="156" w:beforeLines="50" w:line="360" w:lineRule="auto"/>
        <w:ind w:firstLine="420" w:firstLineChars="200"/>
        <w:jc w:val="left"/>
        <w:rPr>
          <w:rFonts w:cs="宋体" w:asciiTheme="minorEastAsia" w:hAnsiTheme="minorEastAsia" w:eastAsiaTheme="minorEastAsia"/>
          <w:kern w:val="0"/>
          <w:szCs w:val="21"/>
        </w:rPr>
      </w:pPr>
      <w:r>
        <w:rPr>
          <w:rFonts w:asciiTheme="minorEastAsia" w:hAnsiTheme="minorEastAsia" w:eastAsiaTheme="minorEastAsia"/>
          <w:szCs w:val="21"/>
        </w:rPr>
        <w:t>2.</w:t>
      </w:r>
      <w:r>
        <w:rPr>
          <w:rFonts w:hint="eastAsia" w:asciiTheme="minorEastAsia" w:hAnsiTheme="minorEastAsia" w:eastAsiaTheme="minorEastAsia"/>
          <w:szCs w:val="21"/>
        </w:rPr>
        <w:t>5</w:t>
      </w:r>
      <w:r>
        <w:rPr>
          <w:rFonts w:hint="eastAsia" w:cs="宋体" w:asciiTheme="minorEastAsia" w:hAnsiTheme="minorEastAsia" w:eastAsiaTheme="minorEastAsia"/>
          <w:kern w:val="0"/>
          <w:szCs w:val="21"/>
        </w:rPr>
        <w:t>进口产品是指符合《政府采购进口产品管理办法》（财库〔2007〕119号）和《关于政府采购进口产品管理有关问题的通知》（财办库〔2008〕248号）文件规定的产品。除</w:t>
      </w:r>
      <w:r>
        <w:rPr>
          <w:rFonts w:hint="eastAsia" w:asciiTheme="minorEastAsia" w:hAnsiTheme="minorEastAsia" w:eastAsiaTheme="minorEastAsia"/>
          <w:b/>
          <w:szCs w:val="21"/>
        </w:rPr>
        <w:t>【投标须知前附表】</w:t>
      </w:r>
      <w:r>
        <w:rPr>
          <w:rFonts w:hint="eastAsia" w:cs="宋体" w:asciiTheme="minorEastAsia" w:hAnsiTheme="minorEastAsia" w:eastAsiaTheme="minorEastAsia"/>
          <w:kern w:val="0"/>
          <w:szCs w:val="21"/>
        </w:rPr>
        <w:t>另有规定外，采购项目</w:t>
      </w:r>
      <w:r>
        <w:rPr>
          <w:rFonts w:hint="eastAsia" w:cs="宋体" w:asciiTheme="minorEastAsia" w:hAnsiTheme="minorEastAsia" w:eastAsiaTheme="minorEastAsia"/>
          <w:b/>
          <w:kern w:val="0"/>
          <w:szCs w:val="21"/>
        </w:rPr>
        <w:t>拒绝进口产品参加投标</w:t>
      </w:r>
      <w:r>
        <w:rPr>
          <w:rFonts w:hint="eastAsia" w:cs="宋体" w:asciiTheme="minorEastAsia" w:hAnsiTheme="minorEastAsia" w:eastAsiaTheme="minorEastAsia"/>
          <w:kern w:val="0"/>
          <w:szCs w:val="21"/>
        </w:rPr>
        <w:t>。本款规定同意购买进口产品的，不限制满足招标文件要求的国内产品参与投标竞争。</w:t>
      </w:r>
    </w:p>
    <w:p w14:paraId="2527A6FB">
      <w:pPr>
        <w:adjustRightInd w:val="0"/>
        <w:snapToGrid w:val="0"/>
        <w:spacing w:before="156"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2.6电子招标投标：是指电子招标投标参与各方（采购人、采购代理机构、供应商、评审专家）按照相关法律法规的规定，应用网络信息技术，使用CA数字证书（含电子签章、签名）在电子招标投标交易平台(以下简称交易平台)，进行的招标投标活动。</w:t>
      </w:r>
    </w:p>
    <w:p w14:paraId="0C3A5BC6">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3. 投标人的资格要求</w:t>
      </w:r>
    </w:p>
    <w:p w14:paraId="591EDCF7">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3.1投标人应当符合</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规定的投标人资格条件。</w:t>
      </w:r>
    </w:p>
    <w:p w14:paraId="5EDFF60E">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3.2</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规定接受联合体形式投标的，投标人除应符合本章第3.1</w:t>
      </w:r>
      <w:r>
        <w:rPr>
          <w:rFonts w:hint="eastAsia" w:cs="宋体" w:asciiTheme="minorEastAsia" w:hAnsiTheme="minorEastAsia" w:eastAsiaTheme="minorEastAsia"/>
          <w:kern w:val="0"/>
          <w:szCs w:val="21"/>
          <w:lang w:val="zh-CN"/>
        </w:rPr>
        <w:t>款</w:t>
      </w:r>
      <w:r>
        <w:rPr>
          <w:rFonts w:hint="eastAsia" w:asciiTheme="minorEastAsia" w:hAnsiTheme="minorEastAsia" w:eastAsiaTheme="minorEastAsia"/>
          <w:szCs w:val="21"/>
        </w:rPr>
        <w:t xml:space="preserve">规定外，还应遵守以下规定： </w:t>
      </w:r>
    </w:p>
    <w:p w14:paraId="497CD5A1">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（l）联合体中有同类资质的供应商按照联合体分工承担相同工作的，应当按照资质等级较低的供应商确定资质等级。</w:t>
      </w:r>
    </w:p>
    <w:p w14:paraId="6A4B8E7D">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（2）联合体各方应按招标文件提供的格式签订联合体协议书，明确联合体牵头人和各方的权利义务、合同工作量比例；</w:t>
      </w:r>
    </w:p>
    <w:p w14:paraId="2E5018C1">
      <w:pPr>
        <w:adjustRightInd w:val="0"/>
        <w:snapToGrid w:val="0"/>
        <w:spacing w:before="156" w:beforeLines="50" w:line="360" w:lineRule="auto"/>
        <w:ind w:firstLine="420" w:firstLineChars="200"/>
        <w:jc w:val="left"/>
        <w:rPr>
          <w:rFonts w:cs="宋体" w:asciiTheme="minorEastAsia" w:hAnsiTheme="minorEastAsia" w:eastAsiaTheme="minorEastAsia"/>
          <w:kern w:val="0"/>
          <w:szCs w:val="21"/>
          <w:lang w:val="zh-CN"/>
        </w:rPr>
      </w:pPr>
      <w:r>
        <w:rPr>
          <w:rFonts w:hint="eastAsia" w:asciiTheme="minorEastAsia" w:hAnsiTheme="minorEastAsia" w:eastAsiaTheme="minorEastAsia"/>
          <w:szCs w:val="21"/>
        </w:rPr>
        <w:t>（3）联合体各方签订联合体协议书后，</w:t>
      </w:r>
      <w:r>
        <w:rPr>
          <w:rFonts w:hint="eastAsia" w:cs="宋体" w:asciiTheme="minorEastAsia" w:hAnsiTheme="minorEastAsia" w:eastAsiaTheme="minorEastAsia"/>
          <w:kern w:val="0"/>
          <w:szCs w:val="21"/>
          <w:lang w:val="zh-CN"/>
        </w:rPr>
        <w:t>不得再单独参加或者与其他投标人组成新的联合体参加同一合同项下的采购活动。</w:t>
      </w:r>
    </w:p>
    <w:p w14:paraId="3DDB72DA">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 xml:space="preserve">4. 投标费用 </w:t>
      </w:r>
    </w:p>
    <w:p w14:paraId="24811F44">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4.1投标人应自行承担所有参与投标的相关费用，不论投标的结果如何，采购人、采购代理机构均无义务和责任承担这些费用。</w:t>
      </w:r>
    </w:p>
    <w:p w14:paraId="7F1C001F">
      <w:pPr>
        <w:adjustRightInd w:val="0"/>
        <w:snapToGrid w:val="0"/>
        <w:spacing w:before="156" w:beforeLines="50"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5．组织现场考察或者召开答疑会</w:t>
      </w:r>
    </w:p>
    <w:p w14:paraId="7CE6AAE2">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rPr>
        <w:t>5.1采购人、采购代理机构可以在</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规定的招标文件提供期限截止后，组织已获取招标文件的潜在投标人现场考察或者召开开标前答疑会。</w:t>
      </w:r>
    </w:p>
    <w:p w14:paraId="348F72EF">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5.2获取招标文件的潜在投标人应按</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规定参加现场考察或者答疑会；如不参加，其风险由其自行承担。</w:t>
      </w:r>
    </w:p>
    <w:p w14:paraId="0497766C">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5.3潜在投标人现场考察或者参加答疑会的费用由自己承担，现场考察期间所发生的人身伤害及财产损失由自己负责。</w:t>
      </w:r>
    </w:p>
    <w:p w14:paraId="7187D4C7">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5.4采购人、采购代理机构不对投标人据此而做出的推论、理解和结论负责。投标人一旦中标，不得以任何借口，提出额外补偿，或延长合同期限的要求。</w:t>
      </w:r>
    </w:p>
    <w:p w14:paraId="2C9226FD">
      <w:pPr>
        <w:pStyle w:val="4"/>
        <w:adjustRightInd w:val="0"/>
        <w:snapToGrid w:val="0"/>
        <w:spacing w:before="156" w:beforeLines="50" w:after="0" w:line="360" w:lineRule="auto"/>
        <w:jc w:val="center"/>
        <w:rPr>
          <w:rFonts w:ascii="黑体" w:hAnsi="黑体" w:eastAsia="黑体"/>
          <w:sz w:val="28"/>
          <w:szCs w:val="28"/>
        </w:rPr>
      </w:pPr>
      <w:bookmarkStart w:id="19" w:name="_Toc6469"/>
      <w:bookmarkStart w:id="20" w:name="_Toc27126"/>
      <w:bookmarkStart w:id="21" w:name="_Toc29913898"/>
      <w:r>
        <w:rPr>
          <w:rFonts w:hint="eastAsia" w:ascii="黑体" w:hAnsi="黑体" w:eastAsia="黑体"/>
          <w:sz w:val="28"/>
          <w:szCs w:val="28"/>
        </w:rPr>
        <w:t>二、招标文件</w:t>
      </w:r>
      <w:bookmarkEnd w:id="19"/>
      <w:bookmarkEnd w:id="20"/>
      <w:bookmarkEnd w:id="21"/>
    </w:p>
    <w:p w14:paraId="3FB7B416">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6. 招标文件的构成</w:t>
      </w:r>
    </w:p>
    <w:p w14:paraId="32F95EAC">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6.1 招标文件共七章，各章内容如下：</w:t>
      </w:r>
    </w:p>
    <w:p w14:paraId="5F280894">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第一章 投标邀请</w:t>
      </w:r>
    </w:p>
    <w:p w14:paraId="6B4EFB68">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第二章 投标须知</w:t>
      </w:r>
    </w:p>
    <w:p w14:paraId="14999F84">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第三章 资格审查</w:t>
      </w:r>
    </w:p>
    <w:p w14:paraId="3AABC0CB">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第四章 评标方法及标准</w:t>
      </w:r>
    </w:p>
    <w:p w14:paraId="580A50B0">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第五章 采购需求</w:t>
      </w:r>
    </w:p>
    <w:p w14:paraId="0FC60F33">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第六章 政府采购合同</w:t>
      </w:r>
    </w:p>
    <w:p w14:paraId="370B3FF5">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第七章 投标文件的组成</w:t>
      </w:r>
    </w:p>
    <w:p w14:paraId="1C672B5E">
      <w:pPr>
        <w:adjustRightInd w:val="0"/>
        <w:snapToGrid w:val="0"/>
        <w:spacing w:before="156" w:beforeLines="50" w:line="360" w:lineRule="auto"/>
        <w:ind w:firstLine="420" w:firstLineChars="200"/>
        <w:jc w:val="left"/>
        <w:rPr>
          <w:rFonts w:cs="宋体" w:asciiTheme="minorEastAsia" w:hAnsiTheme="minorEastAsia" w:eastAsiaTheme="minorEastAsia"/>
          <w:b/>
          <w:szCs w:val="21"/>
        </w:rPr>
      </w:pPr>
      <w:r>
        <w:rPr>
          <w:rFonts w:hint="eastAsia" w:asciiTheme="minorEastAsia" w:hAnsiTheme="minorEastAsia" w:eastAsiaTheme="minorEastAsia"/>
          <w:szCs w:val="21"/>
        </w:rPr>
        <w:t>6.2采购人、采购代理机构在提交投标文件截止时间前</w:t>
      </w:r>
      <w:r>
        <w:rPr>
          <w:rFonts w:hint="eastAsia" w:cs="宋体" w:asciiTheme="minorEastAsia" w:hAnsiTheme="minorEastAsia" w:eastAsiaTheme="minorEastAsia"/>
          <w:szCs w:val="21"/>
        </w:rPr>
        <w:t>对招标文件所作的澄清或者修改，构成招标文件的组成部分。</w:t>
      </w:r>
    </w:p>
    <w:p w14:paraId="06421012">
      <w:pPr>
        <w:adjustRightInd w:val="0"/>
        <w:snapToGrid w:val="0"/>
        <w:spacing w:before="156" w:beforeLines="50"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7．偏离与实质性响应</w:t>
      </w:r>
    </w:p>
    <w:p w14:paraId="50862853">
      <w:pPr>
        <w:adjustRightInd w:val="0"/>
        <w:snapToGrid w:val="0"/>
        <w:spacing w:before="156" w:beforeLines="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7.1投标人应当按照招标文件的要求编制投标文件。投标文件应当对招标文件提出的要求和条件作出明确响应。</w:t>
      </w:r>
    </w:p>
    <w:p w14:paraId="39BEFA4F">
      <w:pPr>
        <w:adjustRightInd w:val="0"/>
        <w:snapToGrid w:val="0"/>
        <w:spacing w:before="156" w:beforeLines="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7.2偏离是指投标文件不响应或者不满足招标文件提出的要求和条件，分为实质性偏离和非实质性偏离。</w:t>
      </w:r>
    </w:p>
    <w:p w14:paraId="1CB8CB65">
      <w:pPr>
        <w:adjustRightInd w:val="0"/>
        <w:snapToGrid w:val="0"/>
        <w:spacing w:before="156" w:beforeLines="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7.3除法律、法规和招标文件规定的其他投标无效情形外，招标文件中用“★”符号标明的条款为实质性要求和条件，对其中任何一条的偏离，为实质性偏离，</w:t>
      </w:r>
      <w:r>
        <w:rPr>
          <w:rFonts w:hint="eastAsia" w:asciiTheme="minorEastAsia" w:hAnsiTheme="minorEastAsia" w:eastAsiaTheme="minorEastAsia"/>
          <w:b/>
        </w:rPr>
        <w:t>其投标无效</w:t>
      </w:r>
      <w:r>
        <w:rPr>
          <w:rFonts w:hint="eastAsia" w:asciiTheme="minorEastAsia" w:hAnsiTheme="minorEastAsia" w:eastAsiaTheme="minorEastAsia"/>
        </w:rPr>
        <w:t>。</w:t>
      </w:r>
    </w:p>
    <w:p w14:paraId="4CC8F2A6">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7.4投标</w:t>
      </w:r>
      <w:r>
        <w:rPr>
          <w:rFonts w:hint="eastAsia" w:asciiTheme="minorEastAsia" w:hAnsiTheme="minorEastAsia" w:eastAsiaTheme="minorEastAsia"/>
          <w:szCs w:val="21"/>
        </w:rPr>
        <w:t>文件偏离招标文件的非实质性要求和条件，为非实质性偏离。非实质性偏离的范围和幅度应当符合</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的规定，</w:t>
      </w:r>
      <w:r>
        <w:rPr>
          <w:rFonts w:hint="eastAsia" w:asciiTheme="minorEastAsia" w:hAnsiTheme="minorEastAsia" w:eastAsiaTheme="minorEastAsia"/>
          <w:b/>
          <w:szCs w:val="21"/>
        </w:rPr>
        <w:t>否</w:t>
      </w:r>
      <w:r>
        <w:rPr>
          <w:rFonts w:hint="eastAsia" w:asciiTheme="minorEastAsia" w:hAnsiTheme="minorEastAsia" w:eastAsiaTheme="minorEastAsia"/>
          <w:b/>
        </w:rPr>
        <w:t>则投标无效</w:t>
      </w:r>
      <w:r>
        <w:rPr>
          <w:rFonts w:hint="eastAsia" w:asciiTheme="minorEastAsia" w:hAnsiTheme="minorEastAsia" w:eastAsiaTheme="minorEastAsia"/>
        </w:rPr>
        <w:t>。</w:t>
      </w:r>
    </w:p>
    <w:p w14:paraId="511B4FD1">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sz w:val="24"/>
        </w:rPr>
        <w:t>8. 询问</w:t>
      </w:r>
    </w:p>
    <w:p w14:paraId="19F7BEDB">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8.1潜在投标人应仔细阅读和检查招标文件的全部内容。如有疑问，可以向采购人或者采购代理机构提出询问。</w:t>
      </w:r>
    </w:p>
    <w:p w14:paraId="4D1A357F">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9. 招标文件的澄清或者修改</w:t>
      </w:r>
    </w:p>
    <w:p w14:paraId="4827A30F">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9.1采购人、采购代理机构对已发出的招标文件进行必要澄清或者修改的，将在</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规定的</w:t>
      </w:r>
      <w:r>
        <w:rPr>
          <w:rFonts w:hint="eastAsia" w:asciiTheme="minorEastAsia" w:hAnsiTheme="minorEastAsia" w:eastAsiaTheme="minorEastAsia"/>
        </w:rPr>
        <w:t>招标公告指定媒体上发布澄清或者修改公告。</w:t>
      </w:r>
    </w:p>
    <w:p w14:paraId="5D17B9A7">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cs="宋体" w:asciiTheme="minorEastAsia" w:hAnsiTheme="minorEastAsia" w:eastAsiaTheme="minorEastAsia"/>
          <w:kern w:val="0"/>
          <w:szCs w:val="21"/>
        </w:rPr>
        <w:t>9.2澄清或者修改</w:t>
      </w:r>
      <w:r>
        <w:rPr>
          <w:rFonts w:hint="eastAsia" w:asciiTheme="minorEastAsia" w:hAnsiTheme="minorEastAsia" w:eastAsiaTheme="minorEastAsia"/>
        </w:rPr>
        <w:t>的</w:t>
      </w:r>
      <w:r>
        <w:rPr>
          <w:rFonts w:hint="eastAsia" w:cs="宋体" w:asciiTheme="minorEastAsia" w:hAnsiTheme="minorEastAsia" w:eastAsiaTheme="minorEastAsia"/>
          <w:kern w:val="0"/>
          <w:szCs w:val="21"/>
        </w:rPr>
        <w:t>内容可能影响投标文件编制的，采购人、采购代理机构</w:t>
      </w:r>
      <w:r>
        <w:rPr>
          <w:rFonts w:hint="eastAsia" w:asciiTheme="minorEastAsia" w:hAnsiTheme="minorEastAsia" w:eastAsiaTheme="minorEastAsia"/>
        </w:rPr>
        <w:t>将</w:t>
      </w:r>
      <w:r>
        <w:rPr>
          <w:rFonts w:hint="eastAsia" w:cs="宋体" w:asciiTheme="minorEastAsia" w:hAnsiTheme="minorEastAsia" w:eastAsiaTheme="minorEastAsia"/>
          <w:kern w:val="0"/>
          <w:szCs w:val="21"/>
        </w:rPr>
        <w:t>在提交投标文件截止时间15日前，</w:t>
      </w:r>
      <w:r>
        <w:rPr>
          <w:rFonts w:hint="eastAsia" w:asciiTheme="minorEastAsia" w:hAnsiTheme="minorEastAsia" w:eastAsiaTheme="minorEastAsia"/>
        </w:rPr>
        <w:t>以数据电文形式通知所有获取招标文件的潜在投标人；不足15日的，将相应延长提交投标文件的截止时间。</w:t>
      </w:r>
    </w:p>
    <w:p w14:paraId="18256C87">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9</w:t>
      </w:r>
      <w:r>
        <w:rPr>
          <w:rFonts w:asciiTheme="minorEastAsia" w:hAnsiTheme="minorEastAsia" w:eastAsiaTheme="minorEastAsia"/>
        </w:rPr>
        <w:t>.3</w:t>
      </w:r>
      <w:r>
        <w:rPr>
          <w:rFonts w:hint="eastAsia" w:asciiTheme="minorEastAsia" w:hAnsiTheme="minorEastAsia" w:eastAsiaTheme="minorEastAsia"/>
        </w:rPr>
        <w:t>招标文件的提供期限届满后，获取招标文件的潜在投标人不足3家的，可以顺延提供期限，并在指定媒体上发布修改公告。</w:t>
      </w:r>
    </w:p>
    <w:p w14:paraId="1BBF2541">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9.4 通过交易平台下载招标文件的，请获取招标文件的潜在投标人及时关注</w:t>
      </w:r>
      <w:r>
        <w:rPr>
          <w:rFonts w:hint="eastAsia" w:asciiTheme="minorEastAsia" w:hAnsiTheme="minorEastAsia" w:eastAsiaTheme="minorEastAsia"/>
          <w:szCs w:val="21"/>
        </w:rPr>
        <w:t>招标公告指定媒体</w:t>
      </w:r>
      <w:r>
        <w:rPr>
          <w:rFonts w:hint="eastAsia" w:asciiTheme="minorEastAsia" w:hAnsiTheme="minorEastAsia" w:eastAsiaTheme="minorEastAsia"/>
        </w:rPr>
        <w:t>发布的澄清或者修改公告。</w:t>
      </w:r>
    </w:p>
    <w:p w14:paraId="7911CDCF">
      <w:pPr>
        <w:pStyle w:val="4"/>
        <w:adjustRightInd w:val="0"/>
        <w:snapToGrid w:val="0"/>
        <w:spacing w:before="156" w:beforeLines="50" w:after="0" w:line="360" w:lineRule="auto"/>
        <w:jc w:val="center"/>
        <w:rPr>
          <w:rFonts w:ascii="黑体" w:hAnsi="黑体" w:eastAsia="黑体"/>
          <w:sz w:val="28"/>
          <w:szCs w:val="28"/>
        </w:rPr>
      </w:pPr>
      <w:bookmarkStart w:id="22" w:name="_Toc29913899"/>
      <w:bookmarkStart w:id="23" w:name="_Toc32523"/>
      <w:bookmarkStart w:id="24" w:name="_Toc21946"/>
      <w:r>
        <w:rPr>
          <w:rFonts w:hint="eastAsia" w:ascii="黑体" w:hAnsi="黑体" w:eastAsia="黑体"/>
          <w:sz w:val="28"/>
          <w:szCs w:val="28"/>
        </w:rPr>
        <w:t>三、投标文件</w:t>
      </w:r>
      <w:bookmarkEnd w:id="22"/>
      <w:bookmarkEnd w:id="23"/>
      <w:bookmarkEnd w:id="24"/>
    </w:p>
    <w:p w14:paraId="688CC5BD">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10. 投标语言</w:t>
      </w:r>
    </w:p>
    <w:p w14:paraId="33629124">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10.1除专用术语外，投标人提交的投标文件及投标人与采购人、采购代理机构就有关投标的所有来往函电均使用中文。投标人可以提交其它语言的资料，但应附有中文注释，有差异时以中文为准。</w:t>
      </w:r>
    </w:p>
    <w:p w14:paraId="337093B2">
      <w:pPr>
        <w:adjustRightInd w:val="0"/>
        <w:snapToGrid w:val="0"/>
        <w:spacing w:before="156" w:beforeLines="50" w:line="360" w:lineRule="auto"/>
        <w:jc w:val="left"/>
        <w:rPr>
          <w:rFonts w:asciiTheme="minorEastAsia" w:hAnsiTheme="minorEastAsia" w:eastAsiaTheme="minorEastAsia"/>
          <w:b/>
          <w:sz w:val="24"/>
        </w:rPr>
      </w:pPr>
      <w:r>
        <w:rPr>
          <w:rFonts w:hint="eastAsia" w:asciiTheme="minorEastAsia" w:hAnsiTheme="minorEastAsia" w:eastAsiaTheme="minorEastAsia"/>
          <w:b/>
          <w:bCs/>
          <w:sz w:val="24"/>
        </w:rPr>
        <w:t xml:space="preserve">11. </w:t>
      </w:r>
      <w:r>
        <w:rPr>
          <w:rFonts w:hint="eastAsia" w:asciiTheme="minorEastAsia" w:hAnsiTheme="minorEastAsia" w:eastAsiaTheme="minorEastAsia"/>
          <w:b/>
          <w:sz w:val="24"/>
        </w:rPr>
        <w:t>计量单位</w:t>
      </w:r>
    </w:p>
    <w:p w14:paraId="2525F98B">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11.1所有计量均采用中华人民共和国法定计量单位。</w:t>
      </w:r>
    </w:p>
    <w:p w14:paraId="2D874DDE">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sz w:val="24"/>
        </w:rPr>
        <w:t xml:space="preserve">12. </w:t>
      </w:r>
      <w:r>
        <w:rPr>
          <w:rFonts w:hint="eastAsia" w:asciiTheme="minorEastAsia" w:hAnsiTheme="minorEastAsia" w:eastAsiaTheme="minorEastAsia"/>
          <w:b/>
          <w:bCs/>
          <w:sz w:val="24"/>
        </w:rPr>
        <w:t>投标文件的组成</w:t>
      </w:r>
    </w:p>
    <w:p w14:paraId="34816A43">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12.1投标文件由如下内容组成：</w:t>
      </w:r>
    </w:p>
    <w:p w14:paraId="15A39CB6">
      <w:pPr>
        <w:adjustRightInd w:val="0"/>
        <w:snapToGrid w:val="0"/>
        <w:spacing w:before="156" w:beforeLines="50" w:line="360" w:lineRule="auto"/>
        <w:ind w:firstLine="422" w:firstLineChars="200"/>
        <w:jc w:val="left"/>
        <w:rPr>
          <w:rFonts w:asciiTheme="minorEastAsia" w:hAnsiTheme="minorEastAsia" w:eastAsiaTheme="minorEastAsia"/>
          <w:b/>
          <w:szCs w:val="21"/>
        </w:rPr>
      </w:pPr>
      <w:r>
        <w:rPr>
          <w:rFonts w:hint="eastAsia" w:asciiTheme="minorEastAsia" w:hAnsiTheme="minorEastAsia" w:eastAsiaTheme="minorEastAsia"/>
          <w:b/>
          <w:szCs w:val="21"/>
        </w:rPr>
        <w:t>第一部分 资格证明文件</w:t>
      </w:r>
    </w:p>
    <w:p w14:paraId="58B0F7C8">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（1）开标一览表</w:t>
      </w:r>
    </w:p>
    <w:p w14:paraId="258F4C9F">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）法定代表人（单位负责人）身份证明或授权委托书</w:t>
      </w:r>
    </w:p>
    <w:p w14:paraId="7F73831F">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）投标人提供的资格证明文件</w:t>
      </w:r>
    </w:p>
    <w:p w14:paraId="19997D9C">
      <w:pPr>
        <w:adjustRightInd w:val="0"/>
        <w:snapToGrid w:val="0"/>
        <w:spacing w:before="156" w:beforeLines="50" w:line="360" w:lineRule="auto"/>
        <w:ind w:firstLine="422" w:firstLineChars="200"/>
        <w:jc w:val="left"/>
        <w:rPr>
          <w:rFonts w:asciiTheme="minorEastAsia" w:hAnsiTheme="minorEastAsia" w:eastAsiaTheme="minorEastAsia"/>
          <w:b/>
          <w:szCs w:val="21"/>
        </w:rPr>
      </w:pPr>
      <w:r>
        <w:rPr>
          <w:rFonts w:hint="eastAsia" w:asciiTheme="minorEastAsia" w:hAnsiTheme="minorEastAsia" w:eastAsiaTheme="minorEastAsia"/>
          <w:b/>
          <w:szCs w:val="21"/>
        </w:rPr>
        <w:t>第二部分 商务和技术文件</w:t>
      </w:r>
    </w:p>
    <w:p w14:paraId="5A862882">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）投标函</w:t>
      </w:r>
    </w:p>
    <w:p w14:paraId="4F8E7F6B">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）分项报价</w:t>
      </w:r>
    </w:p>
    <w:p w14:paraId="28E6771B">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）采购需求响应</w:t>
      </w:r>
    </w:p>
    <w:p w14:paraId="723356E2">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）合同条款偏离表</w:t>
      </w:r>
    </w:p>
    <w:p w14:paraId="095B5CD0">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）采购需求偏离表</w:t>
      </w:r>
    </w:p>
    <w:p w14:paraId="2F9C82D6">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）享受政府采购政策优惠的证明资料</w:t>
      </w:r>
    </w:p>
    <w:p w14:paraId="23E4B0F7">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）与投标服务相关的货物符合招标文件规定的证明文件</w:t>
      </w:r>
    </w:p>
    <w:p w14:paraId="4F316857">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）投标人认为需提供的其他资料</w:t>
      </w:r>
    </w:p>
    <w:p w14:paraId="620AF50C">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12.2 根据《政府采购法》第四十二条的规定，投标人无论中标与否，其投标文件不予退还。</w:t>
      </w:r>
    </w:p>
    <w:p w14:paraId="2EBCCD84">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13. 投标报价</w:t>
      </w:r>
    </w:p>
    <w:p w14:paraId="542D4A6A">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13.1投标人应以招标文件规定的供货及服务要求、责任范围和合同条件为基础，按第七章“投标文件的组成”的有关规定进行报价。投标人的报价应包括为完成本项目所要求的全部内容可能发生的全部费用和税费、规费、保险费（如果有）等，采购人将不再支付报价以外的任何费用。</w:t>
      </w:r>
    </w:p>
    <w:p w14:paraId="01C2D52D">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2投标人的投标报价不得超过采购预算，也不得超过最高限价(如果设定)，否则其</w:t>
      </w:r>
      <w:r>
        <w:rPr>
          <w:rFonts w:hint="eastAsia" w:asciiTheme="minorEastAsia" w:hAnsiTheme="minorEastAsia" w:eastAsiaTheme="minorEastAsia"/>
          <w:b/>
          <w:szCs w:val="21"/>
        </w:rPr>
        <w:t>投标无效</w:t>
      </w:r>
      <w:r>
        <w:rPr>
          <w:rFonts w:hint="eastAsia" w:asciiTheme="minorEastAsia" w:hAnsiTheme="minorEastAsia" w:eastAsiaTheme="minorEastAsia"/>
          <w:szCs w:val="21"/>
        </w:rPr>
        <w:t>。采购项目预算、最高限价见</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w:t>
      </w:r>
    </w:p>
    <w:p w14:paraId="38E3AA34">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szCs w:val="21"/>
        </w:rPr>
        <w:t>13.3 投标人应在分项报价明细表中对每项内容给予详细分项</w:t>
      </w:r>
      <w:r>
        <w:rPr>
          <w:rFonts w:hint="eastAsia" w:asciiTheme="minorEastAsia" w:hAnsiTheme="minorEastAsia" w:eastAsiaTheme="minorEastAsia"/>
        </w:rPr>
        <w:t>报价。</w:t>
      </w:r>
    </w:p>
    <w:p w14:paraId="304F6209">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13.4投标人对采购项目内容只允许有一个投标报价，否则其</w:t>
      </w:r>
      <w:r>
        <w:rPr>
          <w:rFonts w:hint="eastAsia" w:asciiTheme="minorEastAsia" w:hAnsiTheme="minorEastAsia" w:eastAsiaTheme="minorEastAsia"/>
          <w:b/>
        </w:rPr>
        <w:t>投标无效</w:t>
      </w:r>
      <w:r>
        <w:rPr>
          <w:rFonts w:hint="eastAsia" w:asciiTheme="minorEastAsia" w:hAnsiTheme="minorEastAsia" w:eastAsiaTheme="minorEastAsia"/>
        </w:rPr>
        <w:t>。</w:t>
      </w:r>
    </w:p>
    <w:p w14:paraId="456C278B">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13.5采购人不接受投标人给予的赠品、回扣或者与采购无关的其他商品、服务。如有赠与行为，其</w:t>
      </w:r>
      <w:r>
        <w:rPr>
          <w:rFonts w:hint="eastAsia" w:asciiTheme="minorEastAsia" w:hAnsiTheme="minorEastAsia" w:eastAsiaTheme="minorEastAsia"/>
          <w:b/>
        </w:rPr>
        <w:t>投标无效</w:t>
      </w:r>
      <w:r>
        <w:rPr>
          <w:rFonts w:hint="eastAsia" w:asciiTheme="minorEastAsia" w:hAnsiTheme="minorEastAsia" w:eastAsiaTheme="minorEastAsia"/>
        </w:rPr>
        <w:t>。</w:t>
      </w:r>
    </w:p>
    <w:p w14:paraId="54202270">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13.6</w:t>
      </w:r>
      <w:r>
        <w:rPr>
          <w:rFonts w:hint="eastAsia" w:asciiTheme="minorEastAsia" w:hAnsiTheme="minorEastAsia" w:eastAsiaTheme="minorEastAsia"/>
        </w:rPr>
        <w:t>投标文件中标明的价格在合同执行过程中是固定不变的，不得以任何理由予以变更。任何包含价格调整要求和条件的投标，其</w:t>
      </w:r>
      <w:r>
        <w:rPr>
          <w:rFonts w:hint="eastAsia" w:asciiTheme="minorEastAsia" w:hAnsiTheme="minorEastAsia" w:eastAsiaTheme="minorEastAsia"/>
          <w:b/>
        </w:rPr>
        <w:t>投标无效</w:t>
      </w:r>
      <w:r>
        <w:rPr>
          <w:rFonts w:hint="eastAsia" w:asciiTheme="minorEastAsia" w:hAnsiTheme="minorEastAsia" w:eastAsiaTheme="minorEastAsia"/>
        </w:rPr>
        <w:t>。</w:t>
      </w:r>
    </w:p>
    <w:p w14:paraId="1051176E">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13.7投标人在投标截止时间前修改“开标一览表”中的投标报价的，应同时修改投标文件“分项报价明细表”“享受政府采购政策优惠的证明资料”以及“联合体协议书”（如果影响）等相关内容。</w:t>
      </w:r>
    </w:p>
    <w:p w14:paraId="33B6B561">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13.8投标报价的其他要求见</w:t>
      </w:r>
      <w:r>
        <w:rPr>
          <w:rFonts w:hint="eastAsia" w:asciiTheme="minorEastAsia" w:hAnsiTheme="minorEastAsia"/>
          <w:b/>
          <w:szCs w:val="21"/>
        </w:rPr>
        <w:t>【投标须知前附表】</w:t>
      </w:r>
      <w:r>
        <w:rPr>
          <w:rFonts w:hint="eastAsia" w:asciiTheme="minorEastAsia" w:hAnsiTheme="minorEastAsia" w:eastAsiaTheme="minorEastAsia"/>
        </w:rPr>
        <w:t xml:space="preserve">。 </w:t>
      </w:r>
    </w:p>
    <w:p w14:paraId="1BD60982">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sz w:val="24"/>
        </w:rPr>
        <w:t xml:space="preserve">14. </w:t>
      </w:r>
      <w:r>
        <w:rPr>
          <w:rFonts w:hint="eastAsia" w:asciiTheme="minorEastAsia" w:hAnsiTheme="minorEastAsia" w:eastAsiaTheme="minorEastAsia"/>
          <w:b/>
          <w:bCs/>
          <w:sz w:val="24"/>
        </w:rPr>
        <w:t>投标人的资格证明文件</w:t>
      </w:r>
    </w:p>
    <w:p w14:paraId="240A9AA4">
      <w:pPr>
        <w:adjustRightInd w:val="0"/>
        <w:snapToGrid w:val="0"/>
        <w:spacing w:before="156" w:beforeLines="50" w:line="360" w:lineRule="auto"/>
        <w:ind w:firstLine="420" w:firstLineChars="200"/>
        <w:rPr>
          <w:rFonts w:asciiTheme="minorEastAsia" w:hAnsiTheme="minorEastAsia" w:eastAsiaTheme="minorEastAsia"/>
        </w:rPr>
      </w:pPr>
      <w:r>
        <w:rPr>
          <w:rFonts w:hint="eastAsia" w:asciiTheme="minorEastAsia" w:hAnsiTheme="minorEastAsia"/>
        </w:rPr>
        <w:t>14.1</w:t>
      </w:r>
      <w:r>
        <w:rPr>
          <w:rFonts w:hint="eastAsia" w:asciiTheme="minorEastAsia" w:hAnsiTheme="minorEastAsia" w:eastAsiaTheme="minorEastAsia"/>
          <w:szCs w:val="21"/>
        </w:rPr>
        <w:t>除</w:t>
      </w:r>
      <w:r>
        <w:rPr>
          <w:rFonts w:hint="eastAsia" w:asciiTheme="minorEastAsia" w:hAnsiTheme="minorEastAsia"/>
          <w:b/>
          <w:szCs w:val="21"/>
        </w:rPr>
        <w:t>【投标须知前附表】</w:t>
      </w:r>
      <w:r>
        <w:rPr>
          <w:rFonts w:hint="eastAsia" w:asciiTheme="minorEastAsia" w:hAnsiTheme="minorEastAsia" w:eastAsiaTheme="minorEastAsia"/>
          <w:szCs w:val="21"/>
        </w:rPr>
        <w:t>另有规</w:t>
      </w:r>
      <w:r>
        <w:rPr>
          <w:rFonts w:hint="eastAsia" w:asciiTheme="minorEastAsia" w:hAnsiTheme="minorEastAsia" w:eastAsiaTheme="minorEastAsia"/>
        </w:rPr>
        <w:t>定外，投标人应按下列规定提供资格证明文件。</w:t>
      </w:r>
    </w:p>
    <w:p w14:paraId="4BA81268">
      <w:pPr>
        <w:adjustRightInd w:val="0"/>
        <w:snapToGrid w:val="0"/>
        <w:spacing w:before="156" w:beforeLines="50" w:line="360" w:lineRule="auto"/>
        <w:ind w:firstLine="420" w:firstLineChars="200"/>
        <w:rPr>
          <w:rFonts w:asciiTheme="minorEastAsia" w:hAnsiTheme="minorEastAsia"/>
        </w:rPr>
      </w:pPr>
      <w:r>
        <w:rPr>
          <w:rFonts w:hint="eastAsia" w:asciiTheme="minorEastAsia" w:hAnsiTheme="minorEastAsia"/>
        </w:rPr>
        <w:t>（1）</w:t>
      </w:r>
      <w:r>
        <w:rPr>
          <w:rFonts w:hint="eastAsia" w:asciiTheme="minorEastAsia" w:hAnsiTheme="minorEastAsia"/>
          <w:b/>
        </w:rPr>
        <w:t>法人或者其他组织的营业执照等主体资格证明文件，自然人的身份证明</w:t>
      </w:r>
      <w:r>
        <w:rPr>
          <w:rFonts w:hint="eastAsia" w:asciiTheme="minorEastAsia" w:hAnsiTheme="minorEastAsia"/>
        </w:rPr>
        <w:t>：投标人为法人的，应提交营业执照或法人登记证书的复印件；投标人为非法人组织的，应提交依法登记证书复印件；投标人为个体工商户的，应提交个体工商户营业执照复印件；投标人为自然人的，应提交自然人的身份证明复印件。</w:t>
      </w:r>
    </w:p>
    <w:p w14:paraId="12A1375A">
      <w:pPr>
        <w:adjustRightInd w:val="0"/>
        <w:snapToGrid w:val="0"/>
        <w:spacing w:before="156" w:beforeLines="50" w:line="360" w:lineRule="auto"/>
        <w:ind w:firstLine="420" w:firstLineChars="200"/>
        <w:rPr>
          <w:rFonts w:asciiTheme="minorEastAsia" w:hAnsiTheme="minorEastAsia"/>
        </w:rPr>
      </w:pPr>
      <w:r>
        <w:rPr>
          <w:rFonts w:hint="eastAsia" w:asciiTheme="minorEastAsia" w:hAnsiTheme="minorEastAsia"/>
        </w:rPr>
        <w:t>（2）</w:t>
      </w:r>
      <w:r>
        <w:rPr>
          <w:rFonts w:hint="eastAsia" w:asciiTheme="minorEastAsia" w:hAnsiTheme="minorEastAsia" w:eastAsiaTheme="minorEastAsia"/>
          <w:b/>
        </w:rPr>
        <w:t>投标人资格声明(格式)</w:t>
      </w:r>
    </w:p>
    <w:p w14:paraId="2222DE15">
      <w:pPr>
        <w:adjustRightInd w:val="0"/>
        <w:snapToGrid w:val="0"/>
        <w:spacing w:before="156" w:beforeLines="50" w:line="360" w:lineRule="auto"/>
        <w:ind w:firstLine="420" w:firstLineChars="200"/>
        <w:rPr>
          <w:rFonts w:asciiTheme="minorEastAsia" w:hAnsiTheme="minorEastAsia"/>
          <w:szCs w:val="21"/>
        </w:rPr>
      </w:pPr>
      <w:r>
        <w:rPr>
          <w:rFonts w:hint="eastAsia" w:asciiTheme="minorEastAsia" w:hAnsiTheme="minorEastAsia"/>
        </w:rPr>
        <w:t>（3）</w:t>
      </w:r>
      <w:r>
        <w:rPr>
          <w:rFonts w:hint="eastAsia" w:asciiTheme="minorEastAsia" w:hAnsiTheme="minorEastAsia"/>
          <w:b/>
        </w:rPr>
        <w:t>符合特定资格条件证明材料复印件或者情况说明原件</w:t>
      </w:r>
      <w:r>
        <w:rPr>
          <w:rFonts w:hint="eastAsia" w:asciiTheme="minorEastAsia" w:hAnsiTheme="minorEastAsia"/>
        </w:rPr>
        <w:t>。</w:t>
      </w:r>
      <w:r>
        <w:rPr>
          <w:rFonts w:hint="eastAsia" w:asciiTheme="minorEastAsia" w:hAnsiTheme="minorEastAsia"/>
          <w:szCs w:val="21"/>
        </w:rPr>
        <w:t>具体要求见</w:t>
      </w:r>
      <w:r>
        <w:rPr>
          <w:rFonts w:hint="eastAsia" w:asciiTheme="minorEastAsia" w:hAnsiTheme="minorEastAsia"/>
          <w:b/>
          <w:szCs w:val="21"/>
        </w:rPr>
        <w:t>【投标须知前附表】</w:t>
      </w:r>
      <w:r>
        <w:rPr>
          <w:rFonts w:hint="eastAsia" w:asciiTheme="minorEastAsia" w:hAnsiTheme="minorEastAsia"/>
          <w:szCs w:val="21"/>
        </w:rPr>
        <w:t>。</w:t>
      </w:r>
    </w:p>
    <w:p w14:paraId="5129535C">
      <w:pPr>
        <w:adjustRightInd w:val="0"/>
        <w:snapToGrid w:val="0"/>
        <w:spacing w:before="156" w:beforeLines="50" w:line="360" w:lineRule="auto"/>
        <w:ind w:firstLine="420" w:firstLineChars="200"/>
        <w:rPr>
          <w:rFonts w:asciiTheme="minorEastAsia" w:hAnsiTheme="minorEastAsia"/>
        </w:rPr>
      </w:pPr>
      <w:r>
        <w:rPr>
          <w:rFonts w:hint="eastAsia" w:asciiTheme="minorEastAsia" w:hAnsiTheme="minorEastAsia"/>
        </w:rPr>
        <w:t>14.2投标人以联合体形式投标的，除应提交联合协议(格式)外，参加联合体的各方均应提交上款资格证明材料。</w:t>
      </w:r>
    </w:p>
    <w:p w14:paraId="6DF4CF95">
      <w:pPr>
        <w:adjustRightInd w:val="0"/>
        <w:snapToGrid w:val="0"/>
        <w:spacing w:before="156" w:beforeLines="50" w:line="360" w:lineRule="auto"/>
        <w:ind w:firstLine="420" w:firstLineChars="200"/>
        <w:rPr>
          <w:rFonts w:asciiTheme="minorEastAsia" w:hAnsiTheme="minorEastAsia"/>
        </w:rPr>
      </w:pPr>
      <w:r>
        <w:rPr>
          <w:rFonts w:hint="eastAsia" w:asciiTheme="minorEastAsia" w:hAnsiTheme="minorEastAsia"/>
        </w:rPr>
        <w:t>14.3投标人的资格证明文件均应为有效文件并加盖投标人电子章，并按招标文件规定签署。</w:t>
      </w:r>
    </w:p>
    <w:p w14:paraId="648A7A59">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15. 投标服务（含配套货物）符合招标文件规定的证明文件</w:t>
      </w:r>
    </w:p>
    <w:p w14:paraId="6DE0B4A2">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15.1投标人应当提交其拟供的合同项下服务（含配套货物 ）符合招标文件规定的证明文件,该证明文件作为投标文件的一部分。</w:t>
      </w:r>
    </w:p>
    <w:p w14:paraId="1D0B188E">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15.2上述证明文件可以是文字资料、图表、数据、证书等资料，包括但不限于：</w:t>
      </w:r>
    </w:p>
    <w:p w14:paraId="0E0B12D1">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（1）服务（含配套货物）主要技术指标和性能的详细说明。对有具体参数要求的指标，投标人应提供具体参数值；</w:t>
      </w:r>
    </w:p>
    <w:p w14:paraId="36613A31">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（2）配套货物的品牌型号、制造商及原产地等说明；</w:t>
      </w:r>
    </w:p>
    <w:p w14:paraId="56D61BF5">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（3）招标文件第五章“采购需求”要求的其它文件。</w:t>
      </w:r>
    </w:p>
    <w:p w14:paraId="6F59B8D3">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16. 投标有效期</w:t>
      </w:r>
    </w:p>
    <w:p w14:paraId="46027340">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16.1投标有效期从提交投标文件的截止之日起算。投标文件中承诺的投标有效期应当不少于</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中载明的投标有效期。投标有效期不满足要求的，其</w:t>
      </w:r>
      <w:r>
        <w:rPr>
          <w:rFonts w:hint="eastAsia" w:asciiTheme="minorEastAsia" w:hAnsiTheme="minorEastAsia" w:eastAsiaTheme="minorEastAsia"/>
          <w:b/>
          <w:szCs w:val="21"/>
        </w:rPr>
        <w:t>投标无效</w:t>
      </w:r>
      <w:r>
        <w:rPr>
          <w:rFonts w:hint="eastAsia" w:asciiTheme="minorEastAsia" w:hAnsiTheme="minorEastAsia" w:eastAsiaTheme="minorEastAsia"/>
          <w:szCs w:val="21"/>
        </w:rPr>
        <w:t>。</w:t>
      </w:r>
    </w:p>
    <w:p w14:paraId="483080AF">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16.2投标有效期内投标人撤销投标文件的，投标人应承担招标文件和法律规定的责任。</w:t>
      </w:r>
    </w:p>
    <w:p w14:paraId="33A7F1FD">
      <w:pPr>
        <w:adjustRightInd w:val="0"/>
        <w:snapToGrid w:val="0"/>
        <w:spacing w:before="156" w:beforeLines="50"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7</w:t>
      </w:r>
      <w:r>
        <w:rPr>
          <w:rFonts w:hint="eastAsia" w:asciiTheme="minorEastAsia" w:hAnsiTheme="minorEastAsia" w:eastAsiaTheme="minorEastAsia"/>
          <w:b/>
          <w:sz w:val="24"/>
        </w:rPr>
        <w:t>.分包</w:t>
      </w:r>
    </w:p>
    <w:p w14:paraId="4BD918A5">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lang w:val="en-US" w:eastAsia="zh-CN"/>
        </w:rPr>
        <w:t>7</w:t>
      </w:r>
      <w:r>
        <w:rPr>
          <w:rFonts w:hint="eastAsia" w:asciiTheme="minorEastAsia" w:hAnsiTheme="minorEastAsia" w:eastAsiaTheme="minorEastAsia"/>
        </w:rPr>
        <w:t>.1投标人拟在中标后将中</w:t>
      </w:r>
      <w:r>
        <w:rPr>
          <w:rFonts w:hint="eastAsia" w:asciiTheme="minorEastAsia" w:hAnsiTheme="minorEastAsia" w:eastAsiaTheme="minorEastAsia"/>
          <w:szCs w:val="21"/>
        </w:rPr>
        <w:t>标项目的非主体、非关键性工作进行分包的，应符合</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规定的分包内容、分包金</w:t>
      </w:r>
      <w:r>
        <w:rPr>
          <w:rFonts w:hint="eastAsia" w:asciiTheme="minorEastAsia" w:hAnsiTheme="minorEastAsia" w:eastAsiaTheme="minorEastAsia"/>
        </w:rPr>
        <w:t>额和资质要求等限制性条件，并在投标文件中载明分包承担主体，且分包承担主体不得再次分包。</w:t>
      </w:r>
    </w:p>
    <w:p w14:paraId="01FD5B58">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lang w:val="en-US" w:eastAsia="zh-CN"/>
        </w:rPr>
        <w:t>7</w:t>
      </w:r>
      <w:r>
        <w:rPr>
          <w:rFonts w:hint="eastAsia" w:asciiTheme="minorEastAsia" w:hAnsiTheme="minorEastAsia" w:eastAsiaTheme="minorEastAsia"/>
        </w:rPr>
        <w:t>.2中标人应当就分包项目向采购人负责，分包承担主体就分包项目承担连带责任。</w:t>
      </w:r>
    </w:p>
    <w:p w14:paraId="469A0CB8">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lang w:val="en-US" w:eastAsia="zh-CN"/>
        </w:rPr>
        <w:t>7</w:t>
      </w:r>
      <w:r>
        <w:rPr>
          <w:rFonts w:hint="eastAsia" w:asciiTheme="minorEastAsia" w:hAnsiTheme="minorEastAsia" w:eastAsiaTheme="minorEastAsia"/>
        </w:rPr>
        <w:t>.3不符合招标文件中有关分包规定的，其</w:t>
      </w:r>
      <w:r>
        <w:rPr>
          <w:rFonts w:hint="eastAsia" w:asciiTheme="minorEastAsia" w:hAnsiTheme="minorEastAsia" w:eastAsiaTheme="minorEastAsia"/>
          <w:b/>
        </w:rPr>
        <w:t>投标无效</w:t>
      </w:r>
      <w:r>
        <w:rPr>
          <w:rFonts w:hint="eastAsia" w:asciiTheme="minorEastAsia" w:hAnsiTheme="minorEastAsia" w:eastAsiaTheme="minorEastAsia"/>
        </w:rPr>
        <w:t>。</w:t>
      </w:r>
    </w:p>
    <w:p w14:paraId="1BEAC339">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1</w:t>
      </w:r>
      <w:r>
        <w:rPr>
          <w:rFonts w:hint="eastAsia" w:asciiTheme="minorEastAsia" w:hAnsiTheme="minorEastAsia" w:eastAsiaTheme="minorEastAsia"/>
          <w:b/>
          <w:bCs/>
          <w:sz w:val="24"/>
          <w:lang w:val="en-US" w:eastAsia="zh-CN"/>
        </w:rPr>
        <w:t>8</w:t>
      </w:r>
      <w:r>
        <w:rPr>
          <w:rFonts w:hint="eastAsia" w:asciiTheme="minorEastAsia" w:hAnsiTheme="minorEastAsia" w:eastAsiaTheme="minorEastAsia"/>
          <w:b/>
          <w:bCs/>
          <w:sz w:val="24"/>
        </w:rPr>
        <w:t>. 电子投标投标文件的制作和签署</w:t>
      </w:r>
    </w:p>
    <w:p w14:paraId="41329900">
      <w:pPr>
        <w:adjustRightInd w:val="0"/>
        <w:snapToGrid w:val="0"/>
        <w:spacing w:line="360"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lang w:val="en-US" w:eastAsia="zh-CN"/>
        </w:rPr>
        <w:t>8</w:t>
      </w:r>
      <w:r>
        <w:rPr>
          <w:rFonts w:hint="eastAsia" w:ascii="宋体" w:hAnsi="宋体"/>
          <w:szCs w:val="21"/>
        </w:rPr>
        <w:t>.1投标人确认投标后，应当在</w:t>
      </w:r>
      <w:r>
        <w:rPr>
          <w:rFonts w:hint="eastAsia" w:ascii="宋体" w:hAnsi="宋体"/>
          <w:szCs w:val="21"/>
          <w:lang w:eastAsia="zh-CN"/>
        </w:rPr>
        <w:t>郴州市</w:t>
      </w:r>
      <w:r>
        <w:rPr>
          <w:rFonts w:hint="eastAsia" w:ascii="宋体" w:hAnsi="宋体"/>
          <w:szCs w:val="21"/>
        </w:rPr>
        <w:t>公共资源交易政府采购电子化平台上认可的“投标文件制作工具软件下载”制作投标文件（ 含澄清、说明文件）并进行固化、加密；</w:t>
      </w:r>
      <w:r>
        <w:rPr>
          <w:rFonts w:hint="eastAsia" w:asciiTheme="minorEastAsia" w:hAnsiTheme="minorEastAsia" w:eastAsiaTheme="minorEastAsia"/>
          <w:bCs/>
          <w:szCs w:val="21"/>
        </w:rPr>
        <w:t>否则将可能影响电子投标文件的上传而导致投标无效。</w:t>
      </w:r>
    </w:p>
    <w:p w14:paraId="708F47EE">
      <w:pPr>
        <w:adjustRightInd w:val="0"/>
        <w:snapToGrid w:val="0"/>
        <w:spacing w:line="360"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lang w:val="en-US" w:eastAsia="zh-CN"/>
        </w:rPr>
        <w:t>8</w:t>
      </w:r>
      <w:r>
        <w:rPr>
          <w:rFonts w:hint="eastAsia" w:ascii="宋体" w:hAnsi="宋体"/>
          <w:szCs w:val="21"/>
        </w:rPr>
        <w:t>.2投标人应按照电子招标文件格式及投标工具编制资格证明文件，不得将其编制上传到商务和技术文件中。否则，由于编制上传位置失误导致无法进行资格审查，由此所产生的后果和责任由投标人自行承担。</w:t>
      </w:r>
    </w:p>
    <w:p w14:paraId="62469D13">
      <w:pPr>
        <w:adjustRightInd w:val="0"/>
        <w:snapToGrid w:val="0"/>
        <w:spacing w:line="360"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lang w:val="en-US" w:eastAsia="zh-CN"/>
        </w:rPr>
        <w:t>8</w:t>
      </w:r>
      <w:r>
        <w:rPr>
          <w:rFonts w:hint="eastAsia" w:ascii="宋体" w:hAnsi="宋体"/>
          <w:szCs w:val="21"/>
        </w:rPr>
        <w:t>.3 投标人应按照电子招标文件格式及投标工具编制商务、技术及综合评分表相关资料。必须按招标文件目录和节点对应位置上传或填写相应资料，否则，由于编制上传位置失误，系统将判断投标人未提交此项资料，由此造成的后果和责任由投标人自行承担。</w:t>
      </w:r>
    </w:p>
    <w:p w14:paraId="72907FCD">
      <w:pPr>
        <w:adjustRightInd w:val="0"/>
        <w:snapToGrid w:val="0"/>
        <w:spacing w:line="360"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lang w:val="en-US" w:eastAsia="zh-CN"/>
        </w:rPr>
        <w:t>8</w:t>
      </w:r>
      <w:r>
        <w:rPr>
          <w:rFonts w:hint="eastAsia" w:ascii="宋体" w:hAnsi="宋体"/>
          <w:szCs w:val="21"/>
        </w:rPr>
        <w:t>.4投标人应注意压缩电子文件，上传的有关扫描件的尺寸和清晰度应该能够在电脑上被阅读、识别和判断。若投标人未按要求提供证明材料或提供的是部分证明材料或提供不清晰的扫描件复印件，无法阅读、识别和判断的，由此可能导致的不予计分、废标等后果由投标人自行承担。</w:t>
      </w:r>
    </w:p>
    <w:p w14:paraId="2F7568AF">
      <w:pPr>
        <w:adjustRightInd w:val="0"/>
        <w:snapToGrid w:val="0"/>
        <w:spacing w:line="360"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lang w:val="en-US" w:eastAsia="zh-CN"/>
        </w:rPr>
        <w:t>8</w:t>
      </w:r>
      <w:r>
        <w:rPr>
          <w:rFonts w:hint="eastAsia" w:ascii="宋体" w:hAnsi="宋体"/>
          <w:szCs w:val="21"/>
        </w:rPr>
        <w:t>.5投标人应在电子投标文件指定签章处采用</w:t>
      </w:r>
      <w:r>
        <w:rPr>
          <w:rFonts w:hint="eastAsia" w:ascii="宋体" w:hAnsi="宋体"/>
          <w:szCs w:val="21"/>
          <w:lang w:eastAsia="zh-CN"/>
        </w:rPr>
        <w:t>郴州市</w:t>
      </w:r>
      <w:r>
        <w:rPr>
          <w:rFonts w:hint="eastAsia" w:ascii="宋体" w:hAnsi="宋体"/>
          <w:szCs w:val="21"/>
        </w:rPr>
        <w:t>公共资源交易中心交易平台认可的CA数字证书（含电子印章）进行签章。</w:t>
      </w:r>
    </w:p>
    <w:p w14:paraId="40A40941">
      <w:pPr>
        <w:adjustRightInd w:val="0"/>
        <w:snapToGrid w:val="0"/>
        <w:spacing w:line="360" w:lineRule="auto"/>
        <w:ind w:firstLine="420" w:firstLineChars="200"/>
        <w:jc w:val="left"/>
        <w:rPr>
          <w:rFonts w:ascii="宋体" w:hAnsi="宋体"/>
          <w:szCs w:val="21"/>
        </w:rPr>
      </w:pPr>
      <w:r>
        <w:rPr>
          <w:rFonts w:ascii="宋体" w:hAnsi="宋体"/>
          <w:szCs w:val="21"/>
        </w:rPr>
        <w:t>1</w:t>
      </w:r>
      <w:r>
        <w:rPr>
          <w:rFonts w:hint="eastAsia" w:ascii="宋体" w:hAnsi="宋体"/>
          <w:szCs w:val="21"/>
          <w:lang w:val="en-US" w:eastAsia="zh-CN"/>
        </w:rPr>
        <w:t>8</w:t>
      </w:r>
      <w:r>
        <w:rPr>
          <w:rFonts w:ascii="宋体" w:hAnsi="宋体"/>
          <w:szCs w:val="21"/>
        </w:rPr>
        <w:t xml:space="preserve">.6 </w:t>
      </w:r>
      <w:r>
        <w:rPr>
          <w:rFonts w:hint="eastAsia" w:ascii="宋体" w:hAnsi="宋体"/>
          <w:szCs w:val="21"/>
        </w:rPr>
        <w:t>电子招投标文件具有法律效力，若投标文件与招标文件要求不一致，其内容影响中标结果时，责任由投标人自行承担。</w:t>
      </w:r>
    </w:p>
    <w:p w14:paraId="773480EA">
      <w:pPr>
        <w:adjustRightInd w:val="0"/>
        <w:snapToGrid w:val="0"/>
        <w:spacing w:line="360" w:lineRule="auto"/>
        <w:ind w:firstLine="420" w:firstLineChars="200"/>
        <w:jc w:val="left"/>
        <w:rPr>
          <w:rFonts w:ascii="宋体" w:hAnsi="宋体"/>
          <w:color w:val="BFBFBF" w:themeColor="background1" w:themeShade="BF"/>
          <w:szCs w:val="21"/>
        </w:rPr>
      </w:pPr>
    </w:p>
    <w:p w14:paraId="08FFC9E7">
      <w:pPr>
        <w:adjustRightInd w:val="0"/>
        <w:snapToGrid w:val="0"/>
        <w:spacing w:line="360" w:lineRule="auto"/>
        <w:ind w:firstLine="420" w:firstLineChars="200"/>
        <w:jc w:val="left"/>
        <w:rPr>
          <w:rFonts w:ascii="宋体" w:hAnsi="宋体"/>
          <w:color w:val="BFBFBF" w:themeColor="background1" w:themeShade="BF"/>
          <w:szCs w:val="21"/>
        </w:rPr>
      </w:pPr>
    </w:p>
    <w:p w14:paraId="09FCB4DD">
      <w:pPr>
        <w:pStyle w:val="4"/>
        <w:keepNext w:val="0"/>
        <w:keepLines w:val="0"/>
        <w:numPr>
          <w:ilvl w:val="0"/>
          <w:numId w:val="2"/>
        </w:numPr>
        <w:adjustRightInd w:val="0"/>
        <w:snapToGrid w:val="0"/>
        <w:spacing w:before="156" w:beforeLines="50" w:after="0" w:line="360" w:lineRule="auto"/>
        <w:jc w:val="center"/>
        <w:rPr>
          <w:rFonts w:ascii="黑体" w:hAnsi="黑体" w:eastAsia="黑体"/>
          <w:sz w:val="28"/>
          <w:szCs w:val="28"/>
        </w:rPr>
      </w:pPr>
      <w:bookmarkStart w:id="25" w:name="_Toc4485"/>
      <w:bookmarkStart w:id="26" w:name="_Toc29913900"/>
      <w:bookmarkStart w:id="27" w:name="_Toc12455"/>
      <w:r>
        <w:rPr>
          <w:rFonts w:hint="eastAsia" w:ascii="黑体" w:hAnsi="黑体" w:eastAsia="黑体"/>
          <w:sz w:val="28"/>
          <w:szCs w:val="28"/>
        </w:rPr>
        <w:t>投标</w:t>
      </w:r>
      <w:bookmarkEnd w:id="25"/>
      <w:bookmarkEnd w:id="26"/>
      <w:bookmarkEnd w:id="27"/>
    </w:p>
    <w:p w14:paraId="38847049">
      <w:pPr>
        <w:numPr>
          <w:ilvl w:val="255"/>
          <w:numId w:val="0"/>
        </w:numPr>
        <w:rPr>
          <w:rFonts w:eastAsia="黑体"/>
        </w:rPr>
      </w:pPr>
      <w:bookmarkStart w:id="28" w:name="_Hlt193622730"/>
      <w:bookmarkEnd w:id="28"/>
      <w:bookmarkStart w:id="29" w:name="_Hlt226715444"/>
      <w:bookmarkEnd w:id="29"/>
    </w:p>
    <w:p w14:paraId="19B9E6C7">
      <w:pPr>
        <w:adjustRightInd w:val="0"/>
        <w:snapToGrid w:val="0"/>
        <w:spacing w:before="156" w:beforeLines="50" w:line="360" w:lineRule="auto"/>
        <w:ind w:firstLine="241" w:firstLineChars="100"/>
        <w:jc w:val="left"/>
        <w:rPr>
          <w:rFonts w:asciiTheme="minorEastAsia" w:hAnsiTheme="minorEastAsia" w:eastAsiaTheme="minorEastAsia"/>
          <w:b/>
          <w:bCs/>
          <w:sz w:val="24"/>
        </w:rPr>
      </w:pPr>
      <w:r>
        <w:rPr>
          <w:rFonts w:hint="eastAsia" w:asciiTheme="minorEastAsia" w:hAnsiTheme="minorEastAsia" w:eastAsiaTheme="minorEastAsia"/>
          <w:b/>
          <w:sz w:val="24"/>
          <w:lang w:val="en-US" w:eastAsia="zh-CN"/>
        </w:rPr>
        <w:t>19</w:t>
      </w:r>
      <w:r>
        <w:rPr>
          <w:rFonts w:asciiTheme="minorEastAsia" w:hAnsiTheme="minorEastAsia" w:eastAsiaTheme="minorEastAsia"/>
          <w:b/>
          <w:sz w:val="24"/>
        </w:rPr>
        <w:t>.</w:t>
      </w:r>
      <w:r>
        <w:rPr>
          <w:rFonts w:asciiTheme="minorEastAsia" w:hAnsiTheme="minorEastAsia" w:eastAsiaTheme="minorEastAsia"/>
          <w:b/>
          <w:bCs/>
          <w:sz w:val="24"/>
        </w:rPr>
        <w:t xml:space="preserve"> 电子投标文件的加密和提交</w:t>
      </w:r>
    </w:p>
    <w:p w14:paraId="748C2976">
      <w:pPr>
        <w:spacing w:line="360" w:lineRule="exact"/>
        <w:ind w:firstLine="411" w:firstLineChars="196"/>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rPr>
        <w:t>.1投标人应按照招标文件和交易平台的要求编制数据电文形式的投标文件并通过数字证书进行加密后，</w:t>
      </w:r>
      <w:r>
        <w:rPr>
          <w:rFonts w:hint="eastAsia" w:asciiTheme="minorEastAsia" w:hAnsiTheme="minorEastAsia" w:eastAsiaTheme="minorEastAsia"/>
          <w:bCs/>
          <w:szCs w:val="21"/>
        </w:rPr>
        <w:t>在招标文件【投标须知前附表】规定的开标时间前将电子投标文件上传到交易平台的对应项目。</w:t>
      </w:r>
      <w:r>
        <w:rPr>
          <w:rFonts w:hint="eastAsia" w:asciiTheme="minorEastAsia" w:hAnsiTheme="minorEastAsia" w:eastAsiaTheme="minorEastAsia"/>
          <w:szCs w:val="21"/>
        </w:rPr>
        <w:t>未按要求加密或逾期上传提交的投标文件，交易平台将无法接受, 采购代理机构不予受理。</w:t>
      </w:r>
    </w:p>
    <w:p w14:paraId="4ABAC593">
      <w:pPr>
        <w:spacing w:line="360" w:lineRule="exact"/>
        <w:ind w:firstLine="411" w:firstLineChars="196"/>
        <w:rPr>
          <w:rFonts w:ascii="宋体" w:hAnsi="宋体"/>
        </w:rPr>
      </w:pPr>
      <w:r>
        <w:rPr>
          <w:rFonts w:hint="eastAsia" w:ascii="宋体" w:hAnsi="宋体"/>
          <w:lang w:val="en-US" w:eastAsia="zh-CN"/>
        </w:rPr>
        <w:t>19</w:t>
      </w:r>
      <w:r>
        <w:rPr>
          <w:rFonts w:hint="eastAsia" w:ascii="宋体" w:hAnsi="宋体"/>
        </w:rPr>
        <w:t>.2采购代理机构不接受投标截止时间后递交的纸质、电子、传真等所有形式的投标文件。</w:t>
      </w:r>
    </w:p>
    <w:p w14:paraId="4989D6E8">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lang w:val="en-US" w:eastAsia="zh-CN"/>
        </w:rPr>
        <w:t>19</w:t>
      </w:r>
      <w:r>
        <w:rPr>
          <w:rFonts w:hint="eastAsia" w:asciiTheme="minorEastAsia" w:hAnsiTheme="minorEastAsia" w:eastAsiaTheme="minorEastAsia"/>
          <w:bCs/>
          <w:szCs w:val="21"/>
        </w:rPr>
        <w:t>.3</w:t>
      </w:r>
      <w:r>
        <w:rPr>
          <w:rFonts w:hint="eastAsia" w:ascii="宋体" w:hAnsi="宋体"/>
        </w:rPr>
        <w:t>建议投标人于开标前一个工作日完成投标文件的制作与上传，</w:t>
      </w:r>
      <w:r>
        <w:rPr>
          <w:rFonts w:hint="eastAsia" w:asciiTheme="minorEastAsia" w:hAnsiTheme="minorEastAsia" w:eastAsiaTheme="minorEastAsia"/>
          <w:bCs/>
          <w:szCs w:val="21"/>
        </w:rPr>
        <w:t>系统将显示“上传成功”。如遇系统提示“上传未成功”，投标人应及时重新提交文件或与系统运维机构联系。</w:t>
      </w:r>
      <w:r>
        <w:rPr>
          <w:rFonts w:hint="eastAsia" w:ascii="宋体" w:hAnsi="宋体"/>
        </w:rPr>
        <w:t>由于投标人对电子投标操作不熟悉或自身电脑、网络等原因导致不能在投标截止时间之前上传提交投标文件的，</w:t>
      </w:r>
      <w:r>
        <w:rPr>
          <w:rFonts w:hint="eastAsia" w:asciiTheme="minorEastAsia" w:hAnsiTheme="minorEastAsia" w:eastAsiaTheme="minorEastAsia"/>
          <w:bCs/>
          <w:szCs w:val="21"/>
        </w:rPr>
        <w:t>由此造成的后果和责任由投标人自行承担。</w:t>
      </w:r>
    </w:p>
    <w:p w14:paraId="2741CC56">
      <w:pPr>
        <w:adjustRightInd w:val="0"/>
        <w:snapToGrid w:val="0"/>
        <w:spacing w:before="156" w:beforeLines="50" w:line="360" w:lineRule="auto"/>
        <w:ind w:firstLine="482" w:firstLineChars="200"/>
        <w:jc w:val="left"/>
        <w:rPr>
          <w:rFonts w:asciiTheme="minorEastAsia" w:hAnsiTheme="minorEastAsia" w:eastAsiaTheme="minorEastAsia"/>
          <w:b/>
          <w:bCs/>
          <w:sz w:val="24"/>
        </w:rPr>
      </w:pPr>
      <w:r>
        <w:rPr>
          <w:rFonts w:hint="eastAsia" w:asciiTheme="minorEastAsia" w:hAnsiTheme="minorEastAsia" w:eastAsiaTheme="minorEastAsia"/>
          <w:b/>
          <w:bCs/>
          <w:sz w:val="24"/>
          <w:lang w:val="en-US" w:eastAsia="zh-CN"/>
        </w:rPr>
        <w:t>20</w:t>
      </w:r>
      <w:r>
        <w:rPr>
          <w:rFonts w:hint="eastAsia" w:asciiTheme="minorEastAsia" w:hAnsiTheme="minorEastAsia" w:eastAsiaTheme="minorEastAsia"/>
          <w:b/>
          <w:bCs/>
          <w:sz w:val="24"/>
        </w:rPr>
        <w:t>.电子投标文件的修改和撤回</w:t>
      </w:r>
    </w:p>
    <w:p w14:paraId="0E069151">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lang w:val="en-US" w:eastAsia="zh-CN"/>
        </w:rPr>
        <w:t>20</w:t>
      </w:r>
      <w:r>
        <w:rPr>
          <w:rFonts w:hint="eastAsia" w:asciiTheme="minorEastAsia" w:hAnsiTheme="minorEastAsia" w:eastAsiaTheme="minorEastAsia"/>
          <w:bCs/>
          <w:szCs w:val="21"/>
        </w:rPr>
        <w:t>.1投标人在招标文件规定的投标截止时间前，可以撤回已上传的投标文件，也可以撤回并修改后再重新上传。</w:t>
      </w:r>
    </w:p>
    <w:p w14:paraId="75D0F98B">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bCs/>
          <w:szCs w:val="21"/>
          <w:lang w:val="en-US" w:eastAsia="zh-CN"/>
        </w:rPr>
        <w:t>20</w:t>
      </w:r>
      <w:r>
        <w:rPr>
          <w:rFonts w:hint="eastAsia" w:asciiTheme="minorEastAsia" w:hAnsiTheme="minorEastAsia" w:eastAsiaTheme="minorEastAsia"/>
          <w:bCs/>
          <w:szCs w:val="21"/>
        </w:rPr>
        <w:t>.2采购人、采购代理机构发布了修改、澄清文件的，投标人应按照修改、澄清后的招标文件要求重新编制投标文件并上传至交易平台。</w:t>
      </w:r>
    </w:p>
    <w:p w14:paraId="6F7642EA">
      <w:pPr>
        <w:adjustRightInd w:val="0"/>
        <w:snapToGrid w:val="0"/>
        <w:spacing w:before="156" w:beforeLines="50" w:line="360" w:lineRule="auto"/>
        <w:ind w:firstLine="482" w:firstLineChars="200"/>
        <w:jc w:val="left"/>
        <w:rPr>
          <w:rFonts w:cs="Arial" w:asciiTheme="minorEastAsia" w:hAnsiTheme="minorEastAsia" w:eastAsiaTheme="minorEastAsia"/>
          <w:b/>
          <w:sz w:val="24"/>
        </w:rPr>
      </w:pPr>
      <w:r>
        <w:rPr>
          <w:rFonts w:hint="eastAsia" w:asciiTheme="minorEastAsia" w:hAnsiTheme="minorEastAsia" w:eastAsiaTheme="minorEastAsia"/>
          <w:b/>
          <w:bCs/>
          <w:sz w:val="24"/>
          <w:lang w:val="en-US" w:eastAsia="zh-CN"/>
        </w:rPr>
        <w:t>21</w:t>
      </w:r>
      <w:r>
        <w:rPr>
          <w:rFonts w:hint="eastAsia" w:asciiTheme="minorEastAsia" w:hAnsiTheme="minorEastAsia" w:eastAsiaTheme="minorEastAsia"/>
          <w:b/>
          <w:bCs/>
          <w:sz w:val="24"/>
        </w:rPr>
        <w:t>.</w:t>
      </w:r>
      <w:r>
        <w:rPr>
          <w:rFonts w:hint="eastAsia" w:cs="Arial" w:asciiTheme="minorEastAsia" w:hAnsiTheme="minorEastAsia" w:eastAsiaTheme="minorEastAsia"/>
          <w:b/>
          <w:sz w:val="24"/>
        </w:rPr>
        <w:t xml:space="preserve"> 串通</w:t>
      </w:r>
      <w:r>
        <w:rPr>
          <w:rFonts w:hint="eastAsia" w:asciiTheme="minorEastAsia" w:hAnsiTheme="minorEastAsia" w:eastAsiaTheme="minorEastAsia"/>
          <w:b/>
          <w:sz w:val="24"/>
        </w:rPr>
        <w:t>投标行为</w:t>
      </w:r>
    </w:p>
    <w:p w14:paraId="1667385B">
      <w:pPr>
        <w:adjustRightInd w:val="0"/>
        <w:snapToGrid w:val="0"/>
        <w:spacing w:before="156" w:beforeLines="50" w:line="360" w:lineRule="auto"/>
        <w:ind w:firstLine="396" w:firstLineChars="20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lang w:val="en-US" w:eastAsia="zh-CN"/>
        </w:rPr>
        <w:t>21</w:t>
      </w:r>
      <w:r>
        <w:rPr>
          <w:rFonts w:hint="eastAsia" w:asciiTheme="minorEastAsia" w:hAnsiTheme="minorEastAsia" w:eastAsiaTheme="minorEastAsia"/>
          <w:spacing w:val="-6"/>
          <w:szCs w:val="21"/>
        </w:rPr>
        <w:t>.1有下列情形之一的，属于恶意串通，对投标人依照政府采购法第七十七条第一款的规定追究法律责任：</w:t>
      </w:r>
    </w:p>
    <w:p w14:paraId="0F163911">
      <w:pPr>
        <w:adjustRightInd w:val="0"/>
        <w:snapToGrid w:val="0"/>
        <w:spacing w:before="156" w:beforeLines="50" w:line="360" w:lineRule="auto"/>
        <w:ind w:firstLine="396" w:firstLineChars="20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（1）投标人直接或者间接从采购人或者采购代理机构处获得其他投标人的相关情况并修改其投标文件；</w:t>
      </w:r>
    </w:p>
    <w:p w14:paraId="3FA33E1D">
      <w:pPr>
        <w:adjustRightInd w:val="0"/>
        <w:snapToGrid w:val="0"/>
        <w:spacing w:before="156" w:beforeLines="50" w:line="360" w:lineRule="auto"/>
        <w:ind w:firstLine="396" w:firstLineChars="20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（2）投标人按照采购人或者采购代理机构的授意撤换、修改投标文件；</w:t>
      </w:r>
    </w:p>
    <w:p w14:paraId="0AE39047">
      <w:pPr>
        <w:adjustRightInd w:val="0"/>
        <w:snapToGrid w:val="0"/>
        <w:spacing w:before="156" w:beforeLines="50" w:line="360" w:lineRule="auto"/>
        <w:ind w:firstLine="396" w:firstLineChars="20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（3）投标人之间协商报价、技术方案等投标文件的实质性内容；</w:t>
      </w:r>
    </w:p>
    <w:p w14:paraId="1039047F">
      <w:pPr>
        <w:adjustRightInd w:val="0"/>
        <w:snapToGrid w:val="0"/>
        <w:spacing w:before="156" w:beforeLines="50" w:line="360" w:lineRule="auto"/>
        <w:ind w:firstLine="396" w:firstLineChars="20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（4）属于同一集团、协会、商会等组织成员的投标人按照该组织要求协同参加政府采购活动；</w:t>
      </w:r>
    </w:p>
    <w:p w14:paraId="680D8FBA">
      <w:pPr>
        <w:adjustRightInd w:val="0"/>
        <w:snapToGrid w:val="0"/>
        <w:spacing w:before="156" w:beforeLines="50" w:line="360" w:lineRule="auto"/>
        <w:ind w:firstLine="396" w:firstLineChars="20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（5）投标人之间事先约定由某一特定投标人中标；</w:t>
      </w:r>
    </w:p>
    <w:p w14:paraId="60F5FB73">
      <w:pPr>
        <w:adjustRightInd w:val="0"/>
        <w:snapToGrid w:val="0"/>
        <w:spacing w:before="156" w:beforeLines="50" w:line="360" w:lineRule="auto"/>
        <w:ind w:firstLine="396" w:firstLineChars="20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（6）投标人之间商定部分投标人放弃参加政府采购活动或者放弃中标；</w:t>
      </w:r>
    </w:p>
    <w:p w14:paraId="6609BE20">
      <w:pPr>
        <w:adjustRightInd w:val="0"/>
        <w:snapToGrid w:val="0"/>
        <w:spacing w:before="156" w:beforeLines="50" w:line="360" w:lineRule="auto"/>
        <w:ind w:firstLine="396" w:firstLineChars="20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（7）投标人与采购人或者采购代理机构之间、投标人相互之间，为谋求特定投标人中标或者排斥其他投标人的其他串通行为。</w:t>
      </w:r>
    </w:p>
    <w:p w14:paraId="27AC9C9E">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.2有下列情形之一的，视为投标人串通投标，其</w:t>
      </w:r>
      <w:r>
        <w:rPr>
          <w:rFonts w:hint="eastAsia" w:asciiTheme="minorEastAsia" w:hAnsiTheme="minorEastAsia" w:eastAsiaTheme="minorEastAsia"/>
          <w:b/>
          <w:szCs w:val="21"/>
        </w:rPr>
        <w:t>投标无效</w:t>
      </w:r>
      <w:r>
        <w:rPr>
          <w:rFonts w:hint="eastAsia" w:asciiTheme="minorEastAsia" w:hAnsiTheme="minorEastAsia" w:eastAsiaTheme="minorEastAsia"/>
          <w:szCs w:val="21"/>
        </w:rPr>
        <w:t>：</w:t>
      </w:r>
    </w:p>
    <w:p w14:paraId="7AF5A738">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（1）不同投标人的投标文件由同一单位或者个人编制；</w:t>
      </w:r>
    </w:p>
    <w:p w14:paraId="0C6918AB">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（2）不同投标人委托同一单位或者个人办理投标事宜；</w:t>
      </w:r>
    </w:p>
    <w:p w14:paraId="7F8E097B">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（3）不同投标人的投标文件载明的项目管理成员或者联系人员为同一人；</w:t>
      </w:r>
    </w:p>
    <w:p w14:paraId="13125097">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（4）不同投标人的投标文件异常一致或者投标报价呈规律性差异；</w:t>
      </w:r>
    </w:p>
    <w:p w14:paraId="6046C1A1">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（5）不同投标人的投标文件相互签章；</w:t>
      </w:r>
    </w:p>
    <w:p w14:paraId="0203ECDA">
      <w:pPr>
        <w:pStyle w:val="4"/>
        <w:adjustRightInd w:val="0"/>
        <w:snapToGrid w:val="0"/>
        <w:spacing w:before="156" w:beforeLines="50" w:after="0" w:line="360" w:lineRule="auto"/>
        <w:jc w:val="center"/>
        <w:rPr>
          <w:rFonts w:ascii="黑体" w:hAnsi="黑体" w:eastAsia="黑体"/>
          <w:sz w:val="28"/>
          <w:szCs w:val="28"/>
        </w:rPr>
      </w:pPr>
      <w:bookmarkStart w:id="30" w:name="_Toc29913901"/>
      <w:bookmarkStart w:id="31" w:name="_Toc30757"/>
      <w:bookmarkStart w:id="32" w:name="_Toc30948"/>
      <w:r>
        <w:rPr>
          <w:rFonts w:hint="eastAsia" w:ascii="黑体" w:hAnsi="黑体" w:eastAsia="黑体"/>
          <w:sz w:val="28"/>
          <w:szCs w:val="28"/>
        </w:rPr>
        <w:t>五、开标，资格审查和评标</w:t>
      </w:r>
      <w:bookmarkEnd w:id="30"/>
      <w:bookmarkEnd w:id="31"/>
      <w:bookmarkEnd w:id="32"/>
    </w:p>
    <w:p w14:paraId="3C7F1F23">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lang w:val="en-US" w:eastAsia="zh-CN"/>
        </w:rPr>
        <w:t>22</w:t>
      </w:r>
      <w:r>
        <w:rPr>
          <w:rFonts w:hint="eastAsia" w:asciiTheme="minorEastAsia" w:hAnsiTheme="minorEastAsia" w:eastAsiaTheme="minorEastAsia"/>
          <w:b/>
          <w:bCs/>
          <w:sz w:val="24"/>
        </w:rPr>
        <w:t>. 开标</w:t>
      </w:r>
    </w:p>
    <w:p w14:paraId="37130C06">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22</w:t>
      </w:r>
      <w:r>
        <w:rPr>
          <w:rFonts w:hint="eastAsia" w:asciiTheme="minorEastAsia" w:hAnsiTheme="minorEastAsia" w:eastAsiaTheme="minorEastAsia"/>
          <w:szCs w:val="21"/>
        </w:rPr>
        <w:t xml:space="preserve">.1开标时，出现下列情形之一的，采购代理机构不予受理： </w:t>
      </w:r>
    </w:p>
    <w:p w14:paraId="61B11AAC">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（1）经检查数字证书无效的电子投标文件； </w:t>
      </w:r>
    </w:p>
    <w:p w14:paraId="2C6A6998">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（2）电子投标文件未按照招标文件的要求进行加密的； </w:t>
      </w:r>
    </w:p>
    <w:p w14:paraId="2AD0CA7F">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（3）电子投标文件未按招标文件要求上传至交易平台的；</w:t>
      </w:r>
    </w:p>
    <w:p w14:paraId="0D28FF95">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（4）投标人未按照</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规定的方式及时间解密电子投标文件的；</w:t>
      </w:r>
    </w:p>
    <w:p w14:paraId="0C526113">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（5）其它违反法律、法规的情形。</w:t>
      </w:r>
    </w:p>
    <w:p w14:paraId="5D6A5867">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22</w:t>
      </w:r>
      <w:r>
        <w:rPr>
          <w:rFonts w:hint="eastAsia" w:asciiTheme="minorEastAsia" w:hAnsiTheme="minorEastAsia" w:eastAsiaTheme="minorEastAsia"/>
          <w:szCs w:val="21"/>
        </w:rPr>
        <w:t>.2采购人或者采购代理机构应按招标文件规定的时间、地点在交易平台上组织公开开标，并邀请投标人参加。</w:t>
      </w:r>
    </w:p>
    <w:p w14:paraId="1C937F74">
      <w:pPr>
        <w:spacing w:line="400" w:lineRule="atLeast"/>
        <w:ind w:firstLine="413"/>
        <w:jc w:val="left"/>
        <w:rPr>
          <w:rFonts w:asciiTheme="minorEastAsia" w:hAnsiTheme="minorEastAsia" w:eastAsiaTheme="minorEastAsia"/>
          <w:szCs w:val="21"/>
        </w:rPr>
      </w:pPr>
      <w:r>
        <w:rPr>
          <w:rFonts w:hint="eastAsia" w:ascii="宋体" w:hAnsi="宋体" w:cs="宋体"/>
          <w:szCs w:val="21"/>
          <w:highlight w:val="white"/>
          <w:lang w:val="en-US" w:eastAsia="zh-CN"/>
        </w:rPr>
        <w:t>22</w:t>
      </w:r>
      <w:r>
        <w:rPr>
          <w:rFonts w:hint="eastAsia" w:ascii="宋体" w:hAnsi="宋体" w:cs="宋体"/>
          <w:szCs w:val="21"/>
          <w:highlight w:val="white"/>
        </w:rPr>
        <w:t>.3</w:t>
      </w:r>
      <w:r>
        <w:rPr>
          <w:highlight w:val="white"/>
        </w:rPr>
        <w:t>投标人在开标时间前提前登录网上开标系统</w:t>
      </w:r>
      <w:r>
        <w:rPr>
          <w:rFonts w:hint="eastAsia"/>
          <w:highlight w:val="white"/>
        </w:rPr>
        <w:t>，</w:t>
      </w:r>
      <w:r>
        <w:rPr>
          <w:rFonts w:hint="eastAsia" w:ascii="宋体" w:hAnsi="宋体" w:cs="宋体"/>
          <w:szCs w:val="21"/>
          <w:highlight w:val="white"/>
        </w:rPr>
        <w:t>通过网上开标系统参加开标会</w:t>
      </w:r>
      <w:r>
        <w:rPr>
          <w:rFonts w:hint="eastAsia"/>
          <w:highlight w:val="white"/>
        </w:rPr>
        <w:t>。</w:t>
      </w:r>
    </w:p>
    <w:p w14:paraId="50967F78">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22</w:t>
      </w:r>
      <w:r>
        <w:rPr>
          <w:rFonts w:hint="eastAsia" w:asciiTheme="minorEastAsia" w:hAnsiTheme="minorEastAsia" w:eastAsiaTheme="minorEastAsia"/>
          <w:szCs w:val="21"/>
        </w:rPr>
        <w:t xml:space="preserve">.3开标程序。采购代理机构在投标截止时间后，按下列程序进行开标： </w:t>
      </w:r>
    </w:p>
    <w:p w14:paraId="5C765CFA">
      <w:pPr>
        <w:spacing w:line="400" w:lineRule="atLeast"/>
        <w:ind w:firstLine="413"/>
        <w:jc w:val="left"/>
        <w:rPr>
          <w:rFonts w:asciiTheme="minorEastAsia" w:hAnsiTheme="minorEastAsia" w:eastAsiaTheme="minorEastAsia"/>
          <w:szCs w:val="21"/>
        </w:rPr>
      </w:pPr>
      <w:r>
        <w:rPr>
          <w:rFonts w:hint="eastAsia" w:asciiTheme="minorEastAsia" w:hAnsiTheme="minorEastAsia" w:eastAsiaTheme="minorEastAsia"/>
          <w:szCs w:val="21"/>
        </w:rPr>
        <w:t>（1）宣读。投标截止时间，采购代理机构登根据系统显示宣布报名的投标人数量和上传了投标文件的投标人数量。</w:t>
      </w:r>
    </w:p>
    <w:p w14:paraId="3B33B9FA">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（2）解密。采购代理机构在系统发出解密指令。</w:t>
      </w:r>
      <w:r>
        <w:rPr>
          <w:rFonts w:ascii="宋体" w:hAnsi="宋体"/>
          <w:highlight w:val="white"/>
        </w:rPr>
        <w:t>投标人根据系统发出投标文件解密指令提示后在规定时间内使用加密投标文件的CA数字证书进行投标文件解密。解密时限</w:t>
      </w:r>
      <w:r>
        <w:rPr>
          <w:rFonts w:hint="eastAsia" w:ascii="宋体" w:hAnsi="宋体"/>
          <w:highlight w:val="white"/>
        </w:rPr>
        <w:t>见第二章第一节《投标须知前附表》</w:t>
      </w:r>
      <w:r>
        <w:rPr>
          <w:rFonts w:ascii="宋体" w:hAnsi="宋体"/>
          <w:highlight w:val="white"/>
        </w:rPr>
        <w:t>，投标文件在解密时限内</w:t>
      </w:r>
      <w:r>
        <w:rPr>
          <w:rFonts w:hint="eastAsia" w:ascii="宋体" w:hAnsi="宋体"/>
          <w:highlight w:val="white"/>
        </w:rPr>
        <w:t>解密成功的为有效投标人，</w:t>
      </w:r>
      <w:r>
        <w:rPr>
          <w:rFonts w:ascii="宋体" w:hAnsi="宋体"/>
          <w:highlight w:val="white"/>
        </w:rPr>
        <w:t>未解密或解密失败，视为撤销其投标文件，开标继续进行。</w:t>
      </w:r>
      <w:r>
        <w:rPr>
          <w:rFonts w:hint="eastAsia" w:ascii="宋体" w:hAnsi="宋体"/>
          <w:highlight w:val="white"/>
        </w:rPr>
        <w:t>当</w:t>
      </w:r>
      <w:r>
        <w:rPr>
          <w:rFonts w:hint="eastAsia" w:asciiTheme="minorEastAsia" w:hAnsiTheme="minorEastAsia" w:eastAsiaTheme="minorEastAsia"/>
          <w:szCs w:val="21"/>
        </w:rPr>
        <w:t>解密成功的投标人不足3家时，开标不再继续。</w:t>
      </w:r>
    </w:p>
    <w:p w14:paraId="0E9108EF">
      <w:pPr>
        <w:spacing w:line="400" w:lineRule="atLeast"/>
        <w:ind w:firstLine="413"/>
        <w:jc w:val="left"/>
        <w:rPr>
          <w:rFonts w:asciiTheme="minorEastAsia" w:hAnsiTheme="minorEastAsia" w:eastAsiaTheme="minorEastAsia"/>
          <w:szCs w:val="21"/>
        </w:rPr>
      </w:pPr>
      <w:r>
        <w:rPr>
          <w:rFonts w:hint="eastAsia" w:asciiTheme="minorEastAsia" w:hAnsiTheme="minorEastAsia" w:eastAsiaTheme="minorEastAsia"/>
          <w:szCs w:val="21"/>
        </w:rPr>
        <w:t>（3）唱标。</w:t>
      </w:r>
      <w:r>
        <w:rPr>
          <w:rFonts w:ascii="宋体" w:hAnsi="宋体"/>
          <w:highlight w:val="white"/>
        </w:rPr>
        <w:t>以</w:t>
      </w:r>
      <w:r>
        <w:rPr>
          <w:rFonts w:hint="eastAsia" w:ascii="宋体" w:hAnsi="宋体"/>
          <w:highlight w:val="white"/>
        </w:rPr>
        <w:t>投标人</w:t>
      </w:r>
      <w:r>
        <w:rPr>
          <w:rFonts w:ascii="宋体" w:hAnsi="宋体"/>
          <w:highlight w:val="white"/>
        </w:rPr>
        <w:t>《开标一览表》为准，</w:t>
      </w:r>
      <w:r>
        <w:rPr>
          <w:rFonts w:hint="eastAsia"/>
          <w:highlight w:val="white"/>
        </w:rPr>
        <w:t>由系统在线公布投标人名单、开标关键数据</w:t>
      </w:r>
      <w:r>
        <w:rPr>
          <w:rFonts w:ascii="宋体" w:hAnsi="宋体"/>
          <w:highlight w:val="white"/>
        </w:rPr>
        <w:t>。</w:t>
      </w:r>
      <w:r>
        <w:rPr>
          <w:rFonts w:hint="eastAsia" w:ascii="宋体" w:hAnsi="宋体"/>
          <w:highlight w:val="white"/>
        </w:rPr>
        <w:t>电子交易系统</w:t>
      </w:r>
      <w:r>
        <w:rPr>
          <w:rFonts w:ascii="宋体" w:hAnsi="宋体"/>
          <w:highlight w:val="white"/>
        </w:rPr>
        <w:t>在线</w:t>
      </w:r>
      <w:r>
        <w:rPr>
          <w:rFonts w:hint="eastAsia" w:ascii="宋体" w:hAnsi="宋体"/>
          <w:highlight w:val="white"/>
        </w:rPr>
        <w:t>即时</w:t>
      </w:r>
      <w:r>
        <w:rPr>
          <w:rFonts w:ascii="宋体" w:hAnsi="宋体"/>
          <w:highlight w:val="white"/>
        </w:rPr>
        <w:t>生成《开标记录表》</w:t>
      </w:r>
      <w:r>
        <w:rPr>
          <w:rFonts w:hint="eastAsia" w:ascii="宋体" w:hAnsi="宋体"/>
          <w:highlight w:val="white"/>
        </w:rPr>
        <w:t>，</w:t>
      </w:r>
      <w:r>
        <w:rPr>
          <w:rFonts w:ascii="宋体" w:hAnsi="宋体"/>
          <w:highlight w:val="white"/>
        </w:rPr>
        <w:t>所有</w:t>
      </w:r>
      <w:r>
        <w:rPr>
          <w:rFonts w:hint="eastAsia" w:ascii="宋体" w:hAnsi="宋体"/>
          <w:highlight w:val="white"/>
        </w:rPr>
        <w:t>解密成功的</w:t>
      </w:r>
      <w:r>
        <w:rPr>
          <w:rFonts w:ascii="宋体" w:hAnsi="宋体"/>
          <w:highlight w:val="white"/>
        </w:rPr>
        <w:t>投标人可以在线即时查看、下载。</w:t>
      </w:r>
    </w:p>
    <w:p w14:paraId="58157B64">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（4）确认。投标人法定代表人或授权代表应在规定的时间内通过电子交易系统在《开标记录表》上进行确认。投标人未在规定的时间进行确认的，视同认可开标结果。</w:t>
      </w:r>
    </w:p>
    <w:p w14:paraId="039FFA0B">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22</w:t>
      </w:r>
      <w:r>
        <w:rPr>
          <w:rFonts w:hint="eastAsia" w:asciiTheme="minorEastAsia" w:hAnsiTheme="minorEastAsia" w:eastAsiaTheme="minorEastAsia"/>
          <w:szCs w:val="21"/>
        </w:rPr>
        <w:t>.4 投标人代表对开标过程和开标记录有疑义，以及认为采购人或者采购代理机构相关工作人员有《政府采购法实施条例》第九条第一款需要回避的情形的，应当场提出询问或者回避申请。</w:t>
      </w:r>
    </w:p>
    <w:p w14:paraId="1BB5A5E0">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22</w:t>
      </w:r>
      <w:r>
        <w:rPr>
          <w:rFonts w:hint="eastAsia" w:asciiTheme="minorEastAsia" w:hAnsiTheme="minorEastAsia" w:eastAsiaTheme="minorEastAsia"/>
          <w:szCs w:val="21"/>
        </w:rPr>
        <w:t>.5采购人或者采购代理机构对投标人代表当场提出的询问或者回避申请，按《政府采购法实施条例》有关规定及时处理。</w:t>
      </w:r>
    </w:p>
    <w:p w14:paraId="47064150">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lang w:val="en-US" w:eastAsia="zh-CN"/>
        </w:rPr>
        <w:t>22</w:t>
      </w:r>
      <w:r>
        <w:rPr>
          <w:rFonts w:asciiTheme="minorEastAsia" w:hAnsiTheme="minorEastAsia" w:eastAsiaTheme="minorEastAsia"/>
          <w:bCs/>
          <w:szCs w:val="21"/>
        </w:rPr>
        <w:t>.</w:t>
      </w:r>
      <w:r>
        <w:rPr>
          <w:rFonts w:hint="eastAsia" w:asciiTheme="minorEastAsia" w:hAnsiTheme="minorEastAsia" w:eastAsiaTheme="minorEastAsia"/>
          <w:bCs/>
          <w:szCs w:val="21"/>
        </w:rPr>
        <w:t>6</w:t>
      </w:r>
      <w:r>
        <w:rPr>
          <w:rFonts w:asciiTheme="minorEastAsia" w:hAnsiTheme="minorEastAsia" w:eastAsiaTheme="minorEastAsia"/>
          <w:bCs/>
          <w:szCs w:val="21"/>
        </w:rPr>
        <w:t>开标时，出现下列情形之一的，视为投标人撤销其投标</w:t>
      </w:r>
      <w:r>
        <w:rPr>
          <w:rFonts w:hint="eastAsia" w:asciiTheme="minorEastAsia" w:hAnsiTheme="minorEastAsia" w:eastAsiaTheme="minorEastAsia"/>
          <w:bCs/>
          <w:szCs w:val="21"/>
        </w:rPr>
        <w:t>。</w:t>
      </w:r>
    </w:p>
    <w:p w14:paraId="4F859DEE">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w:t>
      </w:r>
      <w:r>
        <w:rPr>
          <w:rFonts w:asciiTheme="minorEastAsia" w:hAnsiTheme="minorEastAsia" w:eastAsiaTheme="minorEastAsia"/>
          <w:bCs/>
          <w:szCs w:val="21"/>
        </w:rPr>
        <w:t>1</w:t>
      </w:r>
      <w:r>
        <w:rPr>
          <w:rFonts w:hint="eastAsia" w:asciiTheme="minorEastAsia" w:hAnsiTheme="minorEastAsia" w:eastAsiaTheme="minorEastAsia"/>
          <w:bCs/>
          <w:szCs w:val="21"/>
        </w:rPr>
        <w:t>）</w:t>
      </w:r>
      <w:r>
        <w:rPr>
          <w:rFonts w:asciiTheme="minorEastAsia" w:hAnsiTheme="minorEastAsia" w:eastAsiaTheme="minorEastAsia"/>
          <w:bCs/>
          <w:szCs w:val="21"/>
        </w:rPr>
        <w:t>投标人未按要求配置开标所需的软硬件设备，导致解密失败的；</w:t>
      </w:r>
    </w:p>
    <w:p w14:paraId="4C06E996">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asciiTheme="minorEastAsia" w:hAnsiTheme="minorEastAsia" w:eastAsiaTheme="minorEastAsia"/>
          <w:bCs/>
          <w:szCs w:val="21"/>
        </w:rPr>
        <w:t>（2）投标人电脑故障或无法上网，导致解密失败的； </w:t>
      </w:r>
    </w:p>
    <w:p w14:paraId="75EE0F49">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asciiTheme="minorEastAsia" w:hAnsiTheme="minorEastAsia" w:eastAsiaTheme="minorEastAsia"/>
          <w:bCs/>
          <w:szCs w:val="21"/>
        </w:rPr>
        <w:t>（3）</w:t>
      </w:r>
      <w:r>
        <w:rPr>
          <w:rFonts w:hint="eastAsia" w:asciiTheme="minorEastAsia" w:hAnsiTheme="minorEastAsia" w:eastAsiaTheme="minorEastAsia"/>
          <w:bCs/>
          <w:szCs w:val="21"/>
        </w:rPr>
        <w:t>投标人电子</w:t>
      </w:r>
      <w:r>
        <w:rPr>
          <w:rFonts w:asciiTheme="minorEastAsia" w:hAnsiTheme="minorEastAsia" w:eastAsiaTheme="minorEastAsia"/>
          <w:bCs/>
          <w:szCs w:val="21"/>
        </w:rPr>
        <w:t>CA</w:t>
      </w:r>
      <w:r>
        <w:rPr>
          <w:rFonts w:hint="eastAsia" w:asciiTheme="minorEastAsia" w:hAnsiTheme="minorEastAsia" w:eastAsiaTheme="minorEastAsia"/>
          <w:bCs/>
          <w:szCs w:val="21"/>
        </w:rPr>
        <w:t>证书</w:t>
      </w:r>
      <w:r>
        <w:rPr>
          <w:rFonts w:asciiTheme="minorEastAsia" w:hAnsiTheme="minorEastAsia" w:eastAsiaTheme="minorEastAsia"/>
          <w:bCs/>
          <w:szCs w:val="21"/>
        </w:rPr>
        <w:t>发生故障、失效、错误等，导致解密失败的；</w:t>
      </w:r>
    </w:p>
    <w:p w14:paraId="72B37F59">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asciiTheme="minorEastAsia" w:hAnsiTheme="minorEastAsia" w:eastAsiaTheme="minorEastAsia"/>
          <w:bCs/>
          <w:szCs w:val="21"/>
        </w:rPr>
        <w:t>（4）解密时间超过规定时限的；</w:t>
      </w:r>
    </w:p>
    <w:p w14:paraId="4FC815C7">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asciiTheme="minorEastAsia" w:hAnsiTheme="minorEastAsia" w:eastAsiaTheme="minorEastAsia"/>
          <w:bCs/>
          <w:szCs w:val="21"/>
        </w:rPr>
        <w:t>（5）其他由于投标人自身原因导致解密失效的情形。</w:t>
      </w:r>
    </w:p>
    <w:p w14:paraId="01AE2F9E">
      <w:pPr>
        <w:spacing w:line="400" w:lineRule="exact"/>
        <w:ind w:firstLine="720"/>
        <w:rPr>
          <w:rFonts w:ascii="宋体" w:hAnsi="宋体"/>
          <w:b/>
          <w:highlight w:val="white"/>
        </w:rPr>
      </w:pPr>
    </w:p>
    <w:p w14:paraId="17EAE4A3">
      <w:pPr>
        <w:adjustRightInd w:val="0"/>
        <w:snapToGrid w:val="0"/>
        <w:spacing w:before="156" w:beforeLines="50" w:line="360" w:lineRule="auto"/>
        <w:jc w:val="left"/>
        <w:rPr>
          <w:rFonts w:asciiTheme="minorEastAsia" w:hAnsiTheme="minorEastAsia" w:eastAsiaTheme="minorEastAsia"/>
          <w:b/>
          <w:sz w:val="24"/>
        </w:rPr>
      </w:pPr>
      <w:r>
        <w:rPr>
          <w:rStyle w:val="46"/>
          <w:rFonts w:hint="eastAsia" w:cs="Arial" w:asciiTheme="minorEastAsia" w:hAnsiTheme="minorEastAsia" w:eastAsiaTheme="minorEastAsia"/>
          <w:sz w:val="24"/>
          <w:lang w:val="en-US" w:eastAsia="zh-CN"/>
        </w:rPr>
        <w:t>23</w:t>
      </w:r>
      <w:r>
        <w:rPr>
          <w:rStyle w:val="46"/>
          <w:rFonts w:hint="eastAsia" w:cs="Arial" w:asciiTheme="minorEastAsia" w:hAnsiTheme="minorEastAsia" w:eastAsiaTheme="minorEastAsia"/>
          <w:sz w:val="24"/>
        </w:rPr>
        <w:t>.</w:t>
      </w:r>
      <w:r>
        <w:rPr>
          <w:rFonts w:hint="eastAsia" w:asciiTheme="minorEastAsia" w:hAnsiTheme="minorEastAsia" w:eastAsiaTheme="minorEastAsia"/>
          <w:b/>
          <w:sz w:val="24"/>
        </w:rPr>
        <w:t xml:space="preserve"> 资格审查</w:t>
      </w:r>
    </w:p>
    <w:p w14:paraId="27BFE9E8">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23</w:t>
      </w:r>
      <w:r>
        <w:rPr>
          <w:rFonts w:hint="eastAsia" w:asciiTheme="minorEastAsia" w:hAnsiTheme="minorEastAsia" w:eastAsiaTheme="minorEastAsia"/>
          <w:szCs w:val="21"/>
        </w:rPr>
        <w:t>.1开标结束后，采购人、采购代理机构依法按照第三章</w:t>
      </w:r>
      <w:r>
        <w:rPr>
          <w:rFonts w:hint="eastAsia" w:ascii="华文宋体" w:hAnsi="华文宋体" w:eastAsia="华文宋体"/>
          <w:szCs w:val="21"/>
        </w:rPr>
        <w:t>“</w:t>
      </w:r>
      <w:r>
        <w:rPr>
          <w:rFonts w:hint="eastAsia" w:asciiTheme="minorEastAsia" w:hAnsiTheme="minorEastAsia" w:eastAsiaTheme="minorEastAsia"/>
          <w:szCs w:val="21"/>
        </w:rPr>
        <w:t>资格审查</w:t>
      </w:r>
      <w:r>
        <w:rPr>
          <w:rFonts w:hint="eastAsia" w:ascii="华文宋体" w:hAnsi="华文宋体" w:eastAsia="华文宋体"/>
          <w:szCs w:val="21"/>
        </w:rPr>
        <w:t>”</w:t>
      </w:r>
      <w:r>
        <w:rPr>
          <w:rFonts w:hint="eastAsia" w:asciiTheme="minorEastAsia" w:hAnsiTheme="minorEastAsia" w:eastAsiaTheme="minorEastAsia"/>
          <w:szCs w:val="21"/>
        </w:rPr>
        <w:t>规定组织资格审查。</w:t>
      </w:r>
    </w:p>
    <w:p w14:paraId="6E95053E">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23</w:t>
      </w:r>
      <w:r>
        <w:rPr>
          <w:rFonts w:hint="eastAsia" w:asciiTheme="minorEastAsia" w:hAnsiTheme="minorEastAsia" w:eastAsiaTheme="minorEastAsia"/>
          <w:szCs w:val="21"/>
        </w:rPr>
        <w:t>.2资格审查结束后，采购人、采购代理机构应将资格审查结果告知评标委员会。资格审查不合格投标人不进入评标；经资格审查合格投标人少于3家的，不得评标。</w:t>
      </w:r>
    </w:p>
    <w:p w14:paraId="5B36199B">
      <w:pPr>
        <w:adjustRightInd w:val="0"/>
        <w:snapToGrid w:val="0"/>
        <w:spacing w:before="156" w:beforeLines="50" w:line="360" w:lineRule="auto"/>
        <w:jc w:val="left"/>
        <w:rPr>
          <w:rFonts w:asciiTheme="minorEastAsia" w:hAnsiTheme="minorEastAsia" w:eastAsiaTheme="minorEastAsia"/>
          <w:b/>
          <w:sz w:val="24"/>
        </w:rPr>
      </w:pPr>
      <w:r>
        <w:rPr>
          <w:rFonts w:hint="eastAsia" w:asciiTheme="minorEastAsia" w:hAnsiTheme="minorEastAsia" w:eastAsiaTheme="minorEastAsia"/>
          <w:b/>
          <w:bCs/>
          <w:sz w:val="24"/>
          <w:lang w:val="en-US" w:eastAsia="zh-CN"/>
        </w:rPr>
        <w:t>24</w:t>
      </w:r>
      <w:r>
        <w:rPr>
          <w:rFonts w:hint="eastAsia" w:asciiTheme="minorEastAsia" w:hAnsiTheme="minorEastAsia" w:eastAsiaTheme="minorEastAsia"/>
          <w:b/>
          <w:bCs/>
          <w:sz w:val="24"/>
        </w:rPr>
        <w:t>.</w:t>
      </w:r>
      <w:r>
        <w:rPr>
          <w:rFonts w:hint="eastAsia" w:asciiTheme="minorEastAsia" w:hAnsiTheme="minorEastAsia" w:eastAsiaTheme="minorEastAsia"/>
          <w:b/>
          <w:sz w:val="24"/>
        </w:rPr>
        <w:t xml:space="preserve"> 评标委员会</w:t>
      </w:r>
    </w:p>
    <w:p w14:paraId="68D9C110">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24</w:t>
      </w:r>
      <w:r>
        <w:rPr>
          <w:rFonts w:hint="eastAsia" w:asciiTheme="minorEastAsia" w:hAnsiTheme="minorEastAsia" w:eastAsiaTheme="minorEastAsia"/>
          <w:szCs w:val="21"/>
        </w:rPr>
        <w:t>.1评标由依法组建的评标委员会负责，评标委员会由采购人代表和评审专家组成。</w:t>
      </w:r>
    </w:p>
    <w:p w14:paraId="56137454">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24</w:t>
      </w:r>
      <w:r>
        <w:rPr>
          <w:rFonts w:hint="eastAsia" w:asciiTheme="minorEastAsia" w:hAnsiTheme="minorEastAsia" w:eastAsiaTheme="minorEastAsia"/>
          <w:szCs w:val="21"/>
        </w:rPr>
        <w:t>.2评标委员会成员有下列情形之一的，应当回避：</w:t>
      </w:r>
    </w:p>
    <w:p w14:paraId="435CF60D">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（1）参加采购活动前三年内,与投标人存在劳动关系,或者担任过投标人的董事、监事,或者是投标人的控股股东或实际控制人；</w:t>
      </w:r>
    </w:p>
    <w:p w14:paraId="6ABD9461">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（2）与投标人的法定代表人或者负责人有夫妻、直系血亲、三代以内旁系血亲或者近姻亲关系；</w:t>
      </w:r>
    </w:p>
    <w:p w14:paraId="7BD502AF">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（3）与投标人有其他可能影响政府采购活动公平、公正进行的关系。</w:t>
      </w:r>
    </w:p>
    <w:p w14:paraId="537EC3A6">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24</w:t>
      </w:r>
      <w:r>
        <w:rPr>
          <w:rFonts w:hint="eastAsia" w:asciiTheme="minorEastAsia" w:hAnsiTheme="minorEastAsia" w:eastAsiaTheme="minorEastAsia"/>
          <w:szCs w:val="21"/>
        </w:rPr>
        <w:t>.3评标委员会负责具体评标事务，并独立履行下列职责：</w:t>
      </w:r>
    </w:p>
    <w:p w14:paraId="5291981D">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（1）审查、评价投标文件是否符合招标文件的商务、技术等实质性要求；</w:t>
      </w:r>
    </w:p>
    <w:p w14:paraId="60DE9D20">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（2）要求投标人对投标文件有关事项作出澄清或者说明；</w:t>
      </w:r>
    </w:p>
    <w:p w14:paraId="75B03EB9">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（3）对投标文件进行比较和评价；</w:t>
      </w:r>
    </w:p>
    <w:p w14:paraId="3B0AFC83">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（4）确定中标候选人名单，以及根据采购人委托直接确定中标人。</w:t>
      </w:r>
    </w:p>
    <w:p w14:paraId="785F7DBC">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sz w:val="24"/>
          <w:lang w:val="en-US" w:eastAsia="zh-CN"/>
        </w:rPr>
        <w:t>25</w:t>
      </w:r>
      <w:r>
        <w:rPr>
          <w:rFonts w:hint="eastAsia" w:asciiTheme="minorEastAsia" w:hAnsiTheme="minorEastAsia" w:eastAsiaTheme="minorEastAsia"/>
          <w:b/>
          <w:sz w:val="24"/>
        </w:rPr>
        <w:t>.</w:t>
      </w:r>
      <w:r>
        <w:rPr>
          <w:rFonts w:hint="eastAsia" w:asciiTheme="minorEastAsia" w:hAnsiTheme="minorEastAsia" w:eastAsiaTheme="minorEastAsia"/>
          <w:b/>
          <w:bCs/>
          <w:sz w:val="24"/>
        </w:rPr>
        <w:t xml:space="preserve"> 评标</w:t>
      </w:r>
    </w:p>
    <w:p w14:paraId="2466AD2C">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lang w:val="en-US" w:eastAsia="zh-CN"/>
        </w:rPr>
        <w:t>25</w:t>
      </w:r>
      <w:r>
        <w:rPr>
          <w:rFonts w:hint="eastAsia" w:asciiTheme="minorEastAsia" w:hAnsiTheme="minorEastAsia" w:eastAsiaTheme="minorEastAsia"/>
        </w:rPr>
        <w:t>.1评标委员会按照</w:t>
      </w:r>
      <w:r>
        <w:rPr>
          <w:rFonts w:hint="eastAsia" w:asciiTheme="minorEastAsia" w:hAnsiTheme="minorEastAsia" w:eastAsiaTheme="minorEastAsia"/>
          <w:bCs/>
        </w:rPr>
        <w:t>第四章</w:t>
      </w:r>
      <w:r>
        <w:rPr>
          <w:rFonts w:hint="eastAsia" w:ascii="华文宋体" w:hAnsi="华文宋体" w:eastAsia="华文宋体"/>
          <w:bCs/>
        </w:rPr>
        <w:t>“</w:t>
      </w:r>
      <w:r>
        <w:rPr>
          <w:rFonts w:hint="eastAsia" w:asciiTheme="minorEastAsia" w:hAnsiTheme="minorEastAsia" w:eastAsiaTheme="minorEastAsia"/>
          <w:bCs/>
        </w:rPr>
        <w:t>评标方法及标准</w:t>
      </w:r>
      <w:r>
        <w:rPr>
          <w:rFonts w:hint="eastAsia" w:ascii="华文宋体" w:hAnsi="华文宋体" w:eastAsia="华文宋体"/>
          <w:bCs/>
        </w:rPr>
        <w:t>”</w:t>
      </w:r>
      <w:r>
        <w:rPr>
          <w:rFonts w:hint="eastAsia" w:asciiTheme="minorEastAsia" w:hAnsiTheme="minorEastAsia" w:eastAsiaTheme="minorEastAsia"/>
        </w:rPr>
        <w:t>规定的评标方法、评审因素、标准和程序以及有关法律、法规及规章对投标文件进行评审。</w:t>
      </w:r>
    </w:p>
    <w:p w14:paraId="2EC1CC11">
      <w:pPr>
        <w:pStyle w:val="4"/>
        <w:adjustRightInd w:val="0"/>
        <w:snapToGrid w:val="0"/>
        <w:spacing w:before="156" w:beforeLines="50" w:after="0" w:line="360" w:lineRule="auto"/>
        <w:jc w:val="center"/>
        <w:rPr>
          <w:rFonts w:ascii="黑体" w:hAnsi="黑体" w:eastAsia="黑体"/>
          <w:sz w:val="28"/>
          <w:szCs w:val="28"/>
        </w:rPr>
      </w:pPr>
      <w:bookmarkStart w:id="33" w:name="_Toc14863"/>
      <w:bookmarkStart w:id="34" w:name="_Toc29913902"/>
      <w:bookmarkStart w:id="35" w:name="_Toc28111"/>
      <w:r>
        <w:rPr>
          <w:rFonts w:hint="eastAsia" w:ascii="黑体" w:hAnsi="黑体" w:eastAsia="黑体"/>
          <w:sz w:val="28"/>
          <w:szCs w:val="28"/>
        </w:rPr>
        <w:t>六、中标信息公布</w:t>
      </w:r>
      <w:bookmarkEnd w:id="33"/>
      <w:bookmarkEnd w:id="34"/>
      <w:bookmarkEnd w:id="35"/>
    </w:p>
    <w:p w14:paraId="6941F7E5">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sz w:val="24"/>
          <w:lang w:val="en-US" w:eastAsia="zh-CN"/>
        </w:rPr>
        <w:t>26</w:t>
      </w:r>
      <w:r>
        <w:rPr>
          <w:rFonts w:hint="eastAsia" w:asciiTheme="minorEastAsia" w:hAnsiTheme="minorEastAsia" w:eastAsiaTheme="minorEastAsia"/>
          <w:b/>
          <w:sz w:val="24"/>
        </w:rPr>
        <w:t>.</w:t>
      </w:r>
      <w:r>
        <w:rPr>
          <w:rFonts w:hint="eastAsia" w:asciiTheme="minorEastAsia" w:hAnsiTheme="minorEastAsia" w:eastAsiaTheme="minorEastAsia"/>
          <w:sz w:val="24"/>
        </w:rPr>
        <w:t xml:space="preserve"> </w:t>
      </w:r>
      <w:r>
        <w:rPr>
          <w:rFonts w:hint="eastAsia" w:asciiTheme="minorEastAsia" w:hAnsiTheme="minorEastAsia" w:eastAsiaTheme="minorEastAsia"/>
          <w:b/>
          <w:bCs/>
          <w:sz w:val="24"/>
        </w:rPr>
        <w:t>中标通知书与中标信息公布</w:t>
      </w:r>
    </w:p>
    <w:p w14:paraId="603F08A2">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26</w:t>
      </w:r>
      <w:r>
        <w:rPr>
          <w:rFonts w:hint="eastAsia" w:asciiTheme="minorEastAsia" w:hAnsiTheme="minorEastAsia" w:eastAsiaTheme="minorEastAsia"/>
          <w:szCs w:val="21"/>
        </w:rPr>
        <w:t>.1采购代理机构应当在评标结束后2个工作日内将评标报告送采购人。</w:t>
      </w:r>
    </w:p>
    <w:p w14:paraId="492C3563">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26</w:t>
      </w:r>
      <w:r>
        <w:rPr>
          <w:rFonts w:hint="eastAsia" w:asciiTheme="minorEastAsia" w:hAnsiTheme="minorEastAsia" w:eastAsiaTheme="minorEastAsia"/>
          <w:szCs w:val="21"/>
        </w:rPr>
        <w:t>.2采购人应当自收到评标报告之日起5个工作日内，在评标报告确定的中标候选人名单中按顺序确定中标人。中标候选人并列的，按照</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规定的方式确定中标人；招标文件未规定的，采取随机抽取的方式确定。</w:t>
      </w:r>
    </w:p>
    <w:p w14:paraId="6D7D5DE8">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26</w:t>
      </w:r>
      <w:r>
        <w:rPr>
          <w:rFonts w:hint="eastAsia" w:asciiTheme="minorEastAsia" w:hAnsiTheme="minorEastAsia" w:eastAsiaTheme="minorEastAsia"/>
          <w:szCs w:val="21"/>
        </w:rPr>
        <w:t>.3采购人、采购代理机构应当自采购人确定中标供应商之日起2个工作日内，发出中标通知书，并在招标公告指定媒体上公告中标结果，招标文件随中标结果同时公告，中标结果公告期限为１个工作日。</w:t>
      </w:r>
    </w:p>
    <w:p w14:paraId="222219CC">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lang w:val="en-US" w:eastAsia="zh-CN"/>
        </w:rPr>
        <w:t>27</w:t>
      </w:r>
      <w:r>
        <w:rPr>
          <w:rFonts w:hint="eastAsia" w:asciiTheme="minorEastAsia" w:hAnsiTheme="minorEastAsia" w:eastAsiaTheme="minorEastAsia"/>
          <w:b/>
          <w:bCs/>
          <w:sz w:val="24"/>
        </w:rPr>
        <w:t>.</w:t>
      </w:r>
      <w:r>
        <w:rPr>
          <w:rFonts w:hint="eastAsia" w:asciiTheme="minorEastAsia" w:hAnsiTheme="minorEastAsia" w:eastAsiaTheme="minorEastAsia"/>
          <w:b/>
          <w:sz w:val="24"/>
        </w:rPr>
        <w:t xml:space="preserve"> 投标人询问及</w:t>
      </w:r>
      <w:r>
        <w:rPr>
          <w:rFonts w:hint="eastAsia" w:asciiTheme="minorEastAsia" w:hAnsiTheme="minorEastAsia" w:eastAsiaTheme="minorEastAsia"/>
          <w:b/>
          <w:bCs/>
          <w:sz w:val="24"/>
        </w:rPr>
        <w:t>质疑</w:t>
      </w:r>
    </w:p>
    <w:p w14:paraId="2E29DA26">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27</w:t>
      </w:r>
      <w:r>
        <w:rPr>
          <w:rFonts w:hint="eastAsia" w:asciiTheme="minorEastAsia" w:hAnsiTheme="minorEastAsia" w:eastAsiaTheme="minorEastAsia"/>
          <w:szCs w:val="21"/>
        </w:rPr>
        <w:t>.1投标人对政府采购活动事项有疑问的，可以向采购人、采购代理机构提出询问。采购人或采购代理机构将在3个工作日内作出答复。</w:t>
      </w:r>
    </w:p>
    <w:p w14:paraId="57825D1E">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27</w:t>
      </w:r>
      <w:r>
        <w:rPr>
          <w:rFonts w:hint="eastAsia" w:asciiTheme="minorEastAsia" w:hAnsiTheme="minorEastAsia" w:eastAsiaTheme="minorEastAsia"/>
          <w:szCs w:val="21"/>
        </w:rPr>
        <w:t>.2投标人认为招标文件、采购过程和中标结果使自己的权益受到损害的，可以在知道或者应知其权益受到损害之日起7个工作日内，按照《湖南省财政厅关于印发＜政府采购质疑答复和投诉处理操作规程＞的通知》(湘财购〔2019〕20号)规定，以纸质书面形式向采购人、采购代理机构提出质疑。</w:t>
      </w:r>
    </w:p>
    <w:p w14:paraId="7F45EB0D">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27</w:t>
      </w:r>
      <w:r>
        <w:rPr>
          <w:rFonts w:hint="eastAsia" w:asciiTheme="minorEastAsia" w:hAnsiTheme="minorEastAsia" w:eastAsiaTheme="minorEastAsia"/>
          <w:szCs w:val="21"/>
        </w:rPr>
        <w:t>.3投标人提出质疑的，应按照《湖南省财政厅关于印发＜政府采购质疑答复和投诉处理操作规程＞的通知》规定制作、签署、送达。采购人、采购代理机构接收质疑函的联系部门、联系电话和通讯地址见</w:t>
      </w:r>
      <w:r>
        <w:rPr>
          <w:rFonts w:hint="eastAsia" w:asciiTheme="minorEastAsia" w:hAnsiTheme="minorEastAsia" w:eastAsiaTheme="minorEastAsia"/>
          <w:b/>
          <w:szCs w:val="21"/>
        </w:rPr>
        <w:t>【申请人须知前附表】</w:t>
      </w:r>
      <w:r>
        <w:rPr>
          <w:rFonts w:hint="eastAsia" w:asciiTheme="minorEastAsia" w:hAnsiTheme="minorEastAsia" w:eastAsiaTheme="minorEastAsia"/>
          <w:szCs w:val="21"/>
        </w:rPr>
        <w:t xml:space="preserve">。  </w:t>
      </w:r>
    </w:p>
    <w:p w14:paraId="4F80C450">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27</w:t>
      </w:r>
      <w:r>
        <w:rPr>
          <w:rFonts w:hint="eastAsia" w:asciiTheme="minorEastAsia" w:hAnsiTheme="minorEastAsia" w:eastAsiaTheme="minorEastAsia"/>
          <w:szCs w:val="21"/>
        </w:rPr>
        <w:t>.4采购人、采购代理机构按照《湖南省财政厅关于印发＜政府采购质疑答复和投诉处理操作规程＞的通知》规定进行质疑答复。</w:t>
      </w:r>
    </w:p>
    <w:p w14:paraId="3C73FEB8">
      <w:pPr>
        <w:adjustRightInd w:val="0"/>
        <w:snapToGrid w:val="0"/>
        <w:spacing w:before="156" w:beforeLines="50" w:line="360" w:lineRule="auto"/>
        <w:ind w:firstLine="420" w:firstLineChars="200"/>
        <w:jc w:val="left"/>
        <w:rPr>
          <w:rFonts w:asciiTheme="minorEastAsia" w:hAnsiTheme="minorEastAsia" w:eastAsiaTheme="minorEastAsia"/>
          <w:b/>
          <w:bCs/>
        </w:rPr>
      </w:pPr>
      <w:r>
        <w:rPr>
          <w:rFonts w:hint="eastAsia" w:asciiTheme="minorEastAsia" w:hAnsiTheme="minorEastAsia" w:eastAsiaTheme="minorEastAsia"/>
          <w:szCs w:val="21"/>
          <w:lang w:val="en-US" w:eastAsia="zh-CN"/>
        </w:rPr>
        <w:t>27</w:t>
      </w:r>
      <w:r>
        <w:rPr>
          <w:rFonts w:asciiTheme="minorEastAsia" w:hAnsiTheme="minorEastAsia" w:eastAsiaTheme="minorEastAsia"/>
          <w:szCs w:val="21"/>
        </w:rPr>
        <w:t>.</w:t>
      </w:r>
      <w:r>
        <w:rPr>
          <w:rFonts w:hint="eastAsia" w:asciiTheme="minorEastAsia" w:hAnsiTheme="minorEastAsia" w:eastAsiaTheme="minorEastAsia"/>
          <w:szCs w:val="21"/>
        </w:rPr>
        <w:t>5投标人对采购人、采购代理机构的答复不满意，或采购人或采购代理机构未在规定的期限作出答复的，可在答复期满后15个工作日内，按照《湖南省财政厅关于印发＜政府采购质疑答复和投诉处理操作规程＞的通知》规定向采购人同级财政部门提出投诉。</w:t>
      </w:r>
    </w:p>
    <w:p w14:paraId="13170B9E">
      <w:pPr>
        <w:pStyle w:val="4"/>
        <w:adjustRightInd w:val="0"/>
        <w:snapToGrid w:val="0"/>
        <w:spacing w:before="156" w:beforeLines="50" w:after="0" w:line="360" w:lineRule="auto"/>
        <w:jc w:val="center"/>
        <w:rPr>
          <w:rFonts w:ascii="黑体" w:hAnsi="黑体" w:eastAsia="黑体"/>
          <w:sz w:val="28"/>
          <w:szCs w:val="28"/>
        </w:rPr>
      </w:pPr>
      <w:bookmarkStart w:id="36" w:name="_Toc29913903"/>
      <w:bookmarkStart w:id="37" w:name="_Toc17703"/>
      <w:bookmarkStart w:id="38" w:name="_Toc31254"/>
      <w:r>
        <w:rPr>
          <w:rFonts w:hint="eastAsia" w:ascii="黑体" w:hAnsi="黑体" w:eastAsia="黑体"/>
          <w:sz w:val="28"/>
          <w:szCs w:val="28"/>
        </w:rPr>
        <w:t>七、合同签订</w:t>
      </w:r>
      <w:bookmarkEnd w:id="36"/>
      <w:bookmarkEnd w:id="37"/>
      <w:bookmarkEnd w:id="38"/>
    </w:p>
    <w:p w14:paraId="0859BA5F">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lang w:val="en-US" w:eastAsia="zh-CN"/>
        </w:rPr>
        <w:t>28</w:t>
      </w:r>
      <w:r>
        <w:rPr>
          <w:rFonts w:hint="eastAsia" w:asciiTheme="minorEastAsia" w:hAnsiTheme="minorEastAsia" w:eastAsiaTheme="minorEastAsia"/>
          <w:b/>
          <w:bCs/>
          <w:sz w:val="24"/>
        </w:rPr>
        <w:t>. 签订合同</w:t>
      </w:r>
    </w:p>
    <w:p w14:paraId="312EBC59">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28</w:t>
      </w:r>
      <w:r>
        <w:rPr>
          <w:rFonts w:hint="eastAsia" w:asciiTheme="minorEastAsia" w:hAnsiTheme="minorEastAsia" w:eastAsiaTheme="minorEastAsia"/>
          <w:szCs w:val="21"/>
        </w:rPr>
        <w:t>.1采购人应自中标通知书发出之日起30日内，按中标通知书指定的时间、地点与中标人签订政府采购合同。所签订的合同不得对招标文件确定的事项和中标人投标文件作实质性修改。</w:t>
      </w:r>
    </w:p>
    <w:p w14:paraId="13662E9F">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28</w:t>
      </w:r>
      <w:r>
        <w:rPr>
          <w:rFonts w:hint="eastAsia" w:asciiTheme="minorEastAsia" w:hAnsiTheme="minorEastAsia" w:eastAsiaTheme="minorEastAsia"/>
          <w:szCs w:val="21"/>
        </w:rPr>
        <w:t>.2招标文件、中标人的投标文件均为签订合同的依据。</w:t>
      </w:r>
    </w:p>
    <w:p w14:paraId="6B8E9B80">
      <w:pPr>
        <w:adjustRightInd w:val="0"/>
        <w:snapToGrid w:val="0"/>
        <w:spacing w:before="156" w:beforeLines="50" w:line="360" w:lineRule="auto"/>
        <w:ind w:firstLine="420" w:firstLineChars="200"/>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kern w:val="0"/>
          <w:szCs w:val="21"/>
          <w:lang w:val="en-US" w:eastAsia="zh-CN"/>
        </w:rPr>
        <w:t>28</w:t>
      </w:r>
      <w:r>
        <w:rPr>
          <w:rFonts w:hint="eastAsia" w:cs="微软雅黑" w:asciiTheme="minorEastAsia" w:hAnsiTheme="minorEastAsia" w:eastAsiaTheme="minorEastAsia"/>
          <w:kern w:val="0"/>
          <w:szCs w:val="21"/>
        </w:rPr>
        <w:t>.3联</w:t>
      </w:r>
      <w:r>
        <w:rPr>
          <w:rFonts w:hint="eastAsia" w:cs="微软雅黑" w:asciiTheme="minorEastAsia" w:hAnsiTheme="minorEastAsia" w:eastAsiaTheme="minorEastAsia"/>
          <w:spacing w:val="-2"/>
          <w:kern w:val="0"/>
          <w:szCs w:val="21"/>
        </w:rPr>
        <w:t>合</w:t>
      </w:r>
      <w:r>
        <w:rPr>
          <w:rFonts w:hint="eastAsia" w:cs="微软雅黑" w:asciiTheme="minorEastAsia" w:hAnsiTheme="minorEastAsia" w:eastAsiaTheme="minorEastAsia"/>
          <w:kern w:val="0"/>
          <w:szCs w:val="21"/>
        </w:rPr>
        <w:t>体</w:t>
      </w:r>
      <w:r>
        <w:rPr>
          <w:rFonts w:hint="eastAsia" w:cs="微软雅黑" w:asciiTheme="minorEastAsia" w:hAnsiTheme="minorEastAsia" w:eastAsiaTheme="minorEastAsia"/>
          <w:spacing w:val="-2"/>
          <w:kern w:val="0"/>
          <w:szCs w:val="21"/>
        </w:rPr>
        <w:t>中</w:t>
      </w:r>
      <w:r>
        <w:rPr>
          <w:rFonts w:hint="eastAsia" w:cs="微软雅黑" w:asciiTheme="minorEastAsia" w:hAnsiTheme="minorEastAsia" w:eastAsiaTheme="minorEastAsia"/>
          <w:kern w:val="0"/>
          <w:szCs w:val="21"/>
        </w:rPr>
        <w:t>标的</w:t>
      </w:r>
      <w:r>
        <w:rPr>
          <w:rFonts w:hint="eastAsia" w:cs="微软雅黑" w:asciiTheme="minorEastAsia" w:hAnsiTheme="minorEastAsia" w:eastAsiaTheme="minorEastAsia"/>
          <w:spacing w:val="-14"/>
          <w:kern w:val="0"/>
          <w:szCs w:val="21"/>
        </w:rPr>
        <w:t>，</w:t>
      </w:r>
      <w:r>
        <w:rPr>
          <w:rFonts w:hint="eastAsia" w:cs="微软雅黑" w:asciiTheme="minorEastAsia" w:hAnsiTheme="minorEastAsia" w:eastAsiaTheme="minorEastAsia"/>
          <w:kern w:val="0"/>
          <w:szCs w:val="21"/>
        </w:rPr>
        <w:t>联</w:t>
      </w:r>
      <w:r>
        <w:rPr>
          <w:rFonts w:hint="eastAsia" w:cs="微软雅黑" w:asciiTheme="minorEastAsia" w:hAnsiTheme="minorEastAsia" w:eastAsiaTheme="minorEastAsia"/>
          <w:spacing w:val="-2"/>
          <w:kern w:val="0"/>
          <w:szCs w:val="21"/>
        </w:rPr>
        <w:t>合</w:t>
      </w:r>
      <w:r>
        <w:rPr>
          <w:rFonts w:hint="eastAsia" w:cs="微软雅黑" w:asciiTheme="minorEastAsia" w:hAnsiTheme="minorEastAsia" w:eastAsiaTheme="minorEastAsia"/>
          <w:kern w:val="0"/>
          <w:szCs w:val="21"/>
        </w:rPr>
        <w:t>体各</w:t>
      </w:r>
      <w:r>
        <w:rPr>
          <w:rFonts w:hint="eastAsia" w:cs="微软雅黑" w:asciiTheme="minorEastAsia" w:hAnsiTheme="minorEastAsia" w:eastAsiaTheme="minorEastAsia"/>
          <w:spacing w:val="-2"/>
          <w:kern w:val="0"/>
          <w:szCs w:val="21"/>
        </w:rPr>
        <w:t>方</w:t>
      </w:r>
      <w:r>
        <w:rPr>
          <w:rFonts w:hint="eastAsia" w:cs="微软雅黑" w:asciiTheme="minorEastAsia" w:hAnsiTheme="minorEastAsia" w:eastAsiaTheme="minorEastAsia"/>
          <w:kern w:val="0"/>
          <w:szCs w:val="21"/>
        </w:rPr>
        <w:t>应</w:t>
      </w:r>
      <w:r>
        <w:rPr>
          <w:rFonts w:hint="eastAsia" w:cs="微软雅黑" w:asciiTheme="minorEastAsia" w:hAnsiTheme="minorEastAsia" w:eastAsiaTheme="minorEastAsia"/>
          <w:spacing w:val="-2"/>
          <w:kern w:val="0"/>
          <w:szCs w:val="21"/>
        </w:rPr>
        <w:t>当</w:t>
      </w:r>
      <w:r>
        <w:rPr>
          <w:rFonts w:hint="eastAsia" w:cs="微软雅黑" w:asciiTheme="minorEastAsia" w:hAnsiTheme="minorEastAsia" w:eastAsiaTheme="minorEastAsia"/>
          <w:kern w:val="0"/>
          <w:szCs w:val="21"/>
        </w:rPr>
        <w:t>共</w:t>
      </w:r>
      <w:r>
        <w:rPr>
          <w:rFonts w:hint="eastAsia" w:cs="微软雅黑" w:asciiTheme="minorEastAsia" w:hAnsiTheme="minorEastAsia" w:eastAsiaTheme="minorEastAsia"/>
          <w:spacing w:val="-2"/>
          <w:kern w:val="0"/>
          <w:szCs w:val="21"/>
        </w:rPr>
        <w:t>同</w:t>
      </w:r>
      <w:r>
        <w:rPr>
          <w:rFonts w:hint="eastAsia" w:cs="微软雅黑" w:asciiTheme="minorEastAsia" w:hAnsiTheme="minorEastAsia" w:eastAsiaTheme="minorEastAsia"/>
          <w:kern w:val="0"/>
          <w:szCs w:val="21"/>
        </w:rPr>
        <w:t>与</w:t>
      </w:r>
      <w:r>
        <w:rPr>
          <w:rFonts w:hint="eastAsia" w:cs="微软雅黑" w:asciiTheme="minorEastAsia" w:hAnsiTheme="minorEastAsia" w:eastAsiaTheme="minorEastAsia"/>
          <w:spacing w:val="-2"/>
          <w:kern w:val="0"/>
          <w:szCs w:val="21"/>
        </w:rPr>
        <w:t>采购人</w:t>
      </w:r>
      <w:r>
        <w:rPr>
          <w:rFonts w:hint="eastAsia" w:cs="微软雅黑" w:asciiTheme="minorEastAsia" w:hAnsiTheme="minorEastAsia" w:eastAsiaTheme="minorEastAsia"/>
          <w:kern w:val="0"/>
          <w:szCs w:val="21"/>
        </w:rPr>
        <w:t>签订</w:t>
      </w:r>
      <w:r>
        <w:rPr>
          <w:rFonts w:hint="eastAsia" w:cs="微软雅黑" w:asciiTheme="minorEastAsia" w:hAnsiTheme="minorEastAsia" w:eastAsiaTheme="minorEastAsia"/>
          <w:spacing w:val="-2"/>
          <w:kern w:val="0"/>
          <w:szCs w:val="21"/>
        </w:rPr>
        <w:t>合</w:t>
      </w:r>
      <w:r>
        <w:rPr>
          <w:rFonts w:hint="eastAsia" w:cs="微软雅黑" w:asciiTheme="minorEastAsia" w:hAnsiTheme="minorEastAsia" w:eastAsiaTheme="minorEastAsia"/>
          <w:kern w:val="0"/>
          <w:szCs w:val="21"/>
        </w:rPr>
        <w:t>同</w:t>
      </w:r>
      <w:r>
        <w:rPr>
          <w:rFonts w:hint="eastAsia" w:cs="微软雅黑" w:asciiTheme="minorEastAsia" w:hAnsiTheme="minorEastAsia" w:eastAsiaTheme="minorEastAsia"/>
          <w:spacing w:val="-14"/>
          <w:kern w:val="0"/>
          <w:szCs w:val="21"/>
        </w:rPr>
        <w:t>，</w:t>
      </w:r>
      <w:r>
        <w:rPr>
          <w:rFonts w:hint="eastAsia" w:cs="微软雅黑" w:asciiTheme="minorEastAsia" w:hAnsiTheme="minorEastAsia" w:eastAsiaTheme="minorEastAsia"/>
          <w:kern w:val="0"/>
          <w:szCs w:val="21"/>
        </w:rPr>
        <w:t>就</w:t>
      </w:r>
      <w:r>
        <w:rPr>
          <w:rFonts w:hint="eastAsia" w:cs="微软雅黑" w:asciiTheme="minorEastAsia" w:hAnsiTheme="minorEastAsia" w:eastAsiaTheme="minorEastAsia"/>
          <w:spacing w:val="-2"/>
          <w:kern w:val="0"/>
          <w:szCs w:val="21"/>
        </w:rPr>
        <w:t>中</w:t>
      </w:r>
      <w:r>
        <w:rPr>
          <w:rFonts w:hint="eastAsia" w:cs="微软雅黑" w:asciiTheme="minorEastAsia" w:hAnsiTheme="minorEastAsia" w:eastAsiaTheme="minorEastAsia"/>
          <w:kern w:val="0"/>
          <w:szCs w:val="21"/>
        </w:rPr>
        <w:t>标</w:t>
      </w:r>
      <w:r>
        <w:rPr>
          <w:rFonts w:hint="eastAsia" w:cs="微软雅黑" w:asciiTheme="minorEastAsia" w:hAnsiTheme="minorEastAsia" w:eastAsiaTheme="minorEastAsia"/>
          <w:spacing w:val="-2"/>
          <w:kern w:val="0"/>
          <w:szCs w:val="21"/>
        </w:rPr>
        <w:t>项</w:t>
      </w:r>
      <w:r>
        <w:rPr>
          <w:rFonts w:hint="eastAsia" w:cs="微软雅黑" w:asciiTheme="minorEastAsia" w:hAnsiTheme="minorEastAsia" w:eastAsiaTheme="minorEastAsia"/>
          <w:kern w:val="0"/>
          <w:szCs w:val="21"/>
        </w:rPr>
        <w:t>目</w:t>
      </w:r>
      <w:r>
        <w:rPr>
          <w:rFonts w:hint="eastAsia" w:cs="微软雅黑" w:asciiTheme="minorEastAsia" w:hAnsiTheme="minorEastAsia" w:eastAsiaTheme="minorEastAsia"/>
          <w:spacing w:val="-2"/>
          <w:kern w:val="0"/>
          <w:szCs w:val="21"/>
        </w:rPr>
        <w:t>向</w:t>
      </w:r>
      <w:r>
        <w:rPr>
          <w:rFonts w:hint="eastAsia" w:cs="微软雅黑" w:asciiTheme="minorEastAsia" w:hAnsiTheme="minorEastAsia" w:eastAsiaTheme="minorEastAsia"/>
          <w:kern w:val="0"/>
          <w:szCs w:val="21"/>
        </w:rPr>
        <w:t>采购人承</w:t>
      </w:r>
      <w:r>
        <w:rPr>
          <w:rFonts w:hint="eastAsia" w:cs="微软雅黑" w:asciiTheme="minorEastAsia" w:hAnsiTheme="minorEastAsia" w:eastAsiaTheme="minorEastAsia"/>
          <w:spacing w:val="-2"/>
          <w:kern w:val="0"/>
          <w:szCs w:val="21"/>
        </w:rPr>
        <w:t>担</w:t>
      </w:r>
      <w:r>
        <w:rPr>
          <w:rFonts w:hint="eastAsia" w:cs="微软雅黑" w:asciiTheme="minorEastAsia" w:hAnsiTheme="minorEastAsia" w:eastAsiaTheme="minorEastAsia"/>
          <w:kern w:val="0"/>
          <w:szCs w:val="21"/>
        </w:rPr>
        <w:t>连带责</w:t>
      </w:r>
      <w:r>
        <w:rPr>
          <w:rFonts w:hint="eastAsia" w:cs="微软雅黑" w:asciiTheme="minorEastAsia" w:hAnsiTheme="minorEastAsia" w:eastAsiaTheme="minorEastAsia"/>
          <w:spacing w:val="-2"/>
          <w:kern w:val="0"/>
          <w:szCs w:val="21"/>
        </w:rPr>
        <w:t>任</w:t>
      </w:r>
      <w:r>
        <w:rPr>
          <w:rFonts w:hint="eastAsia" w:cs="微软雅黑" w:asciiTheme="minorEastAsia" w:hAnsiTheme="minorEastAsia" w:eastAsiaTheme="minorEastAsia"/>
          <w:kern w:val="0"/>
          <w:szCs w:val="21"/>
        </w:rPr>
        <w:t>。</w:t>
      </w:r>
    </w:p>
    <w:p w14:paraId="488B1DE3">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28</w:t>
      </w:r>
      <w:r>
        <w:rPr>
          <w:rFonts w:asciiTheme="minorEastAsia" w:hAnsiTheme="minorEastAsia" w:eastAsiaTheme="minorEastAsia"/>
          <w:szCs w:val="21"/>
        </w:rPr>
        <w:t>.4</w:t>
      </w:r>
      <w:r>
        <w:rPr>
          <w:rFonts w:hint="eastAsia" w:asciiTheme="minorEastAsia" w:hAnsiTheme="minorEastAsia" w:eastAsiaTheme="minorEastAsia"/>
          <w:szCs w:val="21"/>
        </w:rPr>
        <w:t>中标合同将在招标公告指定媒体上公告，但合同中涉及国家秘密、商业秘密的内容除外。</w:t>
      </w:r>
    </w:p>
    <w:p w14:paraId="47D9578F">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szCs w:val="21"/>
          <w:lang w:val="en-US" w:eastAsia="zh-CN"/>
        </w:rPr>
        <w:t>28</w:t>
      </w:r>
      <w:r>
        <w:rPr>
          <w:rFonts w:hint="eastAsia" w:asciiTheme="minorEastAsia" w:hAnsiTheme="minorEastAsia" w:eastAsiaTheme="minorEastAsia"/>
          <w:szCs w:val="21"/>
        </w:rPr>
        <w:t>.5中标人</w:t>
      </w:r>
      <w:r>
        <w:rPr>
          <w:rFonts w:hint="eastAsia" w:asciiTheme="minorEastAsia" w:hAnsiTheme="minorEastAsia" w:eastAsiaTheme="minorEastAsia"/>
          <w:bCs/>
          <w:szCs w:val="21"/>
        </w:rPr>
        <w:t>应当按照合同约定依法履行合同义务。政府采购合同的履行、违约责任和解决争议的方法等适用《中华人民共和国合同法》。</w:t>
      </w:r>
    </w:p>
    <w:p w14:paraId="480A5398">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lang w:val="en-US" w:eastAsia="zh-CN"/>
        </w:rPr>
        <w:t>29</w:t>
      </w:r>
      <w:r>
        <w:rPr>
          <w:rFonts w:hint="eastAsia" w:asciiTheme="minorEastAsia" w:hAnsiTheme="minorEastAsia" w:eastAsiaTheme="minorEastAsia"/>
          <w:b/>
          <w:bCs/>
          <w:sz w:val="24"/>
        </w:rPr>
        <w:t>.</w:t>
      </w:r>
      <w:r>
        <w:rPr>
          <w:rFonts w:hint="eastAsia" w:asciiTheme="minorEastAsia" w:hAnsiTheme="minorEastAsia" w:eastAsiaTheme="minorEastAsia"/>
          <w:b/>
          <w:sz w:val="24"/>
        </w:rPr>
        <w:t xml:space="preserve"> 政府采购合同履行中</w:t>
      </w:r>
      <w:r>
        <w:rPr>
          <w:rFonts w:hint="eastAsia" w:asciiTheme="minorEastAsia" w:hAnsiTheme="minorEastAsia" w:eastAsiaTheme="minorEastAsia"/>
          <w:b/>
          <w:bCs/>
          <w:sz w:val="24"/>
        </w:rPr>
        <w:t>数量的变更</w:t>
      </w:r>
    </w:p>
    <w:p w14:paraId="3AEEBE11">
      <w:pPr>
        <w:adjustRightInd w:val="0"/>
        <w:snapToGrid w:val="0"/>
        <w:spacing w:before="156" w:beforeLines="50" w:line="360" w:lineRule="auto"/>
        <w:ind w:firstLine="420" w:firstLineChars="200"/>
        <w:jc w:val="left"/>
        <w:rPr>
          <w:rFonts w:asciiTheme="minorEastAsia" w:hAnsiTheme="minorEastAsia" w:eastAsiaTheme="minorEastAsia"/>
          <w:sz w:val="28"/>
          <w:szCs w:val="28"/>
        </w:rPr>
      </w:pPr>
      <w:r>
        <w:rPr>
          <w:rFonts w:hint="eastAsia" w:asciiTheme="minorEastAsia" w:hAnsiTheme="minorEastAsia" w:eastAsiaTheme="minorEastAsia"/>
          <w:lang w:val="en-US" w:eastAsia="zh-CN"/>
        </w:rPr>
        <w:t>29</w:t>
      </w:r>
      <w:r>
        <w:rPr>
          <w:rFonts w:hint="eastAsia" w:asciiTheme="minorEastAsia" w:hAnsiTheme="minorEastAsia" w:eastAsiaTheme="minorEastAsia"/>
        </w:rPr>
        <w:t>.1政府采购合同履行中，采购人需追加与合同标的相同的服务或包含的配套服务的，在不改变合同其他条款的前提下，可以与中标人协商签订补充合同，但所有补充合同的采购金额不得超过原合同采购金额的百分之十。</w:t>
      </w:r>
    </w:p>
    <w:p w14:paraId="3921F568">
      <w:pPr>
        <w:pStyle w:val="4"/>
        <w:adjustRightInd w:val="0"/>
        <w:snapToGrid w:val="0"/>
        <w:spacing w:before="156" w:beforeLines="50" w:after="0" w:line="360" w:lineRule="auto"/>
        <w:jc w:val="center"/>
        <w:rPr>
          <w:rFonts w:hint="eastAsia" w:ascii="黑体" w:hAnsi="黑体" w:eastAsia="黑体"/>
          <w:sz w:val="28"/>
          <w:szCs w:val="28"/>
        </w:rPr>
      </w:pPr>
      <w:bookmarkStart w:id="39" w:name="_Toc31705"/>
      <w:bookmarkStart w:id="40" w:name="_Toc14155"/>
      <w:bookmarkStart w:id="41" w:name="_Toc29913904"/>
      <w:r>
        <w:rPr>
          <w:rFonts w:hint="eastAsia" w:ascii="黑体" w:hAnsi="黑体" w:eastAsia="黑体"/>
          <w:sz w:val="28"/>
          <w:szCs w:val="28"/>
        </w:rPr>
        <w:t>八、政府采购政策</w:t>
      </w:r>
    </w:p>
    <w:p w14:paraId="168839C6">
      <w:pPr>
        <w:adjustRightInd w:val="0"/>
        <w:snapToGrid w:val="0"/>
        <w:spacing w:before="156" w:beforeLines="50" w:line="360" w:lineRule="auto"/>
        <w:jc w:val="left"/>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30.政府采购政策</w:t>
      </w:r>
    </w:p>
    <w:p w14:paraId="61828E0C">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30.1 优先采购：</w:t>
      </w:r>
    </w:p>
    <w:p w14:paraId="67D2AF0F">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（1）纳入财政部会同国务院有关部门发布的节能产品、环境标志产品政府采购品目清单，实施政府优先采购的，评审时按招标文件第四章第一节有关规定给予一定比例的价格折扣或者加分；</w:t>
      </w:r>
    </w:p>
    <w:p w14:paraId="4AE455B8">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30.2 强制采购：</w:t>
      </w:r>
    </w:p>
    <w:p w14:paraId="67557E0E">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1）纳入财政部会同国务院有关部门发布的节能产品政府采购品目清单，实施政府强制采购的（品目清单标注符号产品），投标人投标产品应当取得国家确定的认证机构出具的、处于有效期之内的节能产品认证证书，否则其投标无效。</w:t>
      </w:r>
    </w:p>
    <w:p w14:paraId="29F05B52">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30.3 价格评审优惠：</w:t>
      </w:r>
    </w:p>
    <w:p w14:paraId="54F6CD2C">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1）投标人为小型、微型企业，且提供本企业生产的货物或者提供其他小型、微型企业生产的货物，投标价格按招标文件第四章第一节有关规定给予一定比例的价格折扣，用扣除后的价格参与评审。本项所称货物不包括使用大型企业注册商标的货物；</w:t>
      </w:r>
    </w:p>
    <w:p w14:paraId="639E3443">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2）小型、微型企业参加联合体投标并在联合体协议中明确其在合同金额占联合体合同总金额30%以上的，该联合体投标价格按招标文件第四章第一节有关规定给予一定比例的价格折扣，用扣除后的价格参与评审。联合体各方均为小型、微型企业的，联合体视同为小型、微型企业；</w:t>
      </w:r>
    </w:p>
    <w:p w14:paraId="0A3F1A75">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（3）监狱企业、残疾人福利性单位视同小型、微型企业，享受评审中价格扣除等促进中小企业发展的政府采购政策。</w:t>
      </w:r>
    </w:p>
    <w:p w14:paraId="4AF33A82">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30.4 政府采购政策交叉与叠加</w:t>
      </w:r>
    </w:p>
    <w:p w14:paraId="0F4E324F">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（1）投标产品取得两个及以上优先采购产品认证的，评审时只有其中一项产品能享受优先采购优惠（投标人自行选择，并在投标文件中并填报相关信息及数据）</w:t>
      </w:r>
    </w:p>
    <w:p w14:paraId="31EF8F6F">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（2）投标人同时符合小型、微型企业及监狱企业、残疾人福利性单位要求的，评审时只有一种类型享受价格评审优惠政策；</w:t>
      </w:r>
    </w:p>
    <w:p w14:paraId="76C11FA1">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（3）小型和微型企业的价格评审优惠可以与同时属于“节能产品”、“环境标志产品”中的一项优先采购优惠累加计算。</w:t>
      </w:r>
    </w:p>
    <w:p w14:paraId="7F304198">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30.5 在货物采购项目中，供应商提供的货物既有中小企业制造货物，也有大型企业制造货物的，不享受中小企业扶持政策。投标人提供部分投标产品属于优先采购的，评审时只对该部分产品的报价实行价格扣除及加分。投标人应按本章第30.6 款规定提供相关证明资料（包括提供相关报价）。</w:t>
      </w:r>
    </w:p>
    <w:p w14:paraId="4191BA04">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30.6 投标人符合本章第30.1 款、第30.2 款、第30.3 款规定的，应提供相关证明资料。</w:t>
      </w:r>
    </w:p>
    <w:p w14:paraId="4B91A6A1">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（1）节能产品、环境标志产品：提供国家确定的认证机构出具的、处于有效期之内的节能产品、环境标志产品认证证书（复印件）。</w:t>
      </w:r>
    </w:p>
    <w:p w14:paraId="5C1A335E">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（2）中小企业：按《关于印发＜政府采购促进中小企业发展管理办法＞的通知》(财库〔2020〕46 号)规定，投标人提供《小型、微型企业声明函》（格式附后）。</w:t>
      </w:r>
    </w:p>
    <w:p w14:paraId="12D11D71">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（3）监狱企业：按《关于政府采购支持监狱企业发展有关问题的通知》(财库〔2014〕68 号)文件规定提供证明文件（复印件）。</w:t>
      </w:r>
    </w:p>
    <w:p w14:paraId="4C16A951">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（4）残疾人福利性单位：按《关于促进残疾人就业政府采购政策的通知》(财库〔2017〕141 号)文件规定提供《残疾人福利性单位声明函》（格式）。</w:t>
      </w:r>
    </w:p>
    <w:p w14:paraId="34397C7E">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30.7 投标人有融资、担保需求的，可登陆湖南省政府采购网查询相关银行、担保机构业务。</w:t>
      </w:r>
    </w:p>
    <w:p w14:paraId="2EB4E632">
      <w:pPr>
        <w:pStyle w:val="4"/>
        <w:adjustRightInd w:val="0"/>
        <w:snapToGrid w:val="0"/>
        <w:spacing w:before="156" w:beforeLines="50" w:after="0" w:line="360" w:lineRule="auto"/>
        <w:jc w:val="center"/>
        <w:rPr>
          <w:rFonts w:hint="eastAsia" w:ascii="黑体" w:hAnsi="黑体" w:eastAsia="黑体"/>
          <w:sz w:val="28"/>
          <w:szCs w:val="28"/>
        </w:rPr>
      </w:pPr>
      <w:r>
        <w:rPr>
          <w:rFonts w:hint="eastAsia" w:ascii="黑体" w:hAnsi="黑体" w:eastAsia="黑体"/>
          <w:sz w:val="28"/>
          <w:szCs w:val="28"/>
        </w:rPr>
        <w:t>九、其他规定</w:t>
      </w:r>
    </w:p>
    <w:p w14:paraId="3F0F2065">
      <w:pPr>
        <w:adjustRightInd w:val="0"/>
        <w:snapToGrid w:val="0"/>
        <w:spacing w:before="156" w:beforeLines="50" w:line="360" w:lineRule="auto"/>
        <w:jc w:val="left"/>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31.招标不足三家处理</w:t>
      </w:r>
    </w:p>
    <w:p w14:paraId="79DD1C4F">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31.1 公开招标数额标准以上的采购项目，投标截止后投标人不足3 家或者通过资格审查或符合性审查的投标人不足3 家的，除采购任务取消情形外，按照以下方式处理：</w:t>
      </w:r>
    </w:p>
    <w:p w14:paraId="3043096A">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（1）招标文件存在不合理条款或者招标程序不符合规定的，采购人、采购代理机构改正后依法重新招标；</w:t>
      </w:r>
    </w:p>
    <w:p w14:paraId="335D8A1B">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（2）招标文件没有不合理条款、招标程序符合规定，需要采用其他采购方式采购的，采购人应当依法报财政部门批准。</w:t>
      </w:r>
    </w:p>
    <w:p w14:paraId="648B4146">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31.2 属上款第（2）项情形的，评标委员会应出具的招标文件没有不合理条款的论证意见。</w:t>
      </w:r>
    </w:p>
    <w:p w14:paraId="54508A0F">
      <w:pPr>
        <w:adjustRightInd w:val="0"/>
        <w:snapToGrid w:val="0"/>
        <w:spacing w:before="156" w:beforeLines="50" w:line="360" w:lineRule="auto"/>
        <w:jc w:val="left"/>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32.招标代理服务费</w:t>
      </w:r>
    </w:p>
    <w:p w14:paraId="1CD3EB21">
      <w:pPr>
        <w:pStyle w:val="38"/>
        <w:keepNext w:val="0"/>
        <w:keepLines w:val="0"/>
        <w:widowControl/>
        <w:suppressLineNumbers w:val="0"/>
        <w:spacing w:line="240" w:lineRule="auto"/>
        <w:ind w:left="0" w:firstLine="0"/>
        <w:jc w:val="left"/>
        <w:textAlignment w:val="center"/>
        <w:rPr>
          <w:rFonts w:hint="eastAsia" w:cs="微软雅黑" w:asciiTheme="minorEastAsia" w:hAnsiTheme="minorEastAsia" w:eastAsiaTheme="minorEastAsia"/>
          <w:spacing w:val="-2"/>
          <w:kern w:val="0"/>
          <w:sz w:val="21"/>
          <w:szCs w:val="21"/>
          <w:lang w:val="en-US" w:eastAsia="zh-CN" w:bidi="ar-SA"/>
        </w:rPr>
      </w:pPr>
      <w:r>
        <w:rPr>
          <w:rFonts w:hint="eastAsia" w:cs="微软雅黑" w:asciiTheme="minorEastAsia" w:hAnsiTheme="minorEastAsia" w:eastAsiaTheme="minorEastAsia"/>
          <w:spacing w:val="-2"/>
          <w:kern w:val="0"/>
          <w:sz w:val="21"/>
          <w:szCs w:val="21"/>
          <w:lang w:val="en-US" w:eastAsia="zh-CN" w:bidi="ar-SA"/>
        </w:rPr>
        <w:t>32.1 在中标、成交公告发布之日起 10 个工作日内,由采购代理机构向采购人一次性收取。</w:t>
      </w:r>
    </w:p>
    <w:p w14:paraId="3ECEC845">
      <w:pPr>
        <w:adjustRightInd w:val="0"/>
        <w:snapToGrid w:val="0"/>
        <w:spacing w:before="156" w:beforeLines="50" w:line="360" w:lineRule="auto"/>
        <w:jc w:val="left"/>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33.需要补充的其他内容</w:t>
      </w:r>
    </w:p>
    <w:p w14:paraId="60D5533F">
      <w:pPr>
        <w:pStyle w:val="38"/>
        <w:keepNext w:val="0"/>
        <w:keepLines w:val="0"/>
        <w:widowControl/>
        <w:suppressLineNumbers w:val="0"/>
        <w:spacing w:line="240" w:lineRule="auto"/>
        <w:ind w:left="0" w:firstLine="0"/>
        <w:jc w:val="left"/>
        <w:textAlignment w:val="center"/>
        <w:rPr>
          <w:rFonts w:hint="eastAsia" w:cs="微软雅黑" w:asciiTheme="minorEastAsia" w:hAnsiTheme="minorEastAsia" w:eastAsiaTheme="minorEastAsia"/>
          <w:spacing w:val="-2"/>
          <w:kern w:val="0"/>
          <w:sz w:val="21"/>
          <w:szCs w:val="21"/>
          <w:lang w:val="en-US" w:eastAsia="zh-CN" w:bidi="ar-SA"/>
        </w:rPr>
      </w:pPr>
      <w:r>
        <w:rPr>
          <w:rFonts w:hint="eastAsia" w:cs="微软雅黑" w:asciiTheme="minorEastAsia" w:hAnsiTheme="minorEastAsia" w:eastAsiaTheme="minorEastAsia"/>
          <w:spacing w:val="-2"/>
          <w:kern w:val="0"/>
          <w:sz w:val="21"/>
          <w:szCs w:val="21"/>
          <w:lang w:val="en-US" w:eastAsia="zh-CN" w:bidi="ar-SA"/>
        </w:rPr>
        <w:t>33.1 招标文件需要补充的其他内容见【投标须知前附表】。</w:t>
      </w:r>
    </w:p>
    <w:p w14:paraId="0F6EF4AA">
      <w:pPr>
        <w:adjustRightInd w:val="0"/>
        <w:snapToGrid w:val="0"/>
        <w:spacing w:before="156" w:beforeLines="50" w:line="360" w:lineRule="auto"/>
        <w:jc w:val="left"/>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34.电子招投标的应急措施</w:t>
      </w:r>
    </w:p>
    <w:p w14:paraId="0979A6FD">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34.1 电子开标、评标如出现下列情形，导致系统短时间内无法恢复正常运行，影响到招投标活动无法继续开展时，按交易中心应急预案措施执行：</w:t>
      </w:r>
    </w:p>
    <w:p w14:paraId="134AD905">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（1）系统服务器发生故障，无法访问或无法使用系统；</w:t>
      </w:r>
    </w:p>
    <w:p w14:paraId="460A14B8">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（2）系统的软件或数据库出现错误，不能进行正常操作；</w:t>
      </w:r>
    </w:p>
    <w:p w14:paraId="69DDAFB4">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（3）系统发现有安全漏洞，有潜在的泄密危险；</w:t>
      </w:r>
    </w:p>
    <w:p w14:paraId="008D0E62">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（4）病毒发作或受到外来病毒的攻击；</w:t>
      </w:r>
    </w:p>
    <w:p w14:paraId="58699B2B">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（5）网络故障，无法访问或无法使用系统；</w:t>
      </w:r>
    </w:p>
    <w:p w14:paraId="1D00044F">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（6）电力中断等其他特殊情况。</w:t>
      </w:r>
    </w:p>
    <w:p w14:paraId="49FA1E63">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34.2 出现上述情况之一时，经交易中心相关部门确认：采购人或采购代理机构可选择采取如下措施，投标人不得对此持有异议。</w:t>
      </w:r>
    </w:p>
    <w:p w14:paraId="25744806">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（1）酌情延长投标文件解密时间，采取远程解密等，以保障招投标活动的继续实施；</w:t>
      </w:r>
    </w:p>
    <w:p w14:paraId="5180E17C">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（2）项目作延期开标处理，待系统恢复后再进行开标活动；</w:t>
      </w:r>
    </w:p>
    <w:p w14:paraId="50AE42C8">
      <w:pPr>
        <w:adjustRightInd w:val="0"/>
        <w:snapToGrid w:val="0"/>
        <w:spacing w:before="156" w:beforeLines="50" w:line="360" w:lineRule="auto"/>
        <w:ind w:firstLine="412" w:firstLineChars="200"/>
        <w:jc w:val="left"/>
        <w:rPr>
          <w:rFonts w:hint="eastAsia" w:cs="微软雅黑" w:asciiTheme="minorEastAsia" w:hAnsiTheme="minorEastAsia" w:eastAsiaTheme="minorEastAsia"/>
          <w:spacing w:val="-2"/>
          <w:kern w:val="0"/>
          <w:szCs w:val="21"/>
        </w:rPr>
      </w:pPr>
      <w:r>
        <w:rPr>
          <w:rFonts w:hint="eastAsia" w:cs="微软雅黑" w:asciiTheme="minorEastAsia" w:hAnsiTheme="minorEastAsia" w:eastAsiaTheme="minorEastAsia"/>
          <w:spacing w:val="-2"/>
          <w:kern w:val="0"/>
          <w:szCs w:val="21"/>
        </w:rPr>
        <w:t>（3）对已在评标的项目，评标委员会酌情延期进行评审，待系统恢复后再进行评审工作。</w:t>
      </w:r>
    </w:p>
    <w:bookmarkEnd w:id="39"/>
    <w:bookmarkEnd w:id="40"/>
    <w:bookmarkEnd w:id="41"/>
    <w:p w14:paraId="7E1BF23B">
      <w:pPr>
        <w:pStyle w:val="23"/>
        <w:adjustRightInd w:val="0"/>
        <w:snapToGrid w:val="0"/>
        <w:spacing w:line="360" w:lineRule="auto"/>
        <w:ind w:firstLine="0"/>
        <w:jc w:val="center"/>
        <w:outlineLvl w:val="0"/>
        <w:rPr>
          <w:rFonts w:ascii="黑体" w:hAnsi="黑体" w:eastAsia="黑体"/>
          <w:sz w:val="32"/>
          <w:szCs w:val="32"/>
        </w:rPr>
      </w:pPr>
      <w:bookmarkStart w:id="42" w:name="_Toc19262"/>
      <w:bookmarkStart w:id="43" w:name="_Toc29913906"/>
      <w:bookmarkStart w:id="44" w:name="_Toc19105"/>
      <w:bookmarkStart w:id="45" w:name="_Toc19583"/>
      <w:r>
        <w:rPr>
          <w:rFonts w:hint="eastAsia" w:ascii="黑体" w:hAnsi="华文中宋" w:eastAsia="黑体"/>
          <w:b/>
          <w:sz w:val="32"/>
          <w:szCs w:val="32"/>
        </w:rPr>
        <w:t>第三章 资格审查</w:t>
      </w:r>
      <w:bookmarkEnd w:id="42"/>
      <w:bookmarkEnd w:id="43"/>
      <w:bookmarkEnd w:id="44"/>
      <w:bookmarkEnd w:id="45"/>
    </w:p>
    <w:p w14:paraId="7EBE43D0">
      <w:pPr>
        <w:pStyle w:val="4"/>
        <w:adjustRightInd w:val="0"/>
        <w:snapToGrid w:val="0"/>
        <w:spacing w:before="156" w:beforeLines="50" w:after="0" w:line="360" w:lineRule="auto"/>
        <w:rPr>
          <w:rFonts w:ascii="黑体" w:hAnsi="黑体" w:eastAsia="黑体"/>
          <w:sz w:val="24"/>
          <w:szCs w:val="24"/>
        </w:rPr>
      </w:pPr>
      <w:bookmarkStart w:id="46" w:name="_Toc15106"/>
      <w:bookmarkStart w:id="47" w:name="_Toc26908"/>
      <w:bookmarkStart w:id="48" w:name="_Toc29913907"/>
      <w:r>
        <w:rPr>
          <w:rFonts w:hint="eastAsia" w:ascii="黑体" w:hAnsi="黑体" w:eastAsia="黑体"/>
          <w:sz w:val="24"/>
          <w:szCs w:val="24"/>
        </w:rPr>
        <w:t>1．资格审查主体</w:t>
      </w:r>
      <w:bookmarkEnd w:id="46"/>
      <w:bookmarkEnd w:id="47"/>
      <w:bookmarkEnd w:id="48"/>
    </w:p>
    <w:p w14:paraId="789AE667">
      <w:pPr>
        <w:adjustRightInd w:val="0"/>
        <w:snapToGrid w:val="0"/>
        <w:spacing w:before="156" w:beforeLines="50" w:line="360" w:lineRule="auto"/>
        <w:ind w:firstLine="417" w:firstLineChars="199"/>
        <w:jc w:val="left"/>
        <w:rPr>
          <w:rFonts w:asciiTheme="minorEastAsia" w:hAnsiTheme="minorEastAsia" w:eastAsiaTheme="minorEastAsia"/>
          <w:szCs w:val="21"/>
        </w:rPr>
      </w:pPr>
      <w:r>
        <w:rPr>
          <w:rFonts w:hint="eastAsia" w:asciiTheme="minorEastAsia" w:hAnsiTheme="minorEastAsia" w:eastAsiaTheme="minorEastAsia"/>
          <w:szCs w:val="21"/>
        </w:rPr>
        <w:t>1.1资格审查主体：采购人、采购代理机构负责资格审查。</w:t>
      </w:r>
    </w:p>
    <w:p w14:paraId="6B0E42A4">
      <w:pPr>
        <w:pStyle w:val="4"/>
        <w:adjustRightInd w:val="0"/>
        <w:snapToGrid w:val="0"/>
        <w:spacing w:before="156" w:beforeLines="50" w:after="0" w:line="360" w:lineRule="auto"/>
        <w:rPr>
          <w:rFonts w:ascii="黑体" w:hAnsi="黑体" w:eastAsia="黑体"/>
          <w:sz w:val="24"/>
          <w:szCs w:val="24"/>
        </w:rPr>
      </w:pPr>
      <w:bookmarkStart w:id="49" w:name="_Toc29312"/>
      <w:bookmarkStart w:id="50" w:name="_Toc9735"/>
      <w:bookmarkStart w:id="51" w:name="_Toc29913908"/>
      <w:r>
        <w:rPr>
          <w:rFonts w:hint="eastAsia" w:ascii="黑体" w:hAnsi="黑体" w:eastAsia="黑体"/>
          <w:sz w:val="24"/>
          <w:szCs w:val="24"/>
        </w:rPr>
        <w:t>2．资格审查</w:t>
      </w:r>
      <w:bookmarkEnd w:id="49"/>
      <w:bookmarkEnd w:id="50"/>
      <w:bookmarkEnd w:id="51"/>
    </w:p>
    <w:p w14:paraId="520EBCEF">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2.1资格审查依据法律法规和招标文件的规定，对投标文件中的资格证明文件、投标报价等进行审查，以确定投标供应商是否具备投标资格。</w:t>
      </w:r>
    </w:p>
    <w:p w14:paraId="2A6EA28C">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2.2在资格审查时，投标人存在下列情况之一的，资格审查不合格，其投标无效：</w:t>
      </w:r>
    </w:p>
    <w:p w14:paraId="53848B31">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（1）不具备招标文件中规定的资格要求的，或提交的资格证明文件不符合招标文件要求的；</w:t>
      </w:r>
    </w:p>
    <w:p w14:paraId="761202A2">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（2）联合体投标未提交联合体协议书，或未提交联合体各方资格证明文件的；</w:t>
      </w:r>
    </w:p>
    <w:p w14:paraId="2044ACDD">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（3）投标文件的资格证明文件未按照招标文件要求进行电子签名、盖章的；</w:t>
      </w:r>
    </w:p>
    <w:p w14:paraId="4B58EB61">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）投标报价超过招标文件中规定的预算金额或者最高限价的；</w:t>
      </w:r>
    </w:p>
    <w:p w14:paraId="2878030B">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）法律、法规和招标文件规定的其他投标无效情形的。</w:t>
      </w:r>
    </w:p>
    <w:p w14:paraId="04F08DB2">
      <w:pPr>
        <w:adjustRightInd w:val="0"/>
        <w:snapToGrid w:val="0"/>
        <w:spacing w:before="156" w:beforeLines="50" w:line="360" w:lineRule="auto"/>
        <w:ind w:firstLine="420" w:firstLineChars="200"/>
        <w:jc w:val="left"/>
        <w:rPr>
          <w:rFonts w:asciiTheme="minorEastAsia" w:hAnsiTheme="minorEastAsia" w:eastAsiaTheme="minorEastAsia"/>
          <w:b/>
          <w:sz w:val="32"/>
          <w:szCs w:val="32"/>
        </w:rPr>
      </w:pPr>
      <w:r>
        <w:rPr>
          <w:rFonts w:hint="eastAsia" w:asciiTheme="minorEastAsia" w:hAnsiTheme="minorEastAsia" w:eastAsiaTheme="minorEastAsia"/>
        </w:rPr>
        <w:t>2.3信用记录。开标结束后</w:t>
      </w:r>
      <w:r>
        <w:rPr>
          <w:rFonts w:hint="eastAsia" w:asciiTheme="minorEastAsia" w:hAnsiTheme="minorEastAsia" w:eastAsiaTheme="minorEastAsia"/>
          <w:szCs w:val="21"/>
        </w:rPr>
        <w:t>资格审查时，采购人、采购代理机构将对投标人信用记录进行甄别。</w:t>
      </w:r>
    </w:p>
    <w:p w14:paraId="050470CA">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（1）信用信息查询的查询渠道：信用中国网（www.creditchina.gov.cn）、中国政府采购网（www.ccgp.gov.cn）；</w:t>
      </w:r>
    </w:p>
    <w:p w14:paraId="4C71CE12">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不良信用记录是指：投标人在“信用中国”网站被列入失信被执行人和重大税收违法案件当事人名单，或在“中国政府采购网”网站被列入政府采购严重违法失信行为记录名单。投标人有上述不良信用记录的，其投标无效，其中，列入政府采购严重违法失信行为记录名单的，按处罚结果执行。</w:t>
      </w:r>
    </w:p>
    <w:p w14:paraId="03042DD4">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（3）联合体形式投标的，联合体成员存在不良信用记录的，视同联合体存在不良信用记录。</w:t>
      </w:r>
    </w:p>
    <w:p w14:paraId="21FA0B35">
      <w:pPr>
        <w:adjustRightInd w:val="0"/>
        <w:snapToGrid w:val="0"/>
        <w:spacing w:before="156" w:beforeLines="50" w:line="360" w:lineRule="auto"/>
        <w:ind w:firstLine="420" w:firstLineChars="200"/>
        <w:jc w:val="left"/>
        <w:rPr>
          <w:rFonts w:asciiTheme="minorEastAsia" w:hAnsiTheme="minorEastAsia" w:eastAsiaTheme="minorEastAsia"/>
          <w:color w:val="FF0000"/>
          <w:szCs w:val="21"/>
        </w:rPr>
      </w:pPr>
      <w:r>
        <w:rPr>
          <w:rFonts w:hint="eastAsia" w:asciiTheme="minorEastAsia" w:hAnsiTheme="minorEastAsia" w:eastAsiaTheme="minorEastAsia"/>
          <w:szCs w:val="21"/>
        </w:rPr>
        <w:t>（4）信用信息查询记录和证据留存具体方式：</w:t>
      </w:r>
      <w:r>
        <w:rPr>
          <w:rFonts w:hint="eastAsia" w:ascii="宋体" w:hAnsi="宋体"/>
          <w:szCs w:val="21"/>
        </w:rPr>
        <w:t>采购人、采购代理机构</w:t>
      </w:r>
      <w:r>
        <w:rPr>
          <w:rFonts w:ascii="宋体" w:hAnsi="宋体"/>
          <w:szCs w:val="21"/>
        </w:rPr>
        <w:t>经办人将查询网页</w:t>
      </w:r>
      <w:r>
        <w:rPr>
          <w:rFonts w:hint="eastAsia" w:ascii="宋体" w:hAnsi="宋体"/>
          <w:szCs w:val="21"/>
        </w:rPr>
        <w:t>截图、</w:t>
      </w:r>
      <w:r>
        <w:rPr>
          <w:rFonts w:ascii="宋体" w:hAnsi="宋体"/>
          <w:szCs w:val="21"/>
        </w:rPr>
        <w:t>打印、签字</w:t>
      </w:r>
      <w:r>
        <w:rPr>
          <w:rFonts w:hint="eastAsia" w:ascii="宋体" w:hAnsi="宋体"/>
          <w:szCs w:val="21"/>
        </w:rPr>
        <w:t>，作为查询记录和证据，与其他采购文件一并保存。</w:t>
      </w:r>
      <w:r>
        <w:rPr>
          <w:rFonts w:ascii="宋体" w:hAnsi="宋体"/>
          <w:szCs w:val="21"/>
        </w:rPr>
        <w:t>投标人不良信用记录以</w:t>
      </w:r>
      <w:r>
        <w:rPr>
          <w:rFonts w:hint="eastAsia" w:ascii="宋体" w:hAnsi="宋体"/>
          <w:szCs w:val="21"/>
        </w:rPr>
        <w:t>采购人、采购代理机构</w:t>
      </w:r>
      <w:r>
        <w:rPr>
          <w:rFonts w:ascii="宋体" w:hAnsi="宋体"/>
          <w:szCs w:val="21"/>
        </w:rPr>
        <w:t>查询结果为准</w:t>
      </w:r>
      <w:r>
        <w:rPr>
          <w:rFonts w:hint="eastAsia" w:ascii="宋体" w:hAnsi="宋体"/>
          <w:szCs w:val="21"/>
        </w:rPr>
        <w:t>。</w:t>
      </w:r>
    </w:p>
    <w:p w14:paraId="309FBE21">
      <w:pPr>
        <w:pStyle w:val="4"/>
        <w:adjustRightInd w:val="0"/>
        <w:snapToGrid w:val="0"/>
        <w:spacing w:before="156" w:beforeLines="50" w:after="0" w:line="360" w:lineRule="auto"/>
        <w:rPr>
          <w:rFonts w:ascii="黑体" w:hAnsi="黑体" w:eastAsia="黑体"/>
          <w:sz w:val="24"/>
          <w:szCs w:val="24"/>
        </w:rPr>
      </w:pPr>
      <w:bookmarkStart w:id="52" w:name="_Toc29913909"/>
      <w:bookmarkStart w:id="53" w:name="_Toc30489"/>
      <w:bookmarkStart w:id="54" w:name="_Toc26803"/>
      <w:r>
        <w:rPr>
          <w:rFonts w:hint="eastAsia" w:ascii="黑体" w:hAnsi="黑体" w:eastAsia="黑体"/>
          <w:sz w:val="24"/>
          <w:szCs w:val="24"/>
        </w:rPr>
        <w:t>3．资格审查结果</w:t>
      </w:r>
      <w:bookmarkEnd w:id="52"/>
      <w:bookmarkEnd w:id="53"/>
      <w:bookmarkEnd w:id="54"/>
    </w:p>
    <w:p w14:paraId="16AB099B">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3.1未通过资格审查的投标人，采购人、采购代理机构应当告知其未通过的原因。</w:t>
      </w:r>
    </w:p>
    <w:p w14:paraId="73044F4A">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3.2资格审查结束后，采购人、采购代理机构应将资格审查结果告知评标委员会。</w:t>
      </w:r>
    </w:p>
    <w:p w14:paraId="66290FF5">
      <w:pPr>
        <w:adjustRightInd w:val="0"/>
        <w:snapToGrid w:val="0"/>
        <w:spacing w:before="156" w:beforeLines="50" w:line="360" w:lineRule="auto"/>
        <w:ind w:firstLine="420" w:firstLineChars="200"/>
        <w:jc w:val="left"/>
        <w:rPr>
          <w:rFonts w:ascii="华文中宋" w:hAnsi="华文中宋" w:eastAsia="华文中宋"/>
          <w:b/>
          <w:bCs/>
          <w:sz w:val="32"/>
        </w:rPr>
      </w:pPr>
      <w:r>
        <w:rPr>
          <w:rFonts w:ascii="华文中宋" w:hAnsi="华文中宋" w:eastAsia="华文中宋"/>
        </w:rPr>
        <w:br w:type="page"/>
      </w:r>
    </w:p>
    <w:p w14:paraId="451E22BC">
      <w:pPr>
        <w:pStyle w:val="5"/>
        <w:adjustRightInd w:val="0"/>
        <w:snapToGrid w:val="0"/>
        <w:spacing w:before="0" w:after="0" w:line="360" w:lineRule="auto"/>
        <w:rPr>
          <w:rFonts w:asciiTheme="minorEastAsia" w:hAnsiTheme="minorEastAsia" w:eastAsiaTheme="minorEastAsia"/>
          <w:sz w:val="21"/>
          <w:szCs w:val="21"/>
        </w:rPr>
      </w:pPr>
      <w:bookmarkStart w:id="55" w:name="_Toc27072"/>
      <w:bookmarkStart w:id="56" w:name="_Toc20651210"/>
      <w:bookmarkStart w:id="57" w:name="_Toc24404"/>
      <w:bookmarkStart w:id="58" w:name="_Toc29913910"/>
      <w:r>
        <w:rPr>
          <w:rFonts w:hint="eastAsia" w:asciiTheme="minorEastAsia" w:hAnsiTheme="minorEastAsia" w:eastAsiaTheme="minorEastAsia"/>
          <w:sz w:val="21"/>
          <w:szCs w:val="21"/>
        </w:rPr>
        <w:t>附表1</w:t>
      </w:r>
      <w:r>
        <w:rPr>
          <w:rFonts w:asciiTheme="minorEastAsia" w:hAnsiTheme="minorEastAsia" w:eastAsiaTheme="minorEastAsia"/>
          <w:sz w:val="21"/>
          <w:szCs w:val="21"/>
        </w:rPr>
        <w:t>资格审查表</w:t>
      </w:r>
      <w:bookmarkEnd w:id="55"/>
      <w:bookmarkEnd w:id="56"/>
      <w:bookmarkEnd w:id="57"/>
    </w:p>
    <w:p w14:paraId="024045AB">
      <w:pPr>
        <w:adjustRightInd w:val="0"/>
        <w:snapToGrid w:val="0"/>
        <w:spacing w:line="360" w:lineRule="auto"/>
        <w:jc w:val="center"/>
        <w:rPr>
          <w:rFonts w:ascii="黑体" w:hAnsi="黑体" w:eastAsia="黑体"/>
          <w:b/>
          <w:sz w:val="28"/>
          <w:szCs w:val="28"/>
        </w:rPr>
      </w:pPr>
      <w:r>
        <w:rPr>
          <w:rFonts w:ascii="黑体" w:hAnsi="黑体" w:eastAsia="黑体"/>
          <w:b/>
          <w:sz w:val="28"/>
          <w:szCs w:val="28"/>
        </w:rPr>
        <w:t>资格审查表</w:t>
      </w:r>
    </w:p>
    <w:p w14:paraId="45F56A81">
      <w:pPr>
        <w:adjustRightInd w:val="0"/>
        <w:snapToGrid w:val="0"/>
        <w:spacing w:line="360" w:lineRule="auto"/>
        <w:rPr>
          <w:rFonts w:hint="eastAsia" w:asciiTheme="minorEastAsia" w:hAnsiTheme="minorEastAsia" w:eastAsiaTheme="minorEastAsia"/>
          <w:szCs w:val="21"/>
          <w:u w:val="single"/>
        </w:rPr>
      </w:pPr>
      <w:r>
        <w:rPr>
          <w:rFonts w:hint="eastAsia" w:asciiTheme="minorEastAsia" w:hAnsiTheme="minorEastAsia" w:eastAsiaTheme="minorEastAsia"/>
          <w:szCs w:val="21"/>
        </w:rPr>
        <w:t>项目名称：</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采购代理编号：</w:t>
      </w:r>
      <w:r>
        <w:rPr>
          <w:rFonts w:hint="eastAsia" w:asciiTheme="minorEastAsia" w:hAnsiTheme="minorEastAsia" w:eastAsiaTheme="minorEastAsia"/>
          <w:szCs w:val="21"/>
          <w:u w:val="single"/>
        </w:rPr>
        <w:t xml:space="preserve">       </w:t>
      </w:r>
    </w:p>
    <w:tbl>
      <w:tblPr>
        <w:tblStyle w:val="43"/>
        <w:tblW w:w="94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96"/>
        <w:gridCol w:w="2959"/>
        <w:gridCol w:w="5814"/>
      </w:tblGrid>
      <w:tr w14:paraId="432DA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96" w:type="dxa"/>
            <w:tcBorders>
              <w:top w:val="single" w:color="000000" w:sz="4" w:space="0"/>
              <w:left w:val="single" w:color="000000" w:sz="4" w:space="0"/>
              <w:bottom w:val="single" w:color="000000" w:sz="6" w:space="0"/>
              <w:right w:val="single" w:color="000000" w:sz="6" w:space="0"/>
            </w:tcBorders>
            <w:shd w:val="clear" w:color="auto" w:fill="FFFFFF"/>
            <w:vAlign w:val="center"/>
          </w:tcPr>
          <w:p w14:paraId="52C95223">
            <w:pPr>
              <w:pStyle w:val="38"/>
              <w:keepNext w:val="0"/>
              <w:keepLines w:val="0"/>
              <w:widowControl/>
              <w:suppressLineNumbers w:val="0"/>
              <w:spacing w:line="240" w:lineRule="auto"/>
              <w:ind w:left="0" w:firstLine="0"/>
              <w:jc w:val="center"/>
              <w:textAlignment w:val="center"/>
            </w:pPr>
            <w:r>
              <w:rPr>
                <w:rFonts w:hint="eastAsia" w:ascii="宋体" w:hAnsi="宋体" w:eastAsia="宋体" w:cs="宋体"/>
                <w:b/>
                <w:bCs/>
                <w:color w:val="000000"/>
                <w:spacing w:val="0"/>
                <w:position w:val="0"/>
                <w:sz w:val="20"/>
                <w:szCs w:val="20"/>
              </w:rPr>
              <w:t>序号</w:t>
            </w:r>
          </w:p>
        </w:tc>
        <w:tc>
          <w:tcPr>
            <w:tcW w:w="2959" w:type="dxa"/>
            <w:tcBorders>
              <w:top w:val="single" w:color="000000" w:sz="4" w:space="0"/>
              <w:left w:val="single" w:color="000000" w:sz="6" w:space="0"/>
              <w:bottom w:val="single" w:color="000000" w:sz="6" w:space="0"/>
              <w:right w:val="single" w:color="000000" w:sz="6" w:space="0"/>
            </w:tcBorders>
            <w:shd w:val="clear" w:color="auto" w:fill="FFFFFF"/>
            <w:vAlign w:val="center"/>
          </w:tcPr>
          <w:p w14:paraId="380B1A2C">
            <w:pPr>
              <w:pStyle w:val="38"/>
              <w:keepNext w:val="0"/>
              <w:keepLines w:val="0"/>
              <w:widowControl/>
              <w:suppressLineNumbers w:val="0"/>
              <w:spacing w:line="240" w:lineRule="auto"/>
              <w:ind w:left="0" w:firstLine="0"/>
              <w:jc w:val="center"/>
              <w:textAlignment w:val="center"/>
            </w:pPr>
            <w:r>
              <w:rPr>
                <w:rFonts w:hint="eastAsia" w:ascii="宋体" w:hAnsi="宋体" w:eastAsia="宋体" w:cs="宋体"/>
                <w:b/>
                <w:bCs/>
                <w:color w:val="000000"/>
                <w:spacing w:val="0"/>
                <w:position w:val="0"/>
                <w:sz w:val="20"/>
                <w:szCs w:val="20"/>
              </w:rPr>
              <w:t>审查项目</w:t>
            </w:r>
          </w:p>
        </w:tc>
        <w:tc>
          <w:tcPr>
            <w:tcW w:w="5814" w:type="dxa"/>
            <w:tcBorders>
              <w:top w:val="single" w:color="000000" w:sz="4" w:space="0"/>
              <w:left w:val="single" w:color="000000" w:sz="6" w:space="0"/>
              <w:bottom w:val="single" w:color="000000" w:sz="6" w:space="0"/>
              <w:right w:val="single" w:color="000000" w:sz="4" w:space="0"/>
            </w:tcBorders>
            <w:shd w:val="clear" w:color="auto" w:fill="FFFFFF"/>
            <w:vAlign w:val="center"/>
          </w:tcPr>
          <w:p w14:paraId="44BB0796">
            <w:pPr>
              <w:pStyle w:val="38"/>
              <w:keepNext w:val="0"/>
              <w:keepLines w:val="0"/>
              <w:widowControl/>
              <w:suppressLineNumbers w:val="0"/>
              <w:spacing w:line="240" w:lineRule="auto"/>
              <w:ind w:left="0" w:firstLine="0"/>
              <w:jc w:val="center"/>
              <w:textAlignment w:val="center"/>
            </w:pPr>
            <w:r>
              <w:rPr>
                <w:rFonts w:hint="eastAsia" w:ascii="宋体" w:hAnsi="宋体" w:eastAsia="宋体" w:cs="宋体"/>
                <w:b/>
                <w:bCs/>
                <w:color w:val="000000"/>
                <w:spacing w:val="0"/>
                <w:position w:val="0"/>
                <w:sz w:val="20"/>
                <w:szCs w:val="20"/>
              </w:rPr>
              <w:t>审查标准</w:t>
            </w:r>
          </w:p>
        </w:tc>
      </w:tr>
      <w:tr w14:paraId="76302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56" w:hRule="atLeast"/>
        </w:trPr>
        <w:tc>
          <w:tcPr>
            <w:tcW w:w="696" w:type="dxa"/>
            <w:tcBorders>
              <w:top w:val="single" w:color="000000" w:sz="6" w:space="0"/>
              <w:left w:val="single" w:color="000000" w:sz="4" w:space="0"/>
              <w:bottom w:val="single" w:color="000000" w:sz="6" w:space="0"/>
              <w:right w:val="single" w:color="000000" w:sz="6" w:space="0"/>
            </w:tcBorders>
            <w:shd w:val="clear" w:color="auto" w:fill="FFFFFF"/>
            <w:vAlign w:val="center"/>
          </w:tcPr>
          <w:p w14:paraId="2C384223">
            <w:pPr>
              <w:pStyle w:val="38"/>
              <w:keepNext w:val="0"/>
              <w:keepLines w:val="0"/>
              <w:widowControl/>
              <w:suppressLineNumbers w:val="0"/>
              <w:spacing w:line="240" w:lineRule="auto"/>
              <w:ind w:left="0" w:firstLine="0"/>
              <w:jc w:val="center"/>
              <w:textAlignment w:val="center"/>
            </w:pPr>
            <w:r>
              <w:rPr>
                <w:rFonts w:hint="default" w:ascii="Times New Roman" w:hAnsi="Times New Roman" w:cs="Times New Roman"/>
                <w:color w:val="000000"/>
                <w:spacing w:val="0"/>
                <w:position w:val="0"/>
                <w:sz w:val="20"/>
                <w:szCs w:val="20"/>
              </w:rPr>
              <w:t>1</w:t>
            </w:r>
          </w:p>
        </w:tc>
        <w:tc>
          <w:tcPr>
            <w:tcW w:w="295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55E02FA">
            <w:pPr>
              <w:pStyle w:val="38"/>
              <w:keepNext w:val="0"/>
              <w:keepLines w:val="0"/>
              <w:widowControl/>
              <w:suppressLineNumbers w:val="0"/>
              <w:spacing w:line="240" w:lineRule="auto"/>
              <w:ind w:left="0" w:firstLine="0"/>
              <w:jc w:val="center"/>
              <w:textAlignment w:val="center"/>
            </w:pPr>
            <w:r>
              <w:rPr>
                <w:rFonts w:hint="eastAsia" w:ascii="宋体" w:hAnsi="宋体" w:eastAsia="宋体" w:cs="宋体"/>
                <w:color w:val="000000"/>
                <w:spacing w:val="0"/>
                <w:position w:val="0"/>
                <w:sz w:val="20"/>
                <w:szCs w:val="20"/>
              </w:rPr>
              <w:t>具有独立承担民事责任的能力</w:t>
            </w:r>
          </w:p>
        </w:tc>
        <w:tc>
          <w:tcPr>
            <w:tcW w:w="5814" w:type="dxa"/>
            <w:tcBorders>
              <w:top w:val="single" w:color="000000" w:sz="6" w:space="0"/>
              <w:left w:val="single" w:color="000000" w:sz="6" w:space="0"/>
              <w:bottom w:val="single" w:color="000000" w:sz="6" w:space="0"/>
              <w:right w:val="single" w:color="000000" w:sz="4" w:space="0"/>
            </w:tcBorders>
            <w:shd w:val="clear" w:color="auto" w:fill="FFFFFF"/>
            <w:vAlign w:val="center"/>
          </w:tcPr>
          <w:p w14:paraId="552A6C9C">
            <w:pPr>
              <w:pStyle w:val="38"/>
              <w:keepNext w:val="0"/>
              <w:keepLines w:val="0"/>
              <w:widowControl/>
              <w:suppressLineNumbers w:val="0"/>
              <w:spacing w:line="240" w:lineRule="auto"/>
              <w:ind w:left="0" w:firstLine="2"/>
              <w:jc w:val="left"/>
              <w:textAlignment w:val="center"/>
            </w:pPr>
            <w:r>
              <w:rPr>
                <w:rFonts w:hint="eastAsia" w:ascii="宋体" w:hAnsi="宋体" w:eastAsia="宋体" w:cs="宋体"/>
                <w:color w:val="000000"/>
                <w:spacing w:val="0"/>
                <w:position w:val="0"/>
                <w:sz w:val="20"/>
                <w:szCs w:val="20"/>
              </w:rPr>
              <w:t>法人或者其他组织的营业执照等主体资格证明文件，自然人的身份证明：投标人为法人的，应提交营业执照或法人登记证书的复印件；投标人为非法人组织的，应提交依法登记证书复印件；投标人为个体工商户的，应提交个体工商户营业执照复印件；投标人为自然人的，应提交自然人的身份证明复印件（复印件加盖公章）</w:t>
            </w:r>
          </w:p>
        </w:tc>
      </w:tr>
      <w:tr w14:paraId="18190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0" w:hRule="atLeast"/>
        </w:trPr>
        <w:tc>
          <w:tcPr>
            <w:tcW w:w="696" w:type="dxa"/>
            <w:tcBorders>
              <w:top w:val="single" w:color="000000" w:sz="6" w:space="0"/>
              <w:left w:val="single" w:color="000000" w:sz="4" w:space="0"/>
              <w:bottom w:val="single" w:color="000000" w:sz="6" w:space="0"/>
              <w:right w:val="single" w:color="000000" w:sz="6" w:space="0"/>
            </w:tcBorders>
            <w:shd w:val="clear" w:color="auto" w:fill="FFFFFF"/>
            <w:vAlign w:val="center"/>
          </w:tcPr>
          <w:p w14:paraId="2076A456">
            <w:pPr>
              <w:pStyle w:val="38"/>
              <w:keepNext w:val="0"/>
              <w:keepLines w:val="0"/>
              <w:widowControl/>
              <w:suppressLineNumbers w:val="0"/>
              <w:spacing w:line="240" w:lineRule="auto"/>
              <w:ind w:left="0" w:firstLine="0"/>
              <w:jc w:val="center"/>
              <w:textAlignment w:val="center"/>
            </w:pPr>
            <w:r>
              <w:rPr>
                <w:rFonts w:hint="default" w:ascii="Times New Roman" w:hAnsi="Times New Roman" w:cs="Times New Roman"/>
                <w:color w:val="000000"/>
                <w:spacing w:val="0"/>
                <w:position w:val="0"/>
                <w:sz w:val="20"/>
                <w:szCs w:val="20"/>
              </w:rPr>
              <w:t>2</w:t>
            </w:r>
          </w:p>
        </w:tc>
        <w:tc>
          <w:tcPr>
            <w:tcW w:w="2959" w:type="dxa"/>
            <w:tcBorders>
              <w:top w:val="single" w:color="000000" w:sz="6" w:space="0"/>
              <w:left w:val="single" w:color="000000" w:sz="6" w:space="0"/>
              <w:bottom w:val="single" w:color="000000" w:sz="6" w:space="0"/>
              <w:right w:val="single" w:color="000000" w:sz="6" w:space="0"/>
            </w:tcBorders>
            <w:shd w:val="clear" w:color="auto" w:fill="FFFFFF"/>
            <w:vAlign w:val="top"/>
          </w:tcPr>
          <w:p w14:paraId="0C1FBF5D">
            <w:pPr>
              <w:pStyle w:val="38"/>
              <w:keepNext w:val="0"/>
              <w:keepLines w:val="0"/>
              <w:widowControl/>
              <w:suppressLineNumbers w:val="0"/>
              <w:spacing w:line="240" w:lineRule="auto"/>
              <w:ind w:left="0" w:firstLine="0"/>
              <w:jc w:val="center"/>
              <w:textAlignment w:val="center"/>
            </w:pPr>
            <w:r>
              <w:rPr>
                <w:rFonts w:hint="eastAsia" w:ascii="宋体" w:hAnsi="宋体" w:eastAsia="宋体" w:cs="宋体"/>
                <w:color w:val="000000"/>
                <w:spacing w:val="0"/>
                <w:position w:val="0"/>
                <w:sz w:val="20"/>
                <w:szCs w:val="20"/>
              </w:rPr>
              <w:t>法定代表人授权委托书（授权委托代理人参加投标）及法定代表人身份证明</w:t>
            </w:r>
          </w:p>
        </w:tc>
        <w:tc>
          <w:tcPr>
            <w:tcW w:w="5814" w:type="dxa"/>
            <w:tcBorders>
              <w:top w:val="single" w:color="000000" w:sz="6" w:space="0"/>
              <w:left w:val="single" w:color="000000" w:sz="6" w:space="0"/>
              <w:bottom w:val="single" w:color="000000" w:sz="6" w:space="0"/>
              <w:right w:val="single" w:color="000000" w:sz="4" w:space="0"/>
            </w:tcBorders>
            <w:shd w:val="clear" w:color="auto" w:fill="FFFFFF"/>
            <w:vAlign w:val="center"/>
          </w:tcPr>
          <w:p w14:paraId="1131766F">
            <w:pPr>
              <w:pStyle w:val="38"/>
              <w:keepNext w:val="0"/>
              <w:keepLines w:val="0"/>
              <w:widowControl/>
              <w:suppressLineNumbers w:val="0"/>
              <w:spacing w:line="240" w:lineRule="auto"/>
              <w:ind w:left="0" w:firstLine="2"/>
              <w:jc w:val="left"/>
              <w:textAlignment w:val="center"/>
            </w:pPr>
            <w:r>
              <w:rPr>
                <w:rFonts w:hint="eastAsia" w:ascii="宋体" w:hAnsi="宋体" w:eastAsia="宋体" w:cs="宋体"/>
                <w:color w:val="000000"/>
                <w:spacing w:val="0"/>
                <w:position w:val="0"/>
                <w:sz w:val="20"/>
                <w:szCs w:val="20"/>
              </w:rPr>
              <w:t>法定代表人参加投标时，提供盖章的法定代表人身份证明（加盖公章）；非法定代表人参加投标时，提供签字盖章的法定代表人授权委托书并附法定代表人身份证明（加盖公章），签署、盖章符合要求。</w:t>
            </w:r>
          </w:p>
        </w:tc>
      </w:tr>
      <w:tr w14:paraId="7FACF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6" w:hRule="atLeast"/>
        </w:trPr>
        <w:tc>
          <w:tcPr>
            <w:tcW w:w="696" w:type="dxa"/>
            <w:tcBorders>
              <w:top w:val="single" w:color="000000" w:sz="6" w:space="0"/>
              <w:left w:val="single" w:color="000000" w:sz="4" w:space="0"/>
              <w:bottom w:val="single" w:color="000000" w:sz="6" w:space="0"/>
              <w:right w:val="single" w:color="000000" w:sz="6" w:space="0"/>
            </w:tcBorders>
            <w:shd w:val="clear" w:color="auto" w:fill="FFFFFF"/>
            <w:vAlign w:val="center"/>
          </w:tcPr>
          <w:p w14:paraId="0AD7C502">
            <w:pPr>
              <w:pStyle w:val="38"/>
              <w:keepNext w:val="0"/>
              <w:keepLines w:val="0"/>
              <w:widowControl/>
              <w:suppressLineNumbers w:val="0"/>
              <w:spacing w:line="240" w:lineRule="auto"/>
              <w:ind w:left="0" w:firstLine="0"/>
              <w:jc w:val="center"/>
              <w:textAlignment w:val="center"/>
            </w:pPr>
            <w:r>
              <w:rPr>
                <w:rFonts w:hint="default" w:ascii="Times New Roman" w:hAnsi="Times New Roman" w:cs="Times New Roman"/>
                <w:color w:val="000000"/>
                <w:spacing w:val="0"/>
                <w:position w:val="0"/>
                <w:sz w:val="20"/>
                <w:szCs w:val="20"/>
              </w:rPr>
              <w:t>3</w:t>
            </w:r>
          </w:p>
        </w:tc>
        <w:tc>
          <w:tcPr>
            <w:tcW w:w="2959" w:type="dxa"/>
            <w:tcBorders>
              <w:top w:val="single" w:color="000000" w:sz="6" w:space="0"/>
              <w:left w:val="single" w:color="000000" w:sz="6" w:space="0"/>
              <w:bottom w:val="single" w:color="000000" w:sz="6" w:space="0"/>
              <w:right w:val="single" w:color="000000" w:sz="6" w:space="0"/>
            </w:tcBorders>
            <w:shd w:val="clear" w:color="auto" w:fill="FFFFFF"/>
            <w:vAlign w:val="top"/>
          </w:tcPr>
          <w:p w14:paraId="1E9BBC49">
            <w:pPr>
              <w:pStyle w:val="38"/>
              <w:keepNext w:val="0"/>
              <w:keepLines w:val="0"/>
              <w:widowControl/>
              <w:suppressLineNumbers w:val="0"/>
              <w:spacing w:line="240" w:lineRule="auto"/>
              <w:ind w:left="0" w:firstLine="0"/>
              <w:jc w:val="center"/>
              <w:textAlignment w:val="center"/>
            </w:pPr>
            <w:r>
              <w:rPr>
                <w:rFonts w:hint="eastAsia" w:ascii="宋体" w:hAnsi="宋体" w:eastAsia="宋体" w:cs="宋体"/>
                <w:color w:val="000000"/>
                <w:spacing w:val="0"/>
                <w:position w:val="0"/>
                <w:sz w:val="20"/>
                <w:szCs w:val="20"/>
              </w:rPr>
              <w:t>具有良好的商业信誉和健全的财务会计制度</w:t>
            </w:r>
          </w:p>
        </w:tc>
        <w:tc>
          <w:tcPr>
            <w:tcW w:w="5814" w:type="dxa"/>
            <w:tcBorders>
              <w:top w:val="single" w:color="000000" w:sz="6" w:space="0"/>
              <w:left w:val="single" w:color="000000" w:sz="6" w:space="0"/>
              <w:bottom w:val="single" w:color="000000" w:sz="6" w:space="0"/>
              <w:right w:val="single" w:color="000000" w:sz="4" w:space="0"/>
            </w:tcBorders>
            <w:shd w:val="clear" w:color="auto" w:fill="FFFFFF"/>
            <w:vAlign w:val="center"/>
          </w:tcPr>
          <w:p w14:paraId="009EA547">
            <w:pPr>
              <w:pStyle w:val="38"/>
              <w:keepNext w:val="0"/>
              <w:keepLines w:val="0"/>
              <w:widowControl/>
              <w:suppressLineNumbers w:val="0"/>
              <w:spacing w:line="240" w:lineRule="auto"/>
              <w:ind w:left="0" w:firstLine="0"/>
              <w:jc w:val="left"/>
              <w:textAlignment w:val="center"/>
            </w:pPr>
            <w:r>
              <w:rPr>
                <w:rFonts w:hint="eastAsia" w:ascii="宋体" w:hAnsi="宋体" w:eastAsia="宋体" w:cs="宋体"/>
                <w:color w:val="000000"/>
                <w:spacing w:val="0"/>
                <w:position w:val="0"/>
                <w:sz w:val="20"/>
                <w:szCs w:val="20"/>
              </w:rPr>
              <w:t>提供“湖南省政府采购投标人资格承诺函”签署、盖章符合要求。</w:t>
            </w:r>
          </w:p>
        </w:tc>
      </w:tr>
      <w:tr w14:paraId="5BFD8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6" w:hRule="atLeast"/>
        </w:trPr>
        <w:tc>
          <w:tcPr>
            <w:tcW w:w="696" w:type="dxa"/>
            <w:tcBorders>
              <w:top w:val="single" w:color="000000" w:sz="6" w:space="0"/>
              <w:left w:val="single" w:color="000000" w:sz="4" w:space="0"/>
              <w:bottom w:val="single" w:color="000000" w:sz="6" w:space="0"/>
              <w:right w:val="single" w:color="000000" w:sz="6" w:space="0"/>
            </w:tcBorders>
            <w:shd w:val="clear" w:color="auto" w:fill="FFFFFF"/>
            <w:vAlign w:val="center"/>
          </w:tcPr>
          <w:p w14:paraId="753E39C2">
            <w:pPr>
              <w:pStyle w:val="38"/>
              <w:keepNext w:val="0"/>
              <w:keepLines w:val="0"/>
              <w:widowControl/>
              <w:suppressLineNumbers w:val="0"/>
              <w:spacing w:line="240" w:lineRule="auto"/>
              <w:ind w:left="0" w:firstLine="0"/>
              <w:jc w:val="center"/>
              <w:textAlignment w:val="center"/>
            </w:pPr>
            <w:r>
              <w:rPr>
                <w:rFonts w:hint="default" w:ascii="Times New Roman" w:hAnsi="Times New Roman" w:cs="Times New Roman"/>
                <w:color w:val="000000"/>
                <w:spacing w:val="0"/>
                <w:position w:val="0"/>
                <w:sz w:val="20"/>
                <w:szCs w:val="20"/>
              </w:rPr>
              <w:t>4</w:t>
            </w:r>
          </w:p>
        </w:tc>
        <w:tc>
          <w:tcPr>
            <w:tcW w:w="295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76676F9">
            <w:pPr>
              <w:pStyle w:val="38"/>
              <w:keepNext w:val="0"/>
              <w:keepLines w:val="0"/>
              <w:widowControl/>
              <w:suppressLineNumbers w:val="0"/>
              <w:spacing w:line="240" w:lineRule="auto"/>
              <w:ind w:left="0" w:firstLine="0"/>
              <w:jc w:val="center"/>
              <w:textAlignment w:val="center"/>
            </w:pPr>
            <w:r>
              <w:rPr>
                <w:rFonts w:hint="eastAsia" w:ascii="宋体" w:hAnsi="宋体" w:eastAsia="宋体" w:cs="宋体"/>
                <w:color w:val="000000"/>
                <w:spacing w:val="0"/>
                <w:position w:val="0"/>
                <w:sz w:val="20"/>
                <w:szCs w:val="20"/>
              </w:rPr>
              <w:t>具有履行合同所必需的设备和专业技术能力</w:t>
            </w:r>
          </w:p>
        </w:tc>
        <w:tc>
          <w:tcPr>
            <w:tcW w:w="5814" w:type="dxa"/>
            <w:tcBorders>
              <w:top w:val="single" w:color="000000" w:sz="6" w:space="0"/>
              <w:left w:val="single" w:color="000000" w:sz="6" w:space="0"/>
              <w:bottom w:val="single" w:color="000000" w:sz="6" w:space="0"/>
              <w:right w:val="single" w:color="000000" w:sz="4" w:space="0"/>
            </w:tcBorders>
            <w:shd w:val="clear" w:color="auto" w:fill="FFFFFF"/>
            <w:vAlign w:val="center"/>
          </w:tcPr>
          <w:p w14:paraId="46F53951">
            <w:pPr>
              <w:pStyle w:val="38"/>
              <w:keepNext w:val="0"/>
              <w:keepLines w:val="0"/>
              <w:widowControl/>
              <w:suppressLineNumbers w:val="0"/>
              <w:spacing w:line="240" w:lineRule="auto"/>
              <w:ind w:left="0" w:firstLine="0"/>
              <w:jc w:val="left"/>
              <w:textAlignment w:val="center"/>
            </w:pPr>
            <w:r>
              <w:rPr>
                <w:rFonts w:hint="eastAsia" w:ascii="宋体" w:hAnsi="宋体" w:eastAsia="宋体" w:cs="宋体"/>
                <w:color w:val="000000"/>
                <w:spacing w:val="0"/>
                <w:position w:val="0"/>
                <w:sz w:val="20"/>
                <w:szCs w:val="20"/>
              </w:rPr>
              <w:t>提供“投标人资格声明”书面承诺，签署、盖章符合要求。</w:t>
            </w:r>
          </w:p>
        </w:tc>
      </w:tr>
      <w:tr w14:paraId="597A0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1" w:hRule="atLeast"/>
        </w:trPr>
        <w:tc>
          <w:tcPr>
            <w:tcW w:w="696" w:type="dxa"/>
            <w:tcBorders>
              <w:top w:val="single" w:color="000000" w:sz="6" w:space="0"/>
              <w:left w:val="single" w:color="000000" w:sz="4" w:space="0"/>
              <w:bottom w:val="single" w:color="000000" w:sz="6" w:space="0"/>
              <w:right w:val="single" w:color="000000" w:sz="6" w:space="0"/>
            </w:tcBorders>
            <w:shd w:val="clear" w:color="auto" w:fill="FFFFFF"/>
            <w:vAlign w:val="center"/>
          </w:tcPr>
          <w:p w14:paraId="55F08BD9">
            <w:pPr>
              <w:pStyle w:val="38"/>
              <w:keepNext w:val="0"/>
              <w:keepLines w:val="0"/>
              <w:widowControl/>
              <w:suppressLineNumbers w:val="0"/>
              <w:spacing w:line="240" w:lineRule="auto"/>
              <w:ind w:left="0" w:firstLine="0"/>
              <w:jc w:val="center"/>
              <w:textAlignment w:val="center"/>
            </w:pPr>
            <w:r>
              <w:rPr>
                <w:rFonts w:hint="default" w:ascii="Times New Roman" w:hAnsi="Times New Roman" w:cs="Times New Roman"/>
                <w:color w:val="000000"/>
                <w:spacing w:val="0"/>
                <w:position w:val="0"/>
                <w:sz w:val="20"/>
                <w:szCs w:val="20"/>
              </w:rPr>
              <w:t>5</w:t>
            </w:r>
          </w:p>
        </w:tc>
        <w:tc>
          <w:tcPr>
            <w:tcW w:w="295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1436720">
            <w:pPr>
              <w:pStyle w:val="38"/>
              <w:keepNext w:val="0"/>
              <w:keepLines w:val="0"/>
              <w:widowControl/>
              <w:suppressLineNumbers w:val="0"/>
              <w:spacing w:line="240" w:lineRule="auto"/>
              <w:ind w:left="0" w:firstLine="0"/>
              <w:jc w:val="center"/>
              <w:textAlignment w:val="center"/>
            </w:pPr>
            <w:r>
              <w:rPr>
                <w:rFonts w:hint="eastAsia" w:ascii="宋体" w:hAnsi="宋体" w:eastAsia="宋体" w:cs="宋体"/>
                <w:color w:val="000000"/>
                <w:spacing w:val="0"/>
                <w:position w:val="0"/>
                <w:sz w:val="20"/>
                <w:szCs w:val="20"/>
              </w:rPr>
              <w:t>有依法缴纳税收和社会保障资金的良好记录</w:t>
            </w:r>
          </w:p>
        </w:tc>
        <w:tc>
          <w:tcPr>
            <w:tcW w:w="5814" w:type="dxa"/>
            <w:tcBorders>
              <w:top w:val="single" w:color="000000" w:sz="6" w:space="0"/>
              <w:left w:val="single" w:color="000000" w:sz="6" w:space="0"/>
              <w:bottom w:val="single" w:color="000000" w:sz="6" w:space="0"/>
              <w:right w:val="single" w:color="000000" w:sz="4" w:space="0"/>
            </w:tcBorders>
            <w:shd w:val="clear" w:color="auto" w:fill="FFFFFF"/>
            <w:vAlign w:val="center"/>
          </w:tcPr>
          <w:p w14:paraId="02CE8CD3">
            <w:pPr>
              <w:pStyle w:val="38"/>
              <w:keepNext w:val="0"/>
              <w:keepLines w:val="0"/>
              <w:widowControl/>
              <w:suppressLineNumbers w:val="0"/>
              <w:spacing w:line="240" w:lineRule="auto"/>
              <w:ind w:left="0" w:firstLine="0"/>
              <w:jc w:val="center"/>
              <w:textAlignment w:val="center"/>
            </w:pPr>
            <w:r>
              <w:rPr>
                <w:rFonts w:hint="eastAsia" w:ascii="宋体" w:hAnsi="宋体" w:eastAsia="宋体" w:cs="宋体"/>
                <w:color w:val="000000"/>
                <w:spacing w:val="0"/>
                <w:position w:val="0"/>
                <w:sz w:val="20"/>
                <w:szCs w:val="20"/>
              </w:rPr>
              <w:t>提供“湖南省政府采购投标人资格承诺函”签署、盖章符合要求。</w:t>
            </w:r>
          </w:p>
        </w:tc>
      </w:tr>
      <w:tr w14:paraId="0CC13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1" w:hRule="atLeast"/>
        </w:trPr>
        <w:tc>
          <w:tcPr>
            <w:tcW w:w="696" w:type="dxa"/>
            <w:tcBorders>
              <w:top w:val="single" w:color="000000" w:sz="6" w:space="0"/>
              <w:left w:val="single" w:color="000000" w:sz="4" w:space="0"/>
              <w:bottom w:val="single" w:color="000000" w:sz="6" w:space="0"/>
              <w:right w:val="single" w:color="000000" w:sz="6" w:space="0"/>
            </w:tcBorders>
            <w:shd w:val="clear" w:color="auto" w:fill="FFFFFF"/>
            <w:vAlign w:val="center"/>
          </w:tcPr>
          <w:p w14:paraId="01112BA4">
            <w:pPr>
              <w:pStyle w:val="38"/>
              <w:keepNext w:val="0"/>
              <w:keepLines w:val="0"/>
              <w:widowControl/>
              <w:suppressLineNumbers w:val="0"/>
              <w:spacing w:line="240" w:lineRule="auto"/>
              <w:ind w:left="0" w:firstLine="0"/>
              <w:jc w:val="center"/>
              <w:textAlignment w:val="center"/>
            </w:pPr>
            <w:r>
              <w:rPr>
                <w:rFonts w:hint="default" w:ascii="Times New Roman" w:hAnsi="Times New Roman" w:cs="Times New Roman"/>
                <w:color w:val="000000"/>
                <w:spacing w:val="0"/>
                <w:position w:val="0"/>
                <w:sz w:val="20"/>
                <w:szCs w:val="20"/>
              </w:rPr>
              <w:t>6</w:t>
            </w:r>
          </w:p>
        </w:tc>
        <w:tc>
          <w:tcPr>
            <w:tcW w:w="295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5DC7D3D">
            <w:pPr>
              <w:pStyle w:val="38"/>
              <w:keepNext w:val="0"/>
              <w:keepLines w:val="0"/>
              <w:widowControl/>
              <w:suppressLineNumbers w:val="0"/>
              <w:spacing w:line="240" w:lineRule="auto"/>
              <w:ind w:left="0" w:firstLine="52"/>
              <w:jc w:val="center"/>
              <w:textAlignment w:val="center"/>
            </w:pPr>
            <w:r>
              <w:rPr>
                <w:rFonts w:hint="eastAsia" w:ascii="宋体" w:hAnsi="宋体" w:eastAsia="宋体" w:cs="宋体"/>
                <w:color w:val="000000"/>
                <w:spacing w:val="0"/>
                <w:position w:val="0"/>
                <w:sz w:val="20"/>
                <w:szCs w:val="20"/>
              </w:rPr>
              <w:t>参加政府采购活动前</w:t>
            </w:r>
            <w:r>
              <w:rPr>
                <w:rFonts w:hint="default" w:ascii="Times New Roman" w:hAnsi="Times New Roman" w:cs="Times New Roman"/>
                <w:color w:val="000000"/>
                <w:spacing w:val="0"/>
                <w:position w:val="0"/>
                <w:sz w:val="20"/>
                <w:szCs w:val="20"/>
              </w:rPr>
              <w:t>3</w:t>
            </w:r>
            <w:r>
              <w:rPr>
                <w:rFonts w:hint="eastAsia" w:ascii="宋体" w:hAnsi="宋体" w:eastAsia="宋体" w:cs="宋体"/>
                <w:color w:val="000000"/>
                <w:spacing w:val="0"/>
                <w:position w:val="0"/>
                <w:sz w:val="20"/>
                <w:szCs w:val="20"/>
              </w:rPr>
              <w:t>年内在经营活动中没有重大违法记录</w:t>
            </w:r>
          </w:p>
        </w:tc>
        <w:tc>
          <w:tcPr>
            <w:tcW w:w="5814" w:type="dxa"/>
            <w:tcBorders>
              <w:top w:val="single" w:color="000000" w:sz="6" w:space="0"/>
              <w:left w:val="single" w:color="000000" w:sz="6" w:space="0"/>
              <w:bottom w:val="single" w:color="000000" w:sz="6" w:space="0"/>
              <w:right w:val="single" w:color="000000" w:sz="4" w:space="0"/>
            </w:tcBorders>
            <w:shd w:val="clear" w:color="auto" w:fill="FFFFFF"/>
            <w:vAlign w:val="center"/>
          </w:tcPr>
          <w:p w14:paraId="11EF6CBE">
            <w:pPr>
              <w:pStyle w:val="38"/>
              <w:keepNext w:val="0"/>
              <w:keepLines w:val="0"/>
              <w:widowControl/>
              <w:suppressLineNumbers w:val="0"/>
              <w:spacing w:line="240" w:lineRule="auto"/>
              <w:ind w:left="0" w:firstLine="0"/>
              <w:jc w:val="left"/>
              <w:textAlignment w:val="center"/>
            </w:pPr>
            <w:r>
              <w:rPr>
                <w:rFonts w:hint="eastAsia" w:ascii="宋体" w:hAnsi="宋体" w:eastAsia="宋体" w:cs="宋体"/>
                <w:color w:val="000000"/>
                <w:spacing w:val="0"/>
                <w:position w:val="0"/>
                <w:sz w:val="20"/>
                <w:szCs w:val="20"/>
              </w:rPr>
              <w:t>提供《湖南省政府采购供应商资格承诺函》，签署、盖章符合要求。</w:t>
            </w:r>
          </w:p>
        </w:tc>
      </w:tr>
      <w:tr w14:paraId="64282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696" w:type="dxa"/>
            <w:tcBorders>
              <w:top w:val="single" w:color="000000" w:sz="6" w:space="0"/>
              <w:left w:val="single" w:color="000000" w:sz="4" w:space="0"/>
              <w:bottom w:val="single" w:color="000000" w:sz="4" w:space="0"/>
              <w:right w:val="single" w:color="000000" w:sz="6" w:space="0"/>
            </w:tcBorders>
            <w:shd w:val="clear" w:color="auto" w:fill="FFFFFF"/>
            <w:vAlign w:val="center"/>
          </w:tcPr>
          <w:p w14:paraId="0830391F">
            <w:pPr>
              <w:pStyle w:val="38"/>
              <w:keepNext w:val="0"/>
              <w:keepLines w:val="0"/>
              <w:widowControl/>
              <w:suppressLineNumbers w:val="0"/>
              <w:spacing w:line="240" w:lineRule="auto"/>
              <w:ind w:left="0" w:firstLine="0"/>
              <w:jc w:val="center"/>
              <w:textAlignment w:val="center"/>
            </w:pPr>
            <w:r>
              <w:rPr>
                <w:rFonts w:hint="default" w:ascii="Times New Roman" w:hAnsi="Times New Roman" w:cs="Times New Roman"/>
                <w:color w:val="000000"/>
                <w:spacing w:val="0"/>
                <w:position w:val="0"/>
                <w:sz w:val="20"/>
                <w:szCs w:val="20"/>
              </w:rPr>
              <w:t>7</w:t>
            </w:r>
          </w:p>
        </w:tc>
        <w:tc>
          <w:tcPr>
            <w:tcW w:w="2959" w:type="dxa"/>
            <w:tcBorders>
              <w:top w:val="single" w:color="000000" w:sz="6" w:space="0"/>
              <w:left w:val="single" w:color="000000" w:sz="6" w:space="0"/>
              <w:bottom w:val="single" w:color="000000" w:sz="4" w:space="0"/>
              <w:right w:val="single" w:color="000000" w:sz="6" w:space="0"/>
            </w:tcBorders>
            <w:shd w:val="clear" w:color="auto" w:fill="FFFFFF"/>
            <w:vAlign w:val="center"/>
          </w:tcPr>
          <w:p w14:paraId="4F34D1ED">
            <w:pPr>
              <w:pStyle w:val="38"/>
              <w:keepNext w:val="0"/>
              <w:keepLines w:val="0"/>
              <w:widowControl/>
              <w:suppressLineNumbers w:val="0"/>
              <w:spacing w:line="240" w:lineRule="auto"/>
              <w:jc w:val="both"/>
              <w:textAlignment w:val="center"/>
            </w:pPr>
            <w:r>
              <w:rPr>
                <w:rFonts w:hint="eastAsia" w:ascii="宋体" w:hAnsi="宋体" w:eastAsia="宋体" w:cs="宋体"/>
                <w:color w:val="000000"/>
                <w:spacing w:val="0"/>
                <w:position w:val="0"/>
                <w:sz w:val="20"/>
                <w:szCs w:val="20"/>
                <w:lang w:eastAsia="zh-CN"/>
              </w:rPr>
              <w:t>具备法</w:t>
            </w:r>
            <w:r>
              <w:rPr>
                <w:rFonts w:hint="eastAsia" w:ascii="宋体" w:hAnsi="宋体" w:eastAsia="宋体" w:cs="宋体"/>
                <w:color w:val="000000"/>
                <w:spacing w:val="0"/>
                <w:position w:val="0"/>
                <w:sz w:val="20"/>
                <w:szCs w:val="20"/>
              </w:rPr>
              <w:t>律、行政法规规定的其他条件的证明材料</w:t>
            </w:r>
          </w:p>
        </w:tc>
        <w:tc>
          <w:tcPr>
            <w:tcW w:w="5814" w:type="dxa"/>
            <w:tcBorders>
              <w:top w:val="single" w:color="000000" w:sz="6" w:space="0"/>
              <w:left w:val="single" w:color="000000" w:sz="6" w:space="0"/>
              <w:bottom w:val="single" w:color="000000" w:sz="4" w:space="0"/>
              <w:right w:val="single" w:color="000000" w:sz="4" w:space="0"/>
            </w:tcBorders>
            <w:shd w:val="clear" w:color="auto" w:fill="FFFFFF"/>
            <w:vAlign w:val="center"/>
          </w:tcPr>
          <w:p w14:paraId="1C3953E5">
            <w:pPr>
              <w:pStyle w:val="38"/>
              <w:keepNext w:val="0"/>
              <w:keepLines w:val="0"/>
              <w:widowControl/>
              <w:suppressLineNumbers w:val="0"/>
              <w:spacing w:line="240" w:lineRule="auto"/>
              <w:ind w:left="0" w:firstLine="0"/>
              <w:jc w:val="left"/>
              <w:textAlignment w:val="center"/>
            </w:pPr>
            <w:r>
              <w:rPr>
                <w:rFonts w:hint="eastAsia" w:ascii="宋体" w:hAnsi="宋体" w:eastAsia="宋体" w:cs="宋体"/>
                <w:color w:val="000000"/>
                <w:spacing w:val="0"/>
                <w:position w:val="0"/>
                <w:sz w:val="20"/>
                <w:szCs w:val="20"/>
              </w:rPr>
              <w:t>根据郴州市财政局文件郴财采</w:t>
            </w:r>
            <w:r>
              <w:rPr>
                <w:rFonts w:hint="default" w:ascii="Times New Roman" w:hAnsi="Times New Roman" w:cs="Times New Roman"/>
                <w:color w:val="000000"/>
                <w:spacing w:val="0"/>
                <w:position w:val="0"/>
                <w:sz w:val="20"/>
                <w:szCs w:val="20"/>
              </w:rPr>
              <w:t xml:space="preserve">[2019]11 </w:t>
            </w:r>
            <w:r>
              <w:rPr>
                <w:rFonts w:hint="eastAsia" w:ascii="宋体" w:hAnsi="宋体" w:eastAsia="宋体" w:cs="宋体"/>
                <w:color w:val="000000"/>
                <w:spacing w:val="0"/>
                <w:position w:val="0"/>
                <w:sz w:val="20"/>
                <w:szCs w:val="20"/>
              </w:rPr>
              <w:t>号要求，采购人、采购代理机构应当通过</w:t>
            </w:r>
            <w:r>
              <w:rPr>
                <w:rFonts w:hint="default" w:ascii="Times New Roman" w:hAnsi="Times New Roman" w:cs="Times New Roman"/>
                <w:color w:val="000000"/>
                <w:spacing w:val="0"/>
                <w:position w:val="0"/>
                <w:sz w:val="20"/>
                <w:szCs w:val="20"/>
              </w:rPr>
              <w:t>“</w:t>
            </w:r>
            <w:r>
              <w:rPr>
                <w:rFonts w:hint="eastAsia" w:ascii="宋体" w:hAnsi="宋体" w:eastAsia="宋体" w:cs="宋体"/>
                <w:color w:val="000000"/>
                <w:spacing w:val="0"/>
                <w:position w:val="0"/>
                <w:sz w:val="20"/>
                <w:szCs w:val="20"/>
              </w:rPr>
              <w:t>信用中国</w:t>
            </w:r>
            <w:r>
              <w:rPr>
                <w:rFonts w:hint="default" w:ascii="Times New Roman" w:hAnsi="Times New Roman" w:cs="Times New Roman"/>
                <w:color w:val="000000"/>
                <w:spacing w:val="0"/>
                <w:position w:val="0"/>
                <w:sz w:val="20"/>
                <w:szCs w:val="20"/>
              </w:rPr>
              <w:t>”</w:t>
            </w:r>
            <w:r>
              <w:rPr>
                <w:rFonts w:hint="eastAsia" w:ascii="宋体" w:hAnsi="宋体" w:eastAsia="宋体" w:cs="宋体"/>
                <w:color w:val="000000"/>
                <w:spacing w:val="0"/>
                <w:position w:val="0"/>
                <w:sz w:val="20"/>
                <w:szCs w:val="20"/>
              </w:rPr>
              <w:t>网站（</w:t>
            </w:r>
            <w:r>
              <w:rPr>
                <w:rFonts w:hint="default" w:ascii="Times New Roman" w:hAnsi="Times New Roman" w:cs="Times New Roman"/>
                <w:color w:val="000000"/>
                <w:spacing w:val="0"/>
                <w:position w:val="0"/>
                <w:sz w:val="20"/>
                <w:szCs w:val="20"/>
              </w:rPr>
              <w:t>www.creditchina.gov.cn</w:t>
            </w:r>
            <w:r>
              <w:rPr>
                <w:rFonts w:hint="eastAsia" w:ascii="宋体" w:hAnsi="宋体" w:eastAsia="宋体" w:cs="宋体"/>
                <w:color w:val="000000"/>
                <w:spacing w:val="0"/>
                <w:position w:val="0"/>
                <w:sz w:val="20"/>
                <w:szCs w:val="20"/>
              </w:rPr>
              <w:t>）、中国政府采购网（</w:t>
            </w:r>
            <w:r>
              <w:rPr>
                <w:rFonts w:hint="default" w:ascii="Times New Roman" w:hAnsi="Times New Roman" w:cs="Times New Roman"/>
                <w:color w:val="000000"/>
                <w:spacing w:val="0"/>
                <w:position w:val="0"/>
                <w:sz w:val="20"/>
                <w:szCs w:val="20"/>
              </w:rPr>
              <w:t>www.ccgp.gov.cn</w:t>
            </w:r>
            <w:r>
              <w:rPr>
                <w:rFonts w:hint="eastAsia" w:ascii="宋体" w:hAnsi="宋体" w:eastAsia="宋体" w:cs="宋体"/>
                <w:color w:val="000000"/>
                <w:spacing w:val="0"/>
                <w:position w:val="0"/>
                <w:sz w:val="20"/>
                <w:szCs w:val="20"/>
              </w:rPr>
              <w:t>）、</w:t>
            </w:r>
            <w:r>
              <w:rPr>
                <w:rFonts w:hint="default" w:ascii="Times New Roman" w:hAnsi="Times New Roman" w:cs="Times New Roman"/>
                <w:color w:val="000000"/>
                <w:spacing w:val="0"/>
                <w:position w:val="0"/>
                <w:sz w:val="20"/>
                <w:szCs w:val="20"/>
              </w:rPr>
              <w:t>“</w:t>
            </w:r>
            <w:r>
              <w:rPr>
                <w:rFonts w:hint="eastAsia" w:ascii="宋体" w:hAnsi="宋体" w:eastAsia="宋体" w:cs="宋体"/>
                <w:color w:val="000000"/>
                <w:spacing w:val="0"/>
                <w:position w:val="0"/>
                <w:sz w:val="20"/>
                <w:szCs w:val="20"/>
              </w:rPr>
              <w:t>信用湖南</w:t>
            </w:r>
            <w:r>
              <w:rPr>
                <w:rFonts w:hint="default" w:ascii="Times New Roman" w:hAnsi="Times New Roman" w:cs="Times New Roman"/>
                <w:color w:val="000000"/>
                <w:spacing w:val="0"/>
                <w:position w:val="0"/>
                <w:sz w:val="20"/>
                <w:szCs w:val="20"/>
              </w:rPr>
              <w:t>”</w:t>
            </w:r>
            <w:r>
              <w:rPr>
                <w:rFonts w:hint="eastAsia" w:ascii="宋体" w:hAnsi="宋体" w:eastAsia="宋体" w:cs="宋体"/>
                <w:color w:val="000000"/>
                <w:spacing w:val="0"/>
                <w:position w:val="0"/>
                <w:sz w:val="20"/>
                <w:szCs w:val="20"/>
              </w:rPr>
              <w:t>网站（</w:t>
            </w:r>
            <w:r>
              <w:rPr>
                <w:rFonts w:hint="default" w:ascii="Times New Roman" w:hAnsi="Times New Roman" w:cs="Times New Roman"/>
                <w:color w:val="000000"/>
                <w:spacing w:val="0"/>
                <w:position w:val="0"/>
                <w:sz w:val="20"/>
                <w:szCs w:val="20"/>
              </w:rPr>
              <w:t>www.credithunan.gov.cn</w:t>
            </w:r>
            <w:r>
              <w:rPr>
                <w:rFonts w:hint="eastAsia" w:ascii="宋体" w:hAnsi="宋体" w:eastAsia="宋体" w:cs="宋体"/>
                <w:color w:val="000000"/>
                <w:spacing w:val="0"/>
                <w:position w:val="0"/>
                <w:sz w:val="20"/>
                <w:szCs w:val="20"/>
              </w:rPr>
              <w:t>）、湖南省政府采购网（</w:t>
            </w:r>
            <w:r>
              <w:rPr>
                <w:rFonts w:hint="default" w:ascii="Times New Roman" w:hAnsi="Times New Roman" w:cs="Times New Roman"/>
                <w:color w:val="000000"/>
                <w:spacing w:val="0"/>
                <w:position w:val="0"/>
                <w:sz w:val="20"/>
                <w:szCs w:val="20"/>
              </w:rPr>
              <w:t>www.ccgp-hunan.gov.cn</w:t>
            </w:r>
            <w:r>
              <w:rPr>
                <w:rFonts w:hint="eastAsia" w:ascii="宋体" w:hAnsi="宋体" w:eastAsia="宋体" w:cs="宋体"/>
                <w:color w:val="000000"/>
                <w:spacing w:val="0"/>
                <w:position w:val="0"/>
                <w:sz w:val="20"/>
                <w:szCs w:val="20"/>
              </w:rPr>
              <w:t>）和</w:t>
            </w:r>
            <w:r>
              <w:rPr>
                <w:rFonts w:hint="default" w:ascii="Times New Roman" w:hAnsi="Times New Roman" w:cs="Times New Roman"/>
                <w:color w:val="000000"/>
                <w:spacing w:val="0"/>
                <w:position w:val="0"/>
                <w:sz w:val="20"/>
                <w:szCs w:val="20"/>
              </w:rPr>
              <w:t>“</w:t>
            </w:r>
            <w:r>
              <w:rPr>
                <w:rFonts w:hint="eastAsia" w:ascii="宋体" w:hAnsi="宋体" w:eastAsia="宋体" w:cs="宋体"/>
                <w:color w:val="000000"/>
                <w:spacing w:val="0"/>
                <w:position w:val="0"/>
                <w:sz w:val="20"/>
                <w:szCs w:val="20"/>
              </w:rPr>
              <w:t>信用郴州</w:t>
            </w:r>
            <w:r>
              <w:rPr>
                <w:rFonts w:hint="default" w:ascii="Times New Roman" w:hAnsi="Times New Roman" w:cs="Times New Roman"/>
                <w:color w:val="000000"/>
                <w:spacing w:val="0"/>
                <w:position w:val="0"/>
                <w:sz w:val="20"/>
                <w:szCs w:val="20"/>
              </w:rPr>
              <w:t>”</w:t>
            </w:r>
            <w:r>
              <w:rPr>
                <w:rFonts w:hint="eastAsia" w:ascii="宋体" w:hAnsi="宋体" w:eastAsia="宋体" w:cs="宋体"/>
                <w:color w:val="000000"/>
                <w:spacing w:val="0"/>
                <w:position w:val="0"/>
                <w:sz w:val="20"/>
                <w:szCs w:val="20"/>
              </w:rPr>
              <w:t>网站（</w:t>
            </w:r>
            <w:r>
              <w:rPr>
                <w:rFonts w:hint="default" w:ascii="Times New Roman" w:hAnsi="Times New Roman" w:cs="Times New Roman"/>
                <w:color w:val="000000"/>
                <w:spacing w:val="0"/>
                <w:position w:val="0"/>
                <w:sz w:val="20"/>
                <w:szCs w:val="20"/>
              </w:rPr>
              <w:t>xycz.czs.gov.cn</w:t>
            </w:r>
            <w:r>
              <w:rPr>
                <w:rFonts w:hint="eastAsia" w:ascii="宋体" w:hAnsi="宋体" w:eastAsia="宋体" w:cs="宋体"/>
                <w:color w:val="000000"/>
                <w:spacing w:val="0"/>
                <w:position w:val="0"/>
                <w:sz w:val="20"/>
                <w:szCs w:val="20"/>
              </w:rPr>
              <w:t>）等渠道查询相关主体信用记录，并采取必要方式做好信用信息查询记录和证据留存，信用信息查询记录及相关证据应当与其他采购文件一并保存；对列入失信被执行人、重大税收违法案件当事人名单、政府采购严重违法失信行为记录名单及其他不符合《中华人民共和国政府采购法》第二十二条规定条件的投标人，拒绝其参与政府采购活动。本采购项目同时要求投标人自行在以上</w:t>
            </w:r>
            <w:r>
              <w:rPr>
                <w:rFonts w:hint="default" w:ascii="Times New Roman" w:hAnsi="Times New Roman" w:cs="Times New Roman"/>
                <w:color w:val="000000"/>
                <w:spacing w:val="0"/>
                <w:position w:val="0"/>
                <w:sz w:val="20"/>
                <w:szCs w:val="20"/>
              </w:rPr>
              <w:t>5</w:t>
            </w:r>
            <w:r>
              <w:rPr>
                <w:rFonts w:hint="eastAsia" w:ascii="宋体" w:hAnsi="宋体" w:eastAsia="宋体" w:cs="宋体"/>
                <w:color w:val="000000"/>
                <w:spacing w:val="0"/>
                <w:position w:val="0"/>
                <w:sz w:val="20"/>
                <w:szCs w:val="20"/>
              </w:rPr>
              <w:t>个网站查询并提供查询结果截图加盖公章，查询时间应在本项目招标公告期限截止时间后且在本项目投标截止时间前。</w:t>
            </w:r>
          </w:p>
        </w:tc>
      </w:tr>
      <w:tr w14:paraId="006B2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2" w:hRule="atLeast"/>
        </w:trPr>
        <w:tc>
          <w:tcPr>
            <w:tcW w:w="696" w:type="dxa"/>
            <w:tcBorders>
              <w:top w:val="single" w:color="000000" w:sz="6" w:space="0"/>
              <w:left w:val="single" w:color="000000" w:sz="4" w:space="0"/>
              <w:bottom w:val="single" w:color="000000" w:sz="6" w:space="0"/>
              <w:right w:val="single" w:color="000000" w:sz="6" w:space="0"/>
            </w:tcBorders>
            <w:shd w:val="clear" w:color="auto" w:fill="FFFFFF"/>
            <w:vAlign w:val="center"/>
          </w:tcPr>
          <w:p w14:paraId="112F1662">
            <w:pPr>
              <w:pStyle w:val="38"/>
              <w:keepNext w:val="0"/>
              <w:keepLines w:val="0"/>
              <w:widowControl/>
              <w:suppressLineNumbers w:val="0"/>
              <w:spacing w:line="240" w:lineRule="auto"/>
              <w:ind w:left="0" w:firstLine="0"/>
              <w:jc w:val="center"/>
              <w:textAlignment w:val="center"/>
              <w:rPr>
                <w:rFonts w:hint="eastAsia" w:eastAsia="宋体"/>
                <w:lang w:eastAsia="zh-CN"/>
              </w:rPr>
            </w:pPr>
            <w:r>
              <w:rPr>
                <w:rFonts w:hint="eastAsia" w:ascii="Times New Roman" w:hAnsi="Times New Roman" w:cs="Times New Roman"/>
                <w:color w:val="000000"/>
                <w:spacing w:val="0"/>
                <w:position w:val="0"/>
                <w:sz w:val="20"/>
                <w:szCs w:val="20"/>
                <w:lang w:val="en-US" w:eastAsia="zh-CN"/>
              </w:rPr>
              <w:t>8</w:t>
            </w:r>
          </w:p>
        </w:tc>
        <w:tc>
          <w:tcPr>
            <w:tcW w:w="2959" w:type="dxa"/>
            <w:tcBorders>
              <w:top w:val="single" w:color="000000" w:sz="6" w:space="0"/>
              <w:left w:val="single" w:color="000000" w:sz="6" w:space="0"/>
              <w:bottom w:val="single" w:color="000000" w:sz="6" w:space="0"/>
              <w:right w:val="single" w:color="000000" w:sz="6" w:space="0"/>
            </w:tcBorders>
            <w:shd w:val="clear" w:color="auto" w:fill="FFFFFF"/>
            <w:vAlign w:val="top"/>
          </w:tcPr>
          <w:p w14:paraId="3944C952">
            <w:pPr>
              <w:pStyle w:val="38"/>
              <w:keepNext w:val="0"/>
              <w:keepLines w:val="0"/>
              <w:widowControl/>
              <w:suppressLineNumbers w:val="0"/>
              <w:spacing w:line="240" w:lineRule="auto"/>
              <w:ind w:left="0" w:firstLine="0"/>
              <w:jc w:val="center"/>
              <w:textAlignment w:val="center"/>
            </w:pPr>
            <w:r>
              <w:rPr>
                <w:rFonts w:hint="eastAsia" w:ascii="宋体" w:hAnsi="宋体" w:eastAsia="宋体" w:cs="宋体"/>
                <w:color w:val="000000"/>
                <w:spacing w:val="0"/>
                <w:position w:val="0"/>
                <w:sz w:val="20"/>
                <w:szCs w:val="20"/>
              </w:rPr>
              <w:t>联合体投标</w:t>
            </w:r>
          </w:p>
        </w:tc>
        <w:tc>
          <w:tcPr>
            <w:tcW w:w="5814" w:type="dxa"/>
            <w:tcBorders>
              <w:top w:val="single" w:color="000000" w:sz="6" w:space="0"/>
              <w:left w:val="single" w:color="000000" w:sz="6" w:space="0"/>
              <w:bottom w:val="single" w:color="000000" w:sz="6" w:space="0"/>
              <w:right w:val="single" w:color="000000" w:sz="4" w:space="0"/>
            </w:tcBorders>
            <w:shd w:val="clear" w:color="auto" w:fill="FFFFFF"/>
            <w:vAlign w:val="top"/>
          </w:tcPr>
          <w:p w14:paraId="6978A682">
            <w:pPr>
              <w:pStyle w:val="38"/>
              <w:keepNext w:val="0"/>
              <w:keepLines w:val="0"/>
              <w:widowControl/>
              <w:suppressLineNumbers w:val="0"/>
              <w:spacing w:line="240" w:lineRule="auto"/>
              <w:ind w:left="0" w:firstLine="0"/>
              <w:jc w:val="left"/>
              <w:textAlignment w:val="center"/>
            </w:pPr>
            <w:r>
              <w:rPr>
                <w:rFonts w:hint="eastAsia" w:ascii="宋体" w:hAnsi="宋体" w:eastAsia="宋体" w:cs="宋体"/>
                <w:color w:val="000000"/>
                <w:spacing w:val="0"/>
                <w:position w:val="0"/>
                <w:sz w:val="20"/>
                <w:szCs w:val="20"/>
                <w:lang w:eastAsia="zh-CN"/>
              </w:rPr>
              <w:t>本项目</w:t>
            </w:r>
            <w:r>
              <w:rPr>
                <w:rFonts w:hint="eastAsia" w:ascii="宋体" w:hAnsi="宋体" w:eastAsia="宋体" w:cs="宋体"/>
                <w:color w:val="000000"/>
                <w:spacing w:val="0"/>
                <w:position w:val="0"/>
                <w:sz w:val="20"/>
                <w:szCs w:val="20"/>
              </w:rPr>
              <w:t>不接受联合体投标</w:t>
            </w:r>
          </w:p>
        </w:tc>
      </w:tr>
      <w:tr w14:paraId="235DF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94" w:hRule="atLeast"/>
        </w:trPr>
        <w:tc>
          <w:tcPr>
            <w:tcW w:w="696" w:type="dxa"/>
            <w:tcBorders>
              <w:top w:val="single" w:color="000000" w:sz="6" w:space="0"/>
              <w:left w:val="single" w:color="000000" w:sz="4" w:space="0"/>
              <w:bottom w:val="single" w:color="000000" w:sz="6" w:space="0"/>
              <w:right w:val="single" w:color="000000" w:sz="6" w:space="0"/>
            </w:tcBorders>
            <w:shd w:val="clear" w:color="auto" w:fill="FFFFFF"/>
            <w:vAlign w:val="center"/>
          </w:tcPr>
          <w:p w14:paraId="5158EB13">
            <w:pPr>
              <w:pStyle w:val="38"/>
              <w:keepNext w:val="0"/>
              <w:keepLines w:val="0"/>
              <w:widowControl/>
              <w:suppressLineNumbers w:val="0"/>
              <w:spacing w:line="240" w:lineRule="auto"/>
              <w:ind w:left="0" w:firstLine="0"/>
              <w:jc w:val="center"/>
              <w:textAlignment w:val="center"/>
              <w:rPr>
                <w:rFonts w:hint="eastAsia" w:eastAsia="宋体"/>
                <w:lang w:eastAsia="zh-CN"/>
              </w:rPr>
            </w:pPr>
            <w:r>
              <w:rPr>
                <w:rFonts w:hint="eastAsia" w:ascii="Times New Roman" w:hAnsi="Times New Roman" w:cs="Times New Roman"/>
                <w:color w:val="000000"/>
                <w:spacing w:val="0"/>
                <w:position w:val="0"/>
                <w:sz w:val="20"/>
                <w:szCs w:val="20"/>
                <w:lang w:val="en-US" w:eastAsia="zh-CN"/>
              </w:rPr>
              <w:t>9</w:t>
            </w:r>
          </w:p>
        </w:tc>
        <w:tc>
          <w:tcPr>
            <w:tcW w:w="295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0830C6C">
            <w:pPr>
              <w:pStyle w:val="38"/>
              <w:keepNext w:val="0"/>
              <w:keepLines w:val="0"/>
              <w:widowControl/>
              <w:suppressLineNumbers w:val="0"/>
              <w:spacing w:line="240" w:lineRule="auto"/>
              <w:ind w:left="0" w:firstLine="0"/>
              <w:jc w:val="center"/>
              <w:textAlignment w:val="center"/>
            </w:pPr>
            <w:r>
              <w:rPr>
                <w:rFonts w:hint="eastAsia" w:ascii="宋体" w:hAnsi="宋体" w:eastAsia="宋体" w:cs="宋体"/>
                <w:color w:val="000000"/>
                <w:spacing w:val="0"/>
                <w:position w:val="0"/>
                <w:sz w:val="20"/>
                <w:szCs w:val="20"/>
              </w:rPr>
              <w:t>单位负责人为同一人或者存在直接控股、管理关系的书面说明（详见</w:t>
            </w:r>
            <w:r>
              <w:rPr>
                <w:rFonts w:hint="default" w:ascii="Times New Roman" w:hAnsi="Times New Roman" w:cs="Times New Roman"/>
                <w:color w:val="000000"/>
                <w:spacing w:val="0"/>
                <w:position w:val="0"/>
                <w:sz w:val="20"/>
                <w:szCs w:val="20"/>
              </w:rPr>
              <w:t>“</w:t>
            </w:r>
            <w:r>
              <w:rPr>
                <w:rFonts w:hint="eastAsia" w:ascii="宋体" w:hAnsi="宋体" w:eastAsia="宋体" w:cs="宋体"/>
                <w:color w:val="000000"/>
                <w:spacing w:val="0"/>
                <w:position w:val="0"/>
                <w:sz w:val="20"/>
                <w:szCs w:val="20"/>
              </w:rPr>
              <w:t>投标人资格声明</w:t>
            </w:r>
            <w:r>
              <w:rPr>
                <w:rFonts w:hint="default" w:ascii="Times New Roman" w:hAnsi="Times New Roman" w:cs="Times New Roman"/>
                <w:color w:val="000000"/>
                <w:spacing w:val="0"/>
                <w:position w:val="0"/>
                <w:sz w:val="20"/>
                <w:szCs w:val="20"/>
              </w:rPr>
              <w:t>”</w:t>
            </w:r>
            <w:r>
              <w:rPr>
                <w:rFonts w:hint="eastAsia" w:ascii="宋体" w:hAnsi="宋体" w:eastAsia="宋体" w:cs="宋体"/>
                <w:color w:val="000000"/>
                <w:spacing w:val="0"/>
                <w:position w:val="0"/>
                <w:sz w:val="20"/>
                <w:szCs w:val="20"/>
              </w:rPr>
              <w:t>）</w:t>
            </w:r>
          </w:p>
        </w:tc>
        <w:tc>
          <w:tcPr>
            <w:tcW w:w="5814" w:type="dxa"/>
            <w:tcBorders>
              <w:top w:val="single" w:color="000000" w:sz="6" w:space="0"/>
              <w:left w:val="single" w:color="000000" w:sz="6" w:space="0"/>
              <w:bottom w:val="single" w:color="000000" w:sz="6" w:space="0"/>
              <w:right w:val="single" w:color="000000" w:sz="4" w:space="0"/>
            </w:tcBorders>
            <w:shd w:val="clear" w:color="auto" w:fill="FFFFFF"/>
            <w:vAlign w:val="center"/>
          </w:tcPr>
          <w:p w14:paraId="3B241F13">
            <w:pPr>
              <w:pStyle w:val="38"/>
              <w:keepNext w:val="0"/>
              <w:keepLines w:val="0"/>
              <w:widowControl/>
              <w:suppressLineNumbers w:val="0"/>
              <w:spacing w:line="240" w:lineRule="auto"/>
              <w:ind w:left="0" w:firstLine="0"/>
              <w:jc w:val="left"/>
              <w:textAlignment w:val="center"/>
            </w:pPr>
            <w:r>
              <w:rPr>
                <w:rFonts w:hint="eastAsia" w:ascii="宋体" w:hAnsi="宋体" w:eastAsia="宋体" w:cs="宋体"/>
                <w:color w:val="000000"/>
                <w:spacing w:val="0"/>
                <w:position w:val="0"/>
                <w:sz w:val="20"/>
                <w:szCs w:val="20"/>
              </w:rPr>
              <w:t>提供</w:t>
            </w:r>
            <w:r>
              <w:rPr>
                <w:rFonts w:hint="default" w:ascii="Times New Roman" w:hAnsi="Times New Roman" w:cs="Times New Roman"/>
                <w:color w:val="000000"/>
                <w:spacing w:val="0"/>
                <w:position w:val="0"/>
                <w:sz w:val="20"/>
                <w:szCs w:val="20"/>
              </w:rPr>
              <w:t>“</w:t>
            </w:r>
            <w:r>
              <w:rPr>
                <w:rFonts w:hint="eastAsia" w:ascii="宋体" w:hAnsi="宋体" w:eastAsia="宋体" w:cs="宋体"/>
                <w:color w:val="000000"/>
                <w:spacing w:val="0"/>
                <w:position w:val="0"/>
                <w:sz w:val="20"/>
                <w:szCs w:val="20"/>
              </w:rPr>
              <w:t>投标人资格声明</w:t>
            </w:r>
            <w:r>
              <w:rPr>
                <w:rFonts w:hint="default" w:ascii="Times New Roman" w:hAnsi="Times New Roman" w:cs="Times New Roman"/>
                <w:color w:val="000000"/>
                <w:spacing w:val="0"/>
                <w:position w:val="0"/>
                <w:sz w:val="20"/>
                <w:szCs w:val="20"/>
              </w:rPr>
              <w:t>”</w:t>
            </w:r>
            <w:r>
              <w:rPr>
                <w:rFonts w:hint="eastAsia" w:ascii="宋体" w:hAnsi="宋体" w:eastAsia="宋体" w:cs="宋体"/>
                <w:color w:val="000000"/>
                <w:spacing w:val="0"/>
                <w:position w:val="0"/>
                <w:sz w:val="20"/>
                <w:szCs w:val="20"/>
              </w:rPr>
              <w:t>，签署、盖章符合要求。</w:t>
            </w:r>
          </w:p>
        </w:tc>
      </w:tr>
      <w:tr w14:paraId="33668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1" w:hRule="atLeast"/>
        </w:trPr>
        <w:tc>
          <w:tcPr>
            <w:tcW w:w="696" w:type="dxa"/>
            <w:tcBorders>
              <w:top w:val="single" w:color="000000" w:sz="6" w:space="0"/>
              <w:left w:val="single" w:color="000000" w:sz="4" w:space="0"/>
              <w:bottom w:val="single" w:color="000000" w:sz="6" w:space="0"/>
              <w:right w:val="single" w:color="000000" w:sz="6" w:space="0"/>
            </w:tcBorders>
            <w:shd w:val="clear" w:color="auto" w:fill="FFFFFF"/>
            <w:vAlign w:val="center"/>
          </w:tcPr>
          <w:p w14:paraId="6A92BE8F">
            <w:pPr>
              <w:pStyle w:val="38"/>
              <w:keepNext w:val="0"/>
              <w:keepLines w:val="0"/>
              <w:widowControl/>
              <w:suppressLineNumbers w:val="0"/>
              <w:spacing w:line="240" w:lineRule="auto"/>
              <w:ind w:left="0" w:firstLine="0"/>
              <w:jc w:val="center"/>
              <w:textAlignment w:val="center"/>
              <w:rPr>
                <w:rFonts w:hint="default" w:eastAsia="宋体"/>
                <w:lang w:val="en-US" w:eastAsia="zh-CN"/>
              </w:rPr>
            </w:pPr>
            <w:r>
              <w:rPr>
                <w:rFonts w:hint="eastAsia" w:ascii="Times New Roman" w:hAnsi="Times New Roman" w:cs="Times New Roman"/>
                <w:color w:val="000000"/>
                <w:spacing w:val="0"/>
                <w:position w:val="0"/>
                <w:sz w:val="20"/>
                <w:szCs w:val="20"/>
                <w:lang w:val="en-US" w:eastAsia="zh-CN"/>
              </w:rPr>
              <w:t>10</w:t>
            </w:r>
          </w:p>
        </w:tc>
        <w:tc>
          <w:tcPr>
            <w:tcW w:w="295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0E06D13">
            <w:pPr>
              <w:pStyle w:val="38"/>
              <w:keepNext w:val="0"/>
              <w:keepLines w:val="0"/>
              <w:widowControl/>
              <w:suppressLineNumbers w:val="0"/>
              <w:spacing w:line="240" w:lineRule="auto"/>
              <w:ind w:left="0" w:firstLine="0"/>
              <w:jc w:val="center"/>
              <w:textAlignment w:val="center"/>
            </w:pPr>
            <w:r>
              <w:rPr>
                <w:rFonts w:hint="eastAsia" w:ascii="宋体" w:hAnsi="宋体" w:eastAsia="宋体" w:cs="宋体"/>
                <w:color w:val="000000"/>
                <w:spacing w:val="0"/>
                <w:position w:val="0"/>
                <w:sz w:val="20"/>
                <w:szCs w:val="20"/>
              </w:rPr>
              <w:t>为本采购项目提供整体设计、规范编制或者项目管理、监理、检测等服务的，不得再参加此项目的其他招标采购活动</w:t>
            </w:r>
          </w:p>
        </w:tc>
        <w:tc>
          <w:tcPr>
            <w:tcW w:w="5814" w:type="dxa"/>
            <w:tcBorders>
              <w:top w:val="single" w:color="000000" w:sz="6" w:space="0"/>
              <w:left w:val="single" w:color="000000" w:sz="6" w:space="0"/>
              <w:bottom w:val="single" w:color="000000" w:sz="6" w:space="0"/>
              <w:right w:val="single" w:color="000000" w:sz="4" w:space="0"/>
            </w:tcBorders>
            <w:shd w:val="clear" w:color="auto" w:fill="FFFFFF"/>
            <w:vAlign w:val="center"/>
          </w:tcPr>
          <w:p w14:paraId="6A84C840">
            <w:pPr>
              <w:pStyle w:val="38"/>
              <w:keepNext w:val="0"/>
              <w:keepLines w:val="0"/>
              <w:widowControl/>
              <w:suppressLineNumbers w:val="0"/>
              <w:spacing w:line="240" w:lineRule="auto"/>
              <w:ind w:left="0" w:firstLine="0"/>
              <w:jc w:val="left"/>
              <w:textAlignment w:val="center"/>
            </w:pPr>
            <w:r>
              <w:rPr>
                <w:rFonts w:hint="eastAsia" w:ascii="宋体" w:hAnsi="宋体" w:eastAsia="宋体" w:cs="宋体"/>
                <w:color w:val="000000"/>
                <w:spacing w:val="0"/>
                <w:position w:val="0"/>
                <w:sz w:val="20"/>
                <w:szCs w:val="20"/>
              </w:rPr>
              <w:t>提供</w:t>
            </w:r>
            <w:r>
              <w:rPr>
                <w:rFonts w:hint="default" w:ascii="Times New Roman" w:hAnsi="Times New Roman" w:cs="Times New Roman"/>
                <w:color w:val="000000"/>
                <w:spacing w:val="0"/>
                <w:position w:val="0"/>
                <w:sz w:val="20"/>
                <w:szCs w:val="20"/>
              </w:rPr>
              <w:t>“</w:t>
            </w:r>
            <w:r>
              <w:rPr>
                <w:rFonts w:hint="eastAsia" w:ascii="宋体" w:hAnsi="宋体" w:eastAsia="宋体" w:cs="宋体"/>
                <w:color w:val="000000"/>
                <w:spacing w:val="0"/>
                <w:position w:val="0"/>
                <w:sz w:val="20"/>
                <w:szCs w:val="20"/>
              </w:rPr>
              <w:t>投标人资格声明</w:t>
            </w:r>
            <w:r>
              <w:rPr>
                <w:rFonts w:hint="default" w:ascii="Times New Roman" w:hAnsi="Times New Roman" w:cs="Times New Roman"/>
                <w:color w:val="000000"/>
                <w:spacing w:val="0"/>
                <w:position w:val="0"/>
                <w:sz w:val="20"/>
                <w:szCs w:val="20"/>
              </w:rPr>
              <w:t>”</w:t>
            </w:r>
            <w:r>
              <w:rPr>
                <w:rFonts w:hint="eastAsia" w:ascii="宋体" w:hAnsi="宋体" w:eastAsia="宋体" w:cs="宋体"/>
                <w:color w:val="000000"/>
                <w:spacing w:val="0"/>
                <w:position w:val="0"/>
                <w:sz w:val="20"/>
                <w:szCs w:val="20"/>
              </w:rPr>
              <w:t>第九条，签署、盖章符合要求。</w:t>
            </w:r>
          </w:p>
        </w:tc>
      </w:tr>
      <w:tr w14:paraId="10714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1" w:hRule="atLeast"/>
        </w:trPr>
        <w:tc>
          <w:tcPr>
            <w:tcW w:w="696" w:type="dxa"/>
            <w:tcBorders>
              <w:top w:val="single" w:color="000000" w:sz="6" w:space="0"/>
              <w:left w:val="single" w:color="000000" w:sz="4" w:space="0"/>
              <w:bottom w:val="single" w:color="000000" w:sz="6" w:space="0"/>
              <w:right w:val="single" w:color="000000" w:sz="6" w:space="0"/>
            </w:tcBorders>
            <w:shd w:val="clear" w:color="auto" w:fill="FFFFFF"/>
            <w:vAlign w:val="center"/>
          </w:tcPr>
          <w:p w14:paraId="35133445">
            <w:pPr>
              <w:pStyle w:val="38"/>
              <w:keepNext w:val="0"/>
              <w:keepLines w:val="0"/>
              <w:widowControl/>
              <w:suppressLineNumbers w:val="0"/>
              <w:spacing w:line="240" w:lineRule="auto"/>
              <w:ind w:left="0" w:firstLine="0"/>
              <w:jc w:val="center"/>
              <w:textAlignment w:val="center"/>
              <w:rPr>
                <w:rFonts w:hint="default" w:eastAsia="宋体"/>
                <w:lang w:val="en-US" w:eastAsia="zh-CN"/>
              </w:rPr>
            </w:pPr>
            <w:r>
              <w:rPr>
                <w:rFonts w:hint="eastAsia" w:ascii="Times New Roman" w:hAnsi="Times New Roman" w:cs="Times New Roman"/>
                <w:color w:val="000000"/>
                <w:spacing w:val="0"/>
                <w:position w:val="0"/>
                <w:sz w:val="20"/>
                <w:szCs w:val="20"/>
                <w:lang w:val="en-US" w:eastAsia="zh-CN"/>
              </w:rPr>
              <w:t>11</w:t>
            </w:r>
          </w:p>
        </w:tc>
        <w:tc>
          <w:tcPr>
            <w:tcW w:w="295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1E9E3D2">
            <w:pPr>
              <w:pStyle w:val="38"/>
              <w:keepNext w:val="0"/>
              <w:keepLines w:val="0"/>
              <w:widowControl/>
              <w:suppressLineNumbers w:val="0"/>
              <w:spacing w:line="240" w:lineRule="auto"/>
              <w:ind w:left="0" w:hanging="634"/>
              <w:jc w:val="center"/>
              <w:textAlignment w:val="center"/>
              <w:rPr>
                <w:rFonts w:hint="eastAsia" w:eastAsia="宋体"/>
                <w:lang w:eastAsia="zh-CN"/>
              </w:rPr>
            </w:pPr>
            <w:r>
              <w:rPr>
                <w:rFonts w:hint="eastAsia" w:ascii="宋体" w:hAnsi="宋体" w:eastAsia="宋体" w:cs="宋体"/>
                <w:color w:val="000000"/>
                <w:spacing w:val="0"/>
                <w:position w:val="0"/>
                <w:sz w:val="20"/>
                <w:szCs w:val="20"/>
              </w:rPr>
              <w:t>投标</w:t>
            </w:r>
            <w:r>
              <w:rPr>
                <w:rFonts w:hint="eastAsia" w:ascii="宋体" w:hAnsi="宋体" w:eastAsia="宋体" w:cs="宋体"/>
                <w:color w:val="000000"/>
                <w:spacing w:val="0"/>
                <w:position w:val="0"/>
                <w:sz w:val="20"/>
                <w:szCs w:val="20"/>
                <w:lang w:eastAsia="zh-CN"/>
              </w:rPr>
              <w:t>报价</w:t>
            </w:r>
          </w:p>
        </w:tc>
        <w:tc>
          <w:tcPr>
            <w:tcW w:w="5814" w:type="dxa"/>
            <w:tcBorders>
              <w:top w:val="single" w:color="000000" w:sz="6" w:space="0"/>
              <w:left w:val="single" w:color="000000" w:sz="6" w:space="0"/>
              <w:bottom w:val="single" w:color="000000" w:sz="6" w:space="0"/>
              <w:right w:val="single" w:color="000000" w:sz="4" w:space="0"/>
            </w:tcBorders>
            <w:shd w:val="clear" w:color="auto" w:fill="FFFFFF"/>
            <w:vAlign w:val="top"/>
          </w:tcPr>
          <w:p w14:paraId="05D0BDE0">
            <w:pPr>
              <w:pStyle w:val="38"/>
              <w:keepNext w:val="0"/>
              <w:keepLines w:val="0"/>
              <w:widowControl/>
              <w:suppressLineNumbers w:val="0"/>
              <w:spacing w:line="240" w:lineRule="auto"/>
              <w:ind w:left="0" w:firstLine="4"/>
              <w:jc w:val="left"/>
              <w:textAlignment w:val="center"/>
            </w:pPr>
            <w:r>
              <w:rPr>
                <w:rFonts w:hint="eastAsia" w:ascii="宋体" w:hAnsi="宋体" w:eastAsia="宋体" w:cs="宋体"/>
                <w:color w:val="000000"/>
                <w:spacing w:val="0"/>
                <w:position w:val="0"/>
                <w:sz w:val="20"/>
                <w:szCs w:val="20"/>
              </w:rPr>
              <w:t>投标报价未超过招标文件中规定的最高限价的，并投标人对采购项目内容只允许有一个投标报价，否则其投标无效。</w:t>
            </w:r>
          </w:p>
        </w:tc>
      </w:tr>
      <w:tr w14:paraId="3EFDB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6" w:hRule="atLeast"/>
        </w:trPr>
        <w:tc>
          <w:tcPr>
            <w:tcW w:w="696" w:type="dxa"/>
            <w:tcBorders>
              <w:top w:val="single" w:color="000000" w:sz="6" w:space="0"/>
              <w:left w:val="single" w:color="000000" w:sz="4" w:space="0"/>
              <w:bottom w:val="single" w:color="000000" w:sz="4" w:space="0"/>
              <w:right w:val="single" w:color="000000" w:sz="6" w:space="0"/>
            </w:tcBorders>
            <w:shd w:val="clear" w:color="auto" w:fill="FFFFFF"/>
            <w:vAlign w:val="center"/>
          </w:tcPr>
          <w:p w14:paraId="79C48AFD">
            <w:pPr>
              <w:pStyle w:val="38"/>
              <w:keepNext w:val="0"/>
              <w:keepLines w:val="0"/>
              <w:widowControl/>
              <w:suppressLineNumbers w:val="0"/>
              <w:spacing w:line="240" w:lineRule="auto"/>
              <w:ind w:left="0" w:firstLine="0"/>
              <w:jc w:val="center"/>
              <w:textAlignment w:val="center"/>
              <w:rPr>
                <w:rFonts w:hint="default" w:eastAsia="宋体"/>
                <w:lang w:val="en-US" w:eastAsia="zh-CN"/>
              </w:rPr>
            </w:pPr>
            <w:r>
              <w:rPr>
                <w:rFonts w:hint="eastAsia" w:ascii="Times New Roman" w:hAnsi="Times New Roman" w:cs="Times New Roman"/>
                <w:color w:val="000000"/>
                <w:spacing w:val="0"/>
                <w:position w:val="0"/>
                <w:sz w:val="20"/>
                <w:szCs w:val="20"/>
                <w:lang w:val="en-US" w:eastAsia="zh-CN"/>
              </w:rPr>
              <w:t>12</w:t>
            </w:r>
          </w:p>
        </w:tc>
        <w:tc>
          <w:tcPr>
            <w:tcW w:w="2959" w:type="dxa"/>
            <w:tcBorders>
              <w:top w:val="single" w:color="000000" w:sz="6" w:space="0"/>
              <w:left w:val="single" w:color="000000" w:sz="6" w:space="0"/>
              <w:bottom w:val="single" w:color="000000" w:sz="4" w:space="0"/>
              <w:right w:val="single" w:color="000000" w:sz="6" w:space="0"/>
            </w:tcBorders>
            <w:shd w:val="clear" w:color="auto" w:fill="FFFFFF"/>
            <w:vAlign w:val="center"/>
          </w:tcPr>
          <w:p w14:paraId="3A6BA5E1">
            <w:pPr>
              <w:pStyle w:val="38"/>
              <w:keepNext w:val="0"/>
              <w:keepLines w:val="0"/>
              <w:widowControl/>
              <w:suppressLineNumbers w:val="0"/>
              <w:spacing w:line="240" w:lineRule="auto"/>
              <w:jc w:val="both"/>
              <w:textAlignment w:val="center"/>
            </w:pPr>
            <w:r>
              <w:rPr>
                <w:rFonts w:hint="eastAsia" w:ascii="宋体" w:hAnsi="宋体" w:eastAsia="宋体" w:cs="宋体"/>
                <w:color w:val="000000"/>
                <w:spacing w:val="0"/>
                <w:position w:val="0"/>
                <w:sz w:val="20"/>
                <w:szCs w:val="20"/>
                <w:lang w:eastAsia="zh-CN"/>
              </w:rPr>
              <w:t>资格证明</w:t>
            </w:r>
            <w:r>
              <w:rPr>
                <w:rFonts w:hint="eastAsia" w:ascii="宋体" w:hAnsi="宋体" w:eastAsia="宋体" w:cs="宋体"/>
                <w:color w:val="000000"/>
                <w:spacing w:val="0"/>
                <w:position w:val="0"/>
                <w:sz w:val="20"/>
                <w:szCs w:val="20"/>
              </w:rPr>
              <w:t>文件按照招标文件要求签署、盖章的</w:t>
            </w:r>
          </w:p>
        </w:tc>
        <w:tc>
          <w:tcPr>
            <w:tcW w:w="5814" w:type="dxa"/>
            <w:tcBorders>
              <w:top w:val="single" w:color="000000" w:sz="6" w:space="0"/>
              <w:left w:val="single" w:color="000000" w:sz="6" w:space="0"/>
              <w:bottom w:val="single" w:color="000000" w:sz="4" w:space="0"/>
              <w:right w:val="single" w:color="000000" w:sz="4" w:space="0"/>
            </w:tcBorders>
            <w:shd w:val="clear" w:color="auto" w:fill="FFFFFF"/>
            <w:vAlign w:val="center"/>
          </w:tcPr>
          <w:p w14:paraId="038D9976">
            <w:pPr>
              <w:pStyle w:val="38"/>
              <w:keepNext w:val="0"/>
              <w:keepLines w:val="0"/>
              <w:widowControl/>
              <w:suppressLineNumbers w:val="0"/>
              <w:spacing w:line="240" w:lineRule="auto"/>
              <w:ind w:left="0" w:firstLine="444"/>
              <w:jc w:val="center"/>
              <w:textAlignment w:val="center"/>
            </w:pPr>
            <w:r>
              <w:rPr>
                <w:rFonts w:hint="eastAsia" w:ascii="宋体" w:hAnsi="宋体" w:eastAsia="宋体" w:cs="宋体"/>
                <w:color w:val="000000"/>
                <w:spacing w:val="0"/>
                <w:position w:val="0"/>
                <w:sz w:val="20"/>
                <w:szCs w:val="20"/>
              </w:rPr>
              <w:t>由投标人和投标人代表按照招标文件规定在投标文件需要签署的位置签署、盖章。投标人代表可为投标人法定代表人（非法人组织为负责人、个体工商户为负责人，以下统称单位负责人）；投标人代表不是投标人的法定代表人（单位负责人）的，应提供法定代表人（单位负责人）授权委托书。投标文件中的任何行间插字、涂改和增删，改动的地方应加盖单位电子章或由投标人代表签字确认。不按上述要求签署的，</w:t>
            </w:r>
            <w:r>
              <w:rPr>
                <w:rFonts w:hint="eastAsia" w:ascii="宋体" w:hAnsi="宋体" w:eastAsia="宋体" w:cs="宋体"/>
                <w:b/>
                <w:bCs/>
                <w:color w:val="000000"/>
                <w:spacing w:val="0"/>
                <w:position w:val="0"/>
                <w:sz w:val="20"/>
                <w:szCs w:val="20"/>
              </w:rPr>
              <w:t>其投标无效</w:t>
            </w:r>
            <w:r>
              <w:rPr>
                <w:rFonts w:hint="eastAsia" w:ascii="宋体" w:hAnsi="宋体" w:eastAsia="宋体" w:cs="宋体"/>
                <w:color w:val="000000"/>
                <w:spacing w:val="0"/>
                <w:position w:val="0"/>
                <w:sz w:val="20"/>
                <w:szCs w:val="20"/>
              </w:rPr>
              <w:t>。</w:t>
            </w:r>
          </w:p>
        </w:tc>
      </w:tr>
      <w:tr w14:paraId="447C2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48" w:hRule="atLeast"/>
        </w:trPr>
        <w:tc>
          <w:tcPr>
            <w:tcW w:w="696" w:type="dxa"/>
            <w:tcBorders>
              <w:top w:val="single" w:color="000000" w:sz="6" w:space="0"/>
              <w:left w:val="single" w:color="000000" w:sz="4" w:space="0"/>
              <w:bottom w:val="single" w:color="000000" w:sz="6" w:space="0"/>
              <w:right w:val="single" w:color="000000" w:sz="6" w:space="0"/>
            </w:tcBorders>
            <w:shd w:val="clear" w:color="auto" w:fill="FFFFFF"/>
            <w:vAlign w:val="center"/>
          </w:tcPr>
          <w:p w14:paraId="393D6A7F">
            <w:pPr>
              <w:pStyle w:val="38"/>
              <w:keepNext w:val="0"/>
              <w:keepLines w:val="0"/>
              <w:widowControl/>
              <w:suppressLineNumbers w:val="0"/>
              <w:spacing w:line="240" w:lineRule="auto"/>
              <w:ind w:left="0" w:firstLine="0"/>
              <w:jc w:val="center"/>
              <w:textAlignment w:val="center"/>
              <w:rPr>
                <w:rFonts w:hint="eastAsia" w:eastAsia="宋体"/>
                <w:lang w:eastAsia="zh-CN"/>
              </w:rPr>
            </w:pPr>
            <w:r>
              <w:rPr>
                <w:rFonts w:hint="default" w:ascii="Times New Roman" w:hAnsi="Times New Roman" w:cs="Times New Roman"/>
                <w:color w:val="000000"/>
                <w:spacing w:val="0"/>
                <w:position w:val="0"/>
                <w:sz w:val="19"/>
                <w:szCs w:val="19"/>
              </w:rPr>
              <w:t>1</w:t>
            </w:r>
            <w:r>
              <w:rPr>
                <w:rFonts w:hint="eastAsia" w:ascii="Times New Roman" w:hAnsi="Times New Roman" w:cs="Times New Roman"/>
                <w:color w:val="000000"/>
                <w:spacing w:val="0"/>
                <w:position w:val="0"/>
                <w:sz w:val="19"/>
                <w:szCs w:val="19"/>
                <w:lang w:val="en-US" w:eastAsia="zh-CN"/>
              </w:rPr>
              <w:t>3</w:t>
            </w:r>
          </w:p>
        </w:tc>
        <w:tc>
          <w:tcPr>
            <w:tcW w:w="8773" w:type="dxa"/>
            <w:gridSpan w:val="2"/>
            <w:tcBorders>
              <w:top w:val="single" w:color="000000" w:sz="6" w:space="0"/>
              <w:left w:val="single" w:color="000000" w:sz="6" w:space="0"/>
              <w:bottom w:val="single" w:color="000000" w:sz="6" w:space="0"/>
              <w:right w:val="single" w:color="000000" w:sz="4" w:space="0"/>
            </w:tcBorders>
            <w:shd w:val="clear" w:color="auto" w:fill="FFFFFF"/>
            <w:vAlign w:val="center"/>
          </w:tcPr>
          <w:p w14:paraId="75AA3F25">
            <w:pPr>
              <w:pStyle w:val="38"/>
              <w:keepNext w:val="0"/>
              <w:keepLines w:val="0"/>
              <w:widowControl/>
              <w:suppressLineNumbers w:val="0"/>
              <w:spacing w:line="240" w:lineRule="auto"/>
              <w:ind w:left="0" w:firstLine="420"/>
              <w:jc w:val="left"/>
              <w:textAlignment w:val="center"/>
            </w:pPr>
            <w:r>
              <w:rPr>
                <w:rFonts w:hint="eastAsia" w:ascii="宋体" w:hAnsi="宋体" w:eastAsia="宋体" w:cs="宋体"/>
                <w:color w:val="000000"/>
                <w:spacing w:val="0"/>
                <w:position w:val="0"/>
                <w:sz w:val="20"/>
                <w:szCs w:val="20"/>
              </w:rPr>
              <w:t>注：</w:t>
            </w:r>
            <w:r>
              <w:rPr>
                <w:rFonts w:hint="eastAsia" w:ascii="宋体" w:hAnsi="宋体" w:eastAsia="宋体" w:cs="宋体"/>
                <w:b/>
                <w:bCs/>
                <w:color w:val="000000"/>
                <w:spacing w:val="0"/>
                <w:position w:val="0"/>
                <w:sz w:val="20"/>
                <w:szCs w:val="20"/>
              </w:rPr>
              <w:t>关于政府采购促进中小企业发展有关措施的通知：符合法定条件的供应商可凭《湖南省政府采购供应商资格承诺函》参与政府采购活动，也可通过在金融机构办理电子增信取得对应信用星级参与政府采购活动和电子卖场交易，无需提供财务状况、缴纳税收和社会保障资金等资格证明材料。</w:t>
            </w:r>
          </w:p>
        </w:tc>
      </w:tr>
      <w:tr w14:paraId="4C60F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1" w:hRule="atLeast"/>
        </w:trPr>
        <w:tc>
          <w:tcPr>
            <w:tcW w:w="696" w:type="dxa"/>
            <w:tcBorders>
              <w:top w:val="single" w:color="000000" w:sz="6" w:space="0"/>
              <w:left w:val="single" w:color="000000" w:sz="4" w:space="0"/>
              <w:bottom w:val="single" w:color="000000" w:sz="4" w:space="0"/>
              <w:right w:val="single" w:color="000000" w:sz="6" w:space="0"/>
            </w:tcBorders>
            <w:shd w:val="clear" w:color="auto" w:fill="FFFFFF"/>
            <w:vAlign w:val="center"/>
          </w:tcPr>
          <w:p w14:paraId="5D0AC72B">
            <w:pPr>
              <w:pStyle w:val="38"/>
              <w:keepNext w:val="0"/>
              <w:keepLines w:val="0"/>
              <w:widowControl/>
              <w:suppressLineNumbers w:val="0"/>
              <w:spacing w:line="240" w:lineRule="auto"/>
              <w:ind w:left="0" w:firstLine="0"/>
              <w:jc w:val="center"/>
              <w:textAlignment w:val="center"/>
            </w:pPr>
            <w:r>
              <w:rPr>
                <w:rFonts w:hint="eastAsia" w:ascii="宋体" w:hAnsi="宋体" w:eastAsia="宋体" w:cs="宋体"/>
                <w:color w:val="000000"/>
                <w:spacing w:val="0"/>
                <w:position w:val="0"/>
                <w:sz w:val="19"/>
                <w:szCs w:val="19"/>
              </w:rPr>
              <w:t>结论</w:t>
            </w:r>
          </w:p>
        </w:tc>
        <w:tc>
          <w:tcPr>
            <w:tcW w:w="8773" w:type="dxa"/>
            <w:gridSpan w:val="2"/>
            <w:tcBorders>
              <w:top w:val="single" w:color="000000" w:sz="6" w:space="0"/>
              <w:left w:val="single" w:color="000000" w:sz="6" w:space="0"/>
              <w:bottom w:val="single" w:color="000000" w:sz="4" w:space="0"/>
              <w:right w:val="single" w:color="000000" w:sz="4" w:space="0"/>
            </w:tcBorders>
            <w:shd w:val="clear" w:color="auto" w:fill="FFFFFF"/>
            <w:vAlign w:val="center"/>
          </w:tcPr>
          <w:p w14:paraId="3C8CC990">
            <w:pPr>
              <w:pStyle w:val="38"/>
              <w:keepNext w:val="0"/>
              <w:keepLines w:val="0"/>
              <w:widowControl/>
              <w:suppressLineNumbers w:val="0"/>
              <w:spacing w:line="240" w:lineRule="auto"/>
              <w:ind w:left="0" w:firstLine="0"/>
              <w:jc w:val="center"/>
              <w:textAlignment w:val="center"/>
            </w:pPr>
            <w:r>
              <w:rPr>
                <w:rFonts w:hint="eastAsia" w:ascii="宋体" w:hAnsi="宋体" w:eastAsia="宋体" w:cs="宋体"/>
                <w:color w:val="000000"/>
                <w:spacing w:val="0"/>
                <w:position w:val="0"/>
                <w:sz w:val="20"/>
                <w:szCs w:val="20"/>
              </w:rPr>
              <w:t>（合格</w:t>
            </w:r>
            <w:r>
              <w:rPr>
                <w:rFonts w:hint="default" w:ascii="Times New Roman" w:hAnsi="Times New Roman" w:cs="Times New Roman"/>
                <w:color w:val="000000"/>
                <w:spacing w:val="0"/>
                <w:position w:val="0"/>
                <w:sz w:val="20"/>
                <w:szCs w:val="20"/>
              </w:rPr>
              <w:t>/</w:t>
            </w:r>
            <w:r>
              <w:rPr>
                <w:rFonts w:hint="eastAsia" w:ascii="宋体" w:hAnsi="宋体" w:eastAsia="宋体" w:cs="宋体"/>
                <w:color w:val="000000"/>
                <w:spacing w:val="0"/>
                <w:position w:val="0"/>
                <w:sz w:val="20"/>
                <w:szCs w:val="20"/>
              </w:rPr>
              <w:t>不合格）</w:t>
            </w:r>
          </w:p>
        </w:tc>
      </w:tr>
    </w:tbl>
    <w:p w14:paraId="0D9E3425">
      <w:pPr>
        <w:adjustRightInd w:val="0"/>
        <w:snapToGrid w:val="0"/>
        <w:spacing w:line="360" w:lineRule="auto"/>
        <w:rPr>
          <w:rFonts w:hint="eastAsia" w:asciiTheme="minorEastAsia" w:hAnsiTheme="minorEastAsia" w:eastAsiaTheme="minorEastAsia"/>
          <w:szCs w:val="21"/>
          <w:u w:val="single"/>
        </w:rPr>
      </w:pPr>
    </w:p>
    <w:p w14:paraId="50F03E10"/>
    <w:p w14:paraId="7C74526E">
      <w:pPr>
        <w:widowControl/>
        <w:jc w:val="left"/>
        <w:rPr>
          <w:rFonts w:ascii="黑体" w:hAnsi="黑体" w:eastAsia="黑体"/>
          <w:bCs/>
          <w:szCs w:val="21"/>
        </w:rPr>
      </w:pPr>
      <w:r>
        <w:rPr>
          <w:rFonts w:ascii="黑体" w:hAnsi="黑体"/>
          <w:b/>
          <w:szCs w:val="21"/>
        </w:rPr>
        <w:br w:type="page"/>
      </w:r>
    </w:p>
    <w:p w14:paraId="06E06312">
      <w:pPr>
        <w:pStyle w:val="5"/>
        <w:adjustRightInd w:val="0"/>
        <w:snapToGrid w:val="0"/>
        <w:spacing w:before="0" w:after="0" w:line="360" w:lineRule="auto"/>
        <w:rPr>
          <w:rFonts w:ascii="黑体" w:hAnsi="黑体"/>
          <w:b w:val="0"/>
          <w:sz w:val="21"/>
          <w:szCs w:val="21"/>
        </w:rPr>
      </w:pPr>
      <w:bookmarkStart w:id="59" w:name="_Toc19302"/>
      <w:bookmarkStart w:id="60" w:name="_Toc32432"/>
      <w:bookmarkStart w:id="61" w:name="_Toc20651211"/>
      <w:r>
        <w:rPr>
          <w:rFonts w:hint="eastAsia" w:ascii="黑体" w:hAnsi="黑体"/>
          <w:b w:val="0"/>
          <w:sz w:val="21"/>
          <w:szCs w:val="21"/>
        </w:rPr>
        <w:t>附表2 资格审查结果一览表</w:t>
      </w:r>
      <w:bookmarkEnd w:id="59"/>
      <w:bookmarkEnd w:id="60"/>
      <w:bookmarkEnd w:id="61"/>
    </w:p>
    <w:p w14:paraId="170E40E7">
      <w:pPr>
        <w:adjustRightInd w:val="0"/>
        <w:snapToGrid w:val="0"/>
        <w:spacing w:line="360" w:lineRule="auto"/>
        <w:jc w:val="center"/>
        <w:rPr>
          <w:rFonts w:ascii="黑体" w:hAnsi="黑体" w:eastAsia="黑体"/>
          <w:b/>
          <w:sz w:val="28"/>
          <w:szCs w:val="28"/>
        </w:rPr>
      </w:pPr>
      <w:r>
        <w:rPr>
          <w:rFonts w:hint="eastAsia" w:ascii="黑体" w:hAnsi="黑体" w:eastAsia="黑体"/>
          <w:b/>
          <w:sz w:val="28"/>
          <w:szCs w:val="28"/>
        </w:rPr>
        <w:t>资格审查结果一览表</w:t>
      </w:r>
    </w:p>
    <w:p w14:paraId="6CAFE3AA">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项目名称：</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采购代理编号：</w:t>
      </w:r>
      <w:r>
        <w:rPr>
          <w:rFonts w:hint="eastAsia" w:asciiTheme="minorEastAsia" w:hAnsiTheme="minorEastAsia" w:eastAsiaTheme="minorEastAsia"/>
          <w:szCs w:val="21"/>
          <w:u w:val="single"/>
        </w:rPr>
        <w:t xml:space="preserve">         </w:t>
      </w:r>
    </w:p>
    <w:tbl>
      <w:tblPr>
        <w:tblStyle w:val="44"/>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7"/>
        <w:gridCol w:w="2963"/>
        <w:gridCol w:w="2439"/>
        <w:gridCol w:w="2961"/>
      </w:tblGrid>
      <w:tr w14:paraId="095FF4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vAlign w:val="center"/>
          </w:tcPr>
          <w:p w14:paraId="4648188F">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序号</w:t>
            </w:r>
          </w:p>
        </w:tc>
        <w:tc>
          <w:tcPr>
            <w:tcW w:w="2963" w:type="dxa"/>
            <w:vAlign w:val="center"/>
          </w:tcPr>
          <w:p w14:paraId="22F548BA">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投标人名称</w:t>
            </w:r>
          </w:p>
        </w:tc>
        <w:tc>
          <w:tcPr>
            <w:tcW w:w="2439" w:type="dxa"/>
            <w:vAlign w:val="center"/>
          </w:tcPr>
          <w:p w14:paraId="7D4D00BC">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资格审查结果</w:t>
            </w:r>
          </w:p>
          <w:p w14:paraId="5EB0CFF7">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（合格/不合格）</w:t>
            </w:r>
          </w:p>
        </w:tc>
        <w:tc>
          <w:tcPr>
            <w:tcW w:w="2961" w:type="dxa"/>
            <w:vAlign w:val="center"/>
          </w:tcPr>
          <w:p w14:paraId="002DF0A5">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资格审查不合格原因</w:t>
            </w:r>
          </w:p>
        </w:tc>
      </w:tr>
      <w:tr w14:paraId="318EFF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61C003FE">
            <w:pPr>
              <w:adjustRightInd w:val="0"/>
              <w:snapToGrid w:val="0"/>
              <w:spacing w:line="360" w:lineRule="auto"/>
              <w:rPr>
                <w:rFonts w:asciiTheme="minorEastAsia" w:hAnsiTheme="minorEastAsia" w:eastAsiaTheme="minorEastAsia"/>
                <w:kern w:val="0"/>
                <w:sz w:val="24"/>
              </w:rPr>
            </w:pPr>
          </w:p>
        </w:tc>
        <w:tc>
          <w:tcPr>
            <w:tcW w:w="2963" w:type="dxa"/>
          </w:tcPr>
          <w:p w14:paraId="39D434C5">
            <w:pPr>
              <w:adjustRightInd w:val="0"/>
              <w:snapToGrid w:val="0"/>
              <w:spacing w:line="360" w:lineRule="auto"/>
              <w:rPr>
                <w:rFonts w:asciiTheme="minorEastAsia" w:hAnsiTheme="minorEastAsia" w:eastAsiaTheme="minorEastAsia"/>
                <w:kern w:val="0"/>
                <w:sz w:val="24"/>
              </w:rPr>
            </w:pPr>
          </w:p>
        </w:tc>
        <w:tc>
          <w:tcPr>
            <w:tcW w:w="2439" w:type="dxa"/>
          </w:tcPr>
          <w:p w14:paraId="0868D808">
            <w:pPr>
              <w:adjustRightInd w:val="0"/>
              <w:snapToGrid w:val="0"/>
              <w:spacing w:line="360" w:lineRule="auto"/>
              <w:rPr>
                <w:rFonts w:asciiTheme="minorEastAsia" w:hAnsiTheme="minorEastAsia" w:eastAsiaTheme="minorEastAsia"/>
                <w:kern w:val="0"/>
                <w:sz w:val="24"/>
              </w:rPr>
            </w:pPr>
          </w:p>
        </w:tc>
        <w:tc>
          <w:tcPr>
            <w:tcW w:w="2961" w:type="dxa"/>
          </w:tcPr>
          <w:p w14:paraId="5F61021C">
            <w:pPr>
              <w:adjustRightInd w:val="0"/>
              <w:snapToGrid w:val="0"/>
              <w:spacing w:line="360" w:lineRule="auto"/>
              <w:rPr>
                <w:rFonts w:asciiTheme="minorEastAsia" w:hAnsiTheme="minorEastAsia" w:eastAsiaTheme="minorEastAsia"/>
                <w:kern w:val="0"/>
                <w:sz w:val="24"/>
              </w:rPr>
            </w:pPr>
          </w:p>
        </w:tc>
      </w:tr>
      <w:tr w14:paraId="3FAF0A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4D451146">
            <w:pPr>
              <w:adjustRightInd w:val="0"/>
              <w:snapToGrid w:val="0"/>
              <w:spacing w:line="360" w:lineRule="auto"/>
              <w:rPr>
                <w:rFonts w:asciiTheme="minorEastAsia" w:hAnsiTheme="minorEastAsia" w:eastAsiaTheme="minorEastAsia"/>
                <w:kern w:val="0"/>
                <w:sz w:val="24"/>
              </w:rPr>
            </w:pPr>
          </w:p>
        </w:tc>
        <w:tc>
          <w:tcPr>
            <w:tcW w:w="2963" w:type="dxa"/>
          </w:tcPr>
          <w:p w14:paraId="35C57248">
            <w:pPr>
              <w:adjustRightInd w:val="0"/>
              <w:snapToGrid w:val="0"/>
              <w:spacing w:line="360" w:lineRule="auto"/>
              <w:rPr>
                <w:rFonts w:asciiTheme="minorEastAsia" w:hAnsiTheme="minorEastAsia" w:eastAsiaTheme="minorEastAsia"/>
                <w:kern w:val="0"/>
                <w:sz w:val="24"/>
              </w:rPr>
            </w:pPr>
          </w:p>
        </w:tc>
        <w:tc>
          <w:tcPr>
            <w:tcW w:w="2439" w:type="dxa"/>
          </w:tcPr>
          <w:p w14:paraId="50179DB9">
            <w:pPr>
              <w:adjustRightInd w:val="0"/>
              <w:snapToGrid w:val="0"/>
              <w:spacing w:line="360" w:lineRule="auto"/>
              <w:rPr>
                <w:rFonts w:asciiTheme="minorEastAsia" w:hAnsiTheme="minorEastAsia" w:eastAsiaTheme="minorEastAsia"/>
                <w:kern w:val="0"/>
                <w:sz w:val="24"/>
              </w:rPr>
            </w:pPr>
          </w:p>
        </w:tc>
        <w:tc>
          <w:tcPr>
            <w:tcW w:w="2961" w:type="dxa"/>
          </w:tcPr>
          <w:p w14:paraId="1A7F7C3F">
            <w:pPr>
              <w:adjustRightInd w:val="0"/>
              <w:snapToGrid w:val="0"/>
              <w:spacing w:line="360" w:lineRule="auto"/>
              <w:rPr>
                <w:rFonts w:asciiTheme="minorEastAsia" w:hAnsiTheme="minorEastAsia" w:eastAsiaTheme="minorEastAsia"/>
                <w:kern w:val="0"/>
                <w:sz w:val="24"/>
              </w:rPr>
            </w:pPr>
          </w:p>
        </w:tc>
      </w:tr>
      <w:tr w14:paraId="677036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6CE8FA83">
            <w:pPr>
              <w:adjustRightInd w:val="0"/>
              <w:snapToGrid w:val="0"/>
              <w:spacing w:line="360" w:lineRule="auto"/>
              <w:rPr>
                <w:rFonts w:asciiTheme="minorEastAsia" w:hAnsiTheme="minorEastAsia" w:eastAsiaTheme="minorEastAsia"/>
                <w:kern w:val="0"/>
                <w:sz w:val="24"/>
              </w:rPr>
            </w:pPr>
          </w:p>
        </w:tc>
        <w:tc>
          <w:tcPr>
            <w:tcW w:w="2963" w:type="dxa"/>
          </w:tcPr>
          <w:p w14:paraId="6DAA4E36">
            <w:pPr>
              <w:adjustRightInd w:val="0"/>
              <w:snapToGrid w:val="0"/>
              <w:spacing w:line="360" w:lineRule="auto"/>
              <w:rPr>
                <w:rFonts w:asciiTheme="minorEastAsia" w:hAnsiTheme="minorEastAsia" w:eastAsiaTheme="minorEastAsia"/>
                <w:kern w:val="0"/>
                <w:sz w:val="24"/>
              </w:rPr>
            </w:pPr>
          </w:p>
        </w:tc>
        <w:tc>
          <w:tcPr>
            <w:tcW w:w="2439" w:type="dxa"/>
          </w:tcPr>
          <w:p w14:paraId="51B3AA8C">
            <w:pPr>
              <w:adjustRightInd w:val="0"/>
              <w:snapToGrid w:val="0"/>
              <w:spacing w:line="360" w:lineRule="auto"/>
              <w:rPr>
                <w:rFonts w:asciiTheme="minorEastAsia" w:hAnsiTheme="minorEastAsia" w:eastAsiaTheme="minorEastAsia"/>
                <w:kern w:val="0"/>
                <w:sz w:val="24"/>
              </w:rPr>
            </w:pPr>
          </w:p>
        </w:tc>
        <w:tc>
          <w:tcPr>
            <w:tcW w:w="2961" w:type="dxa"/>
          </w:tcPr>
          <w:p w14:paraId="5BB9A18C">
            <w:pPr>
              <w:adjustRightInd w:val="0"/>
              <w:snapToGrid w:val="0"/>
              <w:spacing w:line="360" w:lineRule="auto"/>
              <w:rPr>
                <w:rFonts w:asciiTheme="minorEastAsia" w:hAnsiTheme="minorEastAsia" w:eastAsiaTheme="minorEastAsia"/>
                <w:kern w:val="0"/>
                <w:sz w:val="24"/>
              </w:rPr>
            </w:pPr>
          </w:p>
        </w:tc>
      </w:tr>
      <w:tr w14:paraId="71C759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3D0C9B08">
            <w:pPr>
              <w:adjustRightInd w:val="0"/>
              <w:snapToGrid w:val="0"/>
              <w:spacing w:line="360" w:lineRule="auto"/>
              <w:rPr>
                <w:rFonts w:asciiTheme="minorEastAsia" w:hAnsiTheme="minorEastAsia" w:eastAsiaTheme="minorEastAsia"/>
                <w:kern w:val="0"/>
                <w:sz w:val="24"/>
              </w:rPr>
            </w:pPr>
          </w:p>
        </w:tc>
        <w:tc>
          <w:tcPr>
            <w:tcW w:w="2963" w:type="dxa"/>
          </w:tcPr>
          <w:p w14:paraId="0C56326D">
            <w:pPr>
              <w:adjustRightInd w:val="0"/>
              <w:snapToGrid w:val="0"/>
              <w:spacing w:line="360" w:lineRule="auto"/>
              <w:rPr>
                <w:rFonts w:asciiTheme="minorEastAsia" w:hAnsiTheme="minorEastAsia" w:eastAsiaTheme="minorEastAsia"/>
                <w:kern w:val="0"/>
                <w:sz w:val="24"/>
              </w:rPr>
            </w:pPr>
          </w:p>
        </w:tc>
        <w:tc>
          <w:tcPr>
            <w:tcW w:w="2439" w:type="dxa"/>
          </w:tcPr>
          <w:p w14:paraId="24710F46">
            <w:pPr>
              <w:adjustRightInd w:val="0"/>
              <w:snapToGrid w:val="0"/>
              <w:spacing w:line="360" w:lineRule="auto"/>
              <w:rPr>
                <w:rFonts w:asciiTheme="minorEastAsia" w:hAnsiTheme="minorEastAsia" w:eastAsiaTheme="minorEastAsia"/>
                <w:kern w:val="0"/>
                <w:sz w:val="24"/>
              </w:rPr>
            </w:pPr>
          </w:p>
        </w:tc>
        <w:tc>
          <w:tcPr>
            <w:tcW w:w="2961" w:type="dxa"/>
          </w:tcPr>
          <w:p w14:paraId="0C948A12">
            <w:pPr>
              <w:adjustRightInd w:val="0"/>
              <w:snapToGrid w:val="0"/>
              <w:spacing w:line="360" w:lineRule="auto"/>
              <w:rPr>
                <w:rFonts w:asciiTheme="minorEastAsia" w:hAnsiTheme="minorEastAsia" w:eastAsiaTheme="minorEastAsia"/>
                <w:kern w:val="0"/>
                <w:sz w:val="24"/>
              </w:rPr>
            </w:pPr>
          </w:p>
        </w:tc>
      </w:tr>
      <w:tr w14:paraId="16E94D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673C75C5">
            <w:pPr>
              <w:adjustRightInd w:val="0"/>
              <w:snapToGrid w:val="0"/>
              <w:spacing w:line="360" w:lineRule="auto"/>
              <w:rPr>
                <w:rFonts w:asciiTheme="minorEastAsia" w:hAnsiTheme="minorEastAsia" w:eastAsiaTheme="minorEastAsia"/>
                <w:kern w:val="0"/>
                <w:sz w:val="24"/>
              </w:rPr>
            </w:pPr>
          </w:p>
        </w:tc>
        <w:tc>
          <w:tcPr>
            <w:tcW w:w="2963" w:type="dxa"/>
          </w:tcPr>
          <w:p w14:paraId="16F90CC7">
            <w:pPr>
              <w:adjustRightInd w:val="0"/>
              <w:snapToGrid w:val="0"/>
              <w:spacing w:line="360" w:lineRule="auto"/>
              <w:rPr>
                <w:rFonts w:asciiTheme="minorEastAsia" w:hAnsiTheme="minorEastAsia" w:eastAsiaTheme="minorEastAsia"/>
                <w:kern w:val="0"/>
                <w:sz w:val="24"/>
              </w:rPr>
            </w:pPr>
          </w:p>
        </w:tc>
        <w:tc>
          <w:tcPr>
            <w:tcW w:w="2439" w:type="dxa"/>
          </w:tcPr>
          <w:p w14:paraId="1E3B5969">
            <w:pPr>
              <w:adjustRightInd w:val="0"/>
              <w:snapToGrid w:val="0"/>
              <w:spacing w:line="360" w:lineRule="auto"/>
              <w:rPr>
                <w:rFonts w:asciiTheme="minorEastAsia" w:hAnsiTheme="minorEastAsia" w:eastAsiaTheme="minorEastAsia"/>
                <w:kern w:val="0"/>
                <w:sz w:val="24"/>
              </w:rPr>
            </w:pPr>
          </w:p>
        </w:tc>
        <w:tc>
          <w:tcPr>
            <w:tcW w:w="2961" w:type="dxa"/>
          </w:tcPr>
          <w:p w14:paraId="62492822">
            <w:pPr>
              <w:adjustRightInd w:val="0"/>
              <w:snapToGrid w:val="0"/>
              <w:spacing w:line="360" w:lineRule="auto"/>
              <w:rPr>
                <w:rFonts w:asciiTheme="minorEastAsia" w:hAnsiTheme="minorEastAsia" w:eastAsiaTheme="minorEastAsia"/>
                <w:kern w:val="0"/>
                <w:sz w:val="24"/>
              </w:rPr>
            </w:pPr>
          </w:p>
        </w:tc>
      </w:tr>
      <w:tr w14:paraId="61FC90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5A2AA04C">
            <w:pPr>
              <w:adjustRightInd w:val="0"/>
              <w:snapToGrid w:val="0"/>
              <w:spacing w:line="360" w:lineRule="auto"/>
              <w:rPr>
                <w:rFonts w:asciiTheme="minorEastAsia" w:hAnsiTheme="minorEastAsia" w:eastAsiaTheme="minorEastAsia"/>
                <w:kern w:val="0"/>
                <w:sz w:val="24"/>
              </w:rPr>
            </w:pPr>
          </w:p>
        </w:tc>
        <w:tc>
          <w:tcPr>
            <w:tcW w:w="2963" w:type="dxa"/>
          </w:tcPr>
          <w:p w14:paraId="261D2615">
            <w:pPr>
              <w:adjustRightInd w:val="0"/>
              <w:snapToGrid w:val="0"/>
              <w:spacing w:line="360" w:lineRule="auto"/>
              <w:rPr>
                <w:rFonts w:asciiTheme="minorEastAsia" w:hAnsiTheme="minorEastAsia" w:eastAsiaTheme="minorEastAsia"/>
                <w:kern w:val="0"/>
                <w:sz w:val="24"/>
              </w:rPr>
            </w:pPr>
          </w:p>
        </w:tc>
        <w:tc>
          <w:tcPr>
            <w:tcW w:w="2439" w:type="dxa"/>
          </w:tcPr>
          <w:p w14:paraId="26781D8E">
            <w:pPr>
              <w:adjustRightInd w:val="0"/>
              <w:snapToGrid w:val="0"/>
              <w:spacing w:line="360" w:lineRule="auto"/>
              <w:rPr>
                <w:rFonts w:asciiTheme="minorEastAsia" w:hAnsiTheme="minorEastAsia" w:eastAsiaTheme="minorEastAsia"/>
                <w:kern w:val="0"/>
                <w:sz w:val="24"/>
              </w:rPr>
            </w:pPr>
          </w:p>
        </w:tc>
        <w:tc>
          <w:tcPr>
            <w:tcW w:w="2961" w:type="dxa"/>
          </w:tcPr>
          <w:p w14:paraId="14BF53BB">
            <w:pPr>
              <w:adjustRightInd w:val="0"/>
              <w:snapToGrid w:val="0"/>
              <w:spacing w:line="360" w:lineRule="auto"/>
              <w:rPr>
                <w:rFonts w:asciiTheme="minorEastAsia" w:hAnsiTheme="minorEastAsia" w:eastAsiaTheme="minorEastAsia"/>
                <w:kern w:val="0"/>
                <w:sz w:val="24"/>
              </w:rPr>
            </w:pPr>
          </w:p>
        </w:tc>
      </w:tr>
      <w:tr w14:paraId="445488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351469CE">
            <w:pPr>
              <w:adjustRightInd w:val="0"/>
              <w:snapToGrid w:val="0"/>
              <w:spacing w:line="360" w:lineRule="auto"/>
              <w:rPr>
                <w:rFonts w:asciiTheme="minorEastAsia" w:hAnsiTheme="minorEastAsia" w:eastAsiaTheme="minorEastAsia"/>
                <w:kern w:val="0"/>
                <w:sz w:val="24"/>
              </w:rPr>
            </w:pPr>
          </w:p>
        </w:tc>
        <w:tc>
          <w:tcPr>
            <w:tcW w:w="2963" w:type="dxa"/>
          </w:tcPr>
          <w:p w14:paraId="115E265C">
            <w:pPr>
              <w:adjustRightInd w:val="0"/>
              <w:snapToGrid w:val="0"/>
              <w:spacing w:line="360" w:lineRule="auto"/>
              <w:rPr>
                <w:rFonts w:asciiTheme="minorEastAsia" w:hAnsiTheme="minorEastAsia" w:eastAsiaTheme="minorEastAsia"/>
                <w:kern w:val="0"/>
                <w:sz w:val="24"/>
              </w:rPr>
            </w:pPr>
          </w:p>
        </w:tc>
        <w:tc>
          <w:tcPr>
            <w:tcW w:w="2439" w:type="dxa"/>
          </w:tcPr>
          <w:p w14:paraId="6800F0BF">
            <w:pPr>
              <w:adjustRightInd w:val="0"/>
              <w:snapToGrid w:val="0"/>
              <w:spacing w:line="360" w:lineRule="auto"/>
              <w:rPr>
                <w:rFonts w:asciiTheme="minorEastAsia" w:hAnsiTheme="minorEastAsia" w:eastAsiaTheme="minorEastAsia"/>
                <w:kern w:val="0"/>
                <w:sz w:val="24"/>
              </w:rPr>
            </w:pPr>
          </w:p>
        </w:tc>
        <w:tc>
          <w:tcPr>
            <w:tcW w:w="2961" w:type="dxa"/>
          </w:tcPr>
          <w:p w14:paraId="2C0C9AE4">
            <w:pPr>
              <w:adjustRightInd w:val="0"/>
              <w:snapToGrid w:val="0"/>
              <w:spacing w:line="360" w:lineRule="auto"/>
              <w:rPr>
                <w:rFonts w:asciiTheme="minorEastAsia" w:hAnsiTheme="minorEastAsia" w:eastAsiaTheme="minorEastAsia"/>
                <w:kern w:val="0"/>
                <w:sz w:val="24"/>
              </w:rPr>
            </w:pPr>
          </w:p>
        </w:tc>
      </w:tr>
      <w:tr w14:paraId="5444C2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238FE0FA">
            <w:pPr>
              <w:adjustRightInd w:val="0"/>
              <w:snapToGrid w:val="0"/>
              <w:spacing w:line="360" w:lineRule="auto"/>
              <w:rPr>
                <w:rFonts w:asciiTheme="minorEastAsia" w:hAnsiTheme="minorEastAsia" w:eastAsiaTheme="minorEastAsia"/>
                <w:kern w:val="0"/>
                <w:sz w:val="24"/>
              </w:rPr>
            </w:pPr>
          </w:p>
        </w:tc>
        <w:tc>
          <w:tcPr>
            <w:tcW w:w="2963" w:type="dxa"/>
          </w:tcPr>
          <w:p w14:paraId="5FF065B2">
            <w:pPr>
              <w:adjustRightInd w:val="0"/>
              <w:snapToGrid w:val="0"/>
              <w:spacing w:line="360" w:lineRule="auto"/>
              <w:rPr>
                <w:rFonts w:asciiTheme="minorEastAsia" w:hAnsiTheme="minorEastAsia" w:eastAsiaTheme="minorEastAsia"/>
                <w:kern w:val="0"/>
                <w:sz w:val="24"/>
              </w:rPr>
            </w:pPr>
          </w:p>
        </w:tc>
        <w:tc>
          <w:tcPr>
            <w:tcW w:w="2439" w:type="dxa"/>
          </w:tcPr>
          <w:p w14:paraId="7DD7FD9E">
            <w:pPr>
              <w:adjustRightInd w:val="0"/>
              <w:snapToGrid w:val="0"/>
              <w:spacing w:line="360" w:lineRule="auto"/>
              <w:rPr>
                <w:rFonts w:asciiTheme="minorEastAsia" w:hAnsiTheme="minorEastAsia" w:eastAsiaTheme="minorEastAsia"/>
                <w:kern w:val="0"/>
                <w:sz w:val="24"/>
              </w:rPr>
            </w:pPr>
          </w:p>
        </w:tc>
        <w:tc>
          <w:tcPr>
            <w:tcW w:w="2961" w:type="dxa"/>
          </w:tcPr>
          <w:p w14:paraId="5A6CCA8C">
            <w:pPr>
              <w:adjustRightInd w:val="0"/>
              <w:snapToGrid w:val="0"/>
              <w:spacing w:line="360" w:lineRule="auto"/>
              <w:rPr>
                <w:rFonts w:asciiTheme="minorEastAsia" w:hAnsiTheme="minorEastAsia" w:eastAsiaTheme="minorEastAsia"/>
                <w:kern w:val="0"/>
                <w:sz w:val="24"/>
              </w:rPr>
            </w:pPr>
          </w:p>
        </w:tc>
      </w:tr>
      <w:tr w14:paraId="19BCB5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75002851">
            <w:pPr>
              <w:adjustRightInd w:val="0"/>
              <w:snapToGrid w:val="0"/>
              <w:spacing w:line="360" w:lineRule="auto"/>
              <w:rPr>
                <w:rFonts w:asciiTheme="minorEastAsia" w:hAnsiTheme="minorEastAsia" w:eastAsiaTheme="minorEastAsia"/>
                <w:kern w:val="0"/>
                <w:sz w:val="24"/>
              </w:rPr>
            </w:pPr>
          </w:p>
        </w:tc>
        <w:tc>
          <w:tcPr>
            <w:tcW w:w="2963" w:type="dxa"/>
          </w:tcPr>
          <w:p w14:paraId="3F10D369">
            <w:pPr>
              <w:adjustRightInd w:val="0"/>
              <w:snapToGrid w:val="0"/>
              <w:spacing w:line="360" w:lineRule="auto"/>
              <w:rPr>
                <w:rFonts w:asciiTheme="minorEastAsia" w:hAnsiTheme="minorEastAsia" w:eastAsiaTheme="minorEastAsia"/>
                <w:kern w:val="0"/>
                <w:sz w:val="24"/>
              </w:rPr>
            </w:pPr>
          </w:p>
        </w:tc>
        <w:tc>
          <w:tcPr>
            <w:tcW w:w="2439" w:type="dxa"/>
          </w:tcPr>
          <w:p w14:paraId="45765BEB">
            <w:pPr>
              <w:adjustRightInd w:val="0"/>
              <w:snapToGrid w:val="0"/>
              <w:spacing w:line="360" w:lineRule="auto"/>
              <w:rPr>
                <w:rFonts w:asciiTheme="minorEastAsia" w:hAnsiTheme="minorEastAsia" w:eastAsiaTheme="minorEastAsia"/>
                <w:kern w:val="0"/>
                <w:sz w:val="24"/>
              </w:rPr>
            </w:pPr>
          </w:p>
        </w:tc>
        <w:tc>
          <w:tcPr>
            <w:tcW w:w="2961" w:type="dxa"/>
          </w:tcPr>
          <w:p w14:paraId="719FB65F">
            <w:pPr>
              <w:adjustRightInd w:val="0"/>
              <w:snapToGrid w:val="0"/>
              <w:spacing w:line="360" w:lineRule="auto"/>
              <w:rPr>
                <w:rFonts w:asciiTheme="minorEastAsia" w:hAnsiTheme="minorEastAsia" w:eastAsiaTheme="minorEastAsia"/>
                <w:kern w:val="0"/>
                <w:sz w:val="24"/>
              </w:rPr>
            </w:pPr>
          </w:p>
        </w:tc>
      </w:tr>
    </w:tbl>
    <w:p w14:paraId="5F1C6436">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采购人（签字）：</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p>
    <w:p w14:paraId="094F2CDD">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采购代理机构（签字）：</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p>
    <w:p w14:paraId="6D7F04B9">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14:paraId="571422C4">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05ABF413">
      <w:pPr>
        <w:pStyle w:val="5"/>
        <w:adjustRightInd w:val="0"/>
        <w:snapToGrid w:val="0"/>
        <w:spacing w:before="0" w:after="0" w:line="360" w:lineRule="auto"/>
        <w:rPr>
          <w:rFonts w:ascii="黑体" w:hAnsi="黑体"/>
          <w:b w:val="0"/>
          <w:sz w:val="21"/>
          <w:szCs w:val="21"/>
        </w:rPr>
      </w:pPr>
      <w:bookmarkStart w:id="62" w:name="_Toc6482"/>
      <w:bookmarkStart w:id="63" w:name="_Toc2261"/>
      <w:bookmarkStart w:id="64" w:name="_Toc20651212"/>
      <w:r>
        <w:rPr>
          <w:rFonts w:hint="eastAsia" w:ascii="黑体" w:hAnsi="黑体"/>
          <w:b w:val="0"/>
          <w:sz w:val="21"/>
          <w:szCs w:val="21"/>
        </w:rPr>
        <w:t>附表3 资格审查合格投标人名单</w:t>
      </w:r>
      <w:bookmarkEnd w:id="62"/>
      <w:bookmarkEnd w:id="63"/>
      <w:bookmarkEnd w:id="64"/>
    </w:p>
    <w:p w14:paraId="6BBE8E5B">
      <w:pPr>
        <w:adjustRightInd w:val="0"/>
        <w:snapToGrid w:val="0"/>
        <w:spacing w:line="360" w:lineRule="auto"/>
        <w:jc w:val="center"/>
        <w:rPr>
          <w:rFonts w:ascii="黑体" w:hAnsi="黑体" w:eastAsia="黑体"/>
          <w:b/>
          <w:sz w:val="28"/>
          <w:szCs w:val="28"/>
        </w:rPr>
      </w:pPr>
      <w:r>
        <w:rPr>
          <w:rFonts w:hint="eastAsia" w:ascii="黑体" w:hAnsi="黑体" w:eastAsia="黑体"/>
          <w:b/>
          <w:sz w:val="28"/>
          <w:szCs w:val="28"/>
        </w:rPr>
        <w:t>资格审查合格投标人名单</w:t>
      </w:r>
    </w:p>
    <w:p w14:paraId="17A190B4">
      <w:pPr>
        <w:adjustRightInd w:val="0"/>
        <w:snapToGrid w:val="0"/>
        <w:spacing w:line="360" w:lineRule="auto"/>
        <w:rPr>
          <w:rFonts w:ascii="华文中宋" w:hAnsi="华文中宋" w:eastAsia="华文中宋"/>
          <w:sz w:val="32"/>
          <w:szCs w:val="32"/>
        </w:rPr>
      </w:pPr>
      <w:r>
        <w:rPr>
          <w:rFonts w:hint="eastAsia" w:asciiTheme="minorEastAsia" w:hAnsiTheme="minorEastAsia" w:eastAsiaTheme="minorEastAsia"/>
          <w:szCs w:val="21"/>
        </w:rPr>
        <w:t>项目名称：</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采购代理编号：</w:t>
      </w:r>
      <w:r>
        <w:rPr>
          <w:rFonts w:hint="eastAsia" w:asciiTheme="minorEastAsia" w:hAnsiTheme="minorEastAsia" w:eastAsiaTheme="minorEastAsia"/>
          <w:szCs w:val="21"/>
          <w:u w:val="single"/>
        </w:rPr>
        <w:t xml:space="preserve">           </w:t>
      </w:r>
    </w:p>
    <w:tbl>
      <w:tblPr>
        <w:tblStyle w:val="44"/>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3"/>
        <w:gridCol w:w="7796"/>
      </w:tblGrid>
      <w:tr w14:paraId="2D2A55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vAlign w:val="center"/>
          </w:tcPr>
          <w:p w14:paraId="793C5918">
            <w:pPr>
              <w:jc w:val="center"/>
              <w:rPr>
                <w:b/>
                <w:kern w:val="0"/>
                <w:szCs w:val="21"/>
              </w:rPr>
            </w:pPr>
            <w:r>
              <w:rPr>
                <w:rFonts w:hint="eastAsia"/>
                <w:b/>
                <w:kern w:val="0"/>
                <w:szCs w:val="21"/>
              </w:rPr>
              <w:t>序号</w:t>
            </w:r>
          </w:p>
        </w:tc>
        <w:tc>
          <w:tcPr>
            <w:tcW w:w="7796" w:type="dxa"/>
            <w:vAlign w:val="center"/>
          </w:tcPr>
          <w:p w14:paraId="7AA6EBAF">
            <w:pPr>
              <w:jc w:val="center"/>
              <w:rPr>
                <w:b/>
                <w:kern w:val="0"/>
                <w:szCs w:val="21"/>
              </w:rPr>
            </w:pPr>
            <w:r>
              <w:rPr>
                <w:rFonts w:hint="eastAsia"/>
                <w:b/>
                <w:kern w:val="0"/>
                <w:szCs w:val="21"/>
              </w:rPr>
              <w:t>合格投标人名称</w:t>
            </w:r>
          </w:p>
        </w:tc>
      </w:tr>
      <w:tr w14:paraId="64CCB0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14:paraId="6C9889D5">
            <w:pPr>
              <w:adjustRightInd w:val="0"/>
              <w:snapToGrid w:val="0"/>
              <w:spacing w:line="360" w:lineRule="auto"/>
              <w:rPr>
                <w:rFonts w:asciiTheme="minorEastAsia" w:hAnsiTheme="minorEastAsia" w:eastAsiaTheme="minorEastAsia"/>
                <w:kern w:val="0"/>
                <w:szCs w:val="21"/>
              </w:rPr>
            </w:pPr>
          </w:p>
        </w:tc>
        <w:tc>
          <w:tcPr>
            <w:tcW w:w="7796" w:type="dxa"/>
          </w:tcPr>
          <w:p w14:paraId="59119C29">
            <w:pPr>
              <w:adjustRightInd w:val="0"/>
              <w:snapToGrid w:val="0"/>
              <w:spacing w:line="360" w:lineRule="auto"/>
              <w:rPr>
                <w:rFonts w:asciiTheme="minorEastAsia" w:hAnsiTheme="minorEastAsia" w:eastAsiaTheme="minorEastAsia"/>
                <w:kern w:val="0"/>
                <w:szCs w:val="21"/>
              </w:rPr>
            </w:pPr>
          </w:p>
        </w:tc>
      </w:tr>
      <w:tr w14:paraId="707220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14:paraId="154E7CFE">
            <w:pPr>
              <w:adjustRightInd w:val="0"/>
              <w:snapToGrid w:val="0"/>
              <w:spacing w:line="360" w:lineRule="auto"/>
              <w:rPr>
                <w:rFonts w:asciiTheme="minorEastAsia" w:hAnsiTheme="minorEastAsia" w:eastAsiaTheme="minorEastAsia"/>
                <w:kern w:val="0"/>
                <w:sz w:val="24"/>
              </w:rPr>
            </w:pPr>
          </w:p>
        </w:tc>
        <w:tc>
          <w:tcPr>
            <w:tcW w:w="7796" w:type="dxa"/>
          </w:tcPr>
          <w:p w14:paraId="54733DD9">
            <w:pPr>
              <w:adjustRightInd w:val="0"/>
              <w:snapToGrid w:val="0"/>
              <w:spacing w:line="360" w:lineRule="auto"/>
              <w:rPr>
                <w:rFonts w:asciiTheme="minorEastAsia" w:hAnsiTheme="minorEastAsia" w:eastAsiaTheme="minorEastAsia"/>
                <w:kern w:val="0"/>
                <w:sz w:val="24"/>
              </w:rPr>
            </w:pPr>
          </w:p>
        </w:tc>
      </w:tr>
      <w:tr w14:paraId="34A24B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14:paraId="12D6F8BF">
            <w:pPr>
              <w:adjustRightInd w:val="0"/>
              <w:snapToGrid w:val="0"/>
              <w:spacing w:line="360" w:lineRule="auto"/>
              <w:rPr>
                <w:rFonts w:asciiTheme="minorEastAsia" w:hAnsiTheme="minorEastAsia" w:eastAsiaTheme="minorEastAsia"/>
                <w:kern w:val="0"/>
                <w:sz w:val="24"/>
              </w:rPr>
            </w:pPr>
          </w:p>
        </w:tc>
        <w:tc>
          <w:tcPr>
            <w:tcW w:w="7796" w:type="dxa"/>
          </w:tcPr>
          <w:p w14:paraId="0F790AE3">
            <w:pPr>
              <w:adjustRightInd w:val="0"/>
              <w:snapToGrid w:val="0"/>
              <w:spacing w:line="360" w:lineRule="auto"/>
              <w:rPr>
                <w:rFonts w:asciiTheme="minorEastAsia" w:hAnsiTheme="minorEastAsia" w:eastAsiaTheme="minorEastAsia"/>
                <w:kern w:val="0"/>
                <w:sz w:val="24"/>
              </w:rPr>
            </w:pPr>
          </w:p>
        </w:tc>
      </w:tr>
      <w:tr w14:paraId="032C2A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14:paraId="09050FBB">
            <w:pPr>
              <w:adjustRightInd w:val="0"/>
              <w:snapToGrid w:val="0"/>
              <w:spacing w:line="360" w:lineRule="auto"/>
              <w:rPr>
                <w:rFonts w:asciiTheme="minorEastAsia" w:hAnsiTheme="minorEastAsia" w:eastAsiaTheme="minorEastAsia"/>
                <w:kern w:val="0"/>
                <w:sz w:val="24"/>
              </w:rPr>
            </w:pPr>
          </w:p>
        </w:tc>
        <w:tc>
          <w:tcPr>
            <w:tcW w:w="7796" w:type="dxa"/>
          </w:tcPr>
          <w:p w14:paraId="0D92C4A0">
            <w:pPr>
              <w:adjustRightInd w:val="0"/>
              <w:snapToGrid w:val="0"/>
              <w:spacing w:line="360" w:lineRule="auto"/>
              <w:rPr>
                <w:rFonts w:asciiTheme="minorEastAsia" w:hAnsiTheme="minorEastAsia" w:eastAsiaTheme="minorEastAsia"/>
                <w:kern w:val="0"/>
                <w:sz w:val="24"/>
              </w:rPr>
            </w:pPr>
          </w:p>
        </w:tc>
      </w:tr>
      <w:tr w14:paraId="4316C7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14:paraId="0B85D718">
            <w:pPr>
              <w:adjustRightInd w:val="0"/>
              <w:snapToGrid w:val="0"/>
              <w:spacing w:line="360" w:lineRule="auto"/>
              <w:rPr>
                <w:rFonts w:asciiTheme="minorEastAsia" w:hAnsiTheme="minorEastAsia" w:eastAsiaTheme="minorEastAsia"/>
                <w:kern w:val="0"/>
                <w:sz w:val="24"/>
              </w:rPr>
            </w:pPr>
          </w:p>
        </w:tc>
        <w:tc>
          <w:tcPr>
            <w:tcW w:w="7796" w:type="dxa"/>
          </w:tcPr>
          <w:p w14:paraId="1D7F9745">
            <w:pPr>
              <w:adjustRightInd w:val="0"/>
              <w:snapToGrid w:val="0"/>
              <w:spacing w:line="360" w:lineRule="auto"/>
              <w:rPr>
                <w:rFonts w:asciiTheme="minorEastAsia" w:hAnsiTheme="minorEastAsia" w:eastAsiaTheme="minorEastAsia"/>
                <w:kern w:val="0"/>
                <w:sz w:val="24"/>
              </w:rPr>
            </w:pPr>
          </w:p>
        </w:tc>
      </w:tr>
      <w:tr w14:paraId="192A94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14:paraId="5C63A9D6">
            <w:pPr>
              <w:adjustRightInd w:val="0"/>
              <w:snapToGrid w:val="0"/>
              <w:spacing w:line="360" w:lineRule="auto"/>
              <w:rPr>
                <w:rFonts w:asciiTheme="minorEastAsia" w:hAnsiTheme="minorEastAsia" w:eastAsiaTheme="minorEastAsia"/>
                <w:kern w:val="0"/>
                <w:sz w:val="24"/>
              </w:rPr>
            </w:pPr>
          </w:p>
        </w:tc>
        <w:tc>
          <w:tcPr>
            <w:tcW w:w="7796" w:type="dxa"/>
          </w:tcPr>
          <w:p w14:paraId="645D003D">
            <w:pPr>
              <w:adjustRightInd w:val="0"/>
              <w:snapToGrid w:val="0"/>
              <w:spacing w:line="360" w:lineRule="auto"/>
              <w:rPr>
                <w:rFonts w:asciiTheme="minorEastAsia" w:hAnsiTheme="minorEastAsia" w:eastAsiaTheme="minorEastAsia"/>
                <w:kern w:val="0"/>
                <w:sz w:val="24"/>
              </w:rPr>
            </w:pPr>
          </w:p>
        </w:tc>
      </w:tr>
    </w:tbl>
    <w:p w14:paraId="5EDADBC7">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采购人（签字）：</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p>
    <w:p w14:paraId="009F054A">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采购代理机构（签字）：</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p>
    <w:p w14:paraId="3C1FC7FF">
      <w:pPr>
        <w:rPr>
          <w:rFonts w:hint="eastAsia"/>
        </w:rPr>
      </w:pPr>
      <w:r>
        <w:rPr>
          <w:rFonts w:hint="eastAsia"/>
        </w:rPr>
        <w:t>日期：       年   月   日</w:t>
      </w:r>
    </w:p>
    <w:p w14:paraId="087F388C">
      <w:pPr>
        <w:pStyle w:val="23"/>
        <w:adjustRightInd w:val="0"/>
        <w:snapToGrid w:val="0"/>
        <w:spacing w:line="360" w:lineRule="auto"/>
        <w:jc w:val="center"/>
        <w:outlineLvl w:val="0"/>
        <w:rPr>
          <w:rFonts w:ascii="黑体" w:hAnsi="华文中宋" w:eastAsia="黑体"/>
          <w:b/>
          <w:sz w:val="28"/>
          <w:szCs w:val="28"/>
        </w:rPr>
      </w:pPr>
      <w:r>
        <w:rPr>
          <w:rFonts w:hAnsi="宋体"/>
        </w:rPr>
        <w:br w:type="page"/>
      </w:r>
      <w:bookmarkStart w:id="65" w:name="_Toc15313"/>
      <w:bookmarkStart w:id="66" w:name="_Toc6136"/>
      <w:bookmarkStart w:id="67" w:name="_Toc27858"/>
      <w:r>
        <w:rPr>
          <w:rFonts w:hint="eastAsia" w:ascii="黑体" w:hAnsi="华文中宋" w:eastAsia="黑体"/>
          <w:b/>
          <w:sz w:val="32"/>
          <w:szCs w:val="32"/>
        </w:rPr>
        <w:t>第四章 评标方法及标准（综合评分法）</w:t>
      </w:r>
      <w:bookmarkEnd w:id="58"/>
      <w:bookmarkEnd w:id="65"/>
      <w:bookmarkEnd w:id="66"/>
      <w:bookmarkEnd w:id="67"/>
    </w:p>
    <w:p w14:paraId="641B6753">
      <w:pPr>
        <w:pStyle w:val="3"/>
        <w:adjustRightInd w:val="0"/>
        <w:snapToGrid w:val="0"/>
        <w:jc w:val="center"/>
        <w:rPr>
          <w:rFonts w:ascii="黑体" w:hAnsi="华文中宋" w:eastAsia="黑体"/>
          <w:sz w:val="28"/>
          <w:szCs w:val="28"/>
        </w:rPr>
      </w:pPr>
      <w:bookmarkStart w:id="68" w:name="_Toc18001"/>
      <w:bookmarkStart w:id="69" w:name="_Toc27055"/>
      <w:bookmarkStart w:id="70" w:name="_Toc29913911"/>
      <w:bookmarkStart w:id="71" w:name="_Toc12901"/>
      <w:r>
        <w:rPr>
          <w:rFonts w:hint="eastAsia" w:ascii="黑体" w:hAnsi="华文中宋" w:eastAsia="黑体"/>
          <w:sz w:val="28"/>
          <w:szCs w:val="28"/>
        </w:rPr>
        <w:t>第一节 评标方法及标准前附表</w:t>
      </w:r>
      <w:bookmarkEnd w:id="68"/>
      <w:bookmarkEnd w:id="69"/>
      <w:bookmarkEnd w:id="70"/>
      <w:bookmarkEnd w:id="71"/>
    </w:p>
    <w:tbl>
      <w:tblPr>
        <w:tblStyle w:val="43"/>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0"/>
        <w:gridCol w:w="2271"/>
        <w:gridCol w:w="4818"/>
      </w:tblGrid>
      <w:tr w14:paraId="48040E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0" w:type="dxa"/>
            <w:tcBorders>
              <w:top w:val="single" w:color="BC7F14" w:sz="4" w:space="0"/>
              <w:left w:val="single" w:color="BC7F14" w:sz="4" w:space="0"/>
              <w:bottom w:val="single" w:color="BC7F14" w:sz="6" w:space="0"/>
              <w:right w:val="dotted" w:color="auto" w:sz="6" w:space="0"/>
            </w:tcBorders>
            <w:shd w:val="clear" w:color="auto" w:fill="EABD6A"/>
          </w:tcPr>
          <w:p w14:paraId="14F4BF43">
            <w:pPr>
              <w:adjustRightInd w:val="0"/>
              <w:snapToGrid w:val="0"/>
              <w:spacing w:before="156" w:beforeLines="50" w:line="360" w:lineRule="auto"/>
              <w:jc w:val="center"/>
              <w:rPr>
                <w:b/>
                <w:color w:val="000000"/>
              </w:rPr>
            </w:pPr>
            <w:r>
              <w:rPr>
                <w:rFonts w:hint="eastAsia"/>
                <w:b/>
                <w:color w:val="000000"/>
              </w:rPr>
              <w:t>条款号</w:t>
            </w:r>
          </w:p>
        </w:tc>
        <w:tc>
          <w:tcPr>
            <w:tcW w:w="2271" w:type="dxa"/>
            <w:tcBorders>
              <w:top w:val="single" w:color="BC7F14" w:sz="4" w:space="0"/>
              <w:left w:val="dotted" w:color="auto" w:sz="6" w:space="0"/>
              <w:bottom w:val="single" w:color="BC7F14" w:sz="6" w:space="0"/>
              <w:right w:val="dotted" w:color="auto" w:sz="6" w:space="0"/>
            </w:tcBorders>
            <w:shd w:val="clear" w:color="auto" w:fill="EABD6A"/>
          </w:tcPr>
          <w:p w14:paraId="46BFB3DA">
            <w:pPr>
              <w:adjustRightInd w:val="0"/>
              <w:snapToGrid w:val="0"/>
              <w:spacing w:before="156" w:beforeLines="50" w:line="360" w:lineRule="auto"/>
              <w:jc w:val="center"/>
              <w:rPr>
                <w:b/>
                <w:color w:val="000000"/>
              </w:rPr>
            </w:pPr>
            <w:r>
              <w:rPr>
                <w:rFonts w:hint="eastAsia"/>
                <w:b/>
                <w:color w:val="000000"/>
              </w:rPr>
              <w:t>条款名称</w:t>
            </w:r>
          </w:p>
        </w:tc>
        <w:tc>
          <w:tcPr>
            <w:tcW w:w="4818" w:type="dxa"/>
            <w:tcBorders>
              <w:top w:val="single" w:color="BC7F14" w:sz="4" w:space="0"/>
              <w:left w:val="dotted" w:color="auto" w:sz="6" w:space="0"/>
              <w:bottom w:val="single" w:color="BC7F14" w:sz="6" w:space="0"/>
              <w:right w:val="single" w:color="BC7F14" w:sz="4" w:space="0"/>
            </w:tcBorders>
            <w:shd w:val="clear" w:color="auto" w:fill="EABD6A"/>
          </w:tcPr>
          <w:p w14:paraId="373DD725">
            <w:pPr>
              <w:adjustRightInd w:val="0"/>
              <w:snapToGrid w:val="0"/>
              <w:spacing w:before="156" w:beforeLines="50" w:line="360" w:lineRule="auto"/>
              <w:jc w:val="center"/>
              <w:rPr>
                <w:b/>
                <w:color w:val="000000"/>
              </w:rPr>
            </w:pPr>
            <w:r>
              <w:rPr>
                <w:rFonts w:hint="eastAsia"/>
                <w:b/>
                <w:color w:val="000000"/>
              </w:rPr>
              <w:t>编列内容规定</w:t>
            </w:r>
          </w:p>
        </w:tc>
      </w:tr>
      <w:tr w14:paraId="1313F9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0" w:type="dxa"/>
            <w:tcBorders>
              <w:top w:val="single" w:color="BC7F14" w:sz="6" w:space="0"/>
              <w:left w:val="single" w:color="BC7F14" w:sz="4" w:space="0"/>
              <w:bottom w:val="dotted" w:color="auto" w:sz="6" w:space="0"/>
              <w:right w:val="dotted" w:color="auto" w:sz="6" w:space="0"/>
            </w:tcBorders>
            <w:shd w:val="clear" w:color="auto" w:fill="EABD6A"/>
            <w:vAlign w:val="center"/>
          </w:tcPr>
          <w:p w14:paraId="6C2B8F9A">
            <w:pPr>
              <w:adjustRightInd w:val="0"/>
              <w:snapToGrid w:val="0"/>
              <w:spacing w:before="156" w:beforeLines="50" w:line="360" w:lineRule="auto"/>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第1.3</w:t>
            </w:r>
            <w:r>
              <w:rPr>
                <w:rFonts w:hint="eastAsia" w:cs="宋体" w:asciiTheme="minorEastAsia" w:hAnsiTheme="minorEastAsia" w:eastAsiaTheme="minorEastAsia"/>
                <w:color w:val="000000"/>
                <w:kern w:val="0"/>
                <w:szCs w:val="21"/>
                <w:lang w:val="zh-CN"/>
              </w:rPr>
              <w:t>款</w:t>
            </w:r>
          </w:p>
        </w:tc>
        <w:tc>
          <w:tcPr>
            <w:tcW w:w="2271" w:type="dxa"/>
            <w:tcBorders>
              <w:top w:val="single" w:color="BC7F14" w:sz="6" w:space="0"/>
              <w:left w:val="dotted" w:color="auto" w:sz="6" w:space="0"/>
              <w:bottom w:val="dotted" w:color="auto" w:sz="6" w:space="0"/>
              <w:right w:val="dotted" w:color="auto" w:sz="6" w:space="0"/>
            </w:tcBorders>
            <w:shd w:val="clear" w:color="auto" w:fill="F7E6CA"/>
            <w:vAlign w:val="center"/>
          </w:tcPr>
          <w:p w14:paraId="6D4EA9CA">
            <w:pPr>
              <w:adjustRightInd w:val="0"/>
              <w:snapToGrid w:val="0"/>
              <w:spacing w:before="156" w:beforeLines="50" w:line="360" w:lineRule="auto"/>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评标方法</w:t>
            </w:r>
          </w:p>
        </w:tc>
        <w:tc>
          <w:tcPr>
            <w:tcW w:w="4818" w:type="dxa"/>
            <w:tcBorders>
              <w:top w:val="single" w:color="BC7F14" w:sz="6" w:space="0"/>
              <w:left w:val="dotted" w:color="auto" w:sz="6" w:space="0"/>
              <w:bottom w:val="dotted" w:color="auto" w:sz="6" w:space="0"/>
              <w:right w:val="single" w:color="BC7F14" w:sz="4" w:space="0"/>
            </w:tcBorders>
            <w:shd w:val="clear" w:color="auto" w:fill="FCF5E9"/>
            <w:vAlign w:val="center"/>
          </w:tcPr>
          <w:p w14:paraId="4F60A674">
            <w:pPr>
              <w:adjustRightInd w:val="0"/>
              <w:snapToGrid w:val="0"/>
              <w:spacing w:before="156" w:beforeLines="50" w:line="36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综合评分法</w:t>
            </w:r>
          </w:p>
        </w:tc>
      </w:tr>
      <w:tr w14:paraId="5641E2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0" w:type="dxa"/>
            <w:tcBorders>
              <w:top w:val="dotted" w:color="auto" w:sz="6" w:space="0"/>
              <w:left w:val="single" w:color="BC7F14" w:sz="4" w:space="0"/>
              <w:bottom w:val="dotted" w:color="auto" w:sz="6" w:space="0"/>
              <w:right w:val="dotted" w:color="auto" w:sz="6" w:space="0"/>
            </w:tcBorders>
            <w:shd w:val="clear" w:color="auto" w:fill="EABD6A"/>
            <w:vAlign w:val="center"/>
          </w:tcPr>
          <w:p w14:paraId="1626B935">
            <w:pPr>
              <w:adjustRightInd w:val="0"/>
              <w:snapToGrid w:val="0"/>
              <w:spacing w:before="156" w:beforeLines="50" w:line="360" w:lineRule="auto"/>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第3.4</w:t>
            </w:r>
            <w:r>
              <w:rPr>
                <w:rFonts w:hint="eastAsia" w:cs="宋体" w:asciiTheme="minorEastAsia" w:hAnsiTheme="minorEastAsia" w:eastAsiaTheme="minorEastAsia"/>
                <w:color w:val="000000"/>
                <w:kern w:val="0"/>
                <w:szCs w:val="21"/>
                <w:lang w:val="zh-CN"/>
              </w:rPr>
              <w:t>款</w:t>
            </w:r>
          </w:p>
        </w:tc>
        <w:tc>
          <w:tcPr>
            <w:tcW w:w="2271" w:type="dxa"/>
            <w:tcBorders>
              <w:top w:val="dotted" w:color="auto" w:sz="6" w:space="0"/>
              <w:left w:val="dotted" w:color="auto" w:sz="6" w:space="0"/>
              <w:bottom w:val="dotted" w:color="auto" w:sz="6" w:space="0"/>
              <w:right w:val="dotted" w:color="auto" w:sz="6" w:space="0"/>
            </w:tcBorders>
            <w:shd w:val="clear" w:color="auto" w:fill="F7E6CA"/>
            <w:vAlign w:val="center"/>
          </w:tcPr>
          <w:p w14:paraId="2E955F9C">
            <w:pPr>
              <w:adjustRightInd w:val="0"/>
              <w:snapToGrid w:val="0"/>
              <w:spacing w:before="156" w:beforeLines="50" w:line="360" w:lineRule="auto"/>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服务中配套货物非单一产品采购项目的核心产品</w:t>
            </w:r>
          </w:p>
        </w:tc>
        <w:tc>
          <w:tcPr>
            <w:tcW w:w="4818" w:type="dxa"/>
            <w:tcBorders>
              <w:top w:val="dotted" w:color="auto" w:sz="6" w:space="0"/>
              <w:left w:val="dotted" w:color="auto" w:sz="6" w:space="0"/>
              <w:bottom w:val="dotted" w:color="auto" w:sz="6" w:space="0"/>
              <w:right w:val="single" w:color="BC7F14" w:sz="4" w:space="0"/>
            </w:tcBorders>
            <w:shd w:val="clear" w:color="auto" w:fill="FFFFFF"/>
            <w:vAlign w:val="center"/>
          </w:tcPr>
          <w:p w14:paraId="36E15D93">
            <w:pPr>
              <w:adjustRightInd w:val="0"/>
              <w:snapToGrid w:val="0"/>
              <w:spacing w:line="360" w:lineRule="auto"/>
              <w:rPr>
                <w:rFonts w:asciiTheme="minorEastAsia" w:hAnsiTheme="minorEastAsia" w:eastAsiaTheme="minorEastAsia"/>
                <w:color w:val="000000"/>
                <w:szCs w:val="21"/>
                <w:u w:val="single"/>
              </w:rPr>
            </w:pPr>
            <w:r>
              <w:rPr>
                <w:rFonts w:hint="eastAsia" w:ascii="宋体" w:hAnsi="宋体"/>
                <w:color w:val="000000"/>
              </w:rPr>
              <w:t>核心产品为：</w:t>
            </w:r>
            <w:r>
              <w:rPr>
                <w:rFonts w:hint="eastAsia" w:ascii="宋体" w:hAnsi="宋体" w:cs="Times New Roman"/>
                <w:color w:val="000000"/>
                <w:szCs w:val="24"/>
                <w:u w:val="single"/>
                <w:lang w:eastAsia="zh-CN"/>
              </w:rPr>
              <w:t>／</w:t>
            </w:r>
            <w:r>
              <w:rPr>
                <w:rFonts w:hint="eastAsia" w:ascii="宋体" w:hAnsi="宋体"/>
                <w:color w:val="000000"/>
              </w:rPr>
              <w:t>。</w:t>
            </w:r>
            <w:r>
              <w:rPr>
                <w:rFonts w:hint="eastAsia" w:ascii="宋体" w:hAnsi="宋体" w:cs="宋体"/>
                <w:color w:val="000000"/>
                <w:kern w:val="0"/>
              </w:rPr>
              <w:t>（提示：根据采购项目技术构成、产品价格比重等合理确定具体产品为核心产品）</w:t>
            </w:r>
          </w:p>
        </w:tc>
      </w:tr>
      <w:tr w14:paraId="5D703E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0" w:type="dxa"/>
            <w:tcBorders>
              <w:top w:val="dotted" w:color="auto" w:sz="6" w:space="0"/>
              <w:left w:val="single" w:color="BC7F14" w:sz="4" w:space="0"/>
              <w:bottom w:val="dotted" w:color="auto" w:sz="6" w:space="0"/>
              <w:right w:val="dotted" w:color="auto" w:sz="6" w:space="0"/>
            </w:tcBorders>
            <w:shd w:val="clear" w:color="auto" w:fill="EABD6A"/>
            <w:vAlign w:val="center"/>
          </w:tcPr>
          <w:p w14:paraId="362ACBD6">
            <w:pPr>
              <w:adjustRightInd w:val="0"/>
              <w:snapToGrid w:val="0"/>
              <w:spacing w:before="156" w:beforeLines="50" w:line="360" w:lineRule="auto"/>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第4.2</w:t>
            </w:r>
            <w:r>
              <w:rPr>
                <w:rFonts w:hint="eastAsia" w:cs="宋体" w:asciiTheme="minorEastAsia" w:hAnsiTheme="minorEastAsia" w:eastAsiaTheme="minorEastAsia"/>
                <w:color w:val="000000"/>
                <w:kern w:val="0"/>
                <w:szCs w:val="21"/>
                <w:lang w:val="zh-CN"/>
              </w:rPr>
              <w:t>款</w:t>
            </w:r>
          </w:p>
        </w:tc>
        <w:tc>
          <w:tcPr>
            <w:tcW w:w="2271" w:type="dxa"/>
            <w:tcBorders>
              <w:top w:val="dotted" w:color="auto" w:sz="6" w:space="0"/>
              <w:left w:val="dotted" w:color="auto" w:sz="6" w:space="0"/>
              <w:bottom w:val="dotted" w:color="auto" w:sz="6" w:space="0"/>
              <w:right w:val="dotted" w:color="auto" w:sz="6" w:space="0"/>
            </w:tcBorders>
            <w:shd w:val="clear" w:color="auto" w:fill="F7E6CA"/>
            <w:vAlign w:val="center"/>
          </w:tcPr>
          <w:p w14:paraId="024FB6BA">
            <w:pPr>
              <w:adjustRightInd w:val="0"/>
              <w:snapToGrid w:val="0"/>
              <w:spacing w:before="156" w:beforeLines="50" w:line="360" w:lineRule="auto"/>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投标文件报价出现前后不一致的修正</w:t>
            </w:r>
          </w:p>
        </w:tc>
        <w:tc>
          <w:tcPr>
            <w:tcW w:w="4818" w:type="dxa"/>
            <w:tcBorders>
              <w:top w:val="dotted" w:color="auto" w:sz="6" w:space="0"/>
              <w:left w:val="dotted" w:color="auto" w:sz="6" w:space="0"/>
              <w:bottom w:val="dotted" w:color="auto" w:sz="6" w:space="0"/>
              <w:right w:val="single" w:color="BC7F14" w:sz="4" w:space="0"/>
            </w:tcBorders>
            <w:shd w:val="clear" w:color="auto" w:fill="FCF5E9"/>
            <w:vAlign w:val="center"/>
          </w:tcPr>
          <w:p w14:paraId="7AADF5CC">
            <w:pPr>
              <w:adjustRightInd w:val="0"/>
              <w:snapToGrid w:val="0"/>
              <w:spacing w:line="42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1、投标文件中开标一览表内容与投标文件中相应</w:t>
            </w:r>
          </w:p>
          <w:p w14:paraId="16F87812">
            <w:pPr>
              <w:adjustRightInd w:val="0"/>
              <w:snapToGrid w:val="0"/>
              <w:spacing w:line="42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内容不一致的，以开标一览表为准；</w:t>
            </w:r>
          </w:p>
          <w:p w14:paraId="311538A0">
            <w:pPr>
              <w:adjustRightInd w:val="0"/>
              <w:snapToGrid w:val="0"/>
              <w:spacing w:line="42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2、大写金额和小写金额不一致的，以大写金额为</w:t>
            </w:r>
          </w:p>
          <w:p w14:paraId="579FBFDE">
            <w:pPr>
              <w:adjustRightInd w:val="0"/>
              <w:snapToGrid w:val="0"/>
              <w:spacing w:line="42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准；</w:t>
            </w:r>
          </w:p>
          <w:p w14:paraId="4F65D9C4">
            <w:pPr>
              <w:adjustRightInd w:val="0"/>
              <w:snapToGrid w:val="0"/>
              <w:spacing w:line="42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3、单价金额小数点或者百分比有明显错位的，以</w:t>
            </w:r>
          </w:p>
          <w:p w14:paraId="6C61445C">
            <w:pPr>
              <w:adjustRightInd w:val="0"/>
              <w:snapToGrid w:val="0"/>
              <w:spacing w:line="42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开标一览表的总价为准，并修改单价；</w:t>
            </w:r>
          </w:p>
          <w:p w14:paraId="2B1100E3">
            <w:pPr>
              <w:adjustRightInd w:val="0"/>
              <w:snapToGrid w:val="0"/>
              <w:spacing w:line="42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4、总价金额与按单价汇总金额不一致的，以单价</w:t>
            </w:r>
          </w:p>
          <w:p w14:paraId="4BC83E51">
            <w:pPr>
              <w:adjustRightInd w:val="0"/>
              <w:snapToGrid w:val="0"/>
              <w:spacing w:line="42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金额计算结果为准。</w:t>
            </w:r>
          </w:p>
          <w:p w14:paraId="431F5F9E">
            <w:pPr>
              <w:adjustRightInd w:val="0"/>
              <w:snapToGrid w:val="0"/>
              <w:spacing w:line="42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5、投标文件报价同时出现两种以上不一致的，按</w:t>
            </w:r>
          </w:p>
          <w:p w14:paraId="2EB1E07D">
            <w:pPr>
              <w:adjustRightInd w:val="0"/>
              <w:snapToGrid w:val="0"/>
              <w:spacing w:line="42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照前款规定的顺序修正。修正后的报价由投标人代</w:t>
            </w:r>
          </w:p>
          <w:p w14:paraId="06040EAD">
            <w:pPr>
              <w:adjustRightInd w:val="0"/>
              <w:snapToGrid w:val="0"/>
              <w:spacing w:line="42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表签字或者加盖单位章确认后产生约束力，投标人</w:t>
            </w:r>
          </w:p>
          <w:p w14:paraId="026D3ED0">
            <w:pPr>
              <w:adjustRightInd w:val="0"/>
              <w:snapToGrid w:val="0"/>
              <w:spacing w:line="420" w:lineRule="exact"/>
              <w:rPr>
                <w:color w:val="000000"/>
                <w:szCs w:val="21"/>
                <w:u w:val="single"/>
              </w:rPr>
            </w:pPr>
            <w:r>
              <w:rPr>
                <w:rFonts w:hint="eastAsia" w:ascii="Times New Roman" w:hAnsi="Times New Roman" w:eastAsia="宋体" w:cs="Times New Roman"/>
                <w:color w:val="000000"/>
                <w:szCs w:val="21"/>
              </w:rPr>
              <w:t>不确认的，其投标无效。</w:t>
            </w:r>
          </w:p>
        </w:tc>
      </w:tr>
      <w:tr w14:paraId="790AB1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0" w:type="dxa"/>
            <w:tcBorders>
              <w:top w:val="dotted" w:color="auto" w:sz="6" w:space="0"/>
              <w:left w:val="single" w:color="BC7F14" w:sz="4" w:space="0"/>
              <w:bottom w:val="dotted" w:color="auto" w:sz="6" w:space="0"/>
              <w:right w:val="dotted" w:color="auto" w:sz="6" w:space="0"/>
            </w:tcBorders>
            <w:shd w:val="clear" w:color="auto" w:fill="EABD6A"/>
            <w:vAlign w:val="center"/>
          </w:tcPr>
          <w:p w14:paraId="4FC36298">
            <w:pPr>
              <w:adjustRightInd w:val="0"/>
              <w:snapToGrid w:val="0"/>
              <w:spacing w:before="156" w:beforeLines="50" w:line="360" w:lineRule="auto"/>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第5.2</w:t>
            </w:r>
            <w:r>
              <w:rPr>
                <w:rFonts w:hint="eastAsia" w:cs="宋体" w:asciiTheme="minorEastAsia" w:hAnsiTheme="minorEastAsia" w:eastAsiaTheme="minorEastAsia"/>
                <w:color w:val="000000"/>
                <w:kern w:val="0"/>
                <w:szCs w:val="21"/>
                <w:lang w:val="zh-CN"/>
              </w:rPr>
              <w:t>项</w:t>
            </w:r>
          </w:p>
        </w:tc>
        <w:tc>
          <w:tcPr>
            <w:tcW w:w="2271" w:type="dxa"/>
            <w:tcBorders>
              <w:top w:val="dotted" w:color="auto" w:sz="6" w:space="0"/>
              <w:left w:val="dotted" w:color="auto" w:sz="6" w:space="0"/>
              <w:bottom w:val="dotted" w:color="auto" w:sz="6" w:space="0"/>
              <w:right w:val="dotted" w:color="auto" w:sz="6" w:space="0"/>
            </w:tcBorders>
            <w:shd w:val="clear" w:color="auto" w:fill="F7E6CA"/>
            <w:vAlign w:val="center"/>
          </w:tcPr>
          <w:p w14:paraId="7182C24B">
            <w:pPr>
              <w:adjustRightInd w:val="0"/>
              <w:snapToGrid w:val="0"/>
              <w:spacing w:before="156" w:beforeLines="50" w:line="360" w:lineRule="auto"/>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相同品牌产品评审得分相同的规定</w:t>
            </w:r>
          </w:p>
        </w:tc>
        <w:tc>
          <w:tcPr>
            <w:tcW w:w="4818" w:type="dxa"/>
            <w:tcBorders>
              <w:top w:val="dotted" w:color="auto" w:sz="6" w:space="0"/>
              <w:left w:val="dotted" w:color="auto" w:sz="6" w:space="0"/>
              <w:bottom w:val="dotted" w:color="auto" w:sz="6" w:space="0"/>
              <w:right w:val="single" w:color="BC7F14" w:sz="4" w:space="0"/>
            </w:tcBorders>
            <w:shd w:val="clear" w:color="auto" w:fill="FFFFFF"/>
            <w:vAlign w:val="center"/>
          </w:tcPr>
          <w:p w14:paraId="01881B10">
            <w:pPr>
              <w:adjustRightInd w:val="0"/>
              <w:snapToGrid w:val="0"/>
              <w:spacing w:line="360" w:lineRule="auto"/>
              <w:rPr>
                <w:rFonts w:ascii="宋体" w:hAnsi="宋体"/>
                <w:color w:val="000000"/>
                <w:szCs w:val="21"/>
              </w:rPr>
            </w:pPr>
            <w:r>
              <w:rPr>
                <w:rFonts w:hint="eastAsia" w:ascii="宋体" w:hAnsi="宋体"/>
                <w:color w:val="000000"/>
                <w:lang w:eastAsia="zh-CN"/>
              </w:rPr>
              <w:t>☑</w:t>
            </w:r>
            <w:r>
              <w:rPr>
                <w:rFonts w:hint="eastAsia" w:ascii="宋体" w:hAnsi="宋体"/>
                <w:color w:val="000000"/>
              </w:rPr>
              <w:t xml:space="preserve"> 得分相同的，按投标报价由低到高顺序排列。得分且投标报价相同的，按技术指标优劣顺序排列。</w:t>
            </w:r>
          </w:p>
          <w:p w14:paraId="7C5C7845">
            <w:pPr>
              <w:adjustRightInd w:val="0"/>
              <w:snapToGrid w:val="0"/>
              <w:spacing w:line="360" w:lineRule="auto"/>
              <w:rPr>
                <w:color w:val="000000"/>
                <w:szCs w:val="21"/>
                <w:u w:val="single"/>
              </w:rPr>
            </w:pPr>
            <w:r>
              <w:rPr>
                <w:rFonts w:hint="eastAsia" w:ascii="宋体" w:hAnsi="宋体"/>
                <w:color w:val="000000"/>
              </w:rPr>
              <w:t>□ 随机抽取方式确定。</w:t>
            </w:r>
          </w:p>
        </w:tc>
      </w:tr>
      <w:tr w14:paraId="732547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700" w:type="dxa"/>
            <w:tcBorders>
              <w:top w:val="dotted" w:color="auto" w:sz="6" w:space="0"/>
              <w:left w:val="single" w:color="BC7F14" w:sz="4" w:space="0"/>
              <w:bottom w:val="dotted" w:color="auto" w:sz="4" w:space="0"/>
              <w:right w:val="dotted" w:color="auto" w:sz="6" w:space="0"/>
            </w:tcBorders>
            <w:shd w:val="clear" w:color="auto" w:fill="EABD6A"/>
            <w:vAlign w:val="center"/>
          </w:tcPr>
          <w:p w14:paraId="0FA976FC">
            <w:pPr>
              <w:adjustRightInd w:val="0"/>
              <w:snapToGrid w:val="0"/>
              <w:spacing w:before="156" w:beforeLines="50" w:line="360" w:lineRule="auto"/>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第5.3（1）</w:t>
            </w:r>
            <w:r>
              <w:rPr>
                <w:rFonts w:hint="eastAsia" w:cs="宋体" w:asciiTheme="minorEastAsia" w:hAnsiTheme="minorEastAsia" w:eastAsiaTheme="minorEastAsia"/>
                <w:color w:val="000000"/>
                <w:kern w:val="0"/>
                <w:szCs w:val="21"/>
                <w:lang w:val="zh-CN"/>
              </w:rPr>
              <w:t>项</w:t>
            </w:r>
          </w:p>
        </w:tc>
        <w:tc>
          <w:tcPr>
            <w:tcW w:w="2271" w:type="dxa"/>
            <w:tcBorders>
              <w:top w:val="dotted" w:color="auto" w:sz="6" w:space="0"/>
              <w:left w:val="dotted" w:color="auto" w:sz="6" w:space="0"/>
              <w:bottom w:val="dotted" w:color="auto" w:sz="4" w:space="0"/>
              <w:right w:val="dotted" w:color="auto" w:sz="6" w:space="0"/>
            </w:tcBorders>
            <w:shd w:val="clear" w:color="auto" w:fill="F7E6CA"/>
            <w:vAlign w:val="center"/>
          </w:tcPr>
          <w:p w14:paraId="29701EE2">
            <w:pPr>
              <w:adjustRightInd w:val="0"/>
              <w:snapToGrid w:val="0"/>
              <w:spacing w:before="156" w:beforeLines="50" w:line="360" w:lineRule="auto"/>
              <w:jc w:val="center"/>
              <w:rPr>
                <w:color w:val="000000"/>
                <w:szCs w:val="21"/>
              </w:rPr>
            </w:pPr>
            <w:r>
              <w:rPr>
                <w:rFonts w:hint="eastAsia" w:asciiTheme="minorEastAsia" w:hAnsiTheme="minorEastAsia" w:eastAsiaTheme="minorEastAsia"/>
                <w:color w:val="000000"/>
                <w:szCs w:val="21"/>
              </w:rPr>
              <w:t>价格评审优惠</w:t>
            </w:r>
          </w:p>
        </w:tc>
        <w:tc>
          <w:tcPr>
            <w:tcW w:w="4818" w:type="dxa"/>
            <w:tcBorders>
              <w:top w:val="dotted" w:color="auto" w:sz="6" w:space="0"/>
              <w:left w:val="dotted" w:color="auto" w:sz="6" w:space="0"/>
              <w:bottom w:val="dotted" w:color="auto" w:sz="4" w:space="0"/>
              <w:right w:val="single" w:color="BC7F14" w:sz="4" w:space="0"/>
            </w:tcBorders>
            <w:shd w:val="clear" w:color="auto" w:fill="FCF5E9"/>
            <w:vAlign w:val="center"/>
          </w:tcPr>
          <w:p w14:paraId="329D4C65">
            <w:pPr>
              <w:spacing w:line="360" w:lineRule="atLeast"/>
              <w:rPr>
                <w:rFonts w:hint="eastAsia" w:ascii="宋体" w:hAnsi="宋体" w:cs="宋体"/>
                <w:color w:val="000000"/>
                <w:szCs w:val="21"/>
              </w:rPr>
            </w:pPr>
            <w:r>
              <w:rPr>
                <w:rFonts w:hint="eastAsia" w:ascii="宋体" w:hAnsi="宋体" w:cs="宋体"/>
                <w:color w:val="000000"/>
                <w:szCs w:val="21"/>
              </w:rPr>
              <w:t>1、给予小型和微型企业产品的价格给予10%-20%</w:t>
            </w:r>
          </w:p>
          <w:p w14:paraId="3D9AD06A">
            <w:pPr>
              <w:spacing w:line="360" w:lineRule="atLeast"/>
              <w:rPr>
                <w:rFonts w:hint="eastAsia" w:ascii="宋体" w:hAnsi="宋体" w:cs="宋体"/>
                <w:color w:val="000000"/>
                <w:szCs w:val="21"/>
              </w:rPr>
            </w:pPr>
            <w:r>
              <w:rPr>
                <w:rFonts w:hint="eastAsia" w:ascii="宋体" w:hAnsi="宋体" w:cs="宋体"/>
                <w:color w:val="000000"/>
                <w:szCs w:val="21"/>
              </w:rPr>
              <w:t>的扣除，用扣除后的价格参与评审，本项目具体扣</w:t>
            </w:r>
          </w:p>
          <w:p w14:paraId="1B6EB39F">
            <w:pPr>
              <w:spacing w:line="360" w:lineRule="atLeast"/>
              <w:rPr>
                <w:rFonts w:hint="eastAsia" w:ascii="宋体" w:hAnsi="宋体" w:cs="宋体"/>
                <w:color w:val="000000"/>
                <w:szCs w:val="21"/>
              </w:rPr>
            </w:pPr>
            <w:r>
              <w:rPr>
                <w:rFonts w:hint="eastAsia" w:ascii="宋体" w:hAnsi="宋体" w:cs="宋体"/>
                <w:color w:val="000000"/>
                <w:szCs w:val="21"/>
              </w:rPr>
              <w:t>除比例为</w:t>
            </w:r>
            <w:r>
              <w:rPr>
                <w:rFonts w:hint="eastAsia" w:ascii="宋体" w:hAnsi="宋体" w:cs="宋体"/>
                <w:color w:val="000000"/>
                <w:szCs w:val="21"/>
                <w:u w:val="single"/>
                <w:lang w:val="en-US" w:eastAsia="zh-CN"/>
              </w:rPr>
              <w:t>10</w:t>
            </w:r>
            <w:r>
              <w:rPr>
                <w:rFonts w:hint="eastAsia" w:ascii="宋体" w:hAnsi="宋体" w:cs="宋体"/>
                <w:color w:val="000000"/>
                <w:szCs w:val="21"/>
              </w:rPr>
              <w:t>％。</w:t>
            </w:r>
          </w:p>
          <w:p w14:paraId="16966BD0">
            <w:pPr>
              <w:spacing w:line="360" w:lineRule="atLeast"/>
              <w:rPr>
                <w:rFonts w:hint="eastAsia" w:ascii="宋体" w:hAnsi="宋体" w:cs="宋体"/>
                <w:color w:val="000000"/>
                <w:szCs w:val="21"/>
              </w:rPr>
            </w:pPr>
            <w:r>
              <w:rPr>
                <w:rFonts w:hint="eastAsia" w:ascii="宋体" w:hAnsi="宋体" w:cs="宋体"/>
                <w:color w:val="000000"/>
                <w:szCs w:val="21"/>
              </w:rPr>
              <w:t>2、政府采购支持残疾人福利性单位发展：监狱企</w:t>
            </w:r>
          </w:p>
          <w:p w14:paraId="15C4511D">
            <w:pPr>
              <w:spacing w:line="360" w:lineRule="atLeast"/>
              <w:rPr>
                <w:rFonts w:hint="eastAsia" w:ascii="宋体" w:hAnsi="宋体" w:cs="宋体"/>
                <w:color w:val="000000"/>
                <w:szCs w:val="21"/>
              </w:rPr>
            </w:pPr>
            <w:r>
              <w:rPr>
                <w:rFonts w:hint="eastAsia" w:ascii="宋体" w:hAnsi="宋体" w:cs="宋体"/>
                <w:color w:val="000000"/>
                <w:szCs w:val="21"/>
              </w:rPr>
              <w:t>业、残疾人福利性单位视同小型、微型企业，享受</w:t>
            </w:r>
          </w:p>
          <w:p w14:paraId="1DE235C7">
            <w:pPr>
              <w:spacing w:line="360" w:lineRule="atLeast"/>
              <w:rPr>
                <w:rFonts w:hint="eastAsia" w:ascii="宋体" w:hAnsi="宋体" w:cs="宋体"/>
                <w:color w:val="000000"/>
                <w:szCs w:val="21"/>
              </w:rPr>
            </w:pPr>
            <w:r>
              <w:rPr>
                <w:rFonts w:hint="eastAsia" w:ascii="宋体" w:hAnsi="宋体" w:cs="宋体"/>
                <w:color w:val="000000"/>
                <w:szCs w:val="21"/>
              </w:rPr>
              <w:t>评审中价格扣除等促进小微企业发展的政府采购</w:t>
            </w:r>
          </w:p>
          <w:p w14:paraId="29DCEB27">
            <w:pPr>
              <w:spacing w:line="360" w:lineRule="atLeast"/>
              <w:rPr>
                <w:rFonts w:hint="eastAsia" w:ascii="宋体" w:hAnsi="宋体" w:cs="宋体"/>
                <w:color w:val="000000"/>
                <w:szCs w:val="21"/>
              </w:rPr>
            </w:pPr>
            <w:r>
              <w:rPr>
                <w:rFonts w:hint="eastAsia" w:ascii="宋体" w:hAnsi="宋体" w:cs="宋体"/>
                <w:color w:val="000000"/>
                <w:szCs w:val="21"/>
              </w:rPr>
              <w:t>政策：本项目具体扣除比例为</w:t>
            </w:r>
            <w:r>
              <w:rPr>
                <w:rFonts w:hint="eastAsia" w:ascii="宋体" w:hAnsi="宋体" w:cs="宋体"/>
                <w:color w:val="000000"/>
                <w:szCs w:val="21"/>
                <w:u w:val="single"/>
              </w:rPr>
              <w:t>/</w:t>
            </w:r>
            <w:r>
              <w:rPr>
                <w:rFonts w:hint="eastAsia" w:ascii="宋体" w:hAnsi="宋体" w:cs="宋体"/>
                <w:color w:val="000000"/>
                <w:szCs w:val="21"/>
              </w:rPr>
              <w:t>％。</w:t>
            </w:r>
          </w:p>
          <w:p w14:paraId="200CCAB8">
            <w:pPr>
              <w:spacing w:line="360" w:lineRule="atLeast"/>
              <w:rPr>
                <w:rFonts w:hint="eastAsia" w:ascii="宋体" w:hAnsi="宋体" w:cs="宋体"/>
                <w:color w:val="000000"/>
                <w:szCs w:val="21"/>
              </w:rPr>
            </w:pPr>
            <w:r>
              <w:rPr>
                <w:rFonts w:hint="eastAsia" w:ascii="宋体" w:hAnsi="宋体" w:cs="宋体"/>
                <w:color w:val="000000"/>
                <w:szCs w:val="21"/>
              </w:rPr>
              <w:t>3、小型、微型企业参加联合体投标并在联合体协</w:t>
            </w:r>
          </w:p>
          <w:p w14:paraId="55F6AFFF">
            <w:pPr>
              <w:spacing w:line="360" w:lineRule="atLeast"/>
              <w:rPr>
                <w:rFonts w:hint="eastAsia" w:ascii="宋体" w:hAnsi="宋体" w:cs="宋体"/>
                <w:color w:val="000000"/>
                <w:szCs w:val="21"/>
              </w:rPr>
            </w:pPr>
            <w:r>
              <w:rPr>
                <w:rFonts w:hint="eastAsia" w:ascii="宋体" w:hAnsi="宋体" w:cs="宋体"/>
                <w:color w:val="000000"/>
                <w:szCs w:val="21"/>
              </w:rPr>
              <w:t>议中明确其在合同金额占联合体合同总金额30%以</w:t>
            </w:r>
          </w:p>
          <w:p w14:paraId="04071934">
            <w:pPr>
              <w:spacing w:line="360" w:lineRule="atLeast"/>
              <w:rPr>
                <w:rFonts w:hint="eastAsia" w:ascii="宋体" w:hAnsi="宋体" w:cs="宋体"/>
                <w:color w:val="000000"/>
                <w:szCs w:val="21"/>
              </w:rPr>
            </w:pPr>
            <w:r>
              <w:rPr>
                <w:rFonts w:hint="eastAsia" w:ascii="宋体" w:hAnsi="宋体" w:cs="宋体"/>
                <w:color w:val="000000"/>
                <w:szCs w:val="21"/>
              </w:rPr>
              <w:t>上的，给予该联合体投标价格给予一定的价格折</w:t>
            </w:r>
          </w:p>
          <w:p w14:paraId="5F051EB3">
            <w:pPr>
              <w:spacing w:line="360" w:lineRule="atLeast"/>
              <w:rPr>
                <w:rFonts w:hint="eastAsia" w:ascii="宋体" w:hAnsi="宋体" w:cs="宋体"/>
                <w:color w:val="000000"/>
                <w:szCs w:val="21"/>
              </w:rPr>
            </w:pPr>
            <w:r>
              <w:rPr>
                <w:rFonts w:hint="eastAsia" w:ascii="宋体" w:hAnsi="宋体" w:cs="宋体"/>
                <w:color w:val="000000"/>
                <w:szCs w:val="21"/>
              </w:rPr>
              <w:t>扣，用扣除后的价格参与评审，给予联合体2%-3%</w:t>
            </w:r>
          </w:p>
          <w:p w14:paraId="3A9D2FC3">
            <w:pPr>
              <w:spacing w:line="360" w:lineRule="atLeast"/>
              <w:rPr>
                <w:rFonts w:hint="eastAsia" w:ascii="宋体" w:hAnsi="宋体" w:cs="宋体"/>
                <w:color w:val="000000"/>
                <w:szCs w:val="21"/>
              </w:rPr>
            </w:pPr>
            <w:r>
              <w:rPr>
                <w:rFonts w:hint="eastAsia" w:ascii="宋体" w:hAnsi="宋体" w:cs="宋体"/>
                <w:color w:val="000000"/>
                <w:szCs w:val="21"/>
              </w:rPr>
              <w:t>的价格扣除。本项目具体扣除比例为</w:t>
            </w:r>
            <w:r>
              <w:rPr>
                <w:rFonts w:hint="eastAsia" w:ascii="宋体" w:hAnsi="宋体" w:cs="宋体"/>
                <w:color w:val="000000"/>
                <w:szCs w:val="21"/>
                <w:u w:val="single"/>
              </w:rPr>
              <w:t>/</w:t>
            </w:r>
            <w:r>
              <w:rPr>
                <w:rFonts w:hint="eastAsia" w:ascii="宋体" w:hAnsi="宋体" w:cs="宋体"/>
                <w:color w:val="000000"/>
                <w:szCs w:val="21"/>
              </w:rPr>
              <w:t>%，联合体</w:t>
            </w:r>
          </w:p>
          <w:p w14:paraId="7EB4F580">
            <w:pPr>
              <w:spacing w:line="360" w:lineRule="atLeast"/>
              <w:rPr>
                <w:rFonts w:hint="eastAsia" w:ascii="宋体" w:hAnsi="宋体" w:cs="宋体"/>
                <w:color w:val="000000"/>
                <w:szCs w:val="21"/>
              </w:rPr>
            </w:pPr>
            <w:r>
              <w:rPr>
                <w:rFonts w:hint="eastAsia" w:ascii="宋体" w:hAnsi="宋体" w:cs="宋体"/>
                <w:color w:val="000000"/>
                <w:szCs w:val="21"/>
              </w:rPr>
              <w:t>各方均为小型、微型企业的，联合体视同为小型、</w:t>
            </w:r>
          </w:p>
          <w:p w14:paraId="2E61AB1D">
            <w:pPr>
              <w:spacing w:line="360" w:lineRule="atLeast"/>
              <w:rPr>
                <w:rFonts w:hint="eastAsia" w:ascii="宋体" w:hAnsi="宋体" w:cs="宋体"/>
                <w:color w:val="000000"/>
                <w:szCs w:val="21"/>
              </w:rPr>
            </w:pPr>
            <w:r>
              <w:rPr>
                <w:rFonts w:hint="eastAsia" w:ascii="宋体" w:hAnsi="宋体" w:cs="宋体"/>
                <w:color w:val="000000"/>
                <w:szCs w:val="21"/>
              </w:rPr>
              <w:t>微型企业；</w:t>
            </w:r>
          </w:p>
          <w:p w14:paraId="69868FDB">
            <w:pPr>
              <w:spacing w:line="360" w:lineRule="atLeast"/>
              <w:rPr>
                <w:rFonts w:hint="eastAsia" w:ascii="宋体" w:hAnsi="宋体" w:cs="宋体"/>
                <w:color w:val="000000"/>
                <w:szCs w:val="21"/>
              </w:rPr>
            </w:pPr>
            <w:r>
              <w:rPr>
                <w:rFonts w:hint="eastAsia" w:ascii="宋体" w:hAnsi="宋体" w:cs="宋体"/>
                <w:color w:val="000000"/>
                <w:szCs w:val="21"/>
              </w:rPr>
              <w:t>4、在货物采购项目中，供应商提供的货物既有中</w:t>
            </w:r>
          </w:p>
          <w:p w14:paraId="2F329235">
            <w:pPr>
              <w:spacing w:line="360" w:lineRule="atLeast"/>
              <w:rPr>
                <w:rFonts w:hint="eastAsia" w:ascii="宋体" w:hAnsi="宋体" w:cs="宋体"/>
                <w:color w:val="000000"/>
                <w:szCs w:val="21"/>
              </w:rPr>
            </w:pPr>
            <w:r>
              <w:rPr>
                <w:rFonts w:hint="eastAsia" w:ascii="宋体" w:hAnsi="宋体" w:cs="宋体"/>
                <w:color w:val="000000"/>
                <w:szCs w:val="21"/>
              </w:rPr>
              <w:t>小企业制造货物，也有大型企业制造货物的，不享</w:t>
            </w:r>
          </w:p>
          <w:p w14:paraId="43227EE8">
            <w:pPr>
              <w:spacing w:line="360" w:lineRule="atLeast"/>
              <w:rPr>
                <w:rFonts w:hint="eastAsia" w:ascii="宋体" w:hAnsi="宋体" w:cs="宋体"/>
                <w:color w:val="000000"/>
                <w:szCs w:val="21"/>
              </w:rPr>
            </w:pPr>
            <w:r>
              <w:rPr>
                <w:rFonts w:hint="eastAsia" w:ascii="宋体" w:hAnsi="宋体" w:cs="宋体"/>
                <w:color w:val="000000"/>
                <w:szCs w:val="21"/>
              </w:rPr>
              <w:t>受中小企业扶持政策。投标人提供部分投标产品属</w:t>
            </w:r>
          </w:p>
          <w:p w14:paraId="56A91DC9">
            <w:pPr>
              <w:spacing w:line="360" w:lineRule="atLeast"/>
              <w:rPr>
                <w:rFonts w:hint="eastAsia" w:ascii="宋体" w:hAnsi="宋体" w:cs="宋体"/>
                <w:color w:val="000000"/>
                <w:szCs w:val="21"/>
              </w:rPr>
            </w:pPr>
            <w:r>
              <w:rPr>
                <w:rFonts w:hint="eastAsia" w:ascii="宋体" w:hAnsi="宋体" w:cs="宋体"/>
                <w:color w:val="000000"/>
                <w:szCs w:val="21"/>
              </w:rPr>
              <w:t>于优先采购的，评审时只对该部分产品的报价实行</w:t>
            </w:r>
          </w:p>
          <w:p w14:paraId="6B1C8F73">
            <w:pPr>
              <w:spacing w:line="360" w:lineRule="atLeast"/>
              <w:rPr>
                <w:rFonts w:hint="eastAsia" w:ascii="宋体" w:hAnsi="宋体" w:cs="宋体"/>
                <w:color w:val="000000"/>
                <w:szCs w:val="21"/>
              </w:rPr>
            </w:pPr>
            <w:r>
              <w:rPr>
                <w:rFonts w:hint="eastAsia" w:ascii="宋体" w:hAnsi="宋体" w:cs="宋体"/>
                <w:color w:val="000000"/>
                <w:szCs w:val="21"/>
              </w:rPr>
              <w:t>价格扣除及加分。投标人应按本章第34 .6 款规定提供相关证明资料（包括提供相关报价）。</w:t>
            </w:r>
          </w:p>
          <w:p w14:paraId="76FCE470">
            <w:pPr>
              <w:spacing w:line="360" w:lineRule="atLeast"/>
              <w:rPr>
                <w:rFonts w:hint="eastAsia" w:ascii="宋体" w:hAnsi="宋体" w:cs="宋体"/>
                <w:color w:val="000000"/>
                <w:szCs w:val="21"/>
              </w:rPr>
            </w:pPr>
            <w:r>
              <w:rPr>
                <w:rFonts w:hint="eastAsia" w:ascii="宋体" w:hAnsi="宋体" w:cs="宋体"/>
                <w:color w:val="000000"/>
                <w:szCs w:val="21"/>
              </w:rPr>
              <w:t>5、投标人同时符合小型、微型企业及监狱企业、</w:t>
            </w:r>
          </w:p>
          <w:p w14:paraId="0AA9C6E2">
            <w:pPr>
              <w:spacing w:line="360" w:lineRule="atLeast"/>
              <w:rPr>
                <w:rFonts w:hint="eastAsia" w:ascii="宋体" w:hAnsi="宋体" w:cs="宋体"/>
                <w:color w:val="000000"/>
                <w:szCs w:val="21"/>
              </w:rPr>
            </w:pPr>
            <w:r>
              <w:rPr>
                <w:rFonts w:hint="eastAsia" w:ascii="宋体" w:hAnsi="宋体" w:cs="宋体"/>
                <w:color w:val="000000"/>
                <w:szCs w:val="21"/>
              </w:rPr>
              <w:t>残疾人福利性单位要求的，评审时只有一种类型享</w:t>
            </w:r>
          </w:p>
          <w:p w14:paraId="7CC42F7C">
            <w:pPr>
              <w:spacing w:line="360" w:lineRule="atLeast"/>
              <w:rPr>
                <w:rFonts w:hint="eastAsia" w:ascii="宋体" w:hAnsi="宋体" w:cs="宋体"/>
                <w:color w:val="000000"/>
                <w:szCs w:val="21"/>
              </w:rPr>
            </w:pPr>
            <w:r>
              <w:rPr>
                <w:rFonts w:hint="eastAsia" w:ascii="宋体" w:hAnsi="宋体" w:cs="宋体"/>
                <w:color w:val="000000"/>
                <w:szCs w:val="21"/>
              </w:rPr>
              <w:t>受价格评审优惠政策，不重复享受价格评审优惠政</w:t>
            </w:r>
          </w:p>
          <w:p w14:paraId="466AEAA4">
            <w:pPr>
              <w:spacing w:line="360" w:lineRule="atLeast"/>
              <w:rPr>
                <w:rFonts w:ascii="宋体" w:hAnsi="宋体" w:cs="宋体"/>
                <w:color w:val="000000"/>
                <w:szCs w:val="21"/>
              </w:rPr>
            </w:pPr>
            <w:r>
              <w:rPr>
                <w:rFonts w:hint="eastAsia" w:ascii="宋体" w:hAnsi="宋体" w:cs="宋体"/>
                <w:color w:val="000000"/>
                <w:szCs w:val="21"/>
              </w:rPr>
              <w:t>策。</w:t>
            </w:r>
          </w:p>
        </w:tc>
      </w:tr>
      <w:tr w14:paraId="2041A4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4" w:hRule="atLeast"/>
        </w:trPr>
        <w:tc>
          <w:tcPr>
            <w:tcW w:w="1700" w:type="dxa"/>
            <w:tcBorders>
              <w:top w:val="dotted" w:color="auto" w:sz="6" w:space="0"/>
              <w:left w:val="single" w:color="BC7F14" w:sz="4" w:space="0"/>
              <w:bottom w:val="dotted" w:color="auto" w:sz="6" w:space="0"/>
              <w:right w:val="dotted" w:color="auto" w:sz="6" w:space="0"/>
            </w:tcBorders>
            <w:shd w:val="clear" w:color="auto" w:fill="EABD6A"/>
            <w:vAlign w:val="center"/>
          </w:tcPr>
          <w:p w14:paraId="1360575F">
            <w:pPr>
              <w:adjustRightInd w:val="0"/>
              <w:snapToGrid w:val="0"/>
              <w:spacing w:before="156" w:beforeLines="50" w:line="360" w:lineRule="auto"/>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第5.3（2）</w:t>
            </w:r>
            <w:r>
              <w:rPr>
                <w:rFonts w:hint="eastAsia" w:cs="宋体" w:asciiTheme="minorEastAsia" w:hAnsiTheme="minorEastAsia" w:eastAsiaTheme="minorEastAsia"/>
                <w:color w:val="000000"/>
                <w:kern w:val="0"/>
                <w:szCs w:val="21"/>
                <w:lang w:val="zh-CN"/>
              </w:rPr>
              <w:t>项</w:t>
            </w:r>
          </w:p>
        </w:tc>
        <w:tc>
          <w:tcPr>
            <w:tcW w:w="2271" w:type="dxa"/>
            <w:tcBorders>
              <w:top w:val="dotted" w:color="auto" w:sz="6" w:space="0"/>
              <w:left w:val="dotted" w:color="auto" w:sz="6" w:space="0"/>
              <w:bottom w:val="dotted" w:color="auto" w:sz="4" w:space="0"/>
              <w:right w:val="dotted" w:color="auto" w:sz="6" w:space="0"/>
            </w:tcBorders>
            <w:shd w:val="clear" w:color="auto" w:fill="F7E6CA"/>
            <w:vAlign w:val="center"/>
          </w:tcPr>
          <w:p w14:paraId="7CD66AA0">
            <w:pPr>
              <w:adjustRightInd w:val="0"/>
              <w:snapToGrid w:val="0"/>
              <w:spacing w:before="156" w:beforeLines="50" w:line="360" w:lineRule="auto"/>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优先采购</w:t>
            </w:r>
          </w:p>
        </w:tc>
        <w:tc>
          <w:tcPr>
            <w:tcW w:w="4818" w:type="dxa"/>
            <w:tcBorders>
              <w:top w:val="dotted" w:color="auto" w:sz="6" w:space="0"/>
              <w:left w:val="dotted" w:color="auto" w:sz="6" w:space="0"/>
              <w:bottom w:val="dotted" w:color="auto" w:sz="6" w:space="0"/>
              <w:right w:val="single" w:color="BC7F14" w:sz="4" w:space="0"/>
            </w:tcBorders>
            <w:shd w:val="clear" w:color="auto" w:fill="FFFFFF"/>
            <w:vAlign w:val="center"/>
          </w:tcPr>
          <w:p w14:paraId="00CBFEF4">
            <w:pPr>
              <w:widowControl/>
              <w:spacing w:line="360" w:lineRule="atLeast"/>
              <w:ind w:firstLine="420" w:firstLineChars="200"/>
              <w:jc w:val="left"/>
              <w:rPr>
                <w:rFonts w:ascii="宋体" w:hAnsi="宋体"/>
                <w:color w:val="000000"/>
                <w:szCs w:val="21"/>
              </w:rPr>
            </w:pPr>
            <w:r>
              <w:rPr>
                <w:rFonts w:ascii="宋体" w:hAnsi="宋体" w:cs="宋体"/>
                <w:color w:val="000000"/>
                <w:kern w:val="0"/>
                <w:szCs w:val="21"/>
              </w:rPr>
              <w:t>①非强制采购节能产品:</w:t>
            </w:r>
            <w:r>
              <w:rPr>
                <w:rFonts w:hint="eastAsia" w:ascii="宋体" w:hAnsi="宋体"/>
                <w:color w:val="000000"/>
                <w:szCs w:val="21"/>
              </w:rPr>
              <w:t>对于技术和价格分，应分别给予</w:t>
            </w:r>
            <w:r>
              <w:rPr>
                <w:rFonts w:ascii="宋体" w:hAnsi="宋体" w:cs="宋体"/>
                <w:color w:val="000000"/>
                <w:kern w:val="0"/>
                <w:szCs w:val="21"/>
              </w:rPr>
              <w:t>一级评标因素权重</w:t>
            </w:r>
            <w:r>
              <w:rPr>
                <w:rFonts w:hint="eastAsia" w:ascii="宋体" w:hAnsi="宋体"/>
                <w:color w:val="000000"/>
                <w:szCs w:val="21"/>
              </w:rPr>
              <w:t>4%-8%的加分。本项目具体加分比例分别为 ：技术</w:t>
            </w:r>
            <w:r>
              <w:rPr>
                <w:rFonts w:hint="eastAsia" w:ascii="宋体" w:hAnsi="宋体" w:cs="Times New Roman"/>
                <w:color w:val="000000"/>
                <w:szCs w:val="24"/>
                <w:u w:val="single"/>
                <w:lang w:val="en-US" w:eastAsia="zh-CN"/>
              </w:rPr>
              <w:t>4</w:t>
            </w:r>
            <w:r>
              <w:rPr>
                <w:rFonts w:hint="eastAsia" w:ascii="宋体" w:hAnsi="宋体"/>
                <w:color w:val="000000"/>
                <w:szCs w:val="21"/>
              </w:rPr>
              <w:t>%、价格</w:t>
            </w:r>
            <w:r>
              <w:rPr>
                <w:rFonts w:hint="eastAsia" w:ascii="宋体" w:hAnsi="宋体" w:cs="Times New Roman"/>
                <w:color w:val="000000"/>
                <w:szCs w:val="24"/>
                <w:u w:val="single"/>
                <w:lang w:val="en-US" w:eastAsia="zh-CN"/>
              </w:rPr>
              <w:t>4</w:t>
            </w:r>
            <w:r>
              <w:rPr>
                <w:rFonts w:hint="eastAsia" w:ascii="宋体" w:hAnsi="宋体"/>
                <w:b/>
                <w:color w:val="000000"/>
                <w:szCs w:val="21"/>
                <w:u w:val="single"/>
              </w:rPr>
              <w:t xml:space="preserve"> </w:t>
            </w:r>
            <w:r>
              <w:rPr>
                <w:rFonts w:hint="eastAsia" w:ascii="宋体" w:hAnsi="宋体"/>
                <w:color w:val="000000"/>
                <w:szCs w:val="21"/>
              </w:rPr>
              <w:t>%。</w:t>
            </w:r>
          </w:p>
          <w:p w14:paraId="7C582F77">
            <w:pPr>
              <w:widowControl/>
              <w:ind w:firstLine="420" w:firstLineChars="200"/>
              <w:jc w:val="left"/>
              <w:rPr>
                <w:rFonts w:hint="eastAsia" w:ascii="宋体" w:hAnsi="宋体" w:eastAsia="宋体"/>
                <w:color w:val="000000"/>
                <w:szCs w:val="21"/>
                <w:lang w:eastAsia="zh-CN"/>
              </w:rPr>
            </w:pPr>
            <w:r>
              <w:rPr>
                <w:rFonts w:ascii="宋体" w:hAnsi="宋体" w:cs="宋体"/>
                <w:color w:val="000000"/>
                <w:kern w:val="0"/>
                <w:szCs w:val="21"/>
              </w:rPr>
              <w:t>②环境标志产品:</w:t>
            </w:r>
            <w:r>
              <w:rPr>
                <w:rFonts w:hint="eastAsia" w:ascii="宋体" w:hAnsi="宋体"/>
                <w:color w:val="000000"/>
                <w:szCs w:val="21"/>
              </w:rPr>
              <w:t>对于技术和价格分，应分别给予</w:t>
            </w:r>
            <w:r>
              <w:rPr>
                <w:rFonts w:ascii="宋体" w:hAnsi="宋体" w:cs="宋体"/>
                <w:color w:val="000000"/>
                <w:kern w:val="0"/>
                <w:szCs w:val="21"/>
              </w:rPr>
              <w:t>一级评标因素权重</w:t>
            </w:r>
            <w:r>
              <w:rPr>
                <w:rFonts w:hint="eastAsia" w:ascii="宋体" w:hAnsi="宋体"/>
                <w:color w:val="000000"/>
                <w:szCs w:val="21"/>
              </w:rPr>
              <w:t>4%-8%的加分。本项目具体加分比例分别为 ：技术</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4</w:t>
            </w:r>
            <w:r>
              <w:rPr>
                <w:rFonts w:hint="eastAsia" w:ascii="宋体" w:hAnsi="宋体"/>
                <w:b/>
                <w:color w:val="000000"/>
                <w:szCs w:val="21"/>
                <w:u w:val="single"/>
              </w:rPr>
              <w:t xml:space="preserve"> </w:t>
            </w:r>
            <w:r>
              <w:rPr>
                <w:rFonts w:hint="eastAsia" w:ascii="宋体" w:hAnsi="宋体"/>
                <w:color w:val="000000"/>
                <w:szCs w:val="21"/>
              </w:rPr>
              <w:t>%、价格</w:t>
            </w:r>
            <w:r>
              <w:rPr>
                <w:rFonts w:hint="eastAsia" w:ascii="宋体" w:hAnsi="宋体" w:eastAsia="宋体" w:cs="Times New Roman"/>
                <w:b/>
                <w:color w:val="000000"/>
                <w:szCs w:val="21"/>
                <w:u w:val="single"/>
                <w:lang w:val="en-US" w:eastAsia="zh-CN"/>
              </w:rPr>
              <w:t>4</w:t>
            </w:r>
            <w:r>
              <w:rPr>
                <w:rFonts w:hint="eastAsia" w:ascii="宋体" w:hAnsi="宋体"/>
                <w:b/>
                <w:color w:val="000000"/>
                <w:szCs w:val="21"/>
                <w:u w:val="single"/>
              </w:rPr>
              <w:t xml:space="preserve"> </w:t>
            </w:r>
            <w:r>
              <w:rPr>
                <w:rFonts w:hint="eastAsia" w:ascii="宋体" w:hAnsi="宋体"/>
                <w:color w:val="000000"/>
                <w:szCs w:val="21"/>
              </w:rPr>
              <w:t>%</w:t>
            </w:r>
          </w:p>
          <w:p w14:paraId="0102D001">
            <w:pPr>
              <w:widowControl/>
              <w:ind w:firstLine="420" w:firstLineChars="200"/>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 xml:space="preserve">    </w:t>
            </w:r>
            <w:r>
              <w:rPr>
                <w:rFonts w:ascii="宋体" w:hAnsi="宋体" w:cs="宋体"/>
                <w:color w:val="000000"/>
                <w:kern w:val="0"/>
                <w:szCs w:val="21"/>
              </w:rPr>
              <w:t>③两型产品:</w:t>
            </w:r>
            <w:r>
              <w:rPr>
                <w:rFonts w:hint="eastAsia" w:ascii="宋体" w:hAnsi="宋体" w:cs="宋体"/>
                <w:color w:val="000000"/>
                <w:szCs w:val="21"/>
              </w:rPr>
              <w:t>投标</w:t>
            </w:r>
            <w:r>
              <w:rPr>
                <w:rFonts w:ascii="宋体" w:hAnsi="宋体" w:cs="宋体"/>
                <w:color w:val="000000"/>
                <w:szCs w:val="21"/>
              </w:rPr>
              <w:t>产品为《湖南省两型产品政府采购目录》(</w:t>
            </w:r>
            <w:r>
              <w:rPr>
                <w:rFonts w:hint="eastAsia" w:ascii="宋体" w:hAnsi="宋体" w:cs="宋体"/>
                <w:color w:val="000000"/>
                <w:szCs w:val="21"/>
              </w:rPr>
              <w:t>最新一期)</w:t>
            </w:r>
            <w:r>
              <w:rPr>
                <w:rFonts w:ascii="宋体" w:hAnsi="宋体" w:cs="宋体"/>
                <w:color w:val="000000"/>
                <w:szCs w:val="21"/>
              </w:rPr>
              <w:t xml:space="preserve"> 内的</w:t>
            </w:r>
            <w:r>
              <w:rPr>
                <w:rFonts w:hint="eastAsia" w:ascii="宋体" w:hAnsi="宋体" w:cs="宋体"/>
                <w:color w:val="000000"/>
                <w:szCs w:val="21"/>
              </w:rPr>
              <w:t>：</w:t>
            </w:r>
            <w:r>
              <w:rPr>
                <w:rFonts w:hint="eastAsia" w:ascii="宋体" w:hAnsi="宋体"/>
                <w:color w:val="000000"/>
                <w:szCs w:val="21"/>
              </w:rPr>
              <w:t>对于技术、价格分和商务分，应分别给予</w:t>
            </w:r>
            <w:r>
              <w:rPr>
                <w:rFonts w:ascii="宋体" w:hAnsi="宋体" w:cs="宋体"/>
                <w:color w:val="000000"/>
                <w:kern w:val="0"/>
                <w:szCs w:val="21"/>
              </w:rPr>
              <w:t>一级评标因素权重</w:t>
            </w:r>
            <w:r>
              <w:rPr>
                <w:rFonts w:hint="eastAsia" w:ascii="宋体" w:hAnsi="宋体"/>
                <w:color w:val="000000"/>
                <w:szCs w:val="21"/>
              </w:rPr>
              <w:t>4%-8%的加分。本项目具体加分比例分别为 ：技术</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4</w:t>
            </w:r>
            <w:r>
              <w:rPr>
                <w:rFonts w:hint="eastAsia" w:ascii="宋体" w:hAnsi="宋体"/>
                <w:color w:val="000000"/>
                <w:szCs w:val="21"/>
              </w:rPr>
              <w:t>%、价格</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4</w:t>
            </w:r>
            <w:r>
              <w:rPr>
                <w:rFonts w:hint="eastAsia" w:ascii="宋体" w:hAnsi="宋体"/>
                <w:b/>
                <w:color w:val="000000"/>
                <w:szCs w:val="21"/>
                <w:u w:val="single"/>
              </w:rPr>
              <w:t xml:space="preserve"> </w:t>
            </w:r>
            <w:r>
              <w:rPr>
                <w:rFonts w:hint="eastAsia" w:ascii="宋体" w:hAnsi="宋体"/>
                <w:color w:val="000000"/>
                <w:szCs w:val="21"/>
              </w:rPr>
              <w:t>%、商务</w:t>
            </w:r>
            <w:r>
              <w:rPr>
                <w:rFonts w:hint="eastAsia" w:ascii="宋体" w:hAnsi="宋体"/>
                <w:color w:val="000000"/>
                <w:szCs w:val="21"/>
                <w:u w:val="single"/>
                <w:lang w:val="en-US" w:eastAsia="zh-CN"/>
              </w:rPr>
              <w:t xml:space="preserve"> 4 </w:t>
            </w:r>
            <w:r>
              <w:rPr>
                <w:rFonts w:hint="eastAsia" w:ascii="宋体" w:hAnsi="宋体"/>
                <w:color w:val="000000"/>
                <w:szCs w:val="21"/>
              </w:rPr>
              <w:t>%</w:t>
            </w:r>
            <w:r>
              <w:rPr>
                <w:rFonts w:ascii="宋体" w:hAnsi="宋体" w:cs="宋体"/>
                <w:color w:val="000000"/>
                <w:kern w:val="0"/>
                <w:szCs w:val="21"/>
              </w:rPr>
              <w:t>。其中商务评标项加分，两型产品供应商需</w:t>
            </w:r>
            <w:r>
              <w:rPr>
                <w:rFonts w:hint="eastAsia" w:ascii="宋体" w:hAnsi="宋体" w:cs="宋体"/>
                <w:color w:val="000000"/>
                <w:kern w:val="0"/>
                <w:szCs w:val="21"/>
              </w:rPr>
              <w:t>设有完善的售后服务机构和网点</w:t>
            </w:r>
            <w:r>
              <w:rPr>
                <w:rFonts w:ascii="宋体" w:hAnsi="宋体" w:cs="宋体"/>
                <w:color w:val="000000"/>
                <w:kern w:val="0"/>
                <w:szCs w:val="21"/>
              </w:rPr>
              <w:t>。</w:t>
            </w:r>
          </w:p>
          <w:p w14:paraId="5B459E2A">
            <w:pPr>
              <w:widowControl/>
              <w:ind w:firstLine="420" w:firstLineChars="200"/>
              <w:jc w:val="left"/>
              <w:rPr>
                <w:rFonts w:ascii="宋体" w:hAnsi="宋体" w:cs="宋体" w:eastAsiaTheme="minorEastAsia"/>
                <w:color w:val="000000"/>
                <w:kern w:val="0"/>
                <w:szCs w:val="21"/>
              </w:rPr>
            </w:pPr>
            <w:r>
              <w:rPr>
                <w:rFonts w:hint="eastAsia" w:ascii="宋体" w:hAnsi="宋体" w:cs="宋体"/>
                <w:color w:val="000000"/>
                <w:kern w:val="0"/>
                <w:szCs w:val="21"/>
              </w:rPr>
              <w:t xml:space="preserve">    注：以上三项优先采购产品中，</w:t>
            </w:r>
            <w:r>
              <w:rPr>
                <w:rFonts w:hint="eastAsia" w:asciiTheme="minorEastAsia" w:hAnsiTheme="minorEastAsia" w:eastAsiaTheme="minorEastAsia"/>
                <w:color w:val="000000"/>
              </w:rPr>
              <w:t>投标产品取得两项及以上优先采购产品认证的，评审时只有其中一项产品能享受优先采购优惠。</w:t>
            </w:r>
          </w:p>
          <w:p w14:paraId="77305BCD">
            <w:pPr>
              <w:spacing w:line="360" w:lineRule="atLeast"/>
              <w:rPr>
                <w:rFonts w:ascii="宋体" w:hAnsi="宋体" w:cs="宋体"/>
                <w:color w:val="000000"/>
                <w:szCs w:val="21"/>
              </w:rPr>
            </w:pPr>
          </w:p>
        </w:tc>
      </w:tr>
      <w:tr w14:paraId="0785B9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1700" w:type="dxa"/>
            <w:tcBorders>
              <w:top w:val="dotted" w:color="auto" w:sz="6" w:space="0"/>
              <w:left w:val="single" w:color="BC7F14" w:sz="4" w:space="0"/>
              <w:bottom w:val="single" w:color="BC7F14" w:sz="4" w:space="0"/>
              <w:right w:val="dotted" w:color="auto" w:sz="6" w:space="0"/>
            </w:tcBorders>
            <w:shd w:val="clear" w:color="auto" w:fill="EABD6A"/>
            <w:vAlign w:val="center"/>
          </w:tcPr>
          <w:p w14:paraId="0E780900">
            <w:pPr>
              <w:adjustRightInd w:val="0"/>
              <w:snapToGrid w:val="0"/>
              <w:spacing w:before="156" w:beforeLines="50" w:line="360" w:lineRule="auto"/>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第6.1</w:t>
            </w:r>
            <w:r>
              <w:rPr>
                <w:rFonts w:hint="eastAsia" w:cs="宋体" w:asciiTheme="minorEastAsia" w:hAnsiTheme="minorEastAsia" w:eastAsiaTheme="minorEastAsia"/>
                <w:color w:val="000000"/>
                <w:kern w:val="0"/>
                <w:szCs w:val="21"/>
                <w:lang w:val="zh-CN"/>
              </w:rPr>
              <w:t>款</w:t>
            </w:r>
          </w:p>
        </w:tc>
        <w:tc>
          <w:tcPr>
            <w:tcW w:w="2271" w:type="dxa"/>
            <w:tcBorders>
              <w:top w:val="dotted" w:color="auto" w:sz="6" w:space="0"/>
              <w:left w:val="dotted" w:color="auto" w:sz="6" w:space="0"/>
              <w:bottom w:val="single" w:color="BC7F14" w:sz="4" w:space="0"/>
              <w:right w:val="dotted" w:color="auto" w:sz="6" w:space="0"/>
            </w:tcBorders>
            <w:shd w:val="clear" w:color="auto" w:fill="F7E6CA"/>
            <w:vAlign w:val="center"/>
          </w:tcPr>
          <w:p w14:paraId="4FDD0B8B">
            <w:pPr>
              <w:adjustRightInd w:val="0"/>
              <w:snapToGrid w:val="0"/>
              <w:spacing w:before="156" w:beforeLines="50" w:line="360" w:lineRule="auto"/>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中标候选人并列的确定中标人的方式</w:t>
            </w:r>
          </w:p>
        </w:tc>
        <w:tc>
          <w:tcPr>
            <w:tcW w:w="4818" w:type="dxa"/>
            <w:tcBorders>
              <w:top w:val="dotted" w:color="auto" w:sz="6" w:space="0"/>
              <w:left w:val="dotted" w:color="auto" w:sz="6" w:space="0"/>
              <w:bottom w:val="single" w:color="BC7F14" w:sz="4" w:space="0"/>
              <w:right w:val="single" w:color="BC7F14" w:sz="4" w:space="0"/>
            </w:tcBorders>
            <w:shd w:val="clear" w:color="auto" w:fill="FCF5E9"/>
            <w:vAlign w:val="center"/>
          </w:tcPr>
          <w:p w14:paraId="3DF86F44">
            <w:pPr>
              <w:adjustRightInd w:val="0"/>
              <w:snapToGrid w:val="0"/>
              <w:spacing w:line="420" w:lineRule="exact"/>
              <w:rPr>
                <w:rFonts w:asciiTheme="minorEastAsia" w:hAnsiTheme="minorEastAsia" w:eastAsiaTheme="minorEastAsia"/>
                <w:color w:val="000000"/>
                <w:szCs w:val="21"/>
                <w:u w:val="single"/>
              </w:rPr>
            </w:pPr>
            <w:r>
              <w:rPr>
                <w:rFonts w:hint="eastAsia" w:asciiTheme="minorEastAsia" w:hAnsiTheme="minorEastAsia" w:eastAsiaTheme="minorEastAsia"/>
                <w:color w:val="000000"/>
                <w:szCs w:val="21"/>
              </w:rPr>
              <w:t xml:space="preserve"> </w:t>
            </w:r>
            <w:r>
              <w:rPr>
                <w:rFonts w:hint="eastAsia" w:ascii="宋体" w:hAnsi="宋体" w:eastAsia="宋体" w:cs="Courier New"/>
                <w:color w:val="000000"/>
                <w:szCs w:val="21"/>
              </w:rPr>
              <w:t>得分相同的，按投标报价由低到高顺序排列。得分且投标报价相同的并列。投标文件满足招标文件全部实质性要求，且按照评审因素的量化指标评审得分最高的投标人为排名第一的中标候选人。</w:t>
            </w:r>
          </w:p>
        </w:tc>
      </w:tr>
    </w:tbl>
    <w:p w14:paraId="1D723BD9">
      <w:pPr>
        <w:adjustRightInd w:val="0"/>
        <w:snapToGrid w:val="0"/>
        <w:spacing w:before="156" w:beforeLines="50" w:line="360" w:lineRule="auto"/>
        <w:ind w:firstLine="420" w:firstLineChars="200"/>
        <w:jc w:val="left"/>
        <w:rPr>
          <w:rFonts w:ascii="黑体" w:hAnsi="华文中宋" w:eastAsia="黑体"/>
          <w:b/>
          <w:sz w:val="28"/>
          <w:szCs w:val="28"/>
        </w:rPr>
      </w:pPr>
      <w:r>
        <w:rPr>
          <w:rFonts w:asciiTheme="minorEastAsia" w:hAnsiTheme="minorEastAsia" w:eastAsiaTheme="minorEastAsia"/>
        </w:rPr>
        <w:br w:type="page"/>
      </w:r>
    </w:p>
    <w:p w14:paraId="339FE573">
      <w:pPr>
        <w:pStyle w:val="3"/>
        <w:keepNext w:val="0"/>
        <w:keepLines w:val="0"/>
        <w:adjustRightInd w:val="0"/>
        <w:snapToGrid w:val="0"/>
        <w:spacing w:before="156" w:beforeLines="50"/>
        <w:jc w:val="center"/>
        <w:rPr>
          <w:rFonts w:ascii="黑体" w:hAnsi="华文中宋" w:eastAsia="黑体"/>
          <w:sz w:val="28"/>
          <w:szCs w:val="28"/>
        </w:rPr>
      </w:pPr>
      <w:bookmarkStart w:id="72" w:name="_Toc1958"/>
      <w:bookmarkStart w:id="73" w:name="_Toc29913912"/>
      <w:bookmarkStart w:id="74" w:name="_Toc15000"/>
      <w:bookmarkStart w:id="75" w:name="_Toc12691"/>
      <w:r>
        <w:rPr>
          <w:rFonts w:hint="eastAsia" w:ascii="黑体" w:hAnsi="华文中宋" w:eastAsia="黑体"/>
          <w:sz w:val="28"/>
          <w:szCs w:val="28"/>
        </w:rPr>
        <w:t>第二节 评标方法及标准</w:t>
      </w:r>
      <w:bookmarkEnd w:id="72"/>
      <w:bookmarkEnd w:id="73"/>
      <w:bookmarkEnd w:id="74"/>
      <w:bookmarkEnd w:id="75"/>
    </w:p>
    <w:p w14:paraId="5B5F108E">
      <w:pPr>
        <w:pStyle w:val="4"/>
        <w:keepNext w:val="0"/>
        <w:keepLines w:val="0"/>
        <w:adjustRightInd w:val="0"/>
        <w:snapToGrid w:val="0"/>
        <w:spacing w:before="156" w:beforeLines="50" w:after="0" w:line="360" w:lineRule="auto"/>
        <w:rPr>
          <w:rFonts w:ascii="黑体" w:hAnsi="黑体" w:eastAsia="黑体"/>
          <w:sz w:val="24"/>
          <w:szCs w:val="24"/>
        </w:rPr>
      </w:pPr>
      <w:bookmarkStart w:id="76" w:name="_Toc13213"/>
      <w:bookmarkStart w:id="77" w:name="_Toc29913913"/>
      <w:bookmarkStart w:id="78" w:name="_Toc9531"/>
      <w:r>
        <w:rPr>
          <w:rFonts w:hint="eastAsia" w:ascii="黑体" w:hAnsi="黑体" w:eastAsia="黑体"/>
          <w:sz w:val="24"/>
          <w:szCs w:val="24"/>
        </w:rPr>
        <w:t>1．评标方法</w:t>
      </w:r>
      <w:bookmarkEnd w:id="76"/>
      <w:bookmarkEnd w:id="77"/>
      <w:bookmarkEnd w:id="78"/>
    </w:p>
    <w:p w14:paraId="4426B3F5">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1.1综合评分法，指投标文件满足招标文件全部实质性要求，且按照评审因素的量化指标评审得分最高的投标人为中标候选人的评标方法。</w:t>
      </w:r>
    </w:p>
    <w:p w14:paraId="086B23D5">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1.2本采购项目评标方法见本章第一节“评标规范前附表”</w:t>
      </w:r>
      <w:r>
        <w:rPr>
          <w:rFonts w:hint="eastAsia" w:ascii="华文中宋" w:hAnsi="华文中宋" w:eastAsia="华文中宋"/>
          <w:bCs/>
          <w:szCs w:val="21"/>
        </w:rPr>
        <w:t>（</w:t>
      </w:r>
      <w:r>
        <w:rPr>
          <w:rFonts w:hint="eastAsia" w:asciiTheme="minorEastAsia" w:hAnsiTheme="minorEastAsia" w:eastAsiaTheme="minorEastAsia"/>
          <w:bCs/>
          <w:szCs w:val="21"/>
        </w:rPr>
        <w:t>以下简称</w:t>
      </w:r>
      <w:r>
        <w:rPr>
          <w:rFonts w:hint="eastAsia" w:asciiTheme="minorEastAsia" w:hAnsiTheme="minorEastAsia" w:eastAsiaTheme="minorEastAsia"/>
          <w:b/>
          <w:szCs w:val="21"/>
        </w:rPr>
        <w:t>【评标方法及标准前附表】）</w:t>
      </w:r>
      <w:r>
        <w:rPr>
          <w:rFonts w:hint="eastAsia" w:asciiTheme="minorEastAsia" w:hAnsiTheme="minorEastAsia" w:eastAsiaTheme="minorEastAsia"/>
          <w:szCs w:val="21"/>
        </w:rPr>
        <w:t>。</w:t>
      </w:r>
    </w:p>
    <w:p w14:paraId="20065842">
      <w:pPr>
        <w:pStyle w:val="4"/>
        <w:keepNext w:val="0"/>
        <w:keepLines w:val="0"/>
        <w:adjustRightInd w:val="0"/>
        <w:snapToGrid w:val="0"/>
        <w:spacing w:before="156" w:beforeLines="50" w:after="0" w:line="360" w:lineRule="auto"/>
        <w:rPr>
          <w:rFonts w:ascii="黑体" w:hAnsi="黑体" w:eastAsia="黑体"/>
          <w:bCs w:val="0"/>
          <w:sz w:val="24"/>
          <w:szCs w:val="24"/>
        </w:rPr>
      </w:pPr>
      <w:bookmarkStart w:id="79" w:name="_Toc29913914"/>
      <w:bookmarkStart w:id="80" w:name="_Toc32411"/>
      <w:bookmarkStart w:id="81" w:name="_Toc30157"/>
      <w:r>
        <w:rPr>
          <w:rFonts w:hint="eastAsia" w:ascii="黑体" w:hAnsi="黑体" w:eastAsia="黑体"/>
          <w:bCs w:val="0"/>
          <w:sz w:val="24"/>
          <w:szCs w:val="24"/>
        </w:rPr>
        <w:t>2．评标程序</w:t>
      </w:r>
      <w:bookmarkEnd w:id="79"/>
      <w:bookmarkEnd w:id="80"/>
      <w:bookmarkEnd w:id="81"/>
    </w:p>
    <w:p w14:paraId="5382A894">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2.1评标程序分为投标文件符合性审查、澄清有关问题、比较和评价、推荐中标候选人。</w:t>
      </w:r>
    </w:p>
    <w:p w14:paraId="12FC80AB">
      <w:pPr>
        <w:pStyle w:val="4"/>
        <w:keepNext w:val="0"/>
        <w:keepLines w:val="0"/>
        <w:adjustRightInd w:val="0"/>
        <w:snapToGrid w:val="0"/>
        <w:spacing w:before="156" w:beforeLines="50" w:after="0" w:line="360" w:lineRule="auto"/>
        <w:rPr>
          <w:rFonts w:ascii="黑体" w:hAnsi="黑体" w:eastAsia="黑体"/>
          <w:bCs w:val="0"/>
          <w:sz w:val="24"/>
          <w:szCs w:val="24"/>
        </w:rPr>
      </w:pPr>
      <w:bookmarkStart w:id="82" w:name="_Toc6035"/>
      <w:bookmarkStart w:id="83" w:name="_Toc29913915"/>
      <w:bookmarkStart w:id="84" w:name="_Toc5640"/>
      <w:r>
        <w:rPr>
          <w:rFonts w:hint="eastAsia" w:ascii="黑体" w:hAnsi="黑体" w:eastAsia="黑体"/>
          <w:bCs w:val="0"/>
          <w:sz w:val="24"/>
          <w:szCs w:val="24"/>
        </w:rPr>
        <w:t>3．投标文件的符合性审查</w:t>
      </w:r>
      <w:bookmarkEnd w:id="82"/>
      <w:bookmarkEnd w:id="83"/>
      <w:bookmarkEnd w:id="84"/>
    </w:p>
    <w:p w14:paraId="2E00A06E">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3.1资格审查结束后，评标委员会依法按照本章第三节“投标文件的符合性审查”规定进行投标文件符合性。</w:t>
      </w:r>
    </w:p>
    <w:p w14:paraId="41FD03BF">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3.2符合性审查合格投标人少于3家的，应予废标。</w:t>
      </w:r>
    </w:p>
    <w:p w14:paraId="20785C74">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3.3单一产品采购项目：提供相同品牌产品的不同投标人参加同一合同项下投标的，按一家投标人计算。提供不同品牌产品的投标人不足三家的，应予废标。</w:t>
      </w:r>
    </w:p>
    <w:p w14:paraId="387CDCF4">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3.4非单一产品采购项目：采购人或者采购代理机构将在</w:t>
      </w:r>
      <w:r>
        <w:rPr>
          <w:rFonts w:hint="eastAsia" w:asciiTheme="minorEastAsia" w:hAnsiTheme="minorEastAsia" w:eastAsiaTheme="minorEastAsia"/>
          <w:b/>
          <w:szCs w:val="21"/>
        </w:rPr>
        <w:t>【评标方法及标准前附表】</w:t>
      </w:r>
      <w:r>
        <w:rPr>
          <w:rFonts w:hint="eastAsia" w:asciiTheme="minorEastAsia" w:hAnsiTheme="minorEastAsia" w:eastAsiaTheme="minorEastAsia"/>
          <w:szCs w:val="21"/>
        </w:rPr>
        <w:t>中载明核心产品。多家投标人提供的核心产品品牌相同的，视为相同品牌，按本章本节第3.3款规定处理。</w:t>
      </w:r>
    </w:p>
    <w:p w14:paraId="2D3F0F7C">
      <w:pPr>
        <w:pStyle w:val="4"/>
        <w:keepNext w:val="0"/>
        <w:keepLines w:val="0"/>
        <w:adjustRightInd w:val="0"/>
        <w:snapToGrid w:val="0"/>
        <w:spacing w:before="156" w:beforeLines="50" w:after="0" w:line="360" w:lineRule="auto"/>
        <w:rPr>
          <w:rFonts w:ascii="黑体" w:hAnsi="黑体" w:eastAsia="黑体"/>
          <w:bCs w:val="0"/>
          <w:sz w:val="24"/>
          <w:szCs w:val="24"/>
        </w:rPr>
      </w:pPr>
      <w:bookmarkStart w:id="85" w:name="_Toc29913916"/>
      <w:bookmarkStart w:id="86" w:name="_Toc19087"/>
      <w:bookmarkStart w:id="87" w:name="_Toc483"/>
      <w:r>
        <w:rPr>
          <w:rFonts w:hint="eastAsia" w:ascii="黑体" w:hAnsi="黑体" w:eastAsia="黑体"/>
          <w:bCs w:val="0"/>
          <w:sz w:val="24"/>
          <w:szCs w:val="24"/>
        </w:rPr>
        <w:t>4．投标文件的澄清</w:t>
      </w:r>
      <w:bookmarkEnd w:id="85"/>
      <w:bookmarkEnd w:id="86"/>
      <w:bookmarkEnd w:id="87"/>
    </w:p>
    <w:p w14:paraId="5AEE42ED">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4.1对于投标文件中含义不明确、同类问题表述不一致或者有明显文字和计算错误的内容，评标委员会应当以数据电文形式要求投标人作出必要的澄清、说明或者补正。</w:t>
      </w:r>
    </w:p>
    <w:p w14:paraId="464EF720">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4.2投标文件的投标报价出现前后不一致的，除</w:t>
      </w:r>
      <w:r>
        <w:rPr>
          <w:rFonts w:hint="eastAsia" w:asciiTheme="minorEastAsia" w:hAnsiTheme="minorEastAsia" w:eastAsiaTheme="minorEastAsia"/>
          <w:b/>
          <w:szCs w:val="21"/>
        </w:rPr>
        <w:t>【评标方法及标准前附表】</w:t>
      </w:r>
      <w:r>
        <w:rPr>
          <w:rFonts w:hint="eastAsia" w:asciiTheme="minorEastAsia" w:hAnsiTheme="minorEastAsia" w:eastAsiaTheme="minorEastAsia"/>
          <w:szCs w:val="21"/>
        </w:rPr>
        <w:t>另有规定外，按照下列规定修正：</w:t>
      </w:r>
    </w:p>
    <w:p w14:paraId="4634D996">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（1）投标文件中开标一览表内容与投标文件中相应内容不一致的，以开标一览表为准；</w:t>
      </w:r>
    </w:p>
    <w:p w14:paraId="4BB2E9E3">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（2）大写金额和小写金额不一致的，以大写金额为准；</w:t>
      </w:r>
    </w:p>
    <w:p w14:paraId="22E12FC2">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（3）单价金额小数点或者百分比有明显错位的，以开标一览表的总价为准，并修改单价；</w:t>
      </w:r>
    </w:p>
    <w:p w14:paraId="24935E95">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（4）总价金额与按单价汇总金额不一致的，以单价金额计算结果为准。</w:t>
      </w:r>
    </w:p>
    <w:p w14:paraId="7C6FA4E7">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4.3投标文件报价同时出现两种以上不一致的，按照前款规定的顺序修正。修正后的报价由投标人代表电子签名或者加盖单位电子章确认后产生约束力，投标人不确认的，其投标无效。</w:t>
      </w:r>
    </w:p>
    <w:p w14:paraId="4390B2FF">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4.4投标人的澄清、说明或者补正应当采用数据电文形式，并加盖电子公章，或者由法定代表人或其授权的代表电子签名，并按评标委员会的通知要求递交至交易平台。投标人的澄清、说明或者补正不得超出投标文件的范围或者改变投标文件的实质性内容。</w:t>
      </w:r>
    </w:p>
    <w:p w14:paraId="08D917EE">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4.5有效的澄清材料，是投标文件的补充材料，成为投标文件的组成部分。</w:t>
      </w:r>
    </w:p>
    <w:p w14:paraId="607BF873">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4.6评标委员会认为投标人的报价明显低于其他通过符合性审查投标人的报价，有可能影响产品质量或者不能诚信履约的，应当要求其在评标现场合理的时间内提供说明，必要时提交相关证明材料；投标人不能证明其报价合理性的，评标委员会应当将其作为投标无效处理。</w:t>
      </w:r>
    </w:p>
    <w:p w14:paraId="7695B078">
      <w:pPr>
        <w:pStyle w:val="4"/>
        <w:keepNext w:val="0"/>
        <w:keepLines w:val="0"/>
        <w:adjustRightInd w:val="0"/>
        <w:snapToGrid w:val="0"/>
        <w:spacing w:before="156" w:beforeLines="50" w:after="0" w:line="360" w:lineRule="auto"/>
        <w:rPr>
          <w:rFonts w:ascii="黑体" w:hAnsi="黑体" w:eastAsia="黑体"/>
          <w:bCs w:val="0"/>
          <w:sz w:val="24"/>
          <w:szCs w:val="24"/>
        </w:rPr>
      </w:pPr>
      <w:bookmarkStart w:id="88" w:name="_Toc12387"/>
      <w:bookmarkStart w:id="89" w:name="_Toc29913917"/>
      <w:bookmarkStart w:id="90" w:name="_Toc5596"/>
      <w:r>
        <w:rPr>
          <w:rFonts w:hint="eastAsia" w:ascii="黑体" w:hAnsi="黑体" w:eastAsia="黑体"/>
          <w:bCs w:val="0"/>
          <w:sz w:val="24"/>
          <w:szCs w:val="24"/>
        </w:rPr>
        <w:t>5．投标文件的比较与评价</w:t>
      </w:r>
      <w:bookmarkEnd w:id="88"/>
      <w:bookmarkEnd w:id="89"/>
      <w:bookmarkEnd w:id="90"/>
    </w:p>
    <w:p w14:paraId="4C2442E3">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5.1评标委员会依法按照本章第三节“投标文件的比较与评价”规定，对资格性检查和符合性检查合格的投标文件进行比较和评价。</w:t>
      </w:r>
    </w:p>
    <w:p w14:paraId="4BD7348A">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5.2单一产品采购项目：</w:t>
      </w:r>
    </w:p>
    <w:p w14:paraId="75287DFF">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综合评分法：提供相同品牌产品且通过资格审查、符合性审查的不同投标人参加同一合同项下投标的，评审后得分最高的同品牌投标人获得中标人推荐资格；评审得分相同的，按照</w:t>
      </w:r>
      <w:r>
        <w:rPr>
          <w:rFonts w:hint="eastAsia" w:asciiTheme="minorEastAsia" w:hAnsiTheme="minorEastAsia" w:eastAsiaTheme="minorEastAsia"/>
          <w:b/>
          <w:szCs w:val="21"/>
        </w:rPr>
        <w:t>【评标方法及标准前附表】</w:t>
      </w:r>
      <w:r>
        <w:rPr>
          <w:rFonts w:hint="eastAsia" w:asciiTheme="minorEastAsia" w:hAnsiTheme="minorEastAsia" w:eastAsiaTheme="minorEastAsia"/>
          <w:szCs w:val="21"/>
        </w:rPr>
        <w:t>规定的方式确定一个投标人获得中标人推荐资格，招标文件未规定的采取随机抽取方式确定，其他同品牌投标人</w:t>
      </w:r>
      <w:r>
        <w:rPr>
          <w:rFonts w:hint="eastAsia" w:asciiTheme="minorEastAsia" w:hAnsiTheme="minorEastAsia" w:eastAsiaTheme="minorEastAsia"/>
          <w:b/>
          <w:szCs w:val="21"/>
        </w:rPr>
        <w:t>不作为中标候选人</w:t>
      </w:r>
      <w:r>
        <w:rPr>
          <w:rFonts w:hint="eastAsia" w:asciiTheme="minorEastAsia" w:hAnsiTheme="minorEastAsia" w:eastAsiaTheme="minorEastAsia"/>
          <w:szCs w:val="21"/>
        </w:rPr>
        <w:t>。</w:t>
      </w:r>
    </w:p>
    <w:p w14:paraId="1267D66D">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5.3非单一产品采购项目：多家投标人提供的核心产品品牌相同的，视为相同品牌，按本章本节第 5.2 款规定处理。</w:t>
      </w:r>
    </w:p>
    <w:p w14:paraId="3F9550DF">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5.3政府采购政策：</w:t>
      </w:r>
    </w:p>
    <w:p w14:paraId="254AD16A">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szCs w:val="21"/>
        </w:rPr>
        <w:t>（1）</w:t>
      </w:r>
      <w:r>
        <w:rPr>
          <w:rFonts w:hint="eastAsia" w:asciiTheme="minorEastAsia" w:hAnsiTheme="minorEastAsia" w:eastAsiaTheme="minorEastAsia"/>
          <w:bCs/>
          <w:szCs w:val="21"/>
        </w:rPr>
        <w:t>价格评审优惠：</w:t>
      </w:r>
      <w:r>
        <w:rPr>
          <w:rFonts w:hint="eastAsia" w:asciiTheme="minorEastAsia" w:hAnsiTheme="minorEastAsia" w:eastAsiaTheme="minorEastAsia"/>
          <w:szCs w:val="21"/>
        </w:rPr>
        <w:t>按</w:t>
      </w:r>
      <w:r>
        <w:rPr>
          <w:rFonts w:hint="eastAsia" w:asciiTheme="minorEastAsia" w:hAnsiTheme="minorEastAsia" w:eastAsiaTheme="minorEastAsia"/>
          <w:b/>
          <w:szCs w:val="21"/>
        </w:rPr>
        <w:t>【评标方法及标准前附表】</w:t>
      </w:r>
      <w:r>
        <w:rPr>
          <w:rFonts w:hint="eastAsia" w:asciiTheme="minorEastAsia" w:hAnsiTheme="minorEastAsia" w:eastAsiaTheme="minorEastAsia"/>
          <w:szCs w:val="21"/>
        </w:rPr>
        <w:t>及第二章“投标须知”的相关规定给予一定的价格折扣。</w:t>
      </w:r>
    </w:p>
    <w:p w14:paraId="02F7E48C">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szCs w:val="21"/>
        </w:rPr>
        <w:t>（2）优先采购：</w:t>
      </w:r>
      <w:r>
        <w:rPr>
          <w:rFonts w:hint="eastAsia" w:asciiTheme="minorEastAsia" w:hAnsiTheme="minorEastAsia" w:eastAsiaTheme="minorEastAsia"/>
          <w:bCs/>
          <w:szCs w:val="21"/>
        </w:rPr>
        <w:t>评审时按</w:t>
      </w:r>
      <w:r>
        <w:rPr>
          <w:rFonts w:hint="eastAsia" w:asciiTheme="minorEastAsia" w:hAnsiTheme="minorEastAsia" w:eastAsiaTheme="minorEastAsia"/>
          <w:b/>
          <w:szCs w:val="21"/>
        </w:rPr>
        <w:t>【评标方法及标准前附表】</w:t>
      </w:r>
      <w:r>
        <w:rPr>
          <w:rFonts w:hint="eastAsia" w:asciiTheme="minorEastAsia" w:hAnsiTheme="minorEastAsia" w:eastAsiaTheme="minorEastAsia"/>
          <w:bCs/>
          <w:szCs w:val="21"/>
        </w:rPr>
        <w:t>及第二章</w:t>
      </w:r>
      <w:r>
        <w:rPr>
          <w:rFonts w:hint="eastAsia" w:asciiTheme="minorEastAsia" w:hAnsiTheme="minorEastAsia" w:eastAsiaTheme="minorEastAsia"/>
          <w:szCs w:val="21"/>
        </w:rPr>
        <w:t>“投标须知”</w:t>
      </w:r>
      <w:r>
        <w:rPr>
          <w:rFonts w:hint="eastAsia" w:asciiTheme="minorEastAsia" w:hAnsiTheme="minorEastAsia" w:eastAsiaTheme="minorEastAsia"/>
          <w:bCs/>
          <w:szCs w:val="21"/>
        </w:rPr>
        <w:t>的相关规定给予价格折扣或者加分。</w:t>
      </w:r>
    </w:p>
    <w:p w14:paraId="28E152B0">
      <w:pPr>
        <w:pStyle w:val="4"/>
        <w:keepNext w:val="0"/>
        <w:keepLines w:val="0"/>
        <w:adjustRightInd w:val="0"/>
        <w:snapToGrid w:val="0"/>
        <w:spacing w:before="156" w:beforeLines="50" w:after="0" w:line="360" w:lineRule="auto"/>
        <w:rPr>
          <w:rFonts w:ascii="黑体" w:hAnsi="黑体" w:eastAsia="黑体"/>
          <w:color w:val="FF0000"/>
          <w:sz w:val="24"/>
          <w:szCs w:val="24"/>
        </w:rPr>
      </w:pPr>
      <w:bookmarkStart w:id="91" w:name="_Toc29913918"/>
      <w:bookmarkStart w:id="92" w:name="_Toc22852"/>
      <w:bookmarkStart w:id="93" w:name="_Toc23499"/>
      <w:r>
        <w:rPr>
          <w:rFonts w:hint="eastAsia" w:ascii="黑体" w:hAnsi="黑体" w:eastAsia="黑体"/>
          <w:bCs w:val="0"/>
          <w:sz w:val="24"/>
          <w:szCs w:val="24"/>
        </w:rPr>
        <w:t>6．</w:t>
      </w:r>
      <w:r>
        <w:rPr>
          <w:rFonts w:hint="eastAsia" w:ascii="黑体" w:hAnsi="黑体" w:eastAsia="黑体"/>
          <w:sz w:val="24"/>
          <w:szCs w:val="24"/>
        </w:rPr>
        <w:t>推荐中标候选人</w:t>
      </w:r>
      <w:bookmarkEnd w:id="91"/>
      <w:bookmarkEnd w:id="92"/>
      <w:bookmarkEnd w:id="93"/>
    </w:p>
    <w:p w14:paraId="48DE1825">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综合评分法：评标结果按评审后得分由高到低顺序排列。得分相同的，按投标报价由低到高顺序排列。得分且投标报价相同的并列，按</w:t>
      </w:r>
      <w:r>
        <w:rPr>
          <w:rFonts w:hint="eastAsia" w:asciiTheme="minorEastAsia" w:hAnsiTheme="minorEastAsia" w:eastAsiaTheme="minorEastAsia"/>
          <w:b/>
          <w:bCs/>
          <w:szCs w:val="21"/>
        </w:rPr>
        <w:t>【评标方法及标准前附表】</w:t>
      </w:r>
      <w:r>
        <w:rPr>
          <w:rFonts w:hint="eastAsia" w:asciiTheme="minorEastAsia" w:hAnsiTheme="minorEastAsia" w:eastAsiaTheme="minorEastAsia"/>
          <w:bCs/>
          <w:szCs w:val="21"/>
        </w:rPr>
        <w:t>规定的方式确定中标人；招标文件未规定的，采取随机抽取的方式确定。</w:t>
      </w:r>
    </w:p>
    <w:p w14:paraId="2E7D3840">
      <w:pPr>
        <w:pStyle w:val="4"/>
        <w:keepNext w:val="0"/>
        <w:keepLines w:val="0"/>
        <w:adjustRightInd w:val="0"/>
        <w:snapToGrid w:val="0"/>
        <w:spacing w:before="156" w:beforeLines="50" w:after="0" w:line="360" w:lineRule="auto"/>
        <w:rPr>
          <w:rFonts w:ascii="黑体" w:hAnsi="黑体" w:eastAsia="黑体"/>
          <w:sz w:val="24"/>
          <w:szCs w:val="24"/>
        </w:rPr>
      </w:pPr>
      <w:bookmarkStart w:id="94" w:name="_Toc11040"/>
      <w:bookmarkStart w:id="95" w:name="_Toc29913919"/>
      <w:bookmarkStart w:id="96" w:name="_Toc2933"/>
      <w:r>
        <w:rPr>
          <w:rFonts w:hint="eastAsia" w:ascii="黑体" w:hAnsi="黑体" w:eastAsia="黑体"/>
          <w:bCs w:val="0"/>
          <w:sz w:val="24"/>
          <w:szCs w:val="24"/>
        </w:rPr>
        <w:t>7．</w:t>
      </w:r>
      <w:r>
        <w:rPr>
          <w:rFonts w:hint="eastAsia" w:ascii="黑体" w:hAnsi="黑体" w:eastAsia="黑体"/>
          <w:sz w:val="24"/>
          <w:szCs w:val="24"/>
        </w:rPr>
        <w:t>编写评标报告</w:t>
      </w:r>
      <w:bookmarkEnd w:id="94"/>
      <w:bookmarkEnd w:id="95"/>
      <w:bookmarkEnd w:id="96"/>
    </w:p>
    <w:p w14:paraId="086DD76C">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7.1评标</w:t>
      </w:r>
      <w:r>
        <w:rPr>
          <w:rFonts w:hint="eastAsia" w:asciiTheme="minorEastAsia" w:hAnsiTheme="minorEastAsia" w:eastAsiaTheme="minorEastAsia"/>
          <w:bCs/>
          <w:szCs w:val="21"/>
        </w:rPr>
        <w:t>委员会</w:t>
      </w:r>
      <w:r>
        <w:rPr>
          <w:rFonts w:hint="eastAsia" w:asciiTheme="minorEastAsia" w:hAnsiTheme="minorEastAsia" w:eastAsiaTheme="minorEastAsia"/>
          <w:szCs w:val="21"/>
        </w:rPr>
        <w:t>根据全体评标成员电子签名的原始评标记录和评标结果编写评标报告。</w:t>
      </w:r>
    </w:p>
    <w:p w14:paraId="21592A9E">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szCs w:val="21"/>
        </w:rPr>
        <w:t>7.2</w:t>
      </w:r>
      <w:r>
        <w:rPr>
          <w:rFonts w:hint="eastAsia" w:asciiTheme="minorEastAsia" w:hAnsiTheme="minorEastAsia" w:eastAsiaTheme="minorEastAsia"/>
          <w:bCs/>
          <w:szCs w:val="21"/>
        </w:rPr>
        <w:t>评标委员会成员对需要共同认定的事项存在争议的，应当按照少数服从多数的原则作出结论。持不同意见的评标委员会成员应当在评标报告上签署不同意见及理由，否则视为同意评标报告。</w:t>
      </w:r>
    </w:p>
    <w:p w14:paraId="7EC31F9F">
      <w:pPr>
        <w:pStyle w:val="4"/>
        <w:keepNext w:val="0"/>
        <w:keepLines w:val="0"/>
        <w:adjustRightInd w:val="0"/>
        <w:snapToGrid w:val="0"/>
        <w:spacing w:before="156" w:beforeLines="50" w:after="0" w:line="360" w:lineRule="auto"/>
        <w:rPr>
          <w:rFonts w:ascii="黑体" w:hAnsi="黑体" w:eastAsia="黑体"/>
          <w:bCs w:val="0"/>
          <w:sz w:val="24"/>
          <w:szCs w:val="24"/>
        </w:rPr>
      </w:pPr>
      <w:bookmarkStart w:id="97" w:name="_Toc31380"/>
      <w:bookmarkStart w:id="98" w:name="_Toc9642"/>
      <w:bookmarkStart w:id="99" w:name="_Toc29913920"/>
      <w:r>
        <w:rPr>
          <w:rFonts w:hint="eastAsia" w:ascii="黑体" w:hAnsi="黑体" w:eastAsia="黑体"/>
          <w:bCs w:val="0"/>
          <w:sz w:val="24"/>
          <w:szCs w:val="24"/>
        </w:rPr>
        <w:t>8．</w:t>
      </w:r>
      <w:r>
        <w:rPr>
          <w:rFonts w:hint="eastAsia" w:ascii="黑体" w:hAnsi="黑体" w:eastAsia="黑体"/>
          <w:sz w:val="24"/>
          <w:szCs w:val="24"/>
        </w:rPr>
        <w:t>评标报告</w:t>
      </w:r>
      <w:r>
        <w:rPr>
          <w:rFonts w:hint="eastAsia" w:ascii="黑体" w:hAnsi="黑体" w:eastAsia="黑体"/>
          <w:bCs w:val="0"/>
          <w:sz w:val="24"/>
          <w:szCs w:val="24"/>
        </w:rPr>
        <w:t>复核</w:t>
      </w:r>
      <w:bookmarkEnd w:id="97"/>
      <w:bookmarkEnd w:id="98"/>
      <w:bookmarkEnd w:id="99"/>
    </w:p>
    <w:p w14:paraId="0E18369F">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8.1汇总结束后，评标委员会应当进行复核，特别要对拟推荐为中标候选供应商的、报价最低的、投标文件被认定为无效的进行重点复核。</w:t>
      </w:r>
    </w:p>
    <w:p w14:paraId="26FB068A">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8.2汇总完成后，除下列情形外，任何人不得修改评标结果：</w:t>
      </w:r>
    </w:p>
    <w:p w14:paraId="7366EA14">
      <w:pPr>
        <w:adjustRightInd w:val="0"/>
        <w:snapToGrid w:val="0"/>
        <w:spacing w:before="156"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（1）分值汇总计算错误的；</w:t>
      </w:r>
    </w:p>
    <w:p w14:paraId="6162CE7E">
      <w:pPr>
        <w:adjustRightInd w:val="0"/>
        <w:snapToGrid w:val="0"/>
        <w:spacing w:before="156"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（2）分项评分超出评分标准范围的；</w:t>
      </w:r>
    </w:p>
    <w:p w14:paraId="29767721">
      <w:pPr>
        <w:adjustRightInd w:val="0"/>
        <w:snapToGrid w:val="0"/>
        <w:spacing w:before="156"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（3）评标委员会成员对客观评审因素评分不一致的；</w:t>
      </w:r>
    </w:p>
    <w:p w14:paraId="4CBEDDFD">
      <w:pPr>
        <w:adjustRightInd w:val="0"/>
        <w:snapToGrid w:val="0"/>
        <w:spacing w:before="156"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（4）经评标委员会认定评分畸高、畸低的。</w:t>
      </w:r>
    </w:p>
    <w:p w14:paraId="15C6129F">
      <w:pPr>
        <w:adjustRightInd w:val="0"/>
        <w:snapToGrid w:val="0"/>
        <w:spacing w:before="156" w:beforeLines="50" w:line="360" w:lineRule="auto"/>
        <w:ind w:firstLine="420" w:firstLineChars="200"/>
        <w:jc w:val="left"/>
        <w:rPr>
          <w:rFonts w:asciiTheme="minorEastAsia" w:hAnsiTheme="minorEastAsia" w:eastAsiaTheme="minorEastAsia"/>
          <w:b/>
          <w:bCs/>
          <w:szCs w:val="21"/>
        </w:rPr>
      </w:pPr>
      <w:r>
        <w:rPr>
          <w:rFonts w:hint="eastAsia" w:asciiTheme="minorEastAsia" w:hAnsiTheme="minorEastAsia" w:eastAsiaTheme="minorEastAsia"/>
          <w:bCs/>
          <w:szCs w:val="21"/>
        </w:rPr>
        <w:t>8.3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3D0044A">
      <w:pPr>
        <w:pStyle w:val="4"/>
        <w:keepNext w:val="0"/>
        <w:keepLines w:val="0"/>
        <w:adjustRightInd w:val="0"/>
        <w:snapToGrid w:val="0"/>
        <w:spacing w:before="156" w:beforeLines="50" w:after="0" w:line="360" w:lineRule="auto"/>
        <w:rPr>
          <w:rFonts w:ascii="黑体" w:hAnsi="黑体" w:eastAsia="黑体"/>
          <w:bCs w:val="0"/>
          <w:sz w:val="24"/>
          <w:szCs w:val="24"/>
        </w:rPr>
      </w:pPr>
      <w:bookmarkStart w:id="100" w:name="_Toc14228"/>
      <w:bookmarkStart w:id="101" w:name="_Toc29913921"/>
      <w:bookmarkStart w:id="102" w:name="_Toc22688"/>
      <w:r>
        <w:rPr>
          <w:rFonts w:hint="eastAsia" w:ascii="黑体" w:hAnsi="黑体" w:eastAsia="黑体"/>
          <w:sz w:val="24"/>
          <w:szCs w:val="24"/>
        </w:rPr>
        <w:t>9．</w:t>
      </w:r>
      <w:r>
        <w:rPr>
          <w:rFonts w:hint="eastAsia" w:ascii="黑体" w:hAnsi="黑体" w:eastAsia="黑体"/>
          <w:bCs w:val="0"/>
          <w:sz w:val="24"/>
          <w:szCs w:val="24"/>
        </w:rPr>
        <w:t>停止评标</w:t>
      </w:r>
      <w:bookmarkEnd w:id="100"/>
      <w:bookmarkEnd w:id="101"/>
      <w:bookmarkEnd w:id="102"/>
    </w:p>
    <w:p w14:paraId="0F89BF6D">
      <w:pPr>
        <w:adjustRightInd w:val="0"/>
        <w:snapToGrid w:val="0"/>
        <w:spacing w:before="156" w:beforeLines="50" w:line="360" w:lineRule="auto"/>
        <w:ind w:firstLine="420" w:firstLineChars="200"/>
        <w:jc w:val="left"/>
        <w:rPr>
          <w:rFonts w:cs="宋体" w:asciiTheme="minorEastAsia" w:hAnsiTheme="minorEastAsia" w:eastAsiaTheme="minorEastAsia"/>
          <w:kern w:val="0"/>
          <w:szCs w:val="21"/>
        </w:rPr>
      </w:pPr>
      <w:r>
        <w:rPr>
          <w:rFonts w:hint="eastAsia" w:asciiTheme="minorEastAsia" w:hAnsiTheme="minorEastAsia" w:eastAsiaTheme="minorEastAsia"/>
          <w:bCs/>
          <w:szCs w:val="21"/>
        </w:rPr>
        <w:t>9.1</w:t>
      </w:r>
      <w:r>
        <w:rPr>
          <w:rFonts w:hint="eastAsia" w:cs="宋体" w:asciiTheme="minorEastAsia" w:hAnsiTheme="minorEastAsia" w:eastAsiaTheme="minorEastAsia"/>
          <w:kern w:val="0"/>
          <w:szCs w:val="21"/>
        </w:rPr>
        <w:t>评标委员会发现招标文件存在歧义、重大缺陷导致评标工作无法进行，或者招标文件内容违反国家有关强制性规定的，应当停止评标工作，与采购人、采购代理机构沟通并作书面记录。采购人、采购代理机构确认后，应当修改招标文件，重新组织采购活动。</w:t>
      </w:r>
    </w:p>
    <w:p w14:paraId="730C2183">
      <w:pPr>
        <w:pStyle w:val="4"/>
        <w:keepNext w:val="0"/>
        <w:keepLines w:val="0"/>
        <w:adjustRightInd w:val="0"/>
        <w:snapToGrid w:val="0"/>
        <w:spacing w:before="156" w:beforeLines="50" w:after="0" w:line="360" w:lineRule="auto"/>
        <w:rPr>
          <w:rFonts w:hint="eastAsia" w:ascii="黑体" w:hAnsi="黑体" w:eastAsia="黑体" w:cs="Times New Roman"/>
          <w:sz w:val="24"/>
          <w:szCs w:val="24"/>
        </w:rPr>
      </w:pPr>
      <w:r>
        <w:rPr>
          <w:rFonts w:hint="eastAsia" w:ascii="黑体" w:hAnsi="黑体" w:eastAsia="黑体" w:cs="Times New Roman"/>
          <w:sz w:val="24"/>
          <w:szCs w:val="24"/>
        </w:rPr>
        <w:t>10.废标</w:t>
      </w:r>
    </w:p>
    <w:p w14:paraId="344CD3A2">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10.1 根据有关法律法规和招标文件的有关规定，如出现下列情况之一的，应予以废标：</w:t>
      </w:r>
    </w:p>
    <w:p w14:paraId="73AB6944">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（1）符合专业条件的投标人或者对招标文件作实质响应的投标人不足三家的；</w:t>
      </w:r>
    </w:p>
    <w:p w14:paraId="3890C839">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（2）出现影响采购公正的违法、违规行为的；</w:t>
      </w:r>
    </w:p>
    <w:p w14:paraId="318404BA">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（3）投标人的报价均超过招标人项目采购预算，招标人不能支付的；</w:t>
      </w:r>
    </w:p>
    <w:p w14:paraId="15976243">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（4）因重大变故，采购任务取消的。</w:t>
      </w:r>
    </w:p>
    <w:p w14:paraId="092CADFF">
      <w:pPr>
        <w:pStyle w:val="4"/>
        <w:keepNext w:val="0"/>
        <w:keepLines w:val="0"/>
        <w:adjustRightInd w:val="0"/>
        <w:snapToGrid w:val="0"/>
        <w:spacing w:before="156" w:beforeLines="50" w:after="0" w:line="360" w:lineRule="auto"/>
        <w:rPr>
          <w:rFonts w:ascii="黑体" w:hAnsi="黑体" w:eastAsia="黑体"/>
          <w:bCs w:val="0"/>
          <w:sz w:val="24"/>
          <w:szCs w:val="24"/>
        </w:rPr>
      </w:pPr>
      <w:bookmarkStart w:id="103" w:name="_Toc20261"/>
      <w:bookmarkStart w:id="104" w:name="_Toc29913922"/>
      <w:bookmarkStart w:id="105" w:name="_Toc881"/>
      <w:r>
        <w:rPr>
          <w:rFonts w:hint="eastAsia" w:ascii="黑体" w:hAnsi="黑体" w:eastAsia="黑体" w:cs="宋体"/>
          <w:kern w:val="0"/>
          <w:sz w:val="24"/>
          <w:szCs w:val="24"/>
        </w:rPr>
        <w:t>11．重新组建评标委员会进行评标</w:t>
      </w:r>
      <w:bookmarkEnd w:id="103"/>
      <w:bookmarkEnd w:id="104"/>
      <w:bookmarkEnd w:id="105"/>
    </w:p>
    <w:p w14:paraId="325D58F9">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11.1评标委员会或者其成员存在下列情形导致评标结果无效的，采购人、采购代理机构可以重新组建评标委员会进行评标，并书面报告本级财政部门，但采购合同已经履行的除外：</w:t>
      </w:r>
    </w:p>
    <w:p w14:paraId="6BC9427E">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（1）评标委员会组成不符合《政府采购货物和服务招标投标管理办法》规定的；</w:t>
      </w:r>
    </w:p>
    <w:p w14:paraId="2ECB5AFA">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（2）有《政府采购货物和服务招标投标管理办法》第六十二条第一至五项情形的；</w:t>
      </w:r>
    </w:p>
    <w:p w14:paraId="7A805199">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（3）评标委员会及其成员独立评标受到非法干预的；</w:t>
      </w:r>
    </w:p>
    <w:p w14:paraId="4CD76FB2">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（4）有政府采购法实施条例第七十五条规定的违法行为的。</w:t>
      </w:r>
    </w:p>
    <w:p w14:paraId="0E66F2C4">
      <w:pPr>
        <w:adjustRightInd w:val="0"/>
        <w:snapToGrid w:val="0"/>
        <w:spacing w:before="156" w:beforeLines="50" w:line="360" w:lineRule="auto"/>
        <w:ind w:firstLine="420" w:firstLineChars="200"/>
        <w:jc w:val="left"/>
        <w:rPr>
          <w:rFonts w:ascii="黑体" w:hAnsi="华文中宋" w:eastAsia="黑体"/>
          <w:b/>
          <w:sz w:val="32"/>
          <w:szCs w:val="32"/>
        </w:rPr>
      </w:pPr>
      <w:r>
        <w:rPr>
          <w:rFonts w:hint="eastAsia" w:asciiTheme="minorEastAsia" w:hAnsiTheme="minorEastAsia" w:eastAsiaTheme="minorEastAsia"/>
          <w:szCs w:val="21"/>
        </w:rPr>
        <w:t>11.2有违法违规行为的原评标委员会成员不得参加重新组建的评标委员会。</w:t>
      </w:r>
      <w:r>
        <w:rPr>
          <w:rFonts w:ascii="黑体" w:hAnsi="华文中宋" w:eastAsia="黑体"/>
          <w:b/>
          <w:sz w:val="32"/>
          <w:szCs w:val="32"/>
        </w:rPr>
        <w:br w:type="page"/>
      </w:r>
    </w:p>
    <w:p w14:paraId="33E89404">
      <w:pPr>
        <w:pStyle w:val="3"/>
        <w:adjustRightInd w:val="0"/>
        <w:snapToGrid w:val="0"/>
        <w:jc w:val="center"/>
        <w:rPr>
          <w:rFonts w:ascii="黑体" w:hAnsi="华文中宋" w:eastAsia="黑体"/>
          <w:sz w:val="28"/>
          <w:szCs w:val="28"/>
        </w:rPr>
      </w:pPr>
      <w:bookmarkStart w:id="106" w:name="_Toc29913923"/>
      <w:bookmarkStart w:id="107" w:name="_Toc5040"/>
      <w:bookmarkStart w:id="108" w:name="_Toc30098"/>
      <w:bookmarkStart w:id="109" w:name="_Toc22185"/>
      <w:r>
        <w:rPr>
          <w:rFonts w:hint="eastAsia" w:ascii="黑体" w:hAnsi="华文中宋" w:eastAsia="黑体"/>
          <w:sz w:val="28"/>
          <w:szCs w:val="28"/>
        </w:rPr>
        <w:t>第三节 投标文件的符合性审查</w:t>
      </w:r>
      <w:bookmarkEnd w:id="106"/>
      <w:bookmarkEnd w:id="107"/>
      <w:bookmarkEnd w:id="108"/>
      <w:bookmarkEnd w:id="109"/>
    </w:p>
    <w:p w14:paraId="581A3C3B">
      <w:pPr>
        <w:adjustRightInd w:val="0"/>
        <w:snapToGrid w:val="0"/>
        <w:spacing w:before="156" w:beforeLines="50" w:line="360" w:lineRule="auto"/>
        <w:rPr>
          <w:rFonts w:ascii="黑体" w:hAnsi="黑体" w:eastAsia="黑体"/>
          <w:b/>
          <w:sz w:val="24"/>
        </w:rPr>
      </w:pPr>
      <w:r>
        <w:rPr>
          <w:rFonts w:hint="eastAsia" w:ascii="黑体" w:hAnsi="黑体" w:eastAsia="黑体"/>
          <w:b/>
          <w:sz w:val="24"/>
        </w:rPr>
        <w:t>1.符合性审查</w:t>
      </w:r>
    </w:p>
    <w:p w14:paraId="1246536F">
      <w:pPr>
        <w:adjustRightInd w:val="0"/>
        <w:snapToGrid w:val="0"/>
        <w:spacing w:before="156" w:beforeLines="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w:t>
      </w:r>
      <w:r>
        <w:rPr>
          <w:rFonts w:hint="eastAsia" w:asciiTheme="minorEastAsia" w:hAnsiTheme="minorEastAsia" w:eastAsiaTheme="minorEastAsia"/>
          <w:szCs w:val="21"/>
        </w:rPr>
        <w:t>评标委员会应</w:t>
      </w:r>
      <w:r>
        <w:rPr>
          <w:rFonts w:hint="eastAsia" w:asciiTheme="minorEastAsia" w:hAnsiTheme="minorEastAsia" w:eastAsiaTheme="minorEastAsia"/>
        </w:rPr>
        <w:t>对符合资格条件的投标人的投标文件进行符合性审查，以确定其是否满足招标文件的实质性要求。</w:t>
      </w:r>
    </w:p>
    <w:p w14:paraId="13C48567">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依据招标文件的规定，从投标文件的有效性、完整性和对招标文件的响应程度进行审查，以确定是否对招标文件的实质性要求作出响应。评标委员会判断投标文件的响应性只根据投标文件的内容，而不依据外部的证据。</w:t>
      </w:r>
    </w:p>
    <w:p w14:paraId="6B6F175F">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（2）投标人不得通过修正或撤销不合要求的偏离从而使其投标成为实质上响应的投标。</w:t>
      </w:r>
    </w:p>
    <w:p w14:paraId="07557B3E">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kern w:val="0"/>
          <w:szCs w:val="21"/>
        </w:rPr>
        <w:t>1.2</w:t>
      </w:r>
      <w:r>
        <w:rPr>
          <w:rFonts w:hint="eastAsia" w:asciiTheme="minorEastAsia" w:hAnsiTheme="minorEastAsia" w:eastAsiaTheme="minorEastAsia"/>
        </w:rPr>
        <w:t>未通过符合性审查的投标人，其投标将被认定为投标无效，不能进入下一阶段评审。通过符合性审查的投标人数量不足 3 家的，不得作进一步的比较和评价。</w:t>
      </w:r>
    </w:p>
    <w:p w14:paraId="61994911">
      <w:pPr>
        <w:adjustRightInd w:val="0"/>
        <w:snapToGrid w:val="0"/>
        <w:spacing w:before="156" w:beforeLines="50" w:line="360" w:lineRule="auto"/>
        <w:jc w:val="left"/>
        <w:rPr>
          <w:rFonts w:ascii="黑体" w:hAnsi="黑体" w:eastAsia="黑体"/>
          <w:b/>
          <w:sz w:val="24"/>
        </w:rPr>
      </w:pPr>
      <w:r>
        <w:rPr>
          <w:rFonts w:hint="eastAsia" w:ascii="黑体" w:hAnsi="黑体" w:eastAsia="黑体"/>
          <w:b/>
          <w:sz w:val="24"/>
        </w:rPr>
        <w:t>2.投标无效</w:t>
      </w:r>
    </w:p>
    <w:p w14:paraId="6FC25EBE">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2.1投标人存在下列情况之一的，符合性审查不合格，投标无效：</w:t>
      </w:r>
    </w:p>
    <w:p w14:paraId="3BC7AB98">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（1）投标文件中商务技术文件未按照招标文件规定要求签署、盖章的；</w:t>
      </w:r>
    </w:p>
    <w:p w14:paraId="2777A059">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（2）投标文件没有对招标文件的实质性要求和条件作出响应，或者对招标文件的偏离超出招标文件规定的偏离</w:t>
      </w:r>
      <w:r>
        <w:rPr>
          <w:rFonts w:hint="eastAsia" w:asciiTheme="minorEastAsia" w:hAnsiTheme="minorEastAsia" w:eastAsiaTheme="minorEastAsia"/>
        </w:rPr>
        <w:t>范围和幅度</w:t>
      </w:r>
      <w:r>
        <w:rPr>
          <w:rFonts w:hint="eastAsia" w:asciiTheme="minorEastAsia" w:hAnsiTheme="minorEastAsia" w:eastAsiaTheme="minorEastAsia"/>
          <w:szCs w:val="21"/>
        </w:rPr>
        <w:t>；</w:t>
      </w:r>
    </w:p>
    <w:p w14:paraId="621EBC64">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（3）投标有效期不足的；</w:t>
      </w:r>
    </w:p>
    <w:p w14:paraId="07A9B6D9">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（4）投标文件含有采购人不能接受的附加条件的；</w:t>
      </w:r>
    </w:p>
    <w:p w14:paraId="19CFD873">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（5）不符合本节第1.1款规定符合性审查标准的；</w:t>
      </w:r>
    </w:p>
    <w:p w14:paraId="45853187">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（6）法律、法规和招标文件规定的其他投标无效情形的。</w:t>
      </w:r>
    </w:p>
    <w:p w14:paraId="17144E13">
      <w:pPr>
        <w:adjustRightInd w:val="0"/>
        <w:snapToGrid w:val="0"/>
        <w:spacing w:before="156" w:beforeLines="50"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2.2在评标过程中发现投标人有不遵循公平竞争的原则，恶意串通，妨碍其他投标人的竞争行为，损害采购人或者其他投标人的合法权益的，评标委员会应当认定其</w:t>
      </w:r>
      <w:r>
        <w:rPr>
          <w:rFonts w:hint="eastAsia" w:asciiTheme="minorEastAsia" w:hAnsiTheme="minorEastAsia" w:eastAsiaTheme="minorEastAsia"/>
          <w:b/>
          <w:kern w:val="0"/>
          <w:szCs w:val="21"/>
        </w:rPr>
        <w:t>投标无效</w:t>
      </w:r>
      <w:r>
        <w:rPr>
          <w:rFonts w:hint="eastAsia" w:asciiTheme="minorEastAsia" w:hAnsiTheme="minorEastAsia" w:eastAsiaTheme="minorEastAsia"/>
          <w:kern w:val="0"/>
          <w:szCs w:val="21"/>
        </w:rPr>
        <w:t>，并书面报告本级财政部门。</w:t>
      </w:r>
    </w:p>
    <w:p w14:paraId="0DB068CE"/>
    <w:p w14:paraId="2994A12F"/>
    <w:p w14:paraId="3830605A">
      <w:pPr>
        <w:widowControl/>
        <w:jc w:val="left"/>
        <w:rPr>
          <w:rFonts w:ascii="黑体" w:hAnsi="黑体"/>
          <w:b/>
          <w:color w:val="FF0000"/>
          <w:szCs w:val="21"/>
        </w:rPr>
      </w:pPr>
      <w:r>
        <w:rPr>
          <w:rFonts w:ascii="黑体" w:hAnsi="黑体"/>
          <w:b/>
          <w:color w:val="FF0000"/>
          <w:szCs w:val="21"/>
        </w:rPr>
        <w:br w:type="page"/>
      </w:r>
    </w:p>
    <w:p w14:paraId="081C550B">
      <w:pPr>
        <w:pStyle w:val="4"/>
        <w:adjustRightInd w:val="0"/>
        <w:snapToGrid w:val="0"/>
        <w:spacing w:before="156" w:beforeLines="50" w:after="0" w:line="360" w:lineRule="auto"/>
        <w:rPr>
          <w:sz w:val="21"/>
          <w:szCs w:val="21"/>
        </w:rPr>
      </w:pPr>
      <w:bookmarkStart w:id="110" w:name="_Toc20064"/>
      <w:bookmarkStart w:id="111" w:name="_Toc32648"/>
      <w:bookmarkStart w:id="112" w:name="_Toc20651227"/>
      <w:bookmarkStart w:id="113" w:name="_Toc29913924"/>
      <w:r>
        <w:rPr>
          <w:rFonts w:hint="eastAsia"/>
          <w:sz w:val="21"/>
          <w:szCs w:val="21"/>
        </w:rPr>
        <w:t>附表1 符合性审查表</w:t>
      </w:r>
      <w:bookmarkEnd w:id="110"/>
      <w:bookmarkEnd w:id="111"/>
      <w:bookmarkEnd w:id="112"/>
    </w:p>
    <w:p w14:paraId="5A29469F">
      <w:pPr>
        <w:adjustRightInd w:val="0"/>
        <w:snapToGrid w:val="0"/>
        <w:spacing w:before="156" w:beforeLines="50" w:line="360" w:lineRule="auto"/>
        <w:jc w:val="center"/>
        <w:rPr>
          <w:rFonts w:ascii="黑体" w:hAnsi="黑体" w:eastAsia="黑体"/>
          <w:b/>
          <w:sz w:val="28"/>
          <w:szCs w:val="28"/>
        </w:rPr>
      </w:pPr>
      <w:r>
        <w:rPr>
          <w:rFonts w:hint="eastAsia" w:ascii="黑体" w:hAnsi="黑体" w:eastAsia="黑体"/>
          <w:b/>
          <w:sz w:val="28"/>
          <w:szCs w:val="28"/>
        </w:rPr>
        <w:t>符合性审查表</w:t>
      </w:r>
    </w:p>
    <w:p w14:paraId="6BB53F5A">
      <w:pPr>
        <w:adjustRightInd w:val="0"/>
        <w:snapToGrid w:val="0"/>
        <w:spacing w:before="156" w:beforeLines="50"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项目名称：                                           采购代理编号： </w:t>
      </w:r>
    </w:p>
    <w:tbl>
      <w:tblPr>
        <w:tblStyle w:val="44"/>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3745"/>
        <w:gridCol w:w="4632"/>
      </w:tblGrid>
      <w:tr w14:paraId="6953A0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683" w:type="dxa"/>
            <w:vAlign w:val="center"/>
          </w:tcPr>
          <w:p w14:paraId="133BB42E">
            <w:pPr>
              <w:adjustRightInd w:val="0"/>
              <w:snapToGrid w:val="0"/>
              <w:spacing w:before="156" w:beforeLines="50" w:line="360" w:lineRule="auto"/>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序号</w:t>
            </w:r>
          </w:p>
        </w:tc>
        <w:tc>
          <w:tcPr>
            <w:tcW w:w="3745" w:type="dxa"/>
            <w:vAlign w:val="center"/>
          </w:tcPr>
          <w:p w14:paraId="5ED64AE1">
            <w:pPr>
              <w:adjustRightInd w:val="0"/>
              <w:snapToGrid w:val="0"/>
              <w:spacing w:before="156" w:beforeLines="50" w:line="360" w:lineRule="auto"/>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审查项目</w:t>
            </w:r>
          </w:p>
        </w:tc>
        <w:tc>
          <w:tcPr>
            <w:tcW w:w="4632" w:type="dxa"/>
            <w:vAlign w:val="center"/>
          </w:tcPr>
          <w:p w14:paraId="26717DEB">
            <w:pPr>
              <w:adjustRightInd w:val="0"/>
              <w:snapToGrid w:val="0"/>
              <w:spacing w:before="156" w:beforeLines="50" w:line="360" w:lineRule="auto"/>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审查标准</w:t>
            </w:r>
          </w:p>
        </w:tc>
      </w:tr>
      <w:tr w14:paraId="43B7EB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162314DA">
            <w:pPr>
              <w:adjustRightInd w:val="0"/>
              <w:snapToGrid w:val="0"/>
              <w:spacing w:beforeLines="50" w:line="360" w:lineRule="auto"/>
              <w:jc w:val="center"/>
              <w:rPr>
                <w:rFonts w:cs="宋体" w:asciiTheme="minorEastAsia" w:hAnsiTheme="minorEastAsia" w:eastAsiaTheme="minorEastAsia"/>
                <w:kern w:val="0"/>
                <w:szCs w:val="21"/>
              </w:rPr>
            </w:pPr>
            <w:r>
              <w:rPr>
                <w:rFonts w:hint="eastAsia" w:ascii="宋体" w:hAnsi="宋体" w:eastAsia="宋体" w:cs="宋体"/>
                <w:kern w:val="0"/>
                <w:szCs w:val="21"/>
              </w:rPr>
              <w:t>1</w:t>
            </w:r>
          </w:p>
        </w:tc>
        <w:tc>
          <w:tcPr>
            <w:tcW w:w="3745" w:type="dxa"/>
            <w:vAlign w:val="center"/>
          </w:tcPr>
          <w:p w14:paraId="1DE56F71">
            <w:pPr>
              <w:adjustRightInd w:val="0"/>
              <w:snapToGrid w:val="0"/>
              <w:spacing w:beforeLines="50" w:line="360" w:lineRule="auto"/>
              <w:jc w:val="left"/>
              <w:rPr>
                <w:rFonts w:cs="宋体" w:asciiTheme="minorEastAsia" w:hAnsiTheme="minorEastAsia" w:eastAsiaTheme="minorEastAsia"/>
                <w:color w:val="FF0000"/>
                <w:kern w:val="0"/>
                <w:szCs w:val="21"/>
              </w:rPr>
            </w:pPr>
            <w:r>
              <w:rPr>
                <w:rFonts w:hint="eastAsia" w:ascii="宋体" w:hAnsi="宋体" w:eastAsia="宋体" w:cs="宋体"/>
                <w:kern w:val="0"/>
                <w:szCs w:val="21"/>
              </w:rPr>
              <w:t>投标有效期</w:t>
            </w:r>
          </w:p>
        </w:tc>
        <w:tc>
          <w:tcPr>
            <w:tcW w:w="4632" w:type="dxa"/>
            <w:vAlign w:val="center"/>
          </w:tcPr>
          <w:p w14:paraId="19F1BD55">
            <w:pPr>
              <w:adjustRightInd w:val="0"/>
              <w:snapToGrid w:val="0"/>
              <w:spacing w:beforeLines="50" w:line="360" w:lineRule="auto"/>
              <w:jc w:val="center"/>
              <w:rPr>
                <w:rFonts w:cs="宋体" w:asciiTheme="minorEastAsia" w:hAnsiTheme="minorEastAsia" w:eastAsiaTheme="minorEastAsia"/>
                <w:color w:val="FF0000"/>
                <w:kern w:val="0"/>
                <w:szCs w:val="21"/>
              </w:rPr>
            </w:pPr>
            <w:r>
              <w:rPr>
                <w:rFonts w:hint="eastAsia" w:ascii="宋体" w:hAnsi="宋体" w:eastAsia="宋体" w:cs="宋体"/>
                <w:kern w:val="0"/>
                <w:szCs w:val="21"/>
              </w:rPr>
              <w:t>是否符合招标文件的规定</w:t>
            </w:r>
          </w:p>
        </w:tc>
      </w:tr>
      <w:tr w14:paraId="3811D4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3EA6D154">
            <w:pPr>
              <w:adjustRightInd w:val="0"/>
              <w:snapToGrid w:val="0"/>
              <w:spacing w:beforeLines="50" w:line="360" w:lineRule="auto"/>
              <w:jc w:val="center"/>
              <w:rPr>
                <w:rFonts w:cs="宋体" w:asciiTheme="minorEastAsia" w:hAnsiTheme="minorEastAsia" w:eastAsiaTheme="minorEastAsia"/>
                <w:kern w:val="0"/>
                <w:szCs w:val="21"/>
              </w:rPr>
            </w:pPr>
            <w:r>
              <w:rPr>
                <w:rFonts w:hint="eastAsia" w:ascii="宋体" w:hAnsi="宋体" w:eastAsia="宋体" w:cs="宋体"/>
                <w:kern w:val="0"/>
                <w:szCs w:val="21"/>
              </w:rPr>
              <w:t>2</w:t>
            </w:r>
          </w:p>
        </w:tc>
        <w:tc>
          <w:tcPr>
            <w:tcW w:w="3745" w:type="dxa"/>
            <w:vAlign w:val="center"/>
          </w:tcPr>
          <w:p w14:paraId="6A0C2E0B">
            <w:pPr>
              <w:adjustRightInd w:val="0"/>
              <w:snapToGrid w:val="0"/>
              <w:spacing w:beforeLines="50" w:line="360" w:lineRule="auto"/>
              <w:rPr>
                <w:rFonts w:cs="宋体" w:asciiTheme="minorEastAsia" w:hAnsiTheme="minorEastAsia" w:eastAsiaTheme="minorEastAsia"/>
                <w:color w:val="FF0000"/>
                <w:kern w:val="0"/>
                <w:szCs w:val="21"/>
              </w:rPr>
            </w:pPr>
            <w:r>
              <w:rPr>
                <w:rFonts w:hint="eastAsia" w:ascii="宋体" w:hAnsi="宋体" w:eastAsia="宋体" w:cs="宋体"/>
                <w:kern w:val="0"/>
                <w:szCs w:val="21"/>
              </w:rPr>
              <w:t>投标商务和技术文件的签署、盖章</w:t>
            </w:r>
          </w:p>
        </w:tc>
        <w:tc>
          <w:tcPr>
            <w:tcW w:w="4632" w:type="dxa"/>
            <w:vAlign w:val="center"/>
          </w:tcPr>
          <w:p w14:paraId="13E335E5">
            <w:pPr>
              <w:adjustRightInd w:val="0"/>
              <w:snapToGrid w:val="0"/>
              <w:spacing w:beforeLines="50" w:line="360" w:lineRule="auto"/>
              <w:jc w:val="center"/>
              <w:rPr>
                <w:rFonts w:cs="宋体" w:asciiTheme="minorEastAsia" w:hAnsiTheme="minorEastAsia" w:eastAsiaTheme="minorEastAsia"/>
                <w:color w:val="FF0000"/>
                <w:kern w:val="0"/>
                <w:szCs w:val="21"/>
              </w:rPr>
            </w:pPr>
            <w:r>
              <w:rPr>
                <w:rFonts w:hint="eastAsia" w:ascii="宋体" w:hAnsi="宋体" w:eastAsia="宋体" w:cs="宋体"/>
                <w:kern w:val="0"/>
                <w:szCs w:val="21"/>
              </w:rPr>
              <w:t>是否符合招标文件的规定</w:t>
            </w:r>
          </w:p>
        </w:tc>
      </w:tr>
      <w:tr w14:paraId="6A60D8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6413AA37">
            <w:pPr>
              <w:adjustRightInd w:val="0"/>
              <w:snapToGrid w:val="0"/>
              <w:spacing w:beforeLines="50" w:line="360" w:lineRule="auto"/>
              <w:jc w:val="center"/>
              <w:rPr>
                <w:rFonts w:cs="宋体" w:asciiTheme="minorEastAsia" w:hAnsiTheme="minorEastAsia" w:eastAsiaTheme="minorEastAsia"/>
                <w:kern w:val="0"/>
                <w:szCs w:val="21"/>
              </w:rPr>
            </w:pPr>
            <w:r>
              <w:rPr>
                <w:rFonts w:hint="eastAsia" w:ascii="宋体" w:hAnsi="宋体" w:eastAsia="宋体" w:cs="宋体"/>
                <w:kern w:val="0"/>
                <w:szCs w:val="21"/>
              </w:rPr>
              <w:t>3</w:t>
            </w:r>
          </w:p>
        </w:tc>
        <w:tc>
          <w:tcPr>
            <w:tcW w:w="3745" w:type="dxa"/>
            <w:vAlign w:val="center"/>
          </w:tcPr>
          <w:p w14:paraId="661CA5C7">
            <w:pPr>
              <w:adjustRightInd w:val="0"/>
              <w:snapToGrid w:val="0"/>
              <w:spacing w:beforeLines="50" w:line="360" w:lineRule="auto"/>
              <w:rPr>
                <w:rFonts w:cs="宋体" w:asciiTheme="minorEastAsia" w:hAnsiTheme="minorEastAsia" w:eastAsiaTheme="minorEastAsia"/>
                <w:color w:val="FF0000"/>
                <w:kern w:val="0"/>
                <w:szCs w:val="21"/>
              </w:rPr>
            </w:pPr>
            <w:r>
              <w:rPr>
                <w:rFonts w:hint="eastAsia" w:ascii="宋体" w:hAnsi="宋体" w:eastAsia="宋体" w:cs="宋体"/>
                <w:kern w:val="0"/>
                <w:szCs w:val="21"/>
              </w:rPr>
              <w:t>投标人对采购项目内容只允许有一个投标报价，否则其投标无效</w:t>
            </w:r>
          </w:p>
        </w:tc>
        <w:tc>
          <w:tcPr>
            <w:tcW w:w="4632" w:type="dxa"/>
            <w:vAlign w:val="center"/>
          </w:tcPr>
          <w:p w14:paraId="42097A00">
            <w:pPr>
              <w:adjustRightInd w:val="0"/>
              <w:snapToGrid w:val="0"/>
              <w:spacing w:beforeLines="50" w:line="360" w:lineRule="auto"/>
              <w:jc w:val="center"/>
              <w:rPr>
                <w:rFonts w:cs="宋体" w:asciiTheme="minorEastAsia" w:hAnsiTheme="minorEastAsia" w:eastAsiaTheme="minorEastAsia"/>
                <w:color w:val="FF0000"/>
                <w:kern w:val="0"/>
                <w:szCs w:val="21"/>
              </w:rPr>
            </w:pPr>
            <w:r>
              <w:rPr>
                <w:rFonts w:hint="eastAsia" w:ascii="宋体" w:hAnsi="宋体" w:eastAsia="宋体" w:cs="宋体"/>
                <w:kern w:val="0"/>
                <w:szCs w:val="21"/>
              </w:rPr>
              <w:t>是否符合招标文件的规定</w:t>
            </w:r>
          </w:p>
        </w:tc>
      </w:tr>
      <w:tr w14:paraId="241CB9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2BFD9BD4">
            <w:pPr>
              <w:adjustRightInd w:val="0"/>
              <w:snapToGrid w:val="0"/>
              <w:spacing w:beforeLines="50" w:line="360" w:lineRule="auto"/>
              <w:jc w:val="center"/>
              <w:rPr>
                <w:rFonts w:cs="宋体" w:asciiTheme="minorEastAsia" w:hAnsiTheme="minorEastAsia" w:eastAsiaTheme="minorEastAsia"/>
                <w:kern w:val="0"/>
                <w:szCs w:val="21"/>
              </w:rPr>
            </w:pPr>
            <w:r>
              <w:rPr>
                <w:rFonts w:hint="eastAsia" w:ascii="宋体" w:hAnsi="宋体" w:eastAsia="宋体" w:cs="宋体"/>
                <w:kern w:val="0"/>
                <w:szCs w:val="21"/>
              </w:rPr>
              <w:t>4</w:t>
            </w:r>
          </w:p>
        </w:tc>
        <w:tc>
          <w:tcPr>
            <w:tcW w:w="3745" w:type="dxa"/>
            <w:vAlign w:val="center"/>
          </w:tcPr>
          <w:p w14:paraId="7F3385AF">
            <w:pPr>
              <w:adjustRightInd w:val="0"/>
              <w:snapToGrid w:val="0"/>
              <w:spacing w:beforeLines="50" w:line="360" w:lineRule="auto"/>
              <w:rPr>
                <w:rFonts w:asciiTheme="minorEastAsia" w:hAnsiTheme="minorEastAsia" w:eastAsiaTheme="minorEastAsia"/>
                <w:color w:val="FF0000"/>
                <w:kern w:val="0"/>
                <w:szCs w:val="21"/>
              </w:rPr>
            </w:pPr>
            <w:r>
              <w:rPr>
                <w:rFonts w:hint="eastAsia" w:ascii="宋体" w:hAnsi="宋体" w:eastAsia="宋体" w:cs="Times New Roman"/>
                <w:kern w:val="0"/>
                <w:szCs w:val="21"/>
              </w:rPr>
              <w:t>投标报价</w:t>
            </w:r>
          </w:p>
        </w:tc>
        <w:tc>
          <w:tcPr>
            <w:tcW w:w="4632" w:type="dxa"/>
            <w:vAlign w:val="center"/>
          </w:tcPr>
          <w:p w14:paraId="34322F65">
            <w:pPr>
              <w:adjustRightInd w:val="0"/>
              <w:snapToGrid w:val="0"/>
              <w:spacing w:beforeLines="50" w:line="360" w:lineRule="auto"/>
              <w:jc w:val="center"/>
              <w:rPr>
                <w:rFonts w:cs="宋体" w:asciiTheme="minorEastAsia" w:hAnsiTheme="minorEastAsia" w:eastAsiaTheme="minorEastAsia"/>
                <w:color w:val="FF0000"/>
                <w:kern w:val="0"/>
                <w:szCs w:val="21"/>
              </w:rPr>
            </w:pPr>
            <w:r>
              <w:rPr>
                <w:rFonts w:hint="eastAsia" w:ascii="宋体" w:hAnsi="宋体" w:eastAsia="宋体" w:cs="宋体"/>
                <w:kern w:val="0"/>
                <w:szCs w:val="21"/>
              </w:rPr>
              <w:t>投标报价不得超过采购项目预算</w:t>
            </w:r>
          </w:p>
        </w:tc>
      </w:tr>
      <w:tr w14:paraId="6474AC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7321A36B">
            <w:pPr>
              <w:adjustRightInd w:val="0"/>
              <w:snapToGrid w:val="0"/>
              <w:spacing w:beforeLines="50" w:line="360" w:lineRule="auto"/>
              <w:jc w:val="center"/>
              <w:rPr>
                <w:rFonts w:cs="宋体" w:asciiTheme="minorEastAsia" w:hAnsiTheme="minorEastAsia" w:eastAsiaTheme="minorEastAsia"/>
                <w:kern w:val="0"/>
                <w:szCs w:val="21"/>
              </w:rPr>
            </w:pPr>
            <w:r>
              <w:rPr>
                <w:rFonts w:hint="eastAsia" w:ascii="宋体" w:hAnsi="宋体" w:eastAsia="宋体" w:cs="宋体"/>
                <w:kern w:val="0"/>
                <w:szCs w:val="21"/>
              </w:rPr>
              <w:t>5</w:t>
            </w:r>
          </w:p>
        </w:tc>
        <w:tc>
          <w:tcPr>
            <w:tcW w:w="3745" w:type="dxa"/>
            <w:vAlign w:val="center"/>
          </w:tcPr>
          <w:p w14:paraId="61FAE962">
            <w:pPr>
              <w:adjustRightInd w:val="0"/>
              <w:snapToGrid w:val="0"/>
              <w:spacing w:beforeLines="50" w:line="360" w:lineRule="auto"/>
              <w:rPr>
                <w:rFonts w:asciiTheme="minorEastAsia" w:hAnsiTheme="minorEastAsia" w:eastAsiaTheme="minorEastAsia"/>
                <w:color w:val="FF0000"/>
                <w:kern w:val="0"/>
                <w:szCs w:val="21"/>
              </w:rPr>
            </w:pPr>
            <w:r>
              <w:rPr>
                <w:rFonts w:hint="eastAsia" w:ascii="宋体" w:hAnsi="宋体" w:eastAsia="宋体" w:cs="Times New Roman"/>
                <w:kern w:val="0"/>
                <w:szCs w:val="21"/>
              </w:rPr>
              <w:t>投标文件载明的投标范围符合招标文件规定的招标范围</w:t>
            </w:r>
          </w:p>
        </w:tc>
        <w:tc>
          <w:tcPr>
            <w:tcW w:w="4632" w:type="dxa"/>
            <w:vAlign w:val="center"/>
          </w:tcPr>
          <w:p w14:paraId="0EF4D591">
            <w:pPr>
              <w:adjustRightInd w:val="0"/>
              <w:snapToGrid w:val="0"/>
              <w:spacing w:beforeLines="50" w:line="360" w:lineRule="auto"/>
              <w:jc w:val="center"/>
              <w:rPr>
                <w:rFonts w:cs="宋体" w:asciiTheme="minorEastAsia" w:hAnsiTheme="minorEastAsia" w:eastAsiaTheme="minorEastAsia"/>
                <w:color w:val="FF0000"/>
                <w:kern w:val="0"/>
                <w:szCs w:val="21"/>
              </w:rPr>
            </w:pPr>
            <w:r>
              <w:rPr>
                <w:rFonts w:hint="eastAsia" w:ascii="宋体" w:hAnsi="宋体" w:eastAsia="宋体" w:cs="宋体"/>
                <w:kern w:val="0"/>
                <w:szCs w:val="21"/>
              </w:rPr>
              <w:t>没有缺漏招标文件所要求的内容</w:t>
            </w:r>
          </w:p>
        </w:tc>
      </w:tr>
      <w:tr w14:paraId="62CDA8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711037F2">
            <w:pPr>
              <w:adjustRightInd w:val="0"/>
              <w:snapToGrid w:val="0"/>
              <w:spacing w:beforeLines="50" w:line="360" w:lineRule="auto"/>
              <w:jc w:val="center"/>
              <w:rPr>
                <w:rFonts w:cs="宋体" w:asciiTheme="minorEastAsia" w:hAnsiTheme="minorEastAsia" w:eastAsiaTheme="minorEastAsia"/>
                <w:kern w:val="0"/>
                <w:szCs w:val="21"/>
              </w:rPr>
            </w:pPr>
            <w:r>
              <w:rPr>
                <w:rFonts w:hint="eastAsia" w:ascii="宋体" w:hAnsi="宋体" w:eastAsia="宋体" w:cs="宋体"/>
                <w:kern w:val="0"/>
                <w:szCs w:val="21"/>
              </w:rPr>
              <w:t>6</w:t>
            </w:r>
          </w:p>
        </w:tc>
        <w:tc>
          <w:tcPr>
            <w:tcW w:w="3745" w:type="dxa"/>
            <w:vAlign w:val="center"/>
          </w:tcPr>
          <w:p w14:paraId="3B5502BB">
            <w:pPr>
              <w:adjustRightInd w:val="0"/>
              <w:snapToGrid w:val="0"/>
              <w:spacing w:beforeLines="50" w:line="360" w:lineRule="auto"/>
              <w:rPr>
                <w:rFonts w:cs="宋体" w:asciiTheme="minorEastAsia" w:hAnsiTheme="minorEastAsia" w:eastAsiaTheme="minorEastAsia"/>
                <w:color w:val="FF0000"/>
                <w:kern w:val="0"/>
                <w:szCs w:val="21"/>
              </w:rPr>
            </w:pPr>
            <w:r>
              <w:rPr>
                <w:rFonts w:hint="eastAsia" w:ascii="宋体" w:hAnsi="宋体" w:eastAsia="宋体" w:cs="宋体"/>
                <w:kern w:val="0"/>
                <w:szCs w:val="21"/>
              </w:rPr>
              <w:t>投标文件没有采购人不能接受的附加条件</w:t>
            </w:r>
          </w:p>
        </w:tc>
        <w:tc>
          <w:tcPr>
            <w:tcW w:w="4632" w:type="dxa"/>
            <w:vAlign w:val="center"/>
          </w:tcPr>
          <w:p w14:paraId="7D7C0B34">
            <w:pPr>
              <w:adjustRightInd w:val="0"/>
              <w:snapToGrid w:val="0"/>
              <w:spacing w:beforeLines="50" w:line="360" w:lineRule="auto"/>
              <w:jc w:val="center"/>
              <w:rPr>
                <w:rFonts w:cs="宋体" w:asciiTheme="minorEastAsia" w:hAnsiTheme="minorEastAsia" w:eastAsiaTheme="minorEastAsia"/>
                <w:color w:val="FF0000"/>
                <w:kern w:val="0"/>
                <w:szCs w:val="21"/>
              </w:rPr>
            </w:pPr>
            <w:r>
              <w:rPr>
                <w:rFonts w:hint="eastAsia" w:ascii="宋体" w:hAnsi="宋体" w:eastAsia="宋体" w:cs="宋体"/>
                <w:kern w:val="0"/>
                <w:szCs w:val="21"/>
              </w:rPr>
              <w:t>是否符合招标文件的规定</w:t>
            </w:r>
          </w:p>
        </w:tc>
      </w:tr>
      <w:tr w14:paraId="10EF2B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1827899C">
            <w:pPr>
              <w:adjustRightInd w:val="0"/>
              <w:snapToGrid w:val="0"/>
              <w:spacing w:beforeLines="50" w:line="360" w:lineRule="auto"/>
              <w:jc w:val="center"/>
              <w:rPr>
                <w:rFonts w:cs="宋体" w:asciiTheme="minorEastAsia" w:hAnsiTheme="minorEastAsia" w:eastAsiaTheme="minorEastAsia"/>
                <w:kern w:val="0"/>
                <w:szCs w:val="21"/>
              </w:rPr>
            </w:pPr>
            <w:r>
              <w:rPr>
                <w:rFonts w:hint="eastAsia" w:ascii="宋体" w:hAnsi="宋体" w:cs="宋体"/>
                <w:kern w:val="0"/>
                <w:szCs w:val="21"/>
                <w:lang w:val="en-US" w:eastAsia="zh-CN"/>
              </w:rPr>
              <w:t>7</w:t>
            </w:r>
          </w:p>
        </w:tc>
        <w:tc>
          <w:tcPr>
            <w:tcW w:w="3745" w:type="dxa"/>
            <w:vAlign w:val="center"/>
          </w:tcPr>
          <w:p w14:paraId="6E750FCE">
            <w:pPr>
              <w:adjustRightInd w:val="0"/>
              <w:snapToGrid w:val="0"/>
              <w:spacing w:beforeLines="50" w:line="360" w:lineRule="auto"/>
              <w:rPr>
                <w:rFonts w:cs="宋体" w:asciiTheme="minorEastAsia" w:hAnsiTheme="minorEastAsia" w:eastAsiaTheme="minorEastAsia"/>
                <w:color w:val="FF0000"/>
                <w:kern w:val="0"/>
                <w:szCs w:val="21"/>
              </w:rPr>
            </w:pPr>
            <w:r>
              <w:rPr>
                <w:rFonts w:hint="eastAsia" w:ascii="宋体" w:hAnsi="宋体" w:eastAsia="宋体" w:cs="Times New Roman"/>
                <w:szCs w:val="21"/>
              </w:rPr>
              <w:t>投标文件是否存在法律、法规和招标文件规定的其他投标无效情形的。</w:t>
            </w:r>
          </w:p>
        </w:tc>
        <w:tc>
          <w:tcPr>
            <w:tcW w:w="4632" w:type="dxa"/>
            <w:vAlign w:val="center"/>
          </w:tcPr>
          <w:p w14:paraId="14EF286E">
            <w:pPr>
              <w:adjustRightInd w:val="0"/>
              <w:snapToGrid w:val="0"/>
              <w:spacing w:beforeLines="50" w:line="360" w:lineRule="auto"/>
              <w:jc w:val="center"/>
              <w:rPr>
                <w:rFonts w:cs="宋体" w:asciiTheme="minorEastAsia" w:hAnsiTheme="minorEastAsia" w:eastAsiaTheme="minorEastAsia"/>
                <w:color w:val="FF0000"/>
                <w:kern w:val="0"/>
                <w:szCs w:val="21"/>
              </w:rPr>
            </w:pPr>
            <w:r>
              <w:rPr>
                <w:rFonts w:hint="eastAsia" w:ascii="宋体" w:hAnsi="宋体" w:eastAsia="宋体" w:cs="宋体"/>
                <w:kern w:val="0"/>
                <w:szCs w:val="21"/>
              </w:rPr>
              <w:t>是否符合招标文件的规定</w:t>
            </w:r>
          </w:p>
        </w:tc>
      </w:tr>
      <w:tr w14:paraId="1B35AC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58EFD989">
            <w:pPr>
              <w:adjustRightInd w:val="0"/>
              <w:snapToGrid w:val="0"/>
              <w:spacing w:before="156" w:beforeLines="50" w:line="360" w:lineRule="auto"/>
              <w:jc w:val="center"/>
              <w:rPr>
                <w:rFonts w:cs="宋体" w:asciiTheme="minorEastAsia" w:hAnsiTheme="minorEastAsia" w:eastAsiaTheme="minorEastAsia"/>
                <w:kern w:val="0"/>
                <w:sz w:val="20"/>
                <w:szCs w:val="21"/>
              </w:rPr>
            </w:pPr>
            <w:r>
              <w:rPr>
                <w:rFonts w:hint="eastAsia" w:cs="宋体" w:asciiTheme="minorEastAsia" w:hAnsiTheme="minorEastAsia" w:eastAsiaTheme="minorEastAsia"/>
                <w:kern w:val="0"/>
                <w:sz w:val="20"/>
                <w:szCs w:val="21"/>
              </w:rPr>
              <w:t>结论</w:t>
            </w:r>
          </w:p>
        </w:tc>
        <w:tc>
          <w:tcPr>
            <w:tcW w:w="8377" w:type="dxa"/>
            <w:gridSpan w:val="2"/>
            <w:vAlign w:val="center"/>
          </w:tcPr>
          <w:p w14:paraId="1A3B35D7">
            <w:pPr>
              <w:adjustRightInd w:val="0"/>
              <w:snapToGrid w:val="0"/>
              <w:spacing w:before="156" w:beforeLines="50" w:line="360" w:lineRule="auto"/>
              <w:jc w:val="center"/>
              <w:rPr>
                <w:rFonts w:cs="宋体" w:asciiTheme="minorEastAsia" w:hAnsiTheme="minorEastAsia" w:eastAsiaTheme="minorEastAsia"/>
                <w:kern w:val="0"/>
                <w:sz w:val="20"/>
                <w:szCs w:val="21"/>
              </w:rPr>
            </w:pPr>
          </w:p>
        </w:tc>
      </w:tr>
    </w:tbl>
    <w:p w14:paraId="5FCDB8E0">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p>
    <w:p w14:paraId="73A04ED2">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14:paraId="059CDE5E">
      <w:pPr>
        <w:pStyle w:val="4"/>
        <w:rPr>
          <w:sz w:val="21"/>
          <w:szCs w:val="21"/>
        </w:rPr>
      </w:pPr>
      <w:bookmarkStart w:id="114" w:name="_Toc24980"/>
      <w:bookmarkStart w:id="115" w:name="_Toc20651228"/>
      <w:bookmarkStart w:id="116" w:name="_Toc15877"/>
      <w:r>
        <w:rPr>
          <w:rFonts w:hint="eastAsia"/>
          <w:sz w:val="21"/>
          <w:szCs w:val="21"/>
        </w:rPr>
        <w:t>附表1 符合性审查结果一览表</w:t>
      </w:r>
      <w:bookmarkEnd w:id="114"/>
      <w:bookmarkEnd w:id="115"/>
      <w:bookmarkEnd w:id="116"/>
    </w:p>
    <w:p w14:paraId="45C96116">
      <w:pPr>
        <w:adjustRightInd w:val="0"/>
        <w:snapToGrid w:val="0"/>
        <w:spacing w:before="156" w:beforeLines="50" w:line="360" w:lineRule="auto"/>
        <w:jc w:val="center"/>
        <w:rPr>
          <w:rFonts w:ascii="黑体" w:hAnsi="黑体" w:eastAsia="黑体"/>
          <w:b/>
          <w:sz w:val="28"/>
          <w:szCs w:val="28"/>
        </w:rPr>
      </w:pPr>
      <w:r>
        <w:rPr>
          <w:rFonts w:hint="eastAsia" w:ascii="黑体" w:hAnsi="黑体" w:eastAsia="黑体"/>
          <w:b/>
          <w:sz w:val="28"/>
          <w:szCs w:val="28"/>
        </w:rPr>
        <w:t>符合性审查结果一览表</w:t>
      </w:r>
    </w:p>
    <w:p w14:paraId="020AFA99">
      <w:pPr>
        <w:adjustRightInd w:val="0"/>
        <w:snapToGrid w:val="0"/>
        <w:spacing w:before="156" w:beforeLines="50" w:line="360" w:lineRule="auto"/>
        <w:rPr>
          <w:rFonts w:asciiTheme="minorEastAsia" w:hAnsiTheme="minorEastAsia" w:eastAsiaTheme="minorEastAsia"/>
          <w:szCs w:val="21"/>
        </w:rPr>
      </w:pPr>
      <w:r>
        <w:rPr>
          <w:rFonts w:hint="eastAsia" w:asciiTheme="minorEastAsia" w:hAnsiTheme="minorEastAsia" w:eastAsiaTheme="minorEastAsia"/>
          <w:szCs w:val="21"/>
        </w:rPr>
        <w:t>项目名称：                                           采购代理编号：</w:t>
      </w:r>
    </w:p>
    <w:tbl>
      <w:tblPr>
        <w:tblStyle w:val="44"/>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7"/>
        <w:gridCol w:w="2963"/>
        <w:gridCol w:w="2439"/>
        <w:gridCol w:w="2961"/>
      </w:tblGrid>
      <w:tr w14:paraId="1981DA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vAlign w:val="center"/>
          </w:tcPr>
          <w:p w14:paraId="7EF15A76">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序号</w:t>
            </w:r>
          </w:p>
        </w:tc>
        <w:tc>
          <w:tcPr>
            <w:tcW w:w="2963" w:type="dxa"/>
            <w:vAlign w:val="center"/>
          </w:tcPr>
          <w:p w14:paraId="52501287">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投标人名称</w:t>
            </w:r>
          </w:p>
        </w:tc>
        <w:tc>
          <w:tcPr>
            <w:tcW w:w="2439" w:type="dxa"/>
            <w:vAlign w:val="center"/>
          </w:tcPr>
          <w:p w14:paraId="78A03129">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符合性审查结果</w:t>
            </w:r>
          </w:p>
          <w:p w14:paraId="070BBDA0">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（合格/不合格）</w:t>
            </w:r>
          </w:p>
        </w:tc>
        <w:tc>
          <w:tcPr>
            <w:tcW w:w="2961" w:type="dxa"/>
            <w:vAlign w:val="center"/>
          </w:tcPr>
          <w:p w14:paraId="3A5E21A3">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符合性审查不合格原因</w:t>
            </w:r>
          </w:p>
        </w:tc>
      </w:tr>
      <w:tr w14:paraId="32303D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7D66D704">
            <w:pPr>
              <w:adjustRightInd w:val="0"/>
              <w:snapToGrid w:val="0"/>
              <w:spacing w:line="360" w:lineRule="auto"/>
              <w:rPr>
                <w:rFonts w:asciiTheme="minorEastAsia" w:hAnsiTheme="minorEastAsia" w:eastAsiaTheme="minorEastAsia"/>
                <w:kern w:val="0"/>
                <w:sz w:val="24"/>
              </w:rPr>
            </w:pPr>
          </w:p>
        </w:tc>
        <w:tc>
          <w:tcPr>
            <w:tcW w:w="2963" w:type="dxa"/>
          </w:tcPr>
          <w:p w14:paraId="7873701F">
            <w:pPr>
              <w:adjustRightInd w:val="0"/>
              <w:snapToGrid w:val="0"/>
              <w:spacing w:line="360" w:lineRule="auto"/>
              <w:rPr>
                <w:rFonts w:asciiTheme="minorEastAsia" w:hAnsiTheme="minorEastAsia" w:eastAsiaTheme="minorEastAsia"/>
                <w:kern w:val="0"/>
                <w:sz w:val="24"/>
              </w:rPr>
            </w:pPr>
          </w:p>
        </w:tc>
        <w:tc>
          <w:tcPr>
            <w:tcW w:w="2439" w:type="dxa"/>
          </w:tcPr>
          <w:p w14:paraId="74437320">
            <w:pPr>
              <w:adjustRightInd w:val="0"/>
              <w:snapToGrid w:val="0"/>
              <w:spacing w:line="360" w:lineRule="auto"/>
              <w:rPr>
                <w:rFonts w:asciiTheme="minorEastAsia" w:hAnsiTheme="minorEastAsia" w:eastAsiaTheme="minorEastAsia"/>
                <w:kern w:val="0"/>
                <w:sz w:val="24"/>
              </w:rPr>
            </w:pPr>
          </w:p>
        </w:tc>
        <w:tc>
          <w:tcPr>
            <w:tcW w:w="2961" w:type="dxa"/>
          </w:tcPr>
          <w:p w14:paraId="7F3C0AA7">
            <w:pPr>
              <w:adjustRightInd w:val="0"/>
              <w:snapToGrid w:val="0"/>
              <w:spacing w:line="360" w:lineRule="auto"/>
              <w:rPr>
                <w:rFonts w:asciiTheme="minorEastAsia" w:hAnsiTheme="minorEastAsia" w:eastAsiaTheme="minorEastAsia"/>
                <w:kern w:val="0"/>
                <w:sz w:val="24"/>
              </w:rPr>
            </w:pPr>
          </w:p>
        </w:tc>
      </w:tr>
      <w:tr w14:paraId="660BEE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2D80E0C1">
            <w:pPr>
              <w:adjustRightInd w:val="0"/>
              <w:snapToGrid w:val="0"/>
              <w:spacing w:line="360" w:lineRule="auto"/>
              <w:rPr>
                <w:rFonts w:asciiTheme="minorEastAsia" w:hAnsiTheme="minorEastAsia" w:eastAsiaTheme="minorEastAsia"/>
                <w:kern w:val="0"/>
                <w:sz w:val="24"/>
              </w:rPr>
            </w:pPr>
          </w:p>
        </w:tc>
        <w:tc>
          <w:tcPr>
            <w:tcW w:w="2963" w:type="dxa"/>
          </w:tcPr>
          <w:p w14:paraId="23BF26BC">
            <w:pPr>
              <w:adjustRightInd w:val="0"/>
              <w:snapToGrid w:val="0"/>
              <w:spacing w:line="360" w:lineRule="auto"/>
              <w:rPr>
                <w:rFonts w:asciiTheme="minorEastAsia" w:hAnsiTheme="minorEastAsia" w:eastAsiaTheme="minorEastAsia"/>
                <w:kern w:val="0"/>
                <w:sz w:val="24"/>
              </w:rPr>
            </w:pPr>
          </w:p>
        </w:tc>
        <w:tc>
          <w:tcPr>
            <w:tcW w:w="2439" w:type="dxa"/>
          </w:tcPr>
          <w:p w14:paraId="513E5A16">
            <w:pPr>
              <w:adjustRightInd w:val="0"/>
              <w:snapToGrid w:val="0"/>
              <w:spacing w:line="360" w:lineRule="auto"/>
              <w:rPr>
                <w:rFonts w:asciiTheme="minorEastAsia" w:hAnsiTheme="minorEastAsia" w:eastAsiaTheme="minorEastAsia"/>
                <w:kern w:val="0"/>
                <w:sz w:val="24"/>
              </w:rPr>
            </w:pPr>
          </w:p>
        </w:tc>
        <w:tc>
          <w:tcPr>
            <w:tcW w:w="2961" w:type="dxa"/>
          </w:tcPr>
          <w:p w14:paraId="0EBE3DF1">
            <w:pPr>
              <w:adjustRightInd w:val="0"/>
              <w:snapToGrid w:val="0"/>
              <w:spacing w:line="360" w:lineRule="auto"/>
              <w:rPr>
                <w:rFonts w:asciiTheme="minorEastAsia" w:hAnsiTheme="minorEastAsia" w:eastAsiaTheme="minorEastAsia"/>
                <w:kern w:val="0"/>
                <w:sz w:val="24"/>
              </w:rPr>
            </w:pPr>
          </w:p>
        </w:tc>
      </w:tr>
      <w:tr w14:paraId="0B0E7B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38B11988">
            <w:pPr>
              <w:adjustRightInd w:val="0"/>
              <w:snapToGrid w:val="0"/>
              <w:spacing w:line="360" w:lineRule="auto"/>
              <w:rPr>
                <w:rFonts w:asciiTheme="minorEastAsia" w:hAnsiTheme="minorEastAsia" w:eastAsiaTheme="minorEastAsia"/>
                <w:kern w:val="0"/>
                <w:sz w:val="24"/>
              </w:rPr>
            </w:pPr>
          </w:p>
        </w:tc>
        <w:tc>
          <w:tcPr>
            <w:tcW w:w="2963" w:type="dxa"/>
          </w:tcPr>
          <w:p w14:paraId="23EF0229">
            <w:pPr>
              <w:adjustRightInd w:val="0"/>
              <w:snapToGrid w:val="0"/>
              <w:spacing w:line="360" w:lineRule="auto"/>
              <w:rPr>
                <w:rFonts w:asciiTheme="minorEastAsia" w:hAnsiTheme="minorEastAsia" w:eastAsiaTheme="minorEastAsia"/>
                <w:kern w:val="0"/>
                <w:sz w:val="24"/>
              </w:rPr>
            </w:pPr>
          </w:p>
        </w:tc>
        <w:tc>
          <w:tcPr>
            <w:tcW w:w="2439" w:type="dxa"/>
          </w:tcPr>
          <w:p w14:paraId="50655E55">
            <w:pPr>
              <w:adjustRightInd w:val="0"/>
              <w:snapToGrid w:val="0"/>
              <w:spacing w:line="360" w:lineRule="auto"/>
              <w:rPr>
                <w:rFonts w:asciiTheme="minorEastAsia" w:hAnsiTheme="minorEastAsia" w:eastAsiaTheme="minorEastAsia"/>
                <w:kern w:val="0"/>
                <w:sz w:val="24"/>
              </w:rPr>
            </w:pPr>
          </w:p>
        </w:tc>
        <w:tc>
          <w:tcPr>
            <w:tcW w:w="2961" w:type="dxa"/>
          </w:tcPr>
          <w:p w14:paraId="6A39120B">
            <w:pPr>
              <w:adjustRightInd w:val="0"/>
              <w:snapToGrid w:val="0"/>
              <w:spacing w:line="360" w:lineRule="auto"/>
              <w:rPr>
                <w:rFonts w:asciiTheme="minorEastAsia" w:hAnsiTheme="minorEastAsia" w:eastAsiaTheme="minorEastAsia"/>
                <w:kern w:val="0"/>
                <w:sz w:val="24"/>
              </w:rPr>
            </w:pPr>
          </w:p>
        </w:tc>
      </w:tr>
      <w:tr w14:paraId="10F205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78286AC2">
            <w:pPr>
              <w:adjustRightInd w:val="0"/>
              <w:snapToGrid w:val="0"/>
              <w:spacing w:line="360" w:lineRule="auto"/>
              <w:rPr>
                <w:rFonts w:asciiTheme="minorEastAsia" w:hAnsiTheme="minorEastAsia" w:eastAsiaTheme="minorEastAsia"/>
                <w:kern w:val="0"/>
                <w:sz w:val="24"/>
              </w:rPr>
            </w:pPr>
          </w:p>
        </w:tc>
        <w:tc>
          <w:tcPr>
            <w:tcW w:w="2963" w:type="dxa"/>
          </w:tcPr>
          <w:p w14:paraId="31B55E2C">
            <w:pPr>
              <w:adjustRightInd w:val="0"/>
              <w:snapToGrid w:val="0"/>
              <w:spacing w:line="360" w:lineRule="auto"/>
              <w:rPr>
                <w:rFonts w:asciiTheme="minorEastAsia" w:hAnsiTheme="minorEastAsia" w:eastAsiaTheme="minorEastAsia"/>
                <w:kern w:val="0"/>
                <w:sz w:val="24"/>
              </w:rPr>
            </w:pPr>
          </w:p>
        </w:tc>
        <w:tc>
          <w:tcPr>
            <w:tcW w:w="2439" w:type="dxa"/>
          </w:tcPr>
          <w:p w14:paraId="04182F67">
            <w:pPr>
              <w:adjustRightInd w:val="0"/>
              <w:snapToGrid w:val="0"/>
              <w:spacing w:line="360" w:lineRule="auto"/>
              <w:rPr>
                <w:rFonts w:asciiTheme="minorEastAsia" w:hAnsiTheme="minorEastAsia" w:eastAsiaTheme="minorEastAsia"/>
                <w:kern w:val="0"/>
                <w:sz w:val="24"/>
              </w:rPr>
            </w:pPr>
          </w:p>
        </w:tc>
        <w:tc>
          <w:tcPr>
            <w:tcW w:w="2961" w:type="dxa"/>
          </w:tcPr>
          <w:p w14:paraId="74E407CE">
            <w:pPr>
              <w:adjustRightInd w:val="0"/>
              <w:snapToGrid w:val="0"/>
              <w:spacing w:line="360" w:lineRule="auto"/>
              <w:rPr>
                <w:rFonts w:asciiTheme="minorEastAsia" w:hAnsiTheme="minorEastAsia" w:eastAsiaTheme="minorEastAsia"/>
                <w:kern w:val="0"/>
                <w:sz w:val="24"/>
              </w:rPr>
            </w:pPr>
          </w:p>
        </w:tc>
      </w:tr>
      <w:tr w14:paraId="0CCD2D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3DC034C9">
            <w:pPr>
              <w:adjustRightInd w:val="0"/>
              <w:snapToGrid w:val="0"/>
              <w:spacing w:line="360" w:lineRule="auto"/>
              <w:rPr>
                <w:rFonts w:asciiTheme="minorEastAsia" w:hAnsiTheme="minorEastAsia" w:eastAsiaTheme="minorEastAsia"/>
                <w:kern w:val="0"/>
                <w:sz w:val="24"/>
              </w:rPr>
            </w:pPr>
          </w:p>
        </w:tc>
        <w:tc>
          <w:tcPr>
            <w:tcW w:w="2963" w:type="dxa"/>
          </w:tcPr>
          <w:p w14:paraId="7E55436B">
            <w:pPr>
              <w:adjustRightInd w:val="0"/>
              <w:snapToGrid w:val="0"/>
              <w:spacing w:line="360" w:lineRule="auto"/>
              <w:rPr>
                <w:rFonts w:asciiTheme="minorEastAsia" w:hAnsiTheme="minorEastAsia" w:eastAsiaTheme="minorEastAsia"/>
                <w:kern w:val="0"/>
                <w:sz w:val="24"/>
              </w:rPr>
            </w:pPr>
          </w:p>
        </w:tc>
        <w:tc>
          <w:tcPr>
            <w:tcW w:w="2439" w:type="dxa"/>
          </w:tcPr>
          <w:p w14:paraId="13FBD09E">
            <w:pPr>
              <w:adjustRightInd w:val="0"/>
              <w:snapToGrid w:val="0"/>
              <w:spacing w:line="360" w:lineRule="auto"/>
              <w:rPr>
                <w:rFonts w:asciiTheme="minorEastAsia" w:hAnsiTheme="minorEastAsia" w:eastAsiaTheme="minorEastAsia"/>
                <w:kern w:val="0"/>
                <w:sz w:val="24"/>
              </w:rPr>
            </w:pPr>
          </w:p>
        </w:tc>
        <w:tc>
          <w:tcPr>
            <w:tcW w:w="2961" w:type="dxa"/>
          </w:tcPr>
          <w:p w14:paraId="5794130C">
            <w:pPr>
              <w:adjustRightInd w:val="0"/>
              <w:snapToGrid w:val="0"/>
              <w:spacing w:line="360" w:lineRule="auto"/>
              <w:rPr>
                <w:rFonts w:asciiTheme="minorEastAsia" w:hAnsiTheme="minorEastAsia" w:eastAsiaTheme="minorEastAsia"/>
                <w:kern w:val="0"/>
                <w:sz w:val="24"/>
              </w:rPr>
            </w:pPr>
          </w:p>
        </w:tc>
      </w:tr>
      <w:tr w14:paraId="2C51C5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5D6E145C">
            <w:pPr>
              <w:adjustRightInd w:val="0"/>
              <w:snapToGrid w:val="0"/>
              <w:spacing w:line="360" w:lineRule="auto"/>
              <w:rPr>
                <w:rFonts w:asciiTheme="minorEastAsia" w:hAnsiTheme="minorEastAsia" w:eastAsiaTheme="minorEastAsia"/>
                <w:kern w:val="0"/>
                <w:sz w:val="24"/>
              </w:rPr>
            </w:pPr>
          </w:p>
        </w:tc>
        <w:tc>
          <w:tcPr>
            <w:tcW w:w="2963" w:type="dxa"/>
          </w:tcPr>
          <w:p w14:paraId="6D5E48EB">
            <w:pPr>
              <w:adjustRightInd w:val="0"/>
              <w:snapToGrid w:val="0"/>
              <w:spacing w:line="360" w:lineRule="auto"/>
              <w:rPr>
                <w:rFonts w:asciiTheme="minorEastAsia" w:hAnsiTheme="minorEastAsia" w:eastAsiaTheme="minorEastAsia"/>
                <w:kern w:val="0"/>
                <w:sz w:val="24"/>
              </w:rPr>
            </w:pPr>
          </w:p>
        </w:tc>
        <w:tc>
          <w:tcPr>
            <w:tcW w:w="2439" w:type="dxa"/>
          </w:tcPr>
          <w:p w14:paraId="547B4E8C">
            <w:pPr>
              <w:adjustRightInd w:val="0"/>
              <w:snapToGrid w:val="0"/>
              <w:spacing w:line="360" w:lineRule="auto"/>
              <w:rPr>
                <w:rFonts w:asciiTheme="minorEastAsia" w:hAnsiTheme="minorEastAsia" w:eastAsiaTheme="minorEastAsia"/>
                <w:kern w:val="0"/>
                <w:sz w:val="24"/>
              </w:rPr>
            </w:pPr>
          </w:p>
        </w:tc>
        <w:tc>
          <w:tcPr>
            <w:tcW w:w="2961" w:type="dxa"/>
          </w:tcPr>
          <w:p w14:paraId="379F4B49">
            <w:pPr>
              <w:adjustRightInd w:val="0"/>
              <w:snapToGrid w:val="0"/>
              <w:spacing w:line="360" w:lineRule="auto"/>
              <w:rPr>
                <w:rFonts w:asciiTheme="minorEastAsia" w:hAnsiTheme="minorEastAsia" w:eastAsiaTheme="minorEastAsia"/>
                <w:kern w:val="0"/>
                <w:sz w:val="24"/>
              </w:rPr>
            </w:pPr>
          </w:p>
        </w:tc>
      </w:tr>
      <w:tr w14:paraId="5A3325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55897ACB">
            <w:pPr>
              <w:adjustRightInd w:val="0"/>
              <w:snapToGrid w:val="0"/>
              <w:spacing w:line="360" w:lineRule="auto"/>
              <w:rPr>
                <w:rFonts w:asciiTheme="minorEastAsia" w:hAnsiTheme="minorEastAsia" w:eastAsiaTheme="minorEastAsia"/>
                <w:kern w:val="0"/>
                <w:sz w:val="24"/>
              </w:rPr>
            </w:pPr>
          </w:p>
        </w:tc>
        <w:tc>
          <w:tcPr>
            <w:tcW w:w="2963" w:type="dxa"/>
          </w:tcPr>
          <w:p w14:paraId="14C443E4">
            <w:pPr>
              <w:adjustRightInd w:val="0"/>
              <w:snapToGrid w:val="0"/>
              <w:spacing w:line="360" w:lineRule="auto"/>
              <w:rPr>
                <w:rFonts w:asciiTheme="minorEastAsia" w:hAnsiTheme="minorEastAsia" w:eastAsiaTheme="minorEastAsia"/>
                <w:kern w:val="0"/>
                <w:sz w:val="24"/>
              </w:rPr>
            </w:pPr>
          </w:p>
        </w:tc>
        <w:tc>
          <w:tcPr>
            <w:tcW w:w="2439" w:type="dxa"/>
          </w:tcPr>
          <w:p w14:paraId="33F42237">
            <w:pPr>
              <w:adjustRightInd w:val="0"/>
              <w:snapToGrid w:val="0"/>
              <w:spacing w:line="360" w:lineRule="auto"/>
              <w:rPr>
                <w:rFonts w:asciiTheme="minorEastAsia" w:hAnsiTheme="minorEastAsia" w:eastAsiaTheme="minorEastAsia"/>
                <w:kern w:val="0"/>
                <w:sz w:val="24"/>
              </w:rPr>
            </w:pPr>
          </w:p>
        </w:tc>
        <w:tc>
          <w:tcPr>
            <w:tcW w:w="2961" w:type="dxa"/>
          </w:tcPr>
          <w:p w14:paraId="692208B6">
            <w:pPr>
              <w:adjustRightInd w:val="0"/>
              <w:snapToGrid w:val="0"/>
              <w:spacing w:line="360" w:lineRule="auto"/>
              <w:rPr>
                <w:rFonts w:asciiTheme="minorEastAsia" w:hAnsiTheme="minorEastAsia" w:eastAsiaTheme="minorEastAsia"/>
                <w:kern w:val="0"/>
                <w:sz w:val="24"/>
              </w:rPr>
            </w:pPr>
          </w:p>
        </w:tc>
      </w:tr>
      <w:tr w14:paraId="6A2EB3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3F7979E9">
            <w:pPr>
              <w:adjustRightInd w:val="0"/>
              <w:snapToGrid w:val="0"/>
              <w:spacing w:line="360" w:lineRule="auto"/>
              <w:rPr>
                <w:rFonts w:asciiTheme="minorEastAsia" w:hAnsiTheme="minorEastAsia" w:eastAsiaTheme="minorEastAsia"/>
                <w:kern w:val="0"/>
                <w:sz w:val="24"/>
              </w:rPr>
            </w:pPr>
          </w:p>
        </w:tc>
        <w:tc>
          <w:tcPr>
            <w:tcW w:w="2963" w:type="dxa"/>
          </w:tcPr>
          <w:p w14:paraId="6D534247">
            <w:pPr>
              <w:adjustRightInd w:val="0"/>
              <w:snapToGrid w:val="0"/>
              <w:spacing w:line="360" w:lineRule="auto"/>
              <w:rPr>
                <w:rFonts w:asciiTheme="minorEastAsia" w:hAnsiTheme="minorEastAsia" w:eastAsiaTheme="minorEastAsia"/>
                <w:kern w:val="0"/>
                <w:sz w:val="24"/>
              </w:rPr>
            </w:pPr>
          </w:p>
        </w:tc>
        <w:tc>
          <w:tcPr>
            <w:tcW w:w="2439" w:type="dxa"/>
          </w:tcPr>
          <w:p w14:paraId="73340798">
            <w:pPr>
              <w:adjustRightInd w:val="0"/>
              <w:snapToGrid w:val="0"/>
              <w:spacing w:line="360" w:lineRule="auto"/>
              <w:rPr>
                <w:rFonts w:asciiTheme="minorEastAsia" w:hAnsiTheme="minorEastAsia" w:eastAsiaTheme="minorEastAsia"/>
                <w:kern w:val="0"/>
                <w:sz w:val="24"/>
              </w:rPr>
            </w:pPr>
          </w:p>
        </w:tc>
        <w:tc>
          <w:tcPr>
            <w:tcW w:w="2961" w:type="dxa"/>
          </w:tcPr>
          <w:p w14:paraId="2449289A">
            <w:pPr>
              <w:adjustRightInd w:val="0"/>
              <w:snapToGrid w:val="0"/>
              <w:spacing w:line="360" w:lineRule="auto"/>
              <w:rPr>
                <w:rFonts w:asciiTheme="minorEastAsia" w:hAnsiTheme="minorEastAsia" w:eastAsiaTheme="minorEastAsia"/>
                <w:kern w:val="0"/>
                <w:sz w:val="24"/>
              </w:rPr>
            </w:pPr>
          </w:p>
        </w:tc>
      </w:tr>
      <w:tr w14:paraId="2BC258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4D51AB6B">
            <w:pPr>
              <w:adjustRightInd w:val="0"/>
              <w:snapToGrid w:val="0"/>
              <w:spacing w:line="360" w:lineRule="auto"/>
              <w:rPr>
                <w:rFonts w:asciiTheme="minorEastAsia" w:hAnsiTheme="minorEastAsia" w:eastAsiaTheme="minorEastAsia"/>
                <w:kern w:val="0"/>
                <w:sz w:val="24"/>
              </w:rPr>
            </w:pPr>
          </w:p>
        </w:tc>
        <w:tc>
          <w:tcPr>
            <w:tcW w:w="2963" w:type="dxa"/>
          </w:tcPr>
          <w:p w14:paraId="1C87BF8E">
            <w:pPr>
              <w:adjustRightInd w:val="0"/>
              <w:snapToGrid w:val="0"/>
              <w:spacing w:line="360" w:lineRule="auto"/>
              <w:rPr>
                <w:rFonts w:asciiTheme="minorEastAsia" w:hAnsiTheme="minorEastAsia" w:eastAsiaTheme="minorEastAsia"/>
                <w:kern w:val="0"/>
                <w:sz w:val="24"/>
              </w:rPr>
            </w:pPr>
          </w:p>
        </w:tc>
        <w:tc>
          <w:tcPr>
            <w:tcW w:w="2439" w:type="dxa"/>
          </w:tcPr>
          <w:p w14:paraId="5B7CEF8B">
            <w:pPr>
              <w:adjustRightInd w:val="0"/>
              <w:snapToGrid w:val="0"/>
              <w:spacing w:line="360" w:lineRule="auto"/>
              <w:rPr>
                <w:rFonts w:asciiTheme="minorEastAsia" w:hAnsiTheme="minorEastAsia" w:eastAsiaTheme="minorEastAsia"/>
                <w:kern w:val="0"/>
                <w:sz w:val="24"/>
              </w:rPr>
            </w:pPr>
          </w:p>
        </w:tc>
        <w:tc>
          <w:tcPr>
            <w:tcW w:w="2961" w:type="dxa"/>
          </w:tcPr>
          <w:p w14:paraId="17B8A214">
            <w:pPr>
              <w:adjustRightInd w:val="0"/>
              <w:snapToGrid w:val="0"/>
              <w:spacing w:line="360" w:lineRule="auto"/>
              <w:rPr>
                <w:rFonts w:asciiTheme="minorEastAsia" w:hAnsiTheme="minorEastAsia" w:eastAsiaTheme="minorEastAsia"/>
                <w:kern w:val="0"/>
                <w:sz w:val="24"/>
              </w:rPr>
            </w:pPr>
          </w:p>
        </w:tc>
      </w:tr>
    </w:tbl>
    <w:p w14:paraId="6EE17B86">
      <w:pPr>
        <w:widowControl/>
        <w:jc w:val="left"/>
        <w:rPr>
          <w:rFonts w:ascii="黑体" w:hAnsi="黑体" w:eastAsia="黑体"/>
          <w:bCs/>
          <w:szCs w:val="21"/>
        </w:rPr>
      </w:pPr>
      <w:r>
        <w:rPr>
          <w:rFonts w:ascii="黑体" w:hAnsi="黑体"/>
          <w:b/>
          <w:szCs w:val="21"/>
        </w:rPr>
        <w:br w:type="page"/>
      </w:r>
    </w:p>
    <w:p w14:paraId="2FB7EA93">
      <w:pPr>
        <w:pStyle w:val="4"/>
        <w:rPr>
          <w:sz w:val="21"/>
          <w:szCs w:val="21"/>
        </w:rPr>
      </w:pPr>
      <w:bookmarkStart w:id="117" w:name="_Toc3474"/>
      <w:bookmarkStart w:id="118" w:name="_Toc20651229"/>
      <w:bookmarkStart w:id="119" w:name="_Toc12589"/>
      <w:r>
        <w:rPr>
          <w:rFonts w:hint="eastAsia"/>
          <w:sz w:val="21"/>
          <w:szCs w:val="21"/>
        </w:rPr>
        <w:t>附表2 符合性审查合格投标人名单</w:t>
      </w:r>
      <w:bookmarkEnd w:id="117"/>
      <w:bookmarkEnd w:id="118"/>
      <w:bookmarkEnd w:id="119"/>
    </w:p>
    <w:p w14:paraId="4DD0211A">
      <w:pPr>
        <w:adjustRightInd w:val="0"/>
        <w:snapToGrid w:val="0"/>
        <w:spacing w:before="156" w:beforeLines="50" w:line="360" w:lineRule="auto"/>
        <w:jc w:val="center"/>
        <w:rPr>
          <w:rFonts w:ascii="黑体" w:hAnsi="黑体" w:eastAsia="黑体"/>
          <w:b/>
          <w:sz w:val="28"/>
          <w:szCs w:val="28"/>
        </w:rPr>
      </w:pPr>
      <w:r>
        <w:rPr>
          <w:rFonts w:hint="eastAsia" w:ascii="黑体" w:hAnsi="黑体" w:eastAsia="黑体"/>
          <w:b/>
          <w:sz w:val="28"/>
          <w:szCs w:val="28"/>
        </w:rPr>
        <w:t>符合性审查合格投标人名单</w:t>
      </w:r>
    </w:p>
    <w:p w14:paraId="37DDA84F">
      <w:pPr>
        <w:adjustRightInd w:val="0"/>
        <w:snapToGrid w:val="0"/>
        <w:spacing w:before="156" w:beforeLines="50" w:line="360" w:lineRule="auto"/>
        <w:rPr>
          <w:rFonts w:ascii="华文中宋" w:hAnsi="华文中宋" w:eastAsia="华文中宋"/>
          <w:sz w:val="32"/>
          <w:szCs w:val="32"/>
        </w:rPr>
      </w:pPr>
      <w:r>
        <w:rPr>
          <w:rFonts w:hint="eastAsia" w:asciiTheme="minorEastAsia" w:hAnsiTheme="minorEastAsia" w:eastAsiaTheme="minorEastAsia"/>
          <w:szCs w:val="21"/>
        </w:rPr>
        <w:t>项目名称：                                        采购代理编号：</w:t>
      </w:r>
    </w:p>
    <w:tbl>
      <w:tblPr>
        <w:tblStyle w:val="44"/>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3"/>
        <w:gridCol w:w="7796"/>
      </w:tblGrid>
      <w:tr w14:paraId="57EE90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vAlign w:val="center"/>
          </w:tcPr>
          <w:p w14:paraId="3E75AB0E">
            <w:pPr>
              <w:jc w:val="center"/>
              <w:rPr>
                <w:b/>
                <w:kern w:val="0"/>
                <w:szCs w:val="21"/>
              </w:rPr>
            </w:pPr>
            <w:r>
              <w:rPr>
                <w:rFonts w:hint="eastAsia"/>
                <w:b/>
                <w:kern w:val="0"/>
                <w:szCs w:val="21"/>
              </w:rPr>
              <w:t>序号</w:t>
            </w:r>
          </w:p>
        </w:tc>
        <w:tc>
          <w:tcPr>
            <w:tcW w:w="7796" w:type="dxa"/>
            <w:vAlign w:val="center"/>
          </w:tcPr>
          <w:p w14:paraId="088EDC02">
            <w:pPr>
              <w:jc w:val="center"/>
              <w:rPr>
                <w:b/>
                <w:kern w:val="0"/>
                <w:szCs w:val="21"/>
              </w:rPr>
            </w:pPr>
            <w:r>
              <w:rPr>
                <w:rFonts w:hint="eastAsia"/>
                <w:b/>
                <w:kern w:val="0"/>
                <w:szCs w:val="21"/>
              </w:rPr>
              <w:t>合格投标人名称</w:t>
            </w:r>
          </w:p>
        </w:tc>
      </w:tr>
      <w:tr w14:paraId="18567F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14:paraId="0F778577">
            <w:pPr>
              <w:adjustRightInd w:val="0"/>
              <w:snapToGrid w:val="0"/>
              <w:spacing w:line="360" w:lineRule="auto"/>
              <w:rPr>
                <w:rFonts w:asciiTheme="minorEastAsia" w:hAnsiTheme="minorEastAsia" w:eastAsiaTheme="minorEastAsia"/>
                <w:kern w:val="0"/>
                <w:szCs w:val="21"/>
              </w:rPr>
            </w:pPr>
          </w:p>
        </w:tc>
        <w:tc>
          <w:tcPr>
            <w:tcW w:w="7796" w:type="dxa"/>
          </w:tcPr>
          <w:p w14:paraId="379C051F">
            <w:pPr>
              <w:adjustRightInd w:val="0"/>
              <w:snapToGrid w:val="0"/>
              <w:spacing w:line="360" w:lineRule="auto"/>
              <w:rPr>
                <w:rFonts w:asciiTheme="minorEastAsia" w:hAnsiTheme="minorEastAsia" w:eastAsiaTheme="minorEastAsia"/>
                <w:kern w:val="0"/>
                <w:szCs w:val="21"/>
              </w:rPr>
            </w:pPr>
          </w:p>
        </w:tc>
      </w:tr>
      <w:tr w14:paraId="12889C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14:paraId="371308DC">
            <w:pPr>
              <w:adjustRightInd w:val="0"/>
              <w:snapToGrid w:val="0"/>
              <w:spacing w:line="360" w:lineRule="auto"/>
              <w:rPr>
                <w:rFonts w:asciiTheme="minorEastAsia" w:hAnsiTheme="minorEastAsia" w:eastAsiaTheme="minorEastAsia"/>
                <w:kern w:val="0"/>
                <w:sz w:val="24"/>
              </w:rPr>
            </w:pPr>
          </w:p>
        </w:tc>
        <w:tc>
          <w:tcPr>
            <w:tcW w:w="7796" w:type="dxa"/>
          </w:tcPr>
          <w:p w14:paraId="5F9BB4CA">
            <w:pPr>
              <w:adjustRightInd w:val="0"/>
              <w:snapToGrid w:val="0"/>
              <w:spacing w:line="360" w:lineRule="auto"/>
              <w:rPr>
                <w:rFonts w:asciiTheme="minorEastAsia" w:hAnsiTheme="minorEastAsia" w:eastAsiaTheme="minorEastAsia"/>
                <w:kern w:val="0"/>
                <w:sz w:val="24"/>
              </w:rPr>
            </w:pPr>
          </w:p>
        </w:tc>
      </w:tr>
      <w:tr w14:paraId="421003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14:paraId="661D09FF">
            <w:pPr>
              <w:adjustRightInd w:val="0"/>
              <w:snapToGrid w:val="0"/>
              <w:spacing w:line="360" w:lineRule="auto"/>
              <w:rPr>
                <w:rFonts w:asciiTheme="minorEastAsia" w:hAnsiTheme="minorEastAsia" w:eastAsiaTheme="minorEastAsia"/>
                <w:kern w:val="0"/>
                <w:sz w:val="24"/>
              </w:rPr>
            </w:pPr>
          </w:p>
        </w:tc>
        <w:tc>
          <w:tcPr>
            <w:tcW w:w="7796" w:type="dxa"/>
          </w:tcPr>
          <w:p w14:paraId="5E2A1353">
            <w:pPr>
              <w:adjustRightInd w:val="0"/>
              <w:snapToGrid w:val="0"/>
              <w:spacing w:line="360" w:lineRule="auto"/>
              <w:rPr>
                <w:rFonts w:asciiTheme="minorEastAsia" w:hAnsiTheme="minorEastAsia" w:eastAsiaTheme="minorEastAsia"/>
                <w:kern w:val="0"/>
                <w:sz w:val="24"/>
              </w:rPr>
            </w:pPr>
          </w:p>
        </w:tc>
      </w:tr>
      <w:tr w14:paraId="1878C6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14:paraId="5A80D99D">
            <w:pPr>
              <w:adjustRightInd w:val="0"/>
              <w:snapToGrid w:val="0"/>
              <w:spacing w:line="360" w:lineRule="auto"/>
              <w:rPr>
                <w:rFonts w:asciiTheme="minorEastAsia" w:hAnsiTheme="minorEastAsia" w:eastAsiaTheme="minorEastAsia"/>
                <w:kern w:val="0"/>
                <w:sz w:val="24"/>
              </w:rPr>
            </w:pPr>
          </w:p>
        </w:tc>
        <w:tc>
          <w:tcPr>
            <w:tcW w:w="7796" w:type="dxa"/>
          </w:tcPr>
          <w:p w14:paraId="6638F805">
            <w:pPr>
              <w:adjustRightInd w:val="0"/>
              <w:snapToGrid w:val="0"/>
              <w:spacing w:line="360" w:lineRule="auto"/>
              <w:rPr>
                <w:rFonts w:asciiTheme="minorEastAsia" w:hAnsiTheme="minorEastAsia" w:eastAsiaTheme="minorEastAsia"/>
                <w:kern w:val="0"/>
                <w:sz w:val="24"/>
              </w:rPr>
            </w:pPr>
          </w:p>
        </w:tc>
      </w:tr>
      <w:tr w14:paraId="0A99C9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14:paraId="1468C41E">
            <w:pPr>
              <w:adjustRightInd w:val="0"/>
              <w:snapToGrid w:val="0"/>
              <w:spacing w:line="360" w:lineRule="auto"/>
              <w:rPr>
                <w:rFonts w:asciiTheme="minorEastAsia" w:hAnsiTheme="minorEastAsia" w:eastAsiaTheme="minorEastAsia"/>
                <w:kern w:val="0"/>
                <w:sz w:val="24"/>
              </w:rPr>
            </w:pPr>
          </w:p>
        </w:tc>
        <w:tc>
          <w:tcPr>
            <w:tcW w:w="7796" w:type="dxa"/>
          </w:tcPr>
          <w:p w14:paraId="2364649D">
            <w:pPr>
              <w:adjustRightInd w:val="0"/>
              <w:snapToGrid w:val="0"/>
              <w:spacing w:line="360" w:lineRule="auto"/>
              <w:rPr>
                <w:rFonts w:asciiTheme="minorEastAsia" w:hAnsiTheme="minorEastAsia" w:eastAsiaTheme="minorEastAsia"/>
                <w:kern w:val="0"/>
                <w:sz w:val="24"/>
              </w:rPr>
            </w:pPr>
          </w:p>
        </w:tc>
      </w:tr>
      <w:tr w14:paraId="726649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14:paraId="77037815">
            <w:pPr>
              <w:adjustRightInd w:val="0"/>
              <w:snapToGrid w:val="0"/>
              <w:spacing w:line="360" w:lineRule="auto"/>
              <w:rPr>
                <w:rFonts w:asciiTheme="minorEastAsia" w:hAnsiTheme="minorEastAsia" w:eastAsiaTheme="minorEastAsia"/>
                <w:kern w:val="0"/>
                <w:sz w:val="24"/>
              </w:rPr>
            </w:pPr>
          </w:p>
        </w:tc>
        <w:tc>
          <w:tcPr>
            <w:tcW w:w="7796" w:type="dxa"/>
          </w:tcPr>
          <w:p w14:paraId="3B9668A2">
            <w:pPr>
              <w:adjustRightInd w:val="0"/>
              <w:snapToGrid w:val="0"/>
              <w:spacing w:line="360" w:lineRule="auto"/>
              <w:rPr>
                <w:rFonts w:asciiTheme="minorEastAsia" w:hAnsiTheme="minorEastAsia" w:eastAsiaTheme="minorEastAsia"/>
                <w:kern w:val="0"/>
                <w:sz w:val="24"/>
              </w:rPr>
            </w:pPr>
          </w:p>
        </w:tc>
      </w:tr>
    </w:tbl>
    <w:p w14:paraId="72C81E33">
      <w:pPr>
        <w:rPr>
          <w:w w:val="90"/>
        </w:rPr>
      </w:pPr>
    </w:p>
    <w:p w14:paraId="61630049">
      <w:pPr>
        <w:rPr>
          <w:rFonts w:ascii="黑体" w:hAnsi="黑体" w:eastAsia="黑体"/>
          <w:b/>
          <w:sz w:val="32"/>
          <w:szCs w:val="32"/>
        </w:rPr>
      </w:pPr>
    </w:p>
    <w:p w14:paraId="66218605">
      <w:pPr>
        <w:pStyle w:val="3"/>
        <w:adjustRightInd w:val="0"/>
        <w:snapToGrid w:val="0"/>
        <w:jc w:val="center"/>
        <w:rPr>
          <w:rFonts w:ascii="黑体" w:hAnsi="华文中宋" w:eastAsia="黑体"/>
          <w:sz w:val="28"/>
          <w:szCs w:val="28"/>
        </w:rPr>
      </w:pPr>
      <w:r>
        <w:rPr>
          <w:rFonts w:ascii="黑体" w:hAnsi="黑体" w:eastAsia="黑体"/>
          <w:b w:val="0"/>
          <w:sz w:val="32"/>
        </w:rPr>
        <w:br w:type="page"/>
      </w:r>
      <w:bookmarkStart w:id="120" w:name="_Toc23932"/>
      <w:bookmarkStart w:id="121" w:name="_Toc31547"/>
      <w:bookmarkStart w:id="122" w:name="_Toc28103"/>
      <w:r>
        <w:rPr>
          <w:rFonts w:hint="eastAsia" w:ascii="黑体" w:hAnsi="华文中宋" w:eastAsia="黑体"/>
          <w:sz w:val="28"/>
          <w:szCs w:val="28"/>
        </w:rPr>
        <w:t>第四节 投标文件的比较与评价</w:t>
      </w:r>
      <w:bookmarkEnd w:id="113"/>
      <w:bookmarkEnd w:id="120"/>
      <w:bookmarkEnd w:id="121"/>
      <w:bookmarkEnd w:id="122"/>
    </w:p>
    <w:p w14:paraId="0E2FA597">
      <w:pPr>
        <w:widowControl/>
        <w:adjustRightInd w:val="0"/>
        <w:snapToGrid w:val="0"/>
        <w:spacing w:before="156" w:beforeLines="50" w:line="360" w:lineRule="auto"/>
        <w:jc w:val="left"/>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1.</w:t>
      </w:r>
      <w:r>
        <w:rPr>
          <w:rFonts w:hint="eastAsia"/>
          <w:color w:val="000000" w:themeColor="text1"/>
          <w14:textFill>
            <w14:solidFill>
              <w14:schemeClr w14:val="tx1"/>
            </w14:solidFill>
          </w14:textFill>
        </w:rPr>
        <w:t xml:space="preserve"> </w:t>
      </w:r>
      <w:r>
        <w:rPr>
          <w:rFonts w:hint="eastAsia" w:ascii="黑体" w:hAnsi="黑体" w:eastAsia="黑体"/>
          <w:b/>
          <w:color w:val="000000" w:themeColor="text1"/>
          <w:sz w:val="24"/>
          <w14:textFill>
            <w14:solidFill>
              <w14:schemeClr w14:val="tx1"/>
            </w14:solidFill>
          </w14:textFill>
        </w:rPr>
        <w:t>综合评分法</w:t>
      </w:r>
    </w:p>
    <w:p w14:paraId="281CD89F">
      <w:pPr>
        <w:adjustRightInd w:val="0"/>
        <w:snapToGrid w:val="0"/>
        <w:spacing w:before="156" w:beforeLines="50" w:line="360" w:lineRule="auto"/>
        <w:ind w:firstLine="420" w:firstLineChars="200"/>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1.1综合评分法，指投标文件满足招标文件全部实质性要求，且按照评审因素的量化指标评审得分最高的投标人为中标候选人的评标方法。</w:t>
      </w:r>
    </w:p>
    <w:p w14:paraId="4B2AC686">
      <w:pPr>
        <w:adjustRightInd w:val="0"/>
        <w:snapToGrid w:val="0"/>
        <w:spacing w:before="156" w:beforeLines="50" w:line="360" w:lineRule="auto"/>
        <w:ind w:firstLine="420" w:firstLineChars="200"/>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1.2评标因素：评审因素的设定应当与投标人所提供货物服务的质量相关，包括投标报价、技术或者服务水平、履约能力、售后服务等，但不包括第一章投标人的资格要求。本采购项目的评标因素和标准见本章本节附页1“评标方法及标准表”。</w:t>
      </w:r>
    </w:p>
    <w:p w14:paraId="1DDD2468">
      <w:pPr>
        <w:adjustRightInd w:val="0"/>
        <w:snapToGrid w:val="0"/>
        <w:spacing w:before="156" w:beforeLines="50" w:line="360" w:lineRule="auto"/>
        <w:ind w:firstLine="420" w:firstLineChars="200"/>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1.3未通过符合性审查的投标文件不得进入比较与评价。</w:t>
      </w:r>
    </w:p>
    <w:p w14:paraId="2C3096C5">
      <w:pPr>
        <w:adjustRightInd w:val="0"/>
        <w:snapToGrid w:val="0"/>
        <w:spacing w:before="156" w:beforeLines="50" w:line="360" w:lineRule="auto"/>
        <w:jc w:val="left"/>
        <w:rPr>
          <w:rFonts w:ascii="黑体" w:hAnsi="黑体" w:eastAsia="黑体"/>
          <w:b/>
          <w:bCs/>
          <w:color w:val="000000" w:themeColor="text1"/>
          <w:sz w:val="24"/>
          <w14:textFill>
            <w14:solidFill>
              <w14:schemeClr w14:val="tx1"/>
            </w14:solidFill>
          </w14:textFill>
        </w:rPr>
      </w:pPr>
      <w:r>
        <w:rPr>
          <w:rFonts w:hint="eastAsia" w:ascii="黑体" w:hAnsi="黑体" w:eastAsia="黑体"/>
          <w:b/>
          <w:bCs/>
          <w:color w:val="000000" w:themeColor="text1"/>
          <w:sz w:val="24"/>
          <w14:textFill>
            <w14:solidFill>
              <w14:schemeClr w14:val="tx1"/>
            </w14:solidFill>
          </w14:textFill>
        </w:rPr>
        <w:t>2.</w:t>
      </w:r>
      <w:r>
        <w:rPr>
          <w:rFonts w:hint="eastAsia"/>
          <w:color w:val="000000" w:themeColor="text1"/>
          <w14:textFill>
            <w14:solidFill>
              <w14:schemeClr w14:val="tx1"/>
            </w14:solidFill>
          </w14:textFill>
        </w:rPr>
        <w:t xml:space="preserve"> </w:t>
      </w:r>
      <w:r>
        <w:rPr>
          <w:rFonts w:hint="eastAsia" w:ascii="黑体" w:hAnsi="黑体" w:eastAsia="黑体"/>
          <w:b/>
          <w:bCs/>
          <w:color w:val="000000" w:themeColor="text1"/>
          <w:sz w:val="24"/>
          <w14:textFill>
            <w14:solidFill>
              <w14:schemeClr w14:val="tx1"/>
            </w14:solidFill>
          </w14:textFill>
        </w:rPr>
        <w:t>投标报价的算术修正及政府采购政策调整</w:t>
      </w:r>
    </w:p>
    <w:p w14:paraId="197A6AB9">
      <w:pPr>
        <w:adjustRightInd w:val="0"/>
        <w:snapToGrid w:val="0"/>
        <w:spacing w:before="156" w:beforeLines="50" w:line="360" w:lineRule="auto"/>
        <w:ind w:firstLine="420" w:firstLineChars="200"/>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2.1如果有算术错误，投标报价将按本章第二节第4.2款、第4.3款规定进行算术修正。</w:t>
      </w:r>
    </w:p>
    <w:p w14:paraId="0AE22056">
      <w:pPr>
        <w:adjustRightInd w:val="0"/>
        <w:snapToGrid w:val="0"/>
        <w:spacing w:before="156" w:beforeLines="50" w:line="360" w:lineRule="auto"/>
        <w:ind w:firstLine="420" w:firstLineChars="200"/>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2.2需落实政府采购政策（价格评审优惠）的，按第二章“投标须知”及本章第二节第</w:t>
      </w:r>
      <w:r>
        <w:rPr>
          <w:rFonts w:asciiTheme="minorEastAsia" w:hAnsiTheme="minorEastAsia" w:eastAsiaTheme="minorEastAsia"/>
          <w:bCs/>
          <w:color w:val="000000" w:themeColor="text1"/>
          <w:szCs w:val="21"/>
          <w14:textFill>
            <w14:solidFill>
              <w14:schemeClr w14:val="tx1"/>
            </w14:solidFill>
          </w14:textFill>
        </w:rPr>
        <w:t>5.3</w:t>
      </w:r>
      <w:r>
        <w:rPr>
          <w:rFonts w:hint="eastAsia" w:asciiTheme="minorEastAsia" w:hAnsiTheme="minorEastAsia" w:eastAsiaTheme="minorEastAsia"/>
          <w:bCs/>
          <w:color w:val="000000" w:themeColor="text1"/>
          <w:szCs w:val="21"/>
          <w14:textFill>
            <w14:solidFill>
              <w14:schemeClr w14:val="tx1"/>
            </w14:solidFill>
          </w14:textFill>
        </w:rPr>
        <w:t>（1）项的相关规定进行价格调整。</w:t>
      </w:r>
    </w:p>
    <w:p w14:paraId="26862622">
      <w:pPr>
        <w:adjustRightInd w:val="0"/>
        <w:snapToGrid w:val="0"/>
        <w:spacing w:before="156" w:beforeLines="50" w:line="360" w:lineRule="auto"/>
        <w:ind w:firstLine="420" w:firstLineChars="200"/>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2.3按本章本节第2.1款、第2.2款规定，以修正或调整后的价格确定投标人的投标报价和评标基准价，用于投标报价评价。</w:t>
      </w:r>
    </w:p>
    <w:p w14:paraId="0EC86949">
      <w:pPr>
        <w:adjustRightInd w:val="0"/>
        <w:snapToGrid w:val="0"/>
        <w:spacing w:before="156" w:beforeLines="50" w:line="360" w:lineRule="auto"/>
        <w:jc w:val="left"/>
        <w:rPr>
          <w:rFonts w:ascii="黑体" w:hAnsi="黑体" w:eastAsia="黑体"/>
          <w:b/>
          <w:bCs/>
          <w:sz w:val="24"/>
        </w:rPr>
      </w:pPr>
      <w:r>
        <w:rPr>
          <w:rFonts w:hint="eastAsia" w:ascii="黑体" w:hAnsi="黑体" w:eastAsia="黑体"/>
          <w:b/>
          <w:bCs/>
          <w:sz w:val="24"/>
        </w:rPr>
        <w:t>3.</w:t>
      </w:r>
      <w:r>
        <w:rPr>
          <w:rFonts w:hint="eastAsia"/>
        </w:rPr>
        <w:t xml:space="preserve"> </w:t>
      </w:r>
      <w:r>
        <w:rPr>
          <w:rFonts w:hint="eastAsia" w:ascii="黑体" w:hAnsi="黑体" w:eastAsia="黑体"/>
          <w:b/>
          <w:bCs/>
          <w:sz w:val="24"/>
        </w:rPr>
        <w:t>投标报价评价</w:t>
      </w:r>
    </w:p>
    <w:p w14:paraId="48CDB8A1">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3.1投标报价评价：价格分应当采用低价优先法计算，即满足招标文件要求且投标价格最低的投标报价为评标基准价，其价格分为满分（报价权重分）。其他投标人的价格分统一按照下列公式计算：</w:t>
      </w:r>
    </w:p>
    <w:p w14:paraId="28044748">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投标报价得分=（评标基准价</w:t>
      </w:r>
      <w:r>
        <w:rPr>
          <w:rFonts w:hint="eastAsia" w:asciiTheme="minorEastAsia" w:hAnsiTheme="minorEastAsia" w:eastAsiaTheme="minorEastAsia"/>
          <w:szCs w:val="21"/>
          <w:vertAlign w:val="subscript"/>
        </w:rPr>
        <w:t>修正或调整</w:t>
      </w:r>
      <w:r>
        <w:rPr>
          <w:rFonts w:hint="eastAsia" w:asciiTheme="minorEastAsia" w:hAnsiTheme="minorEastAsia" w:eastAsiaTheme="minorEastAsia"/>
          <w:szCs w:val="21"/>
        </w:rPr>
        <w:t>／投标报价</w:t>
      </w:r>
      <w:r>
        <w:rPr>
          <w:rFonts w:hint="eastAsia" w:asciiTheme="minorEastAsia" w:hAnsiTheme="minorEastAsia" w:eastAsiaTheme="minorEastAsia"/>
          <w:szCs w:val="21"/>
          <w:vertAlign w:val="subscript"/>
        </w:rPr>
        <w:t>修正或调整</w:t>
      </w:r>
      <w:r>
        <w:rPr>
          <w:rFonts w:hint="eastAsia" w:asciiTheme="minorEastAsia" w:hAnsiTheme="minorEastAsia" w:eastAsiaTheme="minorEastAsia"/>
          <w:szCs w:val="21"/>
        </w:rPr>
        <w:t>） × 报价权重分</w:t>
      </w:r>
    </w:p>
    <w:p w14:paraId="0F5081DC">
      <w:pPr>
        <w:adjustRightInd w:val="0"/>
        <w:snapToGrid w:val="0"/>
        <w:spacing w:before="156" w:beforeLines="50" w:line="360" w:lineRule="auto"/>
        <w:jc w:val="left"/>
        <w:rPr>
          <w:rFonts w:ascii="黑体" w:hAnsi="黑体" w:eastAsia="黑体"/>
          <w:sz w:val="24"/>
        </w:rPr>
      </w:pPr>
      <w:r>
        <w:rPr>
          <w:rFonts w:hint="eastAsia" w:ascii="黑体" w:hAnsi="黑体" w:eastAsia="黑体"/>
          <w:bCs/>
          <w:sz w:val="24"/>
        </w:rPr>
        <w:t>4.</w:t>
      </w:r>
      <w:r>
        <w:rPr>
          <w:rFonts w:hint="eastAsia" w:ascii="黑体" w:hAnsi="黑体" w:eastAsia="黑体"/>
          <w:sz w:val="24"/>
        </w:rPr>
        <w:t>技术、商务等评分项响应评价及政府采购政策加分</w:t>
      </w:r>
    </w:p>
    <w:p w14:paraId="530A1B8E">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4.1技术、商务等评分项响应评分。按</w:t>
      </w:r>
      <w:r>
        <w:rPr>
          <w:rFonts w:hint="eastAsia" w:asciiTheme="minorEastAsia" w:hAnsiTheme="minorEastAsia" w:eastAsiaTheme="minorEastAsia"/>
          <w:bCs/>
          <w:color w:val="000000" w:themeColor="text1"/>
          <w:szCs w:val="21"/>
          <w14:textFill>
            <w14:solidFill>
              <w14:schemeClr w14:val="tx1"/>
            </w14:solidFill>
          </w14:textFill>
        </w:rPr>
        <w:t>本章</w:t>
      </w:r>
      <w:r>
        <w:rPr>
          <w:rFonts w:hint="eastAsia" w:asciiTheme="minorEastAsia" w:hAnsiTheme="minorEastAsia" w:eastAsiaTheme="minorEastAsia"/>
          <w:szCs w:val="21"/>
        </w:rPr>
        <w:t>本节附页1“评标方法及标准表”规定的评标因素和标准，对技术、商务等评分项计算得分。</w:t>
      </w:r>
    </w:p>
    <w:p w14:paraId="6DC37353">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4.2需落实政府采购政策（优先采购）的，按第二章、本章第二节第5.3（2）项以及本节附页1“评标方法及标准表”的相关规定进行技术、价格、商务项得分(加分)计算。</w:t>
      </w:r>
    </w:p>
    <w:p w14:paraId="634302A3">
      <w:pPr>
        <w:adjustRightInd w:val="0"/>
        <w:snapToGrid w:val="0"/>
        <w:spacing w:before="156" w:beforeLines="50" w:line="360" w:lineRule="auto"/>
        <w:jc w:val="left"/>
        <w:rPr>
          <w:rFonts w:ascii="黑体" w:hAnsi="黑体" w:eastAsia="黑体"/>
          <w:b/>
          <w:sz w:val="24"/>
        </w:rPr>
      </w:pPr>
      <w:r>
        <w:rPr>
          <w:rFonts w:hint="eastAsia" w:ascii="黑体" w:hAnsi="黑体" w:eastAsia="黑体"/>
          <w:b/>
          <w:sz w:val="24"/>
        </w:rPr>
        <w:t>5.评标总得分</w:t>
      </w:r>
    </w:p>
    <w:p w14:paraId="69C86F66">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5.1评标总得分为投标报价、技术、商务等评分项得分(含优先采购政策加分)之和。</w:t>
      </w:r>
    </w:p>
    <w:p w14:paraId="044D315E">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评标总得分＝A</w:t>
      </w:r>
      <w:r>
        <w:rPr>
          <w:rFonts w:hint="eastAsia" w:asciiTheme="minorEastAsia" w:hAnsiTheme="minorEastAsia" w:eastAsiaTheme="minorEastAsia"/>
          <w:szCs w:val="21"/>
          <w:vertAlign w:val="subscript"/>
        </w:rPr>
        <w:t>投标报价得分</w:t>
      </w:r>
      <w:r>
        <w:rPr>
          <w:rFonts w:hint="eastAsia" w:asciiTheme="minorEastAsia" w:hAnsiTheme="minorEastAsia" w:eastAsiaTheme="minorEastAsia"/>
          <w:szCs w:val="21"/>
        </w:rPr>
        <w:t>＋A</w:t>
      </w:r>
      <w:r>
        <w:rPr>
          <w:rFonts w:hint="eastAsia" w:asciiTheme="minorEastAsia" w:hAnsiTheme="minorEastAsia" w:eastAsiaTheme="minorEastAsia"/>
          <w:szCs w:val="21"/>
          <w:vertAlign w:val="subscript"/>
        </w:rPr>
        <w:t>技术项得分</w:t>
      </w:r>
      <w:r>
        <w:rPr>
          <w:rFonts w:hint="eastAsia" w:asciiTheme="minorEastAsia" w:hAnsiTheme="minorEastAsia" w:eastAsiaTheme="minorEastAsia"/>
          <w:szCs w:val="21"/>
        </w:rPr>
        <w:t>＋A</w:t>
      </w:r>
      <w:r>
        <w:rPr>
          <w:rFonts w:hint="eastAsia" w:asciiTheme="minorEastAsia" w:hAnsiTheme="minorEastAsia" w:eastAsiaTheme="minorEastAsia"/>
          <w:szCs w:val="21"/>
          <w:vertAlign w:val="subscript"/>
        </w:rPr>
        <w:t>商务项得分</w:t>
      </w:r>
      <w:r>
        <w:rPr>
          <w:rFonts w:hint="eastAsia" w:asciiTheme="minorEastAsia" w:hAnsiTheme="minorEastAsia" w:eastAsiaTheme="minorEastAsia"/>
          <w:szCs w:val="21"/>
        </w:rPr>
        <w:t>＋A</w:t>
      </w:r>
      <w:r>
        <w:rPr>
          <w:rFonts w:hint="eastAsia" w:asciiTheme="minorEastAsia" w:hAnsiTheme="minorEastAsia" w:eastAsiaTheme="minorEastAsia"/>
          <w:szCs w:val="21"/>
          <w:vertAlign w:val="subscript"/>
        </w:rPr>
        <w:t>优先采购加分</w:t>
      </w:r>
    </w:p>
    <w:p w14:paraId="74529261">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5.2评分分值计算保留小数点后两位，小数点后第三位“四舍五入”。</w:t>
      </w:r>
    </w:p>
    <w:p w14:paraId="2934EBDC">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cs="宋体" w:asciiTheme="minorEastAsia" w:hAnsiTheme="minorEastAsia" w:eastAsiaTheme="minorEastAsia"/>
          <w:kern w:val="0"/>
          <w:szCs w:val="21"/>
        </w:rPr>
        <w:t>5.3</w:t>
      </w:r>
      <w:r>
        <w:rPr>
          <w:rFonts w:hint="eastAsia" w:asciiTheme="minorEastAsia" w:hAnsiTheme="minorEastAsia" w:eastAsiaTheme="minorEastAsia"/>
          <w:szCs w:val="21"/>
        </w:rPr>
        <w:t>评标时，评标委员会成员应当独立对满足招标文件全部实质性要求投标人的</w:t>
      </w:r>
      <w:r>
        <w:rPr>
          <w:rFonts w:hint="eastAsia" w:asciiTheme="minorEastAsia" w:hAnsiTheme="minorEastAsia" w:eastAsiaTheme="minorEastAsia"/>
          <w:bCs/>
          <w:szCs w:val="21"/>
        </w:rPr>
        <w:t>投标文件</w:t>
      </w:r>
      <w:r>
        <w:rPr>
          <w:rFonts w:hint="eastAsia" w:asciiTheme="minorEastAsia" w:hAnsiTheme="minorEastAsia" w:eastAsiaTheme="minorEastAsia"/>
          <w:szCs w:val="21"/>
        </w:rPr>
        <w:t>进行评价、评分，然后汇总每个投标人每项评分因素的得分。每个投标人的最终得分为所有评标委员会成员评分的算术平均值。</w:t>
      </w:r>
    </w:p>
    <w:p w14:paraId="019A5FB2">
      <w:pPr>
        <w:adjustRightInd w:val="0"/>
        <w:snapToGrid w:val="0"/>
        <w:spacing w:before="156" w:beforeLines="50" w:line="360" w:lineRule="auto"/>
        <w:jc w:val="left"/>
        <w:rPr>
          <w:rFonts w:ascii="黑体" w:hAnsi="黑体" w:eastAsia="黑体"/>
          <w:b/>
          <w:bCs/>
          <w:sz w:val="24"/>
        </w:rPr>
      </w:pPr>
      <w:r>
        <w:rPr>
          <w:rFonts w:hint="eastAsia" w:ascii="黑体" w:hAnsi="黑体" w:eastAsia="黑体"/>
          <w:b/>
          <w:bCs/>
          <w:sz w:val="24"/>
        </w:rPr>
        <w:t>6.中标候选人的推荐方法</w:t>
      </w:r>
    </w:p>
    <w:p w14:paraId="5F281860">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6.1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A9106E5">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6.2得分且投标报价相同的并列，按本章第二节规定确定中标候选人。</w:t>
      </w:r>
    </w:p>
    <w:p w14:paraId="4EBEE65C">
      <w:pPr>
        <w:adjustRightInd w:val="0"/>
        <w:snapToGrid w:val="0"/>
        <w:spacing w:before="156" w:beforeLines="50" w:line="360" w:lineRule="auto"/>
        <w:ind w:firstLine="420" w:firstLineChars="200"/>
        <w:jc w:val="left"/>
        <w:rPr>
          <w:rFonts w:asciiTheme="minorEastAsia" w:hAnsiTheme="minorEastAsia" w:eastAsiaTheme="minorEastAsia"/>
          <w:bCs/>
          <w:szCs w:val="21"/>
        </w:rPr>
      </w:pPr>
    </w:p>
    <w:p w14:paraId="531D333F">
      <w:pPr>
        <w:widowControl/>
        <w:jc w:val="left"/>
        <w:rPr>
          <w:rFonts w:asciiTheme="minorEastAsia" w:hAnsiTheme="minorEastAsia" w:eastAsiaTheme="minorEastAsia"/>
          <w:bCs/>
          <w:szCs w:val="21"/>
        </w:rPr>
      </w:pPr>
      <w:r>
        <w:rPr>
          <w:rFonts w:asciiTheme="minorEastAsia" w:hAnsiTheme="minorEastAsia" w:eastAsiaTheme="minorEastAsia"/>
          <w:bCs/>
          <w:szCs w:val="21"/>
        </w:rPr>
        <w:br w:type="page"/>
      </w:r>
    </w:p>
    <w:p w14:paraId="23E6DE2A">
      <w:pPr>
        <w:pStyle w:val="4"/>
        <w:adjustRightInd w:val="0"/>
        <w:snapToGrid w:val="0"/>
        <w:spacing w:before="156" w:beforeLines="50" w:after="0" w:line="360" w:lineRule="auto"/>
        <w:rPr>
          <w:sz w:val="21"/>
          <w:szCs w:val="21"/>
        </w:rPr>
      </w:pPr>
      <w:bookmarkStart w:id="123" w:name="_Toc29913925"/>
      <w:bookmarkStart w:id="124" w:name="_Toc20472"/>
      <w:bookmarkStart w:id="125" w:name="_Toc9218"/>
      <w:r>
        <w:rPr>
          <w:rFonts w:hint="eastAsia"/>
          <w:sz w:val="21"/>
          <w:szCs w:val="21"/>
        </w:rPr>
        <w:t>附页1 评标方法及标准表</w:t>
      </w:r>
      <w:bookmarkEnd w:id="123"/>
      <w:bookmarkEnd w:id="124"/>
      <w:bookmarkEnd w:id="125"/>
    </w:p>
    <w:tbl>
      <w:tblPr>
        <w:tblStyle w:val="43"/>
        <w:tblpPr w:leftFromText="180" w:rightFromText="180" w:vertAnchor="text" w:horzAnchor="page" w:tblpX="1596" w:tblpY="533"/>
        <w:tblOverlap w:val="never"/>
        <w:tblW w:w="8860" w:type="dxa"/>
        <w:tblInd w:w="0" w:type="dxa"/>
        <w:tblLayout w:type="fixed"/>
        <w:tblCellMar>
          <w:top w:w="0" w:type="dxa"/>
          <w:left w:w="0" w:type="dxa"/>
          <w:bottom w:w="0" w:type="dxa"/>
          <w:right w:w="0" w:type="dxa"/>
        </w:tblCellMar>
      </w:tblPr>
      <w:tblGrid>
        <w:gridCol w:w="5442"/>
        <w:gridCol w:w="3418"/>
      </w:tblGrid>
      <w:tr w14:paraId="671C6FF1">
        <w:tblPrEx>
          <w:tblCellMar>
            <w:top w:w="0" w:type="dxa"/>
            <w:left w:w="0" w:type="dxa"/>
            <w:bottom w:w="0" w:type="dxa"/>
            <w:right w:w="0" w:type="dxa"/>
          </w:tblCellMar>
        </w:tblPrEx>
        <w:tc>
          <w:tcPr>
            <w:tcW w:w="8860" w:type="dxa"/>
            <w:gridSpan w:val="2"/>
            <w:tcBorders>
              <w:top w:val="single" w:color="000000" w:sz="6" w:space="0"/>
              <w:left w:val="single" w:color="000000" w:sz="6" w:space="0"/>
              <w:bottom w:val="single" w:color="000000" w:sz="6" w:space="0"/>
              <w:right w:val="single" w:color="000000" w:sz="6" w:space="0"/>
            </w:tcBorders>
            <w:noWrap/>
            <w:tcMar>
              <w:top w:w="0" w:type="dxa"/>
              <w:left w:w="0" w:type="dxa"/>
              <w:bottom w:w="0" w:type="dxa"/>
              <w:right w:w="0" w:type="dxa"/>
            </w:tcMar>
            <w:vAlign w:val="center"/>
          </w:tcPr>
          <w:p w14:paraId="14978983">
            <w:pPr>
              <w:widowControl/>
              <w:jc w:val="center"/>
              <w:rPr>
                <w:rFonts w:ascii="宋体" w:hAnsi="宋体"/>
                <w:kern w:val="0"/>
                <w:szCs w:val="21"/>
              </w:rPr>
            </w:pPr>
            <w:r>
              <w:rPr>
                <w:rFonts w:ascii="宋体" w:hAnsi="宋体"/>
                <w:kern w:val="0"/>
                <w:szCs w:val="21"/>
              </w:rPr>
              <w:t>评审因素及权值</w:t>
            </w:r>
          </w:p>
        </w:tc>
      </w:tr>
      <w:tr w14:paraId="73CC922A">
        <w:tblPrEx>
          <w:tblCellMar>
            <w:top w:w="0" w:type="dxa"/>
            <w:left w:w="0" w:type="dxa"/>
            <w:bottom w:w="0" w:type="dxa"/>
            <w:right w:w="0" w:type="dxa"/>
          </w:tblCellMar>
        </w:tblPrEx>
        <w:tc>
          <w:tcPr>
            <w:tcW w:w="5442" w:type="dxa"/>
            <w:tcBorders>
              <w:top w:val="single" w:color="000000" w:sz="6" w:space="0"/>
              <w:left w:val="single" w:color="000000" w:sz="6" w:space="0"/>
              <w:bottom w:val="single" w:color="000000" w:sz="6" w:space="0"/>
              <w:right w:val="single" w:color="000000" w:sz="6" w:space="0"/>
            </w:tcBorders>
            <w:noWrap/>
            <w:tcMar>
              <w:top w:w="0" w:type="dxa"/>
              <w:left w:w="0" w:type="dxa"/>
              <w:bottom w:w="0" w:type="dxa"/>
              <w:right w:w="0" w:type="dxa"/>
            </w:tcMar>
            <w:vAlign w:val="center"/>
          </w:tcPr>
          <w:p w14:paraId="192CCBE4">
            <w:pPr>
              <w:widowControl/>
              <w:jc w:val="center"/>
              <w:rPr>
                <w:rFonts w:ascii="宋体" w:hAnsi="宋体"/>
                <w:kern w:val="0"/>
                <w:szCs w:val="21"/>
              </w:rPr>
            </w:pPr>
            <w:r>
              <w:rPr>
                <w:rFonts w:ascii="宋体" w:hAnsi="宋体"/>
                <w:kern w:val="0"/>
                <w:szCs w:val="21"/>
              </w:rPr>
              <w:t>评审因素</w:t>
            </w:r>
          </w:p>
        </w:tc>
        <w:tc>
          <w:tcPr>
            <w:tcW w:w="3418" w:type="dxa"/>
            <w:tcBorders>
              <w:top w:val="single" w:color="000000" w:sz="6" w:space="0"/>
              <w:left w:val="single" w:color="000000" w:sz="6" w:space="0"/>
              <w:bottom w:val="single" w:color="000000" w:sz="6" w:space="0"/>
              <w:right w:val="single" w:color="000000" w:sz="6" w:space="0"/>
            </w:tcBorders>
            <w:noWrap/>
            <w:tcMar>
              <w:top w:w="0" w:type="dxa"/>
              <w:left w:w="0" w:type="dxa"/>
              <w:bottom w:w="0" w:type="dxa"/>
              <w:right w:w="0" w:type="dxa"/>
            </w:tcMar>
            <w:vAlign w:val="center"/>
          </w:tcPr>
          <w:p w14:paraId="200318AC">
            <w:pPr>
              <w:widowControl/>
              <w:jc w:val="center"/>
              <w:rPr>
                <w:rFonts w:ascii="宋体" w:hAnsi="宋体"/>
                <w:kern w:val="0"/>
                <w:szCs w:val="21"/>
              </w:rPr>
            </w:pPr>
            <w:r>
              <w:rPr>
                <w:rFonts w:ascii="宋体" w:hAnsi="宋体"/>
                <w:kern w:val="0"/>
                <w:szCs w:val="21"/>
              </w:rPr>
              <w:t>权值范围</w:t>
            </w:r>
          </w:p>
        </w:tc>
      </w:tr>
      <w:tr w14:paraId="248D89EC">
        <w:tblPrEx>
          <w:tblCellMar>
            <w:top w:w="0" w:type="dxa"/>
            <w:left w:w="0" w:type="dxa"/>
            <w:bottom w:w="0" w:type="dxa"/>
            <w:right w:w="0" w:type="dxa"/>
          </w:tblCellMar>
        </w:tblPrEx>
        <w:tc>
          <w:tcPr>
            <w:tcW w:w="544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A719D50">
            <w:pPr>
              <w:widowControl/>
              <w:jc w:val="center"/>
              <w:rPr>
                <w:rFonts w:ascii="宋体" w:hAnsi="宋体"/>
                <w:kern w:val="0"/>
                <w:szCs w:val="21"/>
              </w:rPr>
            </w:pPr>
            <w:r>
              <w:rPr>
                <w:rFonts w:ascii="宋体" w:hAnsi="宋体"/>
                <w:kern w:val="0"/>
                <w:szCs w:val="21"/>
              </w:rPr>
              <w:t>技术部分</w:t>
            </w:r>
          </w:p>
        </w:tc>
        <w:tc>
          <w:tcPr>
            <w:tcW w:w="341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A5B49A5">
            <w:pPr>
              <w:widowControl/>
              <w:jc w:val="center"/>
              <w:rPr>
                <w:rFonts w:ascii="宋体" w:hAnsi="宋体"/>
                <w:kern w:val="0"/>
                <w:szCs w:val="21"/>
              </w:rPr>
            </w:pPr>
            <w:r>
              <w:rPr>
                <w:rFonts w:hint="eastAsia" w:ascii="宋体" w:hAnsi="宋体" w:cs="Times New Roman"/>
                <w:kern w:val="0"/>
                <w:szCs w:val="21"/>
                <w:lang w:val="en-US" w:eastAsia="zh-CN"/>
              </w:rPr>
              <w:t>55</w:t>
            </w:r>
            <w:r>
              <w:rPr>
                <w:rFonts w:hint="eastAsia" w:ascii="宋体" w:hAnsi="宋体" w:eastAsia="宋体" w:cs="Times New Roman"/>
                <w:kern w:val="0"/>
                <w:szCs w:val="21"/>
              </w:rPr>
              <w:t>%</w:t>
            </w:r>
          </w:p>
        </w:tc>
      </w:tr>
      <w:tr w14:paraId="37F92BE8">
        <w:tblPrEx>
          <w:tblCellMar>
            <w:top w:w="0" w:type="dxa"/>
            <w:left w:w="0" w:type="dxa"/>
            <w:bottom w:w="0" w:type="dxa"/>
            <w:right w:w="0" w:type="dxa"/>
          </w:tblCellMar>
        </w:tblPrEx>
        <w:tc>
          <w:tcPr>
            <w:tcW w:w="544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5B6FC3C">
            <w:pPr>
              <w:widowControl/>
              <w:jc w:val="center"/>
              <w:rPr>
                <w:rFonts w:ascii="宋体" w:hAnsi="宋体"/>
                <w:kern w:val="0"/>
                <w:szCs w:val="21"/>
              </w:rPr>
            </w:pPr>
            <w:r>
              <w:rPr>
                <w:rFonts w:ascii="宋体" w:hAnsi="宋体"/>
                <w:kern w:val="0"/>
                <w:szCs w:val="21"/>
              </w:rPr>
              <w:t>商务部分</w:t>
            </w:r>
          </w:p>
        </w:tc>
        <w:tc>
          <w:tcPr>
            <w:tcW w:w="341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59E495A">
            <w:pPr>
              <w:widowControl/>
              <w:jc w:val="center"/>
              <w:rPr>
                <w:rFonts w:ascii="宋体" w:hAnsi="宋体"/>
                <w:kern w:val="0"/>
                <w:szCs w:val="21"/>
              </w:rPr>
            </w:pPr>
            <w:r>
              <w:rPr>
                <w:rFonts w:hint="eastAsia" w:ascii="宋体" w:hAnsi="宋体" w:cs="Times New Roman"/>
                <w:kern w:val="0"/>
                <w:szCs w:val="21"/>
                <w:lang w:val="en-US" w:eastAsia="zh-CN"/>
              </w:rPr>
              <w:t>35</w:t>
            </w:r>
            <w:r>
              <w:rPr>
                <w:rFonts w:hint="eastAsia" w:ascii="宋体" w:hAnsi="宋体" w:eastAsia="宋体" w:cs="Times New Roman"/>
                <w:kern w:val="0"/>
                <w:szCs w:val="21"/>
              </w:rPr>
              <w:t>%</w:t>
            </w:r>
          </w:p>
        </w:tc>
      </w:tr>
      <w:tr w14:paraId="03CC928C">
        <w:tblPrEx>
          <w:tblCellMar>
            <w:top w:w="0" w:type="dxa"/>
            <w:left w:w="0" w:type="dxa"/>
            <w:bottom w:w="0" w:type="dxa"/>
            <w:right w:w="0" w:type="dxa"/>
          </w:tblCellMar>
        </w:tblPrEx>
        <w:tc>
          <w:tcPr>
            <w:tcW w:w="544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CEB1D4C">
            <w:pPr>
              <w:widowControl/>
              <w:jc w:val="center"/>
              <w:rPr>
                <w:rFonts w:ascii="宋体" w:hAnsi="宋体"/>
                <w:kern w:val="0"/>
                <w:szCs w:val="21"/>
              </w:rPr>
            </w:pPr>
            <w:r>
              <w:rPr>
                <w:rFonts w:ascii="宋体" w:hAnsi="宋体"/>
                <w:kern w:val="0"/>
                <w:szCs w:val="21"/>
              </w:rPr>
              <w:t>价格部分</w:t>
            </w:r>
          </w:p>
        </w:tc>
        <w:tc>
          <w:tcPr>
            <w:tcW w:w="341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786F4B5">
            <w:pPr>
              <w:widowControl/>
              <w:jc w:val="center"/>
              <w:rPr>
                <w:rFonts w:ascii="宋体" w:hAnsi="宋体"/>
                <w:kern w:val="0"/>
                <w:szCs w:val="21"/>
              </w:rPr>
            </w:pPr>
            <w:r>
              <w:rPr>
                <w:rFonts w:hint="eastAsia" w:ascii="宋体" w:hAnsi="宋体" w:cs="Times New Roman"/>
                <w:kern w:val="0"/>
                <w:szCs w:val="21"/>
                <w:lang w:val="en-US" w:eastAsia="zh-CN"/>
              </w:rPr>
              <w:t>10</w:t>
            </w:r>
            <w:r>
              <w:rPr>
                <w:rFonts w:hint="eastAsia" w:ascii="宋体" w:hAnsi="宋体" w:eastAsia="宋体" w:cs="Times New Roman"/>
                <w:kern w:val="0"/>
                <w:szCs w:val="21"/>
              </w:rPr>
              <w:t>%</w:t>
            </w:r>
          </w:p>
        </w:tc>
      </w:tr>
    </w:tbl>
    <w:p w14:paraId="244E99C8">
      <w:pPr>
        <w:adjustRightInd w:val="0"/>
        <w:snapToGrid w:val="0"/>
        <w:spacing w:before="156" w:beforeLines="50" w:line="360" w:lineRule="auto"/>
        <w:jc w:val="center"/>
        <w:rPr>
          <w:rFonts w:hint="eastAsia" w:ascii="黑体" w:hAnsi="黑体" w:eastAsia="黑体"/>
          <w:b/>
          <w:sz w:val="28"/>
          <w:szCs w:val="28"/>
        </w:rPr>
      </w:pPr>
      <w:r>
        <w:rPr>
          <w:rFonts w:hint="eastAsia" w:ascii="黑体" w:hAnsi="黑体" w:eastAsia="黑体"/>
          <w:b/>
          <w:sz w:val="28"/>
          <w:szCs w:val="28"/>
        </w:rPr>
        <w:t>评标方法及标准</w:t>
      </w:r>
    </w:p>
    <w:tbl>
      <w:tblPr>
        <w:tblStyle w:val="43"/>
        <w:tblW w:w="9200" w:type="dxa"/>
        <w:tblInd w:w="-27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0"/>
        <w:gridCol w:w="1164"/>
        <w:gridCol w:w="6156"/>
        <w:gridCol w:w="940"/>
      </w:tblGrid>
      <w:tr w14:paraId="78975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40" w:hRule="atLeast"/>
        </w:trPr>
        <w:tc>
          <w:tcPr>
            <w:tcW w:w="9200" w:type="dxa"/>
            <w:gridSpan w:val="4"/>
            <w:noWrap w:val="0"/>
            <w:vAlign w:val="center"/>
          </w:tcPr>
          <w:p w14:paraId="3004B189">
            <w:pPr>
              <w:pStyle w:val="117"/>
              <w:jc w:val="center"/>
              <w:rPr>
                <w:rFonts w:hint="eastAsia" w:ascii="宋体" w:hAnsi="宋体" w:eastAsia="宋体" w:cs="宋体"/>
              </w:rPr>
            </w:pPr>
            <w:r>
              <w:rPr>
                <w:kern w:val="0"/>
                <w:sz w:val="24"/>
              </w:rPr>
              <w:t>综合评分表</w:t>
            </w:r>
          </w:p>
        </w:tc>
      </w:tr>
      <w:tr w14:paraId="398CC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0" w:type="dxa"/>
            <w:noWrap w:val="0"/>
            <w:vAlign w:val="center"/>
          </w:tcPr>
          <w:p w14:paraId="767D4340">
            <w:pPr>
              <w:pStyle w:val="117"/>
              <w:jc w:val="center"/>
              <w:rPr>
                <w:rFonts w:hint="eastAsia" w:ascii="宋体" w:hAnsi="宋体" w:eastAsia="宋体" w:cs="宋体"/>
              </w:rPr>
            </w:pPr>
            <w:r>
              <w:rPr>
                <w:rFonts w:hint="eastAsia" w:ascii="宋体" w:hAnsi="宋体" w:eastAsia="宋体" w:cs="宋体"/>
              </w:rPr>
              <w:t>评审因素分类</w:t>
            </w:r>
          </w:p>
        </w:tc>
        <w:tc>
          <w:tcPr>
            <w:tcW w:w="1164" w:type="dxa"/>
            <w:noWrap w:val="0"/>
            <w:vAlign w:val="center"/>
          </w:tcPr>
          <w:p w14:paraId="150E4FB7">
            <w:pPr>
              <w:pStyle w:val="117"/>
              <w:jc w:val="center"/>
              <w:rPr>
                <w:rFonts w:hint="eastAsia" w:ascii="宋体" w:hAnsi="宋体" w:eastAsia="宋体" w:cs="宋体"/>
              </w:rPr>
            </w:pPr>
            <w:r>
              <w:rPr>
                <w:rFonts w:hint="eastAsia" w:ascii="宋体" w:hAnsi="宋体" w:eastAsia="宋体" w:cs="宋体"/>
              </w:rPr>
              <w:t>评审项</w:t>
            </w:r>
          </w:p>
        </w:tc>
        <w:tc>
          <w:tcPr>
            <w:tcW w:w="6156" w:type="dxa"/>
            <w:noWrap w:val="0"/>
            <w:vAlign w:val="center"/>
          </w:tcPr>
          <w:p w14:paraId="6DB0CD09">
            <w:pPr>
              <w:pStyle w:val="117"/>
              <w:jc w:val="center"/>
              <w:rPr>
                <w:rFonts w:hint="eastAsia" w:ascii="宋体" w:hAnsi="宋体" w:eastAsia="宋体" w:cs="宋体"/>
              </w:rPr>
            </w:pPr>
            <w:r>
              <w:rPr>
                <w:rFonts w:hint="eastAsia" w:ascii="宋体" w:hAnsi="宋体" w:eastAsia="宋体" w:cs="宋体"/>
              </w:rPr>
              <w:t>详细描述</w:t>
            </w:r>
          </w:p>
        </w:tc>
        <w:tc>
          <w:tcPr>
            <w:tcW w:w="940" w:type="dxa"/>
            <w:noWrap w:val="0"/>
            <w:vAlign w:val="center"/>
          </w:tcPr>
          <w:p w14:paraId="4EAE9655">
            <w:pPr>
              <w:pStyle w:val="117"/>
              <w:jc w:val="center"/>
              <w:rPr>
                <w:rFonts w:hint="eastAsia" w:ascii="宋体" w:hAnsi="宋体" w:eastAsia="宋体" w:cs="宋体"/>
              </w:rPr>
            </w:pPr>
            <w:r>
              <w:rPr>
                <w:rFonts w:hint="eastAsia" w:ascii="宋体" w:hAnsi="宋体" w:eastAsia="宋体" w:cs="宋体"/>
              </w:rPr>
              <w:t>分值</w:t>
            </w:r>
          </w:p>
        </w:tc>
      </w:tr>
      <w:tr w14:paraId="0E3FC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0" w:type="dxa"/>
            <w:vMerge w:val="restart"/>
            <w:noWrap w:val="0"/>
            <w:vAlign w:val="center"/>
          </w:tcPr>
          <w:p w14:paraId="51155CB8">
            <w:pPr>
              <w:pStyle w:val="117"/>
              <w:jc w:val="both"/>
              <w:rPr>
                <w:rFonts w:hint="eastAsia" w:ascii="宋体" w:hAnsi="宋体" w:eastAsia="宋体" w:cs="宋体"/>
              </w:rPr>
            </w:pPr>
            <w:r>
              <w:rPr>
                <w:rFonts w:hint="eastAsia" w:ascii="宋体" w:hAnsi="宋体" w:eastAsia="宋体" w:cs="宋体"/>
              </w:rPr>
              <w:t>技术评审</w:t>
            </w:r>
          </w:p>
        </w:tc>
        <w:tc>
          <w:tcPr>
            <w:tcW w:w="1164" w:type="dxa"/>
            <w:noWrap w:val="0"/>
            <w:vAlign w:val="center"/>
          </w:tcPr>
          <w:p w14:paraId="300FC1C3">
            <w:pPr>
              <w:pStyle w:val="117"/>
              <w:jc w:val="center"/>
              <w:rPr>
                <w:rFonts w:hint="eastAsia" w:ascii="宋体" w:hAnsi="宋体" w:eastAsia="宋体" w:cs="宋体"/>
              </w:rPr>
            </w:pPr>
            <w:r>
              <w:rPr>
                <w:rFonts w:hint="eastAsia" w:ascii="宋体" w:hAnsi="宋体" w:eastAsia="宋体" w:cs="宋体"/>
              </w:rPr>
              <w:t>项目需求分析及理解</w:t>
            </w:r>
          </w:p>
        </w:tc>
        <w:tc>
          <w:tcPr>
            <w:tcW w:w="6156" w:type="dxa"/>
            <w:noWrap w:val="0"/>
            <w:vAlign w:val="center"/>
          </w:tcPr>
          <w:p w14:paraId="5DD7658B">
            <w:pPr>
              <w:pStyle w:val="117"/>
              <w:jc w:val="center"/>
              <w:rPr>
                <w:rFonts w:hint="eastAsia" w:ascii="宋体" w:hAnsi="宋体" w:eastAsia="宋体" w:cs="宋体"/>
                <w:b/>
                <w:bCs/>
              </w:rPr>
            </w:pPr>
            <w:r>
              <w:rPr>
                <w:rFonts w:hint="eastAsia" w:ascii="宋体" w:hAnsi="宋体" w:eastAsia="宋体" w:cs="宋体"/>
                <w:b/>
                <w:bCs/>
              </w:rPr>
              <w:t>（一）评审内容</w:t>
            </w:r>
          </w:p>
          <w:p w14:paraId="56EF0969">
            <w:pPr>
              <w:pStyle w:val="117"/>
              <w:ind w:firstLine="400" w:firstLineChars="200"/>
              <w:jc w:val="left"/>
              <w:rPr>
                <w:rFonts w:hint="eastAsia" w:ascii="宋体" w:hAnsi="宋体" w:eastAsia="宋体" w:cs="宋体"/>
              </w:rPr>
            </w:pPr>
            <w:r>
              <w:rPr>
                <w:rFonts w:hint="eastAsia" w:ascii="宋体" w:hAnsi="宋体" w:eastAsia="宋体" w:cs="宋体"/>
              </w:rPr>
              <w:t>根据投标人针对本项目采购需求提供的项目背景了解程度进行评审：</w:t>
            </w:r>
          </w:p>
          <w:p w14:paraId="2AB013E0">
            <w:pPr>
              <w:pStyle w:val="117"/>
              <w:jc w:val="left"/>
              <w:rPr>
                <w:rFonts w:hint="eastAsia" w:ascii="宋体" w:hAnsi="宋体" w:eastAsia="宋体" w:cs="宋体"/>
              </w:rPr>
            </w:pPr>
            <w:r>
              <w:rPr>
                <w:rFonts w:hint="eastAsia" w:ascii="宋体" w:hAnsi="宋体" w:eastAsia="宋体" w:cs="宋体"/>
              </w:rPr>
              <w:t>①服务区域熟悉程度、②防制重点及难点分析、③防治对象种类习性及季节生长规律。</w:t>
            </w:r>
          </w:p>
          <w:p w14:paraId="3DC46FF8">
            <w:pPr>
              <w:pStyle w:val="117"/>
              <w:jc w:val="center"/>
              <w:rPr>
                <w:rFonts w:hint="eastAsia" w:ascii="宋体" w:hAnsi="宋体" w:eastAsia="宋体" w:cs="宋体"/>
                <w:b/>
                <w:bCs/>
              </w:rPr>
            </w:pPr>
            <w:r>
              <w:rPr>
                <w:rFonts w:hint="eastAsia" w:ascii="宋体" w:hAnsi="宋体" w:eastAsia="宋体" w:cs="宋体"/>
                <w:b/>
                <w:bCs/>
              </w:rPr>
              <w:t>（二）评审依据</w:t>
            </w:r>
          </w:p>
          <w:p w14:paraId="53805117">
            <w:pPr>
              <w:pStyle w:val="117"/>
              <w:ind w:firstLine="400" w:firstLineChars="200"/>
              <w:jc w:val="left"/>
              <w:rPr>
                <w:rFonts w:hint="eastAsia" w:ascii="宋体" w:hAnsi="宋体" w:eastAsia="宋体" w:cs="宋体"/>
              </w:rPr>
            </w:pPr>
            <w:r>
              <w:rPr>
                <w:rFonts w:hint="eastAsia" w:ascii="宋体" w:hAnsi="宋体" w:eastAsia="宋体" w:cs="宋体"/>
              </w:rPr>
              <w:t>方案包含上述内容且无内容缺项及符合项目实际情况、针对性强、安排科学合理的计</w:t>
            </w:r>
            <w:r>
              <w:rPr>
                <w:rFonts w:hint="eastAsia" w:ascii="宋体" w:hAnsi="宋体" w:cs="宋体"/>
                <w:lang w:val="en-US" w:eastAsia="zh-CN"/>
              </w:rPr>
              <w:t>30</w:t>
            </w:r>
            <w:r>
              <w:rPr>
                <w:rFonts w:hint="eastAsia" w:ascii="宋体" w:hAnsi="宋体" w:eastAsia="宋体" w:cs="宋体"/>
              </w:rPr>
              <w:t xml:space="preserve">分。说明：内容中每有一处缺漏项扣 </w:t>
            </w:r>
            <w:r>
              <w:rPr>
                <w:rFonts w:hint="eastAsia" w:ascii="宋体" w:hAnsi="宋体" w:cs="宋体"/>
                <w:lang w:val="en-US" w:eastAsia="zh-CN"/>
              </w:rPr>
              <w:t>10</w:t>
            </w:r>
            <w:r>
              <w:rPr>
                <w:rFonts w:hint="eastAsia" w:ascii="宋体" w:hAnsi="宋体" w:eastAsia="宋体" w:cs="宋体"/>
              </w:rPr>
              <w:t>分；每有一处欠完善或针对性欠缺的扣</w:t>
            </w:r>
            <w:r>
              <w:rPr>
                <w:rFonts w:hint="eastAsia" w:ascii="宋体" w:hAnsi="宋体" w:cs="宋体"/>
                <w:lang w:val="en-US" w:eastAsia="zh-CN"/>
              </w:rPr>
              <w:t>5</w:t>
            </w:r>
            <w:r>
              <w:rPr>
                <w:rFonts w:hint="eastAsia" w:ascii="宋体" w:hAnsi="宋体" w:eastAsia="宋体" w:cs="宋体"/>
              </w:rPr>
              <w:t>分，扣完为止。</w:t>
            </w:r>
          </w:p>
          <w:p w14:paraId="7D19CC89">
            <w:pPr>
              <w:pStyle w:val="117"/>
              <w:jc w:val="left"/>
              <w:rPr>
                <w:rFonts w:hint="eastAsia" w:ascii="宋体" w:hAnsi="宋体" w:eastAsia="宋体" w:cs="宋体"/>
              </w:rPr>
            </w:pPr>
            <w:r>
              <w:rPr>
                <w:rFonts w:hint="eastAsia" w:ascii="宋体" w:hAnsi="宋体" w:eastAsia="宋体" w:cs="宋体"/>
              </w:rPr>
              <w:t>1、欠完善或针对性欠缺是指存在项目名称错误、地点区域错误、方案内容矛盾或表述前后不一致、仅有框架或标题、适用的标准（方法）错误、明显复制其他项目内容、方案内容与项目需求不一致或没有关联性、涉及的技术规范标准等与国家标准或行业标准或采购文件要求不一致，相关评审具 体实施方案内容与实际实施时存在差异性，计划安排无条理性、方案 内容空洞、语义表述不清，存在歧义、逻辑混乱、有错别字，内容不完善等；</w:t>
            </w:r>
          </w:p>
          <w:p w14:paraId="081FD682">
            <w:pPr>
              <w:pStyle w:val="117"/>
              <w:jc w:val="left"/>
              <w:rPr>
                <w:rFonts w:hint="eastAsia" w:ascii="宋体" w:hAnsi="宋体" w:eastAsia="宋体" w:cs="宋体"/>
              </w:rPr>
            </w:pPr>
            <w:r>
              <w:rPr>
                <w:rFonts w:hint="eastAsia" w:ascii="宋体" w:hAnsi="宋体" w:eastAsia="宋体" w:cs="宋体"/>
              </w:rPr>
              <w:t>2、缺漏项是指该项内容未提供具体的实施方案内容，或者整段内容照搬采购需求、评审办法的内容未做修改；不合理是指非专门针对本项目或者不适用项目的情形，内容不完整或者缺少关键安排,套用其他项目方案、内容前后矛盾、表述错误。</w:t>
            </w:r>
          </w:p>
        </w:tc>
        <w:tc>
          <w:tcPr>
            <w:tcW w:w="940" w:type="dxa"/>
            <w:noWrap w:val="0"/>
            <w:vAlign w:val="center"/>
          </w:tcPr>
          <w:p w14:paraId="6F50BD8C">
            <w:pPr>
              <w:pStyle w:val="117"/>
              <w:jc w:val="center"/>
              <w:rPr>
                <w:rFonts w:hint="default" w:ascii="宋体" w:hAnsi="宋体" w:eastAsia="宋体" w:cs="宋体"/>
                <w:lang w:val="en-US" w:eastAsia="zh-CN"/>
              </w:rPr>
            </w:pPr>
            <w:r>
              <w:rPr>
                <w:rFonts w:hint="eastAsia" w:ascii="宋体" w:hAnsi="宋体" w:cs="宋体"/>
                <w:lang w:val="en-US" w:eastAsia="zh-CN"/>
              </w:rPr>
              <w:t>30</w:t>
            </w:r>
          </w:p>
        </w:tc>
      </w:tr>
      <w:tr w14:paraId="25856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0" w:type="dxa"/>
            <w:vMerge w:val="continue"/>
            <w:noWrap w:val="0"/>
            <w:vAlign w:val="center"/>
          </w:tcPr>
          <w:p w14:paraId="7009AAA6">
            <w:pPr>
              <w:jc w:val="center"/>
              <w:rPr>
                <w:rFonts w:hint="eastAsia" w:ascii="宋体" w:hAnsi="宋体" w:eastAsia="宋体" w:cs="宋体"/>
              </w:rPr>
            </w:pPr>
          </w:p>
        </w:tc>
        <w:tc>
          <w:tcPr>
            <w:tcW w:w="1164" w:type="dxa"/>
            <w:noWrap w:val="0"/>
            <w:vAlign w:val="center"/>
          </w:tcPr>
          <w:p w14:paraId="7AB47D09">
            <w:pPr>
              <w:pStyle w:val="117"/>
              <w:jc w:val="center"/>
              <w:rPr>
                <w:rFonts w:hint="eastAsia" w:ascii="宋体" w:hAnsi="宋体" w:eastAsia="宋体" w:cs="宋体"/>
                <w:lang w:val="en-US" w:eastAsia="zh-CN"/>
              </w:rPr>
            </w:pPr>
            <w:r>
              <w:rPr>
                <w:rFonts w:hint="eastAsia" w:ascii="宋体" w:hAnsi="宋体" w:eastAsia="宋体" w:cs="宋体"/>
                <w:lang w:val="en-US" w:eastAsia="zh-CN"/>
              </w:rPr>
              <w:t>技术服务方案</w:t>
            </w:r>
          </w:p>
        </w:tc>
        <w:tc>
          <w:tcPr>
            <w:tcW w:w="6156" w:type="dxa"/>
            <w:noWrap w:val="0"/>
            <w:vAlign w:val="center"/>
          </w:tcPr>
          <w:p w14:paraId="514AE03B">
            <w:pPr>
              <w:pStyle w:val="117"/>
              <w:jc w:val="center"/>
              <w:rPr>
                <w:rFonts w:hint="eastAsia" w:ascii="宋体" w:hAnsi="宋体" w:eastAsia="宋体" w:cs="宋体"/>
                <w:b/>
                <w:bCs/>
              </w:rPr>
            </w:pPr>
            <w:r>
              <w:rPr>
                <w:rFonts w:hint="eastAsia" w:ascii="宋体" w:hAnsi="宋体" w:eastAsia="宋体" w:cs="宋体"/>
                <w:b/>
                <w:bCs/>
              </w:rPr>
              <w:t>（一）评审内容</w:t>
            </w:r>
          </w:p>
          <w:p w14:paraId="30C21B3B">
            <w:pPr>
              <w:pStyle w:val="117"/>
              <w:jc w:val="left"/>
              <w:rPr>
                <w:rFonts w:hint="eastAsia" w:ascii="宋体" w:hAnsi="宋体" w:eastAsia="宋体" w:cs="宋体"/>
              </w:rPr>
            </w:pPr>
            <w:r>
              <w:rPr>
                <w:rFonts w:hint="eastAsia" w:ascii="宋体" w:hAnsi="宋体" w:eastAsia="宋体" w:cs="宋体"/>
              </w:rPr>
              <w:t>根据投标人针对本项目采购需求提供的技术服务方案进行评审：</w:t>
            </w:r>
          </w:p>
          <w:p w14:paraId="2BBB8A42">
            <w:pPr>
              <w:pStyle w:val="117"/>
              <w:jc w:val="left"/>
              <w:rPr>
                <w:rFonts w:hint="eastAsia" w:ascii="宋体" w:hAnsi="宋体" w:eastAsia="宋体" w:cs="宋体"/>
              </w:rPr>
            </w:pPr>
            <w:r>
              <w:rPr>
                <w:rFonts w:hint="eastAsia" w:ascii="宋体" w:hAnsi="宋体" w:eastAsia="宋体" w:cs="宋体"/>
              </w:rPr>
              <w:t>①病媒生物密度监测方法、②病媒生物</w:t>
            </w:r>
            <w:r>
              <w:rPr>
                <w:rFonts w:hint="eastAsia" w:ascii="宋体" w:hAnsi="宋体" w:eastAsia="宋体" w:cs="宋体"/>
                <w:lang w:val="en-US" w:eastAsia="zh-CN"/>
              </w:rPr>
              <w:t>综合</w:t>
            </w:r>
            <w:r>
              <w:rPr>
                <w:rFonts w:hint="eastAsia" w:ascii="宋体" w:hAnsi="宋体" w:eastAsia="宋体" w:cs="宋体"/>
              </w:rPr>
              <w:t>防制技术、③</w:t>
            </w:r>
            <w:r>
              <w:rPr>
                <w:rFonts w:hint="eastAsia" w:ascii="宋体" w:hAnsi="宋体" w:eastAsia="宋体" w:cs="宋体"/>
                <w:lang w:val="en-US" w:eastAsia="zh-CN"/>
              </w:rPr>
              <w:t>项目</w:t>
            </w:r>
            <w:r>
              <w:rPr>
                <w:rFonts w:hint="eastAsia" w:ascii="宋体" w:hAnsi="宋体" w:eastAsia="宋体" w:cs="宋体"/>
              </w:rPr>
              <w:t>药械的</w:t>
            </w:r>
            <w:r>
              <w:rPr>
                <w:rFonts w:hint="eastAsia" w:ascii="宋体" w:hAnsi="宋体" w:eastAsia="宋体" w:cs="宋体"/>
                <w:lang w:val="en-US" w:eastAsia="zh-CN"/>
              </w:rPr>
              <w:t>科学合理</w:t>
            </w:r>
            <w:r>
              <w:rPr>
                <w:rFonts w:hint="eastAsia" w:ascii="宋体" w:hAnsi="宋体" w:eastAsia="宋体" w:cs="宋体"/>
              </w:rPr>
              <w:t>选用技术。</w:t>
            </w:r>
          </w:p>
          <w:p w14:paraId="0FB96747">
            <w:pPr>
              <w:pStyle w:val="117"/>
              <w:jc w:val="center"/>
              <w:rPr>
                <w:rFonts w:hint="eastAsia" w:ascii="宋体" w:hAnsi="宋体" w:eastAsia="宋体" w:cs="宋体"/>
                <w:b/>
                <w:bCs/>
              </w:rPr>
            </w:pPr>
            <w:r>
              <w:rPr>
                <w:rFonts w:hint="eastAsia" w:ascii="宋体" w:hAnsi="宋体" w:eastAsia="宋体" w:cs="宋体"/>
                <w:b/>
                <w:bCs/>
              </w:rPr>
              <w:t>（二）评审依据</w:t>
            </w:r>
          </w:p>
          <w:p w14:paraId="138BF0FB">
            <w:pPr>
              <w:pStyle w:val="117"/>
              <w:jc w:val="left"/>
              <w:rPr>
                <w:rFonts w:hint="eastAsia" w:ascii="宋体" w:hAnsi="宋体" w:eastAsia="宋体" w:cs="宋体"/>
              </w:rPr>
            </w:pPr>
            <w:r>
              <w:rPr>
                <w:rFonts w:hint="eastAsia" w:ascii="宋体" w:hAnsi="宋体" w:eastAsia="宋体" w:cs="宋体"/>
              </w:rPr>
              <w:t>方案包含上述内容且无内容缺项及符合项目实际情况、针对性强、安排科学合理的计</w:t>
            </w:r>
            <w:r>
              <w:rPr>
                <w:rFonts w:hint="eastAsia" w:ascii="宋体" w:hAnsi="宋体" w:cs="宋体"/>
                <w:lang w:val="en-US" w:eastAsia="zh-CN"/>
              </w:rPr>
              <w:t>30</w:t>
            </w:r>
            <w:r>
              <w:rPr>
                <w:rFonts w:hint="eastAsia" w:ascii="宋体" w:hAnsi="宋体" w:eastAsia="宋体" w:cs="宋体"/>
              </w:rPr>
              <w:t xml:space="preserve">分。说明：内容中每有一处缺漏项扣 </w:t>
            </w:r>
            <w:r>
              <w:rPr>
                <w:rFonts w:hint="eastAsia" w:ascii="宋体" w:hAnsi="宋体" w:cs="宋体"/>
                <w:lang w:val="en-US" w:eastAsia="zh-CN"/>
              </w:rPr>
              <w:t>10</w:t>
            </w:r>
            <w:r>
              <w:rPr>
                <w:rFonts w:hint="eastAsia" w:ascii="宋体" w:hAnsi="宋体" w:eastAsia="宋体" w:cs="宋体"/>
              </w:rPr>
              <w:t xml:space="preserve">分；每有一处欠完善或针对性欠缺的扣 </w:t>
            </w:r>
            <w:r>
              <w:rPr>
                <w:rFonts w:hint="eastAsia" w:ascii="宋体" w:hAnsi="宋体" w:cs="宋体"/>
                <w:lang w:val="en-US" w:eastAsia="zh-CN"/>
              </w:rPr>
              <w:t>5</w:t>
            </w:r>
            <w:r>
              <w:rPr>
                <w:rFonts w:hint="eastAsia" w:ascii="宋体" w:hAnsi="宋体" w:eastAsia="宋体" w:cs="宋体"/>
              </w:rPr>
              <w:t>分，扣完为止。</w:t>
            </w:r>
          </w:p>
          <w:p w14:paraId="34B2C33B">
            <w:pPr>
              <w:pStyle w:val="117"/>
              <w:jc w:val="left"/>
              <w:rPr>
                <w:rFonts w:hint="eastAsia" w:ascii="宋体" w:hAnsi="宋体" w:eastAsia="宋体" w:cs="宋体"/>
              </w:rPr>
            </w:pPr>
            <w:r>
              <w:rPr>
                <w:rFonts w:hint="eastAsia" w:ascii="宋体" w:hAnsi="宋体" w:eastAsia="宋体" w:cs="宋体"/>
              </w:rPr>
              <w:t>1、欠完善或针对性欠缺是指存在项目名称错误、地点区域错误、方案内容矛盾或表述前后不一致、仅有框架或标题、适用的标准（方法）错误、明显复制其他项目内容、方案内容与项目需求不一致或没有关联性、涉及的技术规范标准等与国家标准或行业标准或采购文件要求不一致，相关评审具 体实施方案内容与实际实施时存在差异性，计划安排无条理性、方案 内容空洞、语义表述不清，存在歧义、逻辑混乱、有错别字，内容不完善等；</w:t>
            </w:r>
          </w:p>
          <w:p w14:paraId="30FC3B58">
            <w:pPr>
              <w:pStyle w:val="117"/>
              <w:jc w:val="left"/>
              <w:rPr>
                <w:rFonts w:hint="eastAsia" w:ascii="宋体" w:hAnsi="宋体" w:eastAsia="宋体" w:cs="宋体"/>
              </w:rPr>
            </w:pPr>
            <w:r>
              <w:rPr>
                <w:rFonts w:hint="eastAsia" w:ascii="宋体" w:hAnsi="宋体" w:eastAsia="宋体" w:cs="宋体"/>
              </w:rPr>
              <w:t>2、缺漏项是指该项内容未提供具体的实施方案内容，或者整段内容照搬采购需求、评审办法的内容未做修改；不合理是指非专门针对本项目或者不适用项目的情形，内容不完整或者缺少关键安排,套用其他项目方案、内容前后矛盾、表述错误。</w:t>
            </w:r>
          </w:p>
        </w:tc>
        <w:tc>
          <w:tcPr>
            <w:tcW w:w="940" w:type="dxa"/>
            <w:noWrap w:val="0"/>
            <w:vAlign w:val="center"/>
          </w:tcPr>
          <w:p w14:paraId="59EC35FB">
            <w:pPr>
              <w:pStyle w:val="117"/>
              <w:jc w:val="center"/>
              <w:rPr>
                <w:rFonts w:hint="default" w:ascii="宋体" w:hAnsi="宋体" w:eastAsia="宋体" w:cs="宋体"/>
                <w:lang w:val="en-US" w:eastAsia="zh-CN"/>
              </w:rPr>
            </w:pPr>
            <w:r>
              <w:rPr>
                <w:rFonts w:hint="eastAsia" w:ascii="宋体" w:hAnsi="宋体" w:cs="宋体"/>
                <w:lang w:val="en-US" w:eastAsia="zh-CN"/>
              </w:rPr>
              <w:t>30</w:t>
            </w:r>
          </w:p>
        </w:tc>
      </w:tr>
      <w:tr w14:paraId="3FA87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0" w:type="dxa"/>
            <w:vMerge w:val="continue"/>
            <w:noWrap w:val="0"/>
            <w:vAlign w:val="center"/>
          </w:tcPr>
          <w:p w14:paraId="3107C5C2">
            <w:pPr>
              <w:jc w:val="center"/>
              <w:rPr>
                <w:rFonts w:hint="eastAsia" w:ascii="宋体" w:hAnsi="宋体" w:eastAsia="宋体" w:cs="宋体"/>
              </w:rPr>
            </w:pPr>
          </w:p>
        </w:tc>
        <w:tc>
          <w:tcPr>
            <w:tcW w:w="1164" w:type="dxa"/>
            <w:noWrap w:val="0"/>
            <w:vAlign w:val="center"/>
          </w:tcPr>
          <w:p w14:paraId="7C34ED85">
            <w:pPr>
              <w:pStyle w:val="117"/>
              <w:jc w:val="center"/>
              <w:rPr>
                <w:rFonts w:hint="eastAsia" w:ascii="宋体" w:hAnsi="宋体" w:eastAsia="宋体" w:cs="宋体"/>
                <w:lang w:val="en-US" w:eastAsia="zh-CN"/>
              </w:rPr>
            </w:pPr>
            <w:r>
              <w:rPr>
                <w:rFonts w:hint="eastAsia" w:ascii="宋体" w:hAnsi="宋体" w:eastAsia="宋体" w:cs="宋体"/>
                <w:lang w:val="en-US" w:eastAsia="zh-CN"/>
              </w:rPr>
              <w:t>项目实施方案</w:t>
            </w:r>
          </w:p>
        </w:tc>
        <w:tc>
          <w:tcPr>
            <w:tcW w:w="6156" w:type="dxa"/>
            <w:noWrap w:val="0"/>
            <w:vAlign w:val="center"/>
          </w:tcPr>
          <w:p w14:paraId="459C6AED">
            <w:pPr>
              <w:pStyle w:val="117"/>
              <w:jc w:val="center"/>
              <w:rPr>
                <w:rFonts w:hint="eastAsia" w:ascii="宋体" w:hAnsi="宋体" w:eastAsia="宋体" w:cs="宋体"/>
                <w:b/>
                <w:bCs/>
              </w:rPr>
            </w:pPr>
            <w:r>
              <w:rPr>
                <w:rFonts w:hint="eastAsia" w:ascii="宋体" w:hAnsi="宋体" w:eastAsia="宋体" w:cs="宋体"/>
                <w:b/>
                <w:bCs/>
              </w:rPr>
              <w:t>（一）评审内容</w:t>
            </w:r>
          </w:p>
          <w:p w14:paraId="35B59B24">
            <w:pPr>
              <w:pStyle w:val="117"/>
              <w:jc w:val="left"/>
              <w:rPr>
                <w:rFonts w:hint="eastAsia" w:ascii="宋体" w:hAnsi="宋体" w:eastAsia="宋体" w:cs="宋体"/>
              </w:rPr>
            </w:pPr>
            <w:r>
              <w:rPr>
                <w:rFonts w:hint="eastAsia" w:ascii="宋体" w:hAnsi="宋体" w:eastAsia="宋体" w:cs="宋体"/>
              </w:rPr>
              <w:t>根据投标人针对本项目采购需求提供的</w:t>
            </w:r>
            <w:r>
              <w:rPr>
                <w:rFonts w:hint="eastAsia" w:ascii="宋体" w:hAnsi="宋体" w:eastAsia="宋体" w:cs="宋体"/>
                <w:lang w:val="en-US" w:eastAsia="zh-CN"/>
              </w:rPr>
              <w:t>项目实施</w:t>
            </w:r>
            <w:r>
              <w:rPr>
                <w:rFonts w:hint="eastAsia" w:ascii="宋体" w:hAnsi="宋体" w:eastAsia="宋体" w:cs="宋体"/>
              </w:rPr>
              <w:t>方案进行评审：</w:t>
            </w:r>
          </w:p>
          <w:p w14:paraId="67BDBED9">
            <w:pPr>
              <w:pStyle w:val="117"/>
              <w:jc w:val="left"/>
              <w:rPr>
                <w:rFonts w:hint="eastAsia" w:ascii="宋体" w:hAnsi="宋体" w:eastAsia="宋体" w:cs="宋体"/>
                <w:lang w:eastAsia="zh-CN"/>
              </w:rPr>
            </w:pPr>
            <w:r>
              <w:rPr>
                <w:rFonts w:hint="eastAsia" w:ascii="宋体" w:hAnsi="宋体" w:eastAsia="宋体" w:cs="宋体"/>
              </w:rPr>
              <w:t>①人员安排、②器械安排、③时间安排、④技术资料的整理及归档</w:t>
            </w:r>
            <w:r>
              <w:rPr>
                <w:rFonts w:hint="eastAsia" w:ascii="宋体" w:hAnsi="宋体" w:eastAsia="宋体" w:cs="宋体"/>
                <w:lang w:eastAsia="zh-CN"/>
              </w:rPr>
              <w:t>。</w:t>
            </w:r>
          </w:p>
          <w:p w14:paraId="3143CA87">
            <w:pPr>
              <w:pStyle w:val="117"/>
              <w:numPr>
                <w:ilvl w:val="0"/>
                <w:numId w:val="3"/>
              </w:numPr>
              <w:jc w:val="center"/>
              <w:rPr>
                <w:rFonts w:hint="eastAsia" w:ascii="宋体" w:hAnsi="宋体" w:eastAsia="宋体" w:cs="宋体"/>
                <w:b/>
                <w:bCs/>
              </w:rPr>
            </w:pPr>
            <w:r>
              <w:rPr>
                <w:rFonts w:hint="eastAsia" w:ascii="宋体" w:hAnsi="宋体" w:eastAsia="宋体" w:cs="宋体"/>
                <w:b/>
                <w:bCs/>
              </w:rPr>
              <w:t>评审依据</w:t>
            </w:r>
          </w:p>
          <w:p w14:paraId="7DAB548C">
            <w:pPr>
              <w:pStyle w:val="117"/>
              <w:jc w:val="left"/>
              <w:rPr>
                <w:rFonts w:hint="eastAsia" w:ascii="宋体" w:hAnsi="宋体" w:eastAsia="宋体" w:cs="宋体"/>
              </w:rPr>
            </w:pPr>
            <w:r>
              <w:rPr>
                <w:rFonts w:hint="eastAsia" w:ascii="宋体" w:hAnsi="宋体" w:eastAsia="宋体" w:cs="宋体"/>
              </w:rPr>
              <w:t>方案包含上述内容且无内容缺项及符合项目实际情况、针对性强、安排科学合理的计</w:t>
            </w:r>
            <w:r>
              <w:rPr>
                <w:rFonts w:hint="eastAsia" w:ascii="宋体" w:hAnsi="宋体" w:cs="宋体"/>
                <w:lang w:val="en-US" w:eastAsia="zh-CN"/>
              </w:rPr>
              <w:t>28</w:t>
            </w:r>
            <w:r>
              <w:rPr>
                <w:rFonts w:hint="eastAsia" w:ascii="宋体" w:hAnsi="宋体" w:eastAsia="宋体" w:cs="宋体"/>
              </w:rPr>
              <w:t xml:space="preserve">分。说明：内容中每有一处缺漏项扣 </w:t>
            </w:r>
            <w:r>
              <w:rPr>
                <w:rFonts w:hint="eastAsia" w:ascii="宋体" w:hAnsi="宋体" w:cs="宋体"/>
                <w:lang w:val="en-US" w:eastAsia="zh-CN"/>
              </w:rPr>
              <w:t>7</w:t>
            </w:r>
            <w:r>
              <w:rPr>
                <w:rFonts w:hint="eastAsia" w:ascii="宋体" w:hAnsi="宋体" w:eastAsia="宋体" w:cs="宋体"/>
              </w:rPr>
              <w:t>分；每有一处欠完善或针对性欠缺的扣</w:t>
            </w:r>
            <w:r>
              <w:rPr>
                <w:rFonts w:hint="eastAsia" w:ascii="宋体" w:hAnsi="宋体" w:cs="宋体"/>
                <w:lang w:val="en-US" w:eastAsia="zh-CN"/>
              </w:rPr>
              <w:t>3.5</w:t>
            </w:r>
            <w:r>
              <w:rPr>
                <w:rFonts w:hint="eastAsia" w:ascii="宋体" w:hAnsi="宋体" w:eastAsia="宋体" w:cs="宋体"/>
              </w:rPr>
              <w:t>分，扣完为止。</w:t>
            </w:r>
          </w:p>
          <w:p w14:paraId="582B2215">
            <w:pPr>
              <w:pStyle w:val="117"/>
              <w:jc w:val="left"/>
              <w:rPr>
                <w:rFonts w:hint="eastAsia" w:ascii="宋体" w:hAnsi="宋体" w:eastAsia="宋体" w:cs="宋体"/>
              </w:rPr>
            </w:pPr>
            <w:r>
              <w:rPr>
                <w:rFonts w:hint="eastAsia" w:ascii="宋体" w:hAnsi="宋体" w:eastAsia="宋体" w:cs="宋体"/>
              </w:rPr>
              <w:t>1、欠完善或针对性欠缺是指存在项目名称错误、地点区域错误、方案内容矛盾或表述前后不一致、仅有框架或标题、适用的标准（方法）错误、明显复制其他项目内容、方案内容与项目需求不一致或没有关联性、涉及的技术规范标准等与国家标准或行业标准或采购文件要求不一致，相关评审具 体实施方案内容与实际实施时存在差异性，计划安排无条理性、方案 内容空洞、语义表述不清，存在歧义、逻辑混乱、有错别字，内容不完善等；</w:t>
            </w:r>
          </w:p>
          <w:p w14:paraId="2AB85F85">
            <w:pPr>
              <w:pStyle w:val="117"/>
              <w:numPr>
                <w:ilvl w:val="0"/>
                <w:numId w:val="0"/>
              </w:numPr>
              <w:jc w:val="left"/>
              <w:rPr>
                <w:rFonts w:hint="eastAsia" w:ascii="宋体" w:hAnsi="宋体" w:eastAsia="宋体" w:cs="宋体"/>
              </w:rPr>
            </w:pPr>
            <w:r>
              <w:rPr>
                <w:rFonts w:hint="eastAsia" w:ascii="宋体" w:hAnsi="宋体" w:eastAsia="宋体" w:cs="宋体"/>
              </w:rPr>
              <w:t>2、缺漏项是指该项内容未提供具体的实施方案内容，或者整段内容照搬采购需求、评审办法的内容未做修改；不合理是指非专门针对本项目或者不适用项目的情形，内容不完整或者缺少关键安排,套用其他项目方案、内容前后矛盾、表述错误。</w:t>
            </w:r>
          </w:p>
        </w:tc>
        <w:tc>
          <w:tcPr>
            <w:tcW w:w="940" w:type="dxa"/>
            <w:noWrap w:val="0"/>
            <w:vAlign w:val="center"/>
          </w:tcPr>
          <w:p w14:paraId="1FD39EF8">
            <w:pPr>
              <w:pStyle w:val="117"/>
              <w:jc w:val="center"/>
              <w:rPr>
                <w:rFonts w:hint="default" w:ascii="宋体" w:hAnsi="宋体" w:eastAsia="宋体" w:cs="宋体"/>
                <w:lang w:val="en-US"/>
              </w:rPr>
            </w:pPr>
            <w:r>
              <w:rPr>
                <w:rFonts w:hint="eastAsia" w:ascii="宋体" w:hAnsi="宋体" w:cs="宋体"/>
                <w:lang w:val="en-US" w:eastAsia="zh-CN"/>
              </w:rPr>
              <w:t>28</w:t>
            </w:r>
          </w:p>
        </w:tc>
      </w:tr>
      <w:tr w14:paraId="39C52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0" w:type="dxa"/>
            <w:vMerge w:val="continue"/>
            <w:noWrap w:val="0"/>
            <w:vAlign w:val="center"/>
          </w:tcPr>
          <w:p w14:paraId="61793F52">
            <w:pPr>
              <w:jc w:val="center"/>
              <w:rPr>
                <w:rFonts w:hint="eastAsia" w:ascii="宋体" w:hAnsi="宋体" w:eastAsia="宋体" w:cs="宋体"/>
              </w:rPr>
            </w:pPr>
          </w:p>
        </w:tc>
        <w:tc>
          <w:tcPr>
            <w:tcW w:w="1164" w:type="dxa"/>
            <w:noWrap w:val="0"/>
            <w:vAlign w:val="center"/>
          </w:tcPr>
          <w:p w14:paraId="6A2038B5">
            <w:pPr>
              <w:pStyle w:val="117"/>
              <w:jc w:val="center"/>
              <w:rPr>
                <w:rFonts w:hint="eastAsia" w:ascii="宋体" w:hAnsi="宋体" w:eastAsia="宋体" w:cs="宋体"/>
              </w:rPr>
            </w:pPr>
            <w:r>
              <w:rPr>
                <w:rFonts w:hint="eastAsia" w:ascii="宋体" w:hAnsi="宋体" w:eastAsia="宋体" w:cs="宋体"/>
              </w:rPr>
              <w:t>突发公共卫生事件应急措施</w:t>
            </w:r>
          </w:p>
        </w:tc>
        <w:tc>
          <w:tcPr>
            <w:tcW w:w="6156" w:type="dxa"/>
            <w:noWrap w:val="0"/>
            <w:vAlign w:val="center"/>
          </w:tcPr>
          <w:p w14:paraId="5D89104A">
            <w:pPr>
              <w:pStyle w:val="117"/>
              <w:jc w:val="center"/>
              <w:rPr>
                <w:rFonts w:hint="eastAsia" w:ascii="宋体" w:hAnsi="宋体" w:eastAsia="宋体" w:cs="宋体"/>
              </w:rPr>
            </w:pPr>
            <w:r>
              <w:rPr>
                <w:rFonts w:hint="eastAsia" w:ascii="宋体" w:hAnsi="宋体" w:eastAsia="宋体" w:cs="宋体"/>
                <w:b/>
                <w:bCs/>
              </w:rPr>
              <w:t>（一）评审内容</w:t>
            </w:r>
          </w:p>
          <w:p w14:paraId="1957679E">
            <w:pPr>
              <w:pStyle w:val="117"/>
              <w:jc w:val="left"/>
              <w:rPr>
                <w:rFonts w:hint="eastAsia" w:ascii="宋体" w:hAnsi="宋体" w:eastAsia="宋体" w:cs="宋体"/>
              </w:rPr>
            </w:pPr>
            <w:r>
              <w:rPr>
                <w:rFonts w:hint="eastAsia" w:ascii="宋体" w:hAnsi="宋体" w:eastAsia="宋体" w:cs="宋体"/>
              </w:rPr>
              <w:t>根据投标人针对本项目采购需求提供的突发公共卫生事件应急措施进行评审：</w:t>
            </w:r>
          </w:p>
          <w:p w14:paraId="0079E03D">
            <w:pPr>
              <w:pStyle w:val="117"/>
              <w:jc w:val="left"/>
              <w:rPr>
                <w:rFonts w:hint="eastAsia" w:ascii="宋体" w:hAnsi="宋体" w:eastAsia="宋体" w:cs="宋体"/>
                <w:lang w:eastAsia="zh-CN"/>
              </w:rPr>
            </w:pPr>
            <w:r>
              <w:rPr>
                <w:rFonts w:hint="eastAsia" w:ascii="宋体" w:hAnsi="宋体" w:eastAsia="宋体" w:cs="宋体"/>
              </w:rPr>
              <w:t>①组织管理；②应急事件分类处理</w:t>
            </w:r>
            <w:r>
              <w:rPr>
                <w:rFonts w:hint="eastAsia" w:ascii="宋体" w:hAnsi="宋体" w:eastAsia="宋体" w:cs="宋体"/>
                <w:lang w:val="en-US" w:eastAsia="zh-CN"/>
              </w:rPr>
              <w:t>方案</w:t>
            </w:r>
            <w:r>
              <w:rPr>
                <w:rFonts w:hint="eastAsia" w:ascii="宋体" w:hAnsi="宋体" w:eastAsia="宋体" w:cs="宋体"/>
              </w:rPr>
              <w:t>；③</w:t>
            </w:r>
            <w:r>
              <w:rPr>
                <w:rFonts w:hint="eastAsia" w:ascii="宋体" w:hAnsi="宋体" w:eastAsia="宋体" w:cs="宋体"/>
                <w:lang w:val="en-US" w:eastAsia="zh-CN"/>
              </w:rPr>
              <w:t>卫生中毒事故处理应急预案</w:t>
            </w:r>
            <w:r>
              <w:rPr>
                <w:rFonts w:hint="eastAsia" w:ascii="宋体" w:hAnsi="宋体" w:eastAsia="宋体" w:cs="宋体"/>
              </w:rPr>
              <w:t>理</w:t>
            </w:r>
            <w:r>
              <w:rPr>
                <w:rFonts w:hint="eastAsia" w:ascii="宋体" w:hAnsi="宋体" w:eastAsia="宋体" w:cs="宋体"/>
                <w:lang w:eastAsia="zh-CN"/>
              </w:rPr>
              <w:t>。</w:t>
            </w:r>
          </w:p>
          <w:p w14:paraId="61BDB388">
            <w:pPr>
              <w:pStyle w:val="117"/>
              <w:numPr>
                <w:ilvl w:val="0"/>
                <w:numId w:val="0"/>
              </w:num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lang w:val="en-US" w:eastAsia="zh-CN"/>
              </w:rPr>
              <w:t>二</w:t>
            </w:r>
            <w:r>
              <w:rPr>
                <w:rFonts w:hint="eastAsia" w:ascii="宋体" w:hAnsi="宋体" w:eastAsia="宋体" w:cs="宋体"/>
                <w:b/>
                <w:bCs/>
                <w:lang w:eastAsia="zh-CN"/>
              </w:rPr>
              <w:t>）</w:t>
            </w:r>
            <w:r>
              <w:rPr>
                <w:rFonts w:hint="eastAsia" w:ascii="宋体" w:hAnsi="宋体" w:eastAsia="宋体" w:cs="宋体"/>
                <w:b/>
                <w:bCs/>
              </w:rPr>
              <w:t>评审依据</w:t>
            </w:r>
          </w:p>
          <w:p w14:paraId="1EECB39E">
            <w:pPr>
              <w:pStyle w:val="117"/>
              <w:jc w:val="left"/>
              <w:rPr>
                <w:rFonts w:hint="eastAsia" w:ascii="宋体" w:hAnsi="宋体" w:eastAsia="宋体" w:cs="宋体"/>
              </w:rPr>
            </w:pPr>
            <w:r>
              <w:rPr>
                <w:rFonts w:hint="eastAsia" w:ascii="宋体" w:hAnsi="宋体" w:eastAsia="宋体" w:cs="宋体"/>
              </w:rPr>
              <w:t>方案包含上述内容且无内容缺项及符合项目实际情况、针对性强、安排科学合理的计</w:t>
            </w:r>
            <w:r>
              <w:rPr>
                <w:rFonts w:hint="eastAsia" w:ascii="宋体" w:hAnsi="宋体" w:cs="宋体"/>
                <w:lang w:val="en-US" w:eastAsia="zh-CN"/>
              </w:rPr>
              <w:t>12</w:t>
            </w:r>
            <w:r>
              <w:rPr>
                <w:rFonts w:hint="eastAsia" w:ascii="宋体" w:hAnsi="宋体" w:eastAsia="宋体" w:cs="宋体"/>
              </w:rPr>
              <w:t>分。说明：内容中每有一处缺漏项扣</w:t>
            </w:r>
            <w:r>
              <w:rPr>
                <w:rFonts w:hint="eastAsia" w:ascii="宋体" w:hAnsi="宋体" w:cs="宋体"/>
                <w:lang w:val="en-US" w:eastAsia="zh-CN"/>
              </w:rPr>
              <w:t>4</w:t>
            </w:r>
            <w:r>
              <w:rPr>
                <w:rFonts w:hint="eastAsia" w:ascii="宋体" w:hAnsi="宋体" w:eastAsia="宋体" w:cs="宋体"/>
              </w:rPr>
              <w:t xml:space="preserve">分；每有一处欠完善或针对性欠缺的扣 </w:t>
            </w:r>
            <w:r>
              <w:rPr>
                <w:rFonts w:hint="eastAsia" w:ascii="宋体" w:hAnsi="宋体" w:cs="宋体"/>
                <w:lang w:val="en-US" w:eastAsia="zh-CN"/>
              </w:rPr>
              <w:t>2</w:t>
            </w:r>
            <w:r>
              <w:rPr>
                <w:rFonts w:hint="eastAsia" w:ascii="宋体" w:hAnsi="宋体" w:eastAsia="宋体" w:cs="宋体"/>
              </w:rPr>
              <w:t>分，扣完为止。</w:t>
            </w:r>
          </w:p>
          <w:p w14:paraId="7C2EA31A">
            <w:pPr>
              <w:pStyle w:val="117"/>
              <w:jc w:val="left"/>
              <w:rPr>
                <w:rFonts w:hint="eastAsia" w:ascii="宋体" w:hAnsi="宋体" w:eastAsia="宋体" w:cs="宋体"/>
              </w:rPr>
            </w:pPr>
            <w:r>
              <w:rPr>
                <w:rFonts w:hint="eastAsia" w:ascii="宋体" w:hAnsi="宋体" w:eastAsia="宋体" w:cs="宋体"/>
              </w:rPr>
              <w:t>1、欠完善或针对性欠缺是指存在项目名称错误、地点区域错误、方案内容矛盾或表述前后不一致、仅有框架或标题、适用的标准（方法）错误、明显复制其他项目内容、方案内容与项目需求不一致或没有关联性、涉及的技术规范标准等与国家标准或行业标准或采购文件要求不一致，相关评审具 体实施方案内容与实际实施时存在差异性，计划安排无条理性、方案 内容空洞、语义表述不清，存在歧义、逻辑混乱、有错别字，内容不完善等；</w:t>
            </w:r>
          </w:p>
          <w:p w14:paraId="039D4A32">
            <w:pPr>
              <w:pStyle w:val="117"/>
              <w:jc w:val="left"/>
              <w:rPr>
                <w:rFonts w:hint="eastAsia" w:ascii="宋体" w:hAnsi="宋体" w:eastAsia="宋体" w:cs="宋体"/>
              </w:rPr>
            </w:pPr>
            <w:r>
              <w:rPr>
                <w:rFonts w:hint="eastAsia" w:ascii="宋体" w:hAnsi="宋体" w:eastAsia="宋体" w:cs="宋体"/>
              </w:rPr>
              <w:t>2、缺漏项是指该项内容未提供具体的实施方案内容，或者整段内容照搬采购需求、评审办法的内容未做修改；不合理是指非专门针对本项目或者不适用项目的情形，内容不完整或者缺少关键安排,套用其他项目方案、内容前后矛盾、表述错误。</w:t>
            </w:r>
          </w:p>
        </w:tc>
        <w:tc>
          <w:tcPr>
            <w:tcW w:w="940" w:type="dxa"/>
            <w:noWrap w:val="0"/>
            <w:vAlign w:val="center"/>
          </w:tcPr>
          <w:p w14:paraId="7346F3DB">
            <w:pPr>
              <w:pStyle w:val="117"/>
              <w:jc w:val="center"/>
              <w:rPr>
                <w:rFonts w:hint="default" w:ascii="宋体" w:hAnsi="宋体" w:eastAsia="宋体" w:cs="宋体"/>
                <w:lang w:val="en-US"/>
              </w:rPr>
            </w:pPr>
            <w:r>
              <w:rPr>
                <w:rFonts w:hint="eastAsia" w:ascii="宋体" w:hAnsi="宋体" w:cs="宋体"/>
                <w:lang w:val="en-US" w:eastAsia="zh-CN"/>
              </w:rPr>
              <w:t>12</w:t>
            </w:r>
          </w:p>
        </w:tc>
      </w:tr>
      <w:tr w14:paraId="09536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0" w:type="dxa"/>
            <w:vMerge w:val="restart"/>
            <w:noWrap w:val="0"/>
            <w:vAlign w:val="center"/>
          </w:tcPr>
          <w:p w14:paraId="50E9C9EC">
            <w:pPr>
              <w:pStyle w:val="117"/>
              <w:jc w:val="center"/>
              <w:rPr>
                <w:rFonts w:hint="eastAsia" w:ascii="宋体" w:hAnsi="宋体" w:eastAsia="宋体" w:cs="宋体"/>
              </w:rPr>
            </w:pPr>
            <w:r>
              <w:rPr>
                <w:rFonts w:hint="eastAsia" w:ascii="宋体" w:hAnsi="宋体" w:eastAsia="宋体" w:cs="宋体"/>
              </w:rPr>
              <w:t>商务评审</w:t>
            </w:r>
          </w:p>
        </w:tc>
        <w:tc>
          <w:tcPr>
            <w:tcW w:w="1164" w:type="dxa"/>
            <w:noWrap w:val="0"/>
            <w:vAlign w:val="center"/>
          </w:tcPr>
          <w:p w14:paraId="0048C96C">
            <w:pPr>
              <w:pStyle w:val="117"/>
              <w:jc w:val="both"/>
              <w:rPr>
                <w:rFonts w:hint="eastAsia" w:ascii="宋体" w:hAnsi="宋体" w:eastAsia="宋体" w:cs="宋体"/>
              </w:rPr>
            </w:pPr>
            <w:r>
              <w:rPr>
                <w:rFonts w:hint="eastAsia" w:ascii="宋体" w:hAnsi="宋体" w:eastAsia="宋体" w:cs="宋体"/>
              </w:rPr>
              <w:t>类似业绩</w:t>
            </w:r>
          </w:p>
        </w:tc>
        <w:tc>
          <w:tcPr>
            <w:tcW w:w="6156" w:type="dxa"/>
            <w:noWrap w:val="0"/>
            <w:vAlign w:val="center"/>
          </w:tcPr>
          <w:p w14:paraId="759B8D2E">
            <w:pPr>
              <w:pStyle w:val="117"/>
              <w:numPr>
                <w:ilvl w:val="0"/>
                <w:numId w:val="4"/>
              </w:numPr>
              <w:jc w:val="left"/>
              <w:rPr>
                <w:rFonts w:hint="eastAsia" w:ascii="宋体" w:hAnsi="宋体" w:eastAsia="宋体" w:cs="宋体"/>
              </w:rPr>
            </w:pPr>
            <w:r>
              <w:rPr>
                <w:rFonts w:hint="eastAsia" w:ascii="宋体" w:hAnsi="宋体" w:eastAsia="宋体" w:cs="宋体"/>
              </w:rPr>
              <w:t>投标人自 202</w:t>
            </w:r>
            <w:r>
              <w:rPr>
                <w:rFonts w:hint="eastAsia" w:ascii="宋体" w:hAnsi="宋体" w:eastAsia="宋体" w:cs="宋体"/>
                <w:lang w:val="en-US" w:eastAsia="zh-CN"/>
              </w:rPr>
              <w:t>3</w:t>
            </w:r>
            <w:r>
              <w:rPr>
                <w:rFonts w:hint="eastAsia" w:ascii="宋体" w:hAnsi="宋体" w:eastAsia="宋体" w:cs="宋体"/>
              </w:rPr>
              <w:t>年至今，有</w:t>
            </w:r>
            <w:r>
              <w:rPr>
                <w:rFonts w:hint="eastAsia" w:ascii="宋体" w:hAnsi="宋体" w:eastAsia="宋体" w:cs="宋体"/>
                <w:lang w:val="en-US" w:eastAsia="zh-CN"/>
              </w:rPr>
              <w:t>市、县（区）公共区域</w:t>
            </w:r>
            <w:r>
              <w:rPr>
                <w:rFonts w:hint="eastAsia" w:ascii="宋体" w:hAnsi="宋体" w:eastAsia="宋体" w:cs="宋体"/>
              </w:rPr>
              <w:t>病媒生物防制服务业绩的每个计</w:t>
            </w:r>
            <w:r>
              <w:rPr>
                <w:rFonts w:hint="eastAsia" w:ascii="宋体" w:hAnsi="宋体" w:cs="宋体"/>
                <w:lang w:val="en-US" w:eastAsia="zh-CN"/>
              </w:rPr>
              <w:t>10</w:t>
            </w:r>
            <w:r>
              <w:rPr>
                <w:rFonts w:hint="eastAsia" w:ascii="宋体" w:hAnsi="宋体" w:eastAsia="宋体" w:cs="宋体"/>
              </w:rPr>
              <w:t>分，最多计</w:t>
            </w:r>
            <w:r>
              <w:rPr>
                <w:rFonts w:hint="eastAsia" w:ascii="宋体" w:hAnsi="宋体" w:cs="宋体"/>
                <w:lang w:val="en-US" w:eastAsia="zh-CN"/>
              </w:rPr>
              <w:t>40</w:t>
            </w:r>
            <w:r>
              <w:rPr>
                <w:rFonts w:hint="eastAsia" w:ascii="宋体" w:hAnsi="宋体" w:eastAsia="宋体" w:cs="宋体"/>
              </w:rPr>
              <w:t>分为止。</w:t>
            </w:r>
          </w:p>
          <w:p w14:paraId="0E87A955">
            <w:pPr>
              <w:pStyle w:val="117"/>
              <w:numPr>
                <w:ilvl w:val="0"/>
                <w:numId w:val="0"/>
              </w:numPr>
              <w:jc w:val="left"/>
              <w:rPr>
                <w:rFonts w:hint="eastAsia" w:ascii="宋体" w:hAnsi="宋体" w:eastAsia="宋体" w:cs="宋体"/>
                <w:lang w:val="en-US" w:eastAsia="zh-CN"/>
              </w:rPr>
            </w:pPr>
            <w:r>
              <w:rPr>
                <w:rFonts w:hint="eastAsia" w:ascii="宋体" w:hAnsi="宋体" w:eastAsia="宋体" w:cs="宋体"/>
                <w:b/>
                <w:bCs/>
              </w:rPr>
              <w:t>(</w:t>
            </w:r>
            <w:r>
              <w:rPr>
                <w:rFonts w:hint="eastAsia" w:ascii="宋体" w:hAnsi="宋体" w:eastAsia="宋体" w:cs="宋体"/>
                <w:b/>
                <w:bCs/>
                <w:lang w:val="en-US" w:eastAsia="zh-CN"/>
              </w:rPr>
              <w:t>注：</w:t>
            </w:r>
            <w:r>
              <w:rPr>
                <w:rFonts w:hint="eastAsia" w:ascii="宋体" w:hAnsi="宋体" w:eastAsia="宋体" w:cs="宋体"/>
                <w:b/>
                <w:bCs/>
              </w:rPr>
              <w:t>提供采购合同</w:t>
            </w:r>
            <w:r>
              <w:rPr>
                <w:rFonts w:hint="eastAsia" w:ascii="宋体" w:hAnsi="宋体" w:eastAsia="宋体" w:cs="宋体"/>
                <w:b/>
                <w:bCs/>
                <w:lang w:val="en-US" w:eastAsia="zh-CN"/>
              </w:rPr>
              <w:t>及</w:t>
            </w:r>
            <w:r>
              <w:rPr>
                <w:rFonts w:hint="eastAsia" w:ascii="宋体" w:hAnsi="宋体" w:eastAsia="宋体" w:cs="宋体"/>
                <w:b/>
                <w:bCs/>
              </w:rPr>
              <w:t>中标(成交）通知书的扫描件并加盖单位公章，</w:t>
            </w:r>
            <w:r>
              <w:rPr>
                <w:rFonts w:hint="eastAsia" w:ascii="宋体" w:hAnsi="宋体" w:eastAsia="宋体" w:cs="宋体"/>
                <w:b/>
                <w:bCs/>
                <w:lang w:val="en-US" w:eastAsia="zh-CN"/>
              </w:rPr>
              <w:t>不同年份同一</w:t>
            </w:r>
            <w:r>
              <w:rPr>
                <w:rFonts w:hint="eastAsia" w:ascii="宋体" w:hAnsi="宋体" w:cs="宋体"/>
                <w:b/>
                <w:bCs/>
                <w:lang w:val="en-US" w:eastAsia="zh-CN"/>
              </w:rPr>
              <w:t>单位</w:t>
            </w:r>
            <w:r>
              <w:rPr>
                <w:rFonts w:hint="eastAsia" w:ascii="宋体" w:hAnsi="宋体" w:eastAsia="宋体" w:cs="宋体"/>
                <w:b/>
                <w:bCs/>
                <w:lang w:val="en-US" w:eastAsia="zh-CN"/>
              </w:rPr>
              <w:t>的项目</w:t>
            </w:r>
            <w:r>
              <w:rPr>
                <w:rFonts w:hint="eastAsia" w:ascii="宋体" w:hAnsi="宋体" w:eastAsia="宋体" w:cs="宋体"/>
                <w:b/>
                <w:bCs/>
              </w:rPr>
              <w:t>合同按一个业绩计算，未提供不计分</w:t>
            </w:r>
            <w:r>
              <w:rPr>
                <w:rFonts w:hint="eastAsia" w:ascii="宋体" w:hAnsi="宋体" w:eastAsia="宋体" w:cs="宋体"/>
                <w:b/>
                <w:bCs/>
                <w:lang w:eastAsia="zh-CN"/>
              </w:rPr>
              <w:t>）</w:t>
            </w:r>
          </w:p>
        </w:tc>
        <w:tc>
          <w:tcPr>
            <w:tcW w:w="940" w:type="dxa"/>
            <w:noWrap w:val="0"/>
            <w:vAlign w:val="center"/>
          </w:tcPr>
          <w:p w14:paraId="6445BFFD">
            <w:pPr>
              <w:pStyle w:val="117"/>
              <w:jc w:val="center"/>
              <w:rPr>
                <w:rFonts w:hint="default" w:ascii="宋体" w:hAnsi="宋体" w:eastAsia="宋体" w:cs="宋体"/>
                <w:lang w:val="en-US" w:eastAsia="zh-CN"/>
              </w:rPr>
            </w:pPr>
            <w:r>
              <w:rPr>
                <w:rFonts w:hint="eastAsia" w:ascii="宋体" w:hAnsi="宋体" w:cs="宋体"/>
                <w:lang w:val="en-US" w:eastAsia="zh-CN"/>
              </w:rPr>
              <w:t>40</w:t>
            </w:r>
          </w:p>
        </w:tc>
      </w:tr>
      <w:tr w14:paraId="00D5E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0" w:type="dxa"/>
            <w:vMerge w:val="continue"/>
            <w:noWrap w:val="0"/>
            <w:vAlign w:val="center"/>
          </w:tcPr>
          <w:p w14:paraId="18B82CF1">
            <w:pPr>
              <w:jc w:val="center"/>
              <w:rPr>
                <w:rFonts w:hint="eastAsia" w:ascii="宋体" w:hAnsi="宋体" w:eastAsia="宋体" w:cs="宋体"/>
              </w:rPr>
            </w:pPr>
          </w:p>
        </w:tc>
        <w:tc>
          <w:tcPr>
            <w:tcW w:w="1164" w:type="dxa"/>
            <w:noWrap w:val="0"/>
            <w:vAlign w:val="center"/>
          </w:tcPr>
          <w:p w14:paraId="7307736F">
            <w:pPr>
              <w:pStyle w:val="117"/>
              <w:jc w:val="center"/>
              <w:rPr>
                <w:rFonts w:hint="eastAsia" w:ascii="宋体" w:hAnsi="宋体" w:eastAsia="宋体" w:cs="宋体"/>
                <w:lang w:val="en-US" w:eastAsia="zh-Hans"/>
              </w:rPr>
            </w:pPr>
            <w:r>
              <w:rPr>
                <w:rFonts w:hint="eastAsia" w:ascii="宋体" w:hAnsi="宋体" w:eastAsia="宋体" w:cs="宋体"/>
                <w:lang w:val="en-US" w:eastAsia="zh-Hans"/>
              </w:rPr>
              <w:t>企业综合实力</w:t>
            </w:r>
          </w:p>
        </w:tc>
        <w:tc>
          <w:tcPr>
            <w:tcW w:w="6156" w:type="dxa"/>
            <w:noWrap w:val="0"/>
            <w:vAlign w:val="center"/>
          </w:tcPr>
          <w:p w14:paraId="279D8E88">
            <w:pPr>
              <w:pStyle w:val="117"/>
              <w:numPr>
                <w:ilvl w:val="0"/>
                <w:numId w:val="5"/>
              </w:numPr>
              <w:jc w:val="left"/>
              <w:rPr>
                <w:rFonts w:hint="eastAsia" w:ascii="宋体" w:hAnsi="宋体" w:eastAsia="宋体" w:cs="宋体"/>
                <w:lang w:val="en-US" w:eastAsia="zh-Hans"/>
              </w:rPr>
            </w:pPr>
            <w:r>
              <w:rPr>
                <w:rFonts w:hint="eastAsia" w:ascii="宋体" w:hAnsi="宋体" w:eastAsia="宋体" w:cs="宋体"/>
                <w:lang w:val="en-US" w:eastAsia="zh-Hans"/>
              </w:rPr>
              <w:t>投标人具有国家卫生有害生物防制服务机构专业能力证书 A 级及以上的计</w:t>
            </w:r>
            <w:r>
              <w:rPr>
                <w:rFonts w:hint="eastAsia" w:ascii="宋体" w:hAnsi="宋体" w:cs="宋体"/>
                <w:lang w:val="en-US" w:eastAsia="zh-CN"/>
              </w:rPr>
              <w:t>10</w:t>
            </w:r>
            <w:r>
              <w:rPr>
                <w:rFonts w:hint="eastAsia" w:ascii="宋体" w:hAnsi="宋体" w:eastAsia="宋体" w:cs="宋体"/>
                <w:lang w:val="en-US" w:eastAsia="zh-Hans"/>
              </w:rPr>
              <w:t>分，B 级计</w:t>
            </w:r>
            <w:r>
              <w:rPr>
                <w:rFonts w:hint="eastAsia" w:ascii="宋体" w:hAnsi="宋体" w:cs="宋体"/>
                <w:lang w:val="en-US" w:eastAsia="zh-CN"/>
              </w:rPr>
              <w:t>6.5</w:t>
            </w:r>
            <w:r>
              <w:rPr>
                <w:rFonts w:hint="eastAsia" w:ascii="宋体" w:hAnsi="宋体" w:eastAsia="宋体" w:cs="宋体"/>
                <w:lang w:val="en-US" w:eastAsia="zh-Hans"/>
              </w:rPr>
              <w:t>分，C 级计</w:t>
            </w:r>
            <w:r>
              <w:rPr>
                <w:rFonts w:hint="eastAsia" w:ascii="宋体" w:hAnsi="宋体" w:cs="宋体"/>
                <w:lang w:val="en-US" w:eastAsia="zh-CN"/>
              </w:rPr>
              <w:t>3.5</w:t>
            </w:r>
            <w:r>
              <w:rPr>
                <w:rFonts w:hint="eastAsia" w:ascii="宋体" w:hAnsi="宋体" w:eastAsia="宋体" w:cs="宋体"/>
                <w:lang w:val="en-US" w:eastAsia="zh-Hans"/>
              </w:rPr>
              <w:t xml:space="preserve">分。 </w:t>
            </w:r>
          </w:p>
          <w:p w14:paraId="564089A5">
            <w:pPr>
              <w:pStyle w:val="117"/>
              <w:numPr>
                <w:ilvl w:val="0"/>
                <w:numId w:val="0"/>
              </w:numPr>
              <w:jc w:val="left"/>
              <w:rPr>
                <w:rFonts w:hint="eastAsia" w:ascii="宋体" w:hAnsi="宋体" w:eastAsia="宋体" w:cs="宋体"/>
                <w:lang w:val="en-US" w:eastAsia="zh-Hans"/>
              </w:rPr>
            </w:pPr>
            <w:r>
              <w:rPr>
                <w:rFonts w:hint="eastAsia" w:ascii="宋体" w:hAnsi="宋体" w:eastAsia="宋体" w:cs="宋体"/>
                <w:b/>
                <w:bCs/>
                <w:lang w:val="en-US" w:eastAsia="zh-Hans"/>
              </w:rPr>
              <w:t>(</w:t>
            </w:r>
            <w:r>
              <w:rPr>
                <w:rFonts w:hint="eastAsia" w:ascii="宋体" w:hAnsi="宋体" w:eastAsia="宋体" w:cs="宋体"/>
                <w:b/>
                <w:bCs/>
                <w:lang w:val="en-US" w:eastAsia="zh-CN"/>
              </w:rPr>
              <w:t>注：</w:t>
            </w:r>
            <w:r>
              <w:rPr>
                <w:rFonts w:hint="eastAsia" w:ascii="宋体" w:hAnsi="宋体" w:eastAsia="宋体" w:cs="宋体"/>
                <w:b/>
                <w:bCs/>
                <w:lang w:val="en-US" w:eastAsia="zh-Hans"/>
              </w:rPr>
              <w:t>提供以上证书或相关证明材料扫描件及网站截图，并加盖单位公章，未提供不计分）</w:t>
            </w:r>
          </w:p>
        </w:tc>
        <w:tc>
          <w:tcPr>
            <w:tcW w:w="940" w:type="dxa"/>
            <w:noWrap w:val="0"/>
            <w:vAlign w:val="center"/>
          </w:tcPr>
          <w:p w14:paraId="54AACF6D">
            <w:pPr>
              <w:pStyle w:val="117"/>
              <w:jc w:val="center"/>
              <w:rPr>
                <w:rFonts w:hint="default" w:ascii="宋体" w:hAnsi="宋体" w:eastAsia="宋体" w:cs="宋体"/>
                <w:lang w:val="en-US" w:eastAsia="zh-Hans"/>
              </w:rPr>
            </w:pPr>
            <w:r>
              <w:rPr>
                <w:rFonts w:hint="eastAsia" w:ascii="宋体" w:hAnsi="宋体" w:cs="宋体"/>
                <w:lang w:val="en-US" w:eastAsia="zh-CN"/>
              </w:rPr>
              <w:t>10</w:t>
            </w:r>
          </w:p>
        </w:tc>
      </w:tr>
      <w:tr w14:paraId="61200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0" w:type="dxa"/>
            <w:vMerge w:val="continue"/>
            <w:noWrap w:val="0"/>
            <w:vAlign w:val="center"/>
          </w:tcPr>
          <w:p w14:paraId="16DB14FD">
            <w:pPr>
              <w:jc w:val="center"/>
              <w:rPr>
                <w:rFonts w:hint="eastAsia" w:ascii="宋体" w:hAnsi="宋体" w:eastAsia="宋体" w:cs="宋体"/>
              </w:rPr>
            </w:pPr>
          </w:p>
        </w:tc>
        <w:tc>
          <w:tcPr>
            <w:tcW w:w="1164" w:type="dxa"/>
            <w:noWrap w:val="0"/>
            <w:vAlign w:val="center"/>
          </w:tcPr>
          <w:p w14:paraId="0B1D4391">
            <w:pPr>
              <w:pStyle w:val="117"/>
              <w:jc w:val="center"/>
              <w:rPr>
                <w:rFonts w:hint="eastAsia" w:ascii="宋体" w:hAnsi="宋体" w:eastAsia="宋体" w:cs="宋体"/>
                <w:lang w:val="en-US" w:eastAsia="zh-CN"/>
              </w:rPr>
            </w:pPr>
            <w:r>
              <w:rPr>
                <w:rFonts w:hint="eastAsia" w:ascii="宋体" w:hAnsi="宋体" w:eastAsia="宋体" w:cs="宋体"/>
                <w:lang w:val="en-US" w:eastAsia="zh-CN"/>
              </w:rPr>
              <w:t>技术力量</w:t>
            </w:r>
          </w:p>
        </w:tc>
        <w:tc>
          <w:tcPr>
            <w:tcW w:w="6156" w:type="dxa"/>
            <w:noWrap w:val="0"/>
            <w:vAlign w:val="center"/>
          </w:tcPr>
          <w:p w14:paraId="5EB23E8C">
            <w:pPr>
              <w:pStyle w:val="117"/>
              <w:jc w:val="left"/>
              <w:rPr>
                <w:rFonts w:hint="eastAsia" w:ascii="宋体" w:hAnsi="宋体" w:eastAsia="宋体" w:cs="宋体"/>
                <w:lang w:val="en-US" w:eastAsia="zh-CN"/>
              </w:rPr>
            </w:pPr>
            <w:r>
              <w:rPr>
                <w:rFonts w:hint="eastAsia" w:ascii="宋体" w:hAnsi="宋体" w:eastAsia="宋体" w:cs="宋体"/>
                <w:lang w:val="en-US" w:eastAsia="zh-Hans"/>
              </w:rPr>
              <w:t>1、投标人拟投入的项目负责人具有有害生物防制员高级（三级）职业资格(技能)证书的，计</w:t>
            </w:r>
            <w:r>
              <w:rPr>
                <w:rFonts w:hint="eastAsia" w:ascii="宋体" w:hAnsi="宋体" w:cs="宋体"/>
                <w:lang w:val="en-US" w:eastAsia="zh-CN"/>
              </w:rPr>
              <w:t>10</w:t>
            </w:r>
            <w:r>
              <w:rPr>
                <w:rFonts w:hint="eastAsia" w:ascii="宋体" w:hAnsi="宋体" w:eastAsia="宋体" w:cs="宋体"/>
                <w:lang w:val="en-US" w:eastAsia="zh-Hans"/>
              </w:rPr>
              <w:t>分，其余不计分;</w:t>
            </w:r>
          </w:p>
          <w:p w14:paraId="4C9EA458">
            <w:pPr>
              <w:pStyle w:val="117"/>
              <w:jc w:val="left"/>
              <w:rPr>
                <w:rFonts w:hint="eastAsia" w:ascii="宋体" w:hAnsi="宋体" w:eastAsia="宋体" w:cs="宋体"/>
                <w:lang w:val="en-US" w:eastAsia="zh-Hans"/>
              </w:rPr>
            </w:pPr>
            <w:r>
              <w:rPr>
                <w:rFonts w:hint="eastAsia" w:ascii="宋体" w:hAnsi="宋体" w:eastAsia="宋体" w:cs="宋体"/>
                <w:lang w:val="en-US" w:eastAsia="zh-CN"/>
              </w:rPr>
              <w:t>2、投标人</w:t>
            </w:r>
            <w:r>
              <w:rPr>
                <w:rFonts w:hint="eastAsia" w:ascii="宋体" w:hAnsi="宋体" w:eastAsia="宋体" w:cs="宋体"/>
                <w:lang w:val="en-US" w:eastAsia="zh-Hans"/>
              </w:rPr>
              <w:t>拟投入项目</w:t>
            </w:r>
            <w:r>
              <w:rPr>
                <w:rFonts w:hint="eastAsia" w:ascii="宋体" w:hAnsi="宋体" w:eastAsia="宋体" w:cs="宋体"/>
                <w:lang w:val="en-US" w:eastAsia="zh-CN"/>
              </w:rPr>
              <w:t>其他</w:t>
            </w:r>
            <w:r>
              <w:rPr>
                <w:rFonts w:hint="eastAsia" w:ascii="宋体" w:hAnsi="宋体" w:eastAsia="宋体" w:cs="宋体"/>
                <w:lang w:val="en-US" w:eastAsia="zh-Hans"/>
              </w:rPr>
              <w:t>技术人员具有有害生物防制员初级（五级）及以上职业资格(技能)证书的每人计</w:t>
            </w:r>
            <w:r>
              <w:rPr>
                <w:rFonts w:hint="eastAsia" w:ascii="宋体" w:hAnsi="宋体" w:cs="宋体"/>
                <w:lang w:val="en-US" w:eastAsia="zh-CN"/>
              </w:rPr>
              <w:t>4</w:t>
            </w:r>
            <w:r>
              <w:rPr>
                <w:rFonts w:hint="eastAsia" w:ascii="宋体" w:hAnsi="宋体" w:eastAsia="宋体" w:cs="宋体"/>
                <w:lang w:val="en-US" w:eastAsia="zh-Hans"/>
              </w:rPr>
              <w:t>分，本项最多计</w:t>
            </w:r>
            <w:r>
              <w:rPr>
                <w:rFonts w:hint="eastAsia" w:ascii="宋体" w:hAnsi="宋体" w:cs="宋体"/>
                <w:lang w:val="en-US" w:eastAsia="zh-CN"/>
              </w:rPr>
              <w:t>32</w:t>
            </w:r>
            <w:r>
              <w:rPr>
                <w:rFonts w:hint="eastAsia" w:ascii="宋体" w:hAnsi="宋体" w:eastAsia="宋体" w:cs="宋体"/>
                <w:lang w:val="en-US" w:eastAsia="zh-Hans"/>
              </w:rPr>
              <w:t>分;</w:t>
            </w:r>
          </w:p>
          <w:p w14:paraId="21B69108">
            <w:pPr>
              <w:pStyle w:val="117"/>
              <w:jc w:val="left"/>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eastAsia="宋体" w:cs="宋体"/>
                <w:lang w:val="en-US" w:eastAsia="zh-Hans"/>
              </w:rPr>
              <w:t>以上人员同时具备安全生产监督部门颁发的“安全生产知识和管理能力考核合格证”的每人计</w:t>
            </w:r>
            <w:r>
              <w:rPr>
                <w:rFonts w:hint="eastAsia" w:ascii="宋体" w:hAnsi="宋体" w:cs="宋体"/>
                <w:lang w:val="en-US" w:eastAsia="zh-CN"/>
              </w:rPr>
              <w:t>4</w:t>
            </w:r>
            <w:r>
              <w:rPr>
                <w:rFonts w:hint="eastAsia" w:ascii="宋体" w:hAnsi="宋体" w:eastAsia="宋体" w:cs="宋体"/>
                <w:lang w:val="en-US" w:eastAsia="zh-Hans"/>
              </w:rPr>
              <w:t>分，本项最多计</w:t>
            </w:r>
            <w:r>
              <w:rPr>
                <w:rFonts w:hint="eastAsia" w:ascii="宋体" w:hAnsi="宋体" w:cs="宋体"/>
                <w:lang w:val="en-US" w:eastAsia="zh-CN"/>
              </w:rPr>
              <w:t>8</w:t>
            </w:r>
            <w:r>
              <w:rPr>
                <w:rFonts w:hint="eastAsia" w:ascii="宋体" w:hAnsi="宋体" w:eastAsia="宋体" w:cs="宋体"/>
                <w:lang w:val="en-US" w:eastAsia="zh-Hans"/>
              </w:rPr>
              <w:t>分</w:t>
            </w:r>
            <w:r>
              <w:rPr>
                <w:rFonts w:hint="eastAsia" w:ascii="宋体" w:hAnsi="宋体" w:eastAsia="宋体" w:cs="宋体"/>
                <w:lang w:val="en-US" w:eastAsia="zh-CN"/>
              </w:rPr>
              <w:t>。</w:t>
            </w:r>
          </w:p>
          <w:p w14:paraId="4662F57B">
            <w:pPr>
              <w:pStyle w:val="117"/>
              <w:jc w:val="left"/>
              <w:rPr>
                <w:rFonts w:hint="eastAsia" w:ascii="宋体" w:hAnsi="宋体" w:eastAsia="宋体" w:cs="宋体"/>
                <w:lang w:val="en-US" w:eastAsia="zh-Hans"/>
              </w:rPr>
            </w:pPr>
            <w:r>
              <w:rPr>
                <w:rFonts w:hint="eastAsia" w:ascii="宋体" w:hAnsi="宋体" w:eastAsia="宋体" w:cs="宋体"/>
                <w:b/>
                <w:bCs/>
                <w:lang w:val="en-US" w:eastAsia="zh-Hans"/>
              </w:rPr>
              <w:t>（注</w:t>
            </w:r>
            <w:r>
              <w:rPr>
                <w:rFonts w:hint="eastAsia" w:ascii="Times New Roman" w:hAnsi="Times New Roman" w:eastAsia="宋体" w:cs="Times New Roman"/>
                <w:b/>
                <w:bCs/>
                <w:kern w:val="2"/>
                <w:sz w:val="21"/>
                <w:szCs w:val="24"/>
                <w:lang w:val="en-US" w:eastAsia="zh-CN" w:bidi="ar-SA"/>
              </w:rPr>
              <w:t>：上述人员要求为投标单位在职员工，需提供投标单位为其缴纳的近3个月社保证明材料扫描件及职业资格证书扫描件并加盖投标单位公章，且一人多证的不重复计分</w:t>
            </w:r>
            <w:r>
              <w:rPr>
                <w:rFonts w:hint="eastAsia" w:ascii="宋体" w:hAnsi="宋体" w:eastAsia="宋体" w:cs="宋体"/>
                <w:b/>
                <w:bCs/>
                <w:lang w:val="en-US" w:eastAsia="zh-Hans"/>
              </w:rPr>
              <w:t>。）</w:t>
            </w:r>
          </w:p>
        </w:tc>
        <w:tc>
          <w:tcPr>
            <w:tcW w:w="940" w:type="dxa"/>
            <w:noWrap w:val="0"/>
            <w:vAlign w:val="center"/>
          </w:tcPr>
          <w:p w14:paraId="1B47D934">
            <w:pPr>
              <w:pStyle w:val="117"/>
              <w:jc w:val="center"/>
              <w:rPr>
                <w:rFonts w:hint="default" w:ascii="宋体" w:hAnsi="宋体" w:eastAsia="宋体" w:cs="宋体"/>
                <w:lang w:val="en-US" w:eastAsia="zh-CN"/>
              </w:rPr>
            </w:pPr>
            <w:r>
              <w:rPr>
                <w:rFonts w:hint="eastAsia" w:ascii="宋体" w:hAnsi="宋体" w:cs="宋体"/>
                <w:lang w:val="en-US" w:eastAsia="zh-CN"/>
              </w:rPr>
              <w:t>50</w:t>
            </w:r>
          </w:p>
        </w:tc>
      </w:tr>
      <w:tr w14:paraId="08CE4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0" w:type="dxa"/>
            <w:noWrap w:val="0"/>
            <w:vAlign w:val="center"/>
          </w:tcPr>
          <w:p w14:paraId="16085734">
            <w:pPr>
              <w:pStyle w:val="117"/>
              <w:jc w:val="center"/>
              <w:rPr>
                <w:rFonts w:hint="eastAsia" w:ascii="宋体" w:hAnsi="宋体" w:eastAsia="宋体" w:cs="宋体"/>
              </w:rPr>
            </w:pPr>
            <w:r>
              <w:rPr>
                <w:rFonts w:hint="eastAsia" w:ascii="宋体" w:hAnsi="宋体" w:eastAsia="宋体" w:cs="宋体"/>
              </w:rPr>
              <w:t>价格分</w:t>
            </w:r>
          </w:p>
        </w:tc>
        <w:tc>
          <w:tcPr>
            <w:tcW w:w="1164" w:type="dxa"/>
            <w:noWrap w:val="0"/>
            <w:vAlign w:val="center"/>
          </w:tcPr>
          <w:p w14:paraId="506E07DF">
            <w:pPr>
              <w:pStyle w:val="117"/>
              <w:jc w:val="center"/>
              <w:rPr>
                <w:rFonts w:hint="eastAsia" w:ascii="宋体" w:hAnsi="宋体" w:eastAsia="宋体" w:cs="宋体"/>
              </w:rPr>
            </w:pPr>
            <w:r>
              <w:rPr>
                <w:rFonts w:hint="eastAsia" w:ascii="宋体" w:hAnsi="宋体" w:eastAsia="宋体" w:cs="宋体"/>
              </w:rPr>
              <w:t>投标价格得分</w:t>
            </w:r>
          </w:p>
        </w:tc>
        <w:tc>
          <w:tcPr>
            <w:tcW w:w="6156" w:type="dxa"/>
            <w:noWrap w:val="0"/>
            <w:vAlign w:val="center"/>
          </w:tcPr>
          <w:p w14:paraId="434BFF05">
            <w:pPr>
              <w:keepNext w:val="0"/>
              <w:keepLines w:val="0"/>
              <w:widowControl/>
              <w:suppressLineNumbers w:val="0"/>
              <w:spacing w:before="0" w:beforeAutospacing="1" w:after="160" w:afterAutospacing="0" w:line="253" w:lineRule="atLeast"/>
              <w:ind w:left="0" w:right="0" w:firstLine="420"/>
              <w:jc w:val="left"/>
              <w:rPr>
                <w:rFonts w:hint="eastAsia" w:ascii="宋体" w:hAnsi="宋体" w:eastAsia="宋体" w:cs="宋体"/>
              </w:rPr>
            </w:pPr>
            <w:r>
              <w:rPr>
                <w:rFonts w:hint="eastAsia" w:ascii="宋体" w:hAnsi="宋体" w:eastAsia="宋体" w:cs="宋体"/>
              </w:rPr>
              <w:t>以经评委会-致认定满足招标文件要求且投标价格最低的投标报价为评标基准价,其价格得分计满分。其他投标人的价格得分统一按公式计投标报价得分= (评标基准价/投标报价) X 价格权值.</w:t>
            </w:r>
          </w:p>
          <w:p w14:paraId="5EA70E13">
            <w:pPr>
              <w:pStyle w:val="117"/>
              <w:jc w:val="left"/>
              <w:rPr>
                <w:rFonts w:hint="eastAsia" w:ascii="宋体" w:hAnsi="宋体" w:eastAsia="宋体" w:cs="宋体"/>
              </w:rPr>
            </w:pPr>
            <w:r>
              <w:rPr>
                <w:rFonts w:hint="eastAsia" w:ascii="宋体" w:hAnsi="宋体" w:eastAsia="宋体" w:cs="宋体"/>
              </w:rPr>
              <w:t>注: 1. 因落实政府采购政策(价格评审优惠、优先采购)进行价格调整的，以调整后的价格计算评标基准价和投标报价</w:t>
            </w:r>
          </w:p>
          <w:p w14:paraId="069141E7">
            <w:pPr>
              <w:pStyle w:val="117"/>
              <w:ind w:firstLine="400" w:firstLineChars="200"/>
              <w:jc w:val="left"/>
              <w:rPr>
                <w:rFonts w:hint="eastAsia" w:ascii="宋体" w:hAnsi="宋体" w:eastAsia="宋体" w:cs="宋体"/>
              </w:rPr>
            </w:pPr>
            <w:r>
              <w:rPr>
                <w:rFonts w:hint="eastAsia" w:ascii="宋体" w:hAnsi="宋体" w:cs="宋体"/>
                <w:lang w:val="en-US" w:eastAsia="zh-CN"/>
              </w:rPr>
              <w:t>2.</w:t>
            </w:r>
            <w:r>
              <w:rPr>
                <w:rFonts w:hint="eastAsia" w:ascii="宋体" w:hAnsi="宋体" w:eastAsia="宋体" w:cs="宋体"/>
              </w:rPr>
              <w:t>政府采购评审中出现下列情形之一的，评审委员会应当启动异常低价投标(响应)审查程序</w:t>
            </w:r>
          </w:p>
          <w:p w14:paraId="79E39CEA">
            <w:pPr>
              <w:pStyle w:val="117"/>
              <w:jc w:val="left"/>
              <w:rPr>
                <w:rFonts w:hint="eastAsia" w:ascii="宋体" w:hAnsi="宋体" w:eastAsia="宋体" w:cs="宋体"/>
                <w:lang w:val="en-US" w:eastAsia="zh-CN"/>
              </w:rPr>
            </w:pPr>
            <w:r>
              <w:rPr>
                <w:rFonts w:hint="eastAsia" w:ascii="宋体" w:hAnsi="宋体" w:cs="宋体"/>
                <w:lang w:val="en-US" w:eastAsia="zh-CN"/>
              </w:rPr>
              <w:t>2.1</w:t>
            </w:r>
            <w:r>
              <w:rPr>
                <w:rFonts w:hint="eastAsia" w:ascii="宋体" w:hAnsi="宋体" w:eastAsia="宋体" w:cs="宋体"/>
              </w:rPr>
              <w:t>.</w:t>
            </w:r>
            <w:r>
              <w:rPr>
                <w:rFonts w:hint="eastAsia" w:ascii="宋体" w:hAnsi="宋体" w:eastAsia="宋体" w:cs="宋体"/>
                <w:lang w:val="en-US" w:eastAsia="zh-CN"/>
              </w:rPr>
              <w:t>投标(响应)报价低于全部通过符合性审查供应商投标(响应)报价平均值50%的，即投标(响应)报价〈全部通过符合性审查供应商投标(响应)报价平均值x50%;</w:t>
            </w:r>
          </w:p>
          <w:p w14:paraId="3EA67449">
            <w:pPr>
              <w:pStyle w:val="117"/>
              <w:jc w:val="left"/>
              <w:rPr>
                <w:rFonts w:hint="eastAsia" w:ascii="宋体" w:hAnsi="宋体" w:eastAsia="宋体" w:cs="宋体"/>
              </w:rPr>
            </w:pPr>
            <w:r>
              <w:rPr>
                <w:rFonts w:hint="eastAsia" w:ascii="宋体" w:hAnsi="宋体" w:cs="宋体"/>
                <w:lang w:val="en-US" w:eastAsia="zh-CN"/>
              </w:rPr>
              <w:t>2.2</w:t>
            </w:r>
            <w:r>
              <w:rPr>
                <w:rFonts w:hint="eastAsia" w:ascii="宋体" w:hAnsi="宋体" w:eastAsia="宋体" w:cs="宋体"/>
                <w:lang w:val="en-US" w:eastAsia="zh-CN"/>
              </w:rPr>
              <w:t>投标(响应)报价低于通过符合性审查的次低报价供应商投标(响应)报价50%的，即投标(响应)报价〈通过符合性审查的次低报价供应商投标(响应)报价x50%;</w:t>
            </w:r>
          </w:p>
          <w:p w14:paraId="3646671E">
            <w:pPr>
              <w:pStyle w:val="117"/>
              <w:jc w:val="left"/>
              <w:rPr>
                <w:rFonts w:hint="eastAsia" w:ascii="宋体" w:hAnsi="宋体" w:eastAsia="宋体" w:cs="宋体"/>
              </w:rPr>
            </w:pPr>
            <w:r>
              <w:rPr>
                <w:rFonts w:hint="eastAsia" w:ascii="宋体" w:hAnsi="宋体" w:cs="宋体"/>
                <w:lang w:val="en-US" w:eastAsia="zh-CN"/>
              </w:rPr>
              <w:t>2.3</w:t>
            </w:r>
            <w:r>
              <w:rPr>
                <w:rFonts w:hint="eastAsia" w:ascii="宋体" w:hAnsi="宋体" w:eastAsia="宋体" w:cs="宋体"/>
                <w:lang w:val="en-US" w:eastAsia="zh-CN"/>
              </w:rPr>
              <w:t>.投标(响应)报价低于采购项目最高限价45%的，即投标(响应)报价(采购项目最高限价X45%;</w:t>
            </w:r>
          </w:p>
          <w:p w14:paraId="7BE9CA4D">
            <w:pPr>
              <w:pStyle w:val="117"/>
              <w:jc w:val="left"/>
              <w:rPr>
                <w:rFonts w:hint="eastAsia" w:ascii="宋体" w:hAnsi="宋体" w:eastAsia="宋体" w:cs="宋体"/>
                <w:lang w:val="en-US" w:eastAsia="zh-CN"/>
              </w:rPr>
            </w:pPr>
            <w:r>
              <w:rPr>
                <w:rFonts w:hint="eastAsia" w:ascii="宋体" w:hAnsi="宋体" w:cs="宋体"/>
                <w:lang w:val="en-US" w:eastAsia="zh-CN"/>
              </w:rPr>
              <w:t>2.4</w:t>
            </w:r>
            <w:r>
              <w:rPr>
                <w:rFonts w:hint="eastAsia" w:ascii="宋体" w:hAnsi="宋体" w:eastAsia="宋体" w:cs="宋体"/>
                <w:lang w:val="en-US" w:eastAsia="zh-CN"/>
              </w:rPr>
              <w:t>.评审委员会基于专业判断，认为供应商报价过低，有可能影响产品质量或者不能诚信履约的其他情形。</w:t>
            </w:r>
          </w:p>
          <w:p w14:paraId="4230E566">
            <w:pPr>
              <w:pStyle w:val="117"/>
              <w:jc w:val="left"/>
              <w:rPr>
                <w:rFonts w:hint="eastAsia" w:ascii="宋体" w:hAnsi="宋体" w:eastAsia="宋体" w:cs="宋体"/>
                <w:lang w:val="en-US" w:eastAsia="zh-CN"/>
              </w:rPr>
            </w:pPr>
            <w:r>
              <w:rPr>
                <w:rFonts w:hint="eastAsia" w:ascii="宋体" w:hAnsi="宋体" w:eastAsia="宋体" w:cs="宋体"/>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tc>
        <w:tc>
          <w:tcPr>
            <w:tcW w:w="940" w:type="dxa"/>
            <w:noWrap w:val="0"/>
            <w:vAlign w:val="center"/>
          </w:tcPr>
          <w:p w14:paraId="1645167A">
            <w:pPr>
              <w:pStyle w:val="117"/>
              <w:jc w:val="center"/>
              <w:rPr>
                <w:rFonts w:hint="default" w:ascii="宋体" w:hAnsi="宋体" w:eastAsia="宋体" w:cs="宋体"/>
                <w:lang w:val="en-US" w:eastAsia="zh-CN"/>
              </w:rPr>
            </w:pPr>
            <w:r>
              <w:rPr>
                <w:rFonts w:hint="eastAsia" w:ascii="宋体" w:hAnsi="宋体" w:cs="宋体"/>
                <w:lang w:val="en-US" w:eastAsia="zh-CN"/>
              </w:rPr>
              <w:t>100</w:t>
            </w:r>
          </w:p>
        </w:tc>
      </w:tr>
    </w:tbl>
    <w:p w14:paraId="6CD6FE3D">
      <w:pPr>
        <w:pStyle w:val="42"/>
      </w:pPr>
    </w:p>
    <w:p w14:paraId="3C969DA4">
      <w:pPr>
        <w:widowControl/>
        <w:rPr>
          <w:kern w:val="0"/>
          <w:sz w:val="24"/>
        </w:rPr>
      </w:pPr>
      <w:r>
        <w:rPr>
          <w:kern w:val="0"/>
          <w:szCs w:val="21"/>
        </w:rPr>
        <w:t xml:space="preserve">  </w:t>
      </w:r>
    </w:p>
    <w:p w14:paraId="21090D55">
      <w:pPr>
        <w:widowControl/>
        <w:jc w:val="left"/>
        <w:rPr>
          <w:rFonts w:ascii="黑体" w:hAnsi="华文中宋" w:eastAsia="黑体"/>
          <w:b/>
          <w:bCs/>
          <w:sz w:val="32"/>
          <w:szCs w:val="32"/>
        </w:rPr>
      </w:pPr>
      <w:r>
        <w:rPr>
          <w:rFonts w:ascii="黑体" w:hAnsi="华文中宋" w:eastAsia="黑体"/>
          <w:b/>
          <w:sz w:val="28"/>
          <w:szCs w:val="28"/>
        </w:rPr>
        <w:br w:type="page"/>
      </w:r>
    </w:p>
    <w:p w14:paraId="2CD04CD5">
      <w:pPr>
        <w:pStyle w:val="2"/>
        <w:keepNext w:val="0"/>
        <w:adjustRightInd w:val="0"/>
        <w:snapToGrid w:val="0"/>
        <w:spacing w:before="156" w:beforeLines="50" w:line="360" w:lineRule="auto"/>
        <w:rPr>
          <w:rFonts w:ascii="黑体" w:hAnsi="华文中宋" w:eastAsia="黑体"/>
          <w:sz w:val="32"/>
          <w:szCs w:val="32"/>
        </w:rPr>
      </w:pPr>
      <w:bookmarkStart w:id="126" w:name="_Toc4826"/>
      <w:bookmarkStart w:id="127" w:name="_Toc22482"/>
      <w:bookmarkStart w:id="128" w:name="_Toc29913941"/>
      <w:bookmarkStart w:id="129" w:name="_Toc7906"/>
      <w:r>
        <w:rPr>
          <w:rFonts w:hint="eastAsia" w:ascii="黑体" w:hAnsi="华文中宋" w:eastAsia="黑体"/>
          <w:sz w:val="32"/>
          <w:szCs w:val="32"/>
        </w:rPr>
        <w:t>第五章 采购需求</w:t>
      </w:r>
      <w:bookmarkEnd w:id="126"/>
      <w:bookmarkEnd w:id="127"/>
      <w:bookmarkEnd w:id="128"/>
      <w:bookmarkEnd w:id="129"/>
    </w:p>
    <w:p w14:paraId="37705A2B">
      <w:pPr>
        <w:kinsoku w:val="0"/>
        <w:overflowPunct w:val="0"/>
        <w:autoSpaceDE w:val="0"/>
        <w:autoSpaceDN w:val="0"/>
        <w:adjustRightInd w:val="0"/>
        <w:spacing w:before="221"/>
        <w:ind w:left="229"/>
        <w:jc w:val="left"/>
        <w:rPr>
          <w:rFonts w:ascii="宋体" w:hAnsi="宋体" w:eastAsia="宋体" w:cs="宋体"/>
          <w:kern w:val="0"/>
          <w:sz w:val="24"/>
          <w:szCs w:val="24"/>
        </w:rPr>
      </w:pPr>
      <w:r>
        <w:rPr>
          <w:rFonts w:hint="eastAsia" w:ascii="宋体" w:hAnsi="宋体" w:eastAsia="宋体" w:cs="宋体"/>
          <w:b/>
          <w:bCs/>
          <w:kern w:val="0"/>
          <w:sz w:val="24"/>
          <w:szCs w:val="24"/>
          <w:lang w:eastAsia="zh-CN"/>
        </w:rPr>
        <w:t>一</w:t>
      </w:r>
      <w:r>
        <w:rPr>
          <w:rFonts w:hint="eastAsia" w:ascii="宋体" w:hAnsi="宋体" w:eastAsia="宋体" w:cs="宋体"/>
          <w:b/>
          <w:bCs/>
          <w:kern w:val="0"/>
          <w:sz w:val="24"/>
          <w:szCs w:val="24"/>
        </w:rPr>
        <w:t>、项目名称：</w:t>
      </w:r>
      <w:r>
        <w:rPr>
          <w:rFonts w:hint="eastAsia" w:ascii="宋体" w:hAnsi="宋体" w:cs="宋体"/>
          <w:b/>
          <w:bCs/>
          <w:kern w:val="0"/>
          <w:sz w:val="24"/>
          <w:szCs w:val="24"/>
          <w:lang w:eastAsia="zh-CN"/>
        </w:rPr>
        <w:t>桂阳县城区公共区域病媒生物防制服务（第二次）</w:t>
      </w:r>
      <w:r>
        <w:rPr>
          <w:rFonts w:hint="eastAsia" w:ascii="宋体" w:hAnsi="宋体" w:eastAsia="宋体" w:cs="Times New Roman"/>
          <w:b/>
          <w:sz w:val="24"/>
          <w:szCs w:val="24"/>
        </w:rPr>
        <w:t xml:space="preserve">     </w:t>
      </w:r>
    </w:p>
    <w:p w14:paraId="6DB0DD15">
      <w:pPr>
        <w:kinsoku w:val="0"/>
        <w:overflowPunct w:val="0"/>
        <w:autoSpaceDE w:val="0"/>
        <w:autoSpaceDN w:val="0"/>
        <w:adjustRightInd w:val="0"/>
        <w:spacing w:before="37"/>
        <w:ind w:left="229"/>
        <w:jc w:val="left"/>
        <w:rPr>
          <w:rFonts w:hint="eastAsia" w:ascii="宋体" w:hAnsi="宋体" w:eastAsia="宋体" w:cs="宋体"/>
          <w:b/>
          <w:bCs/>
          <w:kern w:val="0"/>
          <w:sz w:val="24"/>
          <w:szCs w:val="24"/>
          <w:lang w:eastAsia="zh-CN"/>
        </w:rPr>
      </w:pPr>
    </w:p>
    <w:p w14:paraId="5DC0E886">
      <w:pPr>
        <w:kinsoku w:val="0"/>
        <w:overflowPunct w:val="0"/>
        <w:autoSpaceDE w:val="0"/>
        <w:autoSpaceDN w:val="0"/>
        <w:adjustRightInd w:val="0"/>
        <w:spacing w:before="37"/>
        <w:ind w:left="229"/>
        <w:jc w:val="left"/>
        <w:rPr>
          <w:rFonts w:hint="eastAsia" w:ascii="宋体" w:hAnsi="宋体" w:cs="宋体"/>
          <w:b/>
          <w:bCs/>
          <w:color w:val="000000"/>
          <w:kern w:val="0"/>
          <w:sz w:val="24"/>
          <w:szCs w:val="24"/>
          <w:lang w:eastAsia="zh-CN"/>
        </w:rPr>
      </w:pPr>
      <w:r>
        <w:rPr>
          <w:rFonts w:hint="eastAsia" w:ascii="宋体" w:hAnsi="宋体" w:eastAsia="宋体" w:cs="宋体"/>
          <w:b/>
          <w:bCs/>
          <w:kern w:val="0"/>
          <w:sz w:val="24"/>
          <w:szCs w:val="24"/>
          <w:lang w:eastAsia="zh-CN"/>
        </w:rPr>
        <w:t>二</w:t>
      </w:r>
      <w:r>
        <w:rPr>
          <w:rFonts w:hint="eastAsia" w:ascii="宋体" w:hAnsi="宋体" w:eastAsia="宋体" w:cs="宋体"/>
          <w:b/>
          <w:bCs/>
          <w:kern w:val="0"/>
          <w:sz w:val="24"/>
          <w:szCs w:val="24"/>
        </w:rPr>
        <w:t>、预算金额</w:t>
      </w:r>
      <w:r>
        <w:rPr>
          <w:rFonts w:hint="eastAsia" w:ascii="宋体" w:hAnsi="宋体" w:eastAsia="宋体" w:cs="宋体"/>
          <w:b/>
          <w:bCs/>
          <w:color w:val="000000"/>
          <w:kern w:val="0"/>
          <w:sz w:val="24"/>
          <w:szCs w:val="24"/>
        </w:rPr>
        <w:t>：</w:t>
      </w:r>
      <w:r>
        <w:rPr>
          <w:rFonts w:hint="eastAsia" w:ascii="宋体" w:hAnsi="宋体" w:cs="宋体"/>
          <w:b/>
          <w:bCs/>
          <w:color w:val="auto"/>
          <w:kern w:val="0"/>
          <w:sz w:val="24"/>
          <w:szCs w:val="24"/>
          <w:lang w:val="en-US" w:eastAsia="zh-CN"/>
        </w:rPr>
        <w:t>240</w:t>
      </w:r>
      <w:r>
        <w:rPr>
          <w:rFonts w:hint="eastAsia" w:ascii="宋体" w:hAnsi="宋体" w:cs="宋体"/>
          <w:b/>
          <w:bCs/>
          <w:color w:val="auto"/>
          <w:kern w:val="0"/>
          <w:sz w:val="24"/>
          <w:szCs w:val="24"/>
          <w:lang w:eastAsia="zh-CN"/>
        </w:rPr>
        <w:t>万元</w:t>
      </w:r>
    </w:p>
    <w:p w14:paraId="0D0E9B20">
      <w:pPr>
        <w:kinsoku w:val="0"/>
        <w:overflowPunct w:val="0"/>
        <w:autoSpaceDE w:val="0"/>
        <w:autoSpaceDN w:val="0"/>
        <w:adjustRightInd w:val="0"/>
        <w:spacing w:before="221"/>
        <w:ind w:left="229"/>
        <w:jc w:val="lef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三、服务期限：</w:t>
      </w:r>
      <w:r>
        <w:rPr>
          <w:rFonts w:hint="eastAsia" w:ascii="宋体" w:hAnsi="宋体" w:cs="宋体"/>
          <w:b/>
          <w:bCs/>
          <w:kern w:val="0"/>
          <w:sz w:val="24"/>
          <w:szCs w:val="24"/>
          <w:lang w:val="en-US" w:eastAsia="zh-CN"/>
        </w:rPr>
        <w:t>三</w:t>
      </w:r>
      <w:r>
        <w:rPr>
          <w:rFonts w:hint="eastAsia" w:ascii="宋体" w:hAnsi="宋体" w:eastAsia="宋体" w:cs="宋体"/>
          <w:b/>
          <w:bCs/>
          <w:kern w:val="0"/>
          <w:sz w:val="24"/>
          <w:szCs w:val="24"/>
          <w:lang w:val="en-US" w:eastAsia="zh-CN"/>
        </w:rPr>
        <w:t>年</w:t>
      </w:r>
    </w:p>
    <w:p w14:paraId="42964D7F">
      <w:pPr>
        <w:kinsoku w:val="0"/>
        <w:overflowPunct w:val="0"/>
        <w:autoSpaceDE w:val="0"/>
        <w:autoSpaceDN w:val="0"/>
        <w:adjustRightInd w:val="0"/>
        <w:spacing w:before="221"/>
        <w:ind w:left="229"/>
        <w:jc w:val="left"/>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四、服务范围及内容</w:t>
      </w:r>
    </w:p>
    <w:p w14:paraId="40ABC879">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1.城区公共区域外环境</w:t>
      </w:r>
    </w:p>
    <w:p w14:paraId="43D03931">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1.1辖区公园、绿地（含绿化带）、休闲广场的病媒生物</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药物</w:t>
      </w:r>
      <w:r>
        <w:rPr>
          <w:rFonts w:hint="eastAsia" w:ascii="宋体" w:hAnsi="宋体" w:cs="Times New Roman"/>
          <w:b w:val="0"/>
          <w:bCs w:val="0"/>
          <w:kern w:val="2"/>
          <w:sz w:val="21"/>
          <w:szCs w:val="21"/>
          <w:lang w:val="en-US" w:eastAsia="zh-CN" w:bidi="ar-SA"/>
        </w:rPr>
        <w:t>消杀服务</w:t>
      </w:r>
      <w:r>
        <w:rPr>
          <w:rFonts w:hint="eastAsia" w:ascii="宋体" w:hAnsi="宋体" w:eastAsia="宋体" w:cs="Times New Roman"/>
          <w:b w:val="0"/>
          <w:bCs w:val="0"/>
          <w:kern w:val="2"/>
          <w:sz w:val="21"/>
          <w:szCs w:val="21"/>
          <w:lang w:val="en-US" w:eastAsia="zh-CN" w:bidi="ar-SA"/>
        </w:rPr>
        <w:t>；</w:t>
      </w:r>
    </w:p>
    <w:p w14:paraId="09E01461">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1.2辖区主次干道、</w:t>
      </w:r>
      <w:r>
        <w:rPr>
          <w:rFonts w:hint="eastAsia" w:ascii="宋体" w:hAnsi="宋体" w:cs="Times New Roman"/>
          <w:b w:val="0"/>
          <w:bCs w:val="0"/>
          <w:color w:val="auto"/>
          <w:kern w:val="2"/>
          <w:sz w:val="21"/>
          <w:szCs w:val="21"/>
          <w:lang w:val="en-US" w:eastAsia="zh-CN" w:bidi="ar-SA"/>
        </w:rPr>
        <w:t>背</w:t>
      </w:r>
      <w:r>
        <w:rPr>
          <w:rFonts w:hint="eastAsia" w:ascii="宋体" w:hAnsi="宋体" w:eastAsia="宋体" w:cs="Times New Roman"/>
          <w:b w:val="0"/>
          <w:bCs w:val="0"/>
          <w:color w:val="auto"/>
          <w:kern w:val="2"/>
          <w:sz w:val="21"/>
          <w:szCs w:val="21"/>
          <w:lang w:val="en-US" w:eastAsia="zh-CN" w:bidi="ar-SA"/>
        </w:rPr>
        <w:t>街小巷、城中村、城乡结合部病媒生物</w:t>
      </w:r>
      <w:r>
        <w:rPr>
          <w:rFonts w:hint="eastAsia" w:ascii="宋体" w:hAnsi="宋体" w:cs="Times New Roman"/>
          <w:b w:val="0"/>
          <w:bCs w:val="0"/>
          <w:color w:val="auto"/>
          <w:kern w:val="2"/>
          <w:sz w:val="21"/>
          <w:szCs w:val="21"/>
          <w:lang w:val="en-US" w:eastAsia="zh-CN" w:bidi="ar-SA"/>
        </w:rPr>
        <w:t>防治</w:t>
      </w:r>
      <w:r>
        <w:rPr>
          <w:rFonts w:hint="eastAsia" w:ascii="宋体" w:hAnsi="宋体" w:eastAsia="宋体" w:cs="Times New Roman"/>
          <w:b w:val="0"/>
          <w:bCs w:val="0"/>
          <w:color w:val="auto"/>
          <w:kern w:val="2"/>
          <w:sz w:val="21"/>
          <w:szCs w:val="21"/>
          <w:lang w:val="en-US" w:eastAsia="zh-CN" w:bidi="ar-SA"/>
        </w:rPr>
        <w:t>药物</w:t>
      </w:r>
      <w:r>
        <w:rPr>
          <w:rFonts w:hint="eastAsia" w:ascii="宋体" w:hAnsi="宋体" w:cs="Times New Roman"/>
          <w:b w:val="0"/>
          <w:bCs w:val="0"/>
          <w:color w:val="auto"/>
          <w:kern w:val="2"/>
          <w:sz w:val="21"/>
          <w:szCs w:val="21"/>
          <w:lang w:val="en-US" w:eastAsia="zh-CN" w:bidi="ar-SA"/>
        </w:rPr>
        <w:t>消杀服务</w:t>
      </w:r>
      <w:r>
        <w:rPr>
          <w:rFonts w:hint="eastAsia" w:ascii="宋体" w:hAnsi="宋体" w:eastAsia="宋体" w:cs="Times New Roman"/>
          <w:b w:val="0"/>
          <w:bCs w:val="0"/>
          <w:color w:val="auto"/>
          <w:kern w:val="2"/>
          <w:sz w:val="21"/>
          <w:szCs w:val="21"/>
          <w:lang w:val="en-US" w:eastAsia="zh-CN" w:bidi="ar-SA"/>
        </w:rPr>
        <w:t>；</w:t>
      </w:r>
    </w:p>
    <w:p w14:paraId="09C67748">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2.城区市政设施及卫生基础设施</w:t>
      </w:r>
    </w:p>
    <w:p w14:paraId="349A86E8">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2.1辖区公厕、下水道流泥井口病媒生物</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药物</w:t>
      </w:r>
      <w:r>
        <w:rPr>
          <w:rFonts w:hint="eastAsia" w:ascii="宋体" w:hAnsi="宋体" w:cs="Times New Roman"/>
          <w:b w:val="0"/>
          <w:bCs w:val="0"/>
          <w:kern w:val="2"/>
          <w:sz w:val="21"/>
          <w:szCs w:val="21"/>
          <w:lang w:val="en-US" w:eastAsia="zh-CN" w:bidi="ar-SA"/>
        </w:rPr>
        <w:t>消杀服务</w:t>
      </w:r>
      <w:r>
        <w:rPr>
          <w:rFonts w:hint="eastAsia" w:ascii="宋体" w:hAnsi="宋体" w:eastAsia="宋体" w:cs="Times New Roman"/>
          <w:b w:val="0"/>
          <w:bCs w:val="0"/>
          <w:kern w:val="2"/>
          <w:sz w:val="21"/>
          <w:szCs w:val="21"/>
          <w:lang w:val="en-US" w:eastAsia="zh-CN" w:bidi="ar-SA"/>
        </w:rPr>
        <w:t>；</w:t>
      </w:r>
    </w:p>
    <w:p w14:paraId="4D8A3113">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2.2辖区垃圾收集设施：垃圾中转站（垃圾围站）、果皮箱等部位的病媒生物</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药物</w:t>
      </w:r>
      <w:r>
        <w:rPr>
          <w:rFonts w:hint="eastAsia" w:ascii="宋体" w:hAnsi="宋体" w:cs="Times New Roman"/>
          <w:b w:val="0"/>
          <w:bCs w:val="0"/>
          <w:kern w:val="2"/>
          <w:sz w:val="21"/>
          <w:szCs w:val="21"/>
          <w:lang w:val="en-US" w:eastAsia="zh-CN" w:bidi="ar-SA"/>
        </w:rPr>
        <w:t>消杀服务</w:t>
      </w:r>
      <w:r>
        <w:rPr>
          <w:rFonts w:hint="eastAsia" w:ascii="宋体" w:hAnsi="宋体" w:eastAsia="宋体" w:cs="Times New Roman"/>
          <w:b w:val="0"/>
          <w:bCs w:val="0"/>
          <w:kern w:val="2"/>
          <w:sz w:val="21"/>
          <w:szCs w:val="21"/>
          <w:lang w:val="en-US" w:eastAsia="zh-CN" w:bidi="ar-SA"/>
        </w:rPr>
        <w:t>；</w:t>
      </w:r>
    </w:p>
    <w:p w14:paraId="0B4AF37C">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3.城区农贸市场：对辖区</w:t>
      </w:r>
      <w:r>
        <w:rPr>
          <w:rFonts w:hint="eastAsia" w:ascii="宋体" w:hAnsi="宋体" w:cs="Times New Roman"/>
          <w:b w:val="0"/>
          <w:bCs w:val="0"/>
          <w:color w:val="auto"/>
          <w:kern w:val="2"/>
          <w:sz w:val="21"/>
          <w:szCs w:val="21"/>
          <w:lang w:val="en-US" w:eastAsia="zh-CN" w:bidi="ar-SA"/>
        </w:rPr>
        <w:t>所有</w:t>
      </w:r>
      <w:r>
        <w:rPr>
          <w:rFonts w:hint="eastAsia" w:ascii="宋体" w:hAnsi="宋体" w:eastAsia="宋体" w:cs="Times New Roman"/>
          <w:b w:val="0"/>
          <w:bCs w:val="0"/>
          <w:color w:val="auto"/>
          <w:kern w:val="2"/>
          <w:sz w:val="21"/>
          <w:szCs w:val="21"/>
          <w:lang w:val="en-US" w:eastAsia="zh-CN" w:bidi="ar-SA"/>
        </w:rPr>
        <w:t>农贸市场开展病媒生物</w:t>
      </w:r>
      <w:r>
        <w:rPr>
          <w:rFonts w:hint="eastAsia" w:ascii="宋体" w:hAnsi="宋体" w:cs="Times New Roman"/>
          <w:b w:val="0"/>
          <w:bCs w:val="0"/>
          <w:color w:val="auto"/>
          <w:kern w:val="2"/>
          <w:sz w:val="21"/>
          <w:szCs w:val="21"/>
          <w:lang w:val="en-US" w:eastAsia="zh-CN" w:bidi="ar-SA"/>
        </w:rPr>
        <w:t>防治</w:t>
      </w:r>
      <w:r>
        <w:rPr>
          <w:rFonts w:hint="eastAsia" w:ascii="宋体" w:hAnsi="宋体" w:eastAsia="宋体" w:cs="Times New Roman"/>
          <w:b w:val="0"/>
          <w:bCs w:val="0"/>
          <w:color w:val="auto"/>
          <w:kern w:val="2"/>
          <w:sz w:val="21"/>
          <w:szCs w:val="21"/>
          <w:lang w:val="en-US" w:eastAsia="zh-CN" w:bidi="ar-SA"/>
        </w:rPr>
        <w:t>药物</w:t>
      </w:r>
      <w:r>
        <w:rPr>
          <w:rFonts w:hint="eastAsia" w:ascii="宋体" w:hAnsi="宋体" w:cs="Times New Roman"/>
          <w:b w:val="0"/>
          <w:bCs w:val="0"/>
          <w:color w:val="auto"/>
          <w:kern w:val="2"/>
          <w:sz w:val="21"/>
          <w:szCs w:val="21"/>
          <w:lang w:val="en-US" w:eastAsia="zh-CN" w:bidi="ar-SA"/>
        </w:rPr>
        <w:t>消杀服务</w:t>
      </w:r>
      <w:r>
        <w:rPr>
          <w:rFonts w:hint="eastAsia" w:ascii="宋体" w:hAnsi="宋体" w:eastAsia="宋体" w:cs="Times New Roman"/>
          <w:b w:val="0"/>
          <w:bCs w:val="0"/>
          <w:color w:val="auto"/>
          <w:kern w:val="2"/>
          <w:sz w:val="21"/>
          <w:szCs w:val="21"/>
          <w:lang w:val="en-US" w:eastAsia="zh-CN" w:bidi="ar-SA"/>
        </w:rPr>
        <w:t>；</w:t>
      </w:r>
    </w:p>
    <w:p w14:paraId="1E106715">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4.重点行业：辖区</w:t>
      </w:r>
      <w:r>
        <w:rPr>
          <w:rFonts w:hint="eastAsia" w:ascii="宋体" w:hAnsi="宋体" w:cs="Times New Roman"/>
          <w:b w:val="0"/>
          <w:bCs w:val="0"/>
          <w:color w:val="auto"/>
          <w:kern w:val="2"/>
          <w:sz w:val="21"/>
          <w:szCs w:val="21"/>
          <w:lang w:val="en-US" w:eastAsia="zh-CN" w:bidi="ar-SA"/>
        </w:rPr>
        <w:t>内</w:t>
      </w:r>
      <w:r>
        <w:rPr>
          <w:rFonts w:hint="eastAsia" w:ascii="宋体" w:hAnsi="宋体" w:eastAsia="宋体" w:cs="Times New Roman"/>
          <w:b w:val="0"/>
          <w:bCs w:val="0"/>
          <w:color w:val="auto"/>
          <w:kern w:val="2"/>
          <w:sz w:val="21"/>
          <w:szCs w:val="21"/>
          <w:lang w:val="en-US" w:eastAsia="zh-CN" w:bidi="ar-SA"/>
        </w:rPr>
        <w:t>重点场所如</w:t>
      </w:r>
      <w:r>
        <w:rPr>
          <w:rFonts w:hint="eastAsia" w:ascii="宋体" w:hAnsi="宋体" w:cs="Times New Roman"/>
          <w:b w:val="0"/>
          <w:bCs w:val="0"/>
          <w:color w:val="auto"/>
          <w:kern w:val="2"/>
          <w:sz w:val="21"/>
          <w:szCs w:val="21"/>
          <w:lang w:val="en-US" w:eastAsia="zh-CN" w:bidi="ar-SA"/>
        </w:rPr>
        <w:t>汽车站、五小门店以及100</w:t>
      </w:r>
      <w:r>
        <w:rPr>
          <w:rFonts w:hint="eastAsia" w:ascii="宋体" w:hAnsi="宋体" w:eastAsia="宋体" w:cs="Times New Roman"/>
          <w:b w:val="0"/>
          <w:bCs w:val="0"/>
          <w:color w:val="auto"/>
          <w:kern w:val="2"/>
          <w:sz w:val="21"/>
          <w:szCs w:val="21"/>
          <w:lang w:val="en-US" w:eastAsia="zh-CN" w:bidi="ar-SA"/>
        </w:rPr>
        <w:t>平方以下的餐饮门店提供病媒生物</w:t>
      </w:r>
      <w:r>
        <w:rPr>
          <w:rFonts w:hint="eastAsia" w:ascii="宋体" w:hAnsi="宋体" w:cs="Times New Roman"/>
          <w:b w:val="0"/>
          <w:bCs w:val="0"/>
          <w:color w:val="auto"/>
          <w:kern w:val="2"/>
          <w:sz w:val="21"/>
          <w:szCs w:val="21"/>
          <w:lang w:val="en-US" w:eastAsia="zh-CN" w:bidi="ar-SA"/>
        </w:rPr>
        <w:t>防治</w:t>
      </w:r>
      <w:r>
        <w:rPr>
          <w:rFonts w:hint="eastAsia" w:ascii="宋体" w:hAnsi="宋体" w:eastAsia="宋体" w:cs="Times New Roman"/>
          <w:b w:val="0"/>
          <w:bCs w:val="0"/>
          <w:color w:val="auto"/>
          <w:kern w:val="2"/>
          <w:sz w:val="21"/>
          <w:szCs w:val="21"/>
          <w:lang w:val="en-US" w:eastAsia="zh-CN" w:bidi="ar-SA"/>
        </w:rPr>
        <w:t>药物</w:t>
      </w:r>
      <w:r>
        <w:rPr>
          <w:rFonts w:hint="eastAsia" w:ascii="宋体" w:hAnsi="宋体" w:cs="Times New Roman"/>
          <w:b w:val="0"/>
          <w:bCs w:val="0"/>
          <w:color w:val="auto"/>
          <w:kern w:val="2"/>
          <w:sz w:val="21"/>
          <w:szCs w:val="21"/>
          <w:lang w:val="en-US" w:eastAsia="zh-CN" w:bidi="ar-SA"/>
        </w:rPr>
        <w:t>消杀服务</w:t>
      </w:r>
      <w:r>
        <w:rPr>
          <w:rFonts w:hint="eastAsia" w:ascii="宋体" w:hAnsi="宋体" w:eastAsia="宋体" w:cs="Times New Roman"/>
          <w:b w:val="0"/>
          <w:bCs w:val="0"/>
          <w:color w:val="auto"/>
          <w:kern w:val="2"/>
          <w:sz w:val="21"/>
          <w:szCs w:val="21"/>
          <w:lang w:val="en-US" w:eastAsia="zh-CN" w:bidi="ar-SA"/>
        </w:rPr>
        <w:t>；</w:t>
      </w:r>
    </w:p>
    <w:p w14:paraId="0BC355BD">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5.无物业居民区、特困企业：提供病媒生物</w:t>
      </w:r>
      <w:r>
        <w:rPr>
          <w:rFonts w:hint="eastAsia" w:ascii="宋体" w:hAnsi="宋体" w:cs="Times New Roman"/>
          <w:b w:val="0"/>
          <w:bCs w:val="0"/>
          <w:kern w:val="2"/>
          <w:sz w:val="21"/>
          <w:szCs w:val="21"/>
          <w:lang w:val="en-US" w:eastAsia="zh-CN" w:bidi="ar-SA"/>
        </w:rPr>
        <w:t>防治消杀服务</w:t>
      </w:r>
      <w:r>
        <w:rPr>
          <w:rFonts w:hint="eastAsia" w:ascii="宋体" w:hAnsi="宋体" w:eastAsia="宋体" w:cs="Times New Roman"/>
          <w:b w:val="0"/>
          <w:bCs w:val="0"/>
          <w:kern w:val="2"/>
          <w:sz w:val="21"/>
          <w:szCs w:val="21"/>
          <w:lang w:val="en-US" w:eastAsia="zh-CN" w:bidi="ar-SA"/>
        </w:rPr>
        <w:t>；</w:t>
      </w:r>
    </w:p>
    <w:p w14:paraId="10200F22">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6.</w:t>
      </w:r>
      <w:r>
        <w:rPr>
          <w:rFonts w:hint="eastAsia" w:ascii="宋体" w:hAnsi="宋体" w:cs="Times New Roman"/>
          <w:b w:val="0"/>
          <w:bCs w:val="0"/>
          <w:color w:val="auto"/>
          <w:kern w:val="2"/>
          <w:sz w:val="21"/>
          <w:szCs w:val="21"/>
          <w:lang w:val="en-US" w:eastAsia="zh-CN" w:bidi="ar-SA"/>
        </w:rPr>
        <w:t>县城区机关事业单位及其住宅小区</w:t>
      </w:r>
      <w:r>
        <w:rPr>
          <w:rFonts w:hint="eastAsia" w:ascii="宋体" w:hAnsi="宋体" w:eastAsia="宋体" w:cs="Times New Roman"/>
          <w:b w:val="0"/>
          <w:bCs w:val="0"/>
          <w:color w:val="auto"/>
          <w:kern w:val="2"/>
          <w:sz w:val="21"/>
          <w:szCs w:val="21"/>
          <w:lang w:val="en-US" w:eastAsia="zh-CN" w:bidi="ar-SA"/>
        </w:rPr>
        <w:t>：提供病媒生物</w:t>
      </w:r>
      <w:r>
        <w:rPr>
          <w:rFonts w:hint="eastAsia" w:ascii="宋体" w:hAnsi="宋体" w:cs="Times New Roman"/>
          <w:b w:val="0"/>
          <w:bCs w:val="0"/>
          <w:color w:val="auto"/>
          <w:kern w:val="2"/>
          <w:sz w:val="21"/>
          <w:szCs w:val="21"/>
          <w:lang w:val="en-US" w:eastAsia="zh-CN" w:bidi="ar-SA"/>
        </w:rPr>
        <w:t>防治消杀服务</w:t>
      </w:r>
      <w:r>
        <w:rPr>
          <w:rFonts w:hint="eastAsia" w:ascii="宋体" w:hAnsi="宋体" w:eastAsia="宋体" w:cs="Times New Roman"/>
          <w:b w:val="0"/>
          <w:bCs w:val="0"/>
          <w:color w:val="auto"/>
          <w:kern w:val="2"/>
          <w:sz w:val="21"/>
          <w:szCs w:val="21"/>
          <w:lang w:val="en-US" w:eastAsia="zh-CN" w:bidi="ar-SA"/>
        </w:rPr>
        <w:t>；</w:t>
      </w:r>
    </w:p>
    <w:p w14:paraId="6CFFFF76">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7.</w:t>
      </w:r>
      <w:r>
        <w:rPr>
          <w:rFonts w:hint="eastAsia" w:ascii="宋体" w:hAnsi="宋体" w:eastAsia="宋体" w:cs="Times New Roman"/>
          <w:b w:val="0"/>
          <w:bCs w:val="0"/>
          <w:kern w:val="2"/>
          <w:sz w:val="21"/>
          <w:szCs w:val="21"/>
          <w:lang w:val="en-US" w:eastAsia="zh-CN" w:bidi="ar-SA"/>
        </w:rPr>
        <w:t>指导主管部门、各职能单位对重点行业场所的三防设施进行标准化建设；指导各单位、街道、社区等进行鼠迹、蟑迹的全面清除，协助做好国家、省、市有关病媒生物</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的各项检查验收。</w:t>
      </w:r>
    </w:p>
    <w:p w14:paraId="18DB1CEE">
      <w:pPr>
        <w:kinsoku w:val="0"/>
        <w:overflowPunct w:val="0"/>
        <w:autoSpaceDE w:val="0"/>
        <w:autoSpaceDN w:val="0"/>
        <w:adjustRightInd w:val="0"/>
        <w:spacing w:before="221"/>
        <w:ind w:left="229"/>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五、</w:t>
      </w:r>
      <w:r>
        <w:rPr>
          <w:rFonts w:hint="eastAsia" w:ascii="宋体" w:hAnsi="宋体" w:eastAsia="宋体" w:cs="宋体"/>
          <w:b/>
          <w:bCs/>
          <w:kern w:val="0"/>
          <w:sz w:val="24"/>
          <w:szCs w:val="24"/>
          <w:lang w:val="en-US" w:eastAsia="zh-CN"/>
        </w:rPr>
        <w:t>病媒密度控制指标</w:t>
      </w:r>
    </w:p>
    <w:p w14:paraId="615AAF53">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1.鼠类密度控制水平达到GB/T27770-2011  C级及以上水平。</w:t>
      </w:r>
    </w:p>
    <w:p w14:paraId="3A608E1E">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2.蟑类密度控制水平达到GB/T27773-2011  C级及以上水平。</w:t>
      </w:r>
    </w:p>
    <w:p w14:paraId="3E04F8DE">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3.蚊类密度控制水平达到GB/T27771-2011  C级及以上水平。</w:t>
      </w:r>
    </w:p>
    <w:p w14:paraId="1BA3175B">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1"/>
          <w:szCs w:val="21"/>
          <w:lang w:val="en-US" w:eastAsia="zh-CN" w:bidi="ar-SA"/>
        </w:rPr>
        <w:t>4.蝇类密度控制水平达到GB/T27772-2011  C级及以上水平。</w:t>
      </w:r>
    </w:p>
    <w:p w14:paraId="6B1B1DD9">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1"/>
          <w:szCs w:val="21"/>
          <w:lang w:val="en-US" w:eastAsia="zh-CN" w:bidi="ar-SA"/>
        </w:rPr>
        <w:t>5.在服务期限中，中标单位确保服务区域病媒生物</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工作顺利通过国家、省级及市级的各项检查验收。</w:t>
      </w:r>
    </w:p>
    <w:p w14:paraId="25918536">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82" w:firstLineChars="200"/>
        <w:textAlignment w:val="auto"/>
        <w:rPr>
          <w:rFonts w:hint="default"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六、服务具体要求</w:t>
      </w:r>
    </w:p>
    <w:p w14:paraId="18C1617C">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1.按专业要求投放（喷洒）鼠、蚊、蟑、蝇的药物。</w:t>
      </w:r>
    </w:p>
    <w:p w14:paraId="06908D07">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2.协助搞好病媒生物孳生地调查工作，并承担少部分工作量不大的孳生地治理工作。乙方负责治理的孳生地，年度累计治理总面积不超过10000㎡，且不超过项目总孳生地面积的20%。</w:t>
      </w:r>
    </w:p>
    <w:p w14:paraId="58B6EBE8">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3</w:t>
      </w:r>
      <w:r>
        <w:rPr>
          <w:rFonts w:hint="eastAsia" w:ascii="宋体" w:hAnsi="宋体" w:eastAsia="宋体" w:cs="Times New Roman"/>
          <w:b w:val="0"/>
          <w:bCs w:val="0"/>
          <w:kern w:val="2"/>
          <w:sz w:val="21"/>
          <w:szCs w:val="21"/>
          <w:lang w:val="en-US" w:eastAsia="zh-CN" w:bidi="ar-SA"/>
        </w:rPr>
        <w:t>.日常</w:t>
      </w:r>
      <w:r>
        <w:rPr>
          <w:rFonts w:hint="eastAsia" w:ascii="宋体" w:hAnsi="宋体" w:cs="Times New Roman"/>
          <w:b w:val="0"/>
          <w:bCs w:val="0"/>
          <w:kern w:val="2"/>
          <w:sz w:val="21"/>
          <w:szCs w:val="21"/>
          <w:lang w:val="en-US" w:eastAsia="zh-CN" w:bidi="ar-SA"/>
        </w:rPr>
        <w:t>参</w:t>
      </w:r>
      <w:r>
        <w:rPr>
          <w:rFonts w:hint="eastAsia" w:ascii="宋体" w:hAnsi="宋体" w:eastAsia="宋体" w:cs="Times New Roman"/>
          <w:b w:val="0"/>
          <w:bCs w:val="0"/>
          <w:kern w:val="2"/>
          <w:sz w:val="21"/>
          <w:szCs w:val="21"/>
          <w:lang w:val="en-US" w:eastAsia="zh-CN" w:bidi="ar-SA"/>
        </w:rPr>
        <w:t>与重点区域防治及孳生地管理：日常公共区域开展常态化病媒生物防制作业；对重点区域（如农贸市场、餐饮集中区、老旧小区、背街小巷等）实施加密作业频次。按规范开展孳生地定期清理整治，消除病媒生物滋生条件，降低密度水平。</w:t>
      </w:r>
    </w:p>
    <w:p w14:paraId="337605C3">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4.月度监测、数据上报及报告编制</w:t>
      </w:r>
      <w:r>
        <w:rPr>
          <w:rFonts w:hint="eastAsia" w:ascii="宋体" w:hAnsi="宋体" w:cs="Times New Roman"/>
          <w:b w:val="0"/>
          <w:bCs w:val="0"/>
          <w:kern w:val="2"/>
          <w:sz w:val="21"/>
          <w:szCs w:val="21"/>
          <w:lang w:val="en-US" w:eastAsia="zh-CN" w:bidi="ar-SA"/>
        </w:rPr>
        <w:t>：</w:t>
      </w:r>
      <w:r>
        <w:rPr>
          <w:rFonts w:hint="eastAsia" w:ascii="宋体" w:hAnsi="宋体" w:eastAsia="宋体" w:cs="Times New Roman"/>
          <w:b w:val="0"/>
          <w:bCs w:val="0"/>
          <w:kern w:val="2"/>
          <w:sz w:val="21"/>
          <w:szCs w:val="21"/>
          <w:lang w:val="en-US" w:eastAsia="zh-CN" w:bidi="ar-SA"/>
        </w:rPr>
        <w:t>月度监测：按《病媒生物密度控制水平》（GB/T 27770~27773）等相关标准，开展病媒生物密度月度监测，保证监测数据真实、完整、可追溯。数据上报：按采购人及主管部门要求，及时完成监测数据、作业记录等资料的线上/线下上报工作。</w:t>
      </w:r>
    </w:p>
    <w:p w14:paraId="3DB986AA">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5.协助县爱卫办对城区所有行政事业单位、企业、宾馆酒店、学校等病媒生物防治的技术督导，并参与督促落实。</w:t>
      </w:r>
    </w:p>
    <w:p w14:paraId="255B0B22">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6.协助县爱卫办收集整理病媒生物防治工作资料汇编。</w:t>
      </w:r>
    </w:p>
    <w:p w14:paraId="4D59CBEA">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7</w:t>
      </w:r>
      <w:r>
        <w:rPr>
          <w:rFonts w:hint="eastAsia" w:ascii="宋体" w:hAnsi="宋体" w:eastAsia="宋体" w:cs="Times New Roman"/>
          <w:b w:val="0"/>
          <w:bCs w:val="0"/>
          <w:kern w:val="2"/>
          <w:sz w:val="21"/>
          <w:szCs w:val="21"/>
          <w:lang w:val="en-US" w:eastAsia="zh-CN" w:bidi="ar-SA"/>
        </w:rPr>
        <w:t>.协助街道办事处、社区开展居民区病媒生物孳生地的治理，特别是小型黑臭水体治理。</w:t>
      </w:r>
    </w:p>
    <w:p w14:paraId="0F0ACF34">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8</w:t>
      </w:r>
      <w:r>
        <w:rPr>
          <w:rFonts w:hint="eastAsia" w:ascii="宋体" w:hAnsi="宋体" w:eastAsia="宋体" w:cs="Times New Roman"/>
          <w:b w:val="0"/>
          <w:bCs w:val="0"/>
          <w:kern w:val="2"/>
          <w:sz w:val="21"/>
          <w:szCs w:val="21"/>
          <w:lang w:val="en-US" w:eastAsia="zh-CN" w:bidi="ar-SA"/>
        </w:rPr>
        <w:t>.不得使用国家禁止使用的病媒生物防治药械。</w:t>
      </w:r>
    </w:p>
    <w:p w14:paraId="5AF3709E">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9</w:t>
      </w:r>
      <w:r>
        <w:rPr>
          <w:rFonts w:hint="eastAsia" w:ascii="宋体" w:hAnsi="宋体" w:eastAsia="宋体" w:cs="Times New Roman"/>
          <w:b w:val="0"/>
          <w:bCs w:val="0"/>
          <w:kern w:val="2"/>
          <w:sz w:val="21"/>
          <w:szCs w:val="21"/>
          <w:lang w:val="en-US" w:eastAsia="zh-CN" w:bidi="ar-SA"/>
        </w:rPr>
        <w:t>.不得以任何形式转让、转包服务。</w:t>
      </w:r>
    </w:p>
    <w:p w14:paraId="11EF72CF">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10</w:t>
      </w:r>
      <w:r>
        <w:rPr>
          <w:rFonts w:hint="eastAsia" w:ascii="宋体" w:hAnsi="宋体" w:eastAsia="宋体" w:cs="Times New Roman"/>
          <w:b w:val="0"/>
          <w:bCs w:val="0"/>
          <w:kern w:val="2"/>
          <w:sz w:val="21"/>
          <w:szCs w:val="21"/>
          <w:lang w:val="en-US" w:eastAsia="zh-CN" w:bidi="ar-SA"/>
        </w:rPr>
        <w:t>.应当及时向县爱卫办反馈辖区病媒生物预防控制服务情况。</w:t>
      </w:r>
    </w:p>
    <w:p w14:paraId="23D2F392">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11</w:t>
      </w:r>
      <w:r>
        <w:rPr>
          <w:rFonts w:hint="eastAsia" w:ascii="宋体" w:hAnsi="宋体" w:eastAsia="宋体" w:cs="Times New Roman"/>
          <w:b w:val="0"/>
          <w:bCs w:val="0"/>
          <w:kern w:val="2"/>
          <w:sz w:val="21"/>
          <w:szCs w:val="21"/>
          <w:lang w:val="en-US" w:eastAsia="zh-CN" w:bidi="ar-SA"/>
        </w:rPr>
        <w:t>.接到虫害投诉或应急事件，要求中标单位接到电话后1个小时内到达现场进行处理。</w:t>
      </w:r>
    </w:p>
    <w:p w14:paraId="73C201B3">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82" w:firstLineChars="200"/>
        <w:textAlignment w:val="auto"/>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七、用药标准</w:t>
      </w:r>
    </w:p>
    <w:p w14:paraId="5EE72DC5">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投标单位必须注重科学合理用药，不得使用假药、国家禁用的药物，并须确保药物来源和质量正当可靠。使用的药物必须符合GB/T27777-2011《杀鼠剂安全使用准则》与GB/T27779-2011《卫生杀虫剂安全使用准则》的要求，达到“安全、高效、环保”并交替使用药物防止产生耐药性的要求。</w:t>
      </w:r>
    </w:p>
    <w:p w14:paraId="04C9621A">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82" w:firstLineChars="200"/>
        <w:textAlignment w:val="auto"/>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八、</w:t>
      </w:r>
      <w:r>
        <w:rPr>
          <w:rFonts w:hint="eastAsia" w:ascii="宋体" w:hAnsi="宋体" w:cs="Times New Roman"/>
          <w:b/>
          <w:bCs/>
          <w:kern w:val="2"/>
          <w:sz w:val="24"/>
          <w:szCs w:val="24"/>
          <w:lang w:val="en-US" w:eastAsia="zh-CN" w:bidi="ar-SA"/>
        </w:rPr>
        <w:t>防治</w:t>
      </w:r>
      <w:r>
        <w:rPr>
          <w:rFonts w:hint="eastAsia" w:ascii="宋体" w:hAnsi="宋体" w:eastAsia="宋体" w:cs="Times New Roman"/>
          <w:b/>
          <w:bCs/>
          <w:kern w:val="2"/>
          <w:sz w:val="24"/>
          <w:szCs w:val="24"/>
          <w:lang w:val="en-US" w:eastAsia="zh-CN" w:bidi="ar-SA"/>
        </w:rPr>
        <w:t>服务方案及要求</w:t>
      </w:r>
    </w:p>
    <w:p w14:paraId="5E6B72F8">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1.投标人负责提供本项目中采购人所需要的灭鼠灭蟑灭蚊蝇药物消杀及技术服务，确保城区病媒生物</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指标达标通过；</w:t>
      </w:r>
    </w:p>
    <w:p w14:paraId="432EC9C4">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1"/>
          <w:szCs w:val="21"/>
          <w:lang w:val="en-US" w:eastAsia="zh-CN" w:bidi="ar-SA"/>
        </w:rPr>
        <w:t>2.投标人须针对本项目编制并体现出的对服务区内外环境特点了解程度的编制相应的技术方案、服务实施方案；</w:t>
      </w:r>
    </w:p>
    <w:p w14:paraId="73343007">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Times New Roman"/>
          <w:b w:val="0"/>
          <w:bCs w:val="0"/>
          <w:kern w:val="2"/>
          <w:sz w:val="21"/>
          <w:szCs w:val="21"/>
          <w:lang w:val="en-US" w:eastAsia="zh-CN" w:bidi="ar-SA"/>
        </w:rPr>
        <w:t>3.投标人针对本项目编制</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服务技术方案，在技术方案中体现出的对</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对象、种类、熏杀</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方法科学的熟悉程度；</w:t>
      </w:r>
    </w:p>
    <w:p w14:paraId="5BEE2DEB">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4.投标人针对本项目配置选择药械（物）合理，药品、药物在</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过程中使用的分配情况，对不同环境的用药量及方法科学合理性；</w:t>
      </w:r>
    </w:p>
    <w:p w14:paraId="630EF7D9">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Times New Roman"/>
          <w:b w:val="0"/>
          <w:bCs w:val="0"/>
          <w:kern w:val="2"/>
          <w:sz w:val="21"/>
          <w:szCs w:val="21"/>
          <w:lang w:val="en-US" w:eastAsia="zh-CN" w:bidi="ar-SA"/>
        </w:rPr>
        <w:t>5.针对本项目编制完整的服务实施方案，实施方案描述的实施病媒生物</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工作内容完整，包括人员培训、质量管理等，人员时间安排妥当，突出日常性工作，</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工作中时间进度安排、资料收集和分析情况。</w:t>
      </w:r>
    </w:p>
    <w:p w14:paraId="6FBBF157">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6.供应商在提供药物投放服务时，必须按规定投放，确保消杀药物的投放量、到位率、覆盖率符合要求并作好相关文字记录，保留备查。</w:t>
      </w:r>
    </w:p>
    <w:p w14:paraId="0EE90087">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7.供应商</w:t>
      </w:r>
      <w:r>
        <w:rPr>
          <w:rFonts w:hint="eastAsia" w:ascii="宋体" w:hAnsi="宋体" w:cs="Times New Roman"/>
          <w:b w:val="0"/>
          <w:bCs w:val="0"/>
          <w:kern w:val="2"/>
          <w:sz w:val="21"/>
          <w:szCs w:val="21"/>
          <w:lang w:val="en-US" w:eastAsia="zh-CN" w:bidi="ar-SA"/>
        </w:rPr>
        <w:t>需配合爱卫办做好</w:t>
      </w:r>
      <w:r>
        <w:rPr>
          <w:rFonts w:hint="eastAsia" w:ascii="宋体" w:hAnsi="宋体" w:eastAsia="宋体" w:cs="Times New Roman"/>
          <w:b w:val="0"/>
          <w:bCs w:val="0"/>
          <w:kern w:val="2"/>
          <w:sz w:val="21"/>
          <w:szCs w:val="21"/>
          <w:lang w:val="en-US" w:eastAsia="zh-CN" w:bidi="ar-SA"/>
        </w:rPr>
        <w:t>好宣传和技术指导工作，预防人畜误食鼠药中毒事件发生，以及对发生误食中毒事件进行及时处理，并承担因宣传和指导不力造成环境污染和人畜误食中毒所产生的后果。</w:t>
      </w:r>
    </w:p>
    <w:p w14:paraId="0385E54D">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8.服务期内药物使用必须符合国家规定的病媒生物防治用药，安全规范用药，严禁使用国家明令禁止使用的药物，如发生人、畜食中毒，经权威部门鉴定属于属乙方使用禁用药物，乙方需要承担全部责任。</w:t>
      </w:r>
    </w:p>
    <w:p w14:paraId="25EBB9F8">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9.供应商须制定突发公共卫生事件应急措施预案和其它活动配合措施；</w:t>
      </w:r>
    </w:p>
    <w:p w14:paraId="1BDFA084">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82" w:firstLineChars="200"/>
        <w:textAlignment w:val="auto"/>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bCs/>
          <w:kern w:val="2"/>
          <w:sz w:val="24"/>
          <w:szCs w:val="24"/>
          <w:lang w:val="en-US" w:eastAsia="zh-CN" w:bidi="ar-SA"/>
        </w:rPr>
        <w:t>九、其他要求</w:t>
      </w:r>
    </w:p>
    <w:p w14:paraId="7E31A0CB">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1</w:t>
      </w:r>
      <w:r>
        <w:rPr>
          <w:rFonts w:hint="eastAsia" w:ascii="宋体" w:hAnsi="宋体" w:eastAsia="宋体" w:cs="Times New Roman"/>
          <w:b w:val="0"/>
          <w:bCs w:val="0"/>
          <w:kern w:val="2"/>
          <w:sz w:val="21"/>
          <w:szCs w:val="21"/>
          <w:lang w:val="en-US" w:eastAsia="zh-CN" w:bidi="ar-SA"/>
        </w:rPr>
        <w:t>.投标人保证按投标文件中的服务承诺提供良好的服务。</w:t>
      </w:r>
    </w:p>
    <w:p w14:paraId="171B3246">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2</w:t>
      </w:r>
      <w:r>
        <w:rPr>
          <w:rFonts w:hint="eastAsia" w:ascii="宋体" w:hAnsi="宋体" w:eastAsia="宋体" w:cs="Times New Roman"/>
          <w:b w:val="0"/>
          <w:bCs w:val="0"/>
          <w:kern w:val="2"/>
          <w:sz w:val="21"/>
          <w:szCs w:val="21"/>
          <w:lang w:val="en-US" w:eastAsia="zh-CN" w:bidi="ar-SA"/>
        </w:rPr>
        <w:t>.投标人工作人员在实施服务时应统一着装、佩证上岗、明确任务、规范操作，文明作业。填写服务登记卡，并请采购人有关人员签字，作为当次服务的凭据。</w:t>
      </w:r>
    </w:p>
    <w:p w14:paraId="472C9EE3">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3</w:t>
      </w:r>
      <w:r>
        <w:rPr>
          <w:rFonts w:hint="eastAsia" w:ascii="宋体" w:hAnsi="宋体" w:eastAsia="宋体" w:cs="Times New Roman"/>
          <w:b w:val="0"/>
          <w:bCs w:val="0"/>
          <w:kern w:val="2"/>
          <w:sz w:val="21"/>
          <w:szCs w:val="21"/>
          <w:lang w:val="en-US" w:eastAsia="zh-CN" w:bidi="ar-SA"/>
        </w:rPr>
        <w:t>.注意药物的使用安全，投（施）药后需防护的部位和措施，应采取有效的防护和措施，及时向采购人报告并向市民发布提醒事项。</w:t>
      </w:r>
    </w:p>
    <w:p w14:paraId="12BF0486">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4"/>
          <w:szCs w:val="24"/>
          <w:lang w:val="en-US" w:eastAsia="zh-CN" w:bidi="ar-SA"/>
        </w:rPr>
      </w:pPr>
      <w:r>
        <w:rPr>
          <w:rFonts w:hint="eastAsia" w:ascii="宋体" w:hAnsi="宋体" w:cs="Times New Roman"/>
          <w:b w:val="0"/>
          <w:bCs w:val="0"/>
          <w:kern w:val="2"/>
          <w:sz w:val="21"/>
          <w:szCs w:val="21"/>
          <w:lang w:val="en-US" w:eastAsia="zh-CN" w:bidi="ar-SA"/>
        </w:rPr>
        <w:t>4</w:t>
      </w:r>
      <w:r>
        <w:rPr>
          <w:rFonts w:hint="eastAsia" w:ascii="宋体" w:hAnsi="宋体" w:eastAsia="宋体" w:cs="Times New Roman"/>
          <w:b w:val="0"/>
          <w:bCs w:val="0"/>
          <w:kern w:val="2"/>
          <w:sz w:val="21"/>
          <w:szCs w:val="21"/>
          <w:lang w:val="en-US" w:eastAsia="zh-CN" w:bidi="ar-SA"/>
        </w:rPr>
        <w:t>.事先作好投药前温馨提示，不能对市民造成影响。</w:t>
      </w:r>
    </w:p>
    <w:p w14:paraId="5D6B930E">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5</w:t>
      </w:r>
      <w:r>
        <w:rPr>
          <w:rFonts w:hint="eastAsia" w:ascii="宋体" w:hAnsi="宋体" w:eastAsia="宋体" w:cs="Times New Roman"/>
          <w:b w:val="0"/>
          <w:bCs w:val="0"/>
          <w:kern w:val="2"/>
          <w:sz w:val="21"/>
          <w:szCs w:val="21"/>
          <w:lang w:val="en-US" w:eastAsia="zh-CN" w:bidi="ar-SA"/>
        </w:rPr>
        <w:t>.确保对服务辖区内的动、植物及公共设施不造成损害。</w:t>
      </w:r>
    </w:p>
    <w:p w14:paraId="3DE98D45">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6</w:t>
      </w:r>
      <w:r>
        <w:rPr>
          <w:rFonts w:hint="eastAsia" w:ascii="宋体" w:hAnsi="宋体" w:eastAsia="宋体" w:cs="Times New Roman"/>
          <w:b w:val="0"/>
          <w:bCs w:val="0"/>
          <w:kern w:val="2"/>
          <w:sz w:val="21"/>
          <w:szCs w:val="21"/>
          <w:lang w:val="en-US" w:eastAsia="zh-CN" w:bidi="ar-SA"/>
        </w:rPr>
        <w:t>.确保施工安全，若因施工原因造成的安全事故及存在安全隐患造成自身和他人人身财产损害，其责任均由投标人承担。</w:t>
      </w:r>
    </w:p>
    <w:p w14:paraId="7C50D4E4">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cs="Times New Roman"/>
          <w:b w:val="0"/>
          <w:bCs w:val="0"/>
          <w:kern w:val="2"/>
          <w:sz w:val="21"/>
          <w:szCs w:val="21"/>
          <w:lang w:val="en-US" w:eastAsia="zh-CN" w:bidi="ar-SA"/>
        </w:rPr>
        <w:t>7</w:t>
      </w:r>
      <w:r>
        <w:rPr>
          <w:rFonts w:hint="eastAsia" w:ascii="宋体" w:hAnsi="宋体" w:eastAsia="宋体" w:cs="Times New Roman"/>
          <w:b w:val="0"/>
          <w:bCs w:val="0"/>
          <w:kern w:val="2"/>
          <w:sz w:val="21"/>
          <w:szCs w:val="21"/>
          <w:lang w:val="en-US" w:eastAsia="zh-CN" w:bidi="ar-SA"/>
        </w:rPr>
        <w:t>.中标单位在签订合同时，不得提出附加条件和不合理要求，中标资格将被取消，该投标人对由此产生的一切后果负责</w:t>
      </w:r>
      <w:r>
        <w:rPr>
          <w:rFonts w:hint="eastAsia" w:ascii="宋体" w:hAnsi="宋体" w:eastAsia="宋体" w:cs="宋体"/>
          <w:kern w:val="2"/>
          <w:sz w:val="21"/>
          <w:szCs w:val="21"/>
          <w:lang w:val="en-US" w:eastAsia="zh-CN" w:bidi="ar-SA"/>
        </w:rPr>
        <w:t>。</w:t>
      </w:r>
    </w:p>
    <w:p w14:paraId="4DE036B7">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82" w:firstLineChars="200"/>
        <w:textAlignment w:val="auto"/>
        <w:rPr>
          <w:rFonts w:hint="default"/>
          <w:lang w:val="en-US" w:eastAsia="zh-CN"/>
        </w:rPr>
      </w:pPr>
      <w:r>
        <w:rPr>
          <w:rFonts w:hint="eastAsia" w:ascii="宋体" w:hAnsi="宋体" w:eastAsia="宋体" w:cs="Times New Roman"/>
          <w:b/>
          <w:bCs/>
          <w:kern w:val="2"/>
          <w:sz w:val="24"/>
          <w:szCs w:val="24"/>
          <w:lang w:val="en-US" w:eastAsia="zh-CN" w:bidi="ar-SA"/>
        </w:rPr>
        <w:t>十、其他要求</w:t>
      </w:r>
    </w:p>
    <w:p w14:paraId="2D195696">
      <w:pPr>
        <w:bidi w:val="0"/>
        <w:rPr>
          <w:rFonts w:hint="eastAsia"/>
          <w:lang w:val="en-US" w:eastAsia="zh-CN"/>
        </w:rPr>
      </w:pPr>
      <w:r>
        <w:rPr>
          <w:rFonts w:hint="eastAsia"/>
          <w:lang w:val="en-US" w:eastAsia="zh-CN"/>
        </w:rPr>
        <w:t xml:space="preserve">   </w:t>
      </w:r>
    </w:p>
    <w:p w14:paraId="50E56260">
      <w:pPr>
        <w:bidi w:val="0"/>
        <w:ind w:firstLine="420" w:firstLineChars="200"/>
        <w:rPr>
          <w:rFonts w:hint="default"/>
          <w:lang w:val="en-US" w:eastAsia="zh-CN"/>
        </w:rPr>
      </w:pPr>
      <w:r>
        <w:rPr>
          <w:rFonts w:hint="eastAsia"/>
          <w:lang w:val="en-US" w:eastAsia="zh-CN"/>
        </w:rPr>
        <w:t>1.完全响应桂阳县城区公共区域病媒生物防制服务（第二次）总体方案（详见后附件）</w:t>
      </w:r>
    </w:p>
    <w:p w14:paraId="3C405A16">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2.</w:t>
      </w:r>
      <w:r>
        <w:rPr>
          <w:rFonts w:hint="eastAsia" w:ascii="宋体" w:hAnsi="宋体" w:eastAsia="宋体" w:cs="Times New Roman"/>
          <w:b w:val="0"/>
          <w:bCs w:val="0"/>
          <w:kern w:val="2"/>
          <w:sz w:val="21"/>
          <w:szCs w:val="21"/>
          <w:lang w:val="en-US" w:eastAsia="zh-CN" w:bidi="ar-SA"/>
        </w:rPr>
        <w:t>付款方式：</w:t>
      </w:r>
      <w:r>
        <w:rPr>
          <w:rFonts w:hint="eastAsia" w:ascii="宋体" w:hAnsi="宋体" w:cs="Times New Roman"/>
          <w:b w:val="0"/>
          <w:bCs w:val="0"/>
          <w:kern w:val="2"/>
          <w:sz w:val="21"/>
          <w:szCs w:val="21"/>
          <w:lang w:val="en-US" w:eastAsia="zh-CN" w:bidi="ar-SA"/>
        </w:rPr>
        <w:t>签订合同时约定</w:t>
      </w:r>
    </w:p>
    <w:p w14:paraId="01B7FF86">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3</w:t>
      </w:r>
      <w:r>
        <w:rPr>
          <w:rFonts w:hint="eastAsia" w:ascii="宋体" w:hAnsi="宋体" w:eastAsia="宋体" w:cs="Times New Roman"/>
          <w:b w:val="0"/>
          <w:bCs w:val="0"/>
          <w:kern w:val="2"/>
          <w:sz w:val="21"/>
          <w:szCs w:val="21"/>
          <w:lang w:val="en-US" w:eastAsia="zh-CN" w:bidi="ar-SA"/>
        </w:rPr>
        <w:t>.履行合同的地点及方式：</w:t>
      </w:r>
      <w:r>
        <w:rPr>
          <w:rFonts w:hint="eastAsia" w:ascii="宋体" w:hAnsi="宋体" w:eastAsia="宋体" w:cs="Times New Roman"/>
          <w:b w:val="0"/>
          <w:bCs w:val="0"/>
          <w:kern w:val="2"/>
          <w:sz w:val="21"/>
          <w:szCs w:val="21"/>
          <w:lang w:val="en-US" w:eastAsia="zh-CN" w:bidi="ar-SA"/>
        </w:rPr>
        <w:tab/>
      </w:r>
    </w:p>
    <w:p w14:paraId="0610C0B2">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地点：采购人指定地点；</w:t>
      </w:r>
    </w:p>
    <w:p w14:paraId="181514E9">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方式：现场服务</w:t>
      </w:r>
    </w:p>
    <w:p w14:paraId="6C48BA20">
      <w:pPr>
        <w:pStyle w:val="4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Theme="minorEastAsia" w:hAnsiTheme="minorEastAsia" w:eastAsiaTheme="minorEastAsia"/>
          <w:szCs w:val="21"/>
        </w:rPr>
      </w:pPr>
      <w:r>
        <w:rPr>
          <w:rFonts w:hint="eastAsia" w:ascii="宋体" w:hAnsi="宋体" w:cs="Times New Roman"/>
          <w:b w:val="0"/>
          <w:bCs w:val="0"/>
          <w:kern w:val="2"/>
          <w:sz w:val="21"/>
          <w:szCs w:val="21"/>
          <w:lang w:val="en-US" w:eastAsia="zh-CN" w:bidi="ar-SA"/>
        </w:rPr>
        <w:t>4.</w:t>
      </w:r>
      <w:r>
        <w:rPr>
          <w:rFonts w:hint="eastAsia" w:ascii="宋体" w:hAnsi="宋体" w:eastAsia="宋体" w:cs="Times New Roman"/>
          <w:b w:val="0"/>
          <w:bCs w:val="0"/>
          <w:kern w:val="2"/>
          <w:sz w:val="21"/>
          <w:szCs w:val="21"/>
          <w:lang w:val="en-US" w:eastAsia="zh-CN" w:bidi="ar-SA"/>
        </w:rPr>
        <w:t>.其它需要说明的事项: 供应商要严格按照采购需求要求提供服务，并达到采购需求规定的标准要求。若未达到约定的质量标准和服务内容，采购方有权要求供应商自行整改，并每项扣除1000元服务费；其服务区域病媒生物</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工作需通过国家、省级及市级爱卫部门组织的各项明察暗访。如供应商的服务内容未达到</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检查评估要求，剩余价款，采购方有权不予支付。</w:t>
      </w:r>
    </w:p>
    <w:p w14:paraId="0B37ADBD">
      <w:pPr>
        <w:adjustRightInd w:val="0"/>
        <w:snapToGrid w:val="0"/>
        <w:spacing w:before="156" w:beforeLines="50" w:line="360" w:lineRule="auto"/>
        <w:rPr>
          <w:rFonts w:asciiTheme="minorEastAsia" w:hAnsiTheme="minorEastAsia" w:eastAsiaTheme="minorEastAsia"/>
          <w:szCs w:val="21"/>
        </w:rPr>
      </w:pPr>
      <w:r>
        <w:rPr>
          <w:rFonts w:hint="eastAsia" w:asciiTheme="minorEastAsia" w:hAnsiTheme="minorEastAsia" w:eastAsiaTheme="minorEastAsia"/>
          <w:szCs w:val="21"/>
        </w:rPr>
        <w:t>注：1、“包”为最小合同单位（最小投标单位）。每“包”内容应细化到“品目”（如果分品目的）。</w:t>
      </w:r>
    </w:p>
    <w:p w14:paraId="11A8BC97">
      <w:pPr>
        <w:adjustRightInd w:val="0"/>
        <w:snapToGrid w:val="0"/>
        <w:spacing w:before="156" w:beforeLines="5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2、投标人必须对一个完整、独立的包进行投标，不得仅对一个包中的部分品目投标，否则</w:t>
      </w:r>
      <w:r>
        <w:rPr>
          <w:rFonts w:hint="eastAsia" w:asciiTheme="minorEastAsia" w:hAnsiTheme="minorEastAsia" w:eastAsiaTheme="minorEastAsia"/>
          <w:b/>
          <w:szCs w:val="21"/>
        </w:rPr>
        <w:t>投标无效。</w:t>
      </w:r>
    </w:p>
    <w:p w14:paraId="16FA060C">
      <w:pPr>
        <w:adjustRightInd w:val="0"/>
        <w:snapToGrid w:val="0"/>
        <w:spacing w:before="156" w:beforeLines="50" w:line="360" w:lineRule="auto"/>
        <w:ind w:firstLine="420" w:firstLineChars="200"/>
        <w:rPr>
          <w:rFonts w:cs="宋体" w:asciiTheme="minorEastAsia" w:hAnsiTheme="minorEastAsia" w:eastAsiaTheme="minorEastAsia"/>
          <w:color w:val="000000"/>
          <w:kern w:val="0"/>
          <w:szCs w:val="21"/>
        </w:rPr>
      </w:pPr>
      <w:r>
        <w:rPr>
          <w:rFonts w:hint="eastAsia" w:asciiTheme="minorEastAsia" w:hAnsiTheme="minorEastAsia" w:eastAsiaTheme="minorEastAsia"/>
          <w:szCs w:val="21"/>
        </w:rPr>
        <w:t>3、货物的主要技术参数或规格：</w:t>
      </w:r>
      <w:r>
        <w:rPr>
          <w:rFonts w:cs="宋体" w:asciiTheme="minorEastAsia" w:hAnsiTheme="minorEastAsia" w:eastAsiaTheme="minorEastAsia"/>
          <w:color w:val="000000"/>
          <w:kern w:val="0"/>
          <w:szCs w:val="21"/>
        </w:rPr>
        <w:t>详见“技术要求”中的具体技术参数</w:t>
      </w:r>
      <w:r>
        <w:rPr>
          <w:rFonts w:hint="eastAsia" w:cs="宋体" w:asciiTheme="minorEastAsia" w:hAnsiTheme="minorEastAsia" w:eastAsiaTheme="minorEastAsia"/>
          <w:color w:val="000000"/>
          <w:kern w:val="0"/>
          <w:szCs w:val="21"/>
        </w:rPr>
        <w:t>。</w:t>
      </w:r>
    </w:p>
    <w:p w14:paraId="234E1AD0">
      <w:pPr>
        <w:adjustRightInd w:val="0"/>
        <w:snapToGrid w:val="0"/>
        <w:spacing w:before="156" w:beforeLines="50" w:line="360" w:lineRule="auto"/>
        <w:ind w:firstLine="420" w:firstLineChars="200"/>
        <w:rPr>
          <w:rFonts w:hint="eastAsia" w:ascii="宋体" w:hAnsi="宋体" w:cs="宋体"/>
          <w:kern w:val="0"/>
          <w:szCs w:val="21"/>
        </w:rPr>
      </w:pPr>
      <w:r>
        <w:rPr>
          <w:rFonts w:hint="eastAsia" w:ascii="宋体" w:hAnsi="宋体" w:cs="宋体"/>
          <w:bCs/>
          <w:kern w:val="0"/>
          <w:szCs w:val="21"/>
        </w:rPr>
        <w:t>4、投标人应</w:t>
      </w:r>
      <w:r>
        <w:rPr>
          <w:rFonts w:hint="eastAsia" w:ascii="宋体" w:hAnsi="宋体" w:cs="宋体"/>
          <w:kern w:val="0"/>
          <w:szCs w:val="21"/>
        </w:rPr>
        <w:t>在投标文件《分项报价明细表》中按</w:t>
      </w:r>
      <w:r>
        <w:rPr>
          <w:rFonts w:hint="eastAsia" w:ascii="宋体" w:hAnsi="宋体"/>
          <w:color w:val="000000"/>
          <w:szCs w:val="21"/>
        </w:rPr>
        <w:t>分项项目名称（包括</w:t>
      </w:r>
      <w:r>
        <w:rPr>
          <w:rFonts w:hint="eastAsia" w:ascii="宋体" w:hAnsi="宋体" w:cs="宋体"/>
          <w:kern w:val="0"/>
          <w:szCs w:val="21"/>
        </w:rPr>
        <w:t>条目号/品目名称）顺序逐项填写，且每个品目中的条目均需按招标文件规定报价。如有缺项、漏项，其</w:t>
      </w:r>
      <w:r>
        <w:rPr>
          <w:rFonts w:hint="eastAsia" w:ascii="宋体" w:hAnsi="宋体" w:cs="宋体"/>
          <w:b/>
          <w:kern w:val="0"/>
          <w:szCs w:val="21"/>
        </w:rPr>
        <w:t>投标无效</w:t>
      </w:r>
      <w:r>
        <w:rPr>
          <w:rFonts w:hint="eastAsia" w:ascii="宋体" w:hAnsi="宋体" w:cs="宋体"/>
          <w:kern w:val="0"/>
          <w:szCs w:val="21"/>
        </w:rPr>
        <w:t>。</w:t>
      </w:r>
    </w:p>
    <w:p w14:paraId="36AB3A83">
      <w:pPr>
        <w:bidi w:val="0"/>
        <w:jc w:val="center"/>
        <w:rPr>
          <w:rFonts w:hint="eastAsia"/>
          <w:b/>
          <w:bCs/>
          <w:sz w:val="36"/>
          <w:szCs w:val="36"/>
        </w:rPr>
      </w:pPr>
      <w:r>
        <w:rPr>
          <w:rFonts w:hint="eastAsia"/>
          <w:b/>
          <w:bCs/>
          <w:sz w:val="36"/>
          <w:szCs w:val="36"/>
        </w:rPr>
        <w:t>桂阳县城区公共区域病媒生物防制</w:t>
      </w:r>
    </w:p>
    <w:p w14:paraId="4A0FAA30">
      <w:pPr>
        <w:bidi w:val="0"/>
        <w:jc w:val="center"/>
        <w:rPr>
          <w:rFonts w:hint="eastAsia" w:ascii="仿宋" w:hAnsi="仿宋" w:eastAsia="仿宋" w:cs="仿宋"/>
          <w:sz w:val="28"/>
          <w:szCs w:val="28"/>
        </w:rPr>
      </w:pPr>
      <w:r>
        <w:rPr>
          <w:rFonts w:hint="eastAsia"/>
          <w:b/>
          <w:bCs/>
          <w:sz w:val="36"/>
          <w:szCs w:val="36"/>
        </w:rPr>
        <w:t>服务</w:t>
      </w:r>
      <w:r>
        <w:rPr>
          <w:rFonts w:hint="eastAsia"/>
          <w:b/>
          <w:bCs/>
          <w:sz w:val="36"/>
          <w:szCs w:val="36"/>
          <w:lang w:eastAsia="zh-CN"/>
        </w:rPr>
        <w:t>总体方案</w:t>
      </w:r>
    </w:p>
    <w:p w14:paraId="0064DF61">
      <w:pPr>
        <w:tabs>
          <w:tab w:val="left" w:pos="360"/>
          <w:tab w:val="left" w:pos="540"/>
        </w:tabs>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进一步加强和规范病媒生物防控工作，有效防控病媒生物传播性疾病的发生和流行，保护人民群众的身体健康，扎实做好桂阳县城区的除“四害”工作，坚持综合防治、群防结合，加强环境防制，环境治理，全面杀灭，完善相关设施，确保鼠、蚊、蝇、蟑螂密度控制在国家规定的标准之内，达到国家卫生县城C级标准,为</w:t>
      </w:r>
      <w:r>
        <w:rPr>
          <w:rFonts w:hint="eastAsia" w:ascii="仿宋_GB2312" w:hAnsi="仿宋_GB2312" w:eastAsia="仿宋_GB2312" w:cs="仿宋_GB2312"/>
          <w:sz w:val="28"/>
          <w:szCs w:val="28"/>
          <w:lang w:eastAsia="zh-CN"/>
        </w:rPr>
        <w:t>巩固</w:t>
      </w:r>
      <w:r>
        <w:rPr>
          <w:rFonts w:hint="eastAsia" w:ascii="仿宋_GB2312" w:hAnsi="仿宋_GB2312" w:eastAsia="仿宋_GB2312" w:cs="仿宋_GB2312"/>
          <w:sz w:val="28"/>
          <w:szCs w:val="28"/>
        </w:rPr>
        <w:t>国家</w:t>
      </w:r>
      <w:r>
        <w:rPr>
          <w:rFonts w:hint="eastAsia" w:ascii="仿宋_GB2312" w:hAnsi="仿宋_GB2312" w:eastAsia="仿宋_GB2312" w:cs="仿宋_GB2312"/>
          <w:sz w:val="28"/>
          <w:szCs w:val="28"/>
          <w:lang w:eastAsia="zh-CN"/>
        </w:rPr>
        <w:t>卫生</w:t>
      </w:r>
      <w:r>
        <w:rPr>
          <w:rFonts w:hint="eastAsia" w:ascii="仿宋_GB2312" w:hAnsi="仿宋_GB2312" w:eastAsia="仿宋_GB2312" w:cs="仿宋_GB2312"/>
          <w:sz w:val="28"/>
          <w:szCs w:val="28"/>
        </w:rPr>
        <w:t>县城奠定坚实的基础。</w:t>
      </w:r>
    </w:p>
    <w:p w14:paraId="4DE50C8E">
      <w:pPr>
        <w:tabs>
          <w:tab w:val="left" w:pos="360"/>
          <w:tab w:val="left" w:pos="540"/>
        </w:tabs>
        <w:spacing w:line="600" w:lineRule="exact"/>
        <w:ind w:firstLine="630"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eastAsia="zh-CN"/>
        </w:rPr>
        <w:t>防制目标</w:t>
      </w:r>
    </w:p>
    <w:p w14:paraId="5E946BB7">
      <w:pPr>
        <w:tabs>
          <w:tab w:val="left" w:pos="360"/>
          <w:tab w:val="left" w:pos="540"/>
        </w:tabs>
        <w:spacing w:line="60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通过政府购买</w:t>
      </w:r>
      <w:r>
        <w:rPr>
          <w:rFonts w:hint="eastAsia" w:ascii="仿宋_GB2312" w:hAnsi="仿宋_GB2312" w:eastAsia="仿宋_GB2312" w:cs="仿宋_GB2312"/>
          <w:sz w:val="28"/>
          <w:szCs w:val="28"/>
        </w:rPr>
        <w:t>病媒生物防</w:t>
      </w:r>
      <w:r>
        <w:rPr>
          <w:rFonts w:hint="eastAsia" w:ascii="仿宋_GB2312" w:hAnsi="仿宋_GB2312" w:eastAsia="仿宋_GB2312" w:cs="仿宋_GB2312"/>
          <w:sz w:val="28"/>
          <w:szCs w:val="28"/>
          <w:lang w:eastAsia="zh-CN"/>
        </w:rPr>
        <w:t>制服务模式，</w:t>
      </w:r>
      <w:r>
        <w:rPr>
          <w:rFonts w:hint="eastAsia" w:ascii="仿宋_GB2312" w:hAnsi="仿宋_GB2312" w:eastAsia="仿宋_GB2312" w:cs="仿宋_GB2312"/>
          <w:sz w:val="28"/>
          <w:szCs w:val="28"/>
        </w:rPr>
        <w:t>完善相关设施，加强环境防制，</w:t>
      </w:r>
      <w:r>
        <w:rPr>
          <w:rFonts w:hint="eastAsia" w:ascii="仿宋_GB2312" w:hAnsi="仿宋_GB2312" w:eastAsia="仿宋_GB2312" w:cs="仿宋_GB2312"/>
          <w:sz w:val="28"/>
          <w:szCs w:val="28"/>
          <w:lang w:eastAsia="zh-CN"/>
        </w:rPr>
        <w:t>扎实做好</w:t>
      </w:r>
      <w:r>
        <w:rPr>
          <w:rFonts w:hint="eastAsia" w:ascii="仿宋_GB2312" w:hAnsi="仿宋_GB2312" w:eastAsia="仿宋_GB2312" w:cs="仿宋_GB2312"/>
          <w:sz w:val="28"/>
          <w:szCs w:val="28"/>
        </w:rPr>
        <w:t>桂阳县城区公共区域的除“四害”服务（灭老鼠、蟑螂、蚊子、苍蝇）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确保鼠、蚊、蝇、蟑螂密度控制在国家规定的标准之内，达到国家卫生县城C级标准,</w:t>
      </w:r>
      <w:r>
        <w:rPr>
          <w:rFonts w:hint="eastAsia" w:ascii="仿宋_GB2312" w:hAnsi="仿宋_GB2312" w:eastAsia="仿宋_GB2312" w:cs="仿宋_GB2312"/>
          <w:sz w:val="28"/>
          <w:szCs w:val="28"/>
          <w:lang w:eastAsia="zh-CN"/>
        </w:rPr>
        <w:t>顺利通过上级爱卫部门的各项检查验收。</w:t>
      </w:r>
    </w:p>
    <w:p w14:paraId="210DA9AF">
      <w:pPr>
        <w:tabs>
          <w:tab w:val="left" w:pos="360"/>
          <w:tab w:val="left" w:pos="540"/>
        </w:tabs>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lang w:eastAsia="zh-CN"/>
        </w:rPr>
        <w:t>防制</w:t>
      </w:r>
      <w:r>
        <w:rPr>
          <w:rFonts w:hint="eastAsia" w:ascii="仿宋_GB2312" w:hAnsi="仿宋_GB2312" w:eastAsia="仿宋_GB2312" w:cs="仿宋_GB2312"/>
          <w:b/>
          <w:sz w:val="32"/>
          <w:szCs w:val="32"/>
        </w:rPr>
        <w:t>范围</w:t>
      </w:r>
    </w:p>
    <w:p w14:paraId="4FEFED38">
      <w:pPr>
        <w:tabs>
          <w:tab w:val="left" w:pos="360"/>
          <w:tab w:val="left" w:pos="540"/>
        </w:tabs>
        <w:spacing w:line="60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桂阳县城建城区所有无物业管理的居民小区、困难企业、广场及草坪绿地、绿化带、大街小巷、市政道路、下水道、留泥井、垃圾站、公共厕所、农贸市场、公园、游园、汽车站、大中型水体、城乡结合部（包括山背村、拱极村、北麓社区子龙组、南苑社区月亮组和石岭组、周台村、上银山村、柏树村、全义村）、城中村（包括北关社区龙潭二村、八字塘社区腊树下和杨家庄、太和林场老场部、东风村、东塔社区塔背组、朝阳村）、闲置空地、营业面积100平方以下的小餐饮店、五小行业小门店、行政机关事业单位和住宅小区（不含学校、医院）；龙潭和鹿峰街道所属11个社区、宝山矿居民区、太和林场、共和农场、茶场、畜禽良种场的办公区域和村组、黄沙坪街道机关事业单位及公共区域，以上处所公共区域的病媒生物防制服务。并在以上区域确保有灭鼠毒鼠屋</w:t>
      </w:r>
      <w:r>
        <w:rPr>
          <w:rFonts w:hint="eastAsia" w:ascii="仿宋_GB2312" w:hAnsi="仿宋_GB2312" w:eastAsia="仿宋_GB2312" w:cs="仿宋_GB2312"/>
          <w:sz w:val="28"/>
          <w:szCs w:val="28"/>
          <w:lang w:val="en-US" w:eastAsia="zh-CN"/>
        </w:rPr>
        <w:t>30000</w:t>
      </w:r>
      <w:r>
        <w:rPr>
          <w:rFonts w:hint="eastAsia" w:ascii="仿宋_GB2312" w:hAnsi="仿宋_GB2312" w:eastAsia="仿宋_GB2312" w:cs="仿宋_GB2312"/>
          <w:sz w:val="28"/>
          <w:szCs w:val="28"/>
          <w:lang w:eastAsia="zh-CN"/>
        </w:rPr>
        <w:t>个以上。</w:t>
      </w:r>
    </w:p>
    <w:p w14:paraId="1D4BC8F8">
      <w:pPr>
        <w:tabs>
          <w:tab w:val="left" w:pos="360"/>
          <w:tab w:val="left" w:pos="540"/>
        </w:tabs>
        <w:spacing w:line="800" w:lineRule="exact"/>
        <w:ind w:firstLine="630" w:firstLineChars="196"/>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3、服务</w:t>
      </w:r>
      <w:r>
        <w:rPr>
          <w:rFonts w:hint="eastAsia" w:ascii="仿宋_GB2312" w:hAnsi="仿宋_GB2312" w:eastAsia="仿宋_GB2312" w:cs="仿宋_GB2312"/>
          <w:b/>
          <w:sz w:val="32"/>
          <w:szCs w:val="32"/>
          <w:lang w:eastAsia="zh-CN"/>
        </w:rPr>
        <w:t>周期</w:t>
      </w:r>
    </w:p>
    <w:p w14:paraId="4D55EE34">
      <w:pPr>
        <w:adjustRightInd w:val="0"/>
        <w:snapToGrid w:val="0"/>
        <w:spacing w:line="600" w:lineRule="exact"/>
        <w:ind w:firstLine="556"/>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年为一标期，</w:t>
      </w:r>
      <w:r>
        <w:rPr>
          <w:rFonts w:hint="eastAsia" w:ascii="仿宋_GB2312" w:hAnsi="仿宋_GB2312" w:eastAsia="仿宋_GB2312" w:cs="仿宋_GB2312"/>
          <w:sz w:val="28"/>
          <w:szCs w:val="28"/>
          <w:lang w:eastAsia="zh-CN"/>
        </w:rPr>
        <w:t>政府公开招标全县</w:t>
      </w:r>
      <w:r>
        <w:rPr>
          <w:rFonts w:hint="eastAsia" w:ascii="仿宋_GB2312" w:hAnsi="仿宋_GB2312" w:eastAsia="仿宋_GB2312" w:cs="仿宋_GB2312"/>
          <w:sz w:val="28"/>
          <w:szCs w:val="28"/>
        </w:rPr>
        <w:t>城区公共区域的病媒生物防</w:t>
      </w:r>
      <w:r>
        <w:rPr>
          <w:rFonts w:hint="eastAsia" w:ascii="仿宋_GB2312" w:hAnsi="仿宋_GB2312" w:eastAsia="仿宋_GB2312" w:cs="仿宋_GB2312"/>
          <w:sz w:val="28"/>
          <w:szCs w:val="28"/>
          <w:lang w:eastAsia="zh-CN"/>
        </w:rPr>
        <w:t>制服务。</w:t>
      </w:r>
      <w:r>
        <w:rPr>
          <w:rFonts w:hint="eastAsia" w:ascii="仿宋_GB2312" w:hAnsi="仿宋_GB2312" w:eastAsia="仿宋_GB2312" w:cs="仿宋_GB2312"/>
          <w:sz w:val="28"/>
          <w:szCs w:val="28"/>
        </w:rPr>
        <w:t>具体起止时间以政府采购签订的合同为准。</w:t>
      </w:r>
    </w:p>
    <w:p w14:paraId="0E485B90">
      <w:pPr>
        <w:adjustRightInd w:val="0"/>
        <w:snapToGrid w:val="0"/>
        <w:spacing w:line="600" w:lineRule="exact"/>
        <w:ind w:firstLine="643" w:firstLineChars="200"/>
        <w:jc w:val="left"/>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4、经费</w:t>
      </w:r>
      <w:r>
        <w:rPr>
          <w:rFonts w:hint="eastAsia" w:ascii="仿宋_GB2312" w:hAnsi="仿宋_GB2312" w:eastAsia="仿宋_GB2312" w:cs="仿宋_GB2312"/>
          <w:b/>
          <w:sz w:val="32"/>
          <w:szCs w:val="32"/>
          <w:lang w:eastAsia="zh-CN"/>
        </w:rPr>
        <w:t>预算</w:t>
      </w:r>
    </w:p>
    <w:p w14:paraId="4AE9008D">
      <w:pPr>
        <w:adjustRightInd w:val="0"/>
        <w:snapToGrid w:val="0"/>
        <w:spacing w:line="60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年</w:t>
      </w:r>
      <w:r>
        <w:rPr>
          <w:rFonts w:hint="eastAsia" w:ascii="仿宋_GB2312" w:hAnsi="仿宋_GB2312" w:eastAsia="仿宋_GB2312" w:cs="仿宋_GB2312"/>
          <w:bCs/>
          <w:sz w:val="28"/>
          <w:szCs w:val="28"/>
        </w:rPr>
        <w:t>度病媒生物防制总经费</w:t>
      </w:r>
      <w:r>
        <w:rPr>
          <w:rFonts w:hint="eastAsia" w:ascii="仿宋_GB2312" w:hAnsi="仿宋_GB2312" w:eastAsia="仿宋_GB2312" w:cs="仿宋_GB2312"/>
          <w:bCs/>
          <w:sz w:val="28"/>
          <w:szCs w:val="28"/>
          <w:lang w:eastAsia="zh-CN"/>
        </w:rPr>
        <w:t>不超</w:t>
      </w:r>
      <w:r>
        <w:rPr>
          <w:rFonts w:hint="eastAsia" w:ascii="仿宋_GB2312" w:hAnsi="仿宋_GB2312" w:eastAsia="仿宋_GB2312" w:cs="仿宋_GB2312"/>
          <w:bCs/>
          <w:sz w:val="28"/>
          <w:szCs w:val="28"/>
          <w:lang w:val="en-US" w:eastAsia="zh-CN"/>
        </w:rPr>
        <w:t>240</w:t>
      </w:r>
      <w:r>
        <w:rPr>
          <w:rFonts w:hint="eastAsia" w:ascii="仿宋_GB2312" w:hAnsi="仿宋_GB2312" w:eastAsia="仿宋_GB2312" w:cs="仿宋_GB2312"/>
          <w:bCs/>
          <w:sz w:val="28"/>
          <w:szCs w:val="28"/>
        </w:rPr>
        <w:t>万元，每年度病媒生物防制经费</w:t>
      </w:r>
      <w:r>
        <w:rPr>
          <w:rFonts w:hint="eastAsia" w:ascii="仿宋_GB2312" w:hAnsi="仿宋_GB2312" w:eastAsia="仿宋_GB2312" w:cs="仿宋_GB2312"/>
          <w:bCs/>
          <w:sz w:val="28"/>
          <w:szCs w:val="28"/>
          <w:lang w:eastAsia="zh-CN"/>
        </w:rPr>
        <w:t>不超</w:t>
      </w:r>
      <w:r>
        <w:rPr>
          <w:rFonts w:hint="eastAsia" w:ascii="仿宋_GB2312" w:hAnsi="仿宋_GB2312" w:eastAsia="仿宋_GB2312" w:cs="仿宋_GB2312"/>
          <w:bCs/>
          <w:sz w:val="28"/>
          <w:szCs w:val="28"/>
          <w:lang w:val="en-US" w:eastAsia="zh-CN"/>
        </w:rPr>
        <w:t>80</w:t>
      </w:r>
      <w:r>
        <w:rPr>
          <w:rFonts w:hint="eastAsia" w:ascii="仿宋_GB2312" w:hAnsi="仿宋_GB2312" w:eastAsia="仿宋_GB2312" w:cs="仿宋_GB2312"/>
          <w:bCs/>
          <w:sz w:val="28"/>
          <w:szCs w:val="28"/>
        </w:rPr>
        <w:t>万元</w:t>
      </w:r>
      <w:r>
        <w:rPr>
          <w:rFonts w:hint="eastAsia" w:ascii="仿宋_GB2312" w:hAnsi="仿宋_GB2312" w:eastAsia="仿宋_GB2312" w:cs="仿宋_GB2312"/>
          <w:sz w:val="28"/>
          <w:szCs w:val="28"/>
        </w:rPr>
        <w:t>。</w:t>
      </w:r>
    </w:p>
    <w:p w14:paraId="519FF2BB">
      <w:pPr>
        <w:tabs>
          <w:tab w:val="left" w:pos="360"/>
          <w:tab w:val="left" w:pos="540"/>
        </w:tabs>
        <w:spacing w:line="8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5、服务职责</w:t>
      </w:r>
    </w:p>
    <w:p w14:paraId="23397E13">
      <w:pPr>
        <w:tabs>
          <w:tab w:val="left" w:pos="360"/>
          <w:tab w:val="left" w:pos="540"/>
        </w:tabs>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⑴、对城区以上</w:t>
      </w:r>
      <w:r>
        <w:rPr>
          <w:rFonts w:hint="eastAsia" w:ascii="仿宋_GB2312" w:hAnsi="仿宋_GB2312" w:eastAsia="仿宋_GB2312" w:cs="仿宋_GB2312"/>
          <w:sz w:val="28"/>
          <w:szCs w:val="28"/>
          <w:lang w:eastAsia="zh-CN"/>
        </w:rPr>
        <w:t>防制</w:t>
      </w:r>
      <w:r>
        <w:rPr>
          <w:rFonts w:hint="eastAsia" w:ascii="仿宋_GB2312" w:hAnsi="仿宋_GB2312" w:eastAsia="仿宋_GB2312" w:cs="仿宋_GB2312"/>
          <w:sz w:val="28"/>
          <w:szCs w:val="28"/>
        </w:rPr>
        <w:t>范围进行病媒生物防制，城区除“四害” 综合防制水平达</w:t>
      </w:r>
      <w:r>
        <w:rPr>
          <w:rFonts w:hint="eastAsia" w:ascii="仿宋_GB2312" w:hAnsi="仿宋_GB2312" w:eastAsia="仿宋_GB2312" w:cs="仿宋_GB2312"/>
          <w:color w:val="000000"/>
          <w:sz w:val="28"/>
          <w:szCs w:val="28"/>
        </w:rPr>
        <w:t>C级标准</w:t>
      </w:r>
      <w:r>
        <w:rPr>
          <w:rFonts w:hint="eastAsia" w:ascii="仿宋_GB2312" w:hAnsi="仿宋_GB2312" w:eastAsia="仿宋_GB2312" w:cs="仿宋_GB2312"/>
          <w:sz w:val="28"/>
          <w:szCs w:val="28"/>
        </w:rPr>
        <w:t>。</w:t>
      </w:r>
    </w:p>
    <w:p w14:paraId="1916AE3E">
      <w:pPr>
        <w:tabs>
          <w:tab w:val="left" w:pos="360"/>
          <w:tab w:val="left" w:pos="540"/>
        </w:tabs>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⑵、负责对城区管辖街道、社区、城中村、单位等相关部门单位卫生专干及群众做好病媒生物防制技术培训和技术指导等。</w:t>
      </w:r>
    </w:p>
    <w:p w14:paraId="2F6AE195">
      <w:pPr>
        <w:tabs>
          <w:tab w:val="left" w:pos="360"/>
          <w:tab w:val="left" w:pos="540"/>
        </w:tabs>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⑶、配合县爱卫办对辖区内各单位、社区、城中村的督查工作。</w:t>
      </w:r>
    </w:p>
    <w:p w14:paraId="7D559B7A">
      <w:pPr>
        <w:tabs>
          <w:tab w:val="left" w:pos="360"/>
          <w:tab w:val="left" w:pos="540"/>
        </w:tabs>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⑷、配合县爱卫办对城区管辖街道、社区、城中村做好群众满意度调查工作。</w:t>
      </w:r>
    </w:p>
    <w:p w14:paraId="59B603B3">
      <w:pPr>
        <w:tabs>
          <w:tab w:val="left" w:pos="360"/>
          <w:tab w:val="left" w:pos="540"/>
        </w:tabs>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6、质量标准</w:t>
      </w:r>
    </w:p>
    <w:p w14:paraId="08D37D1C">
      <w:pPr>
        <w:tabs>
          <w:tab w:val="left" w:pos="360"/>
          <w:tab w:val="left" w:pos="540"/>
        </w:tabs>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坚持综合防治、群防结合，加强环境防制，环境治理，全面杀灭，完善相关设施，扎实做好桂阳县城区</w:t>
      </w:r>
      <w:r>
        <w:rPr>
          <w:rFonts w:hint="eastAsia" w:ascii="仿宋_GB2312" w:hAnsi="仿宋_GB2312" w:eastAsia="仿宋_GB2312" w:cs="仿宋_GB2312"/>
          <w:sz w:val="28"/>
          <w:szCs w:val="28"/>
          <w:lang w:eastAsia="zh-CN"/>
        </w:rPr>
        <w:t>防制</w:t>
      </w:r>
      <w:r>
        <w:rPr>
          <w:rFonts w:hint="eastAsia" w:ascii="仿宋_GB2312" w:hAnsi="仿宋_GB2312" w:eastAsia="仿宋_GB2312" w:cs="仿宋_GB2312"/>
          <w:sz w:val="28"/>
          <w:szCs w:val="28"/>
        </w:rPr>
        <w:t>范围的灭鼠、灭蟑、灭蚊、灭蝇工作，确保鼠、蟑、蚊、蝇密度控制达到国家规定的C级标准，顺利通过上级爱卫部门的各项检查验收。</w:t>
      </w:r>
    </w:p>
    <w:p w14:paraId="1AFD042C">
      <w:pPr>
        <w:tabs>
          <w:tab w:val="left" w:pos="360"/>
          <w:tab w:val="left" w:pos="540"/>
        </w:tabs>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7、“四害”密度控制标准</w:t>
      </w:r>
    </w:p>
    <w:p w14:paraId="6749898D">
      <w:pPr>
        <w:widowControl/>
        <w:shd w:val="clear" w:color="auto" w:fill="FFFFFF"/>
        <w:snapToGrid w:val="0"/>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按照《湖南省爱国卫生运动委员会办公室关于印发〈湖南省病媒生物预防控制水平评估现场考核标准〉的通知》（</w:t>
      </w:r>
      <w:r>
        <w:rPr>
          <w:rFonts w:hint="eastAsia" w:ascii="仿宋_GB2312" w:hAnsi="仿宋_GB2312" w:eastAsia="仿宋_GB2312" w:cs="仿宋_GB2312"/>
          <w:color w:val="000000"/>
          <w:kern w:val="0"/>
          <w:sz w:val="28"/>
          <w:szCs w:val="28"/>
        </w:rPr>
        <w:t>湘爱卫办发〔2015〕4号</w:t>
      </w:r>
      <w:r>
        <w:rPr>
          <w:rFonts w:hint="eastAsia" w:ascii="仿宋_GB2312" w:hAnsi="仿宋_GB2312" w:eastAsia="仿宋_GB2312" w:cs="仿宋_GB2312"/>
          <w:color w:val="000000"/>
          <w:sz w:val="28"/>
          <w:szCs w:val="28"/>
        </w:rPr>
        <w:t>）文件的标准要求，</w:t>
      </w:r>
      <w:r>
        <w:rPr>
          <w:rFonts w:hint="eastAsia" w:ascii="仿宋_GB2312" w:hAnsi="仿宋_GB2312" w:eastAsia="仿宋_GB2312" w:cs="仿宋_GB2312"/>
          <w:sz w:val="28"/>
          <w:szCs w:val="28"/>
        </w:rPr>
        <w:t>桂阳县城区</w:t>
      </w:r>
      <w:r>
        <w:rPr>
          <w:rFonts w:hint="eastAsia" w:ascii="仿宋_GB2312" w:hAnsi="仿宋_GB2312" w:eastAsia="仿宋_GB2312" w:cs="仿宋_GB2312"/>
          <w:color w:val="000000"/>
          <w:sz w:val="28"/>
          <w:szCs w:val="28"/>
        </w:rPr>
        <w:t>除“四害”综合防制水平达C级标准。</w:t>
      </w:r>
    </w:p>
    <w:p w14:paraId="354FEB24">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bCs/>
          <w:snapToGrid w:val="0"/>
          <w:color w:val="000000"/>
          <w:sz w:val="28"/>
          <w:szCs w:val="28"/>
        </w:rPr>
        <w:t>（一）鼠类达到国家标准GB/T27770-2011病媒生物密度控制C级水平：</w:t>
      </w:r>
    </w:p>
    <w:p w14:paraId="52ADF2E0">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bCs/>
          <w:snapToGrid w:val="0"/>
          <w:color w:val="000000"/>
          <w:sz w:val="28"/>
          <w:szCs w:val="28"/>
        </w:rPr>
        <w:t>1、防鼠设施</w:t>
      </w:r>
      <w:r>
        <w:rPr>
          <w:rFonts w:hint="eastAsia" w:ascii="仿宋_GB2312" w:hAnsi="仿宋_GB2312" w:eastAsia="仿宋_GB2312" w:cs="仿宋_GB2312"/>
          <w:sz w:val="28"/>
          <w:szCs w:val="28"/>
        </w:rPr>
        <w:t>齐全，符合技术标准，</w:t>
      </w:r>
      <w:r>
        <w:rPr>
          <w:rFonts w:hint="eastAsia" w:ascii="仿宋_GB2312" w:hAnsi="仿宋_GB2312" w:eastAsia="仿宋_GB2312" w:cs="仿宋_GB2312"/>
          <w:bCs/>
          <w:snapToGrid w:val="0"/>
          <w:color w:val="000000"/>
          <w:sz w:val="28"/>
          <w:szCs w:val="28"/>
        </w:rPr>
        <w:t>合格率大于或等于9</w:t>
      </w:r>
      <w:r>
        <w:rPr>
          <w:rFonts w:hint="eastAsia" w:ascii="仿宋_GB2312" w:hAnsi="仿宋_GB2312" w:eastAsia="仿宋_GB2312" w:cs="仿宋_GB2312"/>
          <w:bCs/>
          <w:snapToGrid w:val="0"/>
          <w:color w:val="000000"/>
          <w:sz w:val="28"/>
          <w:szCs w:val="28"/>
          <w:lang w:val="en-US" w:eastAsia="zh-CN"/>
        </w:rPr>
        <w:t>5</w:t>
      </w:r>
      <w:r>
        <w:rPr>
          <w:rFonts w:hint="eastAsia" w:ascii="仿宋_GB2312" w:hAnsi="仿宋_GB2312" w:eastAsia="仿宋_GB2312" w:cs="仿宋_GB2312"/>
          <w:bCs/>
          <w:snapToGrid w:val="0"/>
          <w:color w:val="000000"/>
          <w:sz w:val="28"/>
          <w:szCs w:val="28"/>
        </w:rPr>
        <w:t>%。</w:t>
      </w:r>
    </w:p>
    <w:p w14:paraId="119962DA">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bCs/>
          <w:snapToGrid w:val="0"/>
          <w:color w:val="000000"/>
          <w:sz w:val="28"/>
          <w:szCs w:val="28"/>
        </w:rPr>
        <w:t>2、室内鼠迹阳性率小于或等于5%。</w:t>
      </w:r>
    </w:p>
    <w:p w14:paraId="2B53206B">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bCs/>
          <w:snapToGrid w:val="0"/>
          <w:color w:val="000000"/>
          <w:sz w:val="28"/>
          <w:szCs w:val="28"/>
        </w:rPr>
        <w:t>3、外环境路径指数小于或等于5。</w:t>
      </w:r>
    </w:p>
    <w:p w14:paraId="3C0DEF07">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bCs/>
          <w:snapToGrid w:val="0"/>
          <w:color w:val="000000"/>
          <w:sz w:val="28"/>
          <w:szCs w:val="28"/>
        </w:rPr>
        <w:t>（二）蜚蠊（蟑螂）达到国家标准GB/T27773-2011病媒生物密度控制C级水平：</w:t>
      </w:r>
    </w:p>
    <w:p w14:paraId="734306D3">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bCs/>
          <w:snapToGrid w:val="0"/>
          <w:color w:val="000000"/>
          <w:sz w:val="28"/>
          <w:szCs w:val="28"/>
        </w:rPr>
        <w:t>1、蜚蠊成若虫侵害率小于或等于5%， 平均每阳性间（处）成若虫数小蠊小于或等于10只，大蠊小于或等于5只。</w:t>
      </w:r>
    </w:p>
    <w:p w14:paraId="2CCB5221">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bCs/>
          <w:snapToGrid w:val="0"/>
          <w:color w:val="000000"/>
          <w:sz w:val="28"/>
          <w:szCs w:val="28"/>
        </w:rPr>
        <w:t>2、蜚蠊卵鞘查获率小于或等</w:t>
      </w:r>
      <w:r>
        <w:rPr>
          <w:rFonts w:hint="eastAsia" w:ascii="仿宋_GB2312" w:hAnsi="仿宋_GB2312" w:eastAsia="仿宋_GB2312" w:cs="仿宋_GB2312"/>
          <w:bCs/>
          <w:snapToGrid w:val="0"/>
          <w:sz w:val="28"/>
          <w:szCs w:val="28"/>
        </w:rPr>
        <w:t>于3%</w:t>
      </w:r>
      <w:r>
        <w:rPr>
          <w:rFonts w:hint="eastAsia" w:ascii="仿宋_GB2312" w:hAnsi="仿宋_GB2312" w:eastAsia="仿宋_GB2312" w:cs="仿宋_GB2312"/>
          <w:bCs/>
          <w:snapToGrid w:val="0"/>
          <w:color w:val="000000"/>
          <w:sz w:val="28"/>
          <w:szCs w:val="28"/>
        </w:rPr>
        <w:t>，平均每阳性间（处）卵鞘数小于或等于5只。</w:t>
      </w:r>
    </w:p>
    <w:p w14:paraId="758D1666">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bCs/>
          <w:snapToGrid w:val="0"/>
          <w:color w:val="000000"/>
          <w:sz w:val="28"/>
          <w:szCs w:val="28"/>
        </w:rPr>
        <w:t>3、蟑迹查获率小于或等于7%。</w:t>
      </w:r>
    </w:p>
    <w:p w14:paraId="18746779">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sz w:val="28"/>
          <w:szCs w:val="28"/>
        </w:rPr>
        <w:t>（三）蚊虫达到国家标准GB/T27771-2011病媒生物密度控制C级水平：</w:t>
      </w:r>
    </w:p>
    <w:p w14:paraId="53BB6C29">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sz w:val="28"/>
          <w:szCs w:val="28"/>
        </w:rPr>
        <w:t>1、小型积水蚊虫密度控制水平为路径指数小于或等于0.8。</w:t>
      </w:r>
    </w:p>
    <w:p w14:paraId="6F191F46">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sz w:val="28"/>
          <w:szCs w:val="28"/>
        </w:rPr>
        <w:t>2、大中型水体蚊虫密度控制水平为采样勺指数小于或等于5%，平均每阳性勺少于8只蚊虫幼虫和蛹。</w:t>
      </w:r>
    </w:p>
    <w:p w14:paraId="1BE8E184">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sz w:val="28"/>
          <w:szCs w:val="28"/>
        </w:rPr>
        <w:t>3、外环境蚊虫密度控制水平为停落指数小于或等于1.5.</w:t>
      </w:r>
    </w:p>
    <w:p w14:paraId="7B7AE77B">
      <w:pPr>
        <w:spacing w:line="560" w:lineRule="exact"/>
        <w:ind w:firstLine="560" w:firstLineChars="200"/>
        <w:rPr>
          <w:rFonts w:hint="eastAsia" w:ascii="仿宋_GB2312" w:hAnsi="仿宋_GB2312" w:eastAsia="仿宋_GB2312" w:cs="仿宋_GB2312"/>
          <w:b/>
          <w:bCs/>
          <w:snapToGrid w:val="0"/>
          <w:color w:val="000000"/>
          <w:sz w:val="28"/>
          <w:szCs w:val="28"/>
        </w:rPr>
      </w:pPr>
      <w:r>
        <w:rPr>
          <w:rFonts w:hint="eastAsia" w:ascii="仿宋_GB2312" w:hAnsi="仿宋_GB2312" w:eastAsia="仿宋_GB2312" w:cs="仿宋_GB2312"/>
          <w:sz w:val="28"/>
          <w:szCs w:val="28"/>
        </w:rPr>
        <w:t>（四）苍蝇达到国家标准GB/T27772-2011病媒生物密度控制C级水平：</w:t>
      </w:r>
    </w:p>
    <w:p w14:paraId="58B4289A">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sz w:val="28"/>
          <w:szCs w:val="28"/>
        </w:rPr>
        <w:t>1、生产销售直接入口食品的场所不得有蝇。室内不得存在蝇类孳生地。</w:t>
      </w:r>
      <w:r>
        <w:rPr>
          <w:rFonts w:hint="eastAsia" w:ascii="仿宋_GB2312" w:hAnsi="仿宋_GB2312" w:eastAsia="仿宋_GB2312" w:cs="仿宋_GB2312"/>
          <w:color w:val="000000"/>
          <w:sz w:val="28"/>
          <w:szCs w:val="28"/>
        </w:rPr>
        <w:t>有蝇房间阳性率≤9%，阳性间蝇密度≤3只/间。</w:t>
      </w:r>
    </w:p>
    <w:p w14:paraId="7812CC57">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sz w:val="28"/>
          <w:szCs w:val="28"/>
        </w:rPr>
        <w:t>2、室外蝇类孳生地阳性率小于或等于5%。</w:t>
      </w:r>
    </w:p>
    <w:p w14:paraId="5D1BBB1C">
      <w:pPr>
        <w:spacing w:line="560" w:lineRule="exact"/>
        <w:ind w:firstLine="560" w:firstLineChars="200"/>
        <w:rPr>
          <w:rFonts w:hint="eastAsia" w:ascii="仿宋_GB2312" w:hAnsi="仿宋_GB2312" w:eastAsia="仿宋_GB2312" w:cs="仿宋_GB2312"/>
          <w:bCs/>
          <w:snapToGrid w:val="0"/>
          <w:color w:val="000000"/>
          <w:sz w:val="32"/>
          <w:szCs w:val="32"/>
        </w:rPr>
      </w:pPr>
      <w:r>
        <w:rPr>
          <w:rFonts w:hint="eastAsia" w:ascii="仿宋_GB2312" w:hAnsi="仿宋_GB2312" w:eastAsia="仿宋_GB2312" w:cs="仿宋_GB2312"/>
          <w:sz w:val="28"/>
          <w:szCs w:val="28"/>
        </w:rPr>
        <w:t>3、防蝇设施合格率大于或等于</w:t>
      </w:r>
      <w:r>
        <w:rPr>
          <w:rFonts w:hint="eastAsia" w:ascii="仿宋_GB2312" w:hAnsi="仿宋_GB2312" w:eastAsia="仿宋_GB2312" w:cs="仿宋_GB2312"/>
          <w:sz w:val="28"/>
          <w:szCs w:val="28"/>
          <w:lang w:val="en-US" w:eastAsia="zh-CN"/>
        </w:rPr>
        <w:t>95</w:t>
      </w:r>
      <w:r>
        <w:rPr>
          <w:rFonts w:hint="eastAsia" w:ascii="仿宋_GB2312" w:hAnsi="仿宋_GB2312" w:eastAsia="仿宋_GB2312" w:cs="仿宋_GB2312"/>
          <w:sz w:val="28"/>
          <w:szCs w:val="28"/>
        </w:rPr>
        <w:t>%。</w:t>
      </w:r>
    </w:p>
    <w:p w14:paraId="540E3659">
      <w:pPr>
        <w:spacing w:line="20" w:lineRule="atLeast"/>
        <w:ind w:firstLine="630"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8、防制工作要求</w:t>
      </w:r>
    </w:p>
    <w:p w14:paraId="3ABF209E">
      <w:pPr>
        <w:tabs>
          <w:tab w:val="left" w:pos="360"/>
          <w:tab w:val="left" w:pos="540"/>
        </w:tabs>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在实施病媒生物控制的全过程中，自始至终坚持以下防制方针和工作原则。</w:t>
      </w:r>
    </w:p>
    <w:p w14:paraId="1034397E">
      <w:pPr>
        <w:tabs>
          <w:tab w:val="left" w:pos="360"/>
          <w:tab w:val="left" w:pos="540"/>
        </w:tabs>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①、坚持贯彻“预防为主、防制结合、综合治理”的方针，坚持“以人为本、科学治理、注重实效”的工作原则，高标准、严要求，确保项目预期的目标的实现。</w:t>
      </w:r>
    </w:p>
    <w:p w14:paraId="2CB97BC2">
      <w:pPr>
        <w:tabs>
          <w:tab w:val="left" w:pos="360"/>
          <w:tab w:val="left" w:pos="540"/>
        </w:tabs>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②、遵循有害生物管理专业理念，坚持以“环境治理为主”的综合防制原则。在县政府、爱卫会、疾控中心的指导、协调下，积极主动参与单位、社区、村开展的环境治理、实施环境防制、物理防制、生物防制、化学防制相结合的综合防制措施，有效消除、控制虫害的孳生和栖息条件。</w:t>
      </w:r>
    </w:p>
    <w:p w14:paraId="34FEF3A6">
      <w:pPr>
        <w:tabs>
          <w:tab w:val="left" w:pos="360"/>
          <w:tab w:val="left" w:pos="540"/>
        </w:tabs>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③、开展病媒生物种群、密度、生态调查、监测。严密监控管辖区域内病媒生物的活动规律，季节消长。种群密度变化，及时采取相应措施，有效遏制桂阳县城区内病媒生物密度的反弹和季节性高峰的出现。</w:t>
      </w:r>
    </w:p>
    <w:p w14:paraId="09A6CDEE">
      <w:pPr>
        <w:tabs>
          <w:tab w:val="left" w:pos="360"/>
          <w:tab w:val="left" w:pos="540"/>
        </w:tabs>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④、使用的药品符合环保要求，有国家药品许可证书，高效低毒，对人、畜安全。</w:t>
      </w:r>
    </w:p>
    <w:p w14:paraId="58D9B1B0">
      <w:pPr>
        <w:tabs>
          <w:tab w:val="left" w:pos="360"/>
          <w:tab w:val="left" w:pos="540"/>
        </w:tabs>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⑤、认真贯彻、落实桂阳县爱国卫生运动委员会关于病媒生物防制的各项规定、通知和工作要求，接受其指导和检查，全力配合做好本县和上级开展的爱卫、创卫和病媒生物防制工作迎检、验收活动。</w:t>
      </w:r>
    </w:p>
    <w:p w14:paraId="65826063">
      <w:pPr>
        <w:ind w:firstLine="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⑥、高度重视工程质量管理，规范操作，常年控制。规范作业程序，强化质量监控，努力实施作业标准化、制度化、规范化，并根据鼠、蚊、蝇、蟑的生活特性和季节特点，因地制宜、因时施策，采取针对性的防制措施，在达标后，连续作业，常抓不懈，巩固成果，精益求精，把防制对象的种群密度常年控制在标准之内。</w:t>
      </w:r>
    </w:p>
    <w:p w14:paraId="3A15FE9C">
      <w:pPr>
        <w:pStyle w:val="42"/>
      </w:pPr>
    </w:p>
    <w:p w14:paraId="239A3853">
      <w:pPr>
        <w:pStyle w:val="34"/>
      </w:pPr>
    </w:p>
    <w:p w14:paraId="1052262D"/>
    <w:p w14:paraId="23B24E7E"/>
    <w:p w14:paraId="767E23DD"/>
    <w:p w14:paraId="1B268A14"/>
    <w:p w14:paraId="1F372D44"/>
    <w:p w14:paraId="3F98A430"/>
    <w:p w14:paraId="6B93FDD0"/>
    <w:p w14:paraId="294C3BDE"/>
    <w:p w14:paraId="1E6CE748"/>
    <w:p w14:paraId="2DFE6086"/>
    <w:p w14:paraId="273D2C08"/>
    <w:p w14:paraId="37C96B66"/>
    <w:p w14:paraId="37DDC3D6"/>
    <w:p w14:paraId="63FE260D"/>
    <w:p w14:paraId="5263EE58"/>
    <w:p w14:paraId="5D32EE04"/>
    <w:p w14:paraId="5D39835A"/>
    <w:p w14:paraId="73C5B859"/>
    <w:p w14:paraId="5849A4BD"/>
    <w:p w14:paraId="288CCE6A"/>
    <w:p w14:paraId="2C02AE17"/>
    <w:p w14:paraId="0C61767B"/>
    <w:p w14:paraId="105D6157"/>
    <w:p w14:paraId="7D52ABD0"/>
    <w:p w14:paraId="53FF28ED">
      <w:pPr>
        <w:pStyle w:val="23"/>
        <w:adjustRightInd w:val="0"/>
        <w:snapToGrid w:val="0"/>
        <w:spacing w:line="360" w:lineRule="auto"/>
        <w:jc w:val="center"/>
        <w:outlineLvl w:val="0"/>
        <w:rPr>
          <w:rFonts w:hint="eastAsia" w:ascii="黑体" w:hAnsi="华文中宋" w:eastAsia="黑体"/>
          <w:b/>
          <w:sz w:val="32"/>
          <w:szCs w:val="32"/>
        </w:rPr>
      </w:pPr>
      <w:bookmarkStart w:id="130" w:name="_Toc27977"/>
      <w:bookmarkStart w:id="131" w:name="_Toc32568"/>
      <w:bookmarkStart w:id="132" w:name="_Toc29913944"/>
      <w:bookmarkStart w:id="133" w:name="_Toc12981"/>
      <w:r>
        <w:rPr>
          <w:rFonts w:hint="eastAsia" w:ascii="黑体" w:hAnsi="华文中宋" w:eastAsia="黑体"/>
          <w:b/>
          <w:sz w:val="32"/>
          <w:szCs w:val="32"/>
        </w:rPr>
        <w:t>第六章 政府采购合同</w:t>
      </w:r>
      <w:bookmarkEnd w:id="130"/>
      <w:bookmarkEnd w:id="131"/>
      <w:bookmarkEnd w:id="132"/>
      <w:bookmarkEnd w:id="133"/>
    </w:p>
    <w:p w14:paraId="56FB91A5">
      <w:pPr>
        <w:pStyle w:val="3"/>
        <w:adjustRightInd w:val="0"/>
        <w:snapToGrid w:val="0"/>
        <w:jc w:val="center"/>
        <w:rPr>
          <w:rFonts w:hint="eastAsia" w:ascii="黑体" w:hAnsi="华文中宋" w:eastAsia="黑体"/>
          <w:sz w:val="28"/>
          <w:szCs w:val="28"/>
        </w:rPr>
      </w:pPr>
      <w:bookmarkStart w:id="134" w:name="_Toc29913945"/>
      <w:bookmarkStart w:id="135" w:name="_Toc4075"/>
      <w:bookmarkStart w:id="136" w:name="_Toc27385"/>
      <w:bookmarkStart w:id="137" w:name="_Toc19893"/>
      <w:r>
        <w:rPr>
          <w:rFonts w:hint="eastAsia" w:ascii="黑体" w:hAnsi="华文中宋" w:eastAsia="黑体"/>
          <w:sz w:val="28"/>
          <w:szCs w:val="28"/>
        </w:rPr>
        <w:t>第一节 政府采购合同协议书</w:t>
      </w:r>
      <w:bookmarkEnd w:id="134"/>
      <w:bookmarkEnd w:id="135"/>
      <w:bookmarkEnd w:id="136"/>
      <w:bookmarkEnd w:id="137"/>
    </w:p>
    <w:p w14:paraId="5F12DC85">
      <w:pPr>
        <w:bidi w:val="0"/>
        <w:jc w:val="center"/>
        <w:rPr>
          <w:rFonts w:hint="eastAsia"/>
          <w:sz w:val="32"/>
          <w:szCs w:val="32"/>
          <w:lang w:eastAsia="zh-CN"/>
        </w:rPr>
      </w:pPr>
      <w:r>
        <w:rPr>
          <w:rFonts w:hint="eastAsia"/>
          <w:sz w:val="32"/>
          <w:szCs w:val="32"/>
          <w:lang w:eastAsia="zh-CN"/>
        </w:rPr>
        <w:t>桂阳县城区公共区域病媒生物防制服务（第二次）合同</w:t>
      </w:r>
    </w:p>
    <w:p w14:paraId="1E9C5FE2">
      <w:pPr>
        <w:keepNext w:val="0"/>
        <w:keepLines w:val="0"/>
        <w:pageBreakBefore w:val="0"/>
        <w:tabs>
          <w:tab w:val="left" w:pos="360"/>
          <w:tab w:val="left" w:pos="540"/>
        </w:tabs>
        <w:kinsoku/>
        <w:wordWrap/>
        <w:overflowPunct/>
        <w:topLinePunct w:val="0"/>
        <w:autoSpaceDE/>
        <w:autoSpaceDN/>
        <w:bidi w:val="0"/>
        <w:spacing w:line="240" w:lineRule="auto"/>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采购人(全称)：桂阳县卫生健康局</w:t>
      </w:r>
      <w:r>
        <w:rPr>
          <w:rFonts w:hint="eastAsia" w:ascii="仿宋" w:hAnsi="仿宋" w:eastAsia="仿宋" w:cs="仿宋"/>
          <w:color w:val="auto"/>
          <w:sz w:val="21"/>
          <w:szCs w:val="21"/>
          <w:lang w:val="en-US" w:eastAsia="zh-CN"/>
        </w:rPr>
        <w:t xml:space="preserve"> (以下简称甲方)</w:t>
      </w:r>
    </w:p>
    <w:p w14:paraId="3CF32B92">
      <w:pPr>
        <w:keepNext w:val="0"/>
        <w:keepLines w:val="0"/>
        <w:pageBreakBefore w:val="0"/>
        <w:tabs>
          <w:tab w:val="left" w:pos="360"/>
          <w:tab w:val="left" w:pos="540"/>
        </w:tabs>
        <w:kinsoku/>
        <w:wordWrap/>
        <w:overflowPunct/>
        <w:topLinePunct w:val="0"/>
        <w:autoSpaceDE/>
        <w:autoSpaceDN/>
        <w:bidi w:val="0"/>
        <w:spacing w:line="240" w:lineRule="auto"/>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供应商(全称)：</w:t>
      </w:r>
      <w:r>
        <w:rPr>
          <w:rFonts w:hint="eastAsia" w:ascii="仿宋" w:hAnsi="仿宋" w:eastAsia="仿宋" w:cs="仿宋"/>
          <w:color w:val="auto"/>
          <w:sz w:val="21"/>
          <w:szCs w:val="21"/>
          <w:lang w:val="en-US" w:eastAsia="zh-CN"/>
        </w:rPr>
        <w:t xml:space="preserve">                 (以下简称乙方)</w:t>
      </w:r>
    </w:p>
    <w:p w14:paraId="39856445">
      <w:pPr>
        <w:keepNext w:val="0"/>
        <w:keepLines w:val="0"/>
        <w:pageBreakBefore w:val="0"/>
        <w:tabs>
          <w:tab w:val="left" w:pos="360"/>
          <w:tab w:val="left" w:pos="540"/>
        </w:tabs>
        <w:kinsoku/>
        <w:wordWrap/>
        <w:overflowPunct/>
        <w:topLinePunct w:val="0"/>
        <w:autoSpaceDE/>
        <w:autoSpaceDN/>
        <w:bidi w:val="0"/>
        <w:spacing w:line="240" w:lineRule="auto"/>
        <w:ind w:firstLine="630" w:firstLineChars="300"/>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rPr>
        <w:t>为进一步加强和规范病媒生物防控工作，有效防控病媒生物传播性疾病的发生和流行，保护人民群众的身体健康，扎实做好桂阳县城区的除“四害”工作，坚持综合防</w:t>
      </w:r>
      <w:r>
        <w:rPr>
          <w:rFonts w:hint="eastAsia" w:ascii="仿宋" w:hAnsi="仿宋" w:eastAsia="仿宋" w:cs="仿宋"/>
          <w:color w:val="auto"/>
          <w:sz w:val="21"/>
          <w:szCs w:val="21"/>
          <w:lang w:eastAsia="zh-CN"/>
        </w:rPr>
        <w:t>制</w:t>
      </w:r>
      <w:r>
        <w:rPr>
          <w:rFonts w:hint="eastAsia" w:ascii="仿宋" w:hAnsi="仿宋" w:eastAsia="仿宋" w:cs="仿宋"/>
          <w:color w:val="auto"/>
          <w:sz w:val="21"/>
          <w:szCs w:val="21"/>
        </w:rPr>
        <w:t>、群防结合，加强环境防制，环境治理，全面杀灭，完善相关设施，确保鼠、蚊、蝇、蟑螂密度控制在国家规定的标准之内，综合防</w:t>
      </w:r>
      <w:r>
        <w:rPr>
          <w:rFonts w:hint="eastAsia" w:ascii="仿宋" w:hAnsi="仿宋" w:eastAsia="仿宋" w:cs="仿宋"/>
          <w:color w:val="auto"/>
          <w:sz w:val="21"/>
          <w:szCs w:val="21"/>
          <w:lang w:eastAsia="zh-CN"/>
        </w:rPr>
        <w:t>制水平达</w:t>
      </w:r>
      <w:r>
        <w:rPr>
          <w:rFonts w:hint="eastAsia" w:ascii="仿宋" w:hAnsi="仿宋" w:eastAsia="仿宋" w:cs="仿宋"/>
          <w:color w:val="auto"/>
          <w:sz w:val="21"/>
          <w:szCs w:val="21"/>
        </w:rPr>
        <w:t>C级标准,为</w:t>
      </w:r>
      <w:r>
        <w:rPr>
          <w:rFonts w:hint="eastAsia" w:ascii="仿宋" w:hAnsi="仿宋" w:eastAsia="仿宋" w:cs="仿宋"/>
          <w:color w:val="auto"/>
          <w:sz w:val="21"/>
          <w:szCs w:val="21"/>
          <w:lang w:eastAsia="zh-CN"/>
        </w:rPr>
        <w:t>巩固</w:t>
      </w:r>
      <w:r>
        <w:rPr>
          <w:rFonts w:hint="eastAsia" w:ascii="仿宋" w:hAnsi="仿宋" w:eastAsia="仿宋" w:cs="仿宋"/>
          <w:color w:val="auto"/>
          <w:sz w:val="21"/>
          <w:szCs w:val="21"/>
        </w:rPr>
        <w:t>国家</w:t>
      </w:r>
      <w:r>
        <w:rPr>
          <w:rFonts w:hint="eastAsia" w:ascii="仿宋" w:hAnsi="仿宋" w:eastAsia="仿宋" w:cs="仿宋"/>
          <w:color w:val="auto"/>
          <w:sz w:val="21"/>
          <w:szCs w:val="21"/>
          <w:lang w:eastAsia="zh-CN"/>
        </w:rPr>
        <w:t>卫生</w:t>
      </w:r>
      <w:r>
        <w:rPr>
          <w:rFonts w:hint="eastAsia" w:ascii="仿宋" w:hAnsi="仿宋" w:eastAsia="仿宋" w:cs="仿宋"/>
          <w:color w:val="auto"/>
          <w:sz w:val="21"/>
          <w:szCs w:val="21"/>
        </w:rPr>
        <w:t>县城奠定坚实的基础。</w:t>
      </w:r>
      <w:r>
        <w:rPr>
          <w:rFonts w:hint="eastAsia" w:ascii="仿宋" w:hAnsi="仿宋" w:eastAsia="仿宋" w:cs="仿宋"/>
          <w:color w:val="auto"/>
          <w:sz w:val="21"/>
          <w:szCs w:val="21"/>
          <w:lang w:eastAsia="zh-CN"/>
        </w:rPr>
        <w:t>根据桂阳县城区公共区域病媒生物防制服务（第二次）项目的采购结果，按照《中华人民共和国政府采购法》、《中华人民共和国民法典》的规定，经双方协商，本着平等互利和诚实信用的原则，一致同意签订本合同如下。</w:t>
      </w:r>
    </w:p>
    <w:p w14:paraId="25D55A04">
      <w:pPr>
        <w:keepNext w:val="0"/>
        <w:keepLines w:val="0"/>
        <w:pageBreakBefore w:val="0"/>
        <w:tabs>
          <w:tab w:val="left" w:pos="360"/>
          <w:tab w:val="left" w:pos="540"/>
        </w:tabs>
        <w:kinsoku/>
        <w:wordWrap/>
        <w:overflowPunct/>
        <w:topLinePunct w:val="0"/>
        <w:autoSpaceDE/>
        <w:autoSpaceDN/>
        <w:bidi w:val="0"/>
        <w:spacing w:line="240" w:lineRule="auto"/>
        <w:ind w:firstLine="413" w:firstLineChars="196"/>
        <w:textAlignment w:val="auto"/>
        <w:rPr>
          <w:rFonts w:hint="eastAsia" w:ascii="黑体" w:hAnsi="黑体" w:eastAsia="黑体" w:cs="黑体"/>
          <w:b/>
          <w:color w:val="auto"/>
          <w:sz w:val="21"/>
          <w:szCs w:val="21"/>
          <w:lang w:eastAsia="zh-CN"/>
        </w:rPr>
      </w:pPr>
      <w:r>
        <w:rPr>
          <w:rFonts w:hint="eastAsia" w:ascii="黑体" w:hAnsi="黑体" w:eastAsia="黑体" w:cs="黑体"/>
          <w:b/>
          <w:color w:val="auto"/>
          <w:sz w:val="21"/>
          <w:szCs w:val="21"/>
          <w:lang w:eastAsia="zh-CN"/>
        </w:rPr>
        <w:t>一、服务范围</w:t>
      </w:r>
    </w:p>
    <w:p w14:paraId="57A187BF">
      <w:pPr>
        <w:keepNext w:val="0"/>
        <w:keepLines w:val="0"/>
        <w:pageBreakBefore w:val="0"/>
        <w:tabs>
          <w:tab w:val="left" w:pos="360"/>
          <w:tab w:val="left" w:pos="540"/>
        </w:tabs>
        <w:kinsoku/>
        <w:wordWrap/>
        <w:overflowPunct/>
        <w:topLinePunct w:val="0"/>
        <w:autoSpaceDE/>
        <w:autoSpaceDN/>
        <w:bidi w:val="0"/>
        <w:spacing w:line="240" w:lineRule="auto"/>
        <w:ind w:firstLine="630" w:firstLineChars="3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桂阳县城建城区所有无物业管理的居民小区、困难企业、广场及草坪绿地、绿化带、大街小巷、市政道路、下水道、留泥井、垃圾站、公共厕所、农贸市场、公园、游园、汽车站、大中型水体、城乡结合部（包括山背村、拱极村、北麓社区子龙组、南苑社区月亮组和石岭组、周台村、上银山村、柏树村、全义村）、城中村（包括北关社区龙潭二村、八字塘社区腊树下和杨家庄、太和林场老场部、东风村、东塔社区塔背组、朝阳村）、闲置空地、营业面积100平方以下的小餐饮店、五小行业小门店、行政机关事业单位</w:t>
      </w:r>
      <w:r>
        <w:rPr>
          <w:rFonts w:hint="eastAsia" w:ascii="仿宋" w:hAnsi="仿宋" w:eastAsia="仿宋" w:cs="仿宋"/>
          <w:color w:val="auto"/>
          <w:sz w:val="21"/>
          <w:szCs w:val="21"/>
          <w:lang w:eastAsia="zh-CN"/>
        </w:rPr>
        <w:t>及其</w:t>
      </w:r>
      <w:r>
        <w:rPr>
          <w:rFonts w:hint="eastAsia" w:ascii="仿宋" w:hAnsi="仿宋" w:eastAsia="仿宋" w:cs="仿宋"/>
          <w:color w:val="auto"/>
          <w:sz w:val="21"/>
          <w:szCs w:val="21"/>
        </w:rPr>
        <w:t>住宅小区；龙潭和鹿峰街道所属11个社区、宝山矿居民区、太和林场、共和农场、茶场、畜禽良种场的办公区域和村组、黄沙坪街道机关事业单位及公共区域，以上处所公共区域的病媒生物防制服务。并</w:t>
      </w:r>
      <w:r>
        <w:rPr>
          <w:rFonts w:hint="eastAsia" w:ascii="仿宋" w:hAnsi="仿宋" w:eastAsia="仿宋" w:cs="仿宋"/>
          <w:color w:val="auto"/>
          <w:sz w:val="21"/>
          <w:szCs w:val="21"/>
          <w:lang w:eastAsia="zh-CN"/>
        </w:rPr>
        <w:t>确保</w:t>
      </w:r>
      <w:r>
        <w:rPr>
          <w:rFonts w:hint="eastAsia" w:ascii="仿宋" w:hAnsi="仿宋" w:eastAsia="仿宋" w:cs="仿宋"/>
          <w:color w:val="auto"/>
          <w:sz w:val="21"/>
          <w:szCs w:val="21"/>
        </w:rPr>
        <w:t>以上区域灭鼠</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毒鼠</w:t>
      </w:r>
      <w:r>
        <w:rPr>
          <w:rFonts w:hint="eastAsia" w:ascii="仿宋" w:hAnsi="仿宋" w:eastAsia="仿宋" w:cs="仿宋"/>
          <w:color w:val="auto"/>
          <w:sz w:val="21"/>
          <w:szCs w:val="21"/>
          <w:lang w:eastAsia="zh-CN"/>
        </w:rPr>
        <w:t>在</w:t>
      </w:r>
      <w:r>
        <w:rPr>
          <w:rFonts w:hint="eastAsia" w:ascii="仿宋" w:hAnsi="仿宋" w:eastAsia="仿宋" w:cs="仿宋"/>
          <w:color w:val="auto"/>
          <w:sz w:val="21"/>
          <w:szCs w:val="21"/>
          <w:lang w:val="en-US" w:eastAsia="zh-CN"/>
        </w:rPr>
        <w:t>30</w:t>
      </w:r>
      <w:r>
        <w:rPr>
          <w:rFonts w:hint="eastAsia" w:ascii="仿宋" w:hAnsi="仿宋" w:eastAsia="仿宋" w:cs="仿宋"/>
          <w:color w:val="auto"/>
          <w:sz w:val="21"/>
          <w:szCs w:val="21"/>
        </w:rPr>
        <w:t>000个</w:t>
      </w:r>
      <w:r>
        <w:rPr>
          <w:rFonts w:hint="eastAsia" w:ascii="仿宋" w:hAnsi="仿宋" w:eastAsia="仿宋" w:cs="仿宋"/>
          <w:color w:val="auto"/>
          <w:sz w:val="21"/>
          <w:szCs w:val="21"/>
          <w:lang w:eastAsia="zh-CN"/>
        </w:rPr>
        <w:t>以上</w:t>
      </w:r>
      <w:r>
        <w:rPr>
          <w:rFonts w:hint="eastAsia" w:ascii="仿宋" w:hAnsi="仿宋" w:eastAsia="仿宋" w:cs="仿宋"/>
          <w:color w:val="auto"/>
          <w:sz w:val="21"/>
          <w:szCs w:val="21"/>
        </w:rPr>
        <w:t>。</w:t>
      </w:r>
    </w:p>
    <w:p w14:paraId="34935BBE">
      <w:pPr>
        <w:keepNext w:val="0"/>
        <w:keepLines w:val="0"/>
        <w:pageBreakBefore w:val="0"/>
        <w:tabs>
          <w:tab w:val="left" w:pos="360"/>
          <w:tab w:val="left" w:pos="540"/>
        </w:tabs>
        <w:kinsoku/>
        <w:wordWrap/>
        <w:overflowPunct/>
        <w:topLinePunct w:val="0"/>
        <w:autoSpaceDE/>
        <w:autoSpaceDN/>
        <w:bidi w:val="0"/>
        <w:spacing w:line="240" w:lineRule="auto"/>
        <w:ind w:firstLine="413" w:firstLineChars="196"/>
        <w:textAlignment w:val="auto"/>
        <w:rPr>
          <w:rFonts w:hint="eastAsia" w:ascii="黑体" w:hAnsi="黑体" w:eastAsia="黑体" w:cs="黑体"/>
          <w:b/>
          <w:color w:val="auto"/>
          <w:sz w:val="21"/>
          <w:szCs w:val="21"/>
          <w:lang w:eastAsia="zh-CN"/>
        </w:rPr>
      </w:pPr>
      <w:r>
        <w:rPr>
          <w:rFonts w:hint="eastAsia" w:ascii="黑体" w:hAnsi="黑体" w:eastAsia="黑体" w:cs="黑体"/>
          <w:b/>
          <w:color w:val="auto"/>
          <w:sz w:val="21"/>
          <w:szCs w:val="21"/>
          <w:lang w:eastAsia="zh-CN"/>
        </w:rPr>
        <w:t>二、服务职责</w:t>
      </w:r>
    </w:p>
    <w:p w14:paraId="20699E18">
      <w:pPr>
        <w:keepNext w:val="0"/>
        <w:keepLines w:val="0"/>
        <w:pageBreakBefore w:val="0"/>
        <w:tabs>
          <w:tab w:val="left" w:pos="360"/>
          <w:tab w:val="left" w:pos="540"/>
        </w:tabs>
        <w:kinsoku/>
        <w:wordWrap/>
        <w:overflowPunct/>
        <w:topLinePunct w:val="0"/>
        <w:autoSpaceDE/>
        <w:autoSpaceDN/>
        <w:bidi w:val="0"/>
        <w:spacing w:line="240" w:lineRule="auto"/>
        <w:ind w:firstLine="420" w:firstLineChars="200"/>
        <w:textAlignment w:val="auto"/>
        <w:rPr>
          <w:rFonts w:ascii="仿宋" w:hAnsi="仿宋" w:eastAsia="仿宋" w:cs="仿宋_GB2312"/>
          <w:color w:val="auto"/>
          <w:sz w:val="21"/>
          <w:szCs w:val="21"/>
        </w:rPr>
      </w:pPr>
      <w:r>
        <w:rPr>
          <w:rFonts w:hint="eastAsia" w:ascii="仿宋" w:hAnsi="仿宋" w:eastAsia="仿宋" w:cs="仿宋_GB2312"/>
          <w:color w:val="auto"/>
          <w:sz w:val="21"/>
          <w:szCs w:val="21"/>
          <w:lang w:val="en-US" w:eastAsia="zh-CN"/>
        </w:rPr>
        <w:t>1、</w:t>
      </w:r>
      <w:r>
        <w:rPr>
          <w:rFonts w:hint="eastAsia" w:ascii="仿宋" w:hAnsi="仿宋" w:eastAsia="仿宋" w:cs="仿宋_GB2312"/>
          <w:color w:val="auto"/>
          <w:sz w:val="21"/>
          <w:szCs w:val="21"/>
        </w:rPr>
        <w:t>对城区以上</w:t>
      </w:r>
      <w:r>
        <w:rPr>
          <w:rFonts w:hint="eastAsia" w:ascii="仿宋" w:hAnsi="仿宋" w:eastAsia="仿宋" w:cs="仿宋_GB2312"/>
          <w:color w:val="auto"/>
          <w:sz w:val="21"/>
          <w:szCs w:val="21"/>
          <w:lang w:eastAsia="zh-CN"/>
        </w:rPr>
        <w:t>防制</w:t>
      </w:r>
      <w:r>
        <w:rPr>
          <w:rFonts w:hint="eastAsia" w:ascii="仿宋" w:hAnsi="仿宋" w:eastAsia="仿宋" w:cs="仿宋_GB2312"/>
          <w:color w:val="auto"/>
          <w:sz w:val="21"/>
          <w:szCs w:val="21"/>
        </w:rPr>
        <w:t>范围进行病媒生物防制，城区除“四害”</w:t>
      </w:r>
      <w:r>
        <w:rPr>
          <w:rFonts w:ascii="仿宋" w:hAnsi="仿宋" w:eastAsia="仿宋" w:cs="仿宋_GB2312"/>
          <w:color w:val="auto"/>
          <w:sz w:val="21"/>
          <w:szCs w:val="21"/>
        </w:rPr>
        <w:t xml:space="preserve"> </w:t>
      </w:r>
      <w:r>
        <w:rPr>
          <w:rFonts w:hint="eastAsia" w:ascii="仿宋" w:hAnsi="仿宋" w:eastAsia="仿宋" w:cs="仿宋_GB2312"/>
          <w:color w:val="auto"/>
          <w:sz w:val="21"/>
          <w:szCs w:val="21"/>
        </w:rPr>
        <w:t>综合防制水平达</w:t>
      </w:r>
      <w:r>
        <w:rPr>
          <w:rFonts w:ascii="仿宋" w:hAnsi="仿宋" w:eastAsia="仿宋" w:cs="仿宋"/>
          <w:color w:val="auto"/>
          <w:sz w:val="21"/>
          <w:szCs w:val="21"/>
        </w:rPr>
        <w:t>C</w:t>
      </w:r>
      <w:r>
        <w:rPr>
          <w:rFonts w:hint="eastAsia" w:ascii="仿宋" w:hAnsi="仿宋" w:eastAsia="仿宋" w:cs="仿宋"/>
          <w:color w:val="auto"/>
          <w:sz w:val="21"/>
          <w:szCs w:val="21"/>
        </w:rPr>
        <w:t>级标准</w:t>
      </w:r>
      <w:r>
        <w:rPr>
          <w:rFonts w:hint="eastAsia" w:ascii="仿宋" w:hAnsi="仿宋" w:eastAsia="仿宋" w:cs="仿宋_GB2312"/>
          <w:color w:val="auto"/>
          <w:sz w:val="21"/>
          <w:szCs w:val="21"/>
        </w:rPr>
        <w:t>。</w:t>
      </w:r>
    </w:p>
    <w:p w14:paraId="517E90A2">
      <w:pPr>
        <w:keepNext w:val="0"/>
        <w:keepLines w:val="0"/>
        <w:pageBreakBefore w:val="0"/>
        <w:tabs>
          <w:tab w:val="left" w:pos="360"/>
          <w:tab w:val="left" w:pos="540"/>
        </w:tabs>
        <w:kinsoku/>
        <w:wordWrap/>
        <w:overflowPunct/>
        <w:topLinePunct w:val="0"/>
        <w:autoSpaceDE/>
        <w:autoSpaceDN/>
        <w:bidi w:val="0"/>
        <w:spacing w:line="240" w:lineRule="auto"/>
        <w:ind w:firstLine="420" w:firstLineChars="200"/>
        <w:textAlignment w:val="auto"/>
        <w:rPr>
          <w:rFonts w:ascii="仿宋" w:hAnsi="仿宋" w:eastAsia="仿宋" w:cs="仿宋_GB2312"/>
          <w:color w:val="auto"/>
          <w:sz w:val="21"/>
          <w:szCs w:val="21"/>
        </w:rPr>
      </w:pPr>
      <w:r>
        <w:rPr>
          <w:rFonts w:hint="eastAsia" w:ascii="仿宋" w:hAnsi="仿宋" w:eastAsia="仿宋" w:cs="仿宋_GB2312"/>
          <w:color w:val="auto"/>
          <w:sz w:val="21"/>
          <w:szCs w:val="21"/>
          <w:lang w:val="en-US" w:eastAsia="zh-CN"/>
        </w:rPr>
        <w:t>2</w:t>
      </w:r>
      <w:r>
        <w:rPr>
          <w:rFonts w:hint="eastAsia" w:ascii="仿宋" w:hAnsi="仿宋" w:eastAsia="仿宋" w:cs="仿宋_GB2312"/>
          <w:color w:val="auto"/>
          <w:sz w:val="21"/>
          <w:szCs w:val="21"/>
        </w:rPr>
        <w:t>、负责对城区管辖街道、社区、城中村、单位等相关部门单位卫生专干及群众做好病媒生物防制技术培训和技术指导等。</w:t>
      </w:r>
    </w:p>
    <w:p w14:paraId="1B4D173B">
      <w:pPr>
        <w:keepNext w:val="0"/>
        <w:keepLines w:val="0"/>
        <w:pageBreakBefore w:val="0"/>
        <w:tabs>
          <w:tab w:val="left" w:pos="360"/>
          <w:tab w:val="left" w:pos="540"/>
        </w:tabs>
        <w:kinsoku/>
        <w:wordWrap/>
        <w:overflowPunct/>
        <w:topLinePunct w:val="0"/>
        <w:autoSpaceDE/>
        <w:autoSpaceDN/>
        <w:bidi w:val="0"/>
        <w:spacing w:line="240" w:lineRule="auto"/>
        <w:ind w:firstLine="420" w:firstLineChars="200"/>
        <w:textAlignment w:val="auto"/>
        <w:rPr>
          <w:rFonts w:ascii="仿宋" w:hAnsi="仿宋" w:eastAsia="仿宋" w:cs="仿宋_GB2312"/>
          <w:color w:val="auto"/>
          <w:sz w:val="21"/>
          <w:szCs w:val="21"/>
        </w:rPr>
      </w:pPr>
      <w:r>
        <w:rPr>
          <w:rFonts w:hint="eastAsia" w:ascii="仿宋" w:hAnsi="仿宋" w:eastAsia="仿宋" w:cs="仿宋_GB2312"/>
          <w:color w:val="auto"/>
          <w:sz w:val="21"/>
          <w:szCs w:val="21"/>
          <w:lang w:val="en-US" w:eastAsia="zh-CN"/>
        </w:rPr>
        <w:t>3</w:t>
      </w:r>
      <w:r>
        <w:rPr>
          <w:rFonts w:hint="eastAsia" w:ascii="仿宋" w:hAnsi="仿宋" w:eastAsia="仿宋" w:cs="仿宋_GB2312"/>
          <w:color w:val="auto"/>
          <w:sz w:val="21"/>
          <w:szCs w:val="21"/>
        </w:rPr>
        <w:t>、配合县爱卫办对辖区内各单位、社区、城中村的督查工作。</w:t>
      </w:r>
    </w:p>
    <w:p w14:paraId="21622EF0">
      <w:pPr>
        <w:keepNext w:val="0"/>
        <w:keepLines w:val="0"/>
        <w:pageBreakBefore w:val="0"/>
        <w:tabs>
          <w:tab w:val="left" w:pos="360"/>
          <w:tab w:val="left" w:pos="540"/>
        </w:tabs>
        <w:kinsoku/>
        <w:wordWrap/>
        <w:overflowPunct/>
        <w:topLinePunct w:val="0"/>
        <w:autoSpaceDE/>
        <w:autoSpaceDN/>
        <w:bidi w:val="0"/>
        <w:spacing w:line="240" w:lineRule="auto"/>
        <w:ind w:firstLine="420" w:firstLineChars="200"/>
        <w:textAlignment w:val="auto"/>
        <w:rPr>
          <w:rFonts w:hint="eastAsia" w:ascii="仿宋" w:hAnsi="仿宋" w:eastAsia="仿宋" w:cs="仿宋_GB2312"/>
          <w:color w:val="auto"/>
          <w:sz w:val="21"/>
          <w:szCs w:val="21"/>
        </w:rPr>
      </w:pPr>
      <w:r>
        <w:rPr>
          <w:rFonts w:hint="eastAsia" w:ascii="仿宋" w:hAnsi="仿宋" w:eastAsia="仿宋" w:cs="仿宋_GB2312"/>
          <w:color w:val="auto"/>
          <w:sz w:val="21"/>
          <w:szCs w:val="21"/>
          <w:lang w:val="en-US" w:eastAsia="zh-CN"/>
        </w:rPr>
        <w:t>4</w:t>
      </w:r>
      <w:r>
        <w:rPr>
          <w:rFonts w:hint="eastAsia" w:ascii="仿宋" w:hAnsi="仿宋" w:eastAsia="仿宋" w:cs="仿宋_GB2312"/>
          <w:color w:val="auto"/>
          <w:sz w:val="21"/>
          <w:szCs w:val="21"/>
        </w:rPr>
        <w:t>、配合县爱卫办对城区管辖街道、社区、城中村做好群众满意度调查工作。</w:t>
      </w:r>
    </w:p>
    <w:p w14:paraId="60B47A72">
      <w:pPr>
        <w:pStyle w:val="42"/>
        <w:keepNext w:val="0"/>
        <w:keepLines w:val="0"/>
        <w:pageBreakBefore w:val="0"/>
        <w:kinsoku/>
        <w:wordWrap/>
        <w:overflowPunct/>
        <w:topLinePunct w:val="0"/>
        <w:autoSpaceDE/>
        <w:autoSpaceDN/>
        <w:bidi w:val="0"/>
        <w:spacing w:line="240" w:lineRule="auto"/>
        <w:ind w:left="0" w:leftChars="0" w:firstLine="420" w:firstLineChars="200"/>
        <w:textAlignment w:val="auto"/>
        <w:rPr>
          <w:rFonts w:hint="eastAsia" w:eastAsia="仿宋"/>
          <w:color w:val="auto"/>
          <w:sz w:val="21"/>
          <w:szCs w:val="21"/>
          <w:lang w:val="en-US" w:eastAsia="zh-CN"/>
        </w:rPr>
      </w:pPr>
      <w:r>
        <w:rPr>
          <w:rFonts w:hint="eastAsia" w:ascii="仿宋" w:hAnsi="仿宋" w:eastAsia="仿宋" w:cs="仿宋_GB2312"/>
          <w:color w:val="auto"/>
          <w:sz w:val="21"/>
          <w:szCs w:val="21"/>
          <w:lang w:val="en-US" w:eastAsia="zh-CN"/>
        </w:rPr>
        <w:t>5、参与甲方大型的爱国卫生运动和与病媒生物防制有关的活动，为市民免费发放</w:t>
      </w:r>
      <w:r>
        <w:rPr>
          <w:rFonts w:hint="eastAsia" w:ascii="仿宋" w:hAnsi="仿宋" w:eastAsia="仿宋" w:cs="仿宋"/>
          <w:color w:val="auto"/>
          <w:sz w:val="21"/>
          <w:szCs w:val="21"/>
          <w:lang w:val="en-US" w:eastAsia="zh-CN"/>
        </w:rPr>
        <w:t>“四害”消杀药品。</w:t>
      </w:r>
    </w:p>
    <w:p w14:paraId="58F5C1EF">
      <w:pPr>
        <w:keepNext w:val="0"/>
        <w:keepLines w:val="0"/>
        <w:pageBreakBefore w:val="0"/>
        <w:tabs>
          <w:tab w:val="left" w:pos="360"/>
          <w:tab w:val="left" w:pos="540"/>
        </w:tabs>
        <w:kinsoku/>
        <w:wordWrap/>
        <w:overflowPunct/>
        <w:topLinePunct w:val="0"/>
        <w:autoSpaceDE/>
        <w:autoSpaceDN/>
        <w:bidi w:val="0"/>
        <w:spacing w:line="240" w:lineRule="auto"/>
        <w:ind w:firstLine="413" w:firstLineChars="196"/>
        <w:textAlignment w:val="auto"/>
        <w:rPr>
          <w:rFonts w:hint="eastAsia" w:ascii="黑体" w:hAnsi="黑体" w:eastAsia="黑体" w:cs="黑体"/>
          <w:b/>
          <w:color w:val="auto"/>
          <w:sz w:val="21"/>
          <w:szCs w:val="21"/>
          <w:lang w:eastAsia="zh-CN"/>
        </w:rPr>
      </w:pPr>
      <w:r>
        <w:rPr>
          <w:rFonts w:hint="eastAsia" w:ascii="黑体" w:hAnsi="黑体" w:eastAsia="黑体" w:cs="黑体"/>
          <w:b/>
          <w:color w:val="auto"/>
          <w:sz w:val="21"/>
          <w:szCs w:val="21"/>
          <w:lang w:eastAsia="zh-CN"/>
        </w:rPr>
        <w:t>三</w:t>
      </w:r>
      <w:r>
        <w:rPr>
          <w:rFonts w:hint="eastAsia" w:ascii="黑体" w:hAnsi="黑体" w:eastAsia="黑体" w:cs="黑体"/>
          <w:b/>
          <w:color w:val="auto"/>
          <w:sz w:val="21"/>
          <w:szCs w:val="21"/>
        </w:rPr>
        <w:t>、服务</w:t>
      </w:r>
      <w:r>
        <w:rPr>
          <w:rFonts w:hint="eastAsia" w:ascii="黑体" w:hAnsi="黑体" w:eastAsia="黑体" w:cs="黑体"/>
          <w:b/>
          <w:color w:val="auto"/>
          <w:sz w:val="21"/>
          <w:szCs w:val="21"/>
          <w:lang w:eastAsia="zh-CN"/>
        </w:rPr>
        <w:t>承包期限</w:t>
      </w:r>
    </w:p>
    <w:p w14:paraId="405496F2">
      <w:pPr>
        <w:keepNext w:val="0"/>
        <w:keepLines w:val="0"/>
        <w:pageBreakBefore w:val="0"/>
        <w:kinsoku/>
        <w:wordWrap/>
        <w:overflowPunct/>
        <w:topLinePunct w:val="0"/>
        <w:autoSpaceDE/>
        <w:autoSpaceDN/>
        <w:bidi w:val="0"/>
        <w:adjustRightInd w:val="0"/>
        <w:snapToGrid w:val="0"/>
        <w:spacing w:line="240" w:lineRule="auto"/>
        <w:ind w:firstLine="556"/>
        <w:jc w:val="left"/>
        <w:textAlignment w:val="auto"/>
        <w:rPr>
          <w:rFonts w:ascii="仿宋" w:hAnsi="仿宋" w:eastAsia="仿宋"/>
          <w:color w:val="auto"/>
          <w:sz w:val="21"/>
          <w:szCs w:val="21"/>
        </w:rPr>
      </w:pPr>
      <w:r>
        <w:rPr>
          <w:rFonts w:hint="eastAsia" w:ascii="仿宋" w:hAnsi="仿宋" w:eastAsia="仿宋"/>
          <w:color w:val="auto"/>
          <w:sz w:val="21"/>
          <w:szCs w:val="21"/>
          <w:lang w:eastAsia="zh-CN"/>
        </w:rPr>
        <w:t>自</w:t>
      </w:r>
      <w:r>
        <w:rPr>
          <w:rFonts w:hint="eastAsia" w:ascii="仿宋" w:hAnsi="仿宋" w:eastAsia="仿宋"/>
          <w:color w:val="auto"/>
          <w:sz w:val="21"/>
          <w:szCs w:val="21"/>
          <w:lang w:val="en-US" w:eastAsia="zh-CN"/>
        </w:rPr>
        <w:t>2026年  月  日至202 年 月  日止。第一年承包期满后，经省、市、县卫健专业部门监测验收合格，则合同服务承包期限有效，如监测验收不合格，则终止本合同书。</w:t>
      </w:r>
    </w:p>
    <w:p w14:paraId="12C271E8">
      <w:pPr>
        <w:keepNext w:val="0"/>
        <w:keepLines w:val="0"/>
        <w:pageBreakBefore w:val="0"/>
        <w:tabs>
          <w:tab w:val="left" w:pos="360"/>
          <w:tab w:val="left" w:pos="540"/>
        </w:tabs>
        <w:kinsoku/>
        <w:wordWrap/>
        <w:overflowPunct/>
        <w:topLinePunct w:val="0"/>
        <w:autoSpaceDE/>
        <w:autoSpaceDN/>
        <w:bidi w:val="0"/>
        <w:spacing w:line="240" w:lineRule="auto"/>
        <w:ind w:firstLine="413" w:firstLineChars="196"/>
        <w:textAlignment w:val="auto"/>
        <w:rPr>
          <w:rFonts w:hint="eastAsia" w:ascii="黑体" w:hAnsi="黑体" w:eastAsia="黑体" w:cs="黑体"/>
          <w:b/>
          <w:color w:val="auto"/>
          <w:sz w:val="21"/>
          <w:szCs w:val="21"/>
        </w:rPr>
      </w:pPr>
      <w:r>
        <w:rPr>
          <w:rFonts w:hint="eastAsia" w:ascii="黑体" w:hAnsi="黑体" w:eastAsia="黑体" w:cs="黑体"/>
          <w:b/>
          <w:color w:val="auto"/>
          <w:sz w:val="21"/>
          <w:szCs w:val="21"/>
          <w:lang w:eastAsia="zh-CN"/>
        </w:rPr>
        <w:t>四</w:t>
      </w:r>
      <w:r>
        <w:rPr>
          <w:rFonts w:hint="eastAsia" w:ascii="黑体" w:hAnsi="黑体" w:eastAsia="黑体" w:cs="黑体"/>
          <w:b/>
          <w:color w:val="auto"/>
          <w:sz w:val="21"/>
          <w:szCs w:val="21"/>
        </w:rPr>
        <w:t>、</w:t>
      </w:r>
      <w:r>
        <w:rPr>
          <w:rFonts w:hint="eastAsia" w:ascii="黑体" w:hAnsi="黑体" w:eastAsia="黑体" w:cs="黑体"/>
          <w:b/>
          <w:color w:val="auto"/>
          <w:sz w:val="21"/>
          <w:szCs w:val="21"/>
          <w:lang w:eastAsia="zh-CN"/>
        </w:rPr>
        <w:t>服务</w:t>
      </w:r>
      <w:r>
        <w:rPr>
          <w:rFonts w:hint="eastAsia" w:ascii="黑体" w:hAnsi="黑体" w:eastAsia="黑体" w:cs="黑体"/>
          <w:b/>
          <w:color w:val="auto"/>
          <w:sz w:val="21"/>
          <w:szCs w:val="21"/>
        </w:rPr>
        <w:t>质量标准</w:t>
      </w:r>
    </w:p>
    <w:p w14:paraId="30509321">
      <w:pPr>
        <w:keepNext w:val="0"/>
        <w:keepLines w:val="0"/>
        <w:pageBreakBefore w:val="0"/>
        <w:widowControl/>
        <w:shd w:val="clear" w:color="auto" w:fill="FFFFFF"/>
        <w:kinsoku/>
        <w:wordWrap/>
        <w:overflowPunct/>
        <w:topLinePunct w:val="0"/>
        <w:autoSpaceDE/>
        <w:autoSpaceDN/>
        <w:bidi w:val="0"/>
        <w:snapToGrid w:val="0"/>
        <w:spacing w:line="240" w:lineRule="auto"/>
        <w:ind w:firstLine="420" w:firstLineChars="200"/>
        <w:textAlignment w:val="auto"/>
        <w:rPr>
          <w:rFonts w:ascii="仿宋" w:hAnsi="仿宋" w:eastAsia="仿宋" w:cs="仿宋"/>
          <w:color w:val="auto"/>
          <w:sz w:val="21"/>
          <w:szCs w:val="21"/>
        </w:rPr>
      </w:pPr>
      <w:r>
        <w:rPr>
          <w:rFonts w:hint="eastAsia" w:ascii="仿宋" w:hAnsi="仿宋" w:eastAsia="仿宋" w:cs="仿宋"/>
          <w:color w:val="auto"/>
          <w:sz w:val="21"/>
          <w:szCs w:val="21"/>
        </w:rPr>
        <w:t>按照《湖南省爱国卫生运动委员会办公室关于印发〈湖南省病媒生物预防控制水平评估现场考核标准〉的通知》（</w:t>
      </w:r>
      <w:r>
        <w:rPr>
          <w:rFonts w:hint="eastAsia" w:ascii="仿宋" w:hAnsi="仿宋" w:eastAsia="仿宋" w:cs="仿宋"/>
          <w:color w:val="auto"/>
          <w:kern w:val="0"/>
          <w:sz w:val="21"/>
          <w:szCs w:val="21"/>
        </w:rPr>
        <w:t>湘爱卫办发〔</w:t>
      </w:r>
      <w:r>
        <w:rPr>
          <w:rFonts w:ascii="仿宋" w:hAnsi="仿宋" w:eastAsia="仿宋" w:cs="仿宋"/>
          <w:color w:val="auto"/>
          <w:kern w:val="0"/>
          <w:sz w:val="21"/>
          <w:szCs w:val="21"/>
        </w:rPr>
        <w:t>2015</w:t>
      </w:r>
      <w:r>
        <w:rPr>
          <w:rFonts w:hint="eastAsia" w:ascii="仿宋" w:hAnsi="仿宋" w:eastAsia="仿宋" w:cs="仿宋"/>
          <w:color w:val="auto"/>
          <w:kern w:val="0"/>
          <w:sz w:val="21"/>
          <w:szCs w:val="21"/>
        </w:rPr>
        <w:t>〕</w:t>
      </w:r>
      <w:r>
        <w:rPr>
          <w:rFonts w:ascii="仿宋" w:hAnsi="仿宋" w:eastAsia="仿宋" w:cs="仿宋"/>
          <w:color w:val="auto"/>
          <w:kern w:val="0"/>
          <w:sz w:val="21"/>
          <w:szCs w:val="21"/>
        </w:rPr>
        <w:t>4</w:t>
      </w:r>
      <w:r>
        <w:rPr>
          <w:rFonts w:hint="eastAsia" w:ascii="仿宋" w:hAnsi="仿宋" w:eastAsia="仿宋" w:cs="仿宋"/>
          <w:color w:val="auto"/>
          <w:kern w:val="0"/>
          <w:sz w:val="21"/>
          <w:szCs w:val="21"/>
        </w:rPr>
        <w:t>号</w:t>
      </w:r>
      <w:r>
        <w:rPr>
          <w:rFonts w:hint="eastAsia" w:ascii="仿宋" w:hAnsi="仿宋" w:eastAsia="仿宋" w:cs="仿宋"/>
          <w:color w:val="auto"/>
          <w:sz w:val="21"/>
          <w:szCs w:val="21"/>
        </w:rPr>
        <w:t>）文件的标准要求，桂阳县城区除“四害”综合防制水平达</w:t>
      </w:r>
      <w:r>
        <w:rPr>
          <w:rFonts w:ascii="仿宋" w:hAnsi="仿宋" w:eastAsia="仿宋" w:cs="仿宋"/>
          <w:color w:val="auto"/>
          <w:sz w:val="21"/>
          <w:szCs w:val="21"/>
        </w:rPr>
        <w:t>C</w:t>
      </w:r>
      <w:r>
        <w:rPr>
          <w:rFonts w:hint="eastAsia" w:ascii="仿宋" w:hAnsi="仿宋" w:eastAsia="仿宋" w:cs="仿宋"/>
          <w:color w:val="auto"/>
          <w:sz w:val="21"/>
          <w:szCs w:val="21"/>
        </w:rPr>
        <w:t>级标准</w:t>
      </w:r>
      <w:r>
        <w:rPr>
          <w:rFonts w:hint="eastAsia" w:ascii="仿宋" w:hAnsi="仿宋" w:eastAsia="仿宋" w:cs="仿宋"/>
          <w:color w:val="auto"/>
          <w:sz w:val="21"/>
          <w:szCs w:val="21"/>
          <w:lang w:eastAsia="zh-CN"/>
        </w:rPr>
        <w:t>，</w:t>
      </w:r>
      <w:r>
        <w:rPr>
          <w:rFonts w:hint="eastAsia" w:ascii="仿宋" w:hAnsi="仿宋" w:eastAsia="仿宋" w:cs="仿宋_GB2312"/>
          <w:color w:val="auto"/>
          <w:sz w:val="21"/>
          <w:szCs w:val="21"/>
        </w:rPr>
        <w:t>顺利通过上级爱卫</w:t>
      </w:r>
      <w:r>
        <w:rPr>
          <w:rFonts w:hint="eastAsia" w:ascii="仿宋" w:hAnsi="仿宋" w:eastAsia="仿宋"/>
          <w:color w:val="auto"/>
          <w:sz w:val="21"/>
          <w:szCs w:val="21"/>
        </w:rPr>
        <w:t>部门</w:t>
      </w:r>
      <w:r>
        <w:rPr>
          <w:rFonts w:hint="eastAsia" w:ascii="仿宋" w:hAnsi="仿宋" w:eastAsia="仿宋" w:cs="仿宋_GB2312"/>
          <w:color w:val="auto"/>
          <w:sz w:val="21"/>
          <w:szCs w:val="21"/>
        </w:rPr>
        <w:t>的各项检查验收。</w:t>
      </w:r>
    </w:p>
    <w:p w14:paraId="07CFC06C">
      <w:pPr>
        <w:keepNext w:val="0"/>
        <w:keepLines w:val="0"/>
        <w:pageBreakBefore w:val="0"/>
        <w:kinsoku/>
        <w:wordWrap/>
        <w:overflowPunct/>
        <w:topLinePunct w:val="0"/>
        <w:autoSpaceDE/>
        <w:autoSpaceDN/>
        <w:bidi w:val="0"/>
        <w:spacing w:line="240" w:lineRule="auto"/>
        <w:ind w:firstLine="422" w:firstLineChars="200"/>
        <w:textAlignment w:val="auto"/>
        <w:rPr>
          <w:rFonts w:hint="eastAsia" w:ascii="楷体" w:hAnsi="楷体" w:eastAsia="楷体" w:cs="楷体"/>
          <w:b/>
          <w:bCs w:val="0"/>
          <w:snapToGrid w:val="0"/>
          <w:color w:val="auto"/>
          <w:sz w:val="21"/>
          <w:szCs w:val="21"/>
        </w:rPr>
      </w:pPr>
      <w:r>
        <w:rPr>
          <w:rFonts w:hint="eastAsia" w:ascii="楷体" w:hAnsi="楷体" w:eastAsia="楷体" w:cs="楷体"/>
          <w:b/>
          <w:bCs w:val="0"/>
          <w:snapToGrid w:val="0"/>
          <w:color w:val="auto"/>
          <w:sz w:val="21"/>
          <w:szCs w:val="21"/>
        </w:rPr>
        <w:t>（一）鼠类达到国家标准GB/T27770-2011病媒生物密度控制C级水平：</w:t>
      </w:r>
    </w:p>
    <w:p w14:paraId="29287173">
      <w:pPr>
        <w:keepNext w:val="0"/>
        <w:keepLines w:val="0"/>
        <w:pageBreakBefore w:val="0"/>
        <w:kinsoku/>
        <w:wordWrap/>
        <w:overflowPunct/>
        <w:topLinePunct w:val="0"/>
        <w:autoSpaceDE/>
        <w:autoSpaceDN/>
        <w:bidi w:val="0"/>
        <w:spacing w:line="240" w:lineRule="auto"/>
        <w:ind w:firstLine="420" w:firstLineChars="200"/>
        <w:textAlignment w:val="auto"/>
        <w:rPr>
          <w:rFonts w:ascii="仿宋" w:hAnsi="仿宋" w:eastAsia="仿宋" w:cs="仿宋"/>
          <w:bCs/>
          <w:snapToGrid w:val="0"/>
          <w:color w:val="auto"/>
          <w:sz w:val="21"/>
          <w:szCs w:val="21"/>
        </w:rPr>
      </w:pPr>
      <w:r>
        <w:rPr>
          <w:rFonts w:ascii="仿宋" w:hAnsi="仿宋" w:eastAsia="仿宋" w:cs="仿宋"/>
          <w:bCs/>
          <w:snapToGrid w:val="0"/>
          <w:color w:val="auto"/>
          <w:sz w:val="21"/>
          <w:szCs w:val="21"/>
        </w:rPr>
        <w:t>1</w:t>
      </w:r>
      <w:r>
        <w:rPr>
          <w:rFonts w:hint="eastAsia" w:ascii="仿宋" w:hAnsi="仿宋" w:eastAsia="仿宋" w:cs="仿宋"/>
          <w:bCs/>
          <w:snapToGrid w:val="0"/>
          <w:color w:val="auto"/>
          <w:sz w:val="21"/>
          <w:szCs w:val="21"/>
        </w:rPr>
        <w:t>、防鼠设施</w:t>
      </w:r>
      <w:r>
        <w:rPr>
          <w:rFonts w:hint="eastAsia" w:ascii="仿宋" w:hAnsi="仿宋" w:eastAsia="仿宋" w:cs="仿宋"/>
          <w:color w:val="auto"/>
          <w:sz w:val="21"/>
          <w:szCs w:val="21"/>
        </w:rPr>
        <w:t>齐全，符合技术标准，</w:t>
      </w:r>
      <w:r>
        <w:rPr>
          <w:rFonts w:hint="eastAsia" w:ascii="仿宋" w:hAnsi="仿宋" w:eastAsia="仿宋" w:cs="仿宋"/>
          <w:bCs/>
          <w:snapToGrid w:val="0"/>
          <w:color w:val="auto"/>
          <w:sz w:val="21"/>
          <w:szCs w:val="21"/>
        </w:rPr>
        <w:t>合格率大于或等于</w:t>
      </w:r>
      <w:r>
        <w:rPr>
          <w:rFonts w:ascii="仿宋" w:hAnsi="仿宋" w:eastAsia="仿宋" w:cs="仿宋"/>
          <w:bCs/>
          <w:snapToGrid w:val="0"/>
          <w:color w:val="auto"/>
          <w:sz w:val="21"/>
          <w:szCs w:val="21"/>
        </w:rPr>
        <w:t>9</w:t>
      </w:r>
      <w:r>
        <w:rPr>
          <w:rFonts w:hint="eastAsia" w:ascii="仿宋" w:hAnsi="仿宋" w:eastAsia="仿宋" w:cs="仿宋"/>
          <w:bCs/>
          <w:snapToGrid w:val="0"/>
          <w:color w:val="auto"/>
          <w:sz w:val="21"/>
          <w:szCs w:val="21"/>
          <w:lang w:val="en-US" w:eastAsia="zh-CN"/>
        </w:rPr>
        <w:t>5</w:t>
      </w:r>
      <w:r>
        <w:rPr>
          <w:rFonts w:ascii="仿宋" w:hAnsi="仿宋" w:eastAsia="仿宋" w:cs="仿宋"/>
          <w:bCs/>
          <w:snapToGrid w:val="0"/>
          <w:color w:val="auto"/>
          <w:sz w:val="21"/>
          <w:szCs w:val="21"/>
        </w:rPr>
        <w:t>%</w:t>
      </w:r>
      <w:r>
        <w:rPr>
          <w:rFonts w:hint="eastAsia" w:ascii="仿宋" w:hAnsi="仿宋" w:eastAsia="仿宋" w:cs="仿宋"/>
          <w:bCs/>
          <w:snapToGrid w:val="0"/>
          <w:color w:val="auto"/>
          <w:sz w:val="21"/>
          <w:szCs w:val="21"/>
        </w:rPr>
        <w:t>。</w:t>
      </w:r>
    </w:p>
    <w:p w14:paraId="0D0FD8BA">
      <w:pPr>
        <w:keepNext w:val="0"/>
        <w:keepLines w:val="0"/>
        <w:pageBreakBefore w:val="0"/>
        <w:kinsoku/>
        <w:wordWrap/>
        <w:overflowPunct/>
        <w:topLinePunct w:val="0"/>
        <w:autoSpaceDE/>
        <w:autoSpaceDN/>
        <w:bidi w:val="0"/>
        <w:spacing w:line="240" w:lineRule="auto"/>
        <w:ind w:firstLine="420" w:firstLineChars="200"/>
        <w:textAlignment w:val="auto"/>
        <w:rPr>
          <w:rFonts w:ascii="仿宋" w:hAnsi="仿宋" w:eastAsia="仿宋" w:cs="仿宋"/>
          <w:bCs/>
          <w:snapToGrid w:val="0"/>
          <w:color w:val="auto"/>
          <w:sz w:val="21"/>
          <w:szCs w:val="21"/>
        </w:rPr>
      </w:pPr>
      <w:r>
        <w:rPr>
          <w:rFonts w:ascii="仿宋" w:hAnsi="仿宋" w:eastAsia="仿宋" w:cs="仿宋"/>
          <w:bCs/>
          <w:snapToGrid w:val="0"/>
          <w:color w:val="auto"/>
          <w:sz w:val="21"/>
          <w:szCs w:val="21"/>
        </w:rPr>
        <w:t>2</w:t>
      </w:r>
      <w:r>
        <w:rPr>
          <w:rFonts w:hint="eastAsia" w:ascii="仿宋" w:hAnsi="仿宋" w:eastAsia="仿宋" w:cs="仿宋"/>
          <w:bCs/>
          <w:snapToGrid w:val="0"/>
          <w:color w:val="auto"/>
          <w:sz w:val="21"/>
          <w:szCs w:val="21"/>
        </w:rPr>
        <w:t>、室内鼠迹阳性率小于或等于</w:t>
      </w:r>
      <w:r>
        <w:rPr>
          <w:rFonts w:ascii="仿宋" w:hAnsi="仿宋" w:eastAsia="仿宋" w:cs="仿宋"/>
          <w:bCs/>
          <w:snapToGrid w:val="0"/>
          <w:color w:val="auto"/>
          <w:sz w:val="21"/>
          <w:szCs w:val="21"/>
        </w:rPr>
        <w:t>5%</w:t>
      </w:r>
      <w:r>
        <w:rPr>
          <w:rFonts w:hint="eastAsia" w:ascii="仿宋" w:hAnsi="仿宋" w:eastAsia="仿宋" w:cs="仿宋"/>
          <w:bCs/>
          <w:snapToGrid w:val="0"/>
          <w:color w:val="auto"/>
          <w:sz w:val="21"/>
          <w:szCs w:val="21"/>
        </w:rPr>
        <w:t>。</w:t>
      </w:r>
    </w:p>
    <w:p w14:paraId="418DB952">
      <w:pPr>
        <w:keepNext w:val="0"/>
        <w:keepLines w:val="0"/>
        <w:pageBreakBefore w:val="0"/>
        <w:kinsoku/>
        <w:wordWrap/>
        <w:overflowPunct/>
        <w:topLinePunct w:val="0"/>
        <w:autoSpaceDE/>
        <w:autoSpaceDN/>
        <w:bidi w:val="0"/>
        <w:spacing w:line="240" w:lineRule="auto"/>
        <w:ind w:firstLine="420" w:firstLineChars="200"/>
        <w:textAlignment w:val="auto"/>
        <w:rPr>
          <w:rFonts w:ascii="仿宋" w:hAnsi="仿宋" w:eastAsia="仿宋" w:cs="仿宋"/>
          <w:bCs/>
          <w:snapToGrid w:val="0"/>
          <w:color w:val="auto"/>
          <w:sz w:val="21"/>
          <w:szCs w:val="21"/>
        </w:rPr>
      </w:pPr>
      <w:r>
        <w:rPr>
          <w:rFonts w:ascii="仿宋" w:hAnsi="仿宋" w:eastAsia="仿宋" w:cs="仿宋"/>
          <w:bCs/>
          <w:snapToGrid w:val="0"/>
          <w:color w:val="auto"/>
          <w:sz w:val="21"/>
          <w:szCs w:val="21"/>
        </w:rPr>
        <w:t>3</w:t>
      </w:r>
      <w:r>
        <w:rPr>
          <w:rFonts w:hint="eastAsia" w:ascii="仿宋" w:hAnsi="仿宋" w:eastAsia="仿宋" w:cs="仿宋"/>
          <w:bCs/>
          <w:snapToGrid w:val="0"/>
          <w:color w:val="auto"/>
          <w:sz w:val="21"/>
          <w:szCs w:val="21"/>
        </w:rPr>
        <w:t>、外环境路径指数小于或等于</w:t>
      </w:r>
      <w:r>
        <w:rPr>
          <w:rFonts w:ascii="仿宋" w:hAnsi="仿宋" w:eastAsia="仿宋" w:cs="仿宋"/>
          <w:bCs/>
          <w:snapToGrid w:val="0"/>
          <w:color w:val="auto"/>
          <w:sz w:val="21"/>
          <w:szCs w:val="21"/>
        </w:rPr>
        <w:t>5</w:t>
      </w:r>
      <w:r>
        <w:rPr>
          <w:rFonts w:hint="eastAsia" w:ascii="仿宋" w:hAnsi="仿宋" w:eastAsia="仿宋" w:cs="仿宋"/>
          <w:bCs/>
          <w:snapToGrid w:val="0"/>
          <w:color w:val="auto"/>
          <w:sz w:val="21"/>
          <w:szCs w:val="21"/>
        </w:rPr>
        <w:t>。</w:t>
      </w:r>
    </w:p>
    <w:p w14:paraId="24CD2FA0">
      <w:pPr>
        <w:keepNext w:val="0"/>
        <w:keepLines w:val="0"/>
        <w:pageBreakBefore w:val="0"/>
        <w:kinsoku/>
        <w:wordWrap/>
        <w:overflowPunct/>
        <w:topLinePunct w:val="0"/>
        <w:autoSpaceDE/>
        <w:autoSpaceDN/>
        <w:bidi w:val="0"/>
        <w:spacing w:line="240" w:lineRule="auto"/>
        <w:ind w:firstLine="422" w:firstLineChars="200"/>
        <w:textAlignment w:val="auto"/>
        <w:rPr>
          <w:rFonts w:hint="eastAsia" w:ascii="楷体" w:hAnsi="楷体" w:eastAsia="楷体" w:cs="楷体"/>
          <w:b/>
          <w:bCs w:val="0"/>
          <w:snapToGrid w:val="0"/>
          <w:color w:val="auto"/>
          <w:sz w:val="21"/>
          <w:szCs w:val="21"/>
        </w:rPr>
      </w:pPr>
      <w:r>
        <w:rPr>
          <w:rFonts w:hint="eastAsia" w:ascii="楷体" w:hAnsi="楷体" w:eastAsia="楷体" w:cs="楷体"/>
          <w:b/>
          <w:bCs w:val="0"/>
          <w:snapToGrid w:val="0"/>
          <w:color w:val="auto"/>
          <w:sz w:val="21"/>
          <w:szCs w:val="21"/>
        </w:rPr>
        <w:t>（二）蜚蠊（蟑螂）达到国家标准GB/T27773-2011病媒生物密度控制C级水平：</w:t>
      </w:r>
    </w:p>
    <w:p w14:paraId="490C200F">
      <w:pPr>
        <w:keepNext w:val="0"/>
        <w:keepLines w:val="0"/>
        <w:pageBreakBefore w:val="0"/>
        <w:kinsoku/>
        <w:wordWrap/>
        <w:overflowPunct/>
        <w:topLinePunct w:val="0"/>
        <w:autoSpaceDE/>
        <w:autoSpaceDN/>
        <w:bidi w:val="0"/>
        <w:spacing w:line="240" w:lineRule="auto"/>
        <w:ind w:firstLine="420" w:firstLineChars="200"/>
        <w:textAlignment w:val="auto"/>
        <w:rPr>
          <w:rFonts w:ascii="仿宋" w:hAnsi="仿宋" w:eastAsia="仿宋" w:cs="仿宋"/>
          <w:bCs/>
          <w:snapToGrid w:val="0"/>
          <w:color w:val="auto"/>
          <w:sz w:val="21"/>
          <w:szCs w:val="21"/>
        </w:rPr>
      </w:pPr>
      <w:r>
        <w:rPr>
          <w:rFonts w:ascii="仿宋" w:hAnsi="仿宋" w:eastAsia="仿宋" w:cs="仿宋"/>
          <w:bCs/>
          <w:snapToGrid w:val="0"/>
          <w:color w:val="auto"/>
          <w:sz w:val="21"/>
          <w:szCs w:val="21"/>
        </w:rPr>
        <w:t>1</w:t>
      </w:r>
      <w:r>
        <w:rPr>
          <w:rFonts w:hint="eastAsia" w:ascii="仿宋" w:hAnsi="仿宋" w:eastAsia="仿宋" w:cs="仿宋"/>
          <w:bCs/>
          <w:snapToGrid w:val="0"/>
          <w:color w:val="auto"/>
          <w:sz w:val="21"/>
          <w:szCs w:val="21"/>
        </w:rPr>
        <w:t>、蜚蠊成若虫侵害率小于或等于</w:t>
      </w:r>
      <w:r>
        <w:rPr>
          <w:rFonts w:ascii="仿宋" w:hAnsi="仿宋" w:eastAsia="仿宋" w:cs="仿宋"/>
          <w:bCs/>
          <w:snapToGrid w:val="0"/>
          <w:color w:val="auto"/>
          <w:sz w:val="21"/>
          <w:szCs w:val="21"/>
        </w:rPr>
        <w:t>5%</w:t>
      </w:r>
      <w:r>
        <w:rPr>
          <w:rFonts w:hint="eastAsia" w:ascii="仿宋" w:hAnsi="仿宋" w:eastAsia="仿宋" w:cs="仿宋"/>
          <w:bCs/>
          <w:snapToGrid w:val="0"/>
          <w:color w:val="auto"/>
          <w:sz w:val="21"/>
          <w:szCs w:val="21"/>
        </w:rPr>
        <w:t>，</w:t>
      </w:r>
      <w:r>
        <w:rPr>
          <w:rFonts w:ascii="仿宋" w:hAnsi="仿宋" w:eastAsia="仿宋" w:cs="仿宋"/>
          <w:bCs/>
          <w:snapToGrid w:val="0"/>
          <w:color w:val="auto"/>
          <w:sz w:val="21"/>
          <w:szCs w:val="21"/>
        </w:rPr>
        <w:t xml:space="preserve"> </w:t>
      </w:r>
      <w:r>
        <w:rPr>
          <w:rFonts w:hint="eastAsia" w:ascii="仿宋" w:hAnsi="仿宋" w:eastAsia="仿宋" w:cs="仿宋"/>
          <w:bCs/>
          <w:snapToGrid w:val="0"/>
          <w:color w:val="auto"/>
          <w:sz w:val="21"/>
          <w:szCs w:val="21"/>
        </w:rPr>
        <w:t>平均每阳性间（处）成若虫数小蠊小于或等于</w:t>
      </w:r>
      <w:r>
        <w:rPr>
          <w:rFonts w:ascii="仿宋" w:hAnsi="仿宋" w:eastAsia="仿宋" w:cs="仿宋"/>
          <w:bCs/>
          <w:snapToGrid w:val="0"/>
          <w:color w:val="auto"/>
          <w:sz w:val="21"/>
          <w:szCs w:val="21"/>
        </w:rPr>
        <w:t>10</w:t>
      </w:r>
      <w:r>
        <w:rPr>
          <w:rFonts w:hint="eastAsia" w:ascii="仿宋" w:hAnsi="仿宋" w:eastAsia="仿宋" w:cs="仿宋"/>
          <w:bCs/>
          <w:snapToGrid w:val="0"/>
          <w:color w:val="auto"/>
          <w:sz w:val="21"/>
          <w:szCs w:val="21"/>
        </w:rPr>
        <w:t>只，大蠊小于或等于</w:t>
      </w:r>
      <w:r>
        <w:rPr>
          <w:rFonts w:ascii="仿宋" w:hAnsi="仿宋" w:eastAsia="仿宋" w:cs="仿宋"/>
          <w:bCs/>
          <w:snapToGrid w:val="0"/>
          <w:color w:val="auto"/>
          <w:sz w:val="21"/>
          <w:szCs w:val="21"/>
        </w:rPr>
        <w:t>5</w:t>
      </w:r>
      <w:r>
        <w:rPr>
          <w:rFonts w:hint="eastAsia" w:ascii="仿宋" w:hAnsi="仿宋" w:eastAsia="仿宋" w:cs="仿宋"/>
          <w:bCs/>
          <w:snapToGrid w:val="0"/>
          <w:color w:val="auto"/>
          <w:sz w:val="21"/>
          <w:szCs w:val="21"/>
        </w:rPr>
        <w:t>只。</w:t>
      </w:r>
    </w:p>
    <w:p w14:paraId="0B95100B">
      <w:pPr>
        <w:keepNext w:val="0"/>
        <w:keepLines w:val="0"/>
        <w:pageBreakBefore w:val="0"/>
        <w:kinsoku/>
        <w:wordWrap/>
        <w:overflowPunct/>
        <w:topLinePunct w:val="0"/>
        <w:autoSpaceDE/>
        <w:autoSpaceDN/>
        <w:bidi w:val="0"/>
        <w:spacing w:line="240" w:lineRule="auto"/>
        <w:ind w:firstLine="420" w:firstLineChars="200"/>
        <w:textAlignment w:val="auto"/>
        <w:rPr>
          <w:rFonts w:ascii="仿宋" w:hAnsi="仿宋" w:eastAsia="仿宋" w:cs="仿宋"/>
          <w:bCs/>
          <w:snapToGrid w:val="0"/>
          <w:color w:val="auto"/>
          <w:sz w:val="21"/>
          <w:szCs w:val="21"/>
        </w:rPr>
      </w:pPr>
      <w:r>
        <w:rPr>
          <w:rFonts w:ascii="仿宋" w:hAnsi="仿宋" w:eastAsia="仿宋" w:cs="仿宋"/>
          <w:bCs/>
          <w:snapToGrid w:val="0"/>
          <w:color w:val="auto"/>
          <w:sz w:val="21"/>
          <w:szCs w:val="21"/>
        </w:rPr>
        <w:t>2</w:t>
      </w:r>
      <w:r>
        <w:rPr>
          <w:rFonts w:hint="eastAsia" w:ascii="仿宋" w:hAnsi="仿宋" w:eastAsia="仿宋" w:cs="仿宋"/>
          <w:bCs/>
          <w:snapToGrid w:val="0"/>
          <w:color w:val="auto"/>
          <w:sz w:val="21"/>
          <w:szCs w:val="21"/>
        </w:rPr>
        <w:t>、蜚蠊卵鞘查获率小于或等于</w:t>
      </w:r>
      <w:r>
        <w:rPr>
          <w:rFonts w:ascii="仿宋" w:hAnsi="仿宋" w:eastAsia="仿宋" w:cs="仿宋"/>
          <w:bCs/>
          <w:snapToGrid w:val="0"/>
          <w:color w:val="auto"/>
          <w:sz w:val="21"/>
          <w:szCs w:val="21"/>
        </w:rPr>
        <w:t>3%</w:t>
      </w:r>
      <w:r>
        <w:rPr>
          <w:rFonts w:hint="eastAsia" w:ascii="仿宋" w:hAnsi="仿宋" w:eastAsia="仿宋" w:cs="仿宋"/>
          <w:bCs/>
          <w:snapToGrid w:val="0"/>
          <w:color w:val="auto"/>
          <w:sz w:val="21"/>
          <w:szCs w:val="21"/>
        </w:rPr>
        <w:t>，平均每阳性间（处）卵鞘数小于或等于</w:t>
      </w:r>
      <w:r>
        <w:rPr>
          <w:rFonts w:ascii="仿宋" w:hAnsi="仿宋" w:eastAsia="仿宋" w:cs="仿宋"/>
          <w:bCs/>
          <w:snapToGrid w:val="0"/>
          <w:color w:val="auto"/>
          <w:sz w:val="21"/>
          <w:szCs w:val="21"/>
        </w:rPr>
        <w:t>5</w:t>
      </w:r>
      <w:r>
        <w:rPr>
          <w:rFonts w:hint="eastAsia" w:ascii="仿宋" w:hAnsi="仿宋" w:eastAsia="仿宋" w:cs="仿宋"/>
          <w:bCs/>
          <w:snapToGrid w:val="0"/>
          <w:color w:val="auto"/>
          <w:sz w:val="21"/>
          <w:szCs w:val="21"/>
        </w:rPr>
        <w:t>只。</w:t>
      </w:r>
    </w:p>
    <w:p w14:paraId="438E94CC">
      <w:pPr>
        <w:keepNext w:val="0"/>
        <w:keepLines w:val="0"/>
        <w:pageBreakBefore w:val="0"/>
        <w:kinsoku/>
        <w:wordWrap/>
        <w:overflowPunct/>
        <w:topLinePunct w:val="0"/>
        <w:autoSpaceDE/>
        <w:autoSpaceDN/>
        <w:bidi w:val="0"/>
        <w:spacing w:line="240" w:lineRule="auto"/>
        <w:ind w:firstLine="420" w:firstLineChars="200"/>
        <w:textAlignment w:val="auto"/>
        <w:rPr>
          <w:rFonts w:ascii="仿宋" w:hAnsi="仿宋" w:eastAsia="仿宋" w:cs="仿宋"/>
          <w:bCs/>
          <w:snapToGrid w:val="0"/>
          <w:color w:val="auto"/>
          <w:sz w:val="21"/>
          <w:szCs w:val="21"/>
        </w:rPr>
      </w:pPr>
      <w:r>
        <w:rPr>
          <w:rFonts w:ascii="仿宋" w:hAnsi="仿宋" w:eastAsia="仿宋" w:cs="仿宋"/>
          <w:bCs/>
          <w:snapToGrid w:val="0"/>
          <w:color w:val="auto"/>
          <w:sz w:val="21"/>
          <w:szCs w:val="21"/>
        </w:rPr>
        <w:t>3</w:t>
      </w:r>
      <w:r>
        <w:rPr>
          <w:rFonts w:hint="eastAsia" w:ascii="仿宋" w:hAnsi="仿宋" w:eastAsia="仿宋" w:cs="仿宋"/>
          <w:bCs/>
          <w:snapToGrid w:val="0"/>
          <w:color w:val="auto"/>
          <w:sz w:val="21"/>
          <w:szCs w:val="21"/>
        </w:rPr>
        <w:t>、蟑迹查获率小于或等于</w:t>
      </w:r>
      <w:r>
        <w:rPr>
          <w:rFonts w:ascii="仿宋" w:hAnsi="仿宋" w:eastAsia="仿宋" w:cs="仿宋"/>
          <w:bCs/>
          <w:snapToGrid w:val="0"/>
          <w:color w:val="auto"/>
          <w:sz w:val="21"/>
          <w:szCs w:val="21"/>
        </w:rPr>
        <w:t>7%</w:t>
      </w:r>
      <w:r>
        <w:rPr>
          <w:rFonts w:hint="eastAsia" w:ascii="仿宋" w:hAnsi="仿宋" w:eastAsia="仿宋" w:cs="仿宋"/>
          <w:bCs/>
          <w:snapToGrid w:val="0"/>
          <w:color w:val="auto"/>
          <w:sz w:val="21"/>
          <w:szCs w:val="21"/>
        </w:rPr>
        <w:t>。</w:t>
      </w:r>
    </w:p>
    <w:p w14:paraId="229575D5">
      <w:pPr>
        <w:keepNext w:val="0"/>
        <w:keepLines w:val="0"/>
        <w:pageBreakBefore w:val="0"/>
        <w:kinsoku/>
        <w:wordWrap/>
        <w:overflowPunct/>
        <w:topLinePunct w:val="0"/>
        <w:autoSpaceDE/>
        <w:autoSpaceDN/>
        <w:bidi w:val="0"/>
        <w:spacing w:line="240" w:lineRule="auto"/>
        <w:ind w:firstLine="422" w:firstLineChars="200"/>
        <w:textAlignment w:val="auto"/>
        <w:rPr>
          <w:rFonts w:hint="eastAsia" w:ascii="楷体" w:hAnsi="楷体" w:eastAsia="楷体" w:cs="楷体"/>
          <w:b/>
          <w:bCs/>
          <w:snapToGrid w:val="0"/>
          <w:color w:val="auto"/>
          <w:sz w:val="21"/>
          <w:szCs w:val="21"/>
        </w:rPr>
      </w:pPr>
      <w:r>
        <w:rPr>
          <w:rFonts w:hint="eastAsia" w:ascii="楷体" w:hAnsi="楷体" w:eastAsia="楷体" w:cs="楷体"/>
          <w:b/>
          <w:bCs/>
          <w:color w:val="auto"/>
          <w:sz w:val="21"/>
          <w:szCs w:val="21"/>
        </w:rPr>
        <w:t>（三）蚊虫达到国家标准GB/T27771-2011病媒生物密度控制C级水平：</w:t>
      </w:r>
    </w:p>
    <w:p w14:paraId="7CF70E76">
      <w:pPr>
        <w:keepNext w:val="0"/>
        <w:keepLines w:val="0"/>
        <w:pageBreakBefore w:val="0"/>
        <w:kinsoku/>
        <w:wordWrap/>
        <w:overflowPunct/>
        <w:topLinePunct w:val="0"/>
        <w:autoSpaceDE/>
        <w:autoSpaceDN/>
        <w:bidi w:val="0"/>
        <w:spacing w:line="240" w:lineRule="auto"/>
        <w:ind w:firstLine="420" w:firstLineChars="200"/>
        <w:textAlignment w:val="auto"/>
        <w:rPr>
          <w:rFonts w:ascii="仿宋" w:hAnsi="仿宋" w:eastAsia="仿宋" w:cs="仿宋"/>
          <w:bCs/>
          <w:snapToGrid w:val="0"/>
          <w:color w:val="auto"/>
          <w:sz w:val="21"/>
          <w:szCs w:val="21"/>
        </w:rPr>
      </w:pPr>
      <w:r>
        <w:rPr>
          <w:rFonts w:ascii="仿宋" w:hAnsi="仿宋" w:eastAsia="仿宋" w:cs="仿宋"/>
          <w:color w:val="auto"/>
          <w:sz w:val="21"/>
          <w:szCs w:val="21"/>
        </w:rPr>
        <w:t>1</w:t>
      </w:r>
      <w:r>
        <w:rPr>
          <w:rFonts w:hint="eastAsia" w:ascii="仿宋" w:hAnsi="仿宋" w:eastAsia="仿宋" w:cs="仿宋"/>
          <w:color w:val="auto"/>
          <w:sz w:val="21"/>
          <w:szCs w:val="21"/>
        </w:rPr>
        <w:t>、小型积水蚊虫密度控制水平为路径指数小于或等于</w:t>
      </w:r>
      <w:r>
        <w:rPr>
          <w:rFonts w:ascii="仿宋" w:hAnsi="仿宋" w:eastAsia="仿宋" w:cs="仿宋"/>
          <w:color w:val="auto"/>
          <w:sz w:val="21"/>
          <w:szCs w:val="21"/>
        </w:rPr>
        <w:t>0.8</w:t>
      </w:r>
      <w:r>
        <w:rPr>
          <w:rFonts w:hint="eastAsia" w:ascii="仿宋" w:hAnsi="仿宋" w:eastAsia="仿宋" w:cs="仿宋"/>
          <w:color w:val="auto"/>
          <w:sz w:val="21"/>
          <w:szCs w:val="21"/>
        </w:rPr>
        <w:t>。</w:t>
      </w:r>
    </w:p>
    <w:p w14:paraId="1B41E49B">
      <w:pPr>
        <w:keepNext w:val="0"/>
        <w:keepLines w:val="0"/>
        <w:pageBreakBefore w:val="0"/>
        <w:kinsoku/>
        <w:wordWrap/>
        <w:overflowPunct/>
        <w:topLinePunct w:val="0"/>
        <w:autoSpaceDE/>
        <w:autoSpaceDN/>
        <w:bidi w:val="0"/>
        <w:spacing w:line="240" w:lineRule="auto"/>
        <w:ind w:firstLine="420" w:firstLineChars="200"/>
        <w:textAlignment w:val="auto"/>
        <w:rPr>
          <w:rFonts w:ascii="仿宋" w:hAnsi="仿宋" w:eastAsia="仿宋" w:cs="仿宋"/>
          <w:bCs/>
          <w:snapToGrid w:val="0"/>
          <w:color w:val="auto"/>
          <w:sz w:val="21"/>
          <w:szCs w:val="21"/>
        </w:rPr>
      </w:pPr>
      <w:r>
        <w:rPr>
          <w:rFonts w:ascii="仿宋" w:hAnsi="仿宋" w:eastAsia="仿宋" w:cs="仿宋"/>
          <w:color w:val="auto"/>
          <w:sz w:val="21"/>
          <w:szCs w:val="21"/>
        </w:rPr>
        <w:t>2</w:t>
      </w:r>
      <w:r>
        <w:rPr>
          <w:rFonts w:hint="eastAsia" w:ascii="仿宋" w:hAnsi="仿宋" w:eastAsia="仿宋" w:cs="仿宋"/>
          <w:color w:val="auto"/>
          <w:sz w:val="21"/>
          <w:szCs w:val="21"/>
        </w:rPr>
        <w:t>、大中型水体蚊虫密度控制水平为采样勺指数小于或等于</w:t>
      </w:r>
      <w:r>
        <w:rPr>
          <w:rFonts w:ascii="仿宋" w:hAnsi="仿宋" w:eastAsia="仿宋" w:cs="仿宋"/>
          <w:color w:val="auto"/>
          <w:sz w:val="21"/>
          <w:szCs w:val="21"/>
        </w:rPr>
        <w:t>5%</w:t>
      </w:r>
      <w:r>
        <w:rPr>
          <w:rFonts w:hint="eastAsia" w:ascii="仿宋" w:hAnsi="仿宋" w:eastAsia="仿宋" w:cs="仿宋"/>
          <w:color w:val="auto"/>
          <w:sz w:val="21"/>
          <w:szCs w:val="21"/>
        </w:rPr>
        <w:t>，平均每阳性勺少于</w:t>
      </w:r>
      <w:r>
        <w:rPr>
          <w:rFonts w:ascii="仿宋" w:hAnsi="仿宋" w:eastAsia="仿宋" w:cs="仿宋"/>
          <w:color w:val="auto"/>
          <w:sz w:val="21"/>
          <w:szCs w:val="21"/>
        </w:rPr>
        <w:t>8</w:t>
      </w:r>
      <w:r>
        <w:rPr>
          <w:rFonts w:hint="eastAsia" w:ascii="仿宋" w:hAnsi="仿宋" w:eastAsia="仿宋" w:cs="仿宋"/>
          <w:color w:val="auto"/>
          <w:sz w:val="21"/>
          <w:szCs w:val="21"/>
        </w:rPr>
        <w:t>只蚊虫幼虫和蛹。</w:t>
      </w:r>
    </w:p>
    <w:p w14:paraId="56A7BB02">
      <w:pPr>
        <w:keepNext w:val="0"/>
        <w:keepLines w:val="0"/>
        <w:pageBreakBefore w:val="0"/>
        <w:kinsoku/>
        <w:wordWrap/>
        <w:overflowPunct/>
        <w:topLinePunct w:val="0"/>
        <w:autoSpaceDE/>
        <w:autoSpaceDN/>
        <w:bidi w:val="0"/>
        <w:spacing w:line="240" w:lineRule="auto"/>
        <w:ind w:firstLine="420" w:firstLineChars="200"/>
        <w:textAlignment w:val="auto"/>
        <w:rPr>
          <w:rFonts w:ascii="仿宋" w:hAnsi="仿宋" w:eastAsia="仿宋" w:cs="仿宋"/>
          <w:bCs/>
          <w:snapToGrid w:val="0"/>
          <w:color w:val="auto"/>
          <w:sz w:val="21"/>
          <w:szCs w:val="21"/>
        </w:rPr>
      </w:pPr>
      <w:r>
        <w:rPr>
          <w:rFonts w:ascii="仿宋" w:hAnsi="仿宋" w:eastAsia="仿宋" w:cs="仿宋"/>
          <w:color w:val="auto"/>
          <w:sz w:val="21"/>
          <w:szCs w:val="21"/>
        </w:rPr>
        <w:t>3</w:t>
      </w:r>
      <w:r>
        <w:rPr>
          <w:rFonts w:hint="eastAsia" w:ascii="仿宋" w:hAnsi="仿宋" w:eastAsia="仿宋" w:cs="仿宋"/>
          <w:color w:val="auto"/>
          <w:sz w:val="21"/>
          <w:szCs w:val="21"/>
        </w:rPr>
        <w:t>、外环境蚊虫密度控制水平为停落指数小于或等于</w:t>
      </w:r>
      <w:r>
        <w:rPr>
          <w:rFonts w:ascii="仿宋" w:hAnsi="仿宋" w:eastAsia="仿宋" w:cs="仿宋"/>
          <w:color w:val="auto"/>
          <w:sz w:val="21"/>
          <w:szCs w:val="21"/>
        </w:rPr>
        <w:t>1.5.</w:t>
      </w:r>
    </w:p>
    <w:p w14:paraId="5EC5398F">
      <w:pPr>
        <w:keepNext w:val="0"/>
        <w:keepLines w:val="0"/>
        <w:pageBreakBefore w:val="0"/>
        <w:kinsoku/>
        <w:wordWrap/>
        <w:overflowPunct/>
        <w:topLinePunct w:val="0"/>
        <w:autoSpaceDE/>
        <w:autoSpaceDN/>
        <w:bidi w:val="0"/>
        <w:spacing w:line="240" w:lineRule="auto"/>
        <w:ind w:firstLine="422" w:firstLineChars="200"/>
        <w:textAlignment w:val="auto"/>
        <w:rPr>
          <w:rFonts w:hint="eastAsia" w:ascii="楷体" w:hAnsi="楷体" w:eastAsia="楷体" w:cs="楷体"/>
          <w:b/>
          <w:bCs/>
          <w:snapToGrid w:val="0"/>
          <w:color w:val="auto"/>
          <w:sz w:val="21"/>
          <w:szCs w:val="21"/>
        </w:rPr>
      </w:pPr>
      <w:r>
        <w:rPr>
          <w:rFonts w:hint="eastAsia" w:ascii="楷体" w:hAnsi="楷体" w:eastAsia="楷体" w:cs="楷体"/>
          <w:b/>
          <w:bCs/>
          <w:color w:val="auto"/>
          <w:sz w:val="21"/>
          <w:szCs w:val="21"/>
        </w:rPr>
        <w:t>（四）苍蝇达到国家标准GB/T27772-2011病媒生物密度控制C级水平：</w:t>
      </w:r>
    </w:p>
    <w:p w14:paraId="36F244DB">
      <w:pPr>
        <w:keepNext w:val="0"/>
        <w:keepLines w:val="0"/>
        <w:pageBreakBefore w:val="0"/>
        <w:kinsoku/>
        <w:wordWrap/>
        <w:overflowPunct/>
        <w:topLinePunct w:val="0"/>
        <w:autoSpaceDE/>
        <w:autoSpaceDN/>
        <w:bidi w:val="0"/>
        <w:spacing w:line="240" w:lineRule="auto"/>
        <w:ind w:firstLine="420" w:firstLineChars="200"/>
        <w:textAlignment w:val="auto"/>
        <w:rPr>
          <w:rFonts w:ascii="仿宋" w:hAnsi="仿宋" w:eastAsia="仿宋" w:cs="仿宋"/>
          <w:bCs/>
          <w:snapToGrid w:val="0"/>
          <w:color w:val="auto"/>
          <w:sz w:val="21"/>
          <w:szCs w:val="21"/>
        </w:rPr>
      </w:pPr>
      <w:r>
        <w:rPr>
          <w:rFonts w:ascii="仿宋" w:hAnsi="仿宋" w:eastAsia="仿宋" w:cs="仿宋"/>
          <w:color w:val="auto"/>
          <w:sz w:val="21"/>
          <w:szCs w:val="21"/>
        </w:rPr>
        <w:t>1</w:t>
      </w:r>
      <w:r>
        <w:rPr>
          <w:rFonts w:hint="eastAsia" w:ascii="仿宋" w:hAnsi="仿宋" w:eastAsia="仿宋" w:cs="仿宋"/>
          <w:color w:val="auto"/>
          <w:sz w:val="21"/>
          <w:szCs w:val="21"/>
        </w:rPr>
        <w:t>、生产销售直接入口食品的场所不得有蝇。室内不得存在蝇类</w:t>
      </w:r>
      <w:r>
        <w:rPr>
          <w:rFonts w:ascii="仿宋" w:hAnsi="仿宋" w:eastAsia="仿宋" w:cs="仿宋"/>
          <w:color w:val="auto"/>
          <w:sz w:val="21"/>
          <w:szCs w:val="21"/>
        </w:rPr>
        <w:t>2</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、室外蝇类孳生地阳性率小于或等于</w:t>
      </w:r>
      <w:r>
        <w:rPr>
          <w:rFonts w:ascii="仿宋" w:hAnsi="仿宋" w:eastAsia="仿宋" w:cs="仿宋"/>
          <w:color w:val="auto"/>
          <w:sz w:val="21"/>
          <w:szCs w:val="21"/>
        </w:rPr>
        <w:t>5%</w:t>
      </w:r>
      <w:r>
        <w:rPr>
          <w:rFonts w:hint="eastAsia" w:ascii="仿宋" w:hAnsi="仿宋" w:eastAsia="仿宋" w:cs="仿宋"/>
          <w:color w:val="auto"/>
          <w:sz w:val="21"/>
          <w:szCs w:val="21"/>
        </w:rPr>
        <w:t>。</w:t>
      </w:r>
    </w:p>
    <w:p w14:paraId="115648DB">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textAlignment w:val="auto"/>
        <w:rPr>
          <w:rFonts w:hint="eastAsia" w:ascii="仿宋" w:hAnsi="仿宋" w:eastAsia="仿宋" w:cs="仿宋"/>
          <w:color w:val="auto"/>
          <w:sz w:val="21"/>
          <w:szCs w:val="21"/>
          <w:lang w:val="en-US" w:eastAsia="zh-CN"/>
        </w:rPr>
      </w:pPr>
      <w:r>
        <w:rPr>
          <w:rFonts w:ascii="仿宋" w:hAnsi="仿宋" w:eastAsia="仿宋" w:cs="仿宋"/>
          <w:color w:val="auto"/>
          <w:sz w:val="21"/>
          <w:szCs w:val="21"/>
        </w:rPr>
        <w:t>3</w:t>
      </w:r>
      <w:r>
        <w:rPr>
          <w:rFonts w:hint="eastAsia" w:ascii="仿宋" w:hAnsi="仿宋" w:eastAsia="仿宋" w:cs="仿宋"/>
          <w:color w:val="auto"/>
          <w:sz w:val="21"/>
          <w:szCs w:val="21"/>
        </w:rPr>
        <w:t>、防蝇设施合格率大于或等于</w:t>
      </w:r>
      <w:r>
        <w:rPr>
          <w:rFonts w:hint="eastAsia" w:ascii="仿宋" w:hAnsi="仿宋" w:eastAsia="仿宋" w:cs="仿宋"/>
          <w:color w:val="auto"/>
          <w:sz w:val="21"/>
          <w:szCs w:val="21"/>
          <w:lang w:val="en-US" w:eastAsia="zh-CN"/>
        </w:rPr>
        <w:t>95</w:t>
      </w:r>
      <w:r>
        <w:rPr>
          <w:rFonts w:ascii="仿宋" w:hAnsi="仿宋" w:eastAsia="仿宋" w:cs="仿宋"/>
          <w:color w:val="auto"/>
          <w:sz w:val="21"/>
          <w:szCs w:val="21"/>
        </w:rPr>
        <w:t>%</w:t>
      </w:r>
      <w:r>
        <w:rPr>
          <w:rFonts w:hint="eastAsia" w:ascii="仿宋" w:hAnsi="仿宋" w:eastAsia="仿宋" w:cs="仿宋"/>
          <w:color w:val="auto"/>
          <w:sz w:val="21"/>
          <w:szCs w:val="21"/>
        </w:rPr>
        <w:t>。</w:t>
      </w:r>
      <w:r>
        <w:rPr>
          <w:rFonts w:hint="eastAsia" w:ascii="仿宋" w:hAnsi="仿宋" w:eastAsia="仿宋" w:cs="仿宋"/>
          <w:color w:val="auto"/>
          <w:sz w:val="21"/>
          <w:szCs w:val="21"/>
        </w:rPr>
        <w:br w:type="textWrapping"/>
      </w:r>
      <w:r>
        <w:rPr>
          <w:rFonts w:hint="eastAsia" w:ascii="黑体" w:hAnsi="黑体" w:eastAsia="黑体" w:cs="黑体"/>
          <w:b/>
          <w:color w:val="auto"/>
          <w:sz w:val="21"/>
          <w:szCs w:val="21"/>
          <w:lang w:val="en-US" w:eastAsia="zh-CN"/>
        </w:rPr>
        <w:t>五、服务费用支付方式</w:t>
      </w:r>
    </w:p>
    <w:p w14:paraId="676D0CF3">
      <w:pPr>
        <w:pStyle w:val="42"/>
        <w:keepNext w:val="0"/>
        <w:keepLines w:val="0"/>
        <w:pageBreakBefore w:val="0"/>
        <w:widowControl w:val="0"/>
        <w:kinsoku/>
        <w:wordWrap/>
        <w:overflowPunct/>
        <w:topLinePunct w:val="0"/>
        <w:autoSpaceDE/>
        <w:autoSpaceDN/>
        <w:bidi w:val="0"/>
        <w:adjustRightInd/>
        <w:snapToGrid/>
        <w:spacing w:line="240" w:lineRule="auto"/>
        <w:ind w:left="0" w:leftChars="0" w:firstLine="422" w:firstLineChars="200"/>
        <w:textAlignment w:val="auto"/>
        <w:rPr>
          <w:rFonts w:hint="eastAsia" w:ascii="楷体" w:hAnsi="楷体" w:eastAsia="楷体" w:cs="楷体"/>
          <w:b/>
          <w:bCs/>
          <w:color w:val="auto"/>
          <w:sz w:val="21"/>
          <w:szCs w:val="21"/>
          <w:lang w:val="en-US" w:eastAsia="zh-CN"/>
        </w:rPr>
      </w:pPr>
      <w:r>
        <w:rPr>
          <w:rFonts w:hint="eastAsia" w:ascii="楷体" w:hAnsi="楷体" w:eastAsia="楷体" w:cs="楷体"/>
          <w:b/>
          <w:bCs/>
          <w:color w:val="auto"/>
          <w:sz w:val="21"/>
          <w:szCs w:val="21"/>
          <w:lang w:val="en-US" w:eastAsia="zh-CN"/>
        </w:rPr>
        <w:t>（一）服务费用总额</w:t>
      </w:r>
    </w:p>
    <w:p w14:paraId="51E15E7E">
      <w:pPr>
        <w:pStyle w:val="42"/>
        <w:keepNext w:val="0"/>
        <w:keepLines w:val="0"/>
        <w:pageBreakBefore w:val="0"/>
        <w:widowControl w:val="0"/>
        <w:kinsoku/>
        <w:wordWrap/>
        <w:overflowPunct/>
        <w:topLinePunct w:val="0"/>
        <w:autoSpaceDE/>
        <w:autoSpaceDN/>
        <w:bidi w:val="0"/>
        <w:adjustRightInd/>
        <w:snapToGrid/>
        <w:spacing w:line="240" w:lineRule="auto"/>
        <w:ind w:left="2659" w:leftChars="266" w:hanging="2100" w:hangingChars="1000"/>
        <w:textAlignment w:val="auto"/>
        <w:rPr>
          <w:rFonts w:hint="eastAsia" w:ascii="仿宋" w:hAnsi="仿宋" w:eastAsia="仿宋" w:cs="仿宋"/>
          <w:color w:val="auto"/>
          <w:sz w:val="21"/>
          <w:szCs w:val="21"/>
          <w:u w:val="single"/>
          <w:lang w:val="en-US" w:eastAsia="zh-CN"/>
        </w:rPr>
      </w:pPr>
      <w:r>
        <w:rPr>
          <w:rFonts w:hint="eastAsia" w:ascii="仿宋" w:hAnsi="仿宋" w:eastAsia="仿宋" w:cs="仿宋"/>
          <w:color w:val="auto"/>
          <w:sz w:val="21"/>
          <w:szCs w:val="21"/>
          <w:lang w:val="en-US" w:eastAsia="zh-CN"/>
        </w:rPr>
        <w:t>防治承包经费的中标总金额为：三年共计人民帀</w:t>
      </w:r>
      <w:r>
        <w:rPr>
          <w:rFonts w:hint="eastAsia" w:ascii="仿宋" w:hAnsi="仿宋" w:eastAsia="仿宋" w:cs="仿宋"/>
          <w:color w:val="auto"/>
          <w:sz w:val="21"/>
          <w:szCs w:val="21"/>
          <w:u w:val="single"/>
          <w:lang w:val="en-US" w:eastAsia="zh-CN"/>
        </w:rPr>
        <w:t xml:space="preserve">            </w:t>
      </w:r>
    </w:p>
    <w:p w14:paraId="4B6CF390">
      <w:pPr>
        <w:pStyle w:val="4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u w:val="none"/>
          <w:lang w:val="en-US" w:eastAsia="zh-CN"/>
        </w:rPr>
      </w:pP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lang w:val="en-US" w:eastAsia="zh-CN"/>
        </w:rPr>
        <w:t>。每年度防治服务费为：</w:t>
      </w:r>
    </w:p>
    <w:p w14:paraId="55A0E873">
      <w:pPr>
        <w:pStyle w:val="4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仿宋" w:hAnsi="仿宋" w:eastAsia="仿宋" w:cs="仿宋"/>
          <w:color w:val="auto"/>
          <w:sz w:val="21"/>
          <w:szCs w:val="21"/>
          <w:u w:val="none"/>
          <w:lang w:val="en-US" w:eastAsia="zh-CN"/>
        </w:rPr>
      </w:pPr>
      <w:r>
        <w:rPr>
          <w:rFonts w:hint="eastAsia" w:ascii="仿宋" w:hAnsi="仿宋" w:eastAsia="仿宋" w:cs="仿宋"/>
          <w:color w:val="auto"/>
          <w:sz w:val="21"/>
          <w:szCs w:val="21"/>
          <w:u w:val="none"/>
          <w:lang w:val="en-US" w:eastAsia="zh-CN"/>
        </w:rPr>
        <w:t>服务费包含：消杀</w:t>
      </w:r>
      <w:r>
        <w:rPr>
          <w:rFonts w:hint="eastAsia" w:ascii="仿宋" w:hAnsi="仿宋" w:eastAsia="仿宋" w:cs="仿宋"/>
          <w:color w:val="000000" w:themeColor="text1"/>
          <w:sz w:val="21"/>
          <w:szCs w:val="21"/>
          <w:u w:val="none"/>
          <w:lang w:val="en-US" w:eastAsia="zh-CN"/>
          <w14:textFill>
            <w14:solidFill>
              <w14:schemeClr w14:val="tx1"/>
            </w14:solidFill>
          </w14:textFill>
        </w:rPr>
        <w:t>药品</w:t>
      </w:r>
      <w:r>
        <w:rPr>
          <w:rFonts w:hint="eastAsia" w:ascii="仿宋" w:hAnsi="仿宋" w:eastAsia="仿宋" w:cs="仿宋"/>
          <w:color w:val="auto"/>
          <w:sz w:val="21"/>
          <w:szCs w:val="21"/>
          <w:u w:val="none"/>
          <w:lang w:val="en-US" w:eastAsia="zh-CN"/>
        </w:rPr>
        <w:t>、消杀器械、人工费、灭鼠毒饵亭、灭鼠警示牌、利润、税收等各项费用。</w:t>
      </w:r>
    </w:p>
    <w:p w14:paraId="7DD40EC6">
      <w:pPr>
        <w:pStyle w:val="4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left"/>
        <w:textAlignment w:val="auto"/>
        <w:rPr>
          <w:rFonts w:hint="eastAsia" w:ascii="楷体" w:hAnsi="楷体" w:eastAsia="楷体" w:cs="楷体"/>
          <w:b/>
          <w:bCs/>
          <w:color w:val="auto"/>
          <w:sz w:val="21"/>
          <w:szCs w:val="21"/>
          <w:u w:val="none"/>
          <w:lang w:val="en-US" w:eastAsia="zh-CN"/>
        </w:rPr>
      </w:pPr>
      <w:r>
        <w:rPr>
          <w:rFonts w:hint="eastAsia" w:ascii="楷体" w:hAnsi="楷体" w:eastAsia="楷体" w:cs="楷体"/>
          <w:b/>
          <w:bCs/>
          <w:color w:val="auto"/>
          <w:sz w:val="21"/>
          <w:szCs w:val="21"/>
          <w:u w:val="none"/>
          <w:lang w:val="en-US" w:eastAsia="zh-CN"/>
        </w:rPr>
        <w:t>（二）服务费支付方式</w:t>
      </w:r>
    </w:p>
    <w:p w14:paraId="3803F274">
      <w:pPr>
        <w:pStyle w:val="4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color w:val="000000" w:themeColor="text1"/>
          <w:lang w:val="en-US" w:eastAsia="zh-CN"/>
          <w14:textFill>
            <w14:solidFill>
              <w14:schemeClr w14:val="tx1"/>
            </w14:solidFill>
          </w14:textFill>
        </w:rPr>
      </w:pPr>
      <w:r>
        <w:rPr>
          <w:rFonts w:hint="eastAsia" w:ascii="仿宋" w:hAnsi="仿宋" w:eastAsia="仿宋" w:cs="仿宋"/>
          <w:color w:val="000000" w:themeColor="text1"/>
          <w:sz w:val="21"/>
          <w:szCs w:val="21"/>
          <w:u w:val="none"/>
          <w:lang w:val="en-US" w:eastAsia="zh-CN"/>
          <w14:textFill>
            <w14:solidFill>
              <w14:schemeClr w14:val="tx1"/>
            </w14:solidFill>
          </w14:textFill>
        </w:rPr>
        <w:t>每年度病媒生物防治服务费按每半年结算、分两期支付方式执行：每半年服务费先行支付80%，剩余20%顺延至本项目下半年统一结清支付。</w:t>
      </w:r>
    </w:p>
    <w:p w14:paraId="0E95B870">
      <w:pPr>
        <w:pStyle w:val="4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themeColor="text1"/>
          <w:sz w:val="21"/>
          <w:szCs w:val="21"/>
          <w:u w:val="none"/>
          <w:lang w:val="en-US" w:eastAsia="zh-CN"/>
          <w14:textFill>
            <w14:solidFill>
              <w14:schemeClr w14:val="tx1"/>
            </w14:solidFill>
          </w14:textFill>
        </w:rPr>
      </w:pPr>
      <w:r>
        <w:rPr>
          <w:rFonts w:hint="eastAsia" w:ascii="仿宋" w:hAnsi="仿宋" w:eastAsia="仿宋" w:cs="仿宋"/>
          <w:color w:val="000000" w:themeColor="text1"/>
          <w:sz w:val="21"/>
          <w:szCs w:val="21"/>
          <w:u w:val="none"/>
          <w:lang w:val="en-US" w:eastAsia="zh-CN"/>
          <w14:textFill>
            <w14:solidFill>
              <w14:schemeClr w14:val="tx1"/>
            </w14:solidFill>
          </w14:textFill>
        </w:rPr>
        <w:t>支付依据如下：</w:t>
      </w:r>
    </w:p>
    <w:p w14:paraId="0757342D">
      <w:pPr>
        <w:pStyle w:val="4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themeColor="text1"/>
          <w:sz w:val="21"/>
          <w:szCs w:val="21"/>
          <w:u w:val="none"/>
          <w:lang w:val="en-US" w:eastAsia="zh-CN"/>
          <w14:textFill>
            <w14:solidFill>
              <w14:schemeClr w14:val="tx1"/>
            </w14:solidFill>
          </w14:textFill>
        </w:rPr>
      </w:pPr>
      <w:r>
        <w:rPr>
          <w:rFonts w:hint="eastAsia" w:ascii="仿宋" w:hAnsi="仿宋" w:eastAsia="仿宋" w:cs="仿宋"/>
          <w:color w:val="000000" w:themeColor="text1"/>
          <w:sz w:val="21"/>
          <w:szCs w:val="21"/>
          <w:u w:val="none"/>
          <w:lang w:val="en-US" w:eastAsia="zh-CN"/>
          <w14:textFill>
            <w14:solidFill>
              <w14:schemeClr w14:val="tx1"/>
            </w14:solidFill>
          </w14:textFill>
        </w:rPr>
        <w:t>（1）年度内有上级爱卫办对本县病媒生物防制相关工作复查验收的，以复查验收达标（合格）报告作为费用结算支付依据；</w:t>
      </w:r>
    </w:p>
    <w:p w14:paraId="3158C7B8">
      <w:pPr>
        <w:pStyle w:val="4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themeColor="text1"/>
          <w:sz w:val="21"/>
          <w:szCs w:val="21"/>
          <w:u w:val="none"/>
          <w:lang w:val="en-US" w:eastAsia="zh-CN"/>
          <w14:textFill>
            <w14:solidFill>
              <w14:schemeClr w14:val="tx1"/>
            </w14:solidFill>
          </w14:textFill>
        </w:rPr>
      </w:pPr>
      <w:r>
        <w:rPr>
          <w:rFonts w:hint="eastAsia" w:ascii="仿宋" w:hAnsi="仿宋" w:eastAsia="仿宋" w:cs="仿宋"/>
          <w:color w:val="000000" w:themeColor="text1"/>
          <w:sz w:val="21"/>
          <w:szCs w:val="21"/>
          <w:u w:val="none"/>
          <w:lang w:val="en-US" w:eastAsia="zh-CN"/>
          <w14:textFill>
            <w14:solidFill>
              <w14:schemeClr w14:val="tx1"/>
            </w14:solidFill>
          </w14:textFill>
        </w:rPr>
        <w:t>（2）若年度内无上级复查验收任务，以上级爱卫办或市级及以上除四害专家检查监测出具的病媒生物防制验收达标（合格）报告书作为支付依据。若国家卫生城市复审未通过，或省、市、县各级各类检查验收不合格的，当年度仅支付承包服务费的50%。本项目为总价包干制，采购人不再另行支付任何其他费用。</w:t>
      </w:r>
    </w:p>
    <w:p w14:paraId="798443FF">
      <w:pPr>
        <w:pStyle w:val="4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themeColor="text1"/>
          <w:sz w:val="21"/>
          <w:szCs w:val="21"/>
          <w:u w:val="none"/>
          <w:lang w:val="en-US" w:eastAsia="zh-CN"/>
          <w14:textFill>
            <w14:solidFill>
              <w14:schemeClr w14:val="tx1"/>
            </w14:solidFill>
          </w14:textFill>
        </w:rPr>
      </w:pPr>
      <w:r>
        <w:rPr>
          <w:rFonts w:hint="eastAsia" w:ascii="仿宋" w:hAnsi="仿宋" w:eastAsia="仿宋" w:cs="仿宋"/>
          <w:color w:val="000000" w:themeColor="text1"/>
          <w:sz w:val="21"/>
          <w:szCs w:val="21"/>
          <w:u w:val="none"/>
          <w:lang w:val="en-US" w:eastAsia="zh-CN"/>
          <w14:textFill>
            <w14:solidFill>
              <w14:schemeClr w14:val="tx1"/>
            </w14:solidFill>
          </w14:textFill>
        </w:rPr>
        <w:t>（3）每半年以县卫健局、爱卫办季度考核结果作为结算扣款依据：考核分值95分（含95分）以上不扣分；90分（含）—95分，每低1分扣1个百分点；85分（含）—90分，每低1分扣2个百分点；80分（含）—85分，每低1分扣3个百分点；半年考核分值80分以下视为不合格，扣除当半年承包服务费的50%。</w:t>
      </w:r>
    </w:p>
    <w:p w14:paraId="32D7FCE4">
      <w:pPr>
        <w:pStyle w:val="4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themeColor="text1"/>
          <w:sz w:val="21"/>
          <w:szCs w:val="21"/>
          <w:u w:val="none"/>
          <w:lang w:val="en-US" w:eastAsia="zh-CN"/>
          <w14:textFill>
            <w14:solidFill>
              <w14:schemeClr w14:val="tx1"/>
            </w14:solidFill>
          </w14:textFill>
        </w:rPr>
      </w:pPr>
      <w:r>
        <w:rPr>
          <w:rFonts w:hint="eastAsia" w:ascii="仿宋" w:hAnsi="仿宋" w:eastAsia="仿宋" w:cs="仿宋"/>
          <w:color w:val="000000" w:themeColor="text1"/>
          <w:sz w:val="21"/>
          <w:szCs w:val="21"/>
          <w:u w:val="none"/>
          <w:lang w:val="en-US" w:eastAsia="zh-CN"/>
          <w14:textFill>
            <w14:solidFill>
              <w14:schemeClr w14:val="tx1"/>
            </w14:solidFill>
          </w14:textFill>
        </w:rPr>
        <w:t>（4）服务期间若出现居民集中、频繁投诉情况，甲方有权视情节酌情予以扣款。</w:t>
      </w:r>
    </w:p>
    <w:p w14:paraId="1B2C7463">
      <w:pPr>
        <w:pStyle w:val="4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left"/>
        <w:textAlignment w:val="auto"/>
        <w:rPr>
          <w:rFonts w:hint="eastAsia" w:ascii="黑体" w:hAnsi="黑体" w:eastAsia="黑体" w:cs="黑体"/>
          <w:b/>
          <w:color w:val="auto"/>
          <w:kern w:val="2"/>
          <w:sz w:val="21"/>
          <w:szCs w:val="21"/>
          <w:lang w:val="en-US" w:eastAsia="zh-CN" w:bidi="ar-SA"/>
        </w:rPr>
      </w:pPr>
      <w:r>
        <w:rPr>
          <w:rFonts w:hint="eastAsia" w:ascii="黑体" w:hAnsi="黑体" w:eastAsia="黑体" w:cs="黑体"/>
          <w:b/>
          <w:color w:val="auto"/>
          <w:kern w:val="2"/>
          <w:sz w:val="21"/>
          <w:szCs w:val="21"/>
          <w:lang w:val="en-US" w:eastAsia="zh-CN" w:bidi="ar-SA"/>
        </w:rPr>
        <w:t>六、双方的职责和义务</w:t>
      </w:r>
    </w:p>
    <w:p w14:paraId="37275CE2">
      <w:pPr>
        <w:pStyle w:val="4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left"/>
        <w:textAlignment w:val="auto"/>
        <w:rPr>
          <w:rFonts w:hint="eastAsia" w:ascii="楷体" w:hAnsi="楷体" w:eastAsia="楷体" w:cs="楷体"/>
          <w:b/>
          <w:bCs/>
          <w:color w:val="auto"/>
          <w:sz w:val="21"/>
          <w:szCs w:val="21"/>
          <w:u w:val="none"/>
          <w:lang w:val="en-US" w:eastAsia="zh-CN"/>
        </w:rPr>
      </w:pPr>
      <w:r>
        <w:rPr>
          <w:rFonts w:hint="eastAsia" w:ascii="楷体" w:hAnsi="楷体" w:eastAsia="楷体" w:cs="楷体"/>
          <w:b/>
          <w:bCs/>
          <w:color w:val="auto"/>
          <w:sz w:val="21"/>
          <w:szCs w:val="21"/>
          <w:u w:val="none"/>
          <w:lang w:val="en-US" w:eastAsia="zh-CN"/>
        </w:rPr>
        <w:t>（一）甲方的职责和义务</w:t>
      </w:r>
    </w:p>
    <w:p w14:paraId="3000FE9A">
      <w:pPr>
        <w:pStyle w:val="4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color w:val="auto"/>
          <w:sz w:val="21"/>
          <w:szCs w:val="21"/>
          <w:u w:val="none"/>
          <w:lang w:val="en-US" w:eastAsia="zh-CN"/>
        </w:rPr>
      </w:pPr>
      <w:r>
        <w:rPr>
          <w:rFonts w:hint="eastAsia" w:ascii="仿宋" w:hAnsi="仿宋" w:eastAsia="仿宋" w:cs="仿宋"/>
          <w:color w:val="auto"/>
          <w:sz w:val="21"/>
          <w:szCs w:val="21"/>
          <w:u w:val="none"/>
          <w:lang w:val="en-US" w:eastAsia="zh-CN"/>
        </w:rPr>
        <w:t>1、审定乙方拟订的消杀技术方案和实施方案。并制定检查监督考评细则。</w:t>
      </w:r>
    </w:p>
    <w:p w14:paraId="6F4BE84E">
      <w:pPr>
        <w:pStyle w:val="4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color w:val="auto"/>
          <w:sz w:val="21"/>
          <w:szCs w:val="21"/>
          <w:u w:val="none"/>
          <w:lang w:val="en-US" w:eastAsia="zh-CN"/>
        </w:rPr>
      </w:pPr>
      <w:r>
        <w:rPr>
          <w:rFonts w:hint="eastAsia" w:ascii="仿宋" w:hAnsi="仿宋" w:eastAsia="仿宋" w:cs="仿宋"/>
          <w:color w:val="auto"/>
          <w:sz w:val="21"/>
          <w:szCs w:val="21"/>
          <w:u w:val="none"/>
          <w:lang w:val="en-US" w:eastAsia="zh-CN"/>
        </w:rPr>
        <w:t>2、检查监督乙方消杀工作的实施及制度的执行情况。</w:t>
      </w:r>
    </w:p>
    <w:p w14:paraId="5A5C5695">
      <w:pPr>
        <w:pStyle w:val="4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color w:val="auto"/>
          <w:sz w:val="21"/>
          <w:szCs w:val="21"/>
          <w:u w:val="none"/>
          <w:lang w:val="en-US" w:eastAsia="zh-CN"/>
        </w:rPr>
      </w:pPr>
      <w:r>
        <w:rPr>
          <w:rFonts w:hint="eastAsia" w:ascii="仿宋" w:hAnsi="仿宋" w:eastAsia="仿宋" w:cs="仿宋"/>
          <w:color w:val="auto"/>
          <w:sz w:val="21"/>
          <w:szCs w:val="21"/>
          <w:u w:val="none"/>
          <w:lang w:val="en-US" w:eastAsia="zh-CN"/>
        </w:rPr>
        <w:t>3、有权对乙方的服务工作质量进行监督检查，对不符合服务标准的服务，提出整改意见。对限期整改不到位的，则终止合同。</w:t>
      </w:r>
    </w:p>
    <w:p w14:paraId="72FA27F8">
      <w:pPr>
        <w:pStyle w:val="4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color w:val="auto"/>
          <w:sz w:val="21"/>
          <w:szCs w:val="21"/>
          <w:u w:val="none"/>
          <w:lang w:val="en-US" w:eastAsia="zh-CN"/>
        </w:rPr>
      </w:pPr>
      <w:r>
        <w:rPr>
          <w:rFonts w:hint="eastAsia" w:ascii="仿宋" w:hAnsi="仿宋" w:eastAsia="仿宋" w:cs="仿宋"/>
          <w:color w:val="auto"/>
          <w:sz w:val="21"/>
          <w:szCs w:val="21"/>
          <w:u w:val="none"/>
          <w:lang w:val="en-US" w:eastAsia="zh-CN"/>
        </w:rPr>
        <w:t>4、甲方为乙方服务人员开展服务工作，提供工作便利，加强宣传，加强配合及联络。</w:t>
      </w:r>
    </w:p>
    <w:p w14:paraId="0969A99B">
      <w:pPr>
        <w:pStyle w:val="4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color w:val="auto"/>
          <w:sz w:val="21"/>
          <w:szCs w:val="21"/>
          <w:u w:val="none"/>
          <w:lang w:val="en-US" w:eastAsia="zh-CN"/>
        </w:rPr>
      </w:pPr>
      <w:r>
        <w:rPr>
          <w:rFonts w:hint="eastAsia" w:ascii="仿宋" w:hAnsi="仿宋" w:eastAsia="仿宋" w:cs="仿宋"/>
          <w:color w:val="auto"/>
          <w:sz w:val="21"/>
          <w:szCs w:val="21"/>
          <w:u w:val="none"/>
          <w:lang w:val="en-US" w:eastAsia="zh-CN"/>
        </w:rPr>
        <w:t>5、若乙方没有按相关技术要求及标准进行操作，甲方要求乙方进行整改到位。对限期整改不到位的，甲方按次在考核中予以扣负，情况严重拒不整改的，甲方可单方面终止合同。</w:t>
      </w:r>
    </w:p>
    <w:p w14:paraId="471D259E">
      <w:pPr>
        <w:pStyle w:val="4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楷体" w:hAnsi="楷体" w:eastAsia="楷体" w:cs="楷体"/>
          <w:b/>
          <w:bCs/>
          <w:color w:val="auto"/>
          <w:sz w:val="21"/>
          <w:szCs w:val="21"/>
          <w:u w:val="none"/>
          <w:lang w:val="en-US" w:eastAsia="zh-CN"/>
        </w:rPr>
      </w:pPr>
      <w:r>
        <w:rPr>
          <w:rFonts w:hint="eastAsia" w:ascii="楷体" w:hAnsi="楷体" w:eastAsia="楷体" w:cs="楷体"/>
          <w:b/>
          <w:bCs/>
          <w:color w:val="auto"/>
          <w:sz w:val="21"/>
          <w:szCs w:val="21"/>
          <w:u w:val="none"/>
          <w:lang w:val="en-US" w:eastAsia="zh-CN"/>
        </w:rPr>
        <w:t>（二）乙方的职责和义务</w:t>
      </w:r>
    </w:p>
    <w:p w14:paraId="54F908DC">
      <w:pPr>
        <w:pStyle w:val="11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firstLine="420" w:firstLineChars="200"/>
        <w:jc w:val="both"/>
        <w:textAlignment w:val="auto"/>
        <w:rPr>
          <w:rFonts w:hint="eastAsia" w:ascii="仿宋" w:hAnsi="仿宋" w:eastAsia="仿宋" w:cs="仿宋"/>
          <w:color w:val="auto"/>
          <w:sz w:val="21"/>
          <w:szCs w:val="21"/>
        </w:rPr>
      </w:pPr>
      <w:r>
        <w:rPr>
          <w:rFonts w:hint="eastAsia" w:ascii="仿宋" w:hAnsi="仿宋" w:eastAsia="仿宋" w:cs="仿宋"/>
          <w:color w:val="auto"/>
          <w:spacing w:val="0"/>
          <w:w w:val="100"/>
          <w:position w:val="0"/>
          <w:sz w:val="21"/>
          <w:szCs w:val="21"/>
          <w:lang w:val="en-US" w:eastAsia="zh-CN" w:bidi="zh-CN"/>
        </w:rPr>
        <w:t>1、</w:t>
      </w:r>
      <w:r>
        <w:rPr>
          <w:rFonts w:hint="eastAsia" w:ascii="仿宋" w:hAnsi="仿宋" w:eastAsia="仿宋" w:cs="仿宋"/>
          <w:color w:val="auto"/>
          <w:sz w:val="21"/>
          <w:szCs w:val="21"/>
          <w:u w:val="none"/>
          <w:lang w:val="en-US" w:eastAsia="zh-CN"/>
        </w:rPr>
        <w:t>坚持贯彻“预防为主、防制结合、综合治理”的方针，坚持“以人为本、科学治理、注重实效”</w:t>
      </w:r>
      <w:r>
        <w:rPr>
          <w:rFonts w:hint="eastAsia" w:ascii="仿宋" w:hAnsi="仿宋" w:eastAsia="仿宋" w:cs="仿宋"/>
          <w:color w:val="auto"/>
          <w:spacing w:val="0"/>
          <w:w w:val="100"/>
          <w:position w:val="0"/>
          <w:sz w:val="21"/>
          <w:szCs w:val="21"/>
          <w:lang w:val="zh-CN" w:eastAsia="zh-CN" w:bidi="zh-CN"/>
        </w:rPr>
        <w:t>的工作原则，高标准、严要求，确保项目预期的目标的实现。</w:t>
      </w:r>
    </w:p>
    <w:p w14:paraId="741F73F4">
      <w:pPr>
        <w:pStyle w:val="116"/>
        <w:keepNext w:val="0"/>
        <w:keepLines w:val="0"/>
        <w:pageBreakBefore w:val="0"/>
        <w:widowControl w:val="0"/>
        <w:shd w:val="clear" w:color="auto" w:fill="auto"/>
        <w:tabs>
          <w:tab w:val="left" w:pos="1066"/>
        </w:tabs>
        <w:kinsoku/>
        <w:wordWrap/>
        <w:overflowPunct/>
        <w:topLinePunct w:val="0"/>
        <w:autoSpaceDE/>
        <w:autoSpaceDN/>
        <w:bidi w:val="0"/>
        <w:adjustRightInd/>
        <w:snapToGrid/>
        <w:spacing w:before="0" w:after="0" w:line="240" w:lineRule="auto"/>
        <w:ind w:right="0" w:firstLine="420" w:firstLineChars="200"/>
        <w:jc w:val="both"/>
        <w:textAlignment w:val="auto"/>
        <w:rPr>
          <w:rFonts w:hint="eastAsia" w:ascii="仿宋" w:hAnsi="仿宋" w:eastAsia="仿宋" w:cs="仿宋"/>
          <w:color w:val="auto"/>
          <w:spacing w:val="0"/>
          <w:w w:val="100"/>
          <w:position w:val="0"/>
          <w:sz w:val="21"/>
          <w:szCs w:val="21"/>
          <w:lang w:val="zh-CN" w:eastAsia="zh-CN" w:bidi="zh-CN"/>
        </w:rPr>
      </w:pPr>
      <w:r>
        <w:rPr>
          <w:rFonts w:hint="eastAsia" w:ascii="仿宋" w:hAnsi="仿宋" w:eastAsia="仿宋" w:cs="仿宋"/>
          <w:color w:val="auto"/>
          <w:spacing w:val="0"/>
          <w:w w:val="100"/>
          <w:position w:val="0"/>
          <w:sz w:val="21"/>
          <w:szCs w:val="21"/>
          <w:lang w:val="en-US" w:eastAsia="zh-CN" w:bidi="zh-CN"/>
        </w:rPr>
        <w:t>2、</w:t>
      </w:r>
      <w:r>
        <w:rPr>
          <w:rFonts w:hint="eastAsia" w:ascii="仿宋" w:hAnsi="仿宋" w:eastAsia="仿宋" w:cs="仿宋"/>
          <w:color w:val="auto"/>
          <w:spacing w:val="0"/>
          <w:w w:val="100"/>
          <w:position w:val="0"/>
          <w:sz w:val="21"/>
          <w:szCs w:val="21"/>
          <w:lang w:val="zh-CN" w:eastAsia="zh-CN" w:bidi="zh-CN"/>
        </w:rPr>
        <w:t>尽职尽责，科学操作；讲求实效，保证项目达到标准要求。</w:t>
      </w:r>
      <w:r>
        <w:rPr>
          <w:rFonts w:hint="eastAsia" w:ascii="仿宋" w:hAnsi="仿宋" w:eastAsia="仿宋" w:cs="仿宋"/>
          <w:color w:val="auto"/>
          <w:spacing w:val="0"/>
          <w:w w:val="100"/>
          <w:position w:val="0"/>
          <w:sz w:val="21"/>
          <w:szCs w:val="21"/>
          <w:lang w:val="zh-CN" w:eastAsia="zh-CN" w:bidi="zh-CN"/>
        </w:rPr>
        <w:br w:type="textWrapping"/>
      </w:r>
      <w:r>
        <w:rPr>
          <w:rFonts w:hint="eastAsia" w:ascii="仿宋" w:hAnsi="仿宋" w:eastAsia="仿宋" w:cs="仿宋"/>
          <w:color w:val="auto"/>
          <w:spacing w:val="0"/>
          <w:w w:val="100"/>
          <w:position w:val="0"/>
          <w:sz w:val="21"/>
          <w:szCs w:val="21"/>
          <w:lang w:val="en-US" w:eastAsia="zh-CN" w:bidi="zh-CN"/>
        </w:rPr>
        <w:t xml:space="preserve">    3、</w:t>
      </w:r>
      <w:r>
        <w:rPr>
          <w:rFonts w:hint="eastAsia" w:ascii="仿宋" w:hAnsi="仿宋" w:eastAsia="仿宋" w:cs="仿宋"/>
          <w:color w:val="auto"/>
          <w:spacing w:val="0"/>
          <w:w w:val="100"/>
          <w:position w:val="0"/>
          <w:sz w:val="21"/>
          <w:szCs w:val="21"/>
          <w:lang w:val="zh-CN" w:eastAsia="zh-CN" w:bidi="zh-CN"/>
        </w:rPr>
        <w:t>科学用药，不使用国家禁用或伪劣的灭鼠、杀虫剂，所使用 的药械须符合国家标准，并提供其相关三证或检测报告书。安全操作， 药物投放不裸露在外面，不污染环境，确保人畜安全，因投药不当，被人畜误食引起的安全事故则由乙方负责。</w:t>
      </w:r>
    </w:p>
    <w:p w14:paraId="75C26ED3">
      <w:pPr>
        <w:pStyle w:val="116"/>
        <w:keepNext w:val="0"/>
        <w:keepLines w:val="0"/>
        <w:pageBreakBefore w:val="0"/>
        <w:widowControl w:val="0"/>
        <w:shd w:val="clear" w:color="auto" w:fill="auto"/>
        <w:tabs>
          <w:tab w:val="left" w:pos="1066"/>
        </w:tabs>
        <w:kinsoku/>
        <w:wordWrap/>
        <w:overflowPunct/>
        <w:topLinePunct w:val="0"/>
        <w:autoSpaceDE/>
        <w:autoSpaceDN/>
        <w:bidi w:val="0"/>
        <w:adjustRightInd/>
        <w:snapToGrid/>
        <w:spacing w:before="0" w:after="0" w:line="240" w:lineRule="auto"/>
        <w:ind w:right="0" w:firstLine="420" w:firstLineChars="200"/>
        <w:jc w:val="both"/>
        <w:textAlignment w:val="auto"/>
        <w:rPr>
          <w:rFonts w:hint="eastAsia" w:ascii="仿宋" w:hAnsi="仿宋" w:eastAsia="仿宋" w:cs="仿宋"/>
          <w:color w:val="auto"/>
          <w:spacing w:val="0"/>
          <w:w w:val="100"/>
          <w:position w:val="0"/>
          <w:sz w:val="21"/>
          <w:szCs w:val="21"/>
          <w:lang w:val="en-US" w:eastAsia="zh-CN" w:bidi="zh-CN"/>
        </w:rPr>
      </w:pPr>
      <w:r>
        <w:rPr>
          <w:rFonts w:hint="eastAsia" w:ascii="仿宋" w:hAnsi="仿宋" w:eastAsia="仿宋" w:cs="仿宋"/>
          <w:color w:val="auto"/>
          <w:spacing w:val="0"/>
          <w:w w:val="100"/>
          <w:position w:val="0"/>
          <w:sz w:val="21"/>
          <w:szCs w:val="21"/>
          <w:lang w:val="en-US" w:eastAsia="zh-CN" w:bidi="zh-CN"/>
        </w:rPr>
        <w:t xml:space="preserve"> 4、</w:t>
      </w:r>
      <w:r>
        <w:rPr>
          <w:rFonts w:hint="eastAsia" w:ascii="仿宋" w:hAnsi="仿宋" w:eastAsia="仿宋" w:cs="仿宋"/>
          <w:color w:val="auto"/>
          <w:spacing w:val="0"/>
          <w:w w:val="100"/>
          <w:position w:val="0"/>
          <w:sz w:val="21"/>
          <w:szCs w:val="21"/>
          <w:lang w:val="zh-CN" w:eastAsia="zh-CN" w:bidi="zh-CN"/>
        </w:rPr>
        <w:t>需做好密度监测，做好各种规范的监测记录，制定科学合理 有实效的技术方案、工作计划、用药计划等。</w:t>
      </w:r>
      <w:r>
        <w:rPr>
          <w:rFonts w:hint="eastAsia" w:ascii="仿宋" w:hAnsi="仿宋" w:eastAsia="仿宋" w:cs="仿宋"/>
          <w:color w:val="auto"/>
          <w:spacing w:val="0"/>
          <w:w w:val="100"/>
          <w:position w:val="0"/>
          <w:sz w:val="21"/>
          <w:szCs w:val="21"/>
          <w:lang w:val="en-US" w:eastAsia="zh-CN" w:bidi="zh-CN"/>
        </w:rPr>
        <w:t xml:space="preserve">  </w:t>
      </w:r>
      <w:r>
        <w:rPr>
          <w:rFonts w:hint="eastAsia" w:ascii="仿宋" w:hAnsi="仿宋" w:eastAsia="仿宋" w:cs="仿宋"/>
          <w:color w:val="auto"/>
          <w:spacing w:val="0"/>
          <w:w w:val="100"/>
          <w:position w:val="0"/>
          <w:sz w:val="21"/>
          <w:szCs w:val="21"/>
          <w:lang w:val="en-US" w:eastAsia="zh-CN" w:bidi="zh-CN"/>
        </w:rPr>
        <w:br w:type="textWrapping"/>
      </w:r>
      <w:r>
        <w:rPr>
          <w:rFonts w:hint="eastAsia" w:ascii="仿宋" w:hAnsi="仿宋" w:eastAsia="仿宋" w:cs="仿宋"/>
          <w:color w:val="auto"/>
          <w:spacing w:val="0"/>
          <w:w w:val="100"/>
          <w:position w:val="0"/>
          <w:sz w:val="21"/>
          <w:szCs w:val="21"/>
          <w:lang w:val="en-US" w:eastAsia="zh-CN" w:bidi="zh-CN"/>
        </w:rPr>
        <w:t xml:space="preserve">     5、做好工作台帐，建立施药服务卡，做好资料收集、整理归档。</w:t>
      </w:r>
    </w:p>
    <w:p w14:paraId="7FC1E2FA">
      <w:pPr>
        <w:pStyle w:val="116"/>
        <w:keepNext w:val="0"/>
        <w:keepLines w:val="0"/>
        <w:pageBreakBefore w:val="0"/>
        <w:widowControl w:val="0"/>
        <w:shd w:val="clear" w:color="auto" w:fill="auto"/>
        <w:tabs>
          <w:tab w:val="left" w:pos="1066"/>
        </w:tabs>
        <w:kinsoku/>
        <w:wordWrap/>
        <w:overflowPunct/>
        <w:topLinePunct w:val="0"/>
        <w:autoSpaceDE/>
        <w:autoSpaceDN/>
        <w:bidi w:val="0"/>
        <w:adjustRightInd/>
        <w:snapToGrid/>
        <w:spacing w:before="0" w:after="0" w:line="240" w:lineRule="auto"/>
        <w:ind w:right="0" w:firstLine="420" w:firstLineChars="200"/>
        <w:jc w:val="both"/>
        <w:textAlignment w:val="auto"/>
        <w:rPr>
          <w:rFonts w:hint="eastAsia" w:ascii="仿宋" w:hAnsi="仿宋" w:eastAsia="仿宋" w:cs="仿宋"/>
          <w:color w:val="auto"/>
          <w:spacing w:val="0"/>
          <w:w w:val="100"/>
          <w:position w:val="0"/>
          <w:sz w:val="21"/>
          <w:szCs w:val="21"/>
          <w:lang w:val="en-US" w:eastAsia="zh-CN" w:bidi="zh-CN"/>
        </w:rPr>
      </w:pPr>
      <w:r>
        <w:rPr>
          <w:rFonts w:hint="eastAsia" w:ascii="仿宋" w:hAnsi="仿宋" w:eastAsia="仿宋" w:cs="仿宋"/>
          <w:color w:val="auto"/>
          <w:spacing w:val="0"/>
          <w:w w:val="100"/>
          <w:position w:val="0"/>
          <w:sz w:val="21"/>
          <w:szCs w:val="21"/>
          <w:lang w:val="en-US" w:eastAsia="zh-CN" w:bidi="zh-CN"/>
        </w:rPr>
        <w:t>6、投标人负责提供本项目中采购人所需要的灭鼠灭蟑灭蚊蝇药物消杀及技术服务，确保城区病媒生物防治指标达标通过。接受爱卫部门和采购人的监督指导，不断改进工作。</w:t>
      </w:r>
    </w:p>
    <w:p w14:paraId="5DE10BE8">
      <w:pPr>
        <w:pStyle w:val="116"/>
        <w:keepNext w:val="0"/>
        <w:keepLines w:val="0"/>
        <w:pageBreakBefore w:val="0"/>
        <w:widowControl w:val="0"/>
        <w:shd w:val="clear" w:color="auto" w:fill="auto"/>
        <w:tabs>
          <w:tab w:val="left" w:pos="1066"/>
        </w:tabs>
        <w:kinsoku/>
        <w:wordWrap/>
        <w:overflowPunct/>
        <w:topLinePunct w:val="0"/>
        <w:autoSpaceDE/>
        <w:autoSpaceDN/>
        <w:bidi w:val="0"/>
        <w:adjustRightInd/>
        <w:snapToGrid/>
        <w:spacing w:before="0" w:after="0" w:line="240" w:lineRule="auto"/>
        <w:ind w:right="0" w:firstLine="420" w:firstLineChars="200"/>
        <w:jc w:val="both"/>
        <w:textAlignment w:val="auto"/>
        <w:rPr>
          <w:rFonts w:hint="eastAsia" w:ascii="仿宋" w:hAnsi="仿宋" w:eastAsia="仿宋" w:cs="仿宋"/>
          <w:color w:val="auto"/>
          <w:spacing w:val="0"/>
          <w:w w:val="100"/>
          <w:position w:val="0"/>
          <w:sz w:val="21"/>
          <w:szCs w:val="21"/>
          <w:lang w:val="en-US" w:eastAsia="zh-CN" w:bidi="zh-CN"/>
        </w:rPr>
      </w:pPr>
      <w:r>
        <w:rPr>
          <w:rFonts w:hint="eastAsia" w:ascii="仿宋" w:hAnsi="仿宋" w:eastAsia="仿宋" w:cs="仿宋"/>
          <w:color w:val="auto"/>
          <w:spacing w:val="0"/>
          <w:w w:val="100"/>
          <w:position w:val="0"/>
          <w:sz w:val="21"/>
          <w:szCs w:val="21"/>
          <w:lang w:val="en-US" w:eastAsia="zh-CN" w:bidi="zh-CN"/>
        </w:rPr>
        <w:t>7、发生相关疫情或上级检查需要在本项目服务范围开展应急消杀时，应无条件提供人力、药物、器械参与消杀，服从指挥。非本辖区需要支援开展应急消杀时，要服从发包方部门安排，抽调一定数量人员、药物、器械参加。</w:t>
      </w:r>
    </w:p>
    <w:p w14:paraId="49121471">
      <w:pPr>
        <w:pStyle w:val="116"/>
        <w:keepNext w:val="0"/>
        <w:keepLines w:val="0"/>
        <w:pageBreakBefore w:val="0"/>
        <w:widowControl w:val="0"/>
        <w:shd w:val="clear" w:color="auto" w:fill="auto"/>
        <w:tabs>
          <w:tab w:val="left" w:pos="1066"/>
        </w:tabs>
        <w:kinsoku/>
        <w:wordWrap/>
        <w:overflowPunct/>
        <w:topLinePunct w:val="0"/>
        <w:autoSpaceDE/>
        <w:autoSpaceDN/>
        <w:bidi w:val="0"/>
        <w:adjustRightInd/>
        <w:snapToGrid/>
        <w:spacing w:before="0" w:after="0" w:line="240" w:lineRule="auto"/>
        <w:ind w:right="0" w:firstLine="420" w:firstLineChars="200"/>
        <w:jc w:val="both"/>
        <w:textAlignment w:val="auto"/>
        <w:rPr>
          <w:rFonts w:hint="eastAsia" w:ascii="仿宋" w:hAnsi="仿宋" w:eastAsia="仿宋" w:cs="仿宋"/>
          <w:color w:val="auto"/>
          <w:spacing w:val="0"/>
          <w:w w:val="100"/>
          <w:position w:val="0"/>
          <w:sz w:val="21"/>
          <w:szCs w:val="21"/>
          <w:lang w:val="en-US" w:eastAsia="zh-CN" w:bidi="zh-CN"/>
        </w:rPr>
      </w:pPr>
      <w:r>
        <w:rPr>
          <w:rFonts w:hint="eastAsia" w:ascii="仿宋" w:hAnsi="仿宋" w:eastAsia="仿宋" w:cs="仿宋"/>
          <w:color w:val="auto"/>
          <w:spacing w:val="0"/>
          <w:w w:val="100"/>
          <w:position w:val="0"/>
          <w:sz w:val="21"/>
          <w:szCs w:val="21"/>
          <w:lang w:val="en-US" w:eastAsia="zh-CN" w:bidi="zh-CN"/>
        </w:rPr>
        <w:t>8、坚持孳生地分布及密度检测，按要求做好各种规范的检测记录，制定科学的年度、季度工作计划，包括技术方案、工作方法、用药计划等。</w:t>
      </w:r>
    </w:p>
    <w:p w14:paraId="2AAF6202">
      <w:pPr>
        <w:pStyle w:val="116"/>
        <w:keepNext w:val="0"/>
        <w:keepLines w:val="0"/>
        <w:pageBreakBefore w:val="0"/>
        <w:widowControl w:val="0"/>
        <w:shd w:val="clear" w:color="auto" w:fill="auto"/>
        <w:tabs>
          <w:tab w:val="left" w:pos="1066"/>
        </w:tabs>
        <w:kinsoku/>
        <w:wordWrap/>
        <w:overflowPunct/>
        <w:topLinePunct w:val="0"/>
        <w:autoSpaceDE/>
        <w:autoSpaceDN/>
        <w:bidi w:val="0"/>
        <w:adjustRightInd/>
        <w:snapToGrid/>
        <w:spacing w:before="0" w:after="0" w:line="240" w:lineRule="auto"/>
        <w:ind w:right="0" w:firstLine="420" w:firstLineChars="200"/>
        <w:jc w:val="both"/>
        <w:textAlignment w:val="auto"/>
        <w:rPr>
          <w:rFonts w:hint="eastAsia" w:ascii="仿宋" w:hAnsi="仿宋" w:eastAsia="仿宋" w:cs="仿宋"/>
          <w:color w:val="auto"/>
          <w:spacing w:val="0"/>
          <w:w w:val="100"/>
          <w:position w:val="0"/>
          <w:sz w:val="21"/>
          <w:szCs w:val="21"/>
          <w:lang w:val="en-US" w:eastAsia="zh-CN" w:bidi="zh-CN"/>
        </w:rPr>
      </w:pPr>
      <w:r>
        <w:rPr>
          <w:rFonts w:hint="eastAsia" w:ascii="仿宋" w:hAnsi="仿宋" w:eastAsia="仿宋" w:cs="仿宋"/>
          <w:color w:val="auto"/>
          <w:spacing w:val="0"/>
          <w:w w:val="100"/>
          <w:position w:val="0"/>
          <w:sz w:val="21"/>
          <w:szCs w:val="21"/>
          <w:lang w:val="en-US" w:eastAsia="zh-CN" w:bidi="zh-CN"/>
        </w:rPr>
        <w:t>9、及时处理群众投诉，接受采购人的指导性意见。</w:t>
      </w:r>
    </w:p>
    <w:p w14:paraId="5FA9182B">
      <w:pPr>
        <w:pStyle w:val="116"/>
        <w:keepNext w:val="0"/>
        <w:keepLines w:val="0"/>
        <w:pageBreakBefore w:val="0"/>
        <w:widowControl w:val="0"/>
        <w:shd w:val="clear" w:color="auto" w:fill="auto"/>
        <w:tabs>
          <w:tab w:val="left" w:pos="1066"/>
        </w:tabs>
        <w:kinsoku/>
        <w:wordWrap/>
        <w:overflowPunct/>
        <w:topLinePunct w:val="0"/>
        <w:autoSpaceDE/>
        <w:autoSpaceDN/>
        <w:bidi w:val="0"/>
        <w:adjustRightInd/>
        <w:snapToGrid/>
        <w:spacing w:before="0" w:after="0" w:line="240" w:lineRule="auto"/>
        <w:ind w:right="0" w:firstLine="420" w:firstLineChars="200"/>
        <w:jc w:val="both"/>
        <w:textAlignment w:val="auto"/>
        <w:rPr>
          <w:rFonts w:hint="eastAsia" w:ascii="仿宋" w:hAnsi="仿宋" w:eastAsia="仿宋" w:cs="仿宋"/>
          <w:color w:val="auto"/>
          <w:spacing w:val="0"/>
          <w:w w:val="100"/>
          <w:position w:val="0"/>
          <w:sz w:val="21"/>
          <w:szCs w:val="21"/>
          <w:lang w:val="en-US" w:eastAsia="zh-CN" w:bidi="zh-CN"/>
        </w:rPr>
      </w:pPr>
      <w:r>
        <w:rPr>
          <w:rFonts w:hint="eastAsia" w:ascii="仿宋" w:hAnsi="仿宋" w:eastAsia="仿宋" w:cs="仿宋"/>
          <w:color w:val="auto"/>
          <w:spacing w:val="0"/>
          <w:w w:val="100"/>
          <w:position w:val="0"/>
          <w:sz w:val="21"/>
          <w:szCs w:val="21"/>
          <w:lang w:val="en-US" w:eastAsia="zh-CN" w:bidi="zh-CN"/>
        </w:rPr>
        <w:t>10、提供常设全年每天24小时热线服务和免费技术支持。接到投诉电话后，乙方项目部人员1小时内响应，24小时内防制到位。</w:t>
      </w:r>
    </w:p>
    <w:p w14:paraId="0894ABDD">
      <w:pPr>
        <w:pStyle w:val="116"/>
        <w:keepNext w:val="0"/>
        <w:keepLines w:val="0"/>
        <w:pageBreakBefore w:val="0"/>
        <w:widowControl w:val="0"/>
        <w:shd w:val="clear" w:color="auto" w:fill="auto"/>
        <w:tabs>
          <w:tab w:val="left" w:pos="1066"/>
        </w:tabs>
        <w:kinsoku/>
        <w:wordWrap/>
        <w:overflowPunct/>
        <w:topLinePunct w:val="0"/>
        <w:autoSpaceDE/>
        <w:autoSpaceDN/>
        <w:bidi w:val="0"/>
        <w:adjustRightInd/>
        <w:snapToGrid/>
        <w:spacing w:before="0" w:after="0" w:line="240" w:lineRule="auto"/>
        <w:ind w:right="0" w:firstLine="420" w:firstLineChars="200"/>
        <w:jc w:val="both"/>
        <w:textAlignment w:val="auto"/>
        <w:rPr>
          <w:rFonts w:hint="eastAsia" w:ascii="仿宋" w:hAnsi="仿宋" w:eastAsia="仿宋" w:cs="仿宋"/>
          <w:color w:val="auto"/>
          <w:spacing w:val="0"/>
          <w:w w:val="100"/>
          <w:position w:val="0"/>
          <w:sz w:val="21"/>
          <w:szCs w:val="21"/>
          <w:lang w:val="en-US" w:eastAsia="zh-CN" w:bidi="zh-CN"/>
        </w:rPr>
      </w:pPr>
      <w:r>
        <w:rPr>
          <w:rFonts w:hint="eastAsia" w:ascii="仿宋" w:hAnsi="仿宋" w:eastAsia="仿宋" w:cs="仿宋"/>
          <w:color w:val="auto"/>
          <w:spacing w:val="0"/>
          <w:w w:val="100"/>
          <w:position w:val="0"/>
          <w:sz w:val="21"/>
          <w:szCs w:val="21"/>
          <w:lang w:val="en-US" w:eastAsia="zh-CN" w:bidi="zh-CN"/>
        </w:rPr>
        <w:t>11、乙方须在县城区域设立项目服务点，要有独立的办公室及库房，须有3-5人的固定消杀人员常驻并有服务点。</w:t>
      </w:r>
    </w:p>
    <w:p w14:paraId="25D0CBDB">
      <w:pPr>
        <w:pStyle w:val="116"/>
        <w:keepNext w:val="0"/>
        <w:keepLines w:val="0"/>
        <w:pageBreakBefore w:val="0"/>
        <w:widowControl w:val="0"/>
        <w:shd w:val="clear" w:color="auto" w:fill="auto"/>
        <w:tabs>
          <w:tab w:val="left" w:pos="1006"/>
        </w:tabs>
        <w:kinsoku/>
        <w:wordWrap/>
        <w:overflowPunct/>
        <w:topLinePunct w:val="0"/>
        <w:autoSpaceDE/>
        <w:autoSpaceDN/>
        <w:bidi w:val="0"/>
        <w:adjustRightInd/>
        <w:snapToGrid/>
        <w:spacing w:before="0" w:after="0" w:line="240" w:lineRule="auto"/>
        <w:ind w:right="618" w:firstLine="422" w:firstLineChars="200"/>
        <w:jc w:val="both"/>
        <w:textAlignment w:val="auto"/>
        <w:rPr>
          <w:rFonts w:hint="eastAsia" w:ascii="黑体" w:hAnsi="黑体" w:eastAsia="黑体" w:cs="黑体"/>
          <w:b w:val="0"/>
          <w:bCs w:val="0"/>
          <w:color w:val="auto"/>
          <w:spacing w:val="0"/>
          <w:w w:val="100"/>
          <w:position w:val="0"/>
          <w:sz w:val="21"/>
          <w:szCs w:val="21"/>
          <w:lang w:val="zh-CN" w:eastAsia="zh-CN" w:bidi="zh-CN"/>
        </w:rPr>
      </w:pPr>
      <w:r>
        <w:rPr>
          <w:rFonts w:hint="eastAsia" w:ascii="黑体" w:hAnsi="黑体" w:eastAsia="黑体" w:cs="黑体"/>
          <w:b/>
          <w:color w:val="auto"/>
          <w:kern w:val="2"/>
          <w:sz w:val="21"/>
          <w:szCs w:val="21"/>
          <w:u w:val="none"/>
          <w:lang w:val="en-US" w:eastAsia="zh-CN" w:bidi="ar-SA"/>
        </w:rPr>
        <w:t>七、</w:t>
      </w:r>
      <w:r>
        <w:rPr>
          <w:rFonts w:hint="eastAsia" w:ascii="黑体" w:hAnsi="黑体" w:eastAsia="黑体" w:cs="黑体"/>
          <w:b/>
          <w:color w:val="auto"/>
          <w:kern w:val="2"/>
          <w:sz w:val="21"/>
          <w:szCs w:val="21"/>
          <w:u w:val="none"/>
          <w:lang w:val="zh-CN" w:eastAsia="zh-CN" w:bidi="ar-SA"/>
        </w:rPr>
        <w:t>违约责任</w:t>
      </w:r>
    </w:p>
    <w:p w14:paraId="55DD91E7">
      <w:pPr>
        <w:pStyle w:val="116"/>
        <w:keepNext w:val="0"/>
        <w:keepLines w:val="0"/>
        <w:pageBreakBefore w:val="0"/>
        <w:widowControl w:val="0"/>
        <w:shd w:val="clear" w:color="auto" w:fill="auto"/>
        <w:tabs>
          <w:tab w:val="left" w:pos="1130"/>
        </w:tabs>
        <w:kinsoku/>
        <w:wordWrap/>
        <w:overflowPunct/>
        <w:topLinePunct w:val="0"/>
        <w:autoSpaceDE/>
        <w:autoSpaceDN/>
        <w:bidi w:val="0"/>
        <w:adjustRightInd/>
        <w:snapToGrid/>
        <w:spacing w:before="0" w:after="0" w:line="240" w:lineRule="auto"/>
        <w:ind w:right="0" w:firstLine="420" w:firstLineChars="200"/>
        <w:jc w:val="both"/>
        <w:textAlignment w:val="auto"/>
        <w:rPr>
          <w:rFonts w:hint="eastAsia" w:ascii="黑体" w:hAnsi="黑体" w:eastAsia="黑体" w:cs="黑体"/>
          <w:b/>
          <w:color w:val="auto"/>
          <w:kern w:val="2"/>
          <w:sz w:val="21"/>
          <w:szCs w:val="21"/>
          <w:u w:val="none"/>
          <w:lang w:val="en-US" w:eastAsia="zh-CN" w:bidi="ar-SA"/>
        </w:rPr>
      </w:pPr>
      <w:r>
        <w:rPr>
          <w:rFonts w:hint="eastAsia" w:ascii="仿宋" w:hAnsi="仿宋" w:eastAsia="仿宋" w:cs="仿宋"/>
          <w:color w:val="auto"/>
          <w:spacing w:val="0"/>
          <w:w w:val="100"/>
          <w:position w:val="0"/>
          <w:sz w:val="21"/>
          <w:szCs w:val="21"/>
          <w:lang w:val="en-US" w:eastAsia="zh-CN" w:bidi="zh-CN"/>
        </w:rPr>
        <w:t>1、</w:t>
      </w:r>
      <w:r>
        <w:rPr>
          <w:rFonts w:hint="eastAsia" w:ascii="仿宋" w:hAnsi="仿宋" w:eastAsia="仿宋" w:cs="仿宋"/>
          <w:color w:val="auto"/>
          <w:spacing w:val="0"/>
          <w:w w:val="100"/>
          <w:position w:val="0"/>
          <w:sz w:val="21"/>
          <w:szCs w:val="21"/>
          <w:lang w:val="zh-CN" w:eastAsia="zh-CN" w:bidi="zh-CN"/>
        </w:rPr>
        <w:t>本合同签订后，乙方不得以任何形式将合同转包、分包，否则，甲方有权解除合同，另行聘请专业公司实施本项目。因任何一方 的责任造成</w:t>
      </w:r>
      <w:r>
        <w:rPr>
          <w:rFonts w:hint="eastAsia" w:ascii="仿宋" w:hAnsi="仿宋" w:eastAsia="仿宋" w:cs="仿宋"/>
          <w:color w:val="auto"/>
          <w:spacing w:val="0"/>
          <w:w w:val="100"/>
          <w:position w:val="0"/>
          <w:sz w:val="21"/>
          <w:szCs w:val="21"/>
          <w:lang w:val="en-US" w:eastAsia="zh-CN" w:bidi="zh-CN"/>
        </w:rPr>
        <w:t>采购项目</w:t>
      </w:r>
      <w:r>
        <w:rPr>
          <w:rFonts w:hint="eastAsia" w:ascii="仿宋" w:hAnsi="仿宋" w:eastAsia="仿宋" w:cs="仿宋"/>
          <w:color w:val="auto"/>
          <w:spacing w:val="0"/>
          <w:w w:val="100"/>
          <w:position w:val="0"/>
          <w:sz w:val="21"/>
          <w:szCs w:val="21"/>
          <w:lang w:val="zh-CN" w:eastAsia="zh-CN" w:bidi="zh-CN"/>
        </w:rPr>
        <w:t>延期，责任方应负责承担由此造成的一切损失。</w:t>
      </w:r>
      <w:r>
        <w:rPr>
          <w:rFonts w:hint="eastAsia" w:ascii="仿宋" w:hAnsi="仿宋" w:eastAsia="仿宋" w:cs="仿宋"/>
          <w:color w:val="auto"/>
          <w:spacing w:val="0"/>
          <w:w w:val="100"/>
          <w:position w:val="0"/>
          <w:sz w:val="21"/>
          <w:szCs w:val="21"/>
          <w:lang w:val="zh-CN" w:eastAsia="zh-CN" w:bidi="zh-CN"/>
        </w:rPr>
        <w:br w:type="textWrapping"/>
      </w:r>
      <w:r>
        <w:rPr>
          <w:rFonts w:hint="eastAsia" w:ascii="仿宋" w:hAnsi="仿宋" w:eastAsia="仿宋" w:cs="仿宋"/>
          <w:color w:val="auto"/>
          <w:spacing w:val="0"/>
          <w:w w:val="100"/>
          <w:position w:val="0"/>
          <w:sz w:val="21"/>
          <w:szCs w:val="21"/>
          <w:lang w:val="en-US" w:eastAsia="zh-CN" w:bidi="zh-CN"/>
        </w:rPr>
        <w:t xml:space="preserve">    2、</w:t>
      </w:r>
      <w:r>
        <w:rPr>
          <w:rFonts w:hint="eastAsia" w:ascii="仿宋" w:hAnsi="仿宋" w:eastAsia="仿宋" w:cs="仿宋"/>
          <w:color w:val="auto"/>
          <w:spacing w:val="0"/>
          <w:w w:val="100"/>
          <w:position w:val="0"/>
          <w:sz w:val="21"/>
          <w:szCs w:val="21"/>
          <w:lang w:val="zh-CN" w:eastAsia="zh-CN" w:bidi="zh-CN"/>
        </w:rPr>
        <w:t>乙方无正当理由拒绝验收的，乙方应向甲方偿付合同货款金 额3%的违约金。甲方无正当理由拒绝支付货款的，甲方应向乙方偿 付合同货款金额3%的违约金。</w:t>
      </w:r>
      <w:r>
        <w:rPr>
          <w:rFonts w:hint="eastAsia" w:ascii="仿宋" w:hAnsi="仿宋" w:eastAsia="仿宋" w:cs="仿宋"/>
          <w:color w:val="auto"/>
          <w:spacing w:val="0"/>
          <w:w w:val="100"/>
          <w:position w:val="0"/>
          <w:sz w:val="21"/>
          <w:szCs w:val="21"/>
          <w:lang w:val="zh-CN" w:eastAsia="zh-CN" w:bidi="zh-CN"/>
        </w:rPr>
        <w:br w:type="textWrapping"/>
      </w:r>
      <w:r>
        <w:rPr>
          <w:rFonts w:hint="eastAsia" w:ascii="仿宋" w:hAnsi="仿宋" w:eastAsia="仿宋" w:cs="仿宋"/>
          <w:color w:val="auto"/>
          <w:spacing w:val="0"/>
          <w:w w:val="100"/>
          <w:position w:val="0"/>
          <w:sz w:val="21"/>
          <w:szCs w:val="21"/>
          <w:lang w:val="en-US" w:eastAsia="zh-CN" w:bidi="zh-CN"/>
        </w:rPr>
        <w:t xml:space="preserve">    3、</w:t>
      </w:r>
      <w:r>
        <w:rPr>
          <w:rFonts w:hint="eastAsia" w:ascii="仿宋" w:hAnsi="仿宋" w:eastAsia="仿宋" w:cs="仿宋"/>
          <w:color w:val="auto"/>
          <w:spacing w:val="0"/>
          <w:w w:val="100"/>
          <w:position w:val="0"/>
          <w:sz w:val="21"/>
          <w:szCs w:val="21"/>
          <w:lang w:val="zh-CN" w:eastAsia="zh-CN" w:bidi="zh-CN"/>
        </w:rPr>
        <w:t>本合同签订后，任何一方不得无故单方面终止合同，否则一切责任由违约方负责。</w:t>
      </w:r>
      <w:r>
        <w:rPr>
          <w:rFonts w:hint="eastAsia" w:ascii="仿宋" w:hAnsi="仿宋" w:eastAsia="仿宋" w:cs="仿宋"/>
          <w:color w:val="auto"/>
          <w:spacing w:val="0"/>
          <w:w w:val="100"/>
          <w:position w:val="0"/>
          <w:sz w:val="21"/>
          <w:szCs w:val="21"/>
          <w:lang w:val="zh-CN" w:eastAsia="zh-CN" w:bidi="zh-CN"/>
        </w:rPr>
        <w:br w:type="textWrapping"/>
      </w:r>
      <w:r>
        <w:rPr>
          <w:rFonts w:hint="eastAsia" w:ascii="仿宋" w:hAnsi="仿宋" w:eastAsia="仿宋" w:cs="仿宋"/>
          <w:color w:val="auto"/>
          <w:spacing w:val="0"/>
          <w:w w:val="100"/>
          <w:position w:val="0"/>
          <w:sz w:val="21"/>
          <w:szCs w:val="21"/>
          <w:lang w:val="en-US" w:eastAsia="zh-CN" w:bidi="zh-CN"/>
        </w:rPr>
        <w:t xml:space="preserve">    4、</w:t>
      </w:r>
      <w:r>
        <w:rPr>
          <w:rFonts w:hint="eastAsia" w:ascii="仿宋" w:hAnsi="仿宋" w:eastAsia="仿宋" w:cs="仿宋"/>
          <w:color w:val="auto"/>
          <w:spacing w:val="0"/>
          <w:w w:val="100"/>
          <w:position w:val="0"/>
          <w:sz w:val="21"/>
          <w:szCs w:val="21"/>
          <w:lang w:val="zh-CN" w:eastAsia="zh-CN" w:bidi="zh-CN"/>
        </w:rPr>
        <w:t>甲、乙双方应严格遵守投标文件及本合同约定的权利、义务。</w:t>
      </w:r>
    </w:p>
    <w:p w14:paraId="62EED209">
      <w:pPr>
        <w:pStyle w:val="116"/>
        <w:keepNext w:val="0"/>
        <w:keepLines w:val="0"/>
        <w:pageBreakBefore w:val="0"/>
        <w:widowControl w:val="0"/>
        <w:shd w:val="clear" w:color="auto" w:fill="auto"/>
        <w:tabs>
          <w:tab w:val="left" w:pos="1006"/>
        </w:tabs>
        <w:kinsoku/>
        <w:wordWrap/>
        <w:overflowPunct/>
        <w:topLinePunct w:val="0"/>
        <w:autoSpaceDE/>
        <w:autoSpaceDN/>
        <w:bidi w:val="0"/>
        <w:adjustRightInd/>
        <w:snapToGrid/>
        <w:spacing w:before="0" w:after="0" w:line="240" w:lineRule="auto"/>
        <w:ind w:right="618" w:firstLine="422" w:firstLineChars="200"/>
        <w:jc w:val="both"/>
        <w:textAlignment w:val="auto"/>
        <w:rPr>
          <w:rFonts w:hint="eastAsia" w:ascii="黑体" w:hAnsi="黑体" w:eastAsia="黑体" w:cs="黑体"/>
          <w:b/>
          <w:color w:val="auto"/>
          <w:kern w:val="2"/>
          <w:sz w:val="21"/>
          <w:szCs w:val="21"/>
          <w:u w:val="none"/>
          <w:lang w:val="zh-CN" w:eastAsia="zh-CN" w:bidi="ar-SA"/>
        </w:rPr>
      </w:pPr>
      <w:r>
        <w:rPr>
          <w:rFonts w:hint="eastAsia" w:ascii="黑体" w:hAnsi="黑体" w:eastAsia="黑体" w:cs="黑体"/>
          <w:b/>
          <w:color w:val="auto"/>
          <w:kern w:val="2"/>
          <w:sz w:val="21"/>
          <w:szCs w:val="21"/>
          <w:u w:val="none"/>
          <w:lang w:val="en-US" w:eastAsia="zh-CN" w:bidi="ar-SA"/>
        </w:rPr>
        <w:t>八、</w:t>
      </w:r>
      <w:r>
        <w:rPr>
          <w:rFonts w:hint="eastAsia" w:ascii="黑体" w:hAnsi="黑体" w:eastAsia="黑体" w:cs="黑体"/>
          <w:b/>
          <w:color w:val="auto"/>
          <w:kern w:val="2"/>
          <w:sz w:val="21"/>
          <w:szCs w:val="21"/>
          <w:u w:val="none"/>
          <w:lang w:val="zh-CN" w:eastAsia="zh-CN" w:bidi="ar-SA"/>
        </w:rPr>
        <w:t>不可抗力</w:t>
      </w:r>
    </w:p>
    <w:p w14:paraId="544FC66C">
      <w:pPr>
        <w:pStyle w:val="116"/>
        <w:keepNext w:val="0"/>
        <w:keepLines w:val="0"/>
        <w:pageBreakBefore w:val="0"/>
        <w:widowControl w:val="0"/>
        <w:numPr>
          <w:ilvl w:val="0"/>
          <w:numId w:val="0"/>
        </w:numPr>
        <w:shd w:val="clear" w:color="auto" w:fill="auto"/>
        <w:tabs>
          <w:tab w:val="left" w:pos="1082"/>
        </w:tabs>
        <w:kinsoku/>
        <w:wordWrap/>
        <w:overflowPunct/>
        <w:topLinePunct w:val="0"/>
        <w:autoSpaceDE/>
        <w:autoSpaceDN/>
        <w:bidi w:val="0"/>
        <w:adjustRightInd/>
        <w:snapToGrid/>
        <w:spacing w:before="0" w:after="0" w:line="240" w:lineRule="auto"/>
        <w:ind w:right="0" w:rightChars="0" w:firstLine="420" w:firstLineChars="200"/>
        <w:jc w:val="both"/>
        <w:textAlignment w:val="auto"/>
        <w:rPr>
          <w:rFonts w:hint="eastAsia" w:ascii="仿宋" w:hAnsi="仿宋" w:eastAsia="仿宋" w:cs="仿宋"/>
          <w:color w:val="auto"/>
          <w:spacing w:val="0"/>
          <w:w w:val="100"/>
          <w:position w:val="0"/>
          <w:sz w:val="21"/>
          <w:szCs w:val="21"/>
          <w:lang w:val="zh-CN" w:eastAsia="zh-CN" w:bidi="zh-CN"/>
        </w:rPr>
      </w:pPr>
      <w:r>
        <w:rPr>
          <w:rFonts w:hint="eastAsia" w:ascii="仿宋" w:hAnsi="仿宋" w:eastAsia="仿宋" w:cs="仿宋"/>
          <w:color w:val="auto"/>
          <w:spacing w:val="0"/>
          <w:w w:val="100"/>
          <w:position w:val="0"/>
          <w:sz w:val="21"/>
          <w:szCs w:val="21"/>
          <w:lang w:val="en-US" w:eastAsia="zh-CN" w:bidi="zh-CN"/>
        </w:rPr>
        <w:t>1、不可抗力是指合同双方不可预见、不可避免、不可克服的自然灾害和社会事件。</w:t>
      </w:r>
    </w:p>
    <w:p w14:paraId="52FA408B">
      <w:pPr>
        <w:pStyle w:val="116"/>
        <w:keepNext w:val="0"/>
        <w:keepLines w:val="0"/>
        <w:pageBreakBefore w:val="0"/>
        <w:widowControl w:val="0"/>
        <w:numPr>
          <w:ilvl w:val="0"/>
          <w:numId w:val="0"/>
        </w:numPr>
        <w:shd w:val="clear" w:color="auto" w:fill="auto"/>
        <w:tabs>
          <w:tab w:val="left" w:pos="1082"/>
        </w:tabs>
        <w:kinsoku/>
        <w:wordWrap/>
        <w:overflowPunct/>
        <w:topLinePunct w:val="0"/>
        <w:autoSpaceDE/>
        <w:autoSpaceDN/>
        <w:bidi w:val="0"/>
        <w:adjustRightInd/>
        <w:snapToGrid/>
        <w:spacing w:before="0" w:after="0" w:line="240" w:lineRule="auto"/>
        <w:ind w:right="0" w:rightChars="0" w:firstLine="420" w:firstLineChars="200"/>
        <w:jc w:val="both"/>
        <w:textAlignment w:val="auto"/>
        <w:rPr>
          <w:rFonts w:hint="eastAsia" w:ascii="仿宋" w:hAnsi="仿宋" w:eastAsia="仿宋" w:cs="仿宋"/>
          <w:b/>
          <w:color w:val="auto"/>
          <w:kern w:val="2"/>
          <w:sz w:val="21"/>
          <w:szCs w:val="21"/>
          <w:u w:val="none"/>
          <w:lang w:val="en-US" w:eastAsia="zh-CN" w:bidi="ar-SA"/>
        </w:rPr>
      </w:pPr>
      <w:r>
        <w:rPr>
          <w:rFonts w:hint="eastAsia" w:ascii="仿宋" w:hAnsi="仿宋" w:eastAsia="仿宋" w:cs="仿宋"/>
          <w:color w:val="auto"/>
          <w:spacing w:val="0"/>
          <w:w w:val="100"/>
          <w:position w:val="0"/>
          <w:sz w:val="21"/>
          <w:szCs w:val="21"/>
          <w:lang w:val="en-US" w:eastAsia="zh-CN" w:bidi="zh-CN"/>
        </w:rPr>
        <w:t>2、</w:t>
      </w:r>
      <w:r>
        <w:rPr>
          <w:rFonts w:hint="eastAsia" w:ascii="仿宋" w:hAnsi="仿宋" w:eastAsia="仿宋" w:cs="仿宋"/>
          <w:color w:val="auto"/>
          <w:spacing w:val="0"/>
          <w:w w:val="100"/>
          <w:position w:val="0"/>
          <w:sz w:val="21"/>
          <w:szCs w:val="21"/>
          <w:lang w:val="zh-CN" w:eastAsia="zh-CN" w:bidi="zh-CN"/>
        </w:rPr>
        <w:t>任何一方对由于不可抗力造成的部分或全部不能履行合同不承担违约责任。但迟延履行后发生不可抗力的，不能免除责任。</w:t>
      </w:r>
    </w:p>
    <w:p w14:paraId="27E74BDF">
      <w:pPr>
        <w:pStyle w:val="11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420" w:firstLineChars="200"/>
        <w:jc w:val="left"/>
        <w:textAlignment w:val="auto"/>
        <w:rPr>
          <w:rFonts w:hint="eastAsia" w:ascii="仿宋" w:hAnsi="仿宋" w:eastAsia="仿宋" w:cs="仿宋"/>
          <w:b w:val="0"/>
          <w:bCs/>
          <w:color w:val="auto"/>
          <w:kern w:val="2"/>
          <w:sz w:val="21"/>
          <w:szCs w:val="21"/>
          <w:u w:val="none"/>
          <w:lang w:val="en-US" w:eastAsia="zh-CN" w:bidi="ar-SA"/>
        </w:rPr>
      </w:pPr>
      <w:r>
        <w:rPr>
          <w:rFonts w:hint="eastAsia" w:ascii="仿宋" w:hAnsi="仿宋" w:eastAsia="仿宋" w:cs="仿宋"/>
          <w:b w:val="0"/>
          <w:bCs/>
          <w:color w:val="auto"/>
          <w:kern w:val="2"/>
          <w:sz w:val="21"/>
          <w:szCs w:val="21"/>
          <w:u w:val="none"/>
          <w:lang w:val="en-US" w:eastAsia="zh-CN" w:bidi="ar-SA"/>
        </w:rPr>
        <w:t>3、遇有不可抗力的一方（甲方或乙方），应有三日内将事件的情况以书面形式通知对方（乙方或甲方），并向对方提交合同不能履行或部分不能履行或需要延期履行理由的报告。</w:t>
      </w:r>
    </w:p>
    <w:p w14:paraId="5865ADB1">
      <w:pPr>
        <w:pStyle w:val="116"/>
        <w:keepNext w:val="0"/>
        <w:keepLines w:val="0"/>
        <w:pageBreakBefore w:val="0"/>
        <w:widowControl w:val="0"/>
        <w:shd w:val="clear" w:color="auto" w:fill="auto"/>
        <w:tabs>
          <w:tab w:val="left" w:pos="1006"/>
        </w:tabs>
        <w:kinsoku/>
        <w:wordWrap/>
        <w:overflowPunct/>
        <w:topLinePunct w:val="0"/>
        <w:autoSpaceDE/>
        <w:autoSpaceDN/>
        <w:bidi w:val="0"/>
        <w:adjustRightInd/>
        <w:snapToGrid/>
        <w:spacing w:before="0" w:after="0" w:line="240" w:lineRule="auto"/>
        <w:ind w:right="618" w:firstLine="420" w:firstLineChars="200"/>
        <w:jc w:val="both"/>
        <w:textAlignment w:val="auto"/>
        <w:rPr>
          <w:rFonts w:hint="eastAsia" w:ascii="黑体" w:hAnsi="黑体" w:eastAsia="黑体" w:cs="黑体"/>
          <w:b w:val="0"/>
          <w:bCs/>
          <w:color w:val="auto"/>
          <w:kern w:val="2"/>
          <w:sz w:val="21"/>
          <w:szCs w:val="21"/>
          <w:u w:val="none"/>
          <w:lang w:val="en-US" w:eastAsia="zh-CN" w:bidi="ar-SA"/>
        </w:rPr>
      </w:pPr>
      <w:r>
        <w:rPr>
          <w:rFonts w:hint="eastAsia" w:ascii="黑体" w:hAnsi="黑体" w:eastAsia="黑体" w:cs="黑体"/>
          <w:b w:val="0"/>
          <w:bCs/>
          <w:color w:val="auto"/>
          <w:kern w:val="2"/>
          <w:sz w:val="21"/>
          <w:szCs w:val="21"/>
          <w:u w:val="none"/>
          <w:lang w:val="en-US" w:eastAsia="zh-CN" w:bidi="ar-SA"/>
        </w:rPr>
        <w:t>九、争议的解决方法</w:t>
      </w:r>
    </w:p>
    <w:p w14:paraId="7A94374A">
      <w:pPr>
        <w:pStyle w:val="11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420" w:firstLineChars="200"/>
        <w:jc w:val="left"/>
        <w:textAlignment w:val="auto"/>
        <w:rPr>
          <w:rFonts w:hint="eastAsia" w:ascii="仿宋" w:hAnsi="仿宋" w:eastAsia="仿宋" w:cs="仿宋_GB2312"/>
          <w:b w:val="0"/>
          <w:bCs/>
          <w:color w:val="auto"/>
          <w:kern w:val="2"/>
          <w:sz w:val="21"/>
          <w:szCs w:val="21"/>
          <w:u w:val="none"/>
          <w:lang w:val="en-US" w:eastAsia="zh-CN" w:bidi="ar-SA"/>
        </w:rPr>
      </w:pPr>
      <w:r>
        <w:rPr>
          <w:rFonts w:hint="eastAsia" w:ascii="仿宋" w:hAnsi="仿宋" w:eastAsia="仿宋" w:cs="仿宋_GB2312"/>
          <w:b w:val="0"/>
          <w:bCs/>
          <w:color w:val="auto"/>
          <w:kern w:val="2"/>
          <w:sz w:val="21"/>
          <w:szCs w:val="21"/>
          <w:u w:val="none"/>
          <w:lang w:val="en-US" w:eastAsia="zh-CN" w:bidi="ar-SA"/>
        </w:rPr>
        <w:t>合同各方应通过友好协商，解决在执行合同过程中所发生的或与合同有关的一切争端。如从协商开始后十日内仍不能解决，可以向相关部门提请调解。</w:t>
      </w:r>
    </w:p>
    <w:p w14:paraId="36654709">
      <w:pPr>
        <w:pStyle w:val="11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422" w:firstLineChars="200"/>
        <w:jc w:val="left"/>
        <w:textAlignment w:val="auto"/>
        <w:rPr>
          <w:rFonts w:hint="eastAsia" w:ascii="楷体" w:hAnsi="楷体" w:eastAsia="楷体" w:cs="楷体"/>
          <w:b/>
          <w:bCs w:val="0"/>
          <w:color w:val="auto"/>
          <w:kern w:val="2"/>
          <w:sz w:val="21"/>
          <w:szCs w:val="21"/>
          <w:u w:val="none"/>
          <w:lang w:val="en-US" w:eastAsia="zh-CN" w:bidi="ar-SA"/>
        </w:rPr>
      </w:pPr>
      <w:r>
        <w:rPr>
          <w:rFonts w:hint="eastAsia" w:ascii="楷体" w:hAnsi="楷体" w:eastAsia="楷体" w:cs="楷体"/>
          <w:b/>
          <w:bCs w:val="0"/>
          <w:color w:val="auto"/>
          <w:kern w:val="2"/>
          <w:sz w:val="21"/>
          <w:szCs w:val="21"/>
          <w:u w:val="none"/>
          <w:lang w:val="en-US" w:eastAsia="zh-CN" w:bidi="ar-SA"/>
        </w:rPr>
        <w:t>1、调解不成可以按【政府采购合同专用款】中约定中规定下列方式之一提起仲裁或诉讼：</w:t>
      </w:r>
    </w:p>
    <w:p w14:paraId="6BF93A4B">
      <w:pPr>
        <w:pStyle w:val="11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leftChars="0" w:right="0" w:rightChars="0" w:firstLine="420" w:firstLineChars="200"/>
        <w:jc w:val="left"/>
        <w:textAlignment w:val="auto"/>
        <w:rPr>
          <w:rFonts w:hint="eastAsia" w:ascii="仿宋" w:hAnsi="仿宋" w:eastAsia="仿宋" w:cs="仿宋_GB2312"/>
          <w:b w:val="0"/>
          <w:bCs/>
          <w:color w:val="auto"/>
          <w:kern w:val="2"/>
          <w:sz w:val="21"/>
          <w:szCs w:val="21"/>
          <w:u w:val="none"/>
          <w:lang w:val="en-US" w:eastAsia="zh-CN" w:bidi="ar-SA"/>
        </w:rPr>
      </w:pPr>
      <w:r>
        <w:rPr>
          <w:rFonts w:hint="eastAsia" w:ascii="仿宋" w:hAnsi="仿宋" w:eastAsia="仿宋" w:cs="仿宋_GB2312"/>
          <w:b w:val="0"/>
          <w:bCs/>
          <w:color w:val="auto"/>
          <w:kern w:val="2"/>
          <w:sz w:val="21"/>
          <w:szCs w:val="21"/>
          <w:u w:val="none"/>
          <w:lang w:val="en-US" w:eastAsia="zh-CN" w:bidi="ar-SA"/>
        </w:rPr>
        <w:t>(1)向甲方所在地仲裁机构提起仲裁；</w:t>
      </w:r>
    </w:p>
    <w:p w14:paraId="0AE223A4">
      <w:pPr>
        <w:pStyle w:val="11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leftChars="0" w:right="0" w:rightChars="0" w:firstLine="420" w:firstLineChars="200"/>
        <w:jc w:val="left"/>
        <w:textAlignment w:val="auto"/>
        <w:rPr>
          <w:rFonts w:hint="eastAsia" w:ascii="仿宋" w:hAnsi="仿宋" w:eastAsia="仿宋" w:cs="仿宋_GB2312"/>
          <w:b w:val="0"/>
          <w:bCs/>
          <w:color w:val="auto"/>
          <w:kern w:val="2"/>
          <w:sz w:val="21"/>
          <w:szCs w:val="21"/>
          <w:u w:val="none"/>
          <w:lang w:val="en-US" w:eastAsia="zh-CN" w:bidi="ar-SA"/>
        </w:rPr>
      </w:pPr>
      <w:r>
        <w:rPr>
          <w:rFonts w:hint="eastAsia" w:ascii="仿宋" w:hAnsi="仿宋" w:eastAsia="仿宋" w:cs="仿宋_GB2312"/>
          <w:b w:val="0"/>
          <w:bCs/>
          <w:color w:val="auto"/>
          <w:kern w:val="2"/>
          <w:sz w:val="21"/>
          <w:szCs w:val="21"/>
          <w:u w:val="none"/>
          <w:lang w:val="en-US" w:eastAsia="zh-CN" w:bidi="ar-SA"/>
        </w:rPr>
        <w:t>(2)向甲方所在地人民法院提起诉讼。</w:t>
      </w:r>
    </w:p>
    <w:p w14:paraId="7E5603F6">
      <w:pPr>
        <w:pStyle w:val="11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leftChars="0" w:right="0" w:rightChars="0" w:firstLine="422" w:firstLineChars="200"/>
        <w:jc w:val="left"/>
        <w:textAlignment w:val="auto"/>
        <w:rPr>
          <w:rFonts w:hint="eastAsia" w:ascii="楷体" w:hAnsi="楷体" w:eastAsia="楷体" w:cs="楷体"/>
          <w:b/>
          <w:bCs w:val="0"/>
          <w:color w:val="auto"/>
          <w:kern w:val="2"/>
          <w:sz w:val="21"/>
          <w:szCs w:val="21"/>
          <w:u w:val="none"/>
          <w:lang w:val="en-US" w:eastAsia="zh-CN" w:bidi="ar-SA"/>
        </w:rPr>
      </w:pPr>
      <w:r>
        <w:rPr>
          <w:rFonts w:hint="eastAsia" w:ascii="楷体" w:hAnsi="楷体" w:eastAsia="楷体" w:cs="楷体"/>
          <w:b/>
          <w:bCs w:val="0"/>
          <w:color w:val="auto"/>
          <w:kern w:val="2"/>
          <w:sz w:val="21"/>
          <w:szCs w:val="21"/>
          <w:u w:val="none"/>
          <w:lang w:val="en-US" w:eastAsia="zh-CN" w:bidi="ar-SA"/>
        </w:rPr>
        <w:t>2、如仲裁或诉讼事项不影响合同其它部分的履行，则在仲裁或诉讼期间，除正在进行仲裁或诉讼的部分外，合同的其它部分应继续执行。</w:t>
      </w:r>
    </w:p>
    <w:p w14:paraId="39FE8AC7">
      <w:pPr>
        <w:pStyle w:val="11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leftChars="0" w:right="0" w:rightChars="0" w:firstLine="420" w:firstLineChars="200"/>
        <w:jc w:val="left"/>
        <w:textAlignment w:val="auto"/>
        <w:rPr>
          <w:rFonts w:hint="eastAsia" w:ascii="黑体" w:hAnsi="黑体" w:eastAsia="黑体" w:cs="黑体"/>
          <w:b w:val="0"/>
          <w:bCs/>
          <w:color w:val="auto"/>
          <w:kern w:val="2"/>
          <w:sz w:val="21"/>
          <w:szCs w:val="21"/>
          <w:u w:val="none"/>
          <w:lang w:val="en-US" w:eastAsia="zh-CN" w:bidi="ar-SA"/>
        </w:rPr>
      </w:pPr>
      <w:r>
        <w:rPr>
          <w:rFonts w:hint="eastAsia" w:ascii="黑体" w:hAnsi="黑体" w:eastAsia="黑体" w:cs="黑体"/>
          <w:b w:val="0"/>
          <w:bCs/>
          <w:color w:val="auto"/>
          <w:kern w:val="2"/>
          <w:sz w:val="21"/>
          <w:szCs w:val="21"/>
          <w:u w:val="none"/>
          <w:lang w:val="en-US" w:eastAsia="zh-CN" w:bidi="ar-SA"/>
        </w:rPr>
        <w:t>十、其他</w:t>
      </w:r>
    </w:p>
    <w:p w14:paraId="049E3CED">
      <w:pPr>
        <w:pStyle w:val="11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leftChars="0" w:right="0" w:rightChars="0" w:firstLine="420" w:firstLineChars="200"/>
        <w:jc w:val="left"/>
        <w:textAlignment w:val="auto"/>
        <w:rPr>
          <w:rFonts w:hint="eastAsia" w:ascii="仿宋" w:hAnsi="仿宋" w:eastAsia="仿宋" w:cs="仿宋"/>
          <w:b w:val="0"/>
          <w:bCs/>
          <w:color w:val="auto"/>
          <w:kern w:val="2"/>
          <w:sz w:val="21"/>
          <w:szCs w:val="21"/>
          <w:u w:val="none"/>
          <w:lang w:val="en-US" w:eastAsia="zh-CN" w:bidi="ar-SA"/>
        </w:rPr>
      </w:pPr>
      <w:r>
        <w:rPr>
          <w:rFonts w:hint="eastAsia" w:ascii="仿宋" w:hAnsi="仿宋" w:eastAsia="仿宋" w:cs="仿宋"/>
          <w:b w:val="0"/>
          <w:bCs/>
          <w:color w:val="auto"/>
          <w:kern w:val="2"/>
          <w:sz w:val="21"/>
          <w:szCs w:val="21"/>
          <w:u w:val="none"/>
          <w:lang w:val="en-US" w:eastAsia="zh-CN" w:bidi="ar-SA"/>
        </w:rPr>
        <w:t>1、双方可对本合同的条款进行补充，以书面形式签订补充协议，补充协议与本合同具有同等法律效力。</w:t>
      </w:r>
    </w:p>
    <w:p w14:paraId="1B14E8CC">
      <w:pPr>
        <w:pStyle w:val="11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leftChars="0" w:right="0" w:rightChars="0" w:firstLine="420" w:firstLineChars="200"/>
        <w:jc w:val="left"/>
        <w:textAlignment w:val="auto"/>
        <w:rPr>
          <w:rFonts w:hint="eastAsia" w:ascii="仿宋" w:hAnsi="仿宋" w:eastAsia="仿宋" w:cs="仿宋"/>
          <w:b w:val="0"/>
          <w:bCs/>
          <w:color w:val="auto"/>
          <w:kern w:val="2"/>
          <w:sz w:val="21"/>
          <w:szCs w:val="21"/>
          <w:u w:val="none"/>
          <w:lang w:val="en-US" w:eastAsia="zh-CN" w:bidi="ar-SA"/>
        </w:rPr>
      </w:pPr>
      <w:r>
        <w:rPr>
          <w:rFonts w:hint="eastAsia" w:ascii="仿宋" w:hAnsi="仿宋" w:eastAsia="仿宋" w:cs="仿宋"/>
          <w:b w:val="0"/>
          <w:bCs/>
          <w:color w:val="auto"/>
          <w:kern w:val="2"/>
          <w:sz w:val="21"/>
          <w:szCs w:val="21"/>
          <w:u w:val="none"/>
          <w:lang w:val="en-US" w:eastAsia="zh-CN" w:bidi="ar-SA"/>
        </w:rPr>
        <w:t>2、本合同一式</w:t>
      </w:r>
      <w:r>
        <w:rPr>
          <w:rFonts w:hint="eastAsia" w:ascii="仿宋" w:hAnsi="仿宋" w:eastAsia="仿宋" w:cs="仿宋"/>
          <w:b w:val="0"/>
          <w:bCs/>
          <w:color w:val="auto"/>
          <w:kern w:val="2"/>
          <w:sz w:val="21"/>
          <w:szCs w:val="21"/>
          <w:u w:val="single"/>
          <w:lang w:val="en-US" w:eastAsia="zh-CN" w:bidi="ar-SA"/>
        </w:rPr>
        <w:t>陆</w:t>
      </w:r>
      <w:r>
        <w:rPr>
          <w:rFonts w:hint="eastAsia" w:ascii="仿宋" w:hAnsi="仿宋" w:eastAsia="仿宋" w:cs="仿宋"/>
          <w:b w:val="0"/>
          <w:bCs/>
          <w:color w:val="auto"/>
          <w:kern w:val="2"/>
          <w:sz w:val="21"/>
          <w:szCs w:val="21"/>
          <w:u w:val="none"/>
          <w:lang w:val="en-US" w:eastAsia="zh-CN" w:bidi="ar-SA"/>
        </w:rPr>
        <w:t>份，采购人执</w:t>
      </w:r>
      <w:r>
        <w:rPr>
          <w:rFonts w:hint="eastAsia" w:ascii="仿宋" w:hAnsi="仿宋" w:eastAsia="仿宋" w:cs="仿宋"/>
          <w:b w:val="0"/>
          <w:bCs/>
          <w:color w:val="auto"/>
          <w:kern w:val="2"/>
          <w:sz w:val="21"/>
          <w:szCs w:val="21"/>
          <w:u w:val="single"/>
          <w:lang w:val="en-US" w:eastAsia="zh-CN" w:bidi="ar-SA"/>
        </w:rPr>
        <w:t>二</w:t>
      </w:r>
      <w:r>
        <w:rPr>
          <w:rFonts w:hint="eastAsia" w:ascii="仿宋" w:hAnsi="仿宋" w:eastAsia="仿宋" w:cs="仿宋"/>
          <w:b w:val="0"/>
          <w:bCs/>
          <w:color w:val="auto"/>
          <w:kern w:val="2"/>
          <w:sz w:val="21"/>
          <w:szCs w:val="21"/>
          <w:u w:val="none"/>
          <w:lang w:val="en-US" w:eastAsia="zh-CN" w:bidi="ar-SA"/>
        </w:rPr>
        <w:t>份，供应商执</w:t>
      </w:r>
      <w:r>
        <w:rPr>
          <w:rFonts w:hint="eastAsia" w:ascii="仿宋" w:hAnsi="仿宋" w:eastAsia="仿宋" w:cs="仿宋"/>
          <w:b w:val="0"/>
          <w:bCs/>
          <w:color w:val="auto"/>
          <w:kern w:val="2"/>
          <w:sz w:val="21"/>
          <w:szCs w:val="21"/>
          <w:u w:val="single"/>
          <w:lang w:val="en-US" w:eastAsia="zh-CN" w:bidi="ar-SA"/>
        </w:rPr>
        <w:t>二</w:t>
      </w:r>
      <w:r>
        <w:rPr>
          <w:rFonts w:hint="eastAsia" w:ascii="仿宋" w:hAnsi="仿宋" w:eastAsia="仿宋" w:cs="仿宋"/>
          <w:b w:val="0"/>
          <w:bCs/>
          <w:color w:val="auto"/>
          <w:kern w:val="2"/>
          <w:sz w:val="21"/>
          <w:szCs w:val="21"/>
          <w:u w:val="none"/>
          <w:lang w:val="en-US" w:eastAsia="zh-CN" w:bidi="ar-SA"/>
        </w:rPr>
        <w:t>份，监督管理部门执</w:t>
      </w:r>
      <w:r>
        <w:rPr>
          <w:rFonts w:hint="eastAsia" w:ascii="仿宋" w:hAnsi="仿宋" w:eastAsia="仿宋" w:cs="仿宋"/>
          <w:b w:val="0"/>
          <w:bCs/>
          <w:color w:val="auto"/>
          <w:kern w:val="2"/>
          <w:sz w:val="21"/>
          <w:szCs w:val="21"/>
          <w:u w:val="single"/>
          <w:lang w:val="en-US" w:eastAsia="zh-CN" w:bidi="ar-SA"/>
        </w:rPr>
        <w:t>一</w:t>
      </w:r>
      <w:r>
        <w:rPr>
          <w:rFonts w:hint="eastAsia" w:ascii="仿宋" w:hAnsi="仿宋" w:eastAsia="仿宋" w:cs="仿宋"/>
          <w:b w:val="0"/>
          <w:bCs/>
          <w:color w:val="auto"/>
          <w:kern w:val="2"/>
          <w:sz w:val="21"/>
          <w:szCs w:val="21"/>
          <w:u w:val="none"/>
          <w:lang w:val="en-US" w:eastAsia="zh-CN" w:bidi="ar-SA"/>
        </w:rPr>
        <w:t>份，代理机构执</w:t>
      </w:r>
      <w:r>
        <w:rPr>
          <w:rFonts w:hint="eastAsia" w:ascii="仿宋" w:hAnsi="仿宋" w:eastAsia="仿宋" w:cs="仿宋"/>
          <w:b w:val="0"/>
          <w:bCs/>
          <w:color w:val="auto"/>
          <w:kern w:val="2"/>
          <w:sz w:val="21"/>
          <w:szCs w:val="21"/>
          <w:u w:val="single"/>
          <w:lang w:val="en-US" w:eastAsia="zh-CN" w:bidi="ar-SA"/>
        </w:rPr>
        <w:t>一</w:t>
      </w:r>
      <w:r>
        <w:rPr>
          <w:rFonts w:hint="eastAsia" w:ascii="仿宋" w:hAnsi="仿宋" w:eastAsia="仿宋" w:cs="仿宋"/>
          <w:b w:val="0"/>
          <w:bCs/>
          <w:color w:val="auto"/>
          <w:kern w:val="2"/>
          <w:sz w:val="21"/>
          <w:szCs w:val="21"/>
          <w:u w:val="none"/>
          <w:lang w:val="en-US" w:eastAsia="zh-CN" w:bidi="ar-SA"/>
        </w:rPr>
        <w:t>份，均具有同等法律效力。</w:t>
      </w:r>
    </w:p>
    <w:p w14:paraId="4F578A15">
      <w:pPr>
        <w:pStyle w:val="11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leftChars="0" w:right="0" w:rightChars="0" w:firstLine="420" w:firstLineChars="200"/>
        <w:jc w:val="left"/>
        <w:textAlignment w:val="auto"/>
        <w:rPr>
          <w:rFonts w:hint="eastAsia" w:ascii="仿宋" w:hAnsi="仿宋" w:eastAsia="仿宋" w:cs="仿宋"/>
          <w:b w:val="0"/>
          <w:bCs/>
          <w:color w:val="auto"/>
          <w:kern w:val="2"/>
          <w:sz w:val="21"/>
          <w:szCs w:val="21"/>
          <w:u w:val="none"/>
          <w:lang w:val="en-US" w:eastAsia="zh-CN" w:bidi="ar-SA"/>
        </w:rPr>
      </w:pPr>
      <w:r>
        <w:rPr>
          <w:rFonts w:hint="eastAsia" w:ascii="仿宋" w:hAnsi="仿宋" w:eastAsia="仿宋" w:cs="仿宋"/>
          <w:b w:val="0"/>
          <w:bCs/>
          <w:color w:val="auto"/>
          <w:kern w:val="2"/>
          <w:sz w:val="21"/>
          <w:szCs w:val="21"/>
          <w:u w:val="none"/>
          <w:lang w:val="en-US" w:eastAsia="zh-CN" w:bidi="ar-SA"/>
        </w:rPr>
        <w:t>3、本合同自签字日起生效。</w:t>
      </w:r>
    </w:p>
    <w:p w14:paraId="1BE9F641">
      <w:pPr>
        <w:pStyle w:val="11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leftChars="0" w:right="0" w:rightChars="0" w:firstLine="420" w:firstLineChars="200"/>
        <w:jc w:val="left"/>
        <w:textAlignment w:val="auto"/>
        <w:rPr>
          <w:rFonts w:hint="eastAsia" w:ascii="仿宋" w:hAnsi="仿宋" w:eastAsia="仿宋" w:cs="仿宋"/>
          <w:b w:val="0"/>
          <w:bCs/>
          <w:color w:val="auto"/>
          <w:kern w:val="2"/>
          <w:sz w:val="21"/>
          <w:szCs w:val="21"/>
          <w:u w:val="none"/>
          <w:lang w:val="en-US" w:eastAsia="zh-CN" w:bidi="ar-SA"/>
        </w:rPr>
      </w:pPr>
    </w:p>
    <w:p w14:paraId="5013CBBF">
      <w:pPr>
        <w:pStyle w:val="11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leftChars="0" w:right="0" w:rightChars="0" w:firstLine="420" w:firstLineChars="200"/>
        <w:jc w:val="left"/>
        <w:textAlignment w:val="auto"/>
        <w:rPr>
          <w:rFonts w:hint="eastAsia" w:ascii="仿宋" w:hAnsi="仿宋" w:eastAsia="仿宋" w:cs="仿宋"/>
          <w:b w:val="0"/>
          <w:bCs/>
          <w:color w:val="auto"/>
          <w:kern w:val="2"/>
          <w:sz w:val="21"/>
          <w:szCs w:val="21"/>
          <w:u w:val="none"/>
          <w:lang w:val="en-US" w:eastAsia="zh-CN" w:bidi="ar-SA"/>
        </w:rPr>
      </w:pPr>
      <w:r>
        <w:rPr>
          <w:rFonts w:hint="eastAsia" w:ascii="仿宋" w:hAnsi="仿宋" w:eastAsia="仿宋" w:cs="仿宋"/>
          <w:b w:val="0"/>
          <w:bCs/>
          <w:color w:val="auto"/>
          <w:kern w:val="2"/>
          <w:sz w:val="21"/>
          <w:szCs w:val="21"/>
          <w:u w:val="none"/>
          <w:lang w:val="en-US" w:eastAsia="zh-CN" w:bidi="ar-SA"/>
        </w:rPr>
        <w:t>甲方（盖章）：                   乙方（盖章）：</w:t>
      </w:r>
    </w:p>
    <w:p w14:paraId="5628141A">
      <w:pPr>
        <w:pStyle w:val="11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jc w:val="left"/>
        <w:textAlignment w:val="auto"/>
        <w:rPr>
          <w:rFonts w:hint="default" w:ascii="仿宋" w:hAnsi="仿宋" w:eastAsia="仿宋" w:cs="仿宋"/>
          <w:b w:val="0"/>
          <w:bCs/>
          <w:color w:val="auto"/>
          <w:kern w:val="2"/>
          <w:sz w:val="21"/>
          <w:szCs w:val="21"/>
          <w:u w:val="none"/>
          <w:lang w:val="en-US" w:eastAsia="zh-CN" w:bidi="ar-SA"/>
        </w:rPr>
      </w:pPr>
      <w:r>
        <w:rPr>
          <w:rFonts w:hint="eastAsia" w:ascii="仿宋" w:hAnsi="仿宋" w:eastAsia="仿宋" w:cs="仿宋"/>
          <w:b w:val="0"/>
          <w:bCs/>
          <w:color w:val="auto"/>
          <w:kern w:val="2"/>
          <w:sz w:val="21"/>
          <w:szCs w:val="21"/>
          <w:u w:val="none"/>
          <w:lang w:val="en-US" w:eastAsia="zh-CN" w:bidi="ar-SA"/>
        </w:rPr>
        <w:t>负责人：</w:t>
      </w:r>
      <w:r>
        <w:rPr>
          <w:rFonts w:hint="eastAsia" w:ascii="仿宋" w:hAnsi="仿宋" w:eastAsia="仿宋" w:cs="仿宋"/>
          <w:b w:val="0"/>
          <w:bCs/>
          <w:color w:val="auto"/>
          <w:kern w:val="2"/>
          <w:sz w:val="21"/>
          <w:szCs w:val="21"/>
          <w:u w:val="single"/>
          <w:lang w:val="en-US" w:eastAsia="zh-CN" w:bidi="ar-SA"/>
        </w:rPr>
        <w:t xml:space="preserve">           </w:t>
      </w:r>
      <w:r>
        <w:rPr>
          <w:rFonts w:hint="eastAsia" w:ascii="仿宋" w:hAnsi="仿宋" w:eastAsia="仿宋" w:cs="仿宋"/>
          <w:b w:val="0"/>
          <w:bCs/>
          <w:color w:val="auto"/>
          <w:kern w:val="2"/>
          <w:sz w:val="21"/>
          <w:szCs w:val="21"/>
          <w:u w:val="none"/>
          <w:lang w:val="en-US" w:eastAsia="zh-CN" w:bidi="ar-SA"/>
        </w:rPr>
        <w:t xml:space="preserve">          负责人：</w:t>
      </w:r>
      <w:r>
        <w:rPr>
          <w:rFonts w:hint="eastAsia" w:ascii="仿宋" w:hAnsi="仿宋" w:eastAsia="仿宋" w:cs="仿宋"/>
          <w:b w:val="0"/>
          <w:bCs/>
          <w:color w:val="auto"/>
          <w:kern w:val="2"/>
          <w:sz w:val="21"/>
          <w:szCs w:val="21"/>
          <w:u w:val="single"/>
          <w:lang w:val="en-US" w:eastAsia="zh-CN" w:bidi="ar-SA"/>
        </w:rPr>
        <w:t xml:space="preserve">           </w:t>
      </w:r>
      <w:r>
        <w:rPr>
          <w:rFonts w:hint="eastAsia" w:ascii="仿宋" w:hAnsi="仿宋" w:eastAsia="仿宋" w:cs="仿宋"/>
          <w:b w:val="0"/>
          <w:bCs/>
          <w:color w:val="auto"/>
          <w:kern w:val="2"/>
          <w:sz w:val="21"/>
          <w:szCs w:val="21"/>
          <w:u w:val="none"/>
          <w:lang w:val="en-US" w:eastAsia="zh-CN" w:bidi="ar-SA"/>
        </w:rPr>
        <w:t xml:space="preserve"> </w:t>
      </w:r>
    </w:p>
    <w:p w14:paraId="66763BF4">
      <w:pPr>
        <w:pStyle w:val="11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jc w:val="left"/>
        <w:textAlignment w:val="auto"/>
        <w:rPr>
          <w:rFonts w:hint="default" w:ascii="仿宋" w:hAnsi="仿宋" w:eastAsia="仿宋" w:cs="仿宋"/>
          <w:b w:val="0"/>
          <w:bCs/>
          <w:color w:val="auto"/>
          <w:kern w:val="2"/>
          <w:sz w:val="21"/>
          <w:szCs w:val="21"/>
          <w:u w:val="single"/>
          <w:lang w:val="en-US" w:eastAsia="zh-CN" w:bidi="ar-SA"/>
        </w:rPr>
      </w:pPr>
      <w:r>
        <w:rPr>
          <w:rFonts w:hint="eastAsia" w:ascii="仿宋" w:hAnsi="仿宋" w:eastAsia="仿宋" w:cs="仿宋"/>
          <w:b w:val="0"/>
          <w:bCs/>
          <w:color w:val="auto"/>
          <w:kern w:val="2"/>
          <w:sz w:val="21"/>
          <w:szCs w:val="21"/>
          <w:u w:val="none"/>
          <w:lang w:val="en-US" w:eastAsia="zh-CN" w:bidi="ar-SA"/>
        </w:rPr>
        <w:t>电话：</w:t>
      </w:r>
      <w:r>
        <w:rPr>
          <w:rFonts w:hint="eastAsia" w:ascii="仿宋" w:hAnsi="仿宋" w:eastAsia="仿宋" w:cs="仿宋"/>
          <w:b w:val="0"/>
          <w:bCs/>
          <w:color w:val="auto"/>
          <w:kern w:val="2"/>
          <w:sz w:val="21"/>
          <w:szCs w:val="21"/>
          <w:u w:val="single"/>
          <w:lang w:val="en-US" w:eastAsia="zh-CN" w:bidi="ar-SA"/>
        </w:rPr>
        <w:t xml:space="preserve">             </w:t>
      </w:r>
      <w:r>
        <w:rPr>
          <w:rFonts w:hint="eastAsia" w:ascii="仿宋" w:hAnsi="仿宋" w:eastAsia="仿宋" w:cs="仿宋"/>
          <w:b w:val="0"/>
          <w:bCs/>
          <w:color w:val="auto"/>
          <w:kern w:val="2"/>
          <w:sz w:val="21"/>
          <w:szCs w:val="21"/>
          <w:u w:val="none"/>
          <w:lang w:val="en-US" w:eastAsia="zh-CN" w:bidi="ar-SA"/>
        </w:rPr>
        <w:t xml:space="preserve">          电话：</w:t>
      </w:r>
      <w:r>
        <w:rPr>
          <w:rFonts w:hint="eastAsia" w:ascii="仿宋" w:hAnsi="仿宋" w:eastAsia="仿宋" w:cs="仿宋"/>
          <w:b w:val="0"/>
          <w:bCs/>
          <w:color w:val="auto"/>
          <w:kern w:val="2"/>
          <w:sz w:val="21"/>
          <w:szCs w:val="21"/>
          <w:u w:val="single"/>
          <w:lang w:val="en-US" w:eastAsia="zh-CN" w:bidi="ar-SA"/>
        </w:rPr>
        <w:t xml:space="preserve">             </w:t>
      </w:r>
    </w:p>
    <w:p w14:paraId="68680161">
      <w:pPr>
        <w:pStyle w:val="11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jc w:val="left"/>
        <w:textAlignment w:val="auto"/>
        <w:rPr>
          <w:rFonts w:hint="eastAsia" w:ascii="黑体" w:hAnsi="黑体" w:eastAsia="黑体"/>
          <w:sz w:val="28"/>
          <w:szCs w:val="28"/>
        </w:rPr>
      </w:pPr>
      <w:r>
        <w:rPr>
          <w:rFonts w:hint="eastAsia" w:ascii="仿宋" w:hAnsi="仿宋" w:eastAsia="仿宋" w:cs="仿宋"/>
          <w:b w:val="0"/>
          <w:bCs/>
          <w:color w:val="auto"/>
          <w:kern w:val="2"/>
          <w:sz w:val="21"/>
          <w:szCs w:val="21"/>
          <w:u w:val="none"/>
          <w:lang w:val="en-US" w:eastAsia="zh-CN" w:bidi="ar-SA"/>
        </w:rPr>
        <w:t>签约时间：   年  月  日      签约时间：   年  月  日</w:t>
      </w:r>
      <w:bookmarkStart w:id="138" w:name="_Toc18102"/>
      <w:bookmarkStart w:id="139" w:name="_Toc24354"/>
      <w:bookmarkStart w:id="140" w:name="_Toc29913947"/>
    </w:p>
    <w:p w14:paraId="530DAF0A">
      <w:pPr>
        <w:pStyle w:val="3"/>
        <w:adjustRightInd w:val="0"/>
        <w:snapToGrid w:val="0"/>
        <w:spacing w:before="156" w:beforeLines="50"/>
        <w:jc w:val="center"/>
        <w:rPr>
          <w:rFonts w:ascii="黑体" w:hAnsi="黑体" w:eastAsia="黑体"/>
          <w:color w:val="558ED5" w:themeColor="text2" w:themeTint="99"/>
          <w:sz w:val="44"/>
          <w:szCs w:val="44"/>
          <w14:textFill>
            <w14:solidFill>
              <w14:schemeClr w14:val="tx2">
                <w14:lumMod w14:val="60000"/>
                <w14:lumOff w14:val="40000"/>
              </w14:schemeClr>
            </w14:solidFill>
          </w14:textFill>
        </w:rPr>
      </w:pPr>
      <w:bookmarkStart w:id="141" w:name="_Toc8828"/>
      <w:r>
        <w:rPr>
          <w:rFonts w:hint="eastAsia" w:ascii="黑体" w:hAnsi="黑体" w:eastAsia="黑体"/>
          <w:sz w:val="28"/>
          <w:szCs w:val="28"/>
        </w:rPr>
        <w:t>第二节 政府采购合同通用条款</w:t>
      </w:r>
      <w:bookmarkEnd w:id="138"/>
      <w:bookmarkEnd w:id="139"/>
      <w:bookmarkEnd w:id="141"/>
    </w:p>
    <w:p w14:paraId="04E8A60B">
      <w:pPr>
        <w:tabs>
          <w:tab w:val="left" w:pos="8820"/>
          <w:tab w:val="left" w:pos="9345"/>
          <w:tab w:val="left" w:pos="9765"/>
        </w:tabs>
        <w:adjustRightInd w:val="0"/>
        <w:snapToGrid w:val="0"/>
        <w:spacing w:before="50" w:line="360" w:lineRule="auto"/>
        <w:jc w:val="left"/>
        <w:rPr>
          <w:rFonts w:asciiTheme="minorEastAsia" w:hAnsiTheme="minorEastAsia" w:eastAsiaTheme="minorEastAsia"/>
          <w:b/>
          <w:bCs/>
          <w:sz w:val="24"/>
        </w:rPr>
      </w:pPr>
      <w:r>
        <w:rPr>
          <w:rFonts w:hint="eastAsia" w:asciiTheme="minorEastAsia" w:hAnsiTheme="minorEastAsia" w:eastAsiaTheme="minorEastAsia"/>
          <w:b/>
          <w:sz w:val="24"/>
        </w:rPr>
        <w:t>1.</w:t>
      </w:r>
      <w:r>
        <w:rPr>
          <w:rFonts w:hint="eastAsia" w:asciiTheme="minorEastAsia" w:hAnsiTheme="minorEastAsia" w:eastAsiaTheme="minorEastAsia"/>
          <w:b/>
          <w:bCs/>
          <w:sz w:val="24"/>
        </w:rPr>
        <w:t>定义</w:t>
      </w:r>
    </w:p>
    <w:p w14:paraId="29D5AC42">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1.1合同当事人</w:t>
      </w:r>
    </w:p>
    <w:p w14:paraId="45B7F38F">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（1）采购人（以下称甲方）是指使用财政性资金，通过政府采购程序向供应商购买货物、服务的国家机关、事业单位、团体组织。本次采购的甲方名称、地址见</w:t>
      </w:r>
      <w:r>
        <w:rPr>
          <w:rFonts w:hint="eastAsia" w:asciiTheme="minorEastAsia" w:hAnsiTheme="minorEastAsia" w:eastAsiaTheme="minorEastAsia"/>
          <w:b/>
          <w:szCs w:val="21"/>
        </w:rPr>
        <w:t>【政府采购合同专用条款】。</w:t>
      </w:r>
    </w:p>
    <w:p w14:paraId="26E72238">
      <w:pPr>
        <w:autoSpaceDE w:val="0"/>
        <w:autoSpaceDN w:val="0"/>
        <w:adjustRightInd w:val="0"/>
        <w:snapToGrid w:val="0"/>
        <w:spacing w:before="50" w:line="360" w:lineRule="auto"/>
        <w:ind w:firstLine="420" w:firstLineChars="200"/>
        <w:jc w:val="left"/>
        <w:rPr>
          <w:rFonts w:asciiTheme="minorEastAsia" w:hAnsiTheme="minorEastAsia" w:eastAsiaTheme="minorEastAsia"/>
          <w:b/>
          <w:szCs w:val="21"/>
        </w:rPr>
      </w:pPr>
      <w:r>
        <w:rPr>
          <w:rFonts w:hint="eastAsia" w:asciiTheme="minorEastAsia" w:hAnsiTheme="minorEastAsia" w:eastAsiaTheme="minorEastAsia"/>
          <w:szCs w:val="21"/>
        </w:rPr>
        <w:t>（2）供应商（以下称乙方）是指参加政府采购活动而取得中标结果，并向采购人提供货物、服务的法人、其他组织或者自然人。</w:t>
      </w:r>
    </w:p>
    <w:p w14:paraId="2529E731">
      <w:pPr>
        <w:tabs>
          <w:tab w:val="left" w:pos="570"/>
          <w:tab w:val="left" w:pos="9240"/>
          <w:tab w:val="left" w:pos="9555"/>
        </w:tabs>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1.2本合同下列术语应解释为：</w:t>
      </w:r>
    </w:p>
    <w:p w14:paraId="1238268A">
      <w:pPr>
        <w:tabs>
          <w:tab w:val="left" w:pos="570"/>
          <w:tab w:val="left" w:pos="9240"/>
          <w:tab w:val="left" w:pos="9555"/>
        </w:tabs>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（1）“合同”系指甲乙双方签署的、政府采购合同协议书中载明的甲乙双方所达成的协议，包括所有的附件、附录和上述文件所提到的构成合同的所有文件。</w:t>
      </w:r>
    </w:p>
    <w:p w14:paraId="49DF349D">
      <w:pPr>
        <w:tabs>
          <w:tab w:val="left" w:pos="570"/>
          <w:tab w:val="left" w:pos="9240"/>
          <w:tab w:val="left" w:pos="9555"/>
        </w:tabs>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（2）“合同价”系指根据本合同规定乙方在正确地完全履行合同义务后甲方应支付给乙方的价款。</w:t>
      </w:r>
    </w:p>
    <w:p w14:paraId="2A19C694">
      <w:pPr>
        <w:tabs>
          <w:tab w:val="left" w:pos="570"/>
          <w:tab w:val="left" w:pos="9240"/>
          <w:tab w:val="left" w:pos="9555"/>
        </w:tabs>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（3）“货物”系指乙方根据本合同规定须向甲方提供的各种形态和种类的物品，包括原材料、设备、产品（包括软件）及相关的其备品备件、工具、手册及其它技术资料和材料。</w:t>
      </w:r>
    </w:p>
    <w:p w14:paraId="12FC6828">
      <w:pPr>
        <w:tabs>
          <w:tab w:val="left" w:pos="570"/>
          <w:tab w:val="left" w:pos="8880"/>
          <w:tab w:val="left" w:pos="9555"/>
        </w:tabs>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服务”系指根据合同规定，乙方应提供的技术、管理和其它服务，包括但不限于：管理和质量保证、运输、保险、检验、现场准备、安装、集成、调试、培训、维修、技术支持等以及合同中规定乙方应承担的其它义务。</w:t>
      </w:r>
    </w:p>
    <w:p w14:paraId="49F6484C">
      <w:pPr>
        <w:tabs>
          <w:tab w:val="left" w:pos="570"/>
          <w:tab w:val="left" w:pos="9240"/>
          <w:tab w:val="left" w:pos="9555"/>
        </w:tabs>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（5）“合同条款”系指本合同条款。</w:t>
      </w:r>
    </w:p>
    <w:p w14:paraId="48571DA6">
      <w:pPr>
        <w:tabs>
          <w:tab w:val="left" w:pos="570"/>
          <w:tab w:val="left" w:pos="9240"/>
          <w:tab w:val="left" w:pos="9555"/>
        </w:tabs>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（6）“项目现场”系指本合同项下货物安装、运行的现场，其名称见</w:t>
      </w:r>
      <w:r>
        <w:rPr>
          <w:rFonts w:hint="eastAsia" w:asciiTheme="minorEastAsia" w:hAnsiTheme="minorEastAsia" w:eastAsiaTheme="minorEastAsia"/>
          <w:b/>
          <w:szCs w:val="21"/>
        </w:rPr>
        <w:t>【政府采购合同专用条款】</w:t>
      </w:r>
      <w:r>
        <w:rPr>
          <w:rFonts w:hint="eastAsia" w:asciiTheme="minorEastAsia" w:hAnsiTheme="minorEastAsia" w:eastAsiaTheme="minorEastAsia"/>
          <w:szCs w:val="21"/>
        </w:rPr>
        <w:t>。</w:t>
      </w:r>
    </w:p>
    <w:p w14:paraId="1BE2362A">
      <w:pPr>
        <w:autoSpaceDE w:val="0"/>
        <w:autoSpaceDN w:val="0"/>
        <w:adjustRightInd w:val="0"/>
        <w:snapToGrid w:val="0"/>
        <w:spacing w:before="50"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2.合同的适用范围</w:t>
      </w:r>
    </w:p>
    <w:p w14:paraId="26C2EE9C">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2.1 本合同条款适用于没有被本合同其他部分的条款所取代的范围。</w:t>
      </w:r>
    </w:p>
    <w:p w14:paraId="275B5FB8">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2.2 合同内容根据招标文件、投标文件而确定。</w:t>
      </w:r>
    </w:p>
    <w:p w14:paraId="7F6FE037">
      <w:pPr>
        <w:autoSpaceDE w:val="0"/>
        <w:autoSpaceDN w:val="0"/>
        <w:adjustRightInd w:val="0"/>
        <w:snapToGrid w:val="0"/>
        <w:spacing w:before="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3.</w:t>
      </w:r>
      <w:r>
        <w:rPr>
          <w:rFonts w:hint="eastAsia" w:asciiTheme="minorEastAsia" w:hAnsiTheme="minorEastAsia" w:eastAsiaTheme="minorEastAsia"/>
          <w:b/>
          <w:sz w:val="24"/>
        </w:rPr>
        <w:t>合同标的及金额</w:t>
      </w:r>
    </w:p>
    <w:p w14:paraId="0CBE8E10">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3.1 合同标的及金额应与中标结果一致。</w:t>
      </w:r>
    </w:p>
    <w:p w14:paraId="77BA9A9E">
      <w:pPr>
        <w:autoSpaceDE w:val="0"/>
        <w:autoSpaceDN w:val="0"/>
        <w:adjustRightInd w:val="0"/>
        <w:snapToGrid w:val="0"/>
        <w:spacing w:before="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4.</w:t>
      </w:r>
      <w:r>
        <w:rPr>
          <w:rFonts w:hint="eastAsia" w:asciiTheme="minorEastAsia" w:hAnsiTheme="minorEastAsia" w:eastAsiaTheme="minorEastAsia"/>
          <w:b/>
          <w:sz w:val="24"/>
        </w:rPr>
        <w:t>合同价款</w:t>
      </w:r>
    </w:p>
    <w:p w14:paraId="0395F273">
      <w:pPr>
        <w:adjustRightInd w:val="0"/>
        <w:snapToGrid w:val="0"/>
        <w:spacing w:before="50" w:line="360" w:lineRule="auto"/>
        <w:ind w:firstLine="420" w:firstLineChars="200"/>
        <w:jc w:val="left"/>
        <w:rPr>
          <w:rFonts w:asciiTheme="minorEastAsia" w:hAnsiTheme="minorEastAsia" w:eastAsiaTheme="minorEastAsia"/>
          <w:b/>
          <w:bCs/>
          <w:i/>
          <w:iCs/>
          <w:szCs w:val="21"/>
        </w:rPr>
      </w:pPr>
      <w:r>
        <w:rPr>
          <w:rFonts w:hint="eastAsia" w:asciiTheme="minorEastAsia" w:hAnsiTheme="minorEastAsia" w:eastAsiaTheme="minorEastAsia"/>
          <w:szCs w:val="21"/>
        </w:rPr>
        <w:t>4.1具体合同价款见本合同第3.1条。乙方为履行本合同而发生的所有费用均应包含在合同价款中，甲方不再另行支付其它任何费用。</w:t>
      </w:r>
    </w:p>
    <w:p w14:paraId="07CC5254">
      <w:pPr>
        <w:adjustRightInd w:val="0"/>
        <w:snapToGrid w:val="0"/>
        <w:spacing w:before="50"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5.履行合同的时间、地点和方式</w:t>
      </w:r>
    </w:p>
    <w:p w14:paraId="797F82E3">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5.1 乙方应当在甲方确定的时间、指定的地点履行合同，具体的服务时间、地点和方式见</w:t>
      </w:r>
      <w:r>
        <w:rPr>
          <w:rFonts w:hint="eastAsia" w:asciiTheme="minorEastAsia" w:hAnsiTheme="minorEastAsia" w:eastAsiaTheme="minorEastAsia"/>
          <w:b/>
          <w:szCs w:val="21"/>
        </w:rPr>
        <w:t>【政府采购合同专用条款】</w:t>
      </w:r>
      <w:r>
        <w:rPr>
          <w:rFonts w:hint="eastAsia" w:asciiTheme="minorEastAsia" w:hAnsiTheme="minorEastAsia" w:eastAsiaTheme="minorEastAsia"/>
          <w:szCs w:val="21"/>
        </w:rPr>
        <w:t>。</w:t>
      </w:r>
    </w:p>
    <w:p w14:paraId="05B16AEE">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5.2 乙方提供服务的应当在甲方指定的地点完成服务项目。</w:t>
      </w:r>
    </w:p>
    <w:p w14:paraId="1D2B6994">
      <w:pPr>
        <w:adjustRightInd w:val="0"/>
        <w:snapToGrid w:val="0"/>
        <w:spacing w:before="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6.服务</w:t>
      </w:r>
      <w:r>
        <w:rPr>
          <w:rFonts w:hint="eastAsia" w:asciiTheme="minorEastAsia" w:hAnsiTheme="minorEastAsia" w:eastAsiaTheme="minorEastAsia"/>
          <w:b/>
          <w:sz w:val="24"/>
        </w:rPr>
        <w:t>的验收</w:t>
      </w:r>
    </w:p>
    <w:p w14:paraId="6DC5E42F">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6.1</w:t>
      </w:r>
      <w:r>
        <w:rPr>
          <w:rFonts w:hint="eastAsia" w:asciiTheme="minorEastAsia" w:hAnsiTheme="minorEastAsia" w:eastAsiaTheme="minorEastAsia"/>
          <w:szCs w:val="21"/>
        </w:rPr>
        <w:t>乙方提供的服务由甲方或者甲方的最终用户负责验收。</w:t>
      </w:r>
    </w:p>
    <w:p w14:paraId="5485A3E8">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6.2</w:t>
      </w:r>
      <w:r>
        <w:rPr>
          <w:rFonts w:hint="eastAsia" w:asciiTheme="minorEastAsia" w:hAnsiTheme="minorEastAsia" w:eastAsiaTheme="minorEastAsia"/>
          <w:szCs w:val="21"/>
        </w:rPr>
        <w:t>甲方或者甲方的最终用户应当按照采购合同规定的技术、服务等要求组织对乙方履约的验收，并出具验收书。验收书应当包括每一项技术、服务等要求的履约情况。</w:t>
      </w:r>
    </w:p>
    <w:p w14:paraId="51B279D7">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6.3 在验收过程中发现数量不足或有质量、安全、技术等问题，乙方应负责按照甲方的要求采取补足、更换等处理措施，并承担由此发生的一切费用和损失。</w:t>
      </w:r>
    </w:p>
    <w:p w14:paraId="02B71E9F">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6.4 甲方在乙方按合同规定提交服务或安装、调试后，无正当理由而拖延接收、验收或拒绝接收、验收的，应承担因此给乙方造成的直接损失。</w:t>
      </w:r>
    </w:p>
    <w:p w14:paraId="7E6642AA">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6.5</w:t>
      </w:r>
      <w:r>
        <w:rPr>
          <w:rFonts w:hint="eastAsia" w:asciiTheme="minorEastAsia" w:hAnsiTheme="minorEastAsia" w:eastAsiaTheme="minorEastAsia"/>
          <w:szCs w:val="21"/>
        </w:rPr>
        <w:t>大型或者复杂的项目，应当邀请国家认可的质量检测机构参加验收，并由其出具验收报告单。</w:t>
      </w:r>
    </w:p>
    <w:p w14:paraId="2573B1A3">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6.6</w:t>
      </w:r>
      <w:r>
        <w:rPr>
          <w:rFonts w:hint="eastAsia" w:asciiTheme="minorEastAsia" w:hAnsiTheme="minorEastAsia" w:eastAsiaTheme="minorEastAsia"/>
          <w:szCs w:val="21"/>
        </w:rPr>
        <w:t>政府向社会公众提供的公共服务项目，验收时应当邀请服务对象参与并出具意见，验收结果应当向社会公告。</w:t>
      </w:r>
    </w:p>
    <w:p w14:paraId="7DF310CD">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6.7 乙方提供的进口产品，乙方应出示中华人民共和国进出口商品检验部门出具的检验证书（招标文件第五章采购需求另有约定的除外）。</w:t>
      </w:r>
    </w:p>
    <w:p w14:paraId="4C396558">
      <w:pPr>
        <w:adjustRightInd w:val="0"/>
        <w:snapToGrid w:val="0"/>
        <w:spacing w:before="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7.货物包装要求</w:t>
      </w:r>
    </w:p>
    <w:p w14:paraId="5BDCCCBE">
      <w:pPr>
        <w:keepNext w:val="0"/>
        <w:keepLines w:val="0"/>
        <w:pageBreakBefore w:val="0"/>
        <w:widowControl w:val="0"/>
        <w:kinsoku/>
        <w:wordWrap/>
        <w:overflowPunct/>
        <w:topLinePunct w:val="0"/>
        <w:autoSpaceDE w:val="0"/>
        <w:autoSpaceDN w:val="0"/>
        <w:bidi w:val="0"/>
        <w:adjustRightInd w:val="0"/>
        <w:snapToGrid w:val="0"/>
        <w:spacing w:before="50" w:line="24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15AA3814">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7.2 每一个包装箱内应附一份详细装箱单、质量证书和保修保养证书。</w:t>
      </w:r>
    </w:p>
    <w:p w14:paraId="63ED0D39">
      <w:pPr>
        <w:adjustRightInd w:val="0"/>
        <w:snapToGrid w:val="0"/>
        <w:spacing w:before="50"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8.运输和保险</w:t>
      </w:r>
    </w:p>
    <w:p w14:paraId="51B89CD6">
      <w:pPr>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8.1乙方负责办理将货物运抵本合同第5.1条规定的交货地点的一切运输事项，相关费用应包括在合同总价中。</w:t>
      </w:r>
    </w:p>
    <w:p w14:paraId="796A39F9">
      <w:pPr>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8.2乙方应向保险公司投保以甲方为受益人的发运合同货物发票金额的110％运输一切险。</w:t>
      </w:r>
    </w:p>
    <w:p w14:paraId="6B7A06D4">
      <w:pPr>
        <w:adjustRightInd w:val="0"/>
        <w:snapToGrid w:val="0"/>
        <w:spacing w:before="50"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9.质量标准和保证</w:t>
      </w:r>
    </w:p>
    <w:p w14:paraId="01097A8F">
      <w:pPr>
        <w:pStyle w:val="23"/>
        <w:adjustRightInd w:val="0"/>
        <w:snapToGrid w:val="0"/>
        <w:spacing w:before="50" w:line="360" w:lineRule="auto"/>
        <w:ind w:firstLine="420" w:firstLineChars="200"/>
        <w:jc w:val="left"/>
        <w:rPr>
          <w:rFonts w:asciiTheme="minorEastAsia" w:hAnsiTheme="minorEastAsia" w:eastAsiaTheme="minorEastAsia"/>
          <w:b/>
        </w:rPr>
      </w:pPr>
      <w:r>
        <w:rPr>
          <w:rFonts w:hint="eastAsia" w:asciiTheme="minorEastAsia" w:hAnsiTheme="minorEastAsia" w:eastAsiaTheme="minorEastAsia"/>
        </w:rPr>
        <w:t>9.1 质量标准</w:t>
      </w:r>
    </w:p>
    <w:p w14:paraId="4092E15E">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（1）本合同下交付的服务应符合招标文件第四章“技术规格、参数与要求”所述的标准。如果没有提及适用标准，则应符合中华人民共和国有关机构发布的最新版本的标准。</w:t>
      </w:r>
    </w:p>
    <w:p w14:paraId="583D65F3">
      <w:pPr>
        <w:pStyle w:val="23"/>
        <w:adjustRightInd w:val="0"/>
        <w:snapToGrid w:val="0"/>
        <w:spacing w:before="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（2）采用中华人民共和国法定计量单位。</w:t>
      </w:r>
    </w:p>
    <w:p w14:paraId="101A5017">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（3）乙方所提供的服务还应符合国家有关安全、环保、卫生等规定。</w:t>
      </w:r>
    </w:p>
    <w:p w14:paraId="48EA372C">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9.2 保证</w:t>
      </w:r>
    </w:p>
    <w:p w14:paraId="391EC593">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Theme="minorEastAsia" w:hAnsiTheme="minorEastAsia" w:eastAsiaTheme="minorEastAsia"/>
          <w:b/>
          <w:szCs w:val="21"/>
        </w:rPr>
        <w:t>【政府采购合同专用条款】</w:t>
      </w:r>
      <w:r>
        <w:rPr>
          <w:rFonts w:hint="eastAsia" w:asciiTheme="minorEastAsia" w:hAnsiTheme="minorEastAsia" w:eastAsiaTheme="minorEastAsia"/>
          <w:szCs w:val="21"/>
        </w:rPr>
        <w:t>规定或乙方承诺（两者以较长的为准）的质量保证期内，本保证保持有效。</w:t>
      </w:r>
    </w:p>
    <w:p w14:paraId="2E41A072">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（2）在质量保证期内所发现的缺陷，甲方应尽快以书面形式通知乙方。</w:t>
      </w:r>
    </w:p>
    <w:p w14:paraId="235CC7AB">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（3）乙方收到通知后应在</w:t>
      </w:r>
      <w:r>
        <w:rPr>
          <w:rFonts w:hint="eastAsia" w:asciiTheme="minorEastAsia" w:hAnsiTheme="minorEastAsia" w:eastAsiaTheme="minorEastAsia"/>
          <w:b/>
          <w:szCs w:val="21"/>
        </w:rPr>
        <w:t>【政府采购合同专用条款】</w:t>
      </w:r>
      <w:r>
        <w:rPr>
          <w:rFonts w:hint="eastAsia" w:asciiTheme="minorEastAsia" w:hAnsiTheme="minorEastAsia" w:eastAsiaTheme="minorEastAsia"/>
          <w:szCs w:val="21"/>
        </w:rPr>
        <w:t>规定的响应时间内以合理的速度免费维修或更换有缺陷的货物或部件。</w:t>
      </w:r>
    </w:p>
    <w:p w14:paraId="18F16197">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（4）在质量保证期内，如果货物的质量或规格与合同不符，或证实货物是有缺陷的，包括潜在的缺陷或使用不符合要求的材料等，甲方可以根据本合同第15.1条规定以书面形式向乙方提出补救措施或索赔。</w:t>
      </w:r>
    </w:p>
    <w:p w14:paraId="22BA6361">
      <w:pPr>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（5）乙方在约定的时间内未能弥补缺陷，甲方可采取必要的补救措施，但其风险和费用将由乙方承担，甲方根据合同规定对乙方行使的其他权利不受影响。</w:t>
      </w:r>
    </w:p>
    <w:p w14:paraId="71BA9464">
      <w:pPr>
        <w:adjustRightInd w:val="0"/>
        <w:snapToGrid w:val="0"/>
        <w:spacing w:before="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10.权利瑕疵担保</w:t>
      </w:r>
    </w:p>
    <w:p w14:paraId="0E173C4F">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10.1 乙方保证对其出售的服务享有合法的权利。</w:t>
      </w:r>
    </w:p>
    <w:p w14:paraId="4DA31E9C">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10.2 乙方保证在其出售的服务上不存在任何未曾向甲方透露的担保物权，如抵押权、质押权、留置权等。</w:t>
      </w:r>
    </w:p>
    <w:p w14:paraId="3EF630A0">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10.3 如甲方使用该服务构成上述侵权的，则由乙方承担全部责任。</w:t>
      </w:r>
    </w:p>
    <w:p w14:paraId="1721FFE5">
      <w:pPr>
        <w:autoSpaceDE w:val="0"/>
        <w:autoSpaceDN w:val="0"/>
        <w:adjustRightInd w:val="0"/>
        <w:snapToGrid w:val="0"/>
        <w:spacing w:before="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11.知识产权保护</w:t>
      </w:r>
    </w:p>
    <w:p w14:paraId="76516EB2">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11.1 乙方对其所提供的服务应当享有知识产权或经权利人合法授权，保证没有侵犯任何第三人的知识产权和商业秘密等权利。</w:t>
      </w:r>
    </w:p>
    <w:p w14:paraId="5C56DFA8">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11.2 甲方使用乙方提供的服务对第三人构成侵权的，应当由乙方承担全部法律责任，给甲方造成损害的，乙方应当承担赔偿责任。</w:t>
      </w:r>
    </w:p>
    <w:p w14:paraId="7F43B9AB">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11.3 甲方委托乙方开发的产品，甲方享有知识产权，未经甲方许可不得转让任何第三人。</w:t>
      </w:r>
    </w:p>
    <w:p w14:paraId="515D59FF">
      <w:pPr>
        <w:autoSpaceDE w:val="0"/>
        <w:autoSpaceDN w:val="0"/>
        <w:adjustRightInd w:val="0"/>
        <w:snapToGrid w:val="0"/>
        <w:spacing w:before="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12.保密义务</w:t>
      </w:r>
    </w:p>
    <w:p w14:paraId="1051681B">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12.1 甲、乙双方在采购和履行合同过程中所获悉的对方属于保密的内容，双方均有保密义务。</w:t>
      </w:r>
    </w:p>
    <w:p w14:paraId="352708A7">
      <w:pPr>
        <w:autoSpaceDE w:val="0"/>
        <w:autoSpaceDN w:val="0"/>
        <w:adjustRightInd w:val="0"/>
        <w:snapToGrid w:val="0"/>
        <w:spacing w:before="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13.合同价款支付</w:t>
      </w:r>
    </w:p>
    <w:p w14:paraId="1C84709C">
      <w:pPr>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13.1验收合格后，乙方出具正规发票给甲方，凭甲方开具的《政府采购合同验收报告单》办理合同价</w:t>
      </w:r>
      <w:r>
        <w:rPr>
          <w:rFonts w:hint="eastAsia" w:asciiTheme="minorEastAsia" w:hAnsiTheme="minorEastAsia" w:eastAsiaTheme="minorEastAsia"/>
          <w:bCs/>
          <w:szCs w:val="21"/>
        </w:rPr>
        <w:t>款</w:t>
      </w:r>
      <w:r>
        <w:rPr>
          <w:rFonts w:hint="eastAsia" w:asciiTheme="minorEastAsia" w:hAnsiTheme="minorEastAsia" w:eastAsiaTheme="minorEastAsia"/>
          <w:szCs w:val="21"/>
        </w:rPr>
        <w:t>结算手续。</w:t>
      </w:r>
    </w:p>
    <w:p w14:paraId="076611CC">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13.2 合同价款构成中应当由财政支付的部分，甲方应当在货物验收合格后的十五个工作日内向国库管理部门申请支付，经国库管理部门审核后直接支付给乙方。</w:t>
      </w:r>
    </w:p>
    <w:p w14:paraId="54813FF3">
      <w:pPr>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13.3 合同价款构成中应当由甲方自行支付的部分，甲方应当在货物验收合格后十五个工作内支付。</w:t>
      </w:r>
    </w:p>
    <w:p w14:paraId="5709067F">
      <w:pPr>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13.4支付合同价</w:t>
      </w:r>
      <w:r>
        <w:rPr>
          <w:rFonts w:hint="eastAsia" w:asciiTheme="minorEastAsia" w:hAnsiTheme="minorEastAsia" w:eastAsiaTheme="minorEastAsia"/>
          <w:bCs/>
          <w:szCs w:val="21"/>
        </w:rPr>
        <w:t>款</w:t>
      </w:r>
      <w:r>
        <w:rPr>
          <w:rFonts w:hint="eastAsia" w:asciiTheme="minorEastAsia" w:hAnsiTheme="minorEastAsia" w:eastAsiaTheme="minorEastAsia"/>
          <w:szCs w:val="21"/>
        </w:rPr>
        <w:t>时，一律不向乙方以外的任何第三方办理付款手续。开户行和账号以签订的政府采购合同为准，如果乙方要求变更，则乙方必须提供加盖了财务专用章、法定代表人签字的证明文件，报经甲方审查同意。</w:t>
      </w:r>
    </w:p>
    <w:p w14:paraId="55717C35">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13.5 合同价款支付方式</w:t>
      </w:r>
      <w:r>
        <w:rPr>
          <w:rFonts w:hint="eastAsia" w:asciiTheme="minorEastAsia" w:hAnsiTheme="minorEastAsia" w:eastAsiaTheme="minorEastAsia"/>
          <w:bCs/>
          <w:szCs w:val="21"/>
        </w:rPr>
        <w:t>和条件在</w:t>
      </w:r>
      <w:r>
        <w:rPr>
          <w:rFonts w:hint="eastAsia" w:asciiTheme="minorEastAsia" w:hAnsiTheme="minorEastAsia" w:eastAsiaTheme="minorEastAsia"/>
          <w:b/>
          <w:szCs w:val="21"/>
        </w:rPr>
        <w:t>【政府采购合同专用条款】</w:t>
      </w:r>
      <w:r>
        <w:rPr>
          <w:rFonts w:hint="eastAsia" w:asciiTheme="minorEastAsia" w:hAnsiTheme="minorEastAsia" w:eastAsiaTheme="minorEastAsia"/>
          <w:szCs w:val="21"/>
        </w:rPr>
        <w:t>中另有规定。</w:t>
      </w:r>
    </w:p>
    <w:p w14:paraId="6953BAE1">
      <w:pPr>
        <w:autoSpaceDE w:val="0"/>
        <w:autoSpaceDN w:val="0"/>
        <w:adjustRightInd w:val="0"/>
        <w:snapToGrid w:val="0"/>
        <w:spacing w:before="50" w:line="360" w:lineRule="auto"/>
        <w:jc w:val="left"/>
        <w:rPr>
          <w:rFonts w:asciiTheme="minorEastAsia" w:hAnsiTheme="minorEastAsia" w:eastAsiaTheme="minorEastAsia"/>
          <w:b/>
          <w:sz w:val="24"/>
        </w:rPr>
      </w:pPr>
      <w:r>
        <w:rPr>
          <w:rFonts w:hint="eastAsia" w:asciiTheme="minorEastAsia" w:hAnsiTheme="minorEastAsia" w:eastAsiaTheme="minorEastAsia"/>
          <w:b/>
          <w:bCs/>
          <w:sz w:val="24"/>
        </w:rPr>
        <w:t>14.</w:t>
      </w:r>
      <w:r>
        <w:rPr>
          <w:rFonts w:hint="eastAsia"/>
          <w:b/>
          <w:sz w:val="24"/>
        </w:rPr>
        <w:t>乙方应提供的</w:t>
      </w:r>
      <w:r>
        <w:rPr>
          <w:rFonts w:hint="eastAsia" w:asciiTheme="minorEastAsia" w:hAnsiTheme="minorEastAsia" w:eastAsiaTheme="minorEastAsia"/>
          <w:b/>
          <w:sz w:val="24"/>
        </w:rPr>
        <w:t>服务</w:t>
      </w:r>
    </w:p>
    <w:p w14:paraId="7A940B9A">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14.1 乙方应向甲方提交所提供货物的技术文件，包括相应的中文技术文件，如：产品目录、图纸、操作手册、使用说明、维护手册或服务指南。这些文件应包装好随同货物一起发运。</w:t>
      </w:r>
    </w:p>
    <w:p w14:paraId="7FA2F5CE">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14.2 乙方还应提供下列服务：</w:t>
      </w:r>
    </w:p>
    <w:p w14:paraId="16CC23AA">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（1）货物的现场移动、安装、调试、启动监督及技术支持；</w:t>
      </w:r>
    </w:p>
    <w:p w14:paraId="5E849B33">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（2）提供货物组装和维修所需的专用工具和辅助材料；</w:t>
      </w:r>
    </w:p>
    <w:p w14:paraId="08198291">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（3）在合同各方商定的一定期限内对所有的货物实施运行监督、维修，但前提条件是该服务并不能免除乙方在质量保证期内所承担的义务；</w:t>
      </w:r>
    </w:p>
    <w:p w14:paraId="1CA16934">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（4）在制造商或项目现场就货物的安装、启动、运营、维护对甲方操作人员进行培训；</w:t>
      </w:r>
    </w:p>
    <w:p w14:paraId="4518F582">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hint="eastAsia" w:asciiTheme="minorEastAsia" w:hAnsiTheme="minorEastAsia" w:eastAsiaTheme="minorEastAsia"/>
          <w:b/>
          <w:szCs w:val="21"/>
        </w:rPr>
        <w:t>【政府采购合同专用条款】</w:t>
      </w:r>
      <w:r>
        <w:rPr>
          <w:rFonts w:hint="eastAsia" w:asciiTheme="minorEastAsia" w:hAnsiTheme="minorEastAsia" w:eastAsiaTheme="minorEastAsia"/>
          <w:szCs w:val="21"/>
        </w:rPr>
        <w:t>规定由乙方提供的其他服务。</w:t>
      </w:r>
    </w:p>
    <w:p w14:paraId="56A83AED">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14.3 乙方提供的服务的费用应包含在合同价款中，甲方不再另行支付。</w:t>
      </w:r>
    </w:p>
    <w:p w14:paraId="41887012">
      <w:pPr>
        <w:adjustRightInd w:val="0"/>
        <w:snapToGrid w:val="0"/>
        <w:spacing w:before="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15.违约责任</w:t>
      </w:r>
    </w:p>
    <w:p w14:paraId="2DCBE0CC">
      <w:pPr>
        <w:adjustRightInd w:val="0"/>
        <w:snapToGrid w:val="0"/>
        <w:spacing w:before="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15.1质量瑕疵的补救措施和索赔</w:t>
      </w:r>
    </w:p>
    <w:p w14:paraId="7AF921C3">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如果乙方提供的服务或产品不符合质量标准或存在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14:paraId="67E6E0F6">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①乙方同意退货并将货款退还给甲方，由此发生的一切费用和损失由乙方承担。</w:t>
      </w:r>
    </w:p>
    <w:p w14:paraId="2D3177DB">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②根据货物的质量状况以及甲方所遭受的损失，经过甲乙双方商定降低货物的价格。</w:t>
      </w:r>
    </w:p>
    <w:p w14:paraId="176DBFCC">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1E898A4B">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2E609A6A">
      <w:pPr>
        <w:autoSpaceDE w:val="0"/>
        <w:autoSpaceDN w:val="0"/>
        <w:adjustRightInd w:val="0"/>
        <w:snapToGrid w:val="0"/>
        <w:spacing w:before="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15.2 迟延交付服务的违约责任</w:t>
      </w:r>
    </w:p>
    <w:p w14:paraId="7673102C">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627FA36D">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（2）除本合同</w:t>
      </w:r>
      <w:r>
        <w:rPr>
          <w:rFonts w:hint="eastAsia" w:asciiTheme="minorEastAsia" w:hAnsiTheme="minorEastAsia" w:eastAsiaTheme="minorEastAsia"/>
          <w:bCs/>
          <w:szCs w:val="21"/>
        </w:rPr>
        <w:t>第20条</w:t>
      </w:r>
      <w:r>
        <w:rPr>
          <w:rFonts w:hint="eastAsia" w:asciiTheme="minorEastAsia" w:hAnsiTheme="minorEastAsia" w:eastAsiaTheme="minorEastAsia"/>
          <w:szCs w:val="21"/>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17C73974">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1E17A724">
      <w:pPr>
        <w:autoSpaceDE w:val="0"/>
        <w:autoSpaceDN w:val="0"/>
        <w:adjustRightInd w:val="0"/>
        <w:snapToGrid w:val="0"/>
        <w:spacing w:before="50"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16.合同的变更</w:t>
      </w:r>
    </w:p>
    <w:p w14:paraId="6E9E0B67">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16.1 在合同履行过程中，甲、乙双方可就合同履行的时间、地点和方式等协商进行变更。协商一致后，双方应签订书面的补充协议。</w:t>
      </w:r>
    </w:p>
    <w:p w14:paraId="1682EB21">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16.2 在不改变合同其他条款的前提下，甲方有权在合同价款百分之十的范围内追加与合同标的相同的货物或服务，并就此与乙方签订补充合同，乙方不得拒绝。</w:t>
      </w:r>
    </w:p>
    <w:p w14:paraId="414E700D">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16.3 除双方签署书面协议，并成为合同不可分割的一部分外，本合同条件不得有任何变更。</w:t>
      </w:r>
    </w:p>
    <w:p w14:paraId="36759038">
      <w:pPr>
        <w:autoSpaceDE w:val="0"/>
        <w:autoSpaceDN w:val="0"/>
        <w:adjustRightInd w:val="0"/>
        <w:snapToGrid w:val="0"/>
        <w:spacing w:before="50"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17.合同中止与终止</w:t>
      </w:r>
    </w:p>
    <w:p w14:paraId="1E8E267A">
      <w:pPr>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17.1合同的中止</w:t>
      </w:r>
    </w:p>
    <w:p w14:paraId="6B507C99">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（1）合同在履行过程中，因采购计划调整，甲方可以要求中止履行，待计划确定后继续履行；</w:t>
      </w:r>
    </w:p>
    <w:p w14:paraId="501F2063">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（2）合同履行过程中因供应商就采购过程或结果提起投诉的，甲方认为有必要或财政部门责令中止的，应当中止合同的履行。</w:t>
      </w:r>
    </w:p>
    <w:p w14:paraId="242A88C2">
      <w:pPr>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17.2合同的终止</w:t>
      </w:r>
    </w:p>
    <w:p w14:paraId="27953455">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（1）合同因有效期限届满而终止；</w:t>
      </w:r>
    </w:p>
    <w:p w14:paraId="1F9C2149">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（2）乙方未能依照本合同约定条件履行合同，已构成根本性违约的，甲方有权终止本合同，并追究乙方的违约责任。</w:t>
      </w:r>
    </w:p>
    <w:p w14:paraId="74AC181E">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（3）如果乙方丧失履约能力或被宣告破产，甲方可在任何时候以书面形式通知乙方终止合同而不给乙方补偿。</w:t>
      </w:r>
    </w:p>
    <w:p w14:paraId="398FFA6B">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（4）如果乙方在履行合同过程中有不正当竞争行为，甲方有权解除合同，并按《中华人民共和国反不正当竞争法》规定由有关部门追究其法律责任。</w:t>
      </w:r>
    </w:p>
    <w:p w14:paraId="39766A30">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（5）如果合同的履行将损害国家利益或社会公共利益，甲方有权终止合同的履行，给乙方造成损失的予以相应补偿。</w:t>
      </w:r>
    </w:p>
    <w:p w14:paraId="13E77ED6">
      <w:pPr>
        <w:autoSpaceDE w:val="0"/>
        <w:autoSpaceDN w:val="0"/>
        <w:adjustRightInd w:val="0"/>
        <w:snapToGrid w:val="0"/>
        <w:spacing w:before="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18.合同转让和分包</w:t>
      </w:r>
    </w:p>
    <w:p w14:paraId="40663D7C">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18.1 乙方不得以任何形式将合同转包。</w:t>
      </w:r>
    </w:p>
    <w:p w14:paraId="778487A9">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18.2 乙方未在投标文件中说明，不得将</w:t>
      </w:r>
      <w:r>
        <w:rPr>
          <w:rFonts w:hint="eastAsia" w:asciiTheme="minorEastAsia" w:hAnsiTheme="minorEastAsia" w:eastAsiaTheme="minorEastAsia"/>
          <w:bCs/>
          <w:szCs w:val="21"/>
        </w:rPr>
        <w:t>合同</w:t>
      </w:r>
      <w:r>
        <w:rPr>
          <w:rFonts w:hint="eastAsia" w:asciiTheme="minorEastAsia" w:hAnsiTheme="minorEastAsia" w:eastAsiaTheme="minorEastAsia"/>
          <w:szCs w:val="21"/>
        </w:rPr>
        <w:t>的非主体、非关键性工作分包给他人。</w:t>
      </w:r>
    </w:p>
    <w:p w14:paraId="27815E2D">
      <w:pPr>
        <w:autoSpaceDE w:val="0"/>
        <w:autoSpaceDN w:val="0"/>
        <w:adjustRightInd w:val="0"/>
        <w:snapToGrid w:val="0"/>
        <w:spacing w:before="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19.不可抗力</w:t>
      </w:r>
    </w:p>
    <w:p w14:paraId="79B018D9">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19.1 不可抗力是指合同双方不可预见、不可避免、不可克服的自然灾害和社会事件。</w:t>
      </w:r>
    </w:p>
    <w:p w14:paraId="5FD4BD2E">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19.2 任何一方对由于不可抗力造成的部分或全部不能履行合同不承担违约责任。但迟延履行后发生不可抗力的，不能免除责任。</w:t>
      </w:r>
    </w:p>
    <w:p w14:paraId="459A4DAA">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19.3 遇有不可抗力的一方，应在三日内将事件的情况以书面形式通知另一方，并在事件发生后十日内，向另一方提交合同不能履行或部分不能履行或需要延期履行理由的报告。</w:t>
      </w:r>
    </w:p>
    <w:p w14:paraId="7CDAE367">
      <w:pPr>
        <w:autoSpaceDE w:val="0"/>
        <w:autoSpaceDN w:val="0"/>
        <w:adjustRightInd w:val="0"/>
        <w:snapToGrid w:val="0"/>
        <w:spacing w:before="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20.解决争议的方法</w:t>
      </w:r>
    </w:p>
    <w:p w14:paraId="27792608">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20.1 合同各方应通过友好协商，解决在执行合同过程中所发生的或与合同有关的一切争端。如从协商开始后十日内仍不能解决，可以向财政部门提请调解。</w:t>
      </w:r>
    </w:p>
    <w:p w14:paraId="0EF112FD">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20.2 调解不成可以按</w:t>
      </w:r>
      <w:r>
        <w:rPr>
          <w:rFonts w:hint="eastAsia" w:asciiTheme="minorEastAsia" w:hAnsiTheme="minorEastAsia" w:eastAsiaTheme="minorEastAsia"/>
          <w:b/>
          <w:szCs w:val="21"/>
        </w:rPr>
        <w:t>【政府采购合同专用条款】</w:t>
      </w:r>
      <w:r>
        <w:rPr>
          <w:rFonts w:hint="eastAsia" w:asciiTheme="minorEastAsia" w:hAnsiTheme="minorEastAsia" w:eastAsiaTheme="minorEastAsia"/>
          <w:szCs w:val="21"/>
        </w:rPr>
        <w:t>中约定中规定下列方式之一提起仲裁或诉讼：</w:t>
      </w:r>
    </w:p>
    <w:p w14:paraId="79397FD6">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（1）向甲方所在地仲裁机构提起仲裁；</w:t>
      </w:r>
    </w:p>
    <w:p w14:paraId="5ACED8D6">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（2）向甲方所在地人民法院提起诉讼。</w:t>
      </w:r>
    </w:p>
    <w:p w14:paraId="46446715">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20.3 如仲裁或诉讼事项不影响合同其它部分的履行，则在仲裁或诉讼期间，除正在进行仲裁或诉讼的部分外，合同的其它部分应继续执行。</w:t>
      </w:r>
    </w:p>
    <w:p w14:paraId="3FF61A2A">
      <w:pPr>
        <w:autoSpaceDE w:val="0"/>
        <w:autoSpaceDN w:val="0"/>
        <w:adjustRightInd w:val="0"/>
        <w:snapToGrid w:val="0"/>
        <w:spacing w:before="50"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21.法律适用</w:t>
      </w:r>
    </w:p>
    <w:p w14:paraId="1C242C47">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21.1 本合同适用中华人民共和国现行法律、行政法规和规章，如合同条款与法律、行政法规和规章不一致的，按照法律、行政法规和规章修改本合同。</w:t>
      </w:r>
    </w:p>
    <w:p w14:paraId="77EE7C88">
      <w:pPr>
        <w:autoSpaceDE w:val="0"/>
        <w:autoSpaceDN w:val="0"/>
        <w:adjustRightInd w:val="0"/>
        <w:snapToGrid w:val="0"/>
        <w:spacing w:before="50" w:line="360" w:lineRule="auto"/>
        <w:jc w:val="left"/>
        <w:rPr>
          <w:rFonts w:asciiTheme="minorEastAsia" w:hAnsiTheme="minorEastAsia" w:eastAsiaTheme="minorEastAsia"/>
          <w:b/>
          <w:sz w:val="24"/>
        </w:rPr>
      </w:pPr>
      <w:r>
        <w:rPr>
          <w:rFonts w:hint="eastAsia" w:asciiTheme="minorEastAsia" w:hAnsiTheme="minorEastAsia" w:eastAsiaTheme="minorEastAsia"/>
          <w:b/>
          <w:bCs/>
          <w:sz w:val="24"/>
        </w:rPr>
        <w:t>22.</w:t>
      </w:r>
      <w:r>
        <w:rPr>
          <w:rFonts w:hint="eastAsia" w:asciiTheme="minorEastAsia" w:hAnsiTheme="minorEastAsia" w:eastAsiaTheme="minorEastAsia"/>
          <w:b/>
          <w:sz w:val="24"/>
        </w:rPr>
        <w:t>通知</w:t>
      </w:r>
    </w:p>
    <w:p w14:paraId="126886B2">
      <w:pPr>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22.1本合同一方给另一方的通知均应采用书面形式，传真或快递送到本合同中规定的对方的地址和办理签收手续，</w:t>
      </w:r>
    </w:p>
    <w:p w14:paraId="3A51D4BB">
      <w:pPr>
        <w:adjustRightInd w:val="0"/>
        <w:snapToGrid w:val="0"/>
        <w:spacing w:before="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22.2通知以送到之日或通知书中规定的生效之日起生效，两者中以较迟之日为准。</w:t>
      </w:r>
    </w:p>
    <w:p w14:paraId="653658B5">
      <w:pPr>
        <w:adjustRightInd w:val="0"/>
        <w:snapToGrid w:val="0"/>
        <w:spacing w:before="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23. 合同未尽事项</w:t>
      </w:r>
    </w:p>
    <w:p w14:paraId="3D48102C">
      <w:pPr>
        <w:adjustRightInd w:val="0"/>
        <w:snapToGrid w:val="0"/>
        <w:spacing w:before="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23.1合同未尽事项见</w:t>
      </w:r>
      <w:r>
        <w:rPr>
          <w:rFonts w:hint="eastAsia" w:asciiTheme="minorEastAsia" w:hAnsiTheme="minorEastAsia" w:eastAsiaTheme="minorEastAsia"/>
          <w:b/>
          <w:szCs w:val="21"/>
        </w:rPr>
        <w:t>【政府采购合同专用条款】。</w:t>
      </w:r>
    </w:p>
    <w:p w14:paraId="5B51276E">
      <w:pPr>
        <w:adjustRightInd w:val="0"/>
        <w:snapToGrid w:val="0"/>
        <w:spacing w:before="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24.合同生效</w:t>
      </w:r>
    </w:p>
    <w:p w14:paraId="173B1887">
      <w:bookmarkStart w:id="142" w:name="_Toc18579"/>
      <w:r>
        <w:t xml:space="preserve">24.1 </w:t>
      </w:r>
      <w:r>
        <w:rPr>
          <w:rFonts w:hint="eastAsia"/>
        </w:rPr>
        <w:t>本合同在合同双方签字盖章后生效。</w:t>
      </w:r>
      <w:bookmarkEnd w:id="142"/>
    </w:p>
    <w:p w14:paraId="07E17506">
      <w:pPr>
        <w:adjustRightInd w:val="0"/>
        <w:snapToGrid w:val="0"/>
        <w:spacing w:line="360" w:lineRule="auto"/>
        <w:jc w:val="center"/>
        <w:rPr>
          <w:rFonts w:ascii="黑体" w:hAnsi="华文中宋" w:eastAsia="黑体"/>
          <w:b/>
          <w:bCs/>
          <w:sz w:val="28"/>
          <w:szCs w:val="28"/>
        </w:rPr>
      </w:pPr>
    </w:p>
    <w:p w14:paraId="4C082956">
      <w:pPr>
        <w:adjustRightInd w:val="0"/>
        <w:snapToGrid w:val="0"/>
        <w:spacing w:line="360" w:lineRule="auto"/>
        <w:jc w:val="center"/>
        <w:rPr>
          <w:rFonts w:ascii="黑体" w:hAnsi="华文中宋" w:eastAsia="黑体"/>
          <w:b/>
          <w:bCs/>
          <w:sz w:val="28"/>
          <w:szCs w:val="28"/>
        </w:rPr>
      </w:pPr>
    </w:p>
    <w:p w14:paraId="046A6204">
      <w:pPr>
        <w:adjustRightInd w:val="0"/>
        <w:snapToGrid w:val="0"/>
        <w:spacing w:line="360" w:lineRule="auto"/>
        <w:jc w:val="center"/>
        <w:rPr>
          <w:rFonts w:ascii="黑体" w:hAnsi="华文中宋" w:eastAsia="黑体"/>
          <w:b/>
          <w:bCs/>
          <w:sz w:val="28"/>
          <w:szCs w:val="28"/>
        </w:rPr>
      </w:pPr>
    </w:p>
    <w:p w14:paraId="3350BC24">
      <w:pPr>
        <w:adjustRightInd w:val="0"/>
        <w:snapToGrid w:val="0"/>
        <w:spacing w:line="360" w:lineRule="auto"/>
        <w:jc w:val="center"/>
        <w:rPr>
          <w:rFonts w:ascii="黑体" w:hAnsi="华文中宋" w:eastAsia="黑体"/>
          <w:b/>
          <w:bCs/>
          <w:sz w:val="28"/>
          <w:szCs w:val="28"/>
        </w:rPr>
      </w:pPr>
    </w:p>
    <w:p w14:paraId="1BDE1142">
      <w:pPr>
        <w:adjustRightInd w:val="0"/>
        <w:snapToGrid w:val="0"/>
        <w:spacing w:line="360" w:lineRule="auto"/>
        <w:jc w:val="center"/>
        <w:rPr>
          <w:rFonts w:ascii="黑体" w:hAnsi="华文中宋" w:eastAsia="黑体"/>
          <w:b/>
          <w:bCs/>
          <w:sz w:val="28"/>
          <w:szCs w:val="28"/>
        </w:rPr>
      </w:pPr>
    </w:p>
    <w:p w14:paraId="38F6607C">
      <w:pPr>
        <w:adjustRightInd w:val="0"/>
        <w:snapToGrid w:val="0"/>
        <w:spacing w:line="360" w:lineRule="auto"/>
        <w:jc w:val="center"/>
        <w:rPr>
          <w:rFonts w:ascii="黑体" w:hAnsi="华文中宋" w:eastAsia="黑体"/>
          <w:b/>
          <w:bCs/>
          <w:sz w:val="28"/>
          <w:szCs w:val="28"/>
        </w:rPr>
      </w:pPr>
    </w:p>
    <w:p w14:paraId="695B6349">
      <w:pPr>
        <w:adjustRightInd w:val="0"/>
        <w:snapToGrid w:val="0"/>
        <w:spacing w:line="360" w:lineRule="auto"/>
        <w:jc w:val="center"/>
        <w:rPr>
          <w:rFonts w:ascii="黑体" w:hAnsi="华文中宋" w:eastAsia="黑体"/>
          <w:b/>
          <w:bCs/>
          <w:sz w:val="28"/>
          <w:szCs w:val="28"/>
        </w:rPr>
      </w:pPr>
    </w:p>
    <w:p w14:paraId="2C096940">
      <w:pPr>
        <w:adjustRightInd w:val="0"/>
        <w:snapToGrid w:val="0"/>
        <w:spacing w:line="360" w:lineRule="auto"/>
        <w:jc w:val="center"/>
        <w:rPr>
          <w:rFonts w:ascii="黑体" w:hAnsi="华文中宋" w:eastAsia="黑体"/>
          <w:b/>
          <w:bCs/>
          <w:sz w:val="28"/>
          <w:szCs w:val="28"/>
        </w:rPr>
      </w:pPr>
    </w:p>
    <w:p w14:paraId="0EB59BB0">
      <w:pPr>
        <w:adjustRightInd w:val="0"/>
        <w:snapToGrid w:val="0"/>
        <w:spacing w:line="360" w:lineRule="auto"/>
        <w:jc w:val="center"/>
        <w:rPr>
          <w:rFonts w:ascii="黑体" w:hAnsi="华文中宋" w:eastAsia="黑体"/>
          <w:b/>
          <w:bCs/>
          <w:sz w:val="28"/>
          <w:szCs w:val="28"/>
        </w:rPr>
      </w:pPr>
    </w:p>
    <w:p w14:paraId="0586840C">
      <w:pPr>
        <w:adjustRightInd w:val="0"/>
        <w:snapToGrid w:val="0"/>
        <w:spacing w:line="360" w:lineRule="auto"/>
        <w:jc w:val="center"/>
        <w:rPr>
          <w:rFonts w:ascii="黑体" w:hAnsi="华文中宋" w:eastAsia="黑体"/>
          <w:b/>
          <w:bCs/>
          <w:sz w:val="28"/>
          <w:szCs w:val="28"/>
        </w:rPr>
      </w:pPr>
    </w:p>
    <w:p w14:paraId="710E2565">
      <w:pPr>
        <w:adjustRightInd w:val="0"/>
        <w:snapToGrid w:val="0"/>
        <w:spacing w:line="360" w:lineRule="auto"/>
        <w:jc w:val="center"/>
        <w:rPr>
          <w:rFonts w:ascii="黑体" w:hAnsi="华文中宋" w:eastAsia="黑体"/>
          <w:b/>
          <w:bCs/>
          <w:sz w:val="28"/>
          <w:szCs w:val="28"/>
        </w:rPr>
      </w:pPr>
    </w:p>
    <w:p w14:paraId="3F7168B0">
      <w:pPr>
        <w:adjustRightInd w:val="0"/>
        <w:snapToGrid w:val="0"/>
        <w:spacing w:line="360" w:lineRule="auto"/>
        <w:jc w:val="center"/>
        <w:rPr>
          <w:rFonts w:ascii="黑体" w:hAnsi="华文中宋" w:eastAsia="黑体"/>
          <w:b/>
          <w:bCs/>
          <w:sz w:val="28"/>
          <w:szCs w:val="28"/>
        </w:rPr>
      </w:pPr>
    </w:p>
    <w:p w14:paraId="0E210BA0">
      <w:pPr>
        <w:adjustRightInd w:val="0"/>
        <w:snapToGrid w:val="0"/>
        <w:spacing w:line="360" w:lineRule="auto"/>
        <w:jc w:val="center"/>
        <w:rPr>
          <w:rFonts w:ascii="黑体" w:hAnsi="华文中宋" w:eastAsia="黑体"/>
          <w:b/>
          <w:bCs/>
          <w:sz w:val="28"/>
          <w:szCs w:val="28"/>
        </w:rPr>
      </w:pPr>
    </w:p>
    <w:p w14:paraId="1B694CBD">
      <w:pPr>
        <w:adjustRightInd w:val="0"/>
        <w:snapToGrid w:val="0"/>
        <w:spacing w:line="360" w:lineRule="auto"/>
        <w:jc w:val="center"/>
        <w:rPr>
          <w:rFonts w:ascii="黑体" w:hAnsi="华文中宋" w:eastAsia="黑体"/>
          <w:b/>
          <w:bCs/>
          <w:sz w:val="28"/>
          <w:szCs w:val="28"/>
        </w:rPr>
      </w:pPr>
    </w:p>
    <w:bookmarkEnd w:id="140"/>
    <w:p w14:paraId="7EE3925E">
      <w:pPr>
        <w:pStyle w:val="34"/>
        <w:ind w:left="0" w:leftChars="0" w:firstLine="0" w:firstLineChars="0"/>
      </w:pPr>
    </w:p>
    <w:p w14:paraId="07B39BA7">
      <w:pPr>
        <w:pStyle w:val="23"/>
        <w:adjustRightInd w:val="0"/>
        <w:snapToGrid w:val="0"/>
        <w:spacing w:line="360" w:lineRule="auto"/>
        <w:jc w:val="center"/>
        <w:outlineLvl w:val="0"/>
        <w:rPr>
          <w:rFonts w:ascii="黑体" w:hAnsi="华文中宋" w:eastAsia="黑体"/>
          <w:b/>
          <w:sz w:val="32"/>
          <w:szCs w:val="32"/>
        </w:rPr>
      </w:pPr>
      <w:bookmarkStart w:id="143" w:name="_Toc13688"/>
      <w:bookmarkStart w:id="144" w:name="_Toc30516"/>
      <w:bookmarkStart w:id="145" w:name="_Toc29913948"/>
      <w:bookmarkStart w:id="146" w:name="_Toc23469"/>
      <w:r>
        <w:rPr>
          <w:rFonts w:hint="eastAsia" w:ascii="黑体" w:hAnsi="华文中宋" w:eastAsia="黑体"/>
          <w:b/>
          <w:sz w:val="32"/>
          <w:szCs w:val="32"/>
        </w:rPr>
        <w:t>第七章 投标文件的组成</w:t>
      </w:r>
      <w:bookmarkEnd w:id="143"/>
      <w:bookmarkEnd w:id="144"/>
      <w:bookmarkEnd w:id="145"/>
      <w:bookmarkEnd w:id="146"/>
    </w:p>
    <w:p w14:paraId="78A5647E">
      <w:pPr>
        <w:adjustRightInd w:val="0"/>
        <w:snapToGrid w:val="0"/>
        <w:spacing w:line="360" w:lineRule="auto"/>
        <w:ind w:left="-88" w:leftChars="-42"/>
        <w:jc w:val="center"/>
        <w:rPr>
          <w:b/>
          <w:bCs/>
          <w:sz w:val="32"/>
        </w:rPr>
      </w:pPr>
    </w:p>
    <w:p w14:paraId="50C8BE25">
      <w:pPr>
        <w:adjustRightInd w:val="0"/>
        <w:snapToGrid w:val="0"/>
        <w:spacing w:before="156" w:beforeLines="50" w:line="360" w:lineRule="auto"/>
        <w:jc w:val="left"/>
        <w:rPr>
          <w:rFonts w:ascii="宋体" w:hAnsi="宋体"/>
          <w:b/>
          <w:szCs w:val="21"/>
        </w:rPr>
      </w:pPr>
      <w:r>
        <w:rPr>
          <w:rFonts w:hint="eastAsia" w:ascii="宋体" w:hAnsi="宋体"/>
          <w:b/>
          <w:szCs w:val="21"/>
        </w:rPr>
        <w:t>第一部分 资格证明文件</w:t>
      </w:r>
    </w:p>
    <w:p w14:paraId="0511360A">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一、开标一览表</w:t>
      </w:r>
    </w:p>
    <w:p w14:paraId="6DB35F08">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lang w:eastAsia="zh-CN"/>
        </w:rPr>
        <w:t>二</w:t>
      </w:r>
      <w:r>
        <w:rPr>
          <w:rFonts w:hint="eastAsia" w:ascii="宋体" w:hAnsi="宋体"/>
          <w:szCs w:val="21"/>
        </w:rPr>
        <w:t>、法定代表人（单位负责人）身份证明或授权委托书</w:t>
      </w:r>
    </w:p>
    <w:p w14:paraId="1E0E465E">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lang w:eastAsia="zh-CN"/>
        </w:rPr>
        <w:t>三</w:t>
      </w:r>
      <w:r>
        <w:rPr>
          <w:rFonts w:hint="eastAsia" w:ascii="宋体" w:hAnsi="宋体"/>
          <w:szCs w:val="21"/>
        </w:rPr>
        <w:t>、投标人提供的资格证明文件</w:t>
      </w:r>
    </w:p>
    <w:p w14:paraId="607E422E">
      <w:pPr>
        <w:adjustRightInd w:val="0"/>
        <w:snapToGrid w:val="0"/>
        <w:spacing w:before="156" w:beforeLines="50" w:line="360" w:lineRule="auto"/>
        <w:jc w:val="left"/>
        <w:rPr>
          <w:rFonts w:ascii="宋体" w:hAnsi="宋体"/>
          <w:b/>
          <w:szCs w:val="21"/>
        </w:rPr>
      </w:pPr>
      <w:r>
        <w:rPr>
          <w:rFonts w:hint="eastAsia" w:ascii="宋体" w:hAnsi="宋体"/>
          <w:b/>
          <w:szCs w:val="21"/>
        </w:rPr>
        <w:t>第二部分 商务技术文件</w:t>
      </w:r>
    </w:p>
    <w:p w14:paraId="4DE5D729">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lang w:eastAsia="zh-CN"/>
        </w:rPr>
        <w:t>四</w:t>
      </w:r>
      <w:r>
        <w:rPr>
          <w:rFonts w:hint="eastAsia" w:ascii="宋体" w:hAnsi="宋体"/>
          <w:szCs w:val="21"/>
        </w:rPr>
        <w:t>、投标函</w:t>
      </w:r>
    </w:p>
    <w:p w14:paraId="70CD59CB">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lang w:eastAsia="zh-CN"/>
        </w:rPr>
        <w:t>五</w:t>
      </w:r>
      <w:r>
        <w:rPr>
          <w:rFonts w:hint="eastAsia" w:ascii="宋体" w:hAnsi="宋体"/>
          <w:szCs w:val="21"/>
        </w:rPr>
        <w:t>、分项报价</w:t>
      </w:r>
    </w:p>
    <w:p w14:paraId="7D19FCED">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lang w:eastAsia="zh-CN"/>
        </w:rPr>
        <w:t>六</w:t>
      </w:r>
      <w:r>
        <w:rPr>
          <w:rFonts w:hint="eastAsia" w:ascii="宋体" w:hAnsi="宋体"/>
          <w:szCs w:val="21"/>
        </w:rPr>
        <w:t>、采购需求（服务及配套货物）响应</w:t>
      </w:r>
    </w:p>
    <w:p w14:paraId="1519E7CA">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lang w:eastAsia="zh-CN"/>
        </w:rPr>
        <w:t>七</w:t>
      </w:r>
      <w:r>
        <w:rPr>
          <w:rFonts w:hint="eastAsia" w:ascii="宋体" w:hAnsi="宋体"/>
          <w:szCs w:val="21"/>
        </w:rPr>
        <w:t>、合同条款偏离表</w:t>
      </w:r>
    </w:p>
    <w:p w14:paraId="5DED05D1">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lang w:eastAsia="zh-CN"/>
        </w:rPr>
        <w:t>八</w:t>
      </w:r>
      <w:r>
        <w:rPr>
          <w:rFonts w:hint="eastAsia" w:ascii="宋体" w:hAnsi="宋体"/>
          <w:szCs w:val="21"/>
        </w:rPr>
        <w:t>、采购需求（服务及配套货物）偏离表</w:t>
      </w:r>
    </w:p>
    <w:p w14:paraId="436E944C">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lang w:eastAsia="zh-CN"/>
        </w:rPr>
        <w:t>九</w:t>
      </w:r>
      <w:r>
        <w:rPr>
          <w:rFonts w:hint="eastAsia" w:ascii="宋体" w:hAnsi="宋体"/>
          <w:szCs w:val="21"/>
        </w:rPr>
        <w:t>、享受政府采购政策优惠的证明资料和清单表</w:t>
      </w:r>
    </w:p>
    <w:p w14:paraId="070DDC2F">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十、投标服务（服务及配套货物）符合招标文件规定的证明文件</w:t>
      </w:r>
    </w:p>
    <w:p w14:paraId="2338CE58">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十</w:t>
      </w:r>
      <w:r>
        <w:rPr>
          <w:rFonts w:hint="eastAsia" w:asciiTheme="minorEastAsia" w:hAnsiTheme="minorEastAsia" w:eastAsiaTheme="minorEastAsia"/>
          <w:szCs w:val="21"/>
          <w:lang w:eastAsia="zh-CN"/>
        </w:rPr>
        <w:t>一</w:t>
      </w:r>
      <w:r>
        <w:rPr>
          <w:rFonts w:hint="eastAsia" w:asciiTheme="minorEastAsia" w:hAnsiTheme="minorEastAsia" w:eastAsiaTheme="minorEastAsia"/>
          <w:szCs w:val="21"/>
        </w:rPr>
        <w:t>、投标人认为需提供的其他资料</w:t>
      </w:r>
    </w:p>
    <w:p w14:paraId="27FD606F">
      <w:pPr>
        <w:adjustRightInd w:val="0"/>
        <w:snapToGrid w:val="0"/>
        <w:spacing w:before="156" w:beforeLines="50" w:line="360" w:lineRule="auto"/>
        <w:ind w:firstLine="422" w:firstLineChars="200"/>
        <w:jc w:val="lef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注：</w:t>
      </w:r>
      <w:r>
        <w:rPr>
          <w:rFonts w:hint="eastAsia" w:asciiTheme="minorEastAsia" w:hAnsiTheme="minorEastAsia" w:eastAsiaTheme="minorEastAsia"/>
          <w:b/>
          <w:szCs w:val="21"/>
        </w:rPr>
        <w:t>1、投标人应按照电子招标文件格式及投标工具编制资格证明文件，不得将其编制到商务和技术文件中。否则，由于编制失误所产生的后果，由投标人自行承担。</w:t>
      </w:r>
    </w:p>
    <w:p w14:paraId="39D86165">
      <w:pPr>
        <w:adjustRightInd w:val="0"/>
        <w:snapToGrid w:val="0"/>
        <w:spacing w:before="156" w:beforeLines="50" w:line="360" w:lineRule="auto"/>
        <w:ind w:firstLine="422" w:firstLineChars="200"/>
        <w:jc w:val="left"/>
        <w:rPr>
          <w:rFonts w:asciiTheme="minorEastAsia" w:hAnsiTheme="minorEastAsia" w:eastAsiaTheme="minorEastAsia"/>
          <w:b/>
          <w:color w:val="000000"/>
          <w:szCs w:val="21"/>
        </w:rPr>
      </w:pPr>
      <w:r>
        <w:rPr>
          <w:rFonts w:hint="eastAsia" w:asciiTheme="minorEastAsia" w:hAnsiTheme="minorEastAsia" w:eastAsiaTheme="minorEastAsia"/>
          <w:b/>
          <w:szCs w:val="21"/>
        </w:rPr>
        <w:t>2、投标人应按照电子招标文件格式及投标工具编制商务和技术及综合评分表相关资料。否则，由于编制失误所产生的后果，由投标人自行承担。</w:t>
      </w:r>
    </w:p>
    <w:p w14:paraId="1D8B837E">
      <w:pPr>
        <w:adjustRightInd w:val="0"/>
        <w:snapToGrid w:val="0"/>
        <w:spacing w:before="156" w:beforeLines="50" w:line="360" w:lineRule="auto"/>
        <w:ind w:firstLine="420" w:firstLineChars="200"/>
        <w:jc w:val="left"/>
        <w:rPr>
          <w:rFonts w:asciiTheme="minorEastAsia" w:hAnsiTheme="minorEastAsia" w:eastAsiaTheme="minorEastAsia"/>
          <w:color w:val="000000"/>
          <w:szCs w:val="21"/>
        </w:rPr>
      </w:pPr>
    </w:p>
    <w:p w14:paraId="4F1594B7">
      <w:pPr>
        <w:adjustRightInd w:val="0"/>
        <w:snapToGrid w:val="0"/>
        <w:spacing w:line="360" w:lineRule="auto"/>
        <w:jc w:val="center"/>
        <w:rPr>
          <w:rFonts w:ascii="仿宋_GB2312" w:hAnsi="宋体" w:eastAsia="仿宋_GB2312"/>
          <w:color w:val="000000"/>
          <w:szCs w:val="21"/>
        </w:rPr>
      </w:pPr>
    </w:p>
    <w:p w14:paraId="6CA90959">
      <w:pPr>
        <w:adjustRightInd w:val="0"/>
        <w:snapToGrid w:val="0"/>
        <w:spacing w:line="360" w:lineRule="auto"/>
        <w:jc w:val="center"/>
        <w:rPr>
          <w:rFonts w:ascii="黑体" w:eastAsia="黑体"/>
          <w:color w:val="000000"/>
          <w:sz w:val="32"/>
          <w:szCs w:val="32"/>
        </w:rPr>
      </w:pPr>
      <w:r>
        <w:rPr>
          <w:rFonts w:ascii="仿宋_GB2312" w:hAnsi="宋体" w:eastAsia="仿宋_GB2312"/>
          <w:color w:val="000000"/>
          <w:szCs w:val="21"/>
        </w:rPr>
        <w:br w:type="page"/>
      </w:r>
    </w:p>
    <w:p w14:paraId="1707B10B">
      <w:pPr>
        <w:adjustRightInd w:val="0"/>
        <w:snapToGrid w:val="0"/>
        <w:spacing w:line="360" w:lineRule="auto"/>
        <w:jc w:val="center"/>
        <w:rPr>
          <w:rFonts w:ascii="黑体" w:eastAsia="黑体"/>
          <w:color w:val="000000"/>
          <w:sz w:val="32"/>
          <w:szCs w:val="32"/>
        </w:rPr>
      </w:pPr>
    </w:p>
    <w:p w14:paraId="0AFB25F9">
      <w:pPr>
        <w:pStyle w:val="23"/>
        <w:adjustRightInd w:val="0"/>
        <w:snapToGrid w:val="0"/>
        <w:spacing w:line="360" w:lineRule="auto"/>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政府采购</w:t>
      </w:r>
    </w:p>
    <w:p w14:paraId="2564DFDE">
      <w:pPr>
        <w:adjustRightInd w:val="0"/>
        <w:snapToGrid w:val="0"/>
        <w:spacing w:line="360" w:lineRule="auto"/>
        <w:jc w:val="center"/>
        <w:rPr>
          <w:rFonts w:asciiTheme="minorEastAsia" w:hAnsiTheme="minorEastAsia" w:eastAsiaTheme="minorEastAsia"/>
          <w:b/>
          <w:bCs/>
          <w:sz w:val="84"/>
          <w:szCs w:val="84"/>
        </w:rPr>
      </w:pPr>
      <w:r>
        <w:rPr>
          <w:rFonts w:hint="eastAsia" w:asciiTheme="minorEastAsia" w:hAnsiTheme="minorEastAsia" w:eastAsiaTheme="minorEastAsia"/>
          <w:b/>
          <w:bCs/>
          <w:sz w:val="84"/>
          <w:szCs w:val="84"/>
        </w:rPr>
        <w:t>投 标 文 件</w:t>
      </w:r>
    </w:p>
    <w:p w14:paraId="49E0196C">
      <w:pPr>
        <w:pStyle w:val="3"/>
        <w:adjustRightInd w:val="0"/>
        <w:snapToGrid w:val="0"/>
        <w:jc w:val="center"/>
        <w:rPr>
          <w:rFonts w:ascii="黑体" w:hAnsi="黑体" w:eastAsia="黑体"/>
          <w:color w:val="000000"/>
          <w:sz w:val="44"/>
          <w:szCs w:val="44"/>
        </w:rPr>
      </w:pPr>
      <w:bookmarkStart w:id="147" w:name="_Toc4223"/>
      <w:bookmarkStart w:id="148" w:name="_Toc8277"/>
      <w:bookmarkStart w:id="149" w:name="_Toc29913949"/>
      <w:bookmarkStart w:id="150" w:name="_Toc20145"/>
      <w:r>
        <w:rPr>
          <w:rFonts w:hint="eastAsia" w:ascii="黑体" w:hAnsi="黑体" w:eastAsia="黑体"/>
          <w:color w:val="000000"/>
          <w:sz w:val="44"/>
          <w:szCs w:val="44"/>
        </w:rPr>
        <w:t>第一部分 资格证明文件</w:t>
      </w:r>
      <w:bookmarkEnd w:id="147"/>
      <w:bookmarkEnd w:id="148"/>
      <w:bookmarkEnd w:id="149"/>
      <w:bookmarkEnd w:id="150"/>
    </w:p>
    <w:p w14:paraId="08C5AAB1">
      <w:pPr>
        <w:adjustRightInd w:val="0"/>
        <w:snapToGrid w:val="0"/>
        <w:spacing w:line="360" w:lineRule="auto"/>
        <w:rPr>
          <w:rFonts w:ascii="黑体" w:hAnsi="黑体" w:eastAsia="黑体"/>
          <w:b/>
          <w:color w:val="000000"/>
          <w:sz w:val="32"/>
          <w:szCs w:val="32"/>
        </w:rPr>
      </w:pPr>
    </w:p>
    <w:p w14:paraId="075DE468">
      <w:pPr>
        <w:adjustRightInd w:val="0"/>
        <w:snapToGrid w:val="0"/>
        <w:spacing w:line="360" w:lineRule="auto"/>
        <w:rPr>
          <w:rFonts w:asciiTheme="minorEastAsia" w:hAnsiTheme="minorEastAsia" w:eastAsiaTheme="minorEastAsia"/>
          <w:b/>
          <w:color w:val="000000"/>
          <w:sz w:val="30"/>
          <w:szCs w:val="30"/>
        </w:rPr>
      </w:pPr>
      <w:r>
        <w:rPr>
          <w:rFonts w:hint="eastAsia" w:asciiTheme="minorEastAsia" w:hAnsiTheme="minorEastAsia" w:eastAsiaTheme="minorEastAsia"/>
          <w:b/>
          <w:color w:val="000000"/>
          <w:sz w:val="32"/>
          <w:szCs w:val="32"/>
        </w:rPr>
        <w:t xml:space="preserve">                     </w:t>
      </w:r>
    </w:p>
    <w:p w14:paraId="74D23BB2">
      <w:pPr>
        <w:pStyle w:val="23"/>
        <w:adjustRightInd w:val="0"/>
        <w:snapToGrid w:val="0"/>
        <w:spacing w:line="360" w:lineRule="auto"/>
        <w:ind w:firstLine="1988" w:firstLineChars="660"/>
        <w:rPr>
          <w:rFonts w:asciiTheme="minorEastAsia" w:hAnsiTheme="minorEastAsia" w:eastAsiaTheme="minorEastAsia"/>
          <w:b/>
          <w:bCs/>
          <w:sz w:val="30"/>
          <w:szCs w:val="30"/>
          <w:u w:val="single"/>
        </w:rPr>
      </w:pPr>
      <w:r>
        <w:rPr>
          <w:rFonts w:hint="eastAsia" w:asciiTheme="minorEastAsia" w:hAnsiTheme="minorEastAsia" w:eastAsiaTheme="minorEastAsia"/>
          <w:b/>
          <w:bCs/>
          <w:sz w:val="30"/>
          <w:szCs w:val="30"/>
        </w:rPr>
        <w:t>采购项目名称:</w:t>
      </w:r>
      <w:r>
        <w:rPr>
          <w:rFonts w:hint="eastAsia" w:asciiTheme="minorEastAsia" w:hAnsiTheme="minorEastAsia" w:eastAsiaTheme="minorEastAsia"/>
          <w:b/>
          <w:bCs/>
          <w:sz w:val="30"/>
          <w:szCs w:val="30"/>
          <w:u w:val="single"/>
        </w:rPr>
        <w:t xml:space="preserve">                       </w:t>
      </w:r>
    </w:p>
    <w:p w14:paraId="002262D8">
      <w:pPr>
        <w:pStyle w:val="23"/>
        <w:adjustRightInd w:val="0"/>
        <w:snapToGrid w:val="0"/>
        <w:spacing w:line="360" w:lineRule="auto"/>
        <w:ind w:firstLine="1988" w:firstLineChars="660"/>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采   购   人：</w:t>
      </w:r>
      <w:r>
        <w:rPr>
          <w:rFonts w:hint="eastAsia" w:asciiTheme="minorEastAsia" w:hAnsiTheme="minorEastAsia" w:eastAsiaTheme="minorEastAsia"/>
          <w:b/>
          <w:bCs/>
          <w:sz w:val="30"/>
          <w:szCs w:val="30"/>
          <w:u w:val="single"/>
        </w:rPr>
        <w:t xml:space="preserve">                       </w:t>
      </w:r>
    </w:p>
    <w:p w14:paraId="3833EB99">
      <w:pPr>
        <w:pStyle w:val="23"/>
        <w:adjustRightInd w:val="0"/>
        <w:snapToGrid w:val="0"/>
        <w:spacing w:line="360" w:lineRule="auto"/>
        <w:ind w:firstLine="1988" w:firstLineChars="660"/>
        <w:rPr>
          <w:rFonts w:asciiTheme="minorEastAsia" w:hAnsiTheme="minorEastAsia" w:eastAsiaTheme="minorEastAsia"/>
          <w:b/>
          <w:bCs/>
          <w:sz w:val="30"/>
          <w:szCs w:val="30"/>
          <w:u w:val="single"/>
        </w:rPr>
      </w:pPr>
      <w:r>
        <w:rPr>
          <w:rFonts w:hint="eastAsia" w:asciiTheme="minorEastAsia" w:hAnsiTheme="minorEastAsia" w:eastAsiaTheme="minorEastAsia"/>
          <w:b/>
          <w:bCs/>
          <w:sz w:val="30"/>
          <w:szCs w:val="30"/>
        </w:rPr>
        <w:t>政府采购编号:</w:t>
      </w:r>
      <w:r>
        <w:rPr>
          <w:rFonts w:hint="eastAsia" w:asciiTheme="minorEastAsia" w:hAnsiTheme="minorEastAsia" w:eastAsiaTheme="minorEastAsia"/>
          <w:b/>
          <w:bCs/>
          <w:sz w:val="30"/>
          <w:szCs w:val="30"/>
          <w:u w:val="single"/>
        </w:rPr>
        <w:t xml:space="preserve">                       </w:t>
      </w:r>
    </w:p>
    <w:p w14:paraId="74018FCE">
      <w:pPr>
        <w:pStyle w:val="23"/>
        <w:adjustRightInd w:val="0"/>
        <w:snapToGrid w:val="0"/>
        <w:spacing w:line="360" w:lineRule="auto"/>
        <w:ind w:firstLine="1988" w:firstLineChars="660"/>
        <w:rPr>
          <w:rFonts w:asciiTheme="minorEastAsia" w:hAnsiTheme="minorEastAsia" w:eastAsiaTheme="minorEastAsia"/>
          <w:b/>
          <w:bCs/>
          <w:sz w:val="30"/>
          <w:szCs w:val="30"/>
          <w:u w:val="single"/>
        </w:rPr>
      </w:pPr>
      <w:r>
        <w:rPr>
          <w:rFonts w:hint="eastAsia" w:asciiTheme="minorEastAsia" w:hAnsiTheme="minorEastAsia" w:eastAsiaTheme="minorEastAsia"/>
          <w:b/>
          <w:bCs/>
          <w:sz w:val="30"/>
          <w:szCs w:val="30"/>
        </w:rPr>
        <w:t>采购代理编号:</w:t>
      </w:r>
      <w:r>
        <w:rPr>
          <w:rFonts w:hint="eastAsia" w:asciiTheme="minorEastAsia" w:hAnsiTheme="minorEastAsia" w:eastAsiaTheme="minorEastAsia"/>
          <w:b/>
          <w:bCs/>
          <w:sz w:val="30"/>
          <w:szCs w:val="30"/>
          <w:u w:val="single"/>
        </w:rPr>
        <w:t xml:space="preserve">                       </w:t>
      </w:r>
    </w:p>
    <w:p w14:paraId="3CFD0763">
      <w:pPr>
        <w:pStyle w:val="23"/>
        <w:adjustRightInd w:val="0"/>
        <w:snapToGrid w:val="0"/>
        <w:spacing w:line="360" w:lineRule="auto"/>
        <w:ind w:firstLine="1988" w:firstLineChars="660"/>
        <w:rPr>
          <w:rFonts w:asciiTheme="minorEastAsia" w:hAnsiTheme="minorEastAsia" w:eastAsiaTheme="minorEastAsia"/>
          <w:b/>
          <w:bCs/>
          <w:sz w:val="30"/>
          <w:szCs w:val="30"/>
          <w:u w:val="single"/>
        </w:rPr>
      </w:pPr>
      <w:r>
        <w:rPr>
          <w:rFonts w:hint="eastAsia" w:asciiTheme="minorEastAsia" w:hAnsiTheme="minorEastAsia" w:eastAsiaTheme="minorEastAsia"/>
          <w:b/>
          <w:bCs/>
          <w:sz w:val="30"/>
          <w:szCs w:val="30"/>
        </w:rPr>
        <w:t>采购代理机构：</w:t>
      </w:r>
      <w:r>
        <w:rPr>
          <w:rFonts w:hint="eastAsia" w:asciiTheme="minorEastAsia" w:hAnsiTheme="minorEastAsia" w:eastAsiaTheme="minorEastAsia"/>
          <w:b/>
          <w:bCs/>
          <w:sz w:val="30"/>
          <w:szCs w:val="30"/>
          <w:u w:val="single"/>
        </w:rPr>
        <w:t xml:space="preserve">                      </w:t>
      </w:r>
    </w:p>
    <w:p w14:paraId="1A6B8EE2">
      <w:pPr>
        <w:adjustRightInd w:val="0"/>
        <w:snapToGrid w:val="0"/>
        <w:spacing w:line="360" w:lineRule="auto"/>
        <w:rPr>
          <w:rFonts w:ascii="黑体" w:hAnsi="黑体" w:eastAsia="黑体"/>
          <w:color w:val="000000"/>
          <w:sz w:val="30"/>
          <w:szCs w:val="30"/>
        </w:rPr>
      </w:pPr>
    </w:p>
    <w:p w14:paraId="15834CEE">
      <w:pPr>
        <w:adjustRightInd w:val="0"/>
        <w:snapToGrid w:val="0"/>
        <w:rPr>
          <w:rFonts w:ascii="黑体" w:hAnsi="宋体" w:eastAsia="黑体"/>
          <w:color w:val="000000"/>
          <w:sz w:val="30"/>
          <w:szCs w:val="30"/>
        </w:rPr>
      </w:pPr>
    </w:p>
    <w:p w14:paraId="5541F805">
      <w:pPr>
        <w:adjustRightInd w:val="0"/>
        <w:snapToGrid w:val="0"/>
        <w:spacing w:line="360" w:lineRule="auto"/>
        <w:rPr>
          <w:rFonts w:ascii="黑体" w:hAnsi="宋体" w:eastAsia="黑体"/>
          <w:color w:val="000000"/>
          <w:sz w:val="30"/>
          <w:szCs w:val="30"/>
        </w:rPr>
      </w:pPr>
    </w:p>
    <w:p w14:paraId="7B9EDCBE">
      <w:pPr>
        <w:adjustRightInd w:val="0"/>
        <w:snapToGrid w:val="0"/>
        <w:spacing w:line="360" w:lineRule="auto"/>
        <w:rPr>
          <w:rFonts w:ascii="黑体" w:hAnsi="宋体" w:eastAsia="黑体"/>
          <w:color w:val="000000"/>
          <w:sz w:val="30"/>
          <w:szCs w:val="30"/>
        </w:rPr>
      </w:pPr>
    </w:p>
    <w:p w14:paraId="5D744F11">
      <w:pPr>
        <w:adjustRightInd w:val="0"/>
        <w:snapToGrid w:val="0"/>
        <w:spacing w:line="360" w:lineRule="auto"/>
        <w:rPr>
          <w:rFonts w:ascii="黑体" w:hAnsi="宋体" w:eastAsia="黑体"/>
          <w:color w:val="000000"/>
          <w:sz w:val="30"/>
          <w:szCs w:val="30"/>
        </w:rPr>
      </w:pPr>
    </w:p>
    <w:p w14:paraId="53062933">
      <w:pPr>
        <w:adjustRightInd w:val="0"/>
        <w:snapToGrid w:val="0"/>
        <w:spacing w:line="360" w:lineRule="auto"/>
        <w:ind w:firstLine="1984" w:firstLineChars="620"/>
        <w:rPr>
          <w:rFonts w:ascii="黑体" w:hAnsi="宋体" w:eastAsia="黑体"/>
          <w:color w:val="000000"/>
          <w:sz w:val="32"/>
          <w:szCs w:val="32"/>
          <w:u w:val="single"/>
        </w:rPr>
      </w:pPr>
      <w:r>
        <w:rPr>
          <w:rFonts w:hint="eastAsia" w:ascii="黑体" w:hAnsi="宋体" w:eastAsia="黑体"/>
          <w:color w:val="000000"/>
          <w:sz w:val="32"/>
          <w:szCs w:val="32"/>
        </w:rPr>
        <w:t>投标人</w:t>
      </w:r>
      <w:r>
        <w:rPr>
          <w:rFonts w:hint="eastAsia" w:ascii="黑体" w:hAnsi="宋体" w:eastAsia="黑体"/>
          <w:color w:val="000000"/>
          <w:sz w:val="32"/>
          <w:szCs w:val="32"/>
          <w:u w:val="single"/>
        </w:rPr>
        <w:t xml:space="preserve">                         </w:t>
      </w:r>
    </w:p>
    <w:p w14:paraId="04A82A47">
      <w:pPr>
        <w:adjustRightInd w:val="0"/>
        <w:snapToGrid w:val="0"/>
        <w:spacing w:line="360" w:lineRule="auto"/>
        <w:jc w:val="center"/>
        <w:rPr>
          <w:rFonts w:ascii="黑体" w:eastAsia="黑体"/>
          <w:sz w:val="28"/>
          <w:szCs w:val="28"/>
        </w:rPr>
      </w:pPr>
      <w:r>
        <w:rPr>
          <w:rFonts w:hint="eastAsia" w:ascii="黑体" w:hAnsi="宋体" w:eastAsia="黑体"/>
          <w:color w:val="000000"/>
          <w:sz w:val="32"/>
          <w:szCs w:val="32"/>
        </w:rPr>
        <w:t>年  月  日</w:t>
      </w:r>
      <w:r>
        <w:rPr>
          <w:rFonts w:ascii="黑体" w:eastAsia="黑体"/>
          <w:sz w:val="28"/>
          <w:szCs w:val="28"/>
        </w:rPr>
        <w:br w:type="page"/>
      </w:r>
    </w:p>
    <w:p w14:paraId="4A9B4177">
      <w:pPr>
        <w:pStyle w:val="4"/>
        <w:adjustRightInd w:val="0"/>
        <w:snapToGrid w:val="0"/>
        <w:spacing w:before="0" w:after="0" w:line="360" w:lineRule="auto"/>
        <w:jc w:val="center"/>
        <w:rPr>
          <w:rFonts w:ascii="黑体" w:hAnsi="宋体" w:eastAsia="黑体"/>
          <w:color w:val="558ED5" w:themeColor="text2" w:themeTint="99"/>
          <w:sz w:val="28"/>
          <w:szCs w:val="28"/>
          <w14:textFill>
            <w14:solidFill>
              <w14:schemeClr w14:val="tx2">
                <w14:lumMod w14:val="60000"/>
                <w14:lumOff w14:val="40000"/>
              </w14:schemeClr>
            </w14:solidFill>
          </w14:textFill>
        </w:rPr>
      </w:pPr>
      <w:bookmarkStart w:id="151" w:name="_Toc29913950"/>
      <w:bookmarkStart w:id="152" w:name="_Toc13766"/>
      <w:bookmarkStart w:id="153" w:name="_Toc16153"/>
      <w:r>
        <w:rPr>
          <w:rFonts w:hint="eastAsia" w:ascii="黑体" w:hAnsi="宋体" w:eastAsia="黑体"/>
          <w:sz w:val="28"/>
          <w:szCs w:val="28"/>
        </w:rPr>
        <w:t>一、开标一览表</w:t>
      </w:r>
      <w:bookmarkEnd w:id="151"/>
      <w:bookmarkEnd w:id="152"/>
      <w:bookmarkEnd w:id="153"/>
    </w:p>
    <w:p w14:paraId="6A4B2853">
      <w:pPr>
        <w:adjustRightInd w:val="0"/>
        <w:snapToGrid w:val="0"/>
        <w:spacing w:line="360" w:lineRule="auto"/>
        <w:ind w:left="-88" w:leftChars="-42"/>
        <w:jc w:val="center"/>
        <w:rPr>
          <w:rFonts w:ascii="仿宋_GB2312" w:hAnsi="宋体" w:eastAsia="仿宋_GB2312"/>
          <w:color w:val="000000"/>
          <w:sz w:val="24"/>
        </w:rPr>
      </w:pPr>
    </w:p>
    <w:p w14:paraId="7C00939B">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政府采购计划号：</w:t>
      </w:r>
      <w:r>
        <w:rPr>
          <w:rFonts w:hint="eastAsia" w:asciiTheme="minorEastAsia" w:hAnsiTheme="minorEastAsia" w:eastAsiaTheme="minorEastAsia"/>
          <w:szCs w:val="21"/>
          <w:u w:val="single"/>
        </w:rPr>
        <w:t>__    ________</w:t>
      </w:r>
      <w:r>
        <w:rPr>
          <w:rFonts w:hint="eastAsia" w:asciiTheme="minorEastAsia" w:hAnsiTheme="minorEastAsia" w:eastAsiaTheme="minorEastAsia"/>
          <w:szCs w:val="21"/>
        </w:rPr>
        <w:t xml:space="preserve">               </w:t>
      </w:r>
    </w:p>
    <w:p w14:paraId="4B16EB13">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委托代理编号：</w:t>
      </w:r>
      <w:r>
        <w:rPr>
          <w:rFonts w:hint="eastAsia" w:asciiTheme="minorEastAsia" w:hAnsiTheme="minorEastAsia" w:eastAsiaTheme="minorEastAsia"/>
          <w:szCs w:val="21"/>
          <w:u w:val="single"/>
        </w:rPr>
        <w:t>__    ________</w:t>
      </w:r>
      <w:r>
        <w:rPr>
          <w:rFonts w:hint="eastAsia" w:asciiTheme="minorEastAsia" w:hAnsiTheme="minorEastAsia" w:eastAsiaTheme="minorEastAsia"/>
          <w:szCs w:val="21"/>
        </w:rPr>
        <w:t xml:space="preserve">                       项目名称：</w:t>
      </w:r>
      <w:r>
        <w:rPr>
          <w:rFonts w:hint="eastAsia" w:asciiTheme="minorEastAsia" w:hAnsiTheme="minorEastAsia" w:eastAsiaTheme="minorEastAsia"/>
          <w:szCs w:val="21"/>
          <w:u w:val="single"/>
        </w:rPr>
        <w:t>____            ______</w:t>
      </w:r>
      <w:r>
        <w:rPr>
          <w:rFonts w:hint="eastAsia" w:asciiTheme="minorEastAsia" w:hAnsiTheme="minorEastAsia" w:eastAsiaTheme="minorEastAsia"/>
          <w:szCs w:val="21"/>
        </w:rPr>
        <w:t xml:space="preserve"> </w:t>
      </w:r>
    </w:p>
    <w:p w14:paraId="5808A759">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szCs w:val="21"/>
        </w:rPr>
        <w:t>包号：</w:t>
      </w:r>
      <w:r>
        <w:rPr>
          <w:rFonts w:hint="eastAsia" w:asciiTheme="minorEastAsia" w:hAnsiTheme="minorEastAsia" w:eastAsiaTheme="minorEastAsia"/>
          <w:szCs w:val="21"/>
          <w:u w:val="single"/>
        </w:rPr>
        <w:t>__    ________</w:t>
      </w:r>
      <w:r>
        <w:rPr>
          <w:rFonts w:hint="eastAsia" w:asciiTheme="minorEastAsia" w:hAnsiTheme="minorEastAsia" w:eastAsiaTheme="minorEastAsia"/>
          <w:szCs w:val="21"/>
        </w:rPr>
        <w:t xml:space="preserve">                               包名称：</w:t>
      </w:r>
      <w:r>
        <w:rPr>
          <w:rFonts w:hint="eastAsia" w:asciiTheme="minorEastAsia" w:hAnsiTheme="minorEastAsia" w:eastAsiaTheme="minorEastAsia"/>
          <w:szCs w:val="21"/>
          <w:u w:val="single"/>
        </w:rPr>
        <w:t>__    ________</w:t>
      </w:r>
    </w:p>
    <w:tbl>
      <w:tblPr>
        <w:tblStyle w:val="44"/>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14:paraId="12CDA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vAlign w:val="center"/>
          </w:tcPr>
          <w:p w14:paraId="410E14F3">
            <w:pPr>
              <w:adjustRightInd w:val="0"/>
              <w:snapToGrid w:val="0"/>
              <w:spacing w:line="360" w:lineRule="auto"/>
              <w:jc w:val="center"/>
              <w:rPr>
                <w:rFonts w:asciiTheme="minorEastAsia" w:hAnsiTheme="minorEastAsia" w:eastAsiaTheme="minorEastAsia"/>
                <w:b/>
                <w:kern w:val="0"/>
                <w:sz w:val="20"/>
                <w:szCs w:val="21"/>
              </w:rPr>
            </w:pPr>
            <w:r>
              <w:rPr>
                <w:rFonts w:hint="eastAsia" w:asciiTheme="minorEastAsia" w:hAnsiTheme="minorEastAsia" w:eastAsiaTheme="minorEastAsia"/>
                <w:b/>
                <w:kern w:val="0"/>
                <w:szCs w:val="21"/>
              </w:rPr>
              <w:t>投标报价</w:t>
            </w:r>
          </w:p>
        </w:tc>
        <w:tc>
          <w:tcPr>
            <w:tcW w:w="3119" w:type="dxa"/>
            <w:vAlign w:val="center"/>
          </w:tcPr>
          <w:p w14:paraId="286B8A7C">
            <w:pPr>
              <w:adjustRightInd w:val="0"/>
              <w:snapToGrid w:val="0"/>
              <w:spacing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其他内容</w:t>
            </w:r>
          </w:p>
        </w:tc>
      </w:tr>
      <w:tr w14:paraId="024302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vAlign w:val="center"/>
          </w:tcPr>
          <w:p w14:paraId="5ED7C825">
            <w:pPr>
              <w:adjustRightInd w:val="0"/>
              <w:snapToGrid w:val="0"/>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小写金额：</w:t>
            </w:r>
            <w:r>
              <w:rPr>
                <w:rFonts w:hint="eastAsia" w:asciiTheme="minorEastAsia" w:hAnsiTheme="minorEastAsia" w:eastAsiaTheme="minorEastAsia"/>
                <w:kern w:val="0"/>
                <w:szCs w:val="21"/>
                <w:u w:val="single"/>
              </w:rPr>
              <w:t>__    _______</w:t>
            </w:r>
            <w:r>
              <w:rPr>
                <w:rFonts w:hint="eastAsia" w:asciiTheme="minorEastAsia" w:hAnsiTheme="minorEastAsia" w:eastAsiaTheme="minorEastAsia"/>
                <w:kern w:val="0"/>
                <w:szCs w:val="21"/>
              </w:rPr>
              <w:t>（</w:t>
            </w:r>
            <w:r>
              <w:rPr>
                <w:rFonts w:hint="eastAsia" w:asciiTheme="minorEastAsia" w:hAnsiTheme="minorEastAsia" w:eastAsiaTheme="minorEastAsia"/>
                <w:kern w:val="0"/>
                <w:sz w:val="20"/>
                <w:szCs w:val="21"/>
              </w:rPr>
              <w:t>人民币元</w:t>
            </w:r>
            <w:r>
              <w:rPr>
                <w:rFonts w:hint="eastAsia" w:asciiTheme="minorEastAsia" w:hAnsiTheme="minorEastAsia" w:eastAsiaTheme="minorEastAsia"/>
                <w:kern w:val="0"/>
                <w:szCs w:val="21"/>
              </w:rPr>
              <w:t>）</w:t>
            </w:r>
          </w:p>
          <w:p w14:paraId="35C2DB3C">
            <w:pPr>
              <w:adjustRightInd w:val="0"/>
              <w:snapToGrid w:val="0"/>
              <w:spacing w:line="360" w:lineRule="auto"/>
              <w:jc w:val="center"/>
              <w:rPr>
                <w:rFonts w:asciiTheme="minorEastAsia" w:hAnsiTheme="minorEastAsia" w:eastAsiaTheme="minorEastAsia"/>
                <w:kern w:val="0"/>
                <w:szCs w:val="21"/>
                <w:u w:val="single"/>
              </w:rPr>
            </w:pPr>
            <w:r>
              <w:rPr>
                <w:rFonts w:hint="eastAsia" w:asciiTheme="minorEastAsia" w:hAnsiTheme="minorEastAsia" w:eastAsiaTheme="minorEastAsia"/>
                <w:kern w:val="0"/>
                <w:szCs w:val="21"/>
              </w:rPr>
              <w:t>大写金额：</w:t>
            </w:r>
            <w:r>
              <w:rPr>
                <w:rFonts w:hint="eastAsia" w:asciiTheme="minorEastAsia" w:hAnsiTheme="minorEastAsia" w:eastAsiaTheme="minorEastAsia"/>
                <w:kern w:val="0"/>
                <w:szCs w:val="21"/>
                <w:u w:val="single"/>
              </w:rPr>
              <w:t>__    _______</w:t>
            </w:r>
            <w:r>
              <w:rPr>
                <w:rFonts w:hint="eastAsia" w:asciiTheme="minorEastAsia" w:hAnsiTheme="minorEastAsia" w:eastAsiaTheme="minorEastAsia"/>
                <w:kern w:val="0"/>
                <w:szCs w:val="21"/>
              </w:rPr>
              <w:t>（</w:t>
            </w:r>
            <w:r>
              <w:rPr>
                <w:rFonts w:hint="eastAsia" w:asciiTheme="minorEastAsia" w:hAnsiTheme="minorEastAsia" w:eastAsiaTheme="minorEastAsia"/>
                <w:kern w:val="0"/>
                <w:sz w:val="20"/>
                <w:szCs w:val="21"/>
              </w:rPr>
              <w:t>人民币元</w:t>
            </w:r>
            <w:r>
              <w:rPr>
                <w:rFonts w:hint="eastAsia" w:asciiTheme="minorEastAsia" w:hAnsiTheme="minorEastAsia" w:eastAsiaTheme="minorEastAsia"/>
                <w:kern w:val="0"/>
                <w:szCs w:val="21"/>
              </w:rPr>
              <w:t>）</w:t>
            </w:r>
          </w:p>
          <w:p w14:paraId="45885953">
            <w:pPr>
              <w:adjustRightInd w:val="0"/>
              <w:snapToGrid w:val="0"/>
              <w:spacing w:line="360" w:lineRule="auto"/>
              <w:jc w:val="center"/>
              <w:rPr>
                <w:rFonts w:asciiTheme="minorEastAsia" w:hAnsiTheme="minorEastAsia" w:eastAsiaTheme="minorEastAsia"/>
                <w:kern w:val="0"/>
                <w:sz w:val="20"/>
                <w:szCs w:val="21"/>
              </w:rPr>
            </w:pPr>
            <w:r>
              <w:rPr>
                <w:rFonts w:hint="eastAsia" w:asciiTheme="minorEastAsia" w:hAnsiTheme="minorEastAsia" w:eastAsiaTheme="minorEastAsia"/>
                <w:kern w:val="0"/>
                <w:szCs w:val="21"/>
              </w:rPr>
              <w:t>（</w:t>
            </w:r>
            <w:r>
              <w:rPr>
                <w:rFonts w:hint="eastAsia" w:ascii="黑体" w:hAnsi="黑体" w:eastAsia="黑体"/>
                <w:kern w:val="0"/>
                <w:sz w:val="24"/>
              </w:rPr>
              <w:t>大写金额与小写金额不一致时，以大写金额为准</w:t>
            </w:r>
            <w:r>
              <w:rPr>
                <w:rFonts w:hint="eastAsia" w:asciiTheme="minorEastAsia" w:hAnsiTheme="minorEastAsia" w:eastAsiaTheme="minorEastAsia"/>
                <w:kern w:val="0"/>
                <w:szCs w:val="21"/>
              </w:rPr>
              <w:t>）</w:t>
            </w:r>
          </w:p>
        </w:tc>
        <w:tc>
          <w:tcPr>
            <w:tcW w:w="3119" w:type="dxa"/>
            <w:vAlign w:val="center"/>
          </w:tcPr>
          <w:p w14:paraId="1C0D7414">
            <w:pPr>
              <w:adjustRightInd w:val="0"/>
              <w:snapToGrid w:val="0"/>
              <w:spacing w:line="360" w:lineRule="auto"/>
              <w:jc w:val="center"/>
              <w:rPr>
                <w:rFonts w:asciiTheme="minorEastAsia" w:hAnsiTheme="minorEastAsia" w:eastAsiaTheme="minorEastAsia"/>
                <w:kern w:val="0"/>
                <w:szCs w:val="21"/>
              </w:rPr>
            </w:pPr>
          </w:p>
        </w:tc>
      </w:tr>
    </w:tbl>
    <w:p w14:paraId="16937A35">
      <w:pPr>
        <w:adjustRightInd w:val="0"/>
        <w:snapToGrid w:val="0"/>
        <w:spacing w:line="360" w:lineRule="auto"/>
        <w:rPr>
          <w:rFonts w:asciiTheme="minorEastAsia" w:hAnsiTheme="minorEastAsia" w:eastAsiaTheme="minorEastAsia"/>
          <w:b/>
          <w:szCs w:val="21"/>
        </w:rPr>
      </w:pPr>
    </w:p>
    <w:p w14:paraId="6646F907">
      <w:pPr>
        <w:adjustRightInd w:val="0"/>
        <w:snapToGrid w:val="0"/>
        <w:spacing w:line="360" w:lineRule="auto"/>
        <w:rPr>
          <w:rFonts w:asciiTheme="minorEastAsia" w:hAnsiTheme="minorEastAsia" w:eastAsiaTheme="minorEastAsia"/>
          <w:b/>
          <w:szCs w:val="21"/>
        </w:rPr>
      </w:pPr>
    </w:p>
    <w:p w14:paraId="4F5F304F">
      <w:pPr>
        <w:adjustRightInd w:val="0"/>
        <w:snapToGrid w:val="0"/>
        <w:spacing w:line="360" w:lineRule="auto"/>
        <w:rPr>
          <w:rFonts w:asciiTheme="minorEastAsia" w:hAnsiTheme="minorEastAsia" w:eastAsiaTheme="minorEastAsia"/>
          <w:b/>
          <w:szCs w:val="21"/>
        </w:rPr>
      </w:pPr>
    </w:p>
    <w:p w14:paraId="43DF186C">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备注：1、本“开标一览表”所填报价应与交易平台上所填电子“开标一览表”报价一致，否则，以交易平台上所填电子“开标一览表”报价为准。</w:t>
      </w:r>
    </w:p>
    <w:p w14:paraId="1F99C2EF">
      <w:pPr>
        <w:adjustRightInd w:val="0"/>
        <w:snapToGrid w:val="0"/>
        <w:spacing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2、本表须按包填写，一个“包号”一份。</w:t>
      </w:r>
    </w:p>
    <w:p w14:paraId="3C436132">
      <w:pPr>
        <w:adjustRightInd w:val="0"/>
        <w:snapToGrid w:val="0"/>
        <w:spacing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3、投标人提交两份及以上投标报价不同的“开标一览表”，且未书面说明哪个有效或以哪个为准的，其</w:t>
      </w:r>
      <w:r>
        <w:rPr>
          <w:rFonts w:hint="eastAsia" w:asciiTheme="minorEastAsia" w:hAnsiTheme="minorEastAsia" w:eastAsiaTheme="minorEastAsia"/>
          <w:b/>
          <w:szCs w:val="21"/>
        </w:rPr>
        <w:t>投标无效</w:t>
      </w:r>
      <w:r>
        <w:rPr>
          <w:rFonts w:hint="eastAsia" w:asciiTheme="minorEastAsia" w:hAnsiTheme="minorEastAsia" w:eastAsiaTheme="minorEastAsia"/>
          <w:szCs w:val="21"/>
        </w:rPr>
        <w:t>。</w:t>
      </w:r>
    </w:p>
    <w:p w14:paraId="79C9665E">
      <w:pPr>
        <w:adjustRightInd w:val="0"/>
        <w:snapToGrid w:val="0"/>
        <w:spacing w:line="360" w:lineRule="auto"/>
        <w:ind w:firstLine="630" w:firstLineChars="300"/>
        <w:jc w:val="left"/>
        <w:rPr>
          <w:rFonts w:asciiTheme="minorEastAsia" w:hAnsiTheme="minorEastAsia" w:eastAsiaTheme="minorEastAsia"/>
        </w:rPr>
      </w:pPr>
      <w:r>
        <w:rPr>
          <w:rFonts w:hint="eastAsia" w:asciiTheme="minorEastAsia" w:hAnsiTheme="minorEastAsia" w:eastAsiaTheme="minorEastAsia"/>
          <w:szCs w:val="21"/>
        </w:rPr>
        <w:t>4、</w:t>
      </w:r>
      <w:r>
        <w:rPr>
          <w:rFonts w:hint="eastAsia" w:asciiTheme="minorEastAsia" w:hAnsiTheme="minorEastAsia" w:eastAsiaTheme="minorEastAsia"/>
        </w:rPr>
        <w:t>投标人在投标截止时间前修改“开标一览表”中的投标报价的，应同时修改投标文件“分项报价明细表”“享受政府采购政策优惠的证明资料”以及“联合体协议书”（如果影响）等相关内容。</w:t>
      </w:r>
    </w:p>
    <w:p w14:paraId="63D903D5">
      <w:pPr>
        <w:adjustRightInd w:val="0"/>
        <w:snapToGrid w:val="0"/>
        <w:spacing w:line="360" w:lineRule="auto"/>
        <w:ind w:firstLine="420" w:firstLineChars="200"/>
        <w:rPr>
          <w:rFonts w:asciiTheme="minorEastAsia" w:hAnsiTheme="minorEastAsia" w:eastAsiaTheme="minorEastAsia"/>
          <w:szCs w:val="21"/>
        </w:rPr>
      </w:pPr>
    </w:p>
    <w:p w14:paraId="4FC011FA">
      <w:pPr>
        <w:adjustRightInd w:val="0"/>
        <w:snapToGrid w:val="0"/>
        <w:spacing w:line="360" w:lineRule="auto"/>
        <w:ind w:firstLine="420" w:firstLineChars="200"/>
        <w:rPr>
          <w:rFonts w:asciiTheme="minorEastAsia" w:hAnsiTheme="minorEastAsia" w:eastAsiaTheme="minorEastAsia"/>
          <w:szCs w:val="21"/>
        </w:rPr>
      </w:pPr>
    </w:p>
    <w:p w14:paraId="52203179">
      <w:pPr>
        <w:adjustRightInd w:val="0"/>
        <w:snapToGrid w:val="0"/>
        <w:spacing w:line="360" w:lineRule="auto"/>
        <w:rPr>
          <w:rFonts w:asciiTheme="minorEastAsia" w:hAnsiTheme="minorEastAsia" w:eastAsiaTheme="minorEastAsia"/>
          <w:color w:val="FF0000"/>
          <w:szCs w:val="21"/>
        </w:rPr>
      </w:pPr>
    </w:p>
    <w:p w14:paraId="37B2790A">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投标人名称（盖单位电子章）：</w:t>
      </w:r>
    </w:p>
    <w:p w14:paraId="1E213459">
      <w:pPr>
        <w:adjustRightInd w:val="0"/>
        <w:snapToGrid w:val="0"/>
        <w:spacing w:line="360" w:lineRule="auto"/>
        <w:rPr>
          <w:rFonts w:asciiTheme="minorEastAsia" w:hAnsiTheme="minorEastAsia" w:eastAsiaTheme="minorEastAsia"/>
          <w:szCs w:val="21"/>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Theme="minorEastAsia" w:hAnsiTheme="minorEastAsia" w:eastAsiaTheme="minorEastAsia"/>
          <w:szCs w:val="21"/>
        </w:rPr>
        <w:t>或其授权的代理人</w:t>
      </w:r>
      <w:r>
        <w:rPr>
          <w:rFonts w:hint="eastAsia" w:asciiTheme="minorEastAsia" w:hAnsiTheme="minorEastAsia" w:eastAsiaTheme="minorEastAsia"/>
          <w:szCs w:val="21"/>
          <w:lang w:eastAsia="zh-CN"/>
        </w:rPr>
        <w:t>（电子签章）</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_</w:t>
      </w:r>
    </w:p>
    <w:p w14:paraId="3BBF8A18">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14:paraId="5201A06F">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br w:type="page"/>
      </w:r>
      <w:bookmarkStart w:id="154" w:name="_Toc29913951"/>
    </w:p>
    <w:bookmarkEnd w:id="154"/>
    <w:p w14:paraId="014C82FB">
      <w:pPr>
        <w:widowControl/>
        <w:adjustRightInd w:val="0"/>
        <w:snapToGrid w:val="0"/>
        <w:spacing w:line="360" w:lineRule="auto"/>
        <w:jc w:val="center"/>
        <w:rPr>
          <w:rFonts w:ascii="黑体" w:hAnsi="黑体" w:eastAsia="黑体"/>
          <w:sz w:val="28"/>
          <w:szCs w:val="28"/>
        </w:rPr>
      </w:pPr>
      <w:bookmarkStart w:id="155" w:name="_Toc29913953"/>
      <w:r>
        <w:rPr>
          <w:rFonts w:hint="eastAsia" w:ascii="黑体" w:hAnsi="黑体" w:eastAsia="黑体"/>
          <w:sz w:val="28"/>
          <w:szCs w:val="28"/>
          <w:lang w:eastAsia="zh-CN"/>
        </w:rPr>
        <w:t>二</w:t>
      </w:r>
      <w:r>
        <w:rPr>
          <w:rFonts w:hint="eastAsia" w:ascii="黑体" w:hAnsi="黑体" w:eastAsia="黑体"/>
          <w:sz w:val="28"/>
          <w:szCs w:val="28"/>
        </w:rPr>
        <w:t>、法定代表人（单位负责人）身份证明</w:t>
      </w:r>
      <w:bookmarkEnd w:id="155"/>
    </w:p>
    <w:p w14:paraId="20CD589F">
      <w:pPr>
        <w:tabs>
          <w:tab w:val="left" w:pos="3880"/>
        </w:tabs>
        <w:autoSpaceDE w:val="0"/>
        <w:autoSpaceDN w:val="0"/>
        <w:adjustRightInd w:val="0"/>
        <w:snapToGrid w:val="0"/>
        <w:spacing w:line="360" w:lineRule="auto"/>
        <w:ind w:left="100" w:right="-20"/>
        <w:jc w:val="left"/>
        <w:rPr>
          <w:rFonts w:cs="微软雅黑" w:asciiTheme="minorEastAsia" w:hAnsiTheme="minorEastAsia" w:eastAsiaTheme="minorEastAsia"/>
          <w:kern w:val="0"/>
          <w:position w:val="-4"/>
          <w:szCs w:val="21"/>
        </w:rPr>
      </w:pPr>
    </w:p>
    <w:p w14:paraId="4496FE76">
      <w:pPr>
        <w:tabs>
          <w:tab w:val="left" w:pos="3880"/>
        </w:tabs>
        <w:autoSpaceDE w:val="0"/>
        <w:autoSpaceDN w:val="0"/>
        <w:adjustRightInd w:val="0"/>
        <w:snapToGrid w:val="0"/>
        <w:spacing w:line="360" w:lineRule="auto"/>
        <w:ind w:left="100" w:right="-20"/>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kern w:val="0"/>
          <w:position w:val="-4"/>
          <w:szCs w:val="21"/>
        </w:rPr>
        <w:t>投标</w:t>
      </w:r>
      <w:r>
        <w:rPr>
          <w:rFonts w:hint="eastAsia" w:cs="微软雅黑" w:asciiTheme="minorEastAsia" w:hAnsiTheme="minorEastAsia" w:eastAsiaTheme="minorEastAsia"/>
          <w:spacing w:val="-2"/>
          <w:kern w:val="0"/>
          <w:position w:val="-4"/>
          <w:szCs w:val="21"/>
        </w:rPr>
        <w:t>人</w:t>
      </w:r>
      <w:r>
        <w:rPr>
          <w:rFonts w:hint="eastAsia" w:cs="微软雅黑" w:asciiTheme="minorEastAsia" w:hAnsiTheme="minorEastAsia" w:eastAsiaTheme="minorEastAsia"/>
          <w:kern w:val="0"/>
          <w:position w:val="-4"/>
          <w:szCs w:val="21"/>
        </w:rPr>
        <w:t>名</w:t>
      </w:r>
      <w:r>
        <w:rPr>
          <w:rFonts w:hint="eastAsia" w:cs="微软雅黑" w:asciiTheme="minorEastAsia" w:hAnsiTheme="minorEastAsia" w:eastAsiaTheme="minorEastAsia"/>
          <w:spacing w:val="-2"/>
          <w:kern w:val="0"/>
          <w:position w:val="-4"/>
          <w:szCs w:val="21"/>
        </w:rPr>
        <w:t>称</w:t>
      </w:r>
      <w:r>
        <w:rPr>
          <w:rFonts w:hint="eastAsia" w:cs="微软雅黑" w:asciiTheme="minorEastAsia" w:hAnsiTheme="minorEastAsia" w:eastAsiaTheme="minorEastAsia"/>
          <w:kern w:val="0"/>
          <w:position w:val="-4"/>
          <w:szCs w:val="21"/>
        </w:rPr>
        <w:t>：</w:t>
      </w:r>
      <w:r>
        <w:rPr>
          <w:rFonts w:hint="eastAsia" w:ascii="宋体" w:hAnsi="宋体"/>
          <w:szCs w:val="21"/>
          <w:u w:val="single"/>
        </w:rPr>
        <w:t xml:space="preserve">                 </w:t>
      </w:r>
    </w:p>
    <w:p w14:paraId="560095F3">
      <w:pPr>
        <w:tabs>
          <w:tab w:val="left" w:pos="2400"/>
          <w:tab w:val="left" w:pos="3880"/>
          <w:tab w:val="left" w:pos="5340"/>
          <w:tab w:val="left" w:pos="6820"/>
        </w:tabs>
        <w:autoSpaceDE w:val="0"/>
        <w:autoSpaceDN w:val="0"/>
        <w:adjustRightInd w:val="0"/>
        <w:snapToGrid w:val="0"/>
        <w:spacing w:line="360" w:lineRule="auto"/>
        <w:ind w:left="100" w:right="-20"/>
        <w:jc w:val="left"/>
        <w:rPr>
          <w:rFonts w:cs="微软雅黑" w:asciiTheme="minorEastAsia" w:hAnsiTheme="minorEastAsia" w:eastAsiaTheme="minorEastAsia"/>
          <w:kern w:val="0"/>
          <w:position w:val="-2"/>
          <w:szCs w:val="21"/>
        </w:rPr>
      </w:pPr>
      <w:r>
        <w:rPr>
          <w:rFonts w:hint="eastAsia" w:cs="微软雅黑" w:asciiTheme="minorEastAsia" w:hAnsiTheme="minorEastAsia" w:eastAsiaTheme="minorEastAsia"/>
          <w:kern w:val="0"/>
          <w:position w:val="-2"/>
          <w:szCs w:val="21"/>
        </w:rPr>
        <w:t>统一社会信用代码：</w:t>
      </w:r>
      <w:r>
        <w:rPr>
          <w:rFonts w:hint="eastAsia" w:ascii="宋体" w:hAnsi="宋体"/>
          <w:szCs w:val="21"/>
          <w:u w:val="single"/>
        </w:rPr>
        <w:t xml:space="preserve">                 </w:t>
      </w:r>
    </w:p>
    <w:p w14:paraId="285AD21F">
      <w:pPr>
        <w:tabs>
          <w:tab w:val="left" w:pos="2400"/>
          <w:tab w:val="left" w:pos="3880"/>
          <w:tab w:val="left" w:pos="5340"/>
          <w:tab w:val="left" w:pos="6820"/>
        </w:tabs>
        <w:autoSpaceDE w:val="0"/>
        <w:autoSpaceDN w:val="0"/>
        <w:adjustRightInd w:val="0"/>
        <w:snapToGrid w:val="0"/>
        <w:spacing w:line="360" w:lineRule="auto"/>
        <w:ind w:left="100" w:right="-20"/>
        <w:jc w:val="left"/>
        <w:rPr>
          <w:rFonts w:cs="微软雅黑" w:asciiTheme="minorEastAsia" w:hAnsiTheme="minorEastAsia" w:eastAsiaTheme="minorEastAsia"/>
          <w:kern w:val="0"/>
          <w:position w:val="-2"/>
          <w:szCs w:val="21"/>
        </w:rPr>
      </w:pPr>
      <w:r>
        <w:rPr>
          <w:rFonts w:hint="eastAsia" w:cs="微软雅黑" w:asciiTheme="minorEastAsia" w:hAnsiTheme="minorEastAsia" w:eastAsiaTheme="minorEastAsia"/>
          <w:kern w:val="0"/>
          <w:position w:val="-2"/>
          <w:szCs w:val="21"/>
        </w:rPr>
        <w:t>注册地址：</w:t>
      </w:r>
      <w:r>
        <w:rPr>
          <w:rFonts w:hint="eastAsia" w:ascii="宋体" w:hAnsi="宋体"/>
          <w:szCs w:val="21"/>
          <w:u w:val="single"/>
        </w:rPr>
        <w:t xml:space="preserve">                 </w:t>
      </w:r>
    </w:p>
    <w:p w14:paraId="26AF7BAC">
      <w:pPr>
        <w:tabs>
          <w:tab w:val="left" w:pos="2400"/>
          <w:tab w:val="left" w:pos="3880"/>
          <w:tab w:val="left" w:pos="5340"/>
          <w:tab w:val="left" w:pos="6820"/>
        </w:tabs>
        <w:autoSpaceDE w:val="0"/>
        <w:autoSpaceDN w:val="0"/>
        <w:adjustRightInd w:val="0"/>
        <w:snapToGrid w:val="0"/>
        <w:spacing w:line="360" w:lineRule="auto"/>
        <w:ind w:left="102" w:right="-23" w:firstLine="420" w:firstLineChars="200"/>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kern w:val="0"/>
          <w:position w:val="-2"/>
          <w:szCs w:val="21"/>
        </w:rPr>
        <w:t>姓名</w:t>
      </w:r>
      <w:r>
        <w:rPr>
          <w:rFonts w:hint="eastAsia" w:cs="微软雅黑" w:asciiTheme="minorEastAsia" w:hAnsiTheme="minorEastAsia" w:eastAsiaTheme="minorEastAsia"/>
          <w:spacing w:val="-2"/>
          <w:kern w:val="0"/>
          <w:position w:val="-2"/>
          <w:szCs w:val="21"/>
        </w:rPr>
        <w:t>：</w:t>
      </w:r>
      <w:r>
        <w:rPr>
          <w:rFonts w:hint="eastAsia" w:ascii="宋体" w:hAnsi="宋体"/>
          <w:szCs w:val="21"/>
          <w:u w:val="single"/>
        </w:rPr>
        <w:t xml:space="preserve">         </w:t>
      </w:r>
      <w:r>
        <w:rPr>
          <w:rFonts w:hint="eastAsia" w:cs="微软雅黑" w:asciiTheme="minorEastAsia" w:hAnsiTheme="minorEastAsia" w:eastAsiaTheme="minorEastAsia"/>
          <w:kern w:val="0"/>
          <w:position w:val="-2"/>
          <w:szCs w:val="21"/>
        </w:rPr>
        <w:t>性别</w:t>
      </w:r>
      <w:r>
        <w:rPr>
          <w:rFonts w:hint="eastAsia" w:cs="微软雅黑" w:asciiTheme="minorEastAsia" w:hAnsiTheme="minorEastAsia" w:eastAsiaTheme="minorEastAsia"/>
          <w:spacing w:val="-2"/>
          <w:kern w:val="0"/>
          <w:position w:val="-2"/>
          <w:szCs w:val="21"/>
        </w:rPr>
        <w:t>：</w:t>
      </w:r>
      <w:r>
        <w:rPr>
          <w:rFonts w:hint="eastAsia" w:ascii="宋体" w:hAnsi="宋体"/>
          <w:szCs w:val="21"/>
          <w:u w:val="single"/>
        </w:rPr>
        <w:t xml:space="preserve">         </w:t>
      </w:r>
      <w:r>
        <w:rPr>
          <w:rFonts w:hint="eastAsia" w:cs="微软雅黑" w:asciiTheme="minorEastAsia" w:hAnsiTheme="minorEastAsia" w:eastAsiaTheme="minorEastAsia"/>
          <w:kern w:val="0"/>
          <w:position w:val="-2"/>
          <w:szCs w:val="21"/>
        </w:rPr>
        <w:t>年</w:t>
      </w:r>
      <w:r>
        <w:rPr>
          <w:rFonts w:hint="eastAsia" w:cs="微软雅黑" w:asciiTheme="minorEastAsia" w:hAnsiTheme="minorEastAsia" w:eastAsiaTheme="minorEastAsia"/>
          <w:spacing w:val="-2"/>
          <w:kern w:val="0"/>
          <w:position w:val="-2"/>
          <w:szCs w:val="21"/>
        </w:rPr>
        <w:t>龄</w:t>
      </w:r>
      <w:r>
        <w:rPr>
          <w:rFonts w:hint="eastAsia" w:cs="微软雅黑" w:asciiTheme="minorEastAsia" w:hAnsiTheme="minorEastAsia" w:eastAsiaTheme="minorEastAsia"/>
          <w:kern w:val="0"/>
          <w:position w:val="-2"/>
          <w:szCs w:val="21"/>
        </w:rPr>
        <w:t>：</w:t>
      </w:r>
      <w:r>
        <w:rPr>
          <w:rFonts w:hint="eastAsia" w:ascii="宋体" w:hAnsi="宋体"/>
          <w:szCs w:val="21"/>
          <w:u w:val="single"/>
        </w:rPr>
        <w:t xml:space="preserve">         </w:t>
      </w:r>
      <w:r>
        <w:rPr>
          <w:rFonts w:hint="eastAsia" w:cs="微软雅黑" w:asciiTheme="minorEastAsia" w:hAnsiTheme="minorEastAsia" w:eastAsiaTheme="minorEastAsia"/>
          <w:kern w:val="0"/>
          <w:position w:val="-2"/>
          <w:szCs w:val="21"/>
        </w:rPr>
        <w:t>职</w:t>
      </w:r>
      <w:r>
        <w:rPr>
          <w:rFonts w:hint="eastAsia" w:cs="微软雅黑" w:asciiTheme="minorEastAsia" w:hAnsiTheme="minorEastAsia" w:eastAsiaTheme="minorEastAsia"/>
          <w:spacing w:val="-2"/>
          <w:kern w:val="0"/>
          <w:position w:val="-2"/>
          <w:szCs w:val="21"/>
        </w:rPr>
        <w:t>务</w:t>
      </w:r>
      <w:r>
        <w:rPr>
          <w:rFonts w:hint="eastAsia" w:cs="微软雅黑" w:asciiTheme="minorEastAsia" w:hAnsiTheme="minorEastAsia" w:eastAsiaTheme="minorEastAsia"/>
          <w:kern w:val="0"/>
          <w:position w:val="-2"/>
          <w:szCs w:val="21"/>
        </w:rPr>
        <w:t>：</w:t>
      </w:r>
      <w:r>
        <w:rPr>
          <w:rFonts w:hint="eastAsia" w:ascii="宋体" w:hAnsi="宋体"/>
          <w:szCs w:val="21"/>
          <w:u w:val="single"/>
        </w:rPr>
        <w:t xml:space="preserve">         </w:t>
      </w:r>
      <w:r>
        <w:rPr>
          <w:rFonts w:hint="eastAsia" w:cs="微软雅黑" w:asciiTheme="minorEastAsia" w:hAnsiTheme="minorEastAsia" w:eastAsiaTheme="minorEastAsia"/>
          <w:kern w:val="0"/>
          <w:position w:val="-2"/>
          <w:szCs w:val="21"/>
        </w:rPr>
        <w:t>系</w:t>
      </w:r>
      <w:r>
        <w:rPr>
          <w:rFonts w:hint="eastAsia" w:ascii="宋体" w:hAnsi="宋体"/>
          <w:szCs w:val="21"/>
          <w:u w:val="single"/>
        </w:rPr>
        <w:t xml:space="preserve">         </w:t>
      </w:r>
      <w:r>
        <w:rPr>
          <w:rFonts w:hint="eastAsia" w:cs="微软雅黑" w:asciiTheme="minorEastAsia" w:hAnsiTheme="minorEastAsia" w:eastAsiaTheme="minorEastAsia"/>
          <w:spacing w:val="-2"/>
          <w:kern w:val="0"/>
          <w:position w:val="-2"/>
          <w:szCs w:val="21"/>
        </w:rPr>
        <w:t>（</w:t>
      </w:r>
      <w:r>
        <w:rPr>
          <w:rFonts w:hint="eastAsia" w:cs="微软雅黑" w:asciiTheme="minorEastAsia" w:hAnsiTheme="minorEastAsia" w:eastAsiaTheme="minorEastAsia"/>
          <w:kern w:val="0"/>
          <w:position w:val="-2"/>
          <w:szCs w:val="21"/>
        </w:rPr>
        <w:t>投</w:t>
      </w:r>
      <w:r>
        <w:rPr>
          <w:rFonts w:hint="eastAsia" w:cs="微软雅黑" w:asciiTheme="minorEastAsia" w:hAnsiTheme="minorEastAsia" w:eastAsiaTheme="minorEastAsia"/>
          <w:spacing w:val="-2"/>
          <w:kern w:val="0"/>
          <w:position w:val="-2"/>
          <w:szCs w:val="21"/>
        </w:rPr>
        <w:t>标</w:t>
      </w:r>
      <w:r>
        <w:rPr>
          <w:rFonts w:hint="eastAsia" w:cs="微软雅黑" w:asciiTheme="minorEastAsia" w:hAnsiTheme="minorEastAsia" w:eastAsiaTheme="minorEastAsia"/>
          <w:kern w:val="0"/>
          <w:position w:val="-2"/>
          <w:szCs w:val="21"/>
        </w:rPr>
        <w:t>人</w:t>
      </w:r>
      <w:r>
        <w:rPr>
          <w:rFonts w:hint="eastAsia" w:cs="微软雅黑" w:asciiTheme="minorEastAsia" w:hAnsiTheme="minorEastAsia" w:eastAsiaTheme="minorEastAsia"/>
          <w:spacing w:val="-2"/>
          <w:kern w:val="0"/>
          <w:position w:val="-2"/>
          <w:szCs w:val="21"/>
        </w:rPr>
        <w:t>名</w:t>
      </w:r>
      <w:r>
        <w:rPr>
          <w:rFonts w:hint="eastAsia" w:cs="微软雅黑" w:asciiTheme="minorEastAsia" w:hAnsiTheme="minorEastAsia" w:eastAsiaTheme="minorEastAsia"/>
          <w:kern w:val="0"/>
          <w:position w:val="-2"/>
          <w:szCs w:val="21"/>
        </w:rPr>
        <w:t>称</w:t>
      </w:r>
      <w:r>
        <w:rPr>
          <w:rFonts w:hint="eastAsia" w:cs="微软雅黑" w:asciiTheme="minorEastAsia" w:hAnsiTheme="minorEastAsia" w:eastAsiaTheme="minorEastAsia"/>
          <w:spacing w:val="-2"/>
          <w:kern w:val="0"/>
          <w:position w:val="-2"/>
          <w:szCs w:val="21"/>
        </w:rPr>
        <w:t>）</w:t>
      </w:r>
      <w:r>
        <w:rPr>
          <w:rFonts w:hint="eastAsia" w:cs="微软雅黑" w:asciiTheme="minorEastAsia" w:hAnsiTheme="minorEastAsia" w:eastAsiaTheme="minorEastAsia"/>
          <w:kern w:val="0"/>
          <w:position w:val="-2"/>
          <w:szCs w:val="21"/>
        </w:rPr>
        <w:t>的</w:t>
      </w:r>
      <w:r>
        <w:rPr>
          <w:rFonts w:hint="eastAsia" w:cs="微软雅黑" w:asciiTheme="minorEastAsia" w:hAnsiTheme="minorEastAsia" w:eastAsiaTheme="minorEastAsia"/>
          <w:spacing w:val="-2"/>
          <w:kern w:val="0"/>
          <w:position w:val="-2"/>
          <w:szCs w:val="21"/>
        </w:rPr>
        <w:t>法定</w:t>
      </w:r>
      <w:r>
        <w:rPr>
          <w:rFonts w:hint="eastAsia" w:cs="微软雅黑" w:asciiTheme="minorEastAsia" w:hAnsiTheme="minorEastAsia" w:eastAsiaTheme="minorEastAsia"/>
          <w:kern w:val="0"/>
          <w:position w:val="-2"/>
          <w:szCs w:val="21"/>
        </w:rPr>
        <w:t>代表</w:t>
      </w:r>
      <w:r>
        <w:rPr>
          <w:rFonts w:hint="eastAsia" w:cs="微软雅黑" w:asciiTheme="minorEastAsia" w:hAnsiTheme="minorEastAsia" w:eastAsiaTheme="minorEastAsia"/>
          <w:spacing w:val="-2"/>
          <w:kern w:val="0"/>
          <w:position w:val="-2"/>
          <w:szCs w:val="21"/>
        </w:rPr>
        <w:t>人</w:t>
      </w:r>
      <w:r>
        <w:rPr>
          <w:rFonts w:hint="eastAsia" w:cs="微软雅黑" w:asciiTheme="minorEastAsia" w:hAnsiTheme="minorEastAsia" w:eastAsiaTheme="minorEastAsia"/>
          <w:kern w:val="0"/>
          <w:position w:val="-2"/>
          <w:szCs w:val="21"/>
        </w:rPr>
        <w:t>（</w:t>
      </w:r>
      <w:r>
        <w:rPr>
          <w:rFonts w:hint="eastAsia" w:cs="微软雅黑" w:asciiTheme="minorEastAsia" w:hAnsiTheme="minorEastAsia" w:eastAsiaTheme="minorEastAsia"/>
          <w:spacing w:val="-2"/>
          <w:kern w:val="0"/>
          <w:position w:val="-2"/>
          <w:szCs w:val="21"/>
        </w:rPr>
        <w:t>单</w:t>
      </w:r>
      <w:r>
        <w:rPr>
          <w:rFonts w:hint="eastAsia" w:cs="微软雅黑" w:asciiTheme="minorEastAsia" w:hAnsiTheme="minorEastAsia" w:eastAsiaTheme="minorEastAsia"/>
          <w:kern w:val="0"/>
          <w:position w:val="-2"/>
          <w:szCs w:val="21"/>
        </w:rPr>
        <w:t>位</w:t>
      </w:r>
      <w:r>
        <w:rPr>
          <w:rFonts w:hint="eastAsia" w:cs="微软雅黑" w:asciiTheme="minorEastAsia" w:hAnsiTheme="minorEastAsia" w:eastAsiaTheme="minorEastAsia"/>
          <w:spacing w:val="-2"/>
          <w:kern w:val="0"/>
          <w:position w:val="-2"/>
          <w:szCs w:val="21"/>
        </w:rPr>
        <w:t>负</w:t>
      </w:r>
      <w:r>
        <w:rPr>
          <w:rFonts w:hint="eastAsia" w:cs="微软雅黑" w:asciiTheme="minorEastAsia" w:hAnsiTheme="minorEastAsia" w:eastAsiaTheme="minorEastAsia"/>
          <w:kern w:val="0"/>
          <w:position w:val="-2"/>
          <w:szCs w:val="21"/>
        </w:rPr>
        <w:t>责</w:t>
      </w:r>
      <w:r>
        <w:rPr>
          <w:rFonts w:hint="eastAsia" w:cs="微软雅黑" w:asciiTheme="minorEastAsia" w:hAnsiTheme="minorEastAsia" w:eastAsiaTheme="minorEastAsia"/>
          <w:spacing w:val="-2"/>
          <w:kern w:val="0"/>
          <w:position w:val="-2"/>
          <w:szCs w:val="21"/>
        </w:rPr>
        <w:t>人</w:t>
      </w:r>
      <w:r>
        <w:rPr>
          <w:rFonts w:hint="eastAsia" w:cs="微软雅黑" w:asciiTheme="minorEastAsia" w:hAnsiTheme="minorEastAsia" w:eastAsiaTheme="minorEastAsia"/>
          <w:spacing w:val="-106"/>
          <w:kern w:val="0"/>
          <w:position w:val="-2"/>
          <w:szCs w:val="21"/>
        </w:rPr>
        <w:t>）</w:t>
      </w:r>
      <w:r>
        <w:rPr>
          <w:rFonts w:hint="eastAsia" w:cs="微软雅黑" w:asciiTheme="minorEastAsia" w:hAnsiTheme="minorEastAsia" w:eastAsiaTheme="minorEastAsia"/>
          <w:kern w:val="0"/>
          <w:position w:val="-2"/>
          <w:szCs w:val="21"/>
        </w:rPr>
        <w:t>。</w:t>
      </w:r>
    </w:p>
    <w:p w14:paraId="48852757">
      <w:pPr>
        <w:autoSpaceDE w:val="0"/>
        <w:autoSpaceDN w:val="0"/>
        <w:adjustRightInd w:val="0"/>
        <w:snapToGrid w:val="0"/>
        <w:spacing w:line="360" w:lineRule="auto"/>
        <w:ind w:left="520" w:right="-20"/>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kern w:val="0"/>
          <w:szCs w:val="21"/>
        </w:rPr>
        <w:t>特此</w:t>
      </w:r>
      <w:r>
        <w:rPr>
          <w:rFonts w:hint="eastAsia" w:cs="微软雅黑" w:asciiTheme="minorEastAsia" w:hAnsiTheme="minorEastAsia" w:eastAsiaTheme="minorEastAsia"/>
          <w:spacing w:val="-2"/>
          <w:kern w:val="0"/>
          <w:szCs w:val="21"/>
        </w:rPr>
        <w:t>证</w:t>
      </w:r>
      <w:r>
        <w:rPr>
          <w:rFonts w:hint="eastAsia" w:cs="微软雅黑" w:asciiTheme="minorEastAsia" w:hAnsiTheme="minorEastAsia" w:eastAsiaTheme="minorEastAsia"/>
          <w:kern w:val="0"/>
          <w:szCs w:val="21"/>
        </w:rPr>
        <w:t>明。</w:t>
      </w:r>
    </w:p>
    <w:p w14:paraId="1F9BB5FD">
      <w:pPr>
        <w:autoSpaceDE w:val="0"/>
        <w:autoSpaceDN w:val="0"/>
        <w:adjustRightInd w:val="0"/>
        <w:snapToGrid w:val="0"/>
        <w:spacing w:line="360" w:lineRule="auto"/>
        <w:ind w:left="100" w:right="4231"/>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kern w:val="0"/>
          <w:szCs w:val="21"/>
        </w:rPr>
        <w:t>附：</w:t>
      </w: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cs="微软雅黑" w:asciiTheme="minorEastAsia" w:hAnsiTheme="minorEastAsia" w:eastAsiaTheme="minorEastAsia"/>
          <w:kern w:val="0"/>
          <w:szCs w:val="21"/>
        </w:rPr>
        <w:t>身</w:t>
      </w:r>
      <w:r>
        <w:rPr>
          <w:rFonts w:hint="eastAsia" w:cs="微软雅黑" w:asciiTheme="minorEastAsia" w:hAnsiTheme="minorEastAsia" w:eastAsiaTheme="minorEastAsia"/>
          <w:spacing w:val="-2"/>
          <w:kern w:val="0"/>
          <w:szCs w:val="21"/>
        </w:rPr>
        <w:t>份</w:t>
      </w:r>
      <w:r>
        <w:rPr>
          <w:rFonts w:hint="eastAsia" w:cs="微软雅黑" w:asciiTheme="minorEastAsia" w:hAnsiTheme="minorEastAsia" w:eastAsiaTheme="minorEastAsia"/>
          <w:kern w:val="0"/>
          <w:szCs w:val="21"/>
        </w:rPr>
        <w:t>证</w:t>
      </w:r>
      <w:r>
        <w:rPr>
          <w:rFonts w:hint="eastAsia" w:cs="微软雅黑" w:asciiTheme="minorEastAsia" w:hAnsiTheme="minorEastAsia" w:eastAsiaTheme="minorEastAsia"/>
          <w:spacing w:val="-2"/>
          <w:kern w:val="0"/>
          <w:szCs w:val="21"/>
        </w:rPr>
        <w:t>复</w:t>
      </w:r>
      <w:r>
        <w:rPr>
          <w:rFonts w:hint="eastAsia" w:cs="微软雅黑" w:asciiTheme="minorEastAsia" w:hAnsiTheme="minorEastAsia" w:eastAsiaTheme="minorEastAsia"/>
          <w:kern w:val="0"/>
          <w:szCs w:val="21"/>
        </w:rPr>
        <w:t>印</w:t>
      </w:r>
      <w:r>
        <w:rPr>
          <w:rFonts w:hint="eastAsia" w:cs="微软雅黑" w:asciiTheme="minorEastAsia" w:hAnsiTheme="minorEastAsia" w:eastAsiaTheme="minorEastAsia"/>
          <w:spacing w:val="-2"/>
          <w:kern w:val="0"/>
          <w:szCs w:val="21"/>
        </w:rPr>
        <w:t>件</w:t>
      </w:r>
      <w:r>
        <w:rPr>
          <w:rFonts w:hint="eastAsia" w:cs="微软雅黑" w:asciiTheme="minorEastAsia" w:hAnsiTheme="minorEastAsia" w:eastAsiaTheme="minorEastAsia"/>
          <w:kern w:val="0"/>
          <w:szCs w:val="21"/>
        </w:rPr>
        <w:t>。</w:t>
      </w:r>
    </w:p>
    <w:tbl>
      <w:tblPr>
        <w:tblStyle w:val="44"/>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381C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vAlign w:val="center"/>
          </w:tcPr>
          <w:p w14:paraId="0E8F1639">
            <w:pPr>
              <w:adjustRightInd w:val="0"/>
              <w:snapToGrid w:val="0"/>
              <w:spacing w:line="360" w:lineRule="auto"/>
              <w:jc w:val="center"/>
              <w:rPr>
                <w:rFonts w:ascii="宋体" w:hAnsi="宋体"/>
                <w:szCs w:val="21"/>
              </w:rPr>
            </w:pPr>
            <w:r>
              <w:rPr>
                <w:rFonts w:hint="eastAsia" w:ascii="宋体" w:hAnsi="宋体"/>
                <w:szCs w:val="21"/>
              </w:rPr>
              <w:t>身份证（正面）</w:t>
            </w:r>
            <w:r>
              <w:rPr>
                <w:rFonts w:hint="eastAsia" w:cs="微软雅黑" w:asciiTheme="minorEastAsia" w:hAnsiTheme="minorEastAsia" w:eastAsiaTheme="minorEastAsia"/>
                <w:spacing w:val="-2"/>
                <w:kern w:val="0"/>
                <w:szCs w:val="21"/>
              </w:rPr>
              <w:t>复</w:t>
            </w:r>
            <w:r>
              <w:rPr>
                <w:rFonts w:hint="eastAsia" w:cs="微软雅黑" w:asciiTheme="minorEastAsia" w:hAnsiTheme="minorEastAsia" w:eastAsiaTheme="minorEastAsia"/>
                <w:kern w:val="0"/>
                <w:szCs w:val="21"/>
              </w:rPr>
              <w:t>印</w:t>
            </w:r>
            <w:r>
              <w:rPr>
                <w:rFonts w:hint="eastAsia" w:cs="微软雅黑" w:asciiTheme="minorEastAsia" w:hAnsiTheme="minorEastAsia" w:eastAsiaTheme="minorEastAsia"/>
                <w:spacing w:val="-2"/>
                <w:kern w:val="0"/>
                <w:szCs w:val="21"/>
              </w:rPr>
              <w:t>件</w:t>
            </w:r>
          </w:p>
        </w:tc>
        <w:tc>
          <w:tcPr>
            <w:tcW w:w="3899" w:type="dxa"/>
            <w:vAlign w:val="center"/>
          </w:tcPr>
          <w:p w14:paraId="48EB7530">
            <w:pPr>
              <w:adjustRightInd w:val="0"/>
              <w:snapToGrid w:val="0"/>
              <w:spacing w:line="360" w:lineRule="auto"/>
              <w:jc w:val="center"/>
              <w:rPr>
                <w:rFonts w:ascii="宋体" w:hAnsi="宋体"/>
                <w:szCs w:val="21"/>
              </w:rPr>
            </w:pPr>
            <w:r>
              <w:rPr>
                <w:rFonts w:hint="eastAsia" w:ascii="宋体" w:hAnsi="宋体"/>
                <w:szCs w:val="21"/>
              </w:rPr>
              <w:t>身份证（反面）</w:t>
            </w:r>
            <w:r>
              <w:rPr>
                <w:rFonts w:hint="eastAsia" w:cs="微软雅黑" w:asciiTheme="minorEastAsia" w:hAnsiTheme="minorEastAsia" w:eastAsiaTheme="minorEastAsia"/>
                <w:spacing w:val="-2"/>
                <w:kern w:val="0"/>
                <w:szCs w:val="21"/>
              </w:rPr>
              <w:t>复</w:t>
            </w:r>
            <w:r>
              <w:rPr>
                <w:rFonts w:hint="eastAsia" w:cs="微软雅黑" w:asciiTheme="minorEastAsia" w:hAnsiTheme="minorEastAsia" w:eastAsiaTheme="minorEastAsia"/>
                <w:kern w:val="0"/>
                <w:szCs w:val="21"/>
              </w:rPr>
              <w:t>印</w:t>
            </w:r>
            <w:r>
              <w:rPr>
                <w:rFonts w:hint="eastAsia" w:cs="微软雅黑" w:asciiTheme="minorEastAsia" w:hAnsiTheme="minorEastAsia" w:eastAsiaTheme="minorEastAsia"/>
                <w:spacing w:val="-2"/>
                <w:kern w:val="0"/>
                <w:szCs w:val="21"/>
              </w:rPr>
              <w:t>件</w:t>
            </w:r>
          </w:p>
        </w:tc>
      </w:tr>
    </w:tbl>
    <w:p w14:paraId="65A3665A">
      <w:pPr>
        <w:adjustRightInd w:val="0"/>
        <w:snapToGrid w:val="0"/>
        <w:spacing w:line="360" w:lineRule="auto"/>
        <w:rPr>
          <w:rFonts w:ascii="宋体" w:hAnsi="宋体"/>
          <w:szCs w:val="21"/>
        </w:rPr>
      </w:pPr>
    </w:p>
    <w:p w14:paraId="62DA2A6C">
      <w:pPr>
        <w:adjustRightInd w:val="0"/>
        <w:snapToGrid w:val="0"/>
        <w:spacing w:line="360" w:lineRule="auto"/>
        <w:rPr>
          <w:rFonts w:ascii="宋体" w:hAnsi="宋体"/>
          <w:szCs w:val="21"/>
        </w:rPr>
      </w:pPr>
      <w:r>
        <w:rPr>
          <w:rFonts w:hint="eastAsia" w:ascii="宋体" w:hAnsi="宋体"/>
          <w:szCs w:val="21"/>
        </w:rPr>
        <w:t>注：投标人代表为法定代表人（单位负责人）的提供。自然人投标的无需提供。</w:t>
      </w:r>
    </w:p>
    <w:p w14:paraId="20D2D289">
      <w:pPr>
        <w:adjustRightInd w:val="0"/>
        <w:snapToGrid w:val="0"/>
        <w:spacing w:line="360" w:lineRule="auto"/>
        <w:rPr>
          <w:rFonts w:ascii="宋体" w:hAnsi="宋体"/>
          <w:szCs w:val="21"/>
        </w:rPr>
      </w:pPr>
    </w:p>
    <w:p w14:paraId="177D3E8A">
      <w:pPr>
        <w:adjustRightInd w:val="0"/>
        <w:snapToGrid w:val="0"/>
        <w:spacing w:line="360" w:lineRule="auto"/>
        <w:rPr>
          <w:rFonts w:ascii="宋体" w:hAnsi="宋体"/>
          <w:szCs w:val="21"/>
        </w:rPr>
      </w:pPr>
      <w:r>
        <w:rPr>
          <w:rFonts w:hint="eastAsia" w:ascii="宋体" w:hAnsi="宋体"/>
          <w:szCs w:val="21"/>
        </w:rPr>
        <w:t>投标人名称（盖单位电子章）：</w:t>
      </w:r>
      <w:r>
        <w:rPr>
          <w:rFonts w:hint="eastAsia" w:ascii="宋体" w:hAnsi="宋体"/>
          <w:szCs w:val="21"/>
          <w:u w:val="single"/>
        </w:rPr>
        <w:t xml:space="preserve">         </w:t>
      </w:r>
    </w:p>
    <w:p w14:paraId="3F7D7FFA">
      <w:pPr>
        <w:adjustRightInd w:val="0"/>
        <w:snapToGrid w:val="0"/>
        <w:spacing w:line="360" w:lineRule="auto"/>
        <w:ind w:right="420"/>
        <w:rPr>
          <w:rFonts w:ascii="宋体" w:hAnsi="宋体"/>
          <w:szCs w:val="21"/>
        </w:rPr>
      </w:pPr>
      <w:r>
        <w:rPr>
          <w:rFonts w:hint="eastAsia" w:cs="宋体" w:asciiTheme="minorEastAsia" w:hAnsiTheme="minorEastAsia" w:eastAsiaTheme="minorEastAsia"/>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DBD5774">
      <w:pPr>
        <w:adjustRightInd w:val="0"/>
        <w:snapToGrid w:val="0"/>
        <w:spacing w:line="360" w:lineRule="auto"/>
      </w:pPr>
    </w:p>
    <w:p w14:paraId="631BDAFF">
      <w:pPr>
        <w:widowControl/>
        <w:jc w:val="left"/>
      </w:pPr>
      <w:r>
        <w:br w:type="page"/>
      </w:r>
    </w:p>
    <w:p w14:paraId="575C7B85">
      <w:pPr>
        <w:pStyle w:val="4"/>
        <w:adjustRightInd w:val="0"/>
        <w:snapToGrid w:val="0"/>
        <w:spacing w:before="0" w:after="0" w:line="360" w:lineRule="auto"/>
        <w:jc w:val="center"/>
        <w:rPr>
          <w:rFonts w:ascii="黑体" w:hAnsi="宋体" w:eastAsia="黑体"/>
          <w:sz w:val="28"/>
          <w:szCs w:val="28"/>
        </w:rPr>
      </w:pPr>
      <w:bookmarkStart w:id="156" w:name="_Toc27003"/>
      <w:bookmarkStart w:id="157" w:name="_Toc7677"/>
      <w:bookmarkStart w:id="158" w:name="_Toc29913954"/>
      <w:r>
        <w:rPr>
          <w:rFonts w:hint="eastAsia" w:ascii="黑体" w:hAnsi="宋体" w:eastAsia="黑体"/>
          <w:sz w:val="28"/>
          <w:szCs w:val="28"/>
          <w:lang w:eastAsia="zh-CN"/>
        </w:rPr>
        <w:t>三、</w:t>
      </w:r>
      <w:r>
        <w:rPr>
          <w:rFonts w:hint="eastAsia" w:ascii="黑体" w:hAnsi="宋体" w:eastAsia="黑体"/>
          <w:sz w:val="28"/>
          <w:szCs w:val="28"/>
        </w:rPr>
        <w:t>授权委托书</w:t>
      </w:r>
      <w:bookmarkEnd w:id="156"/>
      <w:bookmarkEnd w:id="157"/>
      <w:bookmarkEnd w:id="158"/>
    </w:p>
    <w:p w14:paraId="0DBBE92A">
      <w:pPr>
        <w:autoSpaceDE w:val="0"/>
        <w:autoSpaceDN w:val="0"/>
        <w:adjustRightInd w:val="0"/>
        <w:snapToGrid w:val="0"/>
        <w:spacing w:line="360" w:lineRule="auto"/>
        <w:ind w:firstLine="446" w:firstLineChars="200"/>
        <w:jc w:val="left"/>
        <w:rPr>
          <w:rFonts w:ascii="宋体" w:hAnsi="宋体"/>
          <w:b/>
          <w:spacing w:val="6"/>
          <w:szCs w:val="21"/>
        </w:rPr>
      </w:pPr>
    </w:p>
    <w:p w14:paraId="3EA21D04">
      <w:pPr>
        <w:autoSpaceDE w:val="0"/>
        <w:autoSpaceDN w:val="0"/>
        <w:adjustRightInd w:val="0"/>
        <w:snapToGrid w:val="0"/>
        <w:spacing w:line="360" w:lineRule="auto"/>
        <w:ind w:firstLine="420" w:firstLineChars="200"/>
        <w:jc w:val="left"/>
        <w:rPr>
          <w:rFonts w:ascii="宋体" w:hAnsi="宋体" w:cs="宋体"/>
          <w:kern w:val="0"/>
          <w:szCs w:val="21"/>
        </w:rPr>
      </w:pPr>
    </w:p>
    <w:p w14:paraId="4E8E4FB5">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投标人</w:t>
      </w:r>
      <w:r>
        <w:rPr>
          <w:rFonts w:hint="eastAsia" w:ascii="宋体" w:hAnsi="宋体" w:cs="宋体"/>
          <w:kern w:val="0"/>
          <w:szCs w:val="21"/>
        </w:rPr>
        <w:t>名称）的法定代表人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宋体" w:hAnsi="宋体" w:cs="宋体"/>
          <w:kern w:val="0"/>
          <w:szCs w:val="21"/>
        </w:rPr>
        <w:t>，现授权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（姓名、职务）为我方代理人。代理人根据授权，以我方名义签署、澄清、说明、补正、递交、撤回、修改</w:t>
      </w:r>
      <w:r>
        <w:rPr>
          <w:rFonts w:hint="eastAsia" w:ascii="宋体" w:hAnsi="宋体" w:cs="宋体"/>
          <w:kern w:val="0"/>
          <w:szCs w:val="21"/>
          <w:u w:val="single"/>
        </w:rPr>
        <w:t xml:space="preserve">              </w:t>
      </w:r>
      <w:r>
        <w:rPr>
          <w:rFonts w:hint="eastAsia" w:ascii="宋体" w:hAnsi="宋体" w:cs="宋体"/>
          <w:kern w:val="0"/>
          <w:szCs w:val="21"/>
        </w:rPr>
        <w:t>（项目名称</w:t>
      </w:r>
      <w:r>
        <w:rPr>
          <w:rFonts w:ascii="宋体" w:hAnsi="宋体" w:cs="宋体"/>
          <w:kern w:val="0"/>
          <w:szCs w:val="21"/>
        </w:rPr>
        <w:t>）</w:t>
      </w:r>
      <w:r>
        <w:rPr>
          <w:rFonts w:hint="eastAsia" w:ascii="宋体" w:hAnsi="宋体" w:cs="宋体"/>
          <w:kern w:val="0"/>
          <w:szCs w:val="21"/>
        </w:rPr>
        <w:t>（</w:t>
      </w:r>
      <w:r>
        <w:rPr>
          <w:rFonts w:hint="eastAsia" w:asciiTheme="minorEastAsia" w:hAnsiTheme="minorEastAsia" w:eastAsiaTheme="minorEastAsia"/>
        </w:rPr>
        <w:t>政府</w:t>
      </w:r>
      <w:r>
        <w:rPr>
          <w:rFonts w:hint="eastAsia" w:asciiTheme="minorEastAsia" w:hAnsiTheme="minorEastAsia" w:eastAsiaTheme="minorEastAsia"/>
          <w:iCs/>
        </w:rPr>
        <w:t>采购编号：</w:t>
      </w:r>
      <w:r>
        <w:rPr>
          <w:rFonts w:hint="eastAsia" w:asciiTheme="minorEastAsia" w:hAnsiTheme="minorEastAsia" w:eastAsiaTheme="minorEastAsia"/>
          <w:iCs/>
          <w:u w:val="single"/>
        </w:rPr>
        <w:t xml:space="preserve">      </w:t>
      </w:r>
      <w:r>
        <w:rPr>
          <w:rFonts w:hint="eastAsia" w:asciiTheme="minorEastAsia" w:hAnsiTheme="minorEastAsia" w:eastAsiaTheme="minorEastAsia"/>
          <w:iCs/>
        </w:rPr>
        <w:t xml:space="preserve"> ，</w:t>
      </w:r>
      <w:r>
        <w:rPr>
          <w:rFonts w:hint="eastAsia" w:ascii="宋体" w:hAnsi="宋体" w:cs="宋体"/>
          <w:kern w:val="0"/>
          <w:szCs w:val="21"/>
        </w:rPr>
        <w:t>采购代理编号：</w:t>
      </w:r>
      <w:r>
        <w:rPr>
          <w:rFonts w:hint="eastAsia" w:ascii="宋体" w:hAnsi="宋体" w:cs="宋体"/>
          <w:kern w:val="0"/>
          <w:szCs w:val="21"/>
          <w:u w:val="single"/>
        </w:rPr>
        <w:t xml:space="preserve">       </w:t>
      </w:r>
      <w:r>
        <w:rPr>
          <w:rFonts w:hint="eastAsia" w:ascii="宋体" w:hAnsi="宋体" w:cs="宋体"/>
          <w:kern w:val="0"/>
          <w:szCs w:val="21"/>
        </w:rPr>
        <w:t>）投标文件、签订合同和处理有关事宜，其法律后果由我方承担。</w:t>
      </w:r>
    </w:p>
    <w:p w14:paraId="16D46A74">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14:paraId="5A6CF800">
      <w:pPr>
        <w:adjustRightInd w:val="0"/>
        <w:snapToGrid w:val="0"/>
        <w:spacing w:line="360" w:lineRule="auto"/>
        <w:ind w:firstLine="435"/>
        <w:rPr>
          <w:rFonts w:ascii="宋体" w:hAnsi="宋体" w:cs="宋体"/>
          <w:kern w:val="0"/>
          <w:szCs w:val="21"/>
        </w:rPr>
      </w:pPr>
      <w:r>
        <w:rPr>
          <w:rFonts w:hint="eastAsia" w:ascii="宋体" w:hAnsi="宋体" w:cs="宋体"/>
          <w:kern w:val="0"/>
          <w:szCs w:val="21"/>
        </w:rPr>
        <w:t>代理人无转委托权。</w:t>
      </w:r>
    </w:p>
    <w:p w14:paraId="570C8C8D">
      <w:pPr>
        <w:adjustRightInd w:val="0"/>
        <w:snapToGrid w:val="0"/>
        <w:spacing w:line="360" w:lineRule="auto"/>
        <w:ind w:firstLine="435"/>
        <w:rPr>
          <w:rFonts w:cs="微软雅黑" w:asciiTheme="minorEastAsia" w:hAnsiTheme="minorEastAsia" w:eastAsiaTheme="minorEastAsia"/>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tbl>
      <w:tblPr>
        <w:tblStyle w:val="44"/>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139D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vAlign w:val="center"/>
          </w:tcPr>
          <w:p w14:paraId="77A5EB58">
            <w:pPr>
              <w:adjustRightInd w:val="0"/>
              <w:snapToGrid w:val="0"/>
              <w:spacing w:line="360" w:lineRule="auto"/>
              <w:jc w:val="center"/>
              <w:rPr>
                <w:rFonts w:ascii="宋体" w:hAnsi="宋体"/>
                <w:szCs w:val="21"/>
              </w:rPr>
            </w:pPr>
            <w:r>
              <w:rPr>
                <w:rFonts w:hint="eastAsia" w:ascii="宋体" w:hAnsi="宋体"/>
                <w:szCs w:val="21"/>
              </w:rPr>
              <w:t>身份证（正面）</w:t>
            </w:r>
            <w:r>
              <w:rPr>
                <w:rFonts w:hint="eastAsia" w:cs="微软雅黑" w:asciiTheme="minorEastAsia" w:hAnsiTheme="minorEastAsia" w:eastAsiaTheme="minorEastAsia"/>
                <w:spacing w:val="-2"/>
                <w:kern w:val="0"/>
                <w:szCs w:val="21"/>
              </w:rPr>
              <w:t>复</w:t>
            </w:r>
            <w:r>
              <w:rPr>
                <w:rFonts w:hint="eastAsia" w:cs="微软雅黑" w:asciiTheme="minorEastAsia" w:hAnsiTheme="minorEastAsia" w:eastAsiaTheme="minorEastAsia"/>
                <w:kern w:val="0"/>
                <w:szCs w:val="21"/>
              </w:rPr>
              <w:t>印</w:t>
            </w:r>
            <w:r>
              <w:rPr>
                <w:rFonts w:hint="eastAsia" w:cs="微软雅黑" w:asciiTheme="minorEastAsia" w:hAnsiTheme="minorEastAsia" w:eastAsiaTheme="minorEastAsia"/>
                <w:spacing w:val="-2"/>
                <w:kern w:val="0"/>
                <w:szCs w:val="21"/>
              </w:rPr>
              <w:t>件</w:t>
            </w:r>
          </w:p>
        </w:tc>
        <w:tc>
          <w:tcPr>
            <w:tcW w:w="3899" w:type="dxa"/>
            <w:vAlign w:val="center"/>
          </w:tcPr>
          <w:p w14:paraId="394F5069">
            <w:pPr>
              <w:adjustRightInd w:val="0"/>
              <w:snapToGrid w:val="0"/>
              <w:spacing w:line="360" w:lineRule="auto"/>
              <w:jc w:val="center"/>
              <w:rPr>
                <w:rFonts w:ascii="宋体" w:hAnsi="宋体"/>
                <w:szCs w:val="21"/>
              </w:rPr>
            </w:pPr>
            <w:r>
              <w:rPr>
                <w:rFonts w:hint="eastAsia" w:ascii="宋体" w:hAnsi="宋体"/>
                <w:szCs w:val="21"/>
              </w:rPr>
              <w:t>身份证（反面）</w:t>
            </w:r>
            <w:r>
              <w:rPr>
                <w:rFonts w:hint="eastAsia" w:cs="微软雅黑" w:asciiTheme="minorEastAsia" w:hAnsiTheme="minorEastAsia" w:eastAsiaTheme="minorEastAsia"/>
                <w:spacing w:val="-2"/>
                <w:kern w:val="0"/>
                <w:szCs w:val="21"/>
              </w:rPr>
              <w:t>复</w:t>
            </w:r>
            <w:r>
              <w:rPr>
                <w:rFonts w:hint="eastAsia" w:cs="微软雅黑" w:asciiTheme="minorEastAsia" w:hAnsiTheme="minorEastAsia" w:eastAsiaTheme="minorEastAsia"/>
                <w:kern w:val="0"/>
                <w:szCs w:val="21"/>
              </w:rPr>
              <w:t>印</w:t>
            </w:r>
            <w:r>
              <w:rPr>
                <w:rFonts w:hint="eastAsia" w:cs="微软雅黑" w:asciiTheme="minorEastAsia" w:hAnsiTheme="minorEastAsia" w:eastAsiaTheme="minorEastAsia"/>
                <w:spacing w:val="-2"/>
                <w:kern w:val="0"/>
                <w:szCs w:val="21"/>
              </w:rPr>
              <w:t>件</w:t>
            </w:r>
          </w:p>
        </w:tc>
      </w:tr>
    </w:tbl>
    <w:p w14:paraId="7706D9E0">
      <w:pPr>
        <w:adjustRightInd w:val="0"/>
        <w:snapToGrid w:val="0"/>
        <w:spacing w:line="360" w:lineRule="auto"/>
        <w:ind w:firstLine="420" w:firstLineChars="200"/>
        <w:rPr>
          <w:rFonts w:ascii="宋体" w:hAnsi="宋体"/>
          <w:szCs w:val="21"/>
        </w:rPr>
      </w:pPr>
    </w:p>
    <w:p w14:paraId="67C1CB4F">
      <w:pPr>
        <w:adjustRightInd w:val="0"/>
        <w:snapToGrid w:val="0"/>
        <w:spacing w:line="360" w:lineRule="auto"/>
        <w:ind w:firstLine="420" w:firstLineChars="200"/>
        <w:rPr>
          <w:rFonts w:ascii="宋体" w:hAnsi="宋体"/>
          <w:szCs w:val="21"/>
        </w:rPr>
      </w:pPr>
    </w:p>
    <w:p w14:paraId="19CD5113">
      <w:pPr>
        <w:adjustRightInd w:val="0"/>
        <w:snapToGrid w:val="0"/>
        <w:spacing w:line="360" w:lineRule="auto"/>
        <w:rPr>
          <w:rFonts w:ascii="宋体" w:hAnsi="宋体"/>
          <w:szCs w:val="21"/>
        </w:rPr>
      </w:pPr>
      <w:r>
        <w:rPr>
          <w:rFonts w:hint="eastAsia" w:ascii="宋体" w:hAnsi="宋体"/>
          <w:szCs w:val="21"/>
        </w:rPr>
        <w:t>注：投标人代表不是投标人的法定代表人（单位负责人）的提供。自然人投标的无需提供。</w:t>
      </w:r>
    </w:p>
    <w:p w14:paraId="109B4EC5">
      <w:pPr>
        <w:adjustRightInd w:val="0"/>
        <w:snapToGrid w:val="0"/>
        <w:spacing w:line="360" w:lineRule="auto"/>
        <w:ind w:firstLine="420" w:firstLineChars="200"/>
        <w:rPr>
          <w:rFonts w:ascii="宋体" w:hAnsi="宋体"/>
          <w:szCs w:val="21"/>
        </w:rPr>
      </w:pPr>
    </w:p>
    <w:p w14:paraId="0EEE21AF">
      <w:pPr>
        <w:adjustRightInd w:val="0"/>
        <w:snapToGrid w:val="0"/>
        <w:spacing w:line="360" w:lineRule="auto"/>
        <w:ind w:firstLine="420" w:firstLineChars="200"/>
        <w:rPr>
          <w:rFonts w:ascii="宋体" w:hAnsi="宋体"/>
          <w:szCs w:val="21"/>
        </w:rPr>
      </w:pPr>
    </w:p>
    <w:p w14:paraId="03CDE52F">
      <w:pPr>
        <w:adjustRightInd w:val="0"/>
        <w:snapToGrid w:val="0"/>
        <w:spacing w:line="360" w:lineRule="auto"/>
        <w:rPr>
          <w:rFonts w:ascii="宋体" w:hAnsi="宋体"/>
          <w:szCs w:val="21"/>
        </w:rPr>
      </w:pPr>
      <w:r>
        <w:rPr>
          <w:rFonts w:hint="eastAsia" w:ascii="宋体" w:hAnsi="宋体"/>
          <w:szCs w:val="21"/>
        </w:rPr>
        <w:t>投标人名称（盖单位电子章）：</w:t>
      </w:r>
    </w:p>
    <w:p w14:paraId="7A953232">
      <w:pPr>
        <w:adjustRightInd w:val="0"/>
        <w:snapToGrid w:val="0"/>
        <w:spacing w:line="360" w:lineRule="auto"/>
        <w:ind w:right="420"/>
        <w:rPr>
          <w:rFonts w:ascii="宋体" w:hAnsi="宋体"/>
          <w:szCs w:val="21"/>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宋体" w:hAnsi="宋体"/>
          <w:szCs w:val="21"/>
          <w:lang w:eastAsia="zh-CN"/>
        </w:rPr>
        <w:t>（电子签章）</w:t>
      </w:r>
      <w:r>
        <w:rPr>
          <w:rFonts w:hint="eastAsia" w:ascii="宋体" w:hAnsi="宋体"/>
          <w:szCs w:val="21"/>
        </w:rPr>
        <w:t>：</w:t>
      </w:r>
      <w:r>
        <w:rPr>
          <w:rFonts w:hint="eastAsia" w:ascii="宋体" w:hAnsi="宋体"/>
          <w:szCs w:val="21"/>
          <w:u w:val="single"/>
        </w:rPr>
        <w:t xml:space="preserve">                     </w:t>
      </w:r>
    </w:p>
    <w:p w14:paraId="0BF09E43">
      <w:pPr>
        <w:adjustRightInd w:val="0"/>
        <w:snapToGrid w:val="0"/>
        <w:spacing w:line="360" w:lineRule="auto"/>
        <w:ind w:right="420"/>
        <w:rPr>
          <w:rFonts w:ascii="宋体" w:hAnsi="宋体"/>
          <w:szCs w:val="21"/>
        </w:rPr>
      </w:pPr>
      <w:r>
        <w:rPr>
          <w:rFonts w:hint="eastAsia" w:ascii="宋体" w:hAnsi="宋体"/>
          <w:szCs w:val="21"/>
        </w:rPr>
        <w:t>委托代理人</w:t>
      </w:r>
      <w:r>
        <w:rPr>
          <w:rFonts w:hint="eastAsia" w:ascii="宋体" w:hAnsi="宋体"/>
          <w:szCs w:val="21"/>
          <w:lang w:eastAsia="zh-CN"/>
        </w:rPr>
        <w:t>（电子签章）</w:t>
      </w:r>
      <w:r>
        <w:rPr>
          <w:rFonts w:hint="eastAsia" w:ascii="宋体" w:hAnsi="宋体"/>
          <w:szCs w:val="21"/>
        </w:rPr>
        <w:t>：</w:t>
      </w:r>
      <w:r>
        <w:rPr>
          <w:rFonts w:hint="eastAsia" w:ascii="宋体" w:hAnsi="宋体"/>
          <w:szCs w:val="21"/>
          <w:u w:val="single"/>
        </w:rPr>
        <w:t xml:space="preserve">                     </w:t>
      </w:r>
    </w:p>
    <w:p w14:paraId="380EF552">
      <w:pPr>
        <w:adjustRightInd w:val="0"/>
        <w:snapToGrid w:val="0"/>
        <w:spacing w:line="360" w:lineRule="auto"/>
        <w:ind w:right="420"/>
        <w:rPr>
          <w:rFonts w:ascii="宋体" w:hAnsi="宋体"/>
          <w:szCs w:val="21"/>
        </w:rPr>
      </w:pPr>
      <w:r>
        <w:rPr>
          <w:rFonts w:hint="eastAsia" w:cs="宋体" w:asciiTheme="minorEastAsia" w:hAnsiTheme="minorEastAsia" w:eastAsiaTheme="minorEastAsia"/>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D2FFFBA">
      <w:pPr>
        <w:adjustRightInd w:val="0"/>
        <w:snapToGrid w:val="0"/>
        <w:spacing w:line="360" w:lineRule="auto"/>
        <w:jc w:val="left"/>
        <w:rPr>
          <w:rFonts w:ascii="黑体" w:hAnsi="黑体" w:eastAsia="黑体"/>
          <w:bCs/>
          <w:sz w:val="28"/>
          <w:szCs w:val="28"/>
        </w:rPr>
      </w:pPr>
      <w:r>
        <w:rPr>
          <w:rFonts w:ascii="黑体" w:hAnsi="黑体" w:eastAsia="黑体"/>
          <w:bCs/>
          <w:sz w:val="28"/>
          <w:szCs w:val="28"/>
        </w:rPr>
        <w:br w:type="page"/>
      </w:r>
    </w:p>
    <w:p w14:paraId="1D01F225">
      <w:pPr>
        <w:pStyle w:val="4"/>
        <w:adjustRightInd w:val="0"/>
        <w:snapToGrid w:val="0"/>
        <w:spacing w:before="0" w:after="0" w:line="360" w:lineRule="auto"/>
        <w:jc w:val="center"/>
        <w:rPr>
          <w:rFonts w:ascii="黑体" w:hAnsi="宋体" w:eastAsia="黑体"/>
          <w:sz w:val="28"/>
          <w:szCs w:val="28"/>
        </w:rPr>
      </w:pPr>
      <w:bookmarkStart w:id="159" w:name="_Toc18679"/>
      <w:bookmarkStart w:id="160" w:name="_Toc29913955"/>
      <w:bookmarkStart w:id="161" w:name="_Toc8345"/>
      <w:r>
        <w:rPr>
          <w:rFonts w:hint="eastAsia" w:ascii="黑体" w:hAnsi="宋体" w:eastAsia="黑体"/>
          <w:sz w:val="28"/>
          <w:szCs w:val="28"/>
          <w:lang w:eastAsia="zh-CN"/>
        </w:rPr>
        <w:t>四</w:t>
      </w:r>
      <w:r>
        <w:rPr>
          <w:rFonts w:hint="eastAsia" w:ascii="黑体" w:hAnsi="宋体" w:eastAsia="黑体"/>
          <w:sz w:val="28"/>
          <w:szCs w:val="28"/>
        </w:rPr>
        <w:t>、投标人提供的资格证明文件</w:t>
      </w:r>
      <w:bookmarkEnd w:id="159"/>
      <w:bookmarkEnd w:id="160"/>
      <w:bookmarkEnd w:id="161"/>
    </w:p>
    <w:p w14:paraId="5F63F423">
      <w:pPr>
        <w:pStyle w:val="23"/>
        <w:adjustRightInd w:val="0"/>
        <w:snapToGrid w:val="0"/>
        <w:spacing w:line="360" w:lineRule="auto"/>
        <w:jc w:val="center"/>
        <w:rPr>
          <w:rFonts w:hAnsi="宋体" w:cs="Times New Roman"/>
          <w:b/>
          <w:bCs/>
          <w:sz w:val="24"/>
          <w:szCs w:val="24"/>
        </w:rPr>
      </w:pPr>
    </w:p>
    <w:p w14:paraId="511A593B">
      <w:pPr>
        <w:pStyle w:val="23"/>
        <w:adjustRightInd w:val="0"/>
        <w:snapToGrid w:val="0"/>
        <w:spacing w:line="360" w:lineRule="auto"/>
        <w:jc w:val="center"/>
        <w:rPr>
          <w:rFonts w:ascii="黑体" w:hAnsi="黑体" w:eastAsia="黑体" w:cs="Times New Roman"/>
          <w:b/>
          <w:bCs/>
          <w:sz w:val="28"/>
          <w:szCs w:val="28"/>
        </w:rPr>
      </w:pPr>
      <w:r>
        <w:rPr>
          <w:rFonts w:hint="eastAsia" w:ascii="黑体" w:hAnsi="黑体" w:eastAsia="黑体" w:cs="Times New Roman"/>
          <w:b/>
          <w:bCs/>
          <w:sz w:val="28"/>
          <w:szCs w:val="28"/>
        </w:rPr>
        <w:t>须  知</w:t>
      </w:r>
    </w:p>
    <w:p w14:paraId="21E7D80B">
      <w:pPr>
        <w:tabs>
          <w:tab w:val="left" w:pos="4725"/>
        </w:tabs>
        <w:adjustRightInd w:val="0"/>
        <w:snapToGrid w:val="0"/>
        <w:spacing w:before="156" w:beforeLines="50" w:line="360" w:lineRule="auto"/>
        <w:ind w:firstLine="422" w:firstLineChars="200"/>
        <w:rPr>
          <w:rFonts w:ascii="宋体" w:hAnsi="宋体"/>
          <w:b/>
          <w:bCs/>
          <w:szCs w:val="21"/>
        </w:rPr>
      </w:pPr>
      <w:r>
        <w:rPr>
          <w:rFonts w:hint="eastAsia" w:ascii="宋体" w:hAnsi="宋体"/>
          <w:b/>
          <w:szCs w:val="21"/>
        </w:rPr>
        <w:t>1、投标人</w:t>
      </w:r>
      <w:r>
        <w:rPr>
          <w:rFonts w:hint="eastAsia" w:ascii="宋体" w:hAnsi="宋体"/>
          <w:b/>
          <w:bCs/>
          <w:szCs w:val="21"/>
        </w:rPr>
        <w:t>应按第二章第15.1款要求提供下列的证明材料</w:t>
      </w:r>
    </w:p>
    <w:p w14:paraId="79FE1266">
      <w:pPr>
        <w:tabs>
          <w:tab w:val="left" w:pos="4725"/>
        </w:tabs>
        <w:adjustRightInd w:val="0"/>
        <w:snapToGrid w:val="0"/>
        <w:spacing w:before="156" w:beforeLines="50" w:line="360" w:lineRule="auto"/>
        <w:ind w:firstLine="735" w:firstLineChars="350"/>
        <w:rPr>
          <w:rFonts w:asciiTheme="minorEastAsia" w:hAnsiTheme="minorEastAsia" w:eastAsiaTheme="minorEastAsia"/>
          <w:szCs w:val="21"/>
        </w:rPr>
      </w:pPr>
      <w:r>
        <w:rPr>
          <w:rFonts w:hint="eastAsia" w:asciiTheme="minorEastAsia" w:hAnsiTheme="minorEastAsia" w:eastAsiaTheme="minorEastAsia"/>
          <w:szCs w:val="21"/>
        </w:rPr>
        <w:t>附件</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-1 法人或者其他组织的营业执照等主体资格证明文件，自然人的身份证明</w:t>
      </w:r>
    </w:p>
    <w:p w14:paraId="10979365">
      <w:pPr>
        <w:tabs>
          <w:tab w:val="left" w:pos="4725"/>
        </w:tabs>
        <w:adjustRightInd w:val="0"/>
        <w:snapToGrid w:val="0"/>
        <w:spacing w:before="156" w:beforeLines="50" w:line="360" w:lineRule="auto"/>
        <w:ind w:firstLine="735" w:firstLineChars="350"/>
        <w:rPr>
          <w:rFonts w:asciiTheme="minorEastAsia" w:hAnsiTheme="minorEastAsia" w:eastAsiaTheme="minorEastAsia"/>
          <w:szCs w:val="21"/>
        </w:rPr>
      </w:pPr>
      <w:r>
        <w:rPr>
          <w:rFonts w:hint="eastAsia" w:asciiTheme="minorEastAsia" w:hAnsiTheme="minorEastAsia" w:eastAsiaTheme="minorEastAsia"/>
          <w:szCs w:val="21"/>
        </w:rPr>
        <w:t>附件</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-2 投标人资格声明(格式)</w:t>
      </w:r>
    </w:p>
    <w:p w14:paraId="5DE384AF">
      <w:pPr>
        <w:tabs>
          <w:tab w:val="left" w:pos="4725"/>
        </w:tabs>
        <w:adjustRightInd w:val="0"/>
        <w:snapToGrid w:val="0"/>
        <w:spacing w:before="156" w:beforeLines="50" w:line="360" w:lineRule="auto"/>
        <w:ind w:firstLine="735" w:firstLineChars="350"/>
        <w:rPr>
          <w:rFonts w:asciiTheme="minorEastAsia" w:hAnsiTheme="minorEastAsia" w:eastAsiaTheme="minorEastAsia"/>
          <w:szCs w:val="21"/>
        </w:rPr>
      </w:pPr>
      <w:r>
        <w:rPr>
          <w:rFonts w:hint="eastAsia" w:asciiTheme="minorEastAsia" w:hAnsiTheme="minorEastAsia" w:eastAsiaTheme="minorEastAsia"/>
          <w:szCs w:val="21"/>
        </w:rPr>
        <w:t>附件</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-3 符合特定资格条件证明材料复印件或者情况说明</w:t>
      </w:r>
    </w:p>
    <w:p w14:paraId="202F9ED2">
      <w:pPr>
        <w:tabs>
          <w:tab w:val="left" w:pos="4725"/>
        </w:tabs>
        <w:adjustRightInd w:val="0"/>
        <w:snapToGrid w:val="0"/>
        <w:spacing w:before="156" w:beforeLines="50" w:line="360" w:lineRule="auto"/>
        <w:ind w:firstLine="735" w:firstLineChars="350"/>
        <w:rPr>
          <w:rFonts w:asciiTheme="minorEastAsia" w:hAnsiTheme="minorEastAsia" w:eastAsiaTheme="minorEastAsia"/>
          <w:szCs w:val="21"/>
        </w:rPr>
      </w:pPr>
      <w:r>
        <w:rPr>
          <w:rFonts w:hint="eastAsia" w:asciiTheme="minorEastAsia" w:hAnsiTheme="minorEastAsia" w:eastAsiaTheme="minorEastAsia"/>
          <w:szCs w:val="21"/>
        </w:rPr>
        <w:t>附件</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-4 联合体协议书（格式）（联合体形式投标的提供）</w:t>
      </w:r>
    </w:p>
    <w:p w14:paraId="370296CC">
      <w:pPr>
        <w:tabs>
          <w:tab w:val="left" w:pos="4725"/>
        </w:tabs>
        <w:adjustRightInd w:val="0"/>
        <w:snapToGrid w:val="0"/>
        <w:spacing w:before="156" w:beforeLines="50" w:line="360" w:lineRule="auto"/>
        <w:ind w:firstLine="420" w:firstLineChars="200"/>
        <w:rPr>
          <w:rFonts w:cs="宋体" w:asciiTheme="minorEastAsia" w:hAnsiTheme="minorEastAsia" w:eastAsiaTheme="minorEastAsia"/>
          <w:szCs w:val="21"/>
        </w:rPr>
      </w:pPr>
      <w:r>
        <w:rPr>
          <w:rFonts w:hint="eastAsia" w:asciiTheme="minorEastAsia" w:hAnsiTheme="minorEastAsia" w:eastAsiaTheme="minorEastAsia"/>
          <w:szCs w:val="21"/>
        </w:rPr>
        <w:t>2、</w:t>
      </w:r>
      <w:r>
        <w:rPr>
          <w:rFonts w:hint="eastAsia" w:cs="宋体" w:asciiTheme="minorEastAsia" w:hAnsiTheme="minorEastAsia" w:eastAsiaTheme="minorEastAsia"/>
          <w:szCs w:val="21"/>
        </w:rPr>
        <w:t>投标人以联合体形式投标的，除应提交联合协议书(本节附4-4)外，参加联合体的各方均应提交上款资格证明材料。</w:t>
      </w:r>
    </w:p>
    <w:p w14:paraId="3E44B9A6">
      <w:pPr>
        <w:tabs>
          <w:tab w:val="left" w:pos="4725"/>
        </w:tabs>
        <w:adjustRightInd w:val="0"/>
        <w:snapToGrid w:val="0"/>
        <w:spacing w:line="360" w:lineRule="auto"/>
        <w:rPr>
          <w:rFonts w:cs="宋体" w:asciiTheme="minorEastAsia" w:hAnsiTheme="minorEastAsia" w:eastAsiaTheme="minorEastAsia"/>
          <w:szCs w:val="21"/>
        </w:rPr>
      </w:pPr>
    </w:p>
    <w:p w14:paraId="2B0CC534">
      <w:pPr>
        <w:widowControl/>
        <w:adjustRightInd w:val="0"/>
        <w:snapToGrid w:val="0"/>
        <w:spacing w:line="360" w:lineRule="auto"/>
        <w:jc w:val="left"/>
        <w:rPr>
          <w:rFonts w:ascii="黑体" w:hAnsi="仿宋" w:eastAsia="黑体" w:cs="宋体"/>
          <w:szCs w:val="21"/>
        </w:rPr>
      </w:pPr>
      <w:r>
        <w:rPr>
          <w:rFonts w:ascii="黑体" w:hAnsi="仿宋" w:eastAsia="黑体" w:cs="宋体"/>
          <w:szCs w:val="21"/>
        </w:rPr>
        <w:br w:type="page"/>
      </w:r>
    </w:p>
    <w:p w14:paraId="1C75BAA4">
      <w:pPr>
        <w:bidi w:val="0"/>
        <w:rPr>
          <w:rFonts w:hint="eastAsia"/>
        </w:rPr>
      </w:pPr>
      <w:bookmarkStart w:id="162" w:name="_Toc29913956"/>
      <w:bookmarkStart w:id="163" w:name="_Toc18063"/>
      <w:bookmarkStart w:id="164" w:name="_Toc29431"/>
      <w:r>
        <w:rPr>
          <w:rFonts w:hint="eastAsia"/>
        </w:rPr>
        <w:t>附件</w:t>
      </w:r>
      <w:r>
        <w:rPr>
          <w:rFonts w:hint="eastAsia"/>
          <w:lang w:val="en-US" w:eastAsia="zh-CN"/>
        </w:rPr>
        <w:t>4</w:t>
      </w:r>
      <w:r>
        <w:rPr>
          <w:rFonts w:hint="eastAsia"/>
        </w:rPr>
        <w:t>-1 法人或者其他组织的营业执照等主体资格证明文件，自然人的身份证明</w:t>
      </w:r>
      <w:bookmarkEnd w:id="162"/>
      <w:bookmarkEnd w:id="163"/>
      <w:bookmarkEnd w:id="164"/>
    </w:p>
    <w:p w14:paraId="655F3251">
      <w:pPr>
        <w:pStyle w:val="42"/>
      </w:pPr>
    </w:p>
    <w:p w14:paraId="50A54179">
      <w:pPr>
        <w:widowControl/>
        <w:adjustRightInd w:val="0"/>
        <w:snapToGrid w:val="0"/>
        <w:spacing w:line="360" w:lineRule="auto"/>
        <w:jc w:val="center"/>
        <w:rPr>
          <w:rFonts w:ascii="黑体" w:hAnsi="仿宋" w:eastAsia="黑体" w:cs="宋体"/>
          <w:b/>
          <w:sz w:val="28"/>
          <w:szCs w:val="28"/>
        </w:rPr>
      </w:pPr>
      <w:r>
        <w:rPr>
          <w:rFonts w:hint="eastAsia" w:ascii="黑体" w:hAnsi="仿宋" w:eastAsia="黑体" w:cs="宋体"/>
          <w:b/>
          <w:sz w:val="28"/>
          <w:szCs w:val="28"/>
        </w:rPr>
        <w:t>法人或者其他组织的营业执照等主体资格证明文件，自然人的身份证明</w:t>
      </w:r>
    </w:p>
    <w:p w14:paraId="47598FDA">
      <w:pPr>
        <w:widowControl/>
        <w:adjustRightInd w:val="0"/>
        <w:snapToGrid w:val="0"/>
        <w:spacing w:before="156" w:beforeLines="50" w:line="360" w:lineRule="auto"/>
        <w:ind w:firstLine="420" w:firstLineChars="200"/>
        <w:jc w:val="left"/>
        <w:rPr>
          <w:rFonts w:cs="宋体" w:asciiTheme="minorEastAsia" w:hAnsiTheme="minorEastAsia" w:eastAsiaTheme="minorEastAsia"/>
          <w:szCs w:val="21"/>
        </w:rPr>
      </w:pPr>
    </w:p>
    <w:p w14:paraId="4826436A">
      <w:pPr>
        <w:adjustRightInd w:val="0"/>
        <w:snapToGrid w:val="0"/>
        <w:spacing w:before="156" w:beforeLines="50"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注：按第二章第</w:t>
      </w:r>
      <w:r>
        <w:rPr>
          <w:rFonts w:cs="宋体" w:asciiTheme="minorEastAsia" w:hAnsiTheme="minorEastAsia" w:eastAsiaTheme="minorEastAsia"/>
          <w:szCs w:val="21"/>
        </w:rPr>
        <w:t>1</w:t>
      </w:r>
      <w:r>
        <w:rPr>
          <w:rFonts w:hint="eastAsia" w:cs="宋体" w:asciiTheme="minorEastAsia" w:hAnsiTheme="minorEastAsia" w:eastAsiaTheme="minorEastAsia"/>
          <w:szCs w:val="21"/>
        </w:rPr>
        <w:t>4</w:t>
      </w:r>
      <w:r>
        <w:rPr>
          <w:rFonts w:cs="宋体" w:asciiTheme="minorEastAsia" w:hAnsiTheme="minorEastAsia" w:eastAsiaTheme="minorEastAsia"/>
          <w:szCs w:val="21"/>
        </w:rPr>
        <w:t>.1</w:t>
      </w:r>
      <w:r>
        <w:rPr>
          <w:rFonts w:hint="eastAsia" w:cs="宋体" w:asciiTheme="minorEastAsia" w:hAnsiTheme="minorEastAsia" w:eastAsiaTheme="minorEastAsia"/>
          <w:szCs w:val="21"/>
        </w:rPr>
        <w:t>（2）项要求提供。</w:t>
      </w:r>
    </w:p>
    <w:p w14:paraId="41B81E84">
      <w:pPr>
        <w:adjustRightInd w:val="0"/>
        <w:snapToGrid w:val="0"/>
        <w:spacing w:before="156" w:beforeLines="50" w:line="360" w:lineRule="auto"/>
        <w:ind w:firstLine="420" w:firstLineChars="200"/>
        <w:rPr>
          <w:rFonts w:asciiTheme="minorEastAsia" w:hAnsiTheme="minorEastAsia"/>
        </w:rPr>
      </w:pPr>
      <w:r>
        <w:rPr>
          <w:rFonts w:hint="eastAsia" w:cs="宋体" w:asciiTheme="minorEastAsia" w:hAnsiTheme="minorEastAsia" w:eastAsiaTheme="minorEastAsia"/>
          <w:szCs w:val="21"/>
        </w:rPr>
        <w:t>（1）</w:t>
      </w:r>
      <w:r>
        <w:rPr>
          <w:rFonts w:hint="eastAsia" w:asciiTheme="minorEastAsia" w:hAnsiTheme="minorEastAsia"/>
        </w:rPr>
        <w:t>投标人为法人的，应提交营业执照或法人登记证书的复印件；</w:t>
      </w:r>
    </w:p>
    <w:p w14:paraId="329714C1">
      <w:pPr>
        <w:adjustRightInd w:val="0"/>
        <w:snapToGrid w:val="0"/>
        <w:spacing w:before="156" w:beforeLines="50" w:line="360" w:lineRule="auto"/>
        <w:ind w:firstLine="420" w:firstLineChars="200"/>
        <w:rPr>
          <w:rFonts w:asciiTheme="minorEastAsia" w:hAnsiTheme="minorEastAsia"/>
        </w:rPr>
      </w:pPr>
      <w:r>
        <w:rPr>
          <w:rFonts w:hint="eastAsia" w:cs="宋体" w:asciiTheme="minorEastAsia" w:hAnsiTheme="minorEastAsia" w:eastAsiaTheme="minorEastAsia"/>
          <w:szCs w:val="21"/>
        </w:rPr>
        <w:t>（2）</w:t>
      </w:r>
      <w:r>
        <w:rPr>
          <w:rFonts w:hint="eastAsia" w:asciiTheme="minorEastAsia" w:hAnsiTheme="minorEastAsia"/>
        </w:rPr>
        <w:t>投标人为非法人组织的，应提交依法登记证书复印件；</w:t>
      </w:r>
    </w:p>
    <w:p w14:paraId="346D076B">
      <w:pPr>
        <w:adjustRightInd w:val="0"/>
        <w:snapToGrid w:val="0"/>
        <w:spacing w:before="156" w:beforeLines="50" w:line="360" w:lineRule="auto"/>
        <w:ind w:firstLine="420" w:firstLineChars="200"/>
        <w:rPr>
          <w:rFonts w:asciiTheme="minorEastAsia" w:hAnsiTheme="minorEastAsia"/>
        </w:rPr>
      </w:pPr>
      <w:r>
        <w:rPr>
          <w:rFonts w:hint="eastAsia" w:cs="宋体" w:asciiTheme="minorEastAsia" w:hAnsiTheme="minorEastAsia" w:eastAsiaTheme="minorEastAsia"/>
          <w:szCs w:val="21"/>
        </w:rPr>
        <w:t>（3）</w:t>
      </w:r>
      <w:r>
        <w:rPr>
          <w:rFonts w:hint="eastAsia" w:asciiTheme="minorEastAsia" w:hAnsiTheme="minorEastAsia"/>
        </w:rPr>
        <w:t>投标人为个体工商户的，应提交个体工商户营业执照复印件；</w:t>
      </w:r>
    </w:p>
    <w:p w14:paraId="3482A279">
      <w:pPr>
        <w:adjustRightInd w:val="0"/>
        <w:snapToGrid w:val="0"/>
        <w:spacing w:before="156" w:beforeLines="50" w:line="360" w:lineRule="auto"/>
        <w:ind w:firstLine="420" w:firstLineChars="200"/>
        <w:rPr>
          <w:rFonts w:asciiTheme="minorEastAsia" w:hAnsiTheme="minorEastAsia"/>
        </w:rPr>
      </w:pPr>
      <w:r>
        <w:rPr>
          <w:rFonts w:hint="eastAsia" w:cs="宋体" w:asciiTheme="minorEastAsia" w:hAnsiTheme="minorEastAsia" w:eastAsiaTheme="minorEastAsia"/>
          <w:szCs w:val="21"/>
        </w:rPr>
        <w:t>（4）</w:t>
      </w:r>
      <w:r>
        <w:rPr>
          <w:rFonts w:hint="eastAsia" w:asciiTheme="minorEastAsia" w:hAnsiTheme="minorEastAsia"/>
        </w:rPr>
        <w:t>投标人为自然人的，应提交自然人的身份证明复印件。</w:t>
      </w:r>
    </w:p>
    <w:p w14:paraId="319943BE">
      <w:pPr>
        <w:adjustRightInd w:val="0"/>
        <w:snapToGrid w:val="0"/>
        <w:spacing w:before="156" w:beforeLines="50" w:line="360" w:lineRule="auto"/>
        <w:ind w:firstLine="420" w:firstLineChars="200"/>
        <w:rPr>
          <w:rFonts w:asciiTheme="minorEastAsia" w:hAnsiTheme="minorEastAsia"/>
        </w:rPr>
      </w:pPr>
    </w:p>
    <w:p w14:paraId="6560FA27">
      <w:pPr>
        <w:widowControl/>
        <w:jc w:val="left"/>
        <w:rPr>
          <w:rFonts w:ascii="黑体" w:hAnsi="仿宋" w:eastAsia="黑体" w:cs="宋体"/>
          <w:bCs/>
          <w:szCs w:val="21"/>
        </w:rPr>
      </w:pPr>
      <w:r>
        <w:rPr>
          <w:rFonts w:ascii="黑体" w:hAnsi="仿宋" w:cs="宋体"/>
          <w:b/>
          <w:szCs w:val="21"/>
        </w:rPr>
        <w:br w:type="page"/>
      </w:r>
    </w:p>
    <w:p w14:paraId="696A8CBF">
      <w:pPr>
        <w:bidi w:val="0"/>
      </w:pPr>
      <w:bookmarkStart w:id="165" w:name="_Toc20857"/>
      <w:bookmarkStart w:id="166" w:name="_Toc29913957"/>
      <w:bookmarkStart w:id="167" w:name="_Toc18831"/>
      <w:r>
        <w:rPr>
          <w:rFonts w:hint="eastAsia"/>
        </w:rPr>
        <w:t>附件</w:t>
      </w:r>
      <w:r>
        <w:rPr>
          <w:rFonts w:hint="eastAsia"/>
          <w:lang w:val="en-US" w:eastAsia="zh-CN"/>
        </w:rPr>
        <w:t>4</w:t>
      </w:r>
      <w:r>
        <w:rPr>
          <w:rFonts w:hint="eastAsia"/>
        </w:rPr>
        <w:t>-2 投标人资格声明(格式)</w:t>
      </w:r>
      <w:bookmarkEnd w:id="165"/>
      <w:bookmarkEnd w:id="166"/>
      <w:bookmarkEnd w:id="167"/>
    </w:p>
    <w:p w14:paraId="3FE35CFB">
      <w:pPr>
        <w:widowControl/>
        <w:adjustRightInd w:val="0"/>
        <w:snapToGrid w:val="0"/>
        <w:spacing w:before="156" w:beforeLines="50" w:line="360" w:lineRule="auto"/>
        <w:jc w:val="center"/>
        <w:rPr>
          <w:rFonts w:cs="宋体" w:asciiTheme="minorEastAsia" w:hAnsiTheme="minorEastAsia" w:eastAsiaTheme="minorEastAsia"/>
          <w:szCs w:val="21"/>
        </w:rPr>
      </w:pPr>
      <w:r>
        <w:rPr>
          <w:rFonts w:hint="eastAsia" w:ascii="黑体" w:hAnsi="仿宋" w:eastAsia="黑体" w:cs="宋体"/>
          <w:b/>
          <w:sz w:val="28"/>
          <w:szCs w:val="28"/>
        </w:rPr>
        <w:t>投标人资格声明(格式)</w:t>
      </w:r>
    </w:p>
    <w:p w14:paraId="3B908FE2">
      <w:pPr>
        <w:widowControl/>
        <w:adjustRightInd w:val="0"/>
        <w:snapToGrid w:val="0"/>
        <w:spacing w:before="156" w:beforeLines="50" w:line="360" w:lineRule="auto"/>
        <w:jc w:val="left"/>
        <w:rPr>
          <w:rFonts w:ascii="宋体" w:hAnsi="宋体" w:cs="宋体"/>
          <w:kern w:val="0"/>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(采购人、采购代理机构)：</w:t>
      </w:r>
    </w:p>
    <w:p w14:paraId="1D8A7408">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szCs w:val="21"/>
        </w:rPr>
        <w:t>按照《中华人民共和国政府采购法》第二十二条和招标文件的规定，我单位郑重声明如下：</w:t>
      </w:r>
    </w:p>
    <w:p w14:paraId="64EAF086">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szCs w:val="21"/>
        </w:rPr>
        <w:t>一、我单位是按照中华人民共和国法律规定登记注册的，注册地点为</w:t>
      </w:r>
      <w:r>
        <w:rPr>
          <w:rFonts w:hint="eastAsia" w:ascii="宋体" w:hAnsi="宋体" w:cs="宋体"/>
          <w:szCs w:val="21"/>
          <w:u w:val="single"/>
        </w:rPr>
        <w:t xml:space="preserve">         </w:t>
      </w:r>
      <w:r>
        <w:rPr>
          <w:rFonts w:hint="eastAsia" w:ascii="宋体" w:hAnsi="宋体" w:cs="宋体"/>
          <w:szCs w:val="21"/>
        </w:rPr>
        <w:t>，全称为</w:t>
      </w:r>
      <w:r>
        <w:rPr>
          <w:rFonts w:hint="eastAsia" w:ascii="宋体" w:hAnsi="宋体" w:cs="宋体"/>
          <w:szCs w:val="21"/>
          <w:u w:val="single"/>
        </w:rPr>
        <w:t xml:space="preserve">        </w:t>
      </w:r>
      <w:r>
        <w:rPr>
          <w:rFonts w:hint="eastAsia" w:ascii="宋体" w:hAnsi="宋体" w:cs="宋体"/>
          <w:szCs w:val="21"/>
        </w:rPr>
        <w:t>，统一社会信用代码为</w:t>
      </w:r>
      <w:r>
        <w:rPr>
          <w:rFonts w:hint="eastAsia" w:ascii="宋体" w:hAnsi="宋体" w:cs="宋体"/>
          <w:szCs w:val="21"/>
          <w:u w:val="single"/>
        </w:rPr>
        <w:t xml:space="preserve">            </w:t>
      </w:r>
      <w:r>
        <w:rPr>
          <w:rFonts w:hint="eastAsia" w:ascii="宋体" w:hAnsi="宋体" w:cs="宋体"/>
          <w:szCs w:val="21"/>
        </w:rPr>
        <w:t>，法定代表人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宋体" w:hAnsi="宋体" w:cs="宋体"/>
          <w:szCs w:val="21"/>
        </w:rPr>
        <w:t>为</w:t>
      </w:r>
      <w:r>
        <w:rPr>
          <w:rFonts w:hint="eastAsia" w:ascii="宋体" w:hAnsi="宋体" w:cs="宋体"/>
          <w:szCs w:val="21"/>
          <w:u w:val="single"/>
        </w:rPr>
        <w:t xml:space="preserve">         </w:t>
      </w:r>
      <w:r>
        <w:rPr>
          <w:rFonts w:hint="eastAsia" w:ascii="宋体" w:hAnsi="宋体" w:cs="宋体"/>
          <w:szCs w:val="21"/>
        </w:rPr>
        <w:t>，具有独立承担民事责任的能力。</w:t>
      </w:r>
    </w:p>
    <w:p w14:paraId="52ABBD76">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二、我单位未被</w:t>
      </w:r>
      <w:r>
        <w:rPr>
          <w:rFonts w:hint="eastAsia" w:ascii="华文中宋" w:hAnsi="华文中宋" w:eastAsia="华文中宋" w:cs="宋体"/>
          <w:szCs w:val="21"/>
        </w:rPr>
        <w:t>“</w:t>
      </w:r>
      <w:r>
        <w:rPr>
          <w:rFonts w:hint="eastAsia" w:ascii="宋体" w:hAnsi="宋体" w:cs="宋体"/>
          <w:szCs w:val="21"/>
        </w:rPr>
        <w:t>国家企业信用信息系统</w:t>
      </w:r>
      <w:r>
        <w:rPr>
          <w:rFonts w:hint="eastAsia" w:ascii="华文中宋" w:hAnsi="华文中宋" w:eastAsia="华文中宋" w:cs="宋体"/>
          <w:szCs w:val="21"/>
        </w:rPr>
        <w:t>”</w:t>
      </w:r>
      <w:r>
        <w:rPr>
          <w:rFonts w:hint="eastAsia" w:ascii="宋体" w:hAnsi="宋体" w:cs="宋体"/>
          <w:szCs w:val="21"/>
        </w:rPr>
        <w:t>列入经营异常名录或者严重违法企业名单。</w:t>
      </w:r>
    </w:p>
    <w:p w14:paraId="4E4DC6F5">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kern w:val="0"/>
          <w:szCs w:val="21"/>
        </w:rPr>
        <w:t>三、</w:t>
      </w:r>
      <w:r>
        <w:rPr>
          <w:rFonts w:hint="eastAsia" w:ascii="宋体" w:hAnsi="宋体" w:cs="宋体"/>
          <w:szCs w:val="21"/>
        </w:rPr>
        <w:t>我单位具有良好的商业信誉和健全的财务会计制度。</w:t>
      </w:r>
    </w:p>
    <w:p w14:paraId="52111BDA">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kern w:val="0"/>
          <w:szCs w:val="21"/>
        </w:rPr>
        <w:t>四、我</w:t>
      </w:r>
      <w:r>
        <w:rPr>
          <w:rFonts w:hint="eastAsia" w:ascii="宋体" w:hAnsi="宋体" w:cs="宋体"/>
          <w:szCs w:val="21"/>
        </w:rPr>
        <w:t>单位</w:t>
      </w:r>
      <w:r>
        <w:rPr>
          <w:rFonts w:hint="eastAsia" w:ascii="宋体" w:hAnsi="宋体" w:cs="宋体"/>
          <w:kern w:val="0"/>
          <w:szCs w:val="21"/>
        </w:rPr>
        <w:t>依法进行纳税和社会保险申报并实际履行了义务。</w:t>
      </w:r>
    </w:p>
    <w:p w14:paraId="6D11E899">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szCs w:val="21"/>
        </w:rPr>
        <w:t>五、我单位具有履行本项目采购合同所必需的设备和专业技术能力，并具有履行合同的良好</w:t>
      </w:r>
      <w:r>
        <w:rPr>
          <w:rFonts w:asciiTheme="minorEastAsia" w:hAnsiTheme="minorEastAsia" w:eastAsiaTheme="minorEastAsia"/>
          <w:szCs w:val="21"/>
        </w:rPr>
        <w:t>记录</w:t>
      </w:r>
      <w:r>
        <w:rPr>
          <w:rFonts w:hint="eastAsia" w:ascii="宋体" w:hAnsi="宋体" w:cs="宋体"/>
          <w:szCs w:val="21"/>
        </w:rPr>
        <w:t>。</w:t>
      </w:r>
    </w:p>
    <w:p w14:paraId="4CC9C578">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6086BD83">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供应商在参加政府采购活动前3年内因违法经营被禁止在一定期限内参加政府采购活动，期限届满的，可以参加政府采购活动。</w:t>
      </w:r>
    </w:p>
    <w:p w14:paraId="7D1A3AC1">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七、我单位具备法律、行政法规规定的其他条件。</w:t>
      </w:r>
    </w:p>
    <w:p w14:paraId="7C4429D2">
      <w:pPr>
        <w:widowControl/>
        <w:adjustRightInd w:val="0"/>
        <w:snapToGrid w:val="0"/>
        <w:spacing w:before="156" w:beforeLines="50" w:line="360" w:lineRule="auto"/>
        <w:ind w:firstLine="420" w:firstLineChars="200"/>
        <w:jc w:val="left"/>
        <w:rPr>
          <w:szCs w:val="21"/>
        </w:rPr>
      </w:pPr>
      <w:r>
        <w:rPr>
          <w:rFonts w:hint="eastAsia" w:ascii="宋体" w:hAnsi="宋体" w:cs="宋体"/>
          <w:kern w:val="0"/>
          <w:szCs w:val="21"/>
        </w:rPr>
        <w:t>八、</w:t>
      </w:r>
      <w:r>
        <w:rPr>
          <w:rFonts w:hint="eastAsia"/>
          <w:szCs w:val="21"/>
        </w:rPr>
        <w:t>与我单位存在“单位负责人为同一人或者存在直接控股、管理关系”的其他单位信息如下（如无，填写“无”）：</w:t>
      </w:r>
    </w:p>
    <w:p w14:paraId="410636B4">
      <w:pPr>
        <w:adjustRightInd w:val="0"/>
        <w:snapToGrid w:val="0"/>
        <w:spacing w:before="156" w:beforeLines="50" w:line="360" w:lineRule="auto"/>
        <w:ind w:firstLine="420" w:firstLineChars="200"/>
        <w:rPr>
          <w:szCs w:val="21"/>
        </w:rPr>
      </w:pPr>
      <w:r>
        <w:rPr>
          <w:rFonts w:hint="eastAsia" w:asciiTheme="minorEastAsia" w:hAnsiTheme="minorEastAsia" w:eastAsiaTheme="minorEastAsia"/>
          <w:szCs w:val="21"/>
        </w:rPr>
        <w:t>1、</w:t>
      </w:r>
      <w:r>
        <w:rPr>
          <w:rFonts w:hint="eastAsia"/>
          <w:szCs w:val="21"/>
        </w:rPr>
        <w:t>与我单位的法定代表人（单位负责人）为同一人的其他单位如下：</w:t>
      </w:r>
      <w:r>
        <w:rPr>
          <w:rFonts w:hint="eastAsia" w:asciiTheme="minorEastAsia" w:hAnsiTheme="minorEastAsia" w:eastAsiaTheme="minorEastAsia"/>
          <w:szCs w:val="21"/>
          <w:u w:val="single"/>
        </w:rPr>
        <w:t xml:space="preserve">               </w:t>
      </w:r>
    </w:p>
    <w:p w14:paraId="728F3657">
      <w:pPr>
        <w:adjustRightInd w:val="0"/>
        <w:snapToGrid w:val="0"/>
        <w:spacing w:before="156" w:beforeLines="5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w:t>
      </w:r>
      <w:r>
        <w:rPr>
          <w:rFonts w:hint="eastAsia"/>
          <w:szCs w:val="21"/>
        </w:rPr>
        <w:t>单位</w:t>
      </w:r>
      <w:r>
        <w:rPr>
          <w:rFonts w:hint="eastAsia" w:asciiTheme="minorEastAsia" w:hAnsiTheme="minorEastAsia" w:eastAsiaTheme="minorEastAsia"/>
          <w:szCs w:val="21"/>
        </w:rPr>
        <w:t>直接控股的其他单位如下：</w:t>
      </w:r>
      <w:r>
        <w:rPr>
          <w:rFonts w:hint="eastAsia" w:asciiTheme="minorEastAsia" w:hAnsiTheme="minorEastAsia" w:eastAsiaTheme="minorEastAsia"/>
          <w:szCs w:val="21"/>
          <w:u w:val="single"/>
        </w:rPr>
        <w:t xml:space="preserve">               </w:t>
      </w:r>
    </w:p>
    <w:p w14:paraId="67701E36">
      <w:pPr>
        <w:adjustRightInd w:val="0"/>
        <w:snapToGrid w:val="0"/>
        <w:spacing w:before="156" w:beforeLines="50" w:line="360" w:lineRule="auto"/>
        <w:ind w:firstLine="420" w:firstLineChars="200"/>
        <w:rPr>
          <w:szCs w:val="21"/>
        </w:rPr>
      </w:pPr>
      <w:r>
        <w:rPr>
          <w:rFonts w:hint="eastAsia" w:asciiTheme="minorEastAsia" w:hAnsiTheme="minorEastAsia" w:eastAsiaTheme="minorEastAsia"/>
          <w:szCs w:val="21"/>
        </w:rPr>
        <w:t>3、与我</w:t>
      </w:r>
      <w:r>
        <w:rPr>
          <w:rFonts w:hint="eastAsia"/>
          <w:szCs w:val="21"/>
        </w:rPr>
        <w:t>单位存在</w:t>
      </w:r>
      <w:r>
        <w:rPr>
          <w:rFonts w:hint="eastAsia" w:asciiTheme="minorEastAsia" w:hAnsiTheme="minorEastAsia" w:eastAsiaTheme="minorEastAsia"/>
          <w:szCs w:val="21"/>
        </w:rPr>
        <w:t>管理关系的其他单位如下：</w:t>
      </w:r>
      <w:r>
        <w:rPr>
          <w:rFonts w:hint="eastAsia" w:asciiTheme="minorEastAsia" w:hAnsiTheme="minorEastAsia" w:eastAsiaTheme="minorEastAsia"/>
          <w:szCs w:val="21"/>
          <w:u w:val="single"/>
        </w:rPr>
        <w:t xml:space="preserve">               </w:t>
      </w:r>
    </w:p>
    <w:p w14:paraId="162D527C">
      <w:pPr>
        <w:widowControl/>
        <w:adjustRightInd w:val="0"/>
        <w:snapToGrid w:val="0"/>
        <w:spacing w:before="156" w:beforeLines="50" w:line="360" w:lineRule="auto"/>
        <w:ind w:firstLine="420" w:firstLineChars="200"/>
        <w:jc w:val="left"/>
        <w:rPr>
          <w:szCs w:val="21"/>
        </w:rPr>
      </w:pPr>
      <w:r>
        <w:rPr>
          <w:rFonts w:hint="eastAsia" w:ascii="宋体" w:hAnsi="宋体"/>
          <w:szCs w:val="21"/>
        </w:rPr>
        <w:t>九、</w:t>
      </w:r>
      <w:r>
        <w:rPr>
          <w:rFonts w:asciiTheme="minorEastAsia" w:hAnsiTheme="minorEastAsia" w:eastAsiaTheme="minorEastAsia"/>
          <w:szCs w:val="21"/>
        </w:rPr>
        <w:t>我</w:t>
      </w:r>
      <w:r>
        <w:rPr>
          <w:rFonts w:hint="eastAsia" w:asciiTheme="minorEastAsia" w:hAnsiTheme="minorEastAsia" w:eastAsiaTheme="minorEastAsia"/>
          <w:szCs w:val="21"/>
        </w:rPr>
        <w:t>单位</w:t>
      </w:r>
      <w:r>
        <w:rPr>
          <w:rFonts w:asciiTheme="minorEastAsia" w:hAnsiTheme="minorEastAsia" w:eastAsiaTheme="minorEastAsia"/>
          <w:szCs w:val="21"/>
        </w:rPr>
        <w:t>不属于为本项目提供整体设计、规范编制或者项目管理、监理、检测等服务的投标人。</w:t>
      </w:r>
    </w:p>
    <w:p w14:paraId="5FB2EFE3">
      <w:pPr>
        <w:widowControl/>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十、</w:t>
      </w:r>
      <w:r>
        <w:rPr>
          <w:rFonts w:asciiTheme="minorEastAsia" w:hAnsiTheme="minorEastAsia" w:eastAsiaTheme="minorEastAsia"/>
          <w:szCs w:val="21"/>
        </w:rPr>
        <w:t>我单位无以下不良信用记录情形：</w:t>
      </w:r>
    </w:p>
    <w:p w14:paraId="5B37FDD6">
      <w:pPr>
        <w:widowControl/>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、在</w:t>
      </w:r>
      <w:r>
        <w:rPr>
          <w:rFonts w:hint="eastAsia" w:ascii="宋体" w:hAnsi="宋体" w:cs="宋体"/>
          <w:szCs w:val="21"/>
        </w:rPr>
        <w:t>“信用中国”网站被列入失信被执行人和重大税收违法案件当事人名单；</w:t>
      </w:r>
    </w:p>
    <w:p w14:paraId="799EBCF5">
      <w:pPr>
        <w:widowControl/>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、在</w:t>
      </w:r>
      <w:r>
        <w:rPr>
          <w:rFonts w:hint="eastAsia" w:ascii="宋体" w:hAnsi="宋体" w:cs="宋体"/>
          <w:szCs w:val="21"/>
        </w:rPr>
        <w:t>“中国政府采购网”网站被列入政府采购严重违法失信行为记录名单；</w:t>
      </w:r>
    </w:p>
    <w:p w14:paraId="153C1243">
      <w:pPr>
        <w:widowControl/>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w:t>
      </w:r>
      <w:r>
        <w:rPr>
          <w:rFonts w:asciiTheme="minorEastAsia" w:hAnsiTheme="minorEastAsia" w:eastAsiaTheme="minorEastAsia"/>
          <w:szCs w:val="21"/>
        </w:rPr>
        <w:t>不符合《政府采购法》第二十二条规定的条件。</w:t>
      </w:r>
    </w:p>
    <w:p w14:paraId="7684B271">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szCs w:val="21"/>
        </w:rPr>
        <w:t>我单位保证上述声明的事项都是真实的，如有虚假，我单位愿意承担相应的法律责任，并承担因此所造成的一切损失。</w:t>
      </w:r>
    </w:p>
    <w:p w14:paraId="2F0FDFF0">
      <w:pPr>
        <w:widowControl/>
        <w:adjustRightInd w:val="0"/>
        <w:snapToGrid w:val="0"/>
        <w:spacing w:before="156" w:beforeLines="50" w:line="360" w:lineRule="auto"/>
        <w:jc w:val="left"/>
        <w:rPr>
          <w:rFonts w:ascii="宋体" w:hAnsi="宋体" w:cs="宋体"/>
          <w:szCs w:val="21"/>
        </w:rPr>
      </w:pPr>
    </w:p>
    <w:p w14:paraId="36E75CEA">
      <w:pPr>
        <w:widowControl/>
        <w:adjustRightInd w:val="0"/>
        <w:snapToGrid w:val="0"/>
        <w:spacing w:before="156" w:beforeLines="50" w:line="360" w:lineRule="auto"/>
        <w:jc w:val="left"/>
        <w:rPr>
          <w:rFonts w:ascii="宋体" w:hAnsi="宋体" w:cs="宋体"/>
          <w:szCs w:val="21"/>
        </w:rPr>
      </w:pPr>
      <w:r>
        <w:rPr>
          <w:rFonts w:hint="eastAsia" w:cs="宋体" w:asciiTheme="minorEastAsia" w:hAnsiTheme="minorEastAsia" w:eastAsiaTheme="minorEastAsia"/>
          <w:szCs w:val="21"/>
        </w:rPr>
        <w:t>注：第三条“良好的商业信誉”是指投标人经营状况良好，无本资格声明第十条情形。</w:t>
      </w:r>
    </w:p>
    <w:p w14:paraId="52482047">
      <w:pPr>
        <w:widowControl/>
        <w:adjustRightInd w:val="0"/>
        <w:snapToGrid w:val="0"/>
        <w:spacing w:before="156" w:beforeLines="50" w:line="360" w:lineRule="auto"/>
        <w:jc w:val="left"/>
        <w:rPr>
          <w:rFonts w:ascii="宋体" w:hAnsi="宋体" w:cs="宋体"/>
          <w:color w:val="FF0000"/>
          <w:szCs w:val="21"/>
        </w:rPr>
      </w:pPr>
    </w:p>
    <w:p w14:paraId="20EEDCFE">
      <w:pPr>
        <w:widowControl/>
        <w:adjustRightInd w:val="0"/>
        <w:snapToGrid w:val="0"/>
        <w:spacing w:line="360" w:lineRule="auto"/>
        <w:jc w:val="left"/>
        <w:rPr>
          <w:rFonts w:ascii="宋体" w:hAnsi="宋体" w:cs="宋体"/>
          <w:kern w:val="0"/>
          <w:szCs w:val="21"/>
        </w:rPr>
      </w:pPr>
      <w:r>
        <w:rPr>
          <w:rFonts w:hint="eastAsia" w:ascii="宋体" w:hAnsi="宋体" w:cs="宋体"/>
          <w:szCs w:val="21"/>
        </w:rPr>
        <w:t>投标人名称（盖单位电子公章）：</w:t>
      </w:r>
    </w:p>
    <w:p w14:paraId="1DAD3336">
      <w:pPr>
        <w:widowControl/>
        <w:adjustRightInd w:val="0"/>
        <w:snapToGrid w:val="0"/>
        <w:spacing w:line="360" w:lineRule="auto"/>
        <w:jc w:val="left"/>
        <w:rPr>
          <w:rFonts w:hint="eastAsia" w:ascii="宋体" w:hAnsi="宋体" w:cs="宋体" w:eastAsiaTheme="minorEastAsia"/>
          <w:b/>
          <w:bCs/>
          <w:kern w:val="0"/>
          <w:sz w:val="44"/>
          <w:szCs w:val="44"/>
          <w:lang w:eastAsia="zh-CN"/>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Theme="minorEastAsia" w:hAnsiTheme="minorEastAsia" w:eastAsiaTheme="minorEastAsia"/>
        </w:rPr>
        <w:t>或委托代理人：</w:t>
      </w:r>
      <w:r>
        <w:rPr>
          <w:rFonts w:hint="eastAsia" w:asciiTheme="minorEastAsia" w:hAnsiTheme="minorEastAsia" w:eastAsiaTheme="minorEastAsia"/>
          <w:u w:val="single"/>
        </w:rPr>
        <w:t xml:space="preserve">       </w:t>
      </w:r>
      <w:r>
        <w:rPr>
          <w:rFonts w:hint="eastAsia" w:asciiTheme="minorEastAsia" w:hAnsiTheme="minorEastAsia" w:eastAsiaTheme="minorEastAsia"/>
          <w:lang w:eastAsia="zh-CN"/>
        </w:rPr>
        <w:t>（电子签章）</w:t>
      </w:r>
    </w:p>
    <w:p w14:paraId="4AD036C9">
      <w:pPr>
        <w:widowControl/>
        <w:adjustRightInd w:val="0"/>
        <w:snapToGrid w:val="0"/>
        <w:spacing w:line="360" w:lineRule="auto"/>
        <w:jc w:val="lef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25ACD69">
      <w:pPr>
        <w:bidi w:val="0"/>
        <w:rPr>
          <w:rFonts w:hint="eastAsia"/>
        </w:rPr>
      </w:pPr>
    </w:p>
    <w:p w14:paraId="155B9907">
      <w:pPr>
        <w:rPr>
          <w:rFonts w:hint="eastAsia" w:ascii="宋体" w:hAnsi="宋体" w:cs="宋体"/>
          <w:szCs w:val="21"/>
        </w:rPr>
      </w:pPr>
    </w:p>
    <w:p w14:paraId="16E258AF">
      <w:pPr>
        <w:bidi w:val="0"/>
        <w:rPr>
          <w:rFonts w:hint="eastAsia"/>
        </w:rPr>
      </w:pPr>
    </w:p>
    <w:p w14:paraId="5D555D00">
      <w:pPr>
        <w:rPr>
          <w:rFonts w:hint="eastAsia" w:ascii="宋体" w:hAnsi="宋体" w:cs="宋体"/>
          <w:szCs w:val="21"/>
        </w:rPr>
      </w:pPr>
    </w:p>
    <w:p w14:paraId="5CD94824">
      <w:pPr>
        <w:bidi w:val="0"/>
        <w:rPr>
          <w:rFonts w:hint="eastAsia"/>
        </w:rPr>
      </w:pPr>
    </w:p>
    <w:p w14:paraId="1045295E">
      <w:pPr>
        <w:rPr>
          <w:rFonts w:hint="eastAsia" w:ascii="宋体" w:hAnsi="宋体" w:cs="宋体"/>
          <w:szCs w:val="21"/>
        </w:rPr>
      </w:pPr>
    </w:p>
    <w:p w14:paraId="1184DB62">
      <w:pPr>
        <w:bidi w:val="0"/>
        <w:rPr>
          <w:rFonts w:hint="eastAsia"/>
        </w:rPr>
      </w:pPr>
    </w:p>
    <w:p w14:paraId="1A0F9BA9">
      <w:pPr>
        <w:rPr>
          <w:rFonts w:hint="eastAsia" w:ascii="宋体" w:hAnsi="宋体" w:cs="宋体"/>
          <w:szCs w:val="21"/>
        </w:rPr>
      </w:pPr>
    </w:p>
    <w:p w14:paraId="3E64BB7E">
      <w:pPr>
        <w:bidi w:val="0"/>
        <w:rPr>
          <w:rFonts w:hint="eastAsia"/>
        </w:rPr>
      </w:pPr>
    </w:p>
    <w:p w14:paraId="18291C6A">
      <w:pPr>
        <w:rPr>
          <w:rFonts w:hint="eastAsia" w:ascii="宋体" w:hAnsi="宋体" w:cs="宋体"/>
          <w:szCs w:val="21"/>
        </w:rPr>
      </w:pPr>
    </w:p>
    <w:p w14:paraId="24DB20BA">
      <w:pPr>
        <w:bidi w:val="0"/>
        <w:rPr>
          <w:rFonts w:hint="eastAsia"/>
        </w:rPr>
      </w:pPr>
    </w:p>
    <w:p w14:paraId="7DB012E1">
      <w:pPr>
        <w:rPr>
          <w:rFonts w:hint="eastAsia" w:ascii="宋体" w:hAnsi="宋体" w:cs="宋体"/>
          <w:szCs w:val="21"/>
        </w:rPr>
      </w:pPr>
    </w:p>
    <w:p w14:paraId="664B853F">
      <w:pPr>
        <w:bidi w:val="0"/>
        <w:rPr>
          <w:rFonts w:hint="eastAsia"/>
        </w:rPr>
      </w:pPr>
    </w:p>
    <w:p w14:paraId="37C754B3">
      <w:pPr>
        <w:rPr>
          <w:rFonts w:hint="eastAsia" w:ascii="宋体" w:hAnsi="宋体" w:cs="宋体"/>
          <w:szCs w:val="21"/>
        </w:rPr>
      </w:pPr>
    </w:p>
    <w:p w14:paraId="77552C16">
      <w:pPr>
        <w:bidi w:val="0"/>
        <w:rPr>
          <w:rFonts w:hint="eastAsia"/>
        </w:rPr>
      </w:pPr>
    </w:p>
    <w:p w14:paraId="0332D8DF">
      <w:pPr>
        <w:rPr>
          <w:rFonts w:hint="eastAsia" w:ascii="宋体" w:hAnsi="宋体" w:cs="宋体"/>
          <w:szCs w:val="21"/>
        </w:rPr>
      </w:pPr>
    </w:p>
    <w:p w14:paraId="01335DFC">
      <w:pPr>
        <w:bidi w:val="0"/>
        <w:rPr>
          <w:rFonts w:hint="eastAsia"/>
        </w:rPr>
      </w:pPr>
    </w:p>
    <w:p w14:paraId="2B9E8006">
      <w:pPr>
        <w:rPr>
          <w:rFonts w:hint="eastAsia" w:ascii="宋体" w:hAnsi="宋体" w:cs="宋体"/>
          <w:szCs w:val="21"/>
        </w:rPr>
      </w:pPr>
    </w:p>
    <w:p w14:paraId="4F20328F">
      <w:pPr>
        <w:bidi w:val="0"/>
        <w:rPr>
          <w:rFonts w:hint="eastAsia"/>
        </w:rPr>
      </w:pPr>
    </w:p>
    <w:p w14:paraId="20146D89">
      <w:pPr>
        <w:rPr>
          <w:rFonts w:hint="eastAsia" w:ascii="宋体" w:hAnsi="宋体" w:cs="宋体"/>
          <w:szCs w:val="21"/>
        </w:rPr>
      </w:pPr>
    </w:p>
    <w:p w14:paraId="4971C7AA">
      <w:pPr>
        <w:bidi w:val="0"/>
        <w:rPr>
          <w:rFonts w:hint="eastAsia"/>
        </w:rPr>
      </w:pPr>
    </w:p>
    <w:p w14:paraId="242073B2">
      <w:pPr>
        <w:pStyle w:val="42"/>
        <w:rPr>
          <w:rFonts w:hint="eastAsia"/>
        </w:rPr>
      </w:pPr>
    </w:p>
    <w:p w14:paraId="462E0C48">
      <w:pPr>
        <w:pStyle w:val="34"/>
        <w:rPr>
          <w:rFonts w:hint="eastAsia"/>
        </w:rPr>
      </w:pPr>
    </w:p>
    <w:p w14:paraId="34E1598A">
      <w:pPr>
        <w:rPr>
          <w:rFonts w:hint="eastAsia"/>
        </w:rPr>
      </w:pPr>
    </w:p>
    <w:p w14:paraId="49E643A2">
      <w:pPr>
        <w:pStyle w:val="53"/>
        <w:ind w:left="0" w:leftChars="0" w:firstLine="0" w:firstLineChars="0"/>
      </w:pPr>
    </w:p>
    <w:p w14:paraId="34EB9C10">
      <w:pPr>
        <w:pStyle w:val="5"/>
        <w:rPr>
          <w:rFonts w:ascii="黑体" w:hAnsi="仿宋" w:cs="宋体"/>
          <w:b w:val="0"/>
          <w:sz w:val="21"/>
          <w:szCs w:val="21"/>
        </w:rPr>
      </w:pPr>
      <w:bookmarkStart w:id="168" w:name="_Toc32303"/>
      <w:bookmarkStart w:id="169" w:name="_Toc29913958"/>
      <w:bookmarkStart w:id="170" w:name="_Toc26565"/>
      <w:r>
        <w:rPr>
          <w:rFonts w:hint="eastAsia" w:ascii="黑体" w:hAnsi="仿宋" w:cs="宋体"/>
          <w:b w:val="0"/>
          <w:sz w:val="21"/>
          <w:szCs w:val="21"/>
        </w:rPr>
        <w:t>附件</w:t>
      </w:r>
      <w:r>
        <w:rPr>
          <w:rFonts w:hint="eastAsia" w:ascii="黑体" w:hAnsi="仿宋" w:cs="宋体"/>
          <w:b w:val="0"/>
          <w:sz w:val="21"/>
          <w:szCs w:val="21"/>
          <w:lang w:val="en-US" w:eastAsia="zh-CN"/>
        </w:rPr>
        <w:t>4</w:t>
      </w:r>
      <w:r>
        <w:rPr>
          <w:rFonts w:hint="eastAsia" w:ascii="黑体" w:hAnsi="仿宋" w:cs="宋体"/>
          <w:b w:val="0"/>
          <w:sz w:val="21"/>
          <w:szCs w:val="21"/>
        </w:rPr>
        <w:t>-</w:t>
      </w:r>
      <w:r>
        <w:rPr>
          <w:rFonts w:hint="eastAsia" w:ascii="黑体" w:hAnsi="仿宋" w:cs="宋体"/>
          <w:b w:val="0"/>
          <w:sz w:val="21"/>
          <w:szCs w:val="21"/>
          <w:lang w:val="en-US" w:eastAsia="zh-CN"/>
        </w:rPr>
        <w:t>3</w:t>
      </w:r>
      <w:r>
        <w:rPr>
          <w:rFonts w:hint="eastAsia" w:ascii="黑体" w:hAnsi="仿宋" w:cs="宋体"/>
          <w:b w:val="0"/>
          <w:sz w:val="21"/>
          <w:szCs w:val="21"/>
        </w:rPr>
        <w:t xml:space="preserve"> 符合特定资格条件证明材料复印件或者情况说明</w:t>
      </w:r>
      <w:bookmarkEnd w:id="168"/>
      <w:bookmarkEnd w:id="169"/>
      <w:bookmarkEnd w:id="170"/>
    </w:p>
    <w:p w14:paraId="349B7766">
      <w:pPr>
        <w:widowControl/>
        <w:adjustRightInd w:val="0"/>
        <w:snapToGrid w:val="0"/>
        <w:spacing w:line="360" w:lineRule="auto"/>
        <w:jc w:val="center"/>
        <w:rPr>
          <w:rFonts w:ascii="黑体" w:hAnsi="仿宋" w:eastAsia="黑体" w:cs="宋体"/>
          <w:b/>
          <w:sz w:val="28"/>
          <w:szCs w:val="28"/>
        </w:rPr>
      </w:pPr>
      <w:r>
        <w:rPr>
          <w:rFonts w:hint="eastAsia" w:ascii="黑体" w:hAnsi="仿宋" w:eastAsia="黑体" w:cs="宋体"/>
          <w:b/>
          <w:sz w:val="28"/>
          <w:szCs w:val="28"/>
        </w:rPr>
        <w:t>符合特定资格条件证明材料复印件或者情况说明</w:t>
      </w:r>
    </w:p>
    <w:p w14:paraId="25302036">
      <w:pPr>
        <w:widowControl/>
        <w:adjustRightInd w:val="0"/>
        <w:snapToGrid w:val="0"/>
        <w:spacing w:line="360" w:lineRule="auto"/>
        <w:ind w:firstLine="560" w:firstLineChars="200"/>
        <w:jc w:val="left"/>
        <w:rPr>
          <w:rFonts w:ascii="黑体" w:hAnsi="仿宋" w:eastAsia="黑体" w:cs="宋体"/>
          <w:sz w:val="28"/>
          <w:szCs w:val="28"/>
        </w:rPr>
      </w:pPr>
    </w:p>
    <w:p w14:paraId="07CFB238">
      <w:pPr>
        <w:widowControl/>
        <w:adjustRightInd w:val="0"/>
        <w:snapToGrid w:val="0"/>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注：按第二章第</w:t>
      </w:r>
      <w:r>
        <w:rPr>
          <w:rFonts w:cs="宋体" w:asciiTheme="minorEastAsia" w:hAnsiTheme="minorEastAsia" w:eastAsiaTheme="minorEastAsia"/>
          <w:szCs w:val="21"/>
        </w:rPr>
        <w:t>1</w:t>
      </w:r>
      <w:r>
        <w:rPr>
          <w:rFonts w:hint="eastAsia" w:cs="宋体" w:asciiTheme="minorEastAsia" w:hAnsiTheme="minorEastAsia" w:eastAsiaTheme="minorEastAsia"/>
          <w:szCs w:val="21"/>
        </w:rPr>
        <w:t>4</w:t>
      </w:r>
      <w:r>
        <w:rPr>
          <w:rFonts w:cs="宋体" w:asciiTheme="minorEastAsia" w:hAnsiTheme="minorEastAsia" w:eastAsiaTheme="minorEastAsia"/>
          <w:szCs w:val="21"/>
        </w:rPr>
        <w:t>.1</w:t>
      </w:r>
      <w:r>
        <w:rPr>
          <w:rFonts w:hint="eastAsia" w:cs="宋体" w:asciiTheme="minorEastAsia" w:hAnsiTheme="minorEastAsia" w:eastAsiaTheme="minorEastAsia"/>
          <w:szCs w:val="21"/>
        </w:rPr>
        <w:t>（3）项要求提供。</w:t>
      </w:r>
    </w:p>
    <w:p w14:paraId="3C96D4B3">
      <w:pPr>
        <w:widowControl/>
        <w:jc w:val="left"/>
        <w:rPr>
          <w:rFonts w:ascii="黑体" w:hAnsi="仿宋" w:eastAsia="黑体" w:cs="宋体"/>
          <w:szCs w:val="21"/>
        </w:rPr>
      </w:pPr>
      <w:r>
        <w:rPr>
          <w:rFonts w:ascii="黑体" w:hAnsi="仿宋" w:eastAsia="黑体" w:cs="宋体"/>
          <w:szCs w:val="21"/>
        </w:rPr>
        <w:br w:type="page"/>
      </w:r>
    </w:p>
    <w:p w14:paraId="77D5854E">
      <w:pPr>
        <w:pStyle w:val="5"/>
        <w:rPr>
          <w:rFonts w:ascii="黑体" w:cs="宋体" w:hAnsiTheme="minorEastAsia"/>
          <w:b w:val="0"/>
          <w:kern w:val="0"/>
          <w:sz w:val="21"/>
          <w:szCs w:val="21"/>
        </w:rPr>
      </w:pPr>
      <w:bookmarkStart w:id="171" w:name="_Toc14195"/>
      <w:bookmarkStart w:id="172" w:name="_Toc21639"/>
      <w:bookmarkStart w:id="173" w:name="_Toc29913959"/>
      <w:r>
        <w:rPr>
          <w:rFonts w:hint="eastAsia" w:ascii="黑体" w:hAnsi="仿宋" w:cs="宋体"/>
          <w:b w:val="0"/>
          <w:sz w:val="21"/>
          <w:szCs w:val="21"/>
        </w:rPr>
        <w:t>附件</w:t>
      </w:r>
      <w:r>
        <w:rPr>
          <w:rFonts w:hint="eastAsia" w:ascii="黑体" w:hAnsi="仿宋" w:cs="宋体"/>
          <w:b w:val="0"/>
          <w:sz w:val="21"/>
          <w:szCs w:val="21"/>
          <w:lang w:val="en-US" w:eastAsia="zh-CN"/>
        </w:rPr>
        <w:t>4</w:t>
      </w:r>
      <w:r>
        <w:rPr>
          <w:rFonts w:hint="eastAsia" w:ascii="黑体" w:hAnsi="仿宋" w:cs="宋体"/>
          <w:b w:val="0"/>
          <w:sz w:val="21"/>
          <w:szCs w:val="21"/>
        </w:rPr>
        <w:t>-4 联合体协议书（格式）</w:t>
      </w:r>
      <w:bookmarkEnd w:id="171"/>
      <w:bookmarkEnd w:id="172"/>
      <w:bookmarkEnd w:id="173"/>
    </w:p>
    <w:p w14:paraId="20C75678">
      <w:pPr>
        <w:adjustRightInd w:val="0"/>
        <w:snapToGrid w:val="0"/>
        <w:spacing w:line="360" w:lineRule="auto"/>
        <w:jc w:val="center"/>
        <w:rPr>
          <w:rFonts w:asciiTheme="minorEastAsia" w:hAnsiTheme="minorEastAsia" w:eastAsiaTheme="minorEastAsia"/>
          <w:b/>
          <w:color w:val="000000"/>
          <w:szCs w:val="21"/>
        </w:rPr>
      </w:pPr>
      <w:r>
        <w:rPr>
          <w:rFonts w:hint="eastAsia" w:ascii="黑体" w:hAnsi="仿宋" w:eastAsia="黑体" w:cs="宋体"/>
          <w:b/>
          <w:sz w:val="28"/>
          <w:szCs w:val="28"/>
        </w:rPr>
        <w:t>联合体协议书（格式）</w:t>
      </w:r>
    </w:p>
    <w:p w14:paraId="44F10AA7">
      <w:pPr>
        <w:adjustRightInd w:val="0"/>
        <w:snapToGrid w:val="0"/>
        <w:spacing w:line="360" w:lineRule="auto"/>
        <w:rPr>
          <w:rFonts w:asciiTheme="minorEastAsia" w:hAnsiTheme="minorEastAsia" w:eastAsiaTheme="minorEastAsia"/>
          <w:color w:val="000000"/>
          <w:szCs w:val="21"/>
        </w:rPr>
      </w:pPr>
    </w:p>
    <w:p w14:paraId="2605D2FD">
      <w:pPr>
        <w:adjustRightInd w:val="0"/>
        <w:snapToGrid w:val="0"/>
        <w:spacing w:line="36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致</w:t>
      </w:r>
      <w:r>
        <w:rPr>
          <w:rFonts w:hint="eastAsia"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rPr>
        <w:t>（采购人、采购代理机构</w:t>
      </w:r>
      <w:r>
        <w:rPr>
          <w:rFonts w:hint="eastAsia" w:asciiTheme="minorEastAsia" w:hAnsiTheme="minorEastAsia" w:eastAsiaTheme="minorEastAsia"/>
          <w:szCs w:val="21"/>
        </w:rPr>
        <w:t>）：</w:t>
      </w:r>
    </w:p>
    <w:p w14:paraId="62008A9F">
      <w:pPr>
        <w:adjustRightInd w:val="0"/>
        <w:snapToGrid w:val="0"/>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经研究，我们决定自愿组成联合体共同参加</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（项目名称</w:t>
      </w:r>
      <w:r>
        <w:rPr>
          <w:rFonts w:asciiTheme="minorEastAsia" w:hAnsiTheme="minorEastAsia" w:eastAsiaTheme="minorEastAsia"/>
          <w:szCs w:val="21"/>
        </w:rPr>
        <w:t>）</w:t>
      </w:r>
      <w:r>
        <w:rPr>
          <w:rFonts w:hint="eastAsia" w:asciiTheme="minorEastAsia" w:hAnsiTheme="minorEastAsia" w:eastAsiaTheme="minorEastAsia"/>
          <w:szCs w:val="21"/>
        </w:rPr>
        <w:t>（采购代理编号：</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）项目的投标</w:t>
      </w:r>
      <w:r>
        <w:rPr>
          <w:rFonts w:hint="eastAsia" w:asciiTheme="minorEastAsia" w:hAnsiTheme="minorEastAsia" w:eastAsiaTheme="minorEastAsia"/>
          <w:color w:val="000000"/>
          <w:szCs w:val="21"/>
        </w:rPr>
        <w:t>。</w:t>
      </w:r>
      <w:r>
        <w:rPr>
          <w:rFonts w:hint="eastAsia" w:asciiTheme="minorEastAsia" w:hAnsiTheme="minorEastAsia" w:eastAsiaTheme="minorEastAsia"/>
          <w:szCs w:val="21"/>
        </w:rPr>
        <w:t>现就联合体投标事宜订立如下协议：</w:t>
      </w:r>
    </w:p>
    <w:p w14:paraId="0AD148DF">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一、联合体基本信息：</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（各方公司名称、地址、注册资金、营业执照、</w:t>
      </w: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Theme="minorEastAsia" w:hAnsiTheme="minorEastAsia" w:eastAsiaTheme="minorEastAsia"/>
          <w:szCs w:val="21"/>
        </w:rPr>
        <w:t>姓名）</w:t>
      </w:r>
    </w:p>
    <w:p w14:paraId="41A3F282">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（某成员单位名称）为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（联合体名称）牵头人。</w:t>
      </w:r>
    </w:p>
    <w:p w14:paraId="5CE64B7B">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联合体牵头人合法代表联合体各成员负责本项目投标文件编制活动，代表联合体提交和接收相关的资料、信息及指示，并处理与投标有关的一切事务；联合体中标后，联合体牵头人负责合同订立和合同实施阶段的主办、组织和协调工作。</w:t>
      </w:r>
    </w:p>
    <w:p w14:paraId="131F231D">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四．联合体将严格按照招标文件的各项要求，递交投标文件，参加投标，履行中标义务和中标后的合同，并向采购人承担连带责任。</w:t>
      </w:r>
    </w:p>
    <w:p w14:paraId="54C76CF1">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五、联合体各成员单位内部的职责分工如下：</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。按照本条上述分工，联合体各成员的协议合同金额占联合体协议合同总金额比例如下：</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w:t>
      </w:r>
    </w:p>
    <w:p w14:paraId="581305D2">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六、本协议书自签署之日起生效，合同履行完毕后自动失效。</w:t>
      </w:r>
    </w:p>
    <w:p w14:paraId="4966E4F5">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七、本协议书一式</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份，联合体成员和采购人各执一份。</w:t>
      </w:r>
    </w:p>
    <w:p w14:paraId="6406CE6F">
      <w:pPr>
        <w:adjustRightInd w:val="0"/>
        <w:snapToGrid w:val="0"/>
        <w:spacing w:line="360" w:lineRule="auto"/>
        <w:rPr>
          <w:rFonts w:asciiTheme="minorEastAsia" w:hAnsiTheme="minorEastAsia" w:eastAsiaTheme="minorEastAsia"/>
          <w:szCs w:val="21"/>
        </w:rPr>
      </w:pPr>
    </w:p>
    <w:p w14:paraId="6882C234">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牵头人名称（盖单位电子章）：</w:t>
      </w:r>
    </w:p>
    <w:p w14:paraId="6F0FA95A">
      <w:pPr>
        <w:adjustRightInd w:val="0"/>
        <w:snapToGrid w:val="0"/>
        <w:spacing w:line="360" w:lineRule="auto"/>
        <w:rPr>
          <w:rFonts w:asciiTheme="minorEastAsia" w:hAnsiTheme="minorEastAsia" w:eastAsiaTheme="minorEastAsia"/>
          <w:szCs w:val="21"/>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Theme="minorEastAsia" w:hAnsiTheme="minorEastAsia" w:eastAsiaTheme="minorEastAsia"/>
          <w:szCs w:val="21"/>
        </w:rPr>
        <w:t>或其委托代理人</w:t>
      </w:r>
      <w:r>
        <w:rPr>
          <w:rFonts w:hint="eastAsia" w:asciiTheme="minorEastAsia" w:hAnsiTheme="minorEastAsia" w:eastAsiaTheme="minorEastAsia"/>
          <w:szCs w:val="21"/>
          <w:lang w:eastAsia="zh-CN"/>
        </w:rPr>
        <w:t>（电子签章）</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 xml:space="preserve">                          </w:t>
      </w:r>
    </w:p>
    <w:p w14:paraId="21B2F3F6">
      <w:pPr>
        <w:adjustRightInd w:val="0"/>
        <w:snapToGrid w:val="0"/>
        <w:spacing w:line="360" w:lineRule="auto"/>
        <w:rPr>
          <w:rFonts w:asciiTheme="minorEastAsia" w:hAnsiTheme="minorEastAsia" w:eastAsiaTheme="minorEastAsia"/>
          <w:szCs w:val="21"/>
        </w:rPr>
      </w:pPr>
    </w:p>
    <w:p w14:paraId="637A7CB7">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成员1名称（盖单位电子章）：</w:t>
      </w:r>
    </w:p>
    <w:p w14:paraId="4650AEEA">
      <w:pPr>
        <w:adjustRightInd w:val="0"/>
        <w:snapToGrid w:val="0"/>
        <w:spacing w:line="360" w:lineRule="auto"/>
        <w:rPr>
          <w:rFonts w:asciiTheme="minorEastAsia" w:hAnsiTheme="minorEastAsia" w:eastAsiaTheme="minorEastAsia"/>
          <w:szCs w:val="21"/>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Theme="minorEastAsia" w:hAnsiTheme="minorEastAsia" w:eastAsiaTheme="minorEastAsia"/>
          <w:szCs w:val="21"/>
        </w:rPr>
        <w:t>或其委托代理人</w:t>
      </w:r>
      <w:r>
        <w:rPr>
          <w:rFonts w:hint="eastAsia" w:asciiTheme="minorEastAsia" w:hAnsiTheme="minorEastAsia" w:eastAsiaTheme="minorEastAsia"/>
          <w:szCs w:val="21"/>
          <w:lang w:eastAsia="zh-CN"/>
        </w:rPr>
        <w:t>（电子签章）</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 xml:space="preserve">                          </w:t>
      </w:r>
    </w:p>
    <w:p w14:paraId="06D63B01">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成员2名称（盖单位电子章）：</w:t>
      </w:r>
    </w:p>
    <w:p w14:paraId="1E731679">
      <w:pPr>
        <w:adjustRightInd w:val="0"/>
        <w:snapToGrid w:val="0"/>
        <w:spacing w:line="360" w:lineRule="auto"/>
        <w:rPr>
          <w:rFonts w:asciiTheme="minorEastAsia" w:hAnsiTheme="minorEastAsia" w:eastAsiaTheme="minorEastAsia"/>
          <w:szCs w:val="21"/>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Theme="minorEastAsia" w:hAnsiTheme="minorEastAsia" w:eastAsiaTheme="minorEastAsia"/>
          <w:szCs w:val="21"/>
        </w:rPr>
        <w:t>或其委托代理人</w:t>
      </w:r>
      <w:r>
        <w:rPr>
          <w:rFonts w:hint="eastAsia" w:asciiTheme="minorEastAsia" w:hAnsiTheme="minorEastAsia" w:eastAsiaTheme="minorEastAsia"/>
          <w:szCs w:val="21"/>
          <w:lang w:eastAsia="zh-CN"/>
        </w:rPr>
        <w:t>（电子签章）</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 xml:space="preserve">                          </w:t>
      </w:r>
    </w:p>
    <w:p w14:paraId="54947242">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w:t>
      </w:r>
    </w:p>
    <w:p w14:paraId="717F2696">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日  </w:t>
      </w:r>
    </w:p>
    <w:p w14:paraId="4C2BC00A">
      <w:pPr>
        <w:widowControl/>
        <w:adjustRightInd w:val="0"/>
        <w:snapToGrid w:val="0"/>
        <w:spacing w:line="360" w:lineRule="auto"/>
        <w:ind w:firstLine="422" w:firstLineChars="200"/>
        <w:jc w:val="left"/>
        <w:rPr>
          <w:rFonts w:asciiTheme="minorEastAsia" w:hAnsiTheme="minorEastAsia" w:eastAsiaTheme="minorEastAsia"/>
          <w:szCs w:val="21"/>
        </w:rPr>
      </w:pPr>
      <w:r>
        <w:rPr>
          <w:rFonts w:hint="eastAsia" w:asciiTheme="minorEastAsia" w:hAnsiTheme="minorEastAsia" w:eastAsiaTheme="minorEastAsia"/>
          <w:b/>
          <w:szCs w:val="21"/>
        </w:rPr>
        <w:t>注</w:t>
      </w:r>
      <w:r>
        <w:rPr>
          <w:rFonts w:hint="eastAsia" w:asciiTheme="minorEastAsia" w:hAnsiTheme="minorEastAsia" w:eastAsiaTheme="minorEastAsia"/>
          <w:szCs w:val="21"/>
        </w:rPr>
        <w:t>：1、本协议书由委托代理人签字的，应附法定代表人（单位负责人）授权委托书。</w:t>
      </w:r>
    </w:p>
    <w:p w14:paraId="20AB3E79">
      <w:pPr>
        <w:widowControl/>
        <w:numPr>
          <w:ilvl w:val="0"/>
          <w:numId w:val="5"/>
        </w:numPr>
        <w:adjustRightInd w:val="0"/>
        <w:snapToGrid w:val="0"/>
        <w:spacing w:line="360" w:lineRule="auto"/>
        <w:ind w:left="0" w:leftChars="0" w:firstLine="0" w:firstLineChars="0"/>
        <w:jc w:val="left"/>
        <w:rPr>
          <w:rFonts w:hint="eastAsia" w:asciiTheme="minorEastAsia" w:hAnsiTheme="minorEastAsia" w:eastAsiaTheme="minorEastAsia"/>
          <w:szCs w:val="21"/>
        </w:rPr>
      </w:pPr>
      <w:r>
        <w:rPr>
          <w:rFonts w:hint="eastAsia" w:asciiTheme="minorEastAsia" w:hAnsiTheme="minorEastAsia" w:eastAsiaTheme="minorEastAsia"/>
          <w:szCs w:val="21"/>
        </w:rPr>
        <w:t>投标人在提交投标文件的截止时间前修改“开标一览表”中的投标报价，影响本协议书第五条的，应同时修改本协议书第五条。否则，评审时价格评审优惠不予以考虑。</w:t>
      </w:r>
    </w:p>
    <w:p w14:paraId="341B73B2">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14:paraId="49F29DBF">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14:paraId="5F88BB1F">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 xml:space="preserve">附件 </w:t>
      </w:r>
      <w:r>
        <w:rPr>
          <w:rFonts w:hint="default" w:asciiTheme="minorEastAsia" w:hAnsiTheme="minorEastAsia" w:eastAsiaTheme="minorEastAsia"/>
          <w:szCs w:val="21"/>
          <w:lang w:val="en-US" w:eastAsia="zh-CN"/>
        </w:rPr>
        <w:t xml:space="preserve">4-5 </w:t>
      </w:r>
      <w:r>
        <w:rPr>
          <w:rFonts w:hint="eastAsia" w:asciiTheme="minorEastAsia" w:hAnsiTheme="minorEastAsia" w:eastAsiaTheme="minorEastAsia"/>
          <w:szCs w:val="21"/>
          <w:lang w:val="en-US" w:eastAsia="zh-CN"/>
        </w:rPr>
        <w:t xml:space="preserve">具有良好的商业信誉和健全的财务会计制度、有依法缴纳税收和社会保障资金的良好记录的证明材料 </w:t>
      </w:r>
    </w:p>
    <w:p w14:paraId="6D76D42B">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 xml:space="preserve">注：按第三章附表 </w:t>
      </w:r>
      <w:r>
        <w:rPr>
          <w:rFonts w:hint="default" w:asciiTheme="minorEastAsia" w:hAnsiTheme="minorEastAsia" w:eastAsiaTheme="minorEastAsia"/>
          <w:szCs w:val="21"/>
          <w:lang w:val="en-US" w:eastAsia="zh-CN"/>
        </w:rPr>
        <w:t xml:space="preserve">1 </w:t>
      </w:r>
      <w:r>
        <w:rPr>
          <w:rFonts w:hint="eastAsia" w:asciiTheme="minorEastAsia" w:hAnsiTheme="minorEastAsia" w:eastAsiaTheme="minorEastAsia"/>
          <w:szCs w:val="21"/>
          <w:lang w:val="en-US" w:eastAsia="zh-CN"/>
        </w:rPr>
        <w:t xml:space="preserve">资格审查表的要求，提供相关证明材料复印件。 </w:t>
      </w:r>
    </w:p>
    <w:p w14:paraId="44D5988F">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 xml:space="preserve">关于政府采购促进中小企业发展有关措施的通知：符合法定条件的供应商可凭《湖南省政府 </w:t>
      </w:r>
    </w:p>
    <w:p w14:paraId="6010839D">
      <w:pPr>
        <w:adjustRightInd w:val="0"/>
        <w:snapToGrid w:val="0"/>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 xml:space="preserve">采购供应商资格承诺函》参与政府采购活动，也可通过在金融机构办理电子增信取得对应信用星 </w:t>
      </w:r>
    </w:p>
    <w:p w14:paraId="75C0312D">
      <w:pPr>
        <w:adjustRightInd w:val="0"/>
        <w:snapToGrid w:val="0"/>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 xml:space="preserve">级参与政府采购活动和电子卖场交易，无需提供财务状况、缴纳税收和社会保障资金等资格证明 </w:t>
      </w:r>
    </w:p>
    <w:p w14:paraId="5DF42C0E">
      <w:pPr>
        <w:adjustRightInd w:val="0"/>
        <w:snapToGrid w:val="0"/>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 xml:space="preserve">材料。 </w:t>
      </w:r>
    </w:p>
    <w:p w14:paraId="6D9C3AF4">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2ED91EC1">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46A448BC">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50B2347E">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06EE4390">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797B9AD6">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57E2E797">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1F424928">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3C7749A4">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0AC7F8A3">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68778829">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4D86D072">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70C2DE5D">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63048C2D">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0439D74F">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3E4BE2B7">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59E46D06">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60118F0F">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51FFC60A">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4AB8E32D">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18DD6A59">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07F0B748">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2ED91772">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4E482B93">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36DF1645">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14863F3C">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3F3B49C0">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7A9EF82F">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 xml:space="preserve">附件 </w:t>
      </w:r>
      <w:r>
        <w:rPr>
          <w:rFonts w:hint="default" w:asciiTheme="minorEastAsia" w:hAnsiTheme="minorEastAsia" w:eastAsiaTheme="minorEastAsia"/>
          <w:szCs w:val="21"/>
          <w:lang w:val="en-US" w:eastAsia="zh-CN"/>
        </w:rPr>
        <w:t xml:space="preserve">4-6 </w:t>
      </w:r>
      <w:r>
        <w:rPr>
          <w:rFonts w:hint="eastAsia" w:asciiTheme="minorEastAsia" w:hAnsiTheme="minorEastAsia" w:eastAsiaTheme="minorEastAsia"/>
          <w:szCs w:val="21"/>
          <w:lang w:val="en-US" w:eastAsia="zh-CN"/>
        </w:rPr>
        <w:t>在</w:t>
      </w:r>
      <w:r>
        <w:rPr>
          <w:rFonts w:hint="default" w:asciiTheme="minorEastAsia" w:hAnsiTheme="minorEastAsia" w:eastAsiaTheme="minorEastAsia"/>
          <w:szCs w:val="21"/>
          <w:lang w:val="en-US" w:eastAsia="zh-CN"/>
        </w:rPr>
        <w:t>“</w:t>
      </w:r>
      <w:r>
        <w:rPr>
          <w:rFonts w:hint="eastAsia" w:asciiTheme="minorEastAsia" w:hAnsiTheme="minorEastAsia" w:eastAsiaTheme="minorEastAsia"/>
          <w:szCs w:val="21"/>
          <w:lang w:val="en-US" w:eastAsia="zh-CN"/>
        </w:rPr>
        <w:t>信用中国</w:t>
      </w:r>
      <w:r>
        <w:rPr>
          <w:rFonts w:hint="default" w:asciiTheme="minorEastAsia" w:hAnsiTheme="minorEastAsia" w:eastAsiaTheme="minorEastAsia"/>
          <w:szCs w:val="21"/>
          <w:lang w:val="en-US" w:eastAsia="zh-CN"/>
        </w:rPr>
        <w:t>”</w:t>
      </w:r>
      <w:r>
        <w:rPr>
          <w:rFonts w:hint="eastAsia" w:asciiTheme="minorEastAsia" w:hAnsiTheme="minorEastAsia" w:eastAsiaTheme="minorEastAsia"/>
          <w:szCs w:val="21"/>
          <w:lang w:val="en-US" w:eastAsia="zh-CN"/>
        </w:rPr>
        <w:t>、</w:t>
      </w:r>
      <w:r>
        <w:rPr>
          <w:rFonts w:hint="default" w:asciiTheme="minorEastAsia" w:hAnsiTheme="minorEastAsia" w:eastAsiaTheme="minorEastAsia"/>
          <w:szCs w:val="21"/>
          <w:lang w:val="en-US" w:eastAsia="zh-CN"/>
        </w:rPr>
        <w:t>“</w:t>
      </w:r>
      <w:r>
        <w:rPr>
          <w:rFonts w:hint="eastAsia" w:asciiTheme="minorEastAsia" w:hAnsiTheme="minorEastAsia" w:eastAsiaTheme="minorEastAsia"/>
          <w:szCs w:val="21"/>
          <w:lang w:val="en-US" w:eastAsia="zh-CN"/>
        </w:rPr>
        <w:t>中国政府采购</w:t>
      </w:r>
      <w:r>
        <w:rPr>
          <w:rFonts w:hint="default" w:asciiTheme="minorEastAsia" w:hAnsiTheme="minorEastAsia" w:eastAsiaTheme="minorEastAsia"/>
          <w:szCs w:val="21"/>
          <w:lang w:val="en-US" w:eastAsia="zh-CN"/>
        </w:rPr>
        <w:t>”</w:t>
      </w:r>
      <w:r>
        <w:rPr>
          <w:rFonts w:hint="eastAsia" w:asciiTheme="minorEastAsia" w:hAnsiTheme="minorEastAsia" w:eastAsiaTheme="minorEastAsia"/>
          <w:szCs w:val="21"/>
          <w:lang w:val="en-US" w:eastAsia="zh-CN"/>
        </w:rPr>
        <w:t xml:space="preserve">等 </w:t>
      </w:r>
      <w:r>
        <w:rPr>
          <w:rFonts w:hint="default" w:asciiTheme="minorEastAsia" w:hAnsiTheme="minorEastAsia" w:eastAsiaTheme="minorEastAsia"/>
          <w:szCs w:val="21"/>
          <w:lang w:val="en-US" w:eastAsia="zh-CN"/>
        </w:rPr>
        <w:t xml:space="preserve">5 </w:t>
      </w:r>
      <w:r>
        <w:rPr>
          <w:rFonts w:hint="eastAsia" w:asciiTheme="minorEastAsia" w:hAnsiTheme="minorEastAsia" w:eastAsiaTheme="minorEastAsia"/>
          <w:szCs w:val="21"/>
          <w:lang w:val="en-US" w:eastAsia="zh-CN"/>
        </w:rPr>
        <w:t xml:space="preserve">个网站企业信用记录查询结果截图资料 </w:t>
      </w:r>
    </w:p>
    <w:p w14:paraId="144A700E">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 xml:space="preserve">注：按第三章附表 </w:t>
      </w:r>
      <w:r>
        <w:rPr>
          <w:rFonts w:hint="default" w:asciiTheme="minorEastAsia" w:hAnsiTheme="minorEastAsia" w:eastAsiaTheme="minorEastAsia"/>
          <w:szCs w:val="21"/>
          <w:lang w:val="en-US" w:eastAsia="zh-CN"/>
        </w:rPr>
        <w:t xml:space="preserve">1 </w:t>
      </w:r>
      <w:r>
        <w:rPr>
          <w:rFonts w:hint="eastAsia" w:asciiTheme="minorEastAsia" w:hAnsiTheme="minorEastAsia" w:eastAsiaTheme="minorEastAsia"/>
          <w:szCs w:val="21"/>
          <w:lang w:val="en-US" w:eastAsia="zh-CN"/>
        </w:rPr>
        <w:t>资格审查表的要求，提供信用记录查询结果截图资料。</w:t>
      </w:r>
    </w:p>
    <w:p w14:paraId="05797028">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23376E5D">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510292FB">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530057F9">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63C78892">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2D7F0A6E">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6416ECFA">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24DBCD35">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502B2220">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52CD2998">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5C492FF5">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4B2149C0">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3FE5A3AD">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14835057">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7A9E45AC">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751733ED">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041AE178">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652009BD">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29B2C6DC">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3B2C0609">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61035087">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1BD876F8">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4C0A0F67">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2C11AD29">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6AD664B7">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739013EF">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42484B10">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4115AD31">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625828CF">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1786550F">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6A0CF4F1">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66212AC2">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090E8A27">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 xml:space="preserve">附件 </w:t>
      </w:r>
      <w:r>
        <w:rPr>
          <w:rFonts w:hint="default" w:asciiTheme="minorEastAsia" w:hAnsiTheme="minorEastAsia" w:eastAsiaTheme="minorEastAsia"/>
          <w:szCs w:val="21"/>
          <w:lang w:val="en-US" w:eastAsia="zh-CN"/>
        </w:rPr>
        <w:t xml:space="preserve">4-7 </w:t>
      </w:r>
      <w:r>
        <w:rPr>
          <w:rFonts w:hint="eastAsia" w:asciiTheme="minorEastAsia" w:hAnsiTheme="minorEastAsia" w:eastAsiaTheme="minorEastAsia"/>
          <w:szCs w:val="21"/>
          <w:lang w:val="en-US" w:eastAsia="zh-CN"/>
        </w:rPr>
        <w:t xml:space="preserve">湖南省政府采购供应商资格承诺函（格式） </w:t>
      </w:r>
    </w:p>
    <w:p w14:paraId="7615C231">
      <w:pPr>
        <w:adjustRightInd w:val="0"/>
        <w:snapToGrid w:val="0"/>
        <w:spacing w:line="360" w:lineRule="auto"/>
        <w:ind w:firstLine="420" w:firstLineChars="200"/>
        <w:jc w:val="center"/>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湖南省政府采购供应商资格承诺函</w:t>
      </w:r>
    </w:p>
    <w:p w14:paraId="71F222A6">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 xml:space="preserve">致                                    （采购人、采购代理机构）： </w:t>
      </w:r>
    </w:p>
    <w:p w14:paraId="1A7C92F7">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 xml:space="preserve">本公司独立承担民事责任、具有良好的商业信誉和健全的财务会计制度、依法缴纳税收和社会保障资金，在前三年的经营活动中无重大违法记录，未列入严重失信行为名单，符合政府采购供应商的基本资格要求。 </w:t>
      </w:r>
    </w:p>
    <w:p w14:paraId="6A089C9C">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按照《政府采购促进中小企业发展管理办法》（财库〔</w:t>
      </w:r>
      <w:r>
        <w:rPr>
          <w:rFonts w:hint="default" w:asciiTheme="minorEastAsia" w:hAnsiTheme="minorEastAsia" w:eastAsiaTheme="minorEastAsia"/>
          <w:szCs w:val="21"/>
          <w:lang w:val="en-US" w:eastAsia="zh-CN"/>
        </w:rPr>
        <w:t>2020</w:t>
      </w:r>
      <w:r>
        <w:rPr>
          <w:rFonts w:hint="eastAsia" w:asciiTheme="minorEastAsia" w:hAnsiTheme="minorEastAsia" w:eastAsiaTheme="minorEastAsia"/>
          <w:szCs w:val="21"/>
          <w:lang w:val="en-US" w:eastAsia="zh-CN"/>
        </w:rPr>
        <w:t>〕</w:t>
      </w:r>
      <w:r>
        <w:rPr>
          <w:rFonts w:hint="default" w:asciiTheme="minorEastAsia" w:hAnsiTheme="minorEastAsia" w:eastAsiaTheme="minorEastAsia"/>
          <w:szCs w:val="21"/>
          <w:lang w:val="en-US" w:eastAsia="zh-CN"/>
        </w:rPr>
        <w:t xml:space="preserve">46 </w:t>
      </w:r>
      <w:r>
        <w:rPr>
          <w:rFonts w:hint="eastAsia" w:asciiTheme="minorEastAsia" w:hAnsiTheme="minorEastAsia" w:eastAsiaTheme="minorEastAsia"/>
          <w:szCs w:val="21"/>
          <w:lang w:val="en-US" w:eastAsia="zh-CN"/>
        </w:rPr>
        <w:t xml:space="preserve">号），本公司企业规模 </w:t>
      </w:r>
    </w:p>
    <w:p w14:paraId="7C3471C2">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为：大型</w:t>
      </w:r>
      <w:r>
        <w:rPr>
          <w:rFonts w:hint="default" w:asciiTheme="minorEastAsia" w:hAnsiTheme="minorEastAsia" w:eastAsiaTheme="minorEastAsia"/>
          <w:szCs w:val="21"/>
          <w:lang w:val="en-US" w:eastAsia="zh-CN"/>
        </w:rPr>
        <w:t xml:space="preserve">□ </w:t>
      </w:r>
      <w:r>
        <w:rPr>
          <w:rFonts w:hint="eastAsia" w:asciiTheme="minorEastAsia" w:hAnsiTheme="minorEastAsia" w:eastAsiaTheme="minorEastAsia"/>
          <w:szCs w:val="21"/>
          <w:lang w:val="en-US" w:eastAsia="zh-CN"/>
        </w:rPr>
        <w:t xml:space="preserve"> 中型</w:t>
      </w:r>
      <w:r>
        <w:rPr>
          <w:rFonts w:hint="default" w:asciiTheme="minorEastAsia" w:hAnsiTheme="minorEastAsia" w:eastAsiaTheme="minorEastAsia"/>
          <w:szCs w:val="21"/>
          <w:lang w:val="en-US" w:eastAsia="zh-CN"/>
        </w:rPr>
        <w:t xml:space="preserve">□ </w:t>
      </w:r>
      <w:r>
        <w:rPr>
          <w:rFonts w:hint="eastAsia" w:asciiTheme="minorEastAsia" w:hAnsiTheme="minorEastAsia" w:eastAsiaTheme="minorEastAsia"/>
          <w:szCs w:val="21"/>
          <w:lang w:val="en-US" w:eastAsia="zh-CN"/>
        </w:rPr>
        <w:t>小型</w:t>
      </w:r>
      <w:r>
        <w:rPr>
          <w:rFonts w:hint="default" w:asciiTheme="minorEastAsia" w:hAnsiTheme="minorEastAsia" w:eastAsiaTheme="minorEastAsia"/>
          <w:szCs w:val="21"/>
          <w:lang w:val="en-US" w:eastAsia="zh-CN"/>
        </w:rPr>
        <w:t xml:space="preserve">□ </w:t>
      </w:r>
      <w:r>
        <w:rPr>
          <w:rFonts w:hint="eastAsia" w:asciiTheme="minorEastAsia" w:hAnsiTheme="minorEastAsia" w:eastAsiaTheme="minorEastAsia"/>
          <w:szCs w:val="21"/>
          <w:lang w:val="en-US" w:eastAsia="zh-CN"/>
        </w:rPr>
        <w:t>微型</w:t>
      </w:r>
      <w:r>
        <w:rPr>
          <w:rFonts w:hint="default" w:asciiTheme="minorEastAsia" w:hAnsiTheme="minorEastAsia" w:eastAsiaTheme="minorEastAsia"/>
          <w:szCs w:val="21"/>
          <w:lang w:val="en-US" w:eastAsia="zh-CN"/>
        </w:rPr>
        <w:t xml:space="preserve">□ </w:t>
      </w:r>
    </w:p>
    <w:p w14:paraId="0DD0DF05">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公司机构代码：</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lang w:val="en-US" w:eastAsia="zh-CN"/>
        </w:rPr>
        <w:t xml:space="preserve"> ；注册登记机构：</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lang w:val="en-US" w:eastAsia="zh-CN"/>
        </w:rPr>
        <w:t xml:space="preserve">； </w:t>
      </w:r>
    </w:p>
    <w:p w14:paraId="32136AAB">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 xml:space="preserve">日期  </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lang w:val="en-US" w:eastAsia="zh-CN"/>
        </w:rPr>
        <w:t xml:space="preserve"> ；有效期：</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lang w:val="en-US" w:eastAsia="zh-CN"/>
        </w:rPr>
        <w:t xml:space="preserve"> ； </w:t>
      </w:r>
    </w:p>
    <w:p w14:paraId="0795B3B1">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注册资本：</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lang w:val="en-US" w:eastAsia="zh-CN"/>
        </w:rPr>
        <w:t xml:space="preserve">；地址  </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lang w:val="en-US" w:eastAsia="zh-CN"/>
        </w:rPr>
        <w:t xml:space="preserve"> ； </w:t>
      </w:r>
    </w:p>
    <w:p w14:paraId="4735487B">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经济行业：</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lang w:val="en-US" w:eastAsia="zh-CN"/>
        </w:rPr>
        <w:t xml:space="preserve"> ；经济性质：</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lang w:val="en-US" w:eastAsia="zh-CN"/>
        </w:rPr>
        <w:t xml:space="preserve">； </w:t>
      </w:r>
    </w:p>
    <w:p w14:paraId="78638CF6">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法定代表人姓名（</w:t>
      </w:r>
      <w:r>
        <w:rPr>
          <w:rFonts w:hint="eastAsia" w:asciiTheme="minorEastAsia" w:hAnsiTheme="minorEastAsia" w:eastAsiaTheme="minorEastAsia"/>
          <w:szCs w:val="21"/>
          <w:lang w:eastAsia="zh-CN"/>
        </w:rPr>
        <w:t>电子签章</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lang w:val="en-US" w:eastAsia="zh-CN"/>
        </w:rPr>
        <w:t xml:space="preserve">；身份证号： </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lang w:val="en-US" w:eastAsia="zh-CN"/>
        </w:rPr>
        <w:t>；手机号：</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lang w:val="en-US" w:eastAsia="zh-CN"/>
        </w:rPr>
        <w:t xml:space="preserve"> ； </w:t>
      </w:r>
    </w:p>
    <w:p w14:paraId="5256CED7">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授权代表人姓名（</w:t>
      </w:r>
      <w:r>
        <w:rPr>
          <w:rFonts w:hint="eastAsia" w:asciiTheme="minorEastAsia" w:hAnsiTheme="minorEastAsia" w:eastAsiaTheme="minorEastAsia"/>
          <w:szCs w:val="21"/>
          <w:lang w:eastAsia="zh-CN"/>
        </w:rPr>
        <w:t>电子签章</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lang w:val="en-US" w:eastAsia="zh-CN"/>
        </w:rPr>
        <w:t xml:space="preserve"> ；身份证号：</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lang w:val="en-US" w:eastAsia="zh-CN"/>
        </w:rPr>
        <w:t xml:space="preserve"> ；手机号：</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lang w:val="en-US" w:eastAsia="zh-CN"/>
        </w:rPr>
        <w:t xml:space="preserve">  ；</w:t>
      </w:r>
    </w:p>
    <w:p w14:paraId="298459E7">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53D08880">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14EED3F4">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投标人名称（</w:t>
      </w:r>
      <w:r>
        <w:rPr>
          <w:rFonts w:hint="eastAsia" w:asciiTheme="minorEastAsia" w:hAnsiTheme="minorEastAsia" w:eastAsiaTheme="minorEastAsia"/>
        </w:rPr>
        <w:t>盖单位电子章</w:t>
      </w:r>
      <w:r>
        <w:rPr>
          <w:rFonts w:hint="eastAsia" w:asciiTheme="minorEastAsia" w:hAnsiTheme="minorEastAsia" w:eastAsiaTheme="minorEastAsia"/>
          <w:szCs w:val="21"/>
          <w:lang w:val="en-US" w:eastAsia="zh-CN"/>
        </w:rPr>
        <w:t xml:space="preserve">）： </w:t>
      </w:r>
    </w:p>
    <w:p w14:paraId="2EFE1546">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78E86D4E">
      <w:pPr>
        <w:adjustRightInd w:val="0"/>
        <w:snapToGrid w:val="0"/>
        <w:spacing w:line="360" w:lineRule="auto"/>
        <w:ind w:firstLine="420" w:firstLineChars="200"/>
        <w:rPr>
          <w:rFonts w:hint="eastAsia" w:asciiTheme="minorEastAsia" w:hAnsiTheme="minorEastAsia" w:eastAsiaTheme="minorEastAsia"/>
          <w:szCs w:val="21"/>
          <w:lang w:val="en-US" w:eastAsia="zh-CN"/>
        </w:rPr>
      </w:pPr>
    </w:p>
    <w:p w14:paraId="6DFDA728">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日期： 年 月 日</w:t>
      </w:r>
    </w:p>
    <w:p w14:paraId="6709DB11">
      <w:pPr>
        <w:adjustRightInd w:val="0"/>
        <w:snapToGrid w:val="0"/>
        <w:spacing w:line="360" w:lineRule="auto"/>
        <w:ind w:firstLine="420" w:firstLineChars="200"/>
        <w:rPr>
          <w:rFonts w:ascii="黑体" w:eastAsia="黑体"/>
          <w:color w:val="000000"/>
          <w:sz w:val="32"/>
          <w:szCs w:val="32"/>
        </w:rPr>
      </w:pPr>
      <w:r>
        <w:rPr>
          <w:rFonts w:hint="eastAsia" w:asciiTheme="minorEastAsia" w:hAnsiTheme="minorEastAsia" w:eastAsiaTheme="minorEastAsia"/>
          <w:szCs w:val="21"/>
        </w:rPr>
        <w:br w:type="page"/>
      </w:r>
    </w:p>
    <w:p w14:paraId="659F7FC5">
      <w:pPr>
        <w:adjustRightInd w:val="0"/>
        <w:snapToGrid w:val="0"/>
        <w:spacing w:line="360" w:lineRule="auto"/>
        <w:jc w:val="center"/>
        <w:rPr>
          <w:rFonts w:ascii="黑体" w:eastAsia="黑体"/>
          <w:color w:val="000000"/>
          <w:sz w:val="32"/>
          <w:szCs w:val="32"/>
        </w:rPr>
      </w:pPr>
    </w:p>
    <w:p w14:paraId="2CBE8C91">
      <w:pPr>
        <w:adjustRightInd w:val="0"/>
        <w:snapToGrid w:val="0"/>
        <w:spacing w:line="360" w:lineRule="auto"/>
        <w:jc w:val="center"/>
        <w:rPr>
          <w:rFonts w:ascii="黑体" w:eastAsia="黑体"/>
          <w:color w:val="000000"/>
          <w:sz w:val="32"/>
          <w:szCs w:val="32"/>
        </w:rPr>
      </w:pPr>
    </w:p>
    <w:p w14:paraId="12912601">
      <w:pPr>
        <w:pStyle w:val="23"/>
        <w:adjustRightInd w:val="0"/>
        <w:snapToGrid w:val="0"/>
        <w:spacing w:line="360" w:lineRule="auto"/>
        <w:jc w:val="center"/>
        <w:rPr>
          <w:rFonts w:ascii="华文中宋" w:hAnsi="华文中宋" w:eastAsia="华文中宋"/>
          <w:bCs/>
          <w:sz w:val="72"/>
          <w:szCs w:val="72"/>
        </w:rPr>
      </w:pPr>
      <w:r>
        <w:rPr>
          <w:rFonts w:hint="eastAsia" w:ascii="华文中宋" w:hAnsi="华文中宋" w:eastAsia="华文中宋"/>
          <w:bCs/>
          <w:sz w:val="72"/>
          <w:szCs w:val="72"/>
        </w:rPr>
        <w:t>政府采购</w:t>
      </w:r>
    </w:p>
    <w:p w14:paraId="5EB74AEA">
      <w:pPr>
        <w:adjustRightInd w:val="0"/>
        <w:snapToGrid w:val="0"/>
        <w:spacing w:line="360" w:lineRule="auto"/>
        <w:jc w:val="center"/>
        <w:rPr>
          <w:rFonts w:asciiTheme="minorEastAsia" w:hAnsiTheme="minorEastAsia" w:eastAsiaTheme="minorEastAsia"/>
          <w:b/>
          <w:bCs/>
          <w:sz w:val="84"/>
          <w:szCs w:val="84"/>
        </w:rPr>
      </w:pPr>
      <w:r>
        <w:rPr>
          <w:rFonts w:hint="eastAsia" w:asciiTheme="minorEastAsia" w:hAnsiTheme="minorEastAsia" w:eastAsiaTheme="minorEastAsia"/>
          <w:b/>
          <w:bCs/>
          <w:sz w:val="84"/>
          <w:szCs w:val="84"/>
        </w:rPr>
        <w:t>投 标 文 件</w:t>
      </w:r>
    </w:p>
    <w:p w14:paraId="0E478EFE">
      <w:pPr>
        <w:pStyle w:val="3"/>
        <w:adjustRightInd w:val="0"/>
        <w:snapToGrid w:val="0"/>
        <w:jc w:val="center"/>
        <w:rPr>
          <w:rFonts w:ascii="黑体" w:hAnsi="黑体" w:eastAsia="黑体"/>
          <w:color w:val="000000"/>
          <w:sz w:val="44"/>
          <w:szCs w:val="44"/>
        </w:rPr>
      </w:pPr>
      <w:bookmarkStart w:id="174" w:name="_Toc3529"/>
      <w:bookmarkStart w:id="175" w:name="_Toc23692"/>
      <w:bookmarkStart w:id="176" w:name="_Toc10663"/>
      <w:bookmarkStart w:id="177" w:name="_Toc29913960"/>
      <w:r>
        <w:rPr>
          <w:rFonts w:hint="eastAsia" w:ascii="黑体" w:hAnsi="黑体" w:eastAsia="黑体"/>
          <w:color w:val="000000"/>
          <w:sz w:val="44"/>
          <w:szCs w:val="44"/>
        </w:rPr>
        <w:t>第二部分 商务技术文件</w:t>
      </w:r>
      <w:bookmarkEnd w:id="174"/>
      <w:bookmarkEnd w:id="175"/>
      <w:bookmarkEnd w:id="176"/>
      <w:bookmarkEnd w:id="177"/>
    </w:p>
    <w:p w14:paraId="65AA865C">
      <w:pPr>
        <w:adjustRightInd w:val="0"/>
        <w:snapToGrid w:val="0"/>
        <w:spacing w:line="360" w:lineRule="auto"/>
        <w:rPr>
          <w:rFonts w:asciiTheme="minorEastAsia" w:hAnsiTheme="minorEastAsia" w:eastAsiaTheme="minorEastAsia"/>
          <w:color w:val="000000"/>
          <w:sz w:val="32"/>
          <w:szCs w:val="32"/>
        </w:rPr>
      </w:pPr>
    </w:p>
    <w:p w14:paraId="5E8FE399">
      <w:pPr>
        <w:pStyle w:val="23"/>
        <w:adjustRightInd w:val="0"/>
        <w:snapToGrid w:val="0"/>
        <w:spacing w:line="360" w:lineRule="auto"/>
        <w:ind w:firstLine="1988" w:firstLineChars="660"/>
        <w:rPr>
          <w:rFonts w:asciiTheme="minorEastAsia" w:hAnsiTheme="minorEastAsia" w:eastAsiaTheme="minorEastAsia"/>
          <w:b/>
          <w:bCs/>
          <w:sz w:val="30"/>
          <w:szCs w:val="30"/>
        </w:rPr>
      </w:pPr>
    </w:p>
    <w:p w14:paraId="257D9386">
      <w:pPr>
        <w:pStyle w:val="23"/>
        <w:adjustRightInd w:val="0"/>
        <w:snapToGrid w:val="0"/>
        <w:spacing w:line="360" w:lineRule="auto"/>
        <w:ind w:firstLine="1988" w:firstLineChars="660"/>
        <w:rPr>
          <w:rFonts w:asciiTheme="minorEastAsia" w:hAnsiTheme="minorEastAsia" w:eastAsiaTheme="minorEastAsia"/>
          <w:b/>
          <w:bCs/>
          <w:sz w:val="30"/>
          <w:szCs w:val="30"/>
          <w:u w:val="single"/>
        </w:rPr>
      </w:pPr>
      <w:r>
        <w:rPr>
          <w:rFonts w:hint="eastAsia" w:asciiTheme="minorEastAsia" w:hAnsiTheme="minorEastAsia" w:eastAsiaTheme="minorEastAsia"/>
          <w:b/>
          <w:bCs/>
          <w:sz w:val="30"/>
          <w:szCs w:val="30"/>
        </w:rPr>
        <w:t>采购项目名称:</w:t>
      </w:r>
      <w:r>
        <w:rPr>
          <w:rFonts w:hint="eastAsia" w:asciiTheme="minorEastAsia" w:hAnsiTheme="minorEastAsia" w:eastAsiaTheme="minorEastAsia"/>
          <w:b/>
          <w:bCs/>
          <w:sz w:val="30"/>
          <w:szCs w:val="30"/>
          <w:u w:val="single"/>
        </w:rPr>
        <w:t xml:space="preserve">                       </w:t>
      </w:r>
    </w:p>
    <w:p w14:paraId="35620012">
      <w:pPr>
        <w:pStyle w:val="23"/>
        <w:adjustRightInd w:val="0"/>
        <w:snapToGrid w:val="0"/>
        <w:spacing w:line="360" w:lineRule="auto"/>
        <w:ind w:firstLine="1988" w:firstLineChars="660"/>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采   购   人：</w:t>
      </w:r>
      <w:r>
        <w:rPr>
          <w:rFonts w:hint="eastAsia" w:asciiTheme="minorEastAsia" w:hAnsiTheme="minorEastAsia" w:eastAsiaTheme="minorEastAsia"/>
          <w:b/>
          <w:bCs/>
          <w:sz w:val="30"/>
          <w:szCs w:val="30"/>
          <w:u w:val="single"/>
        </w:rPr>
        <w:t xml:space="preserve">                       </w:t>
      </w:r>
    </w:p>
    <w:p w14:paraId="54160847">
      <w:pPr>
        <w:pStyle w:val="23"/>
        <w:adjustRightInd w:val="0"/>
        <w:snapToGrid w:val="0"/>
        <w:spacing w:line="360" w:lineRule="auto"/>
        <w:ind w:firstLine="1988" w:firstLineChars="660"/>
        <w:rPr>
          <w:rFonts w:asciiTheme="minorEastAsia" w:hAnsiTheme="minorEastAsia" w:eastAsiaTheme="minorEastAsia"/>
          <w:b/>
          <w:bCs/>
          <w:sz w:val="30"/>
          <w:szCs w:val="30"/>
          <w:u w:val="single"/>
        </w:rPr>
      </w:pPr>
      <w:r>
        <w:rPr>
          <w:rFonts w:hint="eastAsia" w:asciiTheme="minorEastAsia" w:hAnsiTheme="minorEastAsia" w:eastAsiaTheme="minorEastAsia"/>
          <w:b/>
          <w:bCs/>
          <w:sz w:val="30"/>
          <w:szCs w:val="30"/>
        </w:rPr>
        <w:t>政府采购编号:</w:t>
      </w:r>
      <w:r>
        <w:rPr>
          <w:rFonts w:hint="eastAsia" w:asciiTheme="minorEastAsia" w:hAnsiTheme="minorEastAsia" w:eastAsiaTheme="minorEastAsia"/>
          <w:b/>
          <w:bCs/>
          <w:sz w:val="30"/>
          <w:szCs w:val="30"/>
          <w:u w:val="single"/>
        </w:rPr>
        <w:t xml:space="preserve">                       </w:t>
      </w:r>
    </w:p>
    <w:p w14:paraId="7D4F7FDD">
      <w:pPr>
        <w:pStyle w:val="23"/>
        <w:adjustRightInd w:val="0"/>
        <w:snapToGrid w:val="0"/>
        <w:spacing w:line="360" w:lineRule="auto"/>
        <w:ind w:firstLine="1988" w:firstLineChars="660"/>
        <w:rPr>
          <w:rFonts w:asciiTheme="minorEastAsia" w:hAnsiTheme="minorEastAsia" w:eastAsiaTheme="minorEastAsia"/>
          <w:b/>
          <w:bCs/>
          <w:sz w:val="30"/>
          <w:szCs w:val="30"/>
          <w:u w:val="single"/>
        </w:rPr>
      </w:pPr>
      <w:r>
        <w:rPr>
          <w:rFonts w:hint="eastAsia" w:asciiTheme="minorEastAsia" w:hAnsiTheme="minorEastAsia" w:eastAsiaTheme="minorEastAsia"/>
          <w:b/>
          <w:bCs/>
          <w:sz w:val="30"/>
          <w:szCs w:val="30"/>
        </w:rPr>
        <w:t>采购代理编号:</w:t>
      </w:r>
      <w:r>
        <w:rPr>
          <w:rFonts w:hint="eastAsia" w:asciiTheme="minorEastAsia" w:hAnsiTheme="minorEastAsia" w:eastAsiaTheme="minorEastAsia"/>
          <w:b/>
          <w:bCs/>
          <w:sz w:val="30"/>
          <w:szCs w:val="30"/>
          <w:u w:val="single"/>
        </w:rPr>
        <w:t xml:space="preserve">                       </w:t>
      </w:r>
    </w:p>
    <w:p w14:paraId="3390A4B3">
      <w:pPr>
        <w:pStyle w:val="23"/>
        <w:adjustRightInd w:val="0"/>
        <w:snapToGrid w:val="0"/>
        <w:spacing w:line="360" w:lineRule="auto"/>
        <w:ind w:firstLine="1988" w:firstLineChars="660"/>
        <w:rPr>
          <w:rFonts w:asciiTheme="minorEastAsia" w:hAnsiTheme="minorEastAsia" w:eastAsiaTheme="minorEastAsia"/>
          <w:b/>
          <w:bCs/>
          <w:sz w:val="30"/>
          <w:szCs w:val="30"/>
          <w:u w:val="single"/>
        </w:rPr>
      </w:pPr>
      <w:r>
        <w:rPr>
          <w:rFonts w:hint="eastAsia" w:asciiTheme="minorEastAsia" w:hAnsiTheme="minorEastAsia" w:eastAsiaTheme="minorEastAsia"/>
          <w:b/>
          <w:bCs/>
          <w:sz w:val="30"/>
          <w:szCs w:val="30"/>
        </w:rPr>
        <w:t>采购代理机构：</w:t>
      </w:r>
      <w:r>
        <w:rPr>
          <w:rFonts w:hint="eastAsia" w:asciiTheme="minorEastAsia" w:hAnsiTheme="minorEastAsia" w:eastAsiaTheme="minorEastAsia"/>
          <w:b/>
          <w:bCs/>
          <w:sz w:val="30"/>
          <w:szCs w:val="30"/>
          <w:u w:val="single"/>
        </w:rPr>
        <w:t xml:space="preserve">                     </w:t>
      </w:r>
    </w:p>
    <w:p w14:paraId="0016BD41">
      <w:pPr>
        <w:adjustRightInd w:val="0"/>
        <w:snapToGrid w:val="0"/>
        <w:spacing w:line="360" w:lineRule="auto"/>
        <w:rPr>
          <w:rFonts w:asciiTheme="minorEastAsia" w:hAnsiTheme="minorEastAsia" w:eastAsiaTheme="minorEastAsia"/>
          <w:color w:val="000000"/>
          <w:sz w:val="30"/>
          <w:szCs w:val="30"/>
        </w:rPr>
      </w:pPr>
    </w:p>
    <w:p w14:paraId="7CD5311F">
      <w:pPr>
        <w:adjustRightInd w:val="0"/>
        <w:snapToGrid w:val="0"/>
        <w:spacing w:line="360" w:lineRule="auto"/>
        <w:rPr>
          <w:rFonts w:asciiTheme="minorEastAsia" w:hAnsiTheme="minorEastAsia" w:eastAsiaTheme="minorEastAsia"/>
          <w:color w:val="000000"/>
          <w:sz w:val="30"/>
          <w:szCs w:val="30"/>
        </w:rPr>
      </w:pPr>
    </w:p>
    <w:p w14:paraId="359E763F">
      <w:pPr>
        <w:adjustRightInd w:val="0"/>
        <w:snapToGrid w:val="0"/>
        <w:spacing w:line="360" w:lineRule="auto"/>
        <w:rPr>
          <w:rFonts w:asciiTheme="minorEastAsia" w:hAnsiTheme="minorEastAsia" w:eastAsiaTheme="minorEastAsia"/>
          <w:color w:val="000000"/>
          <w:sz w:val="30"/>
          <w:szCs w:val="30"/>
        </w:rPr>
      </w:pPr>
    </w:p>
    <w:p w14:paraId="2B2906B9">
      <w:pPr>
        <w:adjustRightInd w:val="0"/>
        <w:snapToGrid w:val="0"/>
        <w:spacing w:line="360" w:lineRule="auto"/>
        <w:rPr>
          <w:rFonts w:asciiTheme="minorEastAsia" w:hAnsiTheme="minorEastAsia" w:eastAsiaTheme="minorEastAsia"/>
          <w:color w:val="000000"/>
          <w:sz w:val="30"/>
          <w:szCs w:val="30"/>
        </w:rPr>
      </w:pPr>
    </w:p>
    <w:p w14:paraId="6CFFB995">
      <w:pPr>
        <w:adjustRightInd w:val="0"/>
        <w:snapToGrid w:val="0"/>
        <w:spacing w:line="360" w:lineRule="auto"/>
        <w:ind w:left="1273" w:leftChars="606" w:firstLine="2"/>
        <w:rPr>
          <w:rFonts w:asciiTheme="minorEastAsia" w:hAnsiTheme="minorEastAsia" w:eastAsiaTheme="minorEastAsia"/>
          <w:color w:val="000000"/>
          <w:sz w:val="32"/>
          <w:szCs w:val="32"/>
          <w:u w:val="single"/>
        </w:rPr>
      </w:pPr>
      <w:r>
        <w:rPr>
          <w:rFonts w:hint="eastAsia" w:asciiTheme="minorEastAsia" w:hAnsiTheme="minorEastAsia" w:eastAsiaTheme="minorEastAsia"/>
          <w:color w:val="000000"/>
          <w:sz w:val="32"/>
          <w:szCs w:val="32"/>
        </w:rPr>
        <w:t>投标人</w:t>
      </w:r>
      <w:r>
        <w:rPr>
          <w:rFonts w:hint="eastAsia" w:asciiTheme="minorEastAsia" w:hAnsiTheme="minorEastAsia" w:eastAsiaTheme="minorEastAsia"/>
          <w:color w:val="000000"/>
          <w:sz w:val="32"/>
          <w:szCs w:val="32"/>
          <w:u w:val="single"/>
        </w:rPr>
        <w:t xml:space="preserve">                         </w:t>
      </w:r>
    </w:p>
    <w:p w14:paraId="4A53E66C">
      <w:pPr>
        <w:adjustRightInd w:val="0"/>
        <w:snapToGrid w:val="0"/>
        <w:spacing w:line="360" w:lineRule="auto"/>
        <w:jc w:val="center"/>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年  月  日</w:t>
      </w:r>
    </w:p>
    <w:p w14:paraId="74197218">
      <w:pPr>
        <w:pStyle w:val="4"/>
        <w:adjustRightInd w:val="0"/>
        <w:snapToGrid w:val="0"/>
        <w:spacing w:before="0" w:after="0" w:line="360" w:lineRule="auto"/>
        <w:jc w:val="center"/>
        <w:rPr>
          <w:rFonts w:ascii="黑体" w:hAnsi="宋体" w:eastAsia="黑体"/>
          <w:sz w:val="28"/>
          <w:szCs w:val="28"/>
        </w:rPr>
      </w:pPr>
      <w:bookmarkStart w:id="178" w:name="_Toc29913961"/>
      <w:bookmarkStart w:id="179" w:name="_Toc11332"/>
      <w:bookmarkStart w:id="180" w:name="_Toc9352"/>
      <w:r>
        <w:rPr>
          <w:rFonts w:hint="eastAsia" w:ascii="黑体" w:hAnsi="宋体" w:eastAsia="黑体"/>
          <w:sz w:val="28"/>
          <w:szCs w:val="28"/>
          <w:lang w:eastAsia="zh-CN"/>
        </w:rPr>
        <w:t>五</w:t>
      </w:r>
      <w:r>
        <w:rPr>
          <w:rFonts w:ascii="黑体" w:hAnsi="宋体" w:eastAsia="黑体"/>
          <w:sz w:val="28"/>
          <w:szCs w:val="28"/>
        </w:rPr>
        <w:t>、</w:t>
      </w:r>
      <w:r>
        <w:rPr>
          <w:rFonts w:hint="eastAsia" w:ascii="黑体" w:hAnsi="宋体" w:eastAsia="黑体"/>
          <w:sz w:val="28"/>
          <w:szCs w:val="28"/>
        </w:rPr>
        <w:t>投标函</w:t>
      </w:r>
      <w:bookmarkEnd w:id="178"/>
      <w:bookmarkEnd w:id="179"/>
      <w:bookmarkEnd w:id="180"/>
    </w:p>
    <w:p w14:paraId="24C0EA44">
      <w:pPr>
        <w:adjustRightInd w:val="0"/>
        <w:snapToGrid w:val="0"/>
        <w:spacing w:before="156" w:beforeLines="50" w:line="360" w:lineRule="auto"/>
        <w:rPr>
          <w:rFonts w:asciiTheme="minorEastAsia" w:hAnsiTheme="minorEastAsia" w:eastAsiaTheme="minorEastAsia"/>
          <w:szCs w:val="21"/>
        </w:rPr>
      </w:pPr>
      <w:r>
        <w:rPr>
          <w:rFonts w:hint="eastAsia" w:asciiTheme="minorEastAsia" w:hAnsiTheme="minorEastAsia" w:eastAsiaTheme="minorEastAsia"/>
          <w:szCs w:val="21"/>
        </w:rPr>
        <w:t>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（采购人、采购代理机构）：</w:t>
      </w:r>
    </w:p>
    <w:p w14:paraId="3E8A508D">
      <w:pPr>
        <w:adjustRightInd w:val="0"/>
        <w:snapToGrid w:val="0"/>
        <w:spacing w:before="156" w:beforeLines="50" w:line="360" w:lineRule="auto"/>
        <w:ind w:firstLine="435"/>
        <w:rPr>
          <w:rFonts w:asciiTheme="minorEastAsia" w:hAnsiTheme="minorEastAsia" w:eastAsiaTheme="minorEastAsia"/>
          <w:szCs w:val="21"/>
          <w:highlight w:val="none"/>
        </w:rPr>
      </w:pPr>
      <w:r>
        <w:rPr>
          <w:rFonts w:hint="eastAsia" w:asciiTheme="minorEastAsia" w:hAnsiTheme="minorEastAsia" w:eastAsiaTheme="minorEastAsia"/>
          <w:szCs w:val="21"/>
        </w:rPr>
        <w:t>根据贵方为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（项目名称）的投标邀请（</w:t>
      </w:r>
      <w:r>
        <w:rPr>
          <w:rFonts w:hint="eastAsia" w:asciiTheme="minorEastAsia" w:hAnsiTheme="minorEastAsia" w:eastAsiaTheme="minorEastAsia"/>
        </w:rPr>
        <w:t>政府</w:t>
      </w:r>
      <w:r>
        <w:rPr>
          <w:rFonts w:hint="eastAsia" w:asciiTheme="minorEastAsia" w:hAnsiTheme="minorEastAsia" w:eastAsiaTheme="minorEastAsia"/>
          <w:iCs/>
        </w:rPr>
        <w:t>采购编号：</w:t>
      </w:r>
      <w:r>
        <w:rPr>
          <w:rFonts w:hint="eastAsia" w:asciiTheme="minorEastAsia" w:hAnsiTheme="minorEastAsia" w:eastAsiaTheme="minorEastAsia"/>
          <w:iCs/>
          <w:u w:val="single"/>
        </w:rPr>
        <w:t xml:space="preserve">      </w:t>
      </w:r>
      <w:r>
        <w:rPr>
          <w:rFonts w:hint="eastAsia" w:asciiTheme="minorEastAsia" w:hAnsiTheme="minorEastAsia" w:eastAsiaTheme="minorEastAsia"/>
          <w:iCs/>
        </w:rPr>
        <w:t xml:space="preserve"> ，</w:t>
      </w:r>
      <w:r>
        <w:rPr>
          <w:rFonts w:hint="eastAsia" w:asciiTheme="minorEastAsia" w:hAnsiTheme="minorEastAsia" w:eastAsiaTheme="minorEastAsia"/>
          <w:szCs w:val="21"/>
        </w:rPr>
        <w:t>采购代理编号：</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），签字代表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（姓名、职务）经正式授权并代表投标人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（投标人名</w:t>
      </w:r>
      <w:r>
        <w:rPr>
          <w:rFonts w:hint="eastAsia" w:asciiTheme="minorEastAsia" w:hAnsiTheme="minorEastAsia" w:eastAsiaTheme="minorEastAsia"/>
          <w:szCs w:val="21"/>
          <w:highlight w:val="none"/>
        </w:rPr>
        <w:t>称）提交包含下述内容的电子投标文件一份至</w:t>
      </w:r>
      <w:r>
        <w:rPr>
          <w:rFonts w:hint="eastAsia" w:asciiTheme="minorEastAsia" w:hAnsiTheme="minorEastAsia" w:eastAsiaTheme="minorEastAsia"/>
          <w:szCs w:val="21"/>
          <w:highlight w:val="none"/>
          <w:lang w:eastAsia="zh-CN"/>
        </w:rPr>
        <w:t>郴州市</w:t>
      </w:r>
      <w:r>
        <w:rPr>
          <w:rFonts w:hint="eastAsia" w:asciiTheme="minorEastAsia" w:hAnsiTheme="minorEastAsia" w:eastAsiaTheme="minorEastAsia"/>
          <w:szCs w:val="21"/>
          <w:highlight w:val="none"/>
        </w:rPr>
        <w:t>公共资源交易中心政府采购电子交易系统，参加</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项目第</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包投标，并在此声明，所递交的投标文件内容合法、完整、真实。</w:t>
      </w:r>
    </w:p>
    <w:p w14:paraId="345B7BBF">
      <w:pPr>
        <w:adjustRightInd w:val="0"/>
        <w:snapToGrid w:val="0"/>
        <w:spacing w:before="156" w:beforeLines="50" w:line="360" w:lineRule="auto"/>
        <w:ind w:firstLine="422" w:firstLineChars="200"/>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第一部分 资格证明文件</w:t>
      </w:r>
    </w:p>
    <w:p w14:paraId="13898138">
      <w:pPr>
        <w:adjustRightInd w:val="0"/>
        <w:snapToGrid w:val="0"/>
        <w:spacing w:before="156" w:beforeLines="50"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一、开标一览表</w:t>
      </w:r>
    </w:p>
    <w:p w14:paraId="2C2556B4">
      <w:pPr>
        <w:adjustRightInd w:val="0"/>
        <w:snapToGrid w:val="0"/>
        <w:spacing w:before="156" w:beforeLines="50"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lang w:eastAsia="zh-CN"/>
        </w:rPr>
        <w:t>二</w:t>
      </w:r>
      <w:r>
        <w:rPr>
          <w:rFonts w:hint="eastAsia" w:asciiTheme="minorEastAsia" w:hAnsiTheme="minorEastAsia" w:eastAsiaTheme="minorEastAsia"/>
          <w:szCs w:val="21"/>
        </w:rPr>
        <w:t>、法定代表人（单位负责人）身份证明或授权委托书</w:t>
      </w:r>
    </w:p>
    <w:p w14:paraId="52665F10">
      <w:pPr>
        <w:adjustRightInd w:val="0"/>
        <w:snapToGrid w:val="0"/>
        <w:spacing w:before="156" w:beforeLines="50"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lang w:eastAsia="zh-CN"/>
        </w:rPr>
        <w:t>三</w:t>
      </w:r>
      <w:r>
        <w:rPr>
          <w:rFonts w:hint="eastAsia" w:asciiTheme="minorEastAsia" w:hAnsiTheme="minorEastAsia" w:eastAsiaTheme="minorEastAsia"/>
          <w:szCs w:val="21"/>
        </w:rPr>
        <w:t>、投标人提供的资格证明文件</w:t>
      </w:r>
    </w:p>
    <w:p w14:paraId="1C7983A4">
      <w:pPr>
        <w:adjustRightInd w:val="0"/>
        <w:snapToGrid w:val="0"/>
        <w:spacing w:before="156" w:beforeLines="50"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第二部分 商务技术文件</w:t>
      </w:r>
    </w:p>
    <w:p w14:paraId="6D5A15EA">
      <w:pPr>
        <w:adjustRightInd w:val="0"/>
        <w:snapToGrid w:val="0"/>
        <w:spacing w:before="156" w:beforeLines="50"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lang w:eastAsia="zh-CN"/>
        </w:rPr>
        <w:t>四</w:t>
      </w:r>
      <w:r>
        <w:rPr>
          <w:rFonts w:hint="eastAsia" w:asciiTheme="minorEastAsia" w:hAnsiTheme="minorEastAsia" w:eastAsiaTheme="minorEastAsia"/>
          <w:szCs w:val="21"/>
        </w:rPr>
        <w:t>、投标函</w:t>
      </w:r>
    </w:p>
    <w:p w14:paraId="2B415DB9">
      <w:pPr>
        <w:adjustRightInd w:val="0"/>
        <w:snapToGrid w:val="0"/>
        <w:spacing w:before="156" w:beforeLines="50"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lang w:eastAsia="zh-CN"/>
        </w:rPr>
        <w:t>五</w:t>
      </w:r>
      <w:r>
        <w:rPr>
          <w:rFonts w:hint="eastAsia" w:asciiTheme="minorEastAsia" w:hAnsiTheme="minorEastAsia" w:eastAsiaTheme="minorEastAsia"/>
          <w:szCs w:val="21"/>
        </w:rPr>
        <w:t>、分项报价</w:t>
      </w:r>
    </w:p>
    <w:p w14:paraId="263CDB45">
      <w:pPr>
        <w:adjustRightInd w:val="0"/>
        <w:snapToGrid w:val="0"/>
        <w:spacing w:before="156" w:beforeLines="50"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lang w:eastAsia="zh-CN"/>
        </w:rPr>
        <w:t>六</w:t>
      </w:r>
      <w:r>
        <w:rPr>
          <w:rFonts w:hint="eastAsia" w:asciiTheme="minorEastAsia" w:hAnsiTheme="minorEastAsia" w:eastAsiaTheme="minorEastAsia"/>
          <w:szCs w:val="21"/>
        </w:rPr>
        <w:t>、采购需求响应</w:t>
      </w:r>
    </w:p>
    <w:p w14:paraId="31CFC089">
      <w:pPr>
        <w:adjustRightInd w:val="0"/>
        <w:snapToGrid w:val="0"/>
        <w:spacing w:before="156" w:beforeLines="50"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lang w:eastAsia="zh-CN"/>
        </w:rPr>
        <w:t>七</w:t>
      </w:r>
      <w:r>
        <w:rPr>
          <w:rFonts w:hint="eastAsia" w:asciiTheme="minorEastAsia" w:hAnsiTheme="minorEastAsia" w:eastAsiaTheme="minorEastAsia"/>
          <w:szCs w:val="21"/>
        </w:rPr>
        <w:t>、合同条款偏离表</w:t>
      </w:r>
    </w:p>
    <w:p w14:paraId="0ED5541A">
      <w:pPr>
        <w:adjustRightInd w:val="0"/>
        <w:snapToGrid w:val="0"/>
        <w:spacing w:before="156" w:beforeLines="50"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lang w:eastAsia="zh-CN"/>
        </w:rPr>
        <w:t>八</w:t>
      </w:r>
      <w:r>
        <w:rPr>
          <w:rFonts w:hint="eastAsia" w:asciiTheme="minorEastAsia" w:hAnsiTheme="minorEastAsia" w:eastAsiaTheme="minorEastAsia"/>
          <w:szCs w:val="21"/>
        </w:rPr>
        <w:t>、采购需求偏离表</w:t>
      </w:r>
    </w:p>
    <w:p w14:paraId="22E16ED3">
      <w:pPr>
        <w:adjustRightInd w:val="0"/>
        <w:snapToGrid w:val="0"/>
        <w:spacing w:before="156" w:beforeLines="50"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lang w:eastAsia="zh-CN"/>
        </w:rPr>
        <w:t>九</w:t>
      </w:r>
      <w:r>
        <w:rPr>
          <w:rFonts w:hint="eastAsia" w:asciiTheme="minorEastAsia" w:hAnsiTheme="minorEastAsia" w:eastAsiaTheme="minorEastAsia"/>
          <w:szCs w:val="21"/>
        </w:rPr>
        <w:t>、享受政府采购政策优惠的证明资料</w:t>
      </w:r>
    </w:p>
    <w:p w14:paraId="7C893A36">
      <w:pPr>
        <w:adjustRightInd w:val="0"/>
        <w:snapToGrid w:val="0"/>
        <w:spacing w:before="156" w:beforeLines="50"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十</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投标服务符合招标文件规定的证明文件</w:t>
      </w:r>
    </w:p>
    <w:p w14:paraId="2C7ABE05">
      <w:pPr>
        <w:adjustRightInd w:val="0"/>
        <w:snapToGrid w:val="0"/>
        <w:spacing w:before="156" w:beforeLines="50"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十</w:t>
      </w:r>
      <w:r>
        <w:rPr>
          <w:rFonts w:hint="eastAsia" w:asciiTheme="minorEastAsia" w:hAnsiTheme="minorEastAsia" w:eastAsiaTheme="minorEastAsia"/>
          <w:szCs w:val="21"/>
          <w:lang w:eastAsia="zh-CN"/>
        </w:rPr>
        <w:t>一</w:t>
      </w:r>
      <w:r>
        <w:rPr>
          <w:rFonts w:hint="eastAsia" w:asciiTheme="minorEastAsia" w:hAnsiTheme="minorEastAsia" w:eastAsiaTheme="minorEastAsia"/>
          <w:szCs w:val="21"/>
        </w:rPr>
        <w:t>、投标人认为需提供的其他资料</w:t>
      </w:r>
    </w:p>
    <w:p w14:paraId="739A2737">
      <w:pPr>
        <w:adjustRightInd w:val="0"/>
        <w:snapToGrid w:val="0"/>
        <w:spacing w:before="156" w:beforeLines="5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在此，签字代表宣布同意如下：</w:t>
      </w:r>
    </w:p>
    <w:p w14:paraId="5D420A9D">
      <w:pPr>
        <w:adjustRightInd w:val="0"/>
        <w:snapToGrid w:val="0"/>
        <w:spacing w:before="156" w:beforeLines="5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1、投标人严格按照招标文件的规定报价，见《开标一览表》。</w:t>
      </w:r>
    </w:p>
    <w:p w14:paraId="5351241C">
      <w:pPr>
        <w:adjustRightInd w:val="0"/>
        <w:snapToGrid w:val="0"/>
        <w:spacing w:before="156" w:beforeLines="5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2、投标人将按招标文件的规定履行合同责任和义务。</w:t>
      </w:r>
    </w:p>
    <w:p w14:paraId="5E1CCBCB">
      <w:pPr>
        <w:adjustRightInd w:val="0"/>
        <w:snapToGrid w:val="0"/>
        <w:spacing w:before="156" w:beforeLines="5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3、投标人已详细审查招标文件。我们完全理解并同意放弃对这方面有不明及误解的权力。</w:t>
      </w:r>
    </w:p>
    <w:p w14:paraId="0327BDB0">
      <w:pPr>
        <w:adjustRightInd w:val="0"/>
        <w:snapToGrid w:val="0"/>
        <w:spacing w:before="156" w:beforeLines="50" w:line="360" w:lineRule="auto"/>
        <w:ind w:firstLine="420" w:firstLineChars="200"/>
        <w:rPr>
          <w:rFonts w:asciiTheme="minorEastAsia" w:hAnsiTheme="minorEastAsia" w:eastAsiaTheme="minorEastAsia"/>
        </w:rPr>
      </w:pPr>
      <w:r>
        <w:rPr>
          <w:rFonts w:hint="eastAsia" w:asciiTheme="minorEastAsia" w:hAnsiTheme="minorEastAsia" w:eastAsiaTheme="minorEastAsia"/>
          <w:szCs w:val="21"/>
        </w:rPr>
        <w:t>4、本投标有效期为自招标文件规定的提交投标文件截止之日起</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个日历日。在投标有效期内，</w:t>
      </w:r>
      <w:r>
        <w:rPr>
          <w:rFonts w:hint="eastAsia" w:asciiTheme="minorEastAsia" w:hAnsiTheme="minorEastAsia" w:eastAsiaTheme="minorEastAsia"/>
        </w:rPr>
        <w:t>投标人同意遵守本</w:t>
      </w:r>
      <w:r>
        <w:rPr>
          <w:rFonts w:hint="eastAsia" w:asciiTheme="minorEastAsia" w:hAnsiTheme="minorEastAsia" w:eastAsiaTheme="minorEastAsia"/>
          <w:szCs w:val="21"/>
        </w:rPr>
        <w:t>投标</w:t>
      </w:r>
      <w:r>
        <w:rPr>
          <w:rFonts w:hint="eastAsia" w:asciiTheme="minorEastAsia" w:hAnsiTheme="minorEastAsia" w:eastAsiaTheme="minorEastAsia"/>
        </w:rPr>
        <w:t>文件中的承诺且在此期限期满之前</w:t>
      </w:r>
      <w:r>
        <w:rPr>
          <w:rFonts w:hint="eastAsia" w:asciiTheme="minorEastAsia" w:hAnsiTheme="minorEastAsia" w:eastAsiaTheme="minorEastAsia"/>
          <w:szCs w:val="21"/>
        </w:rPr>
        <w:t>投标</w:t>
      </w:r>
      <w:r>
        <w:rPr>
          <w:rFonts w:hint="eastAsia" w:asciiTheme="minorEastAsia" w:hAnsiTheme="minorEastAsia" w:eastAsiaTheme="minorEastAsia"/>
        </w:rPr>
        <w:t>文件</w:t>
      </w:r>
      <w:r>
        <w:rPr>
          <w:rFonts w:hint="eastAsia" w:asciiTheme="minorEastAsia" w:hAnsiTheme="minorEastAsia" w:eastAsiaTheme="minorEastAsia"/>
          <w:szCs w:val="21"/>
        </w:rPr>
        <w:t>对我方具有法律约束力</w:t>
      </w:r>
      <w:r>
        <w:rPr>
          <w:rFonts w:hint="eastAsia" w:asciiTheme="minorEastAsia" w:hAnsiTheme="minorEastAsia" w:eastAsiaTheme="minorEastAsia"/>
        </w:rPr>
        <w:t>。</w:t>
      </w:r>
    </w:p>
    <w:p w14:paraId="00D9D770">
      <w:pPr>
        <w:adjustRightInd w:val="0"/>
        <w:snapToGrid w:val="0"/>
        <w:spacing w:before="156" w:beforeLines="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szCs w:val="21"/>
        </w:rPr>
        <w:t>同意提供贵方可能要求的与其投标有关的一切数据或资料。</w:t>
      </w:r>
    </w:p>
    <w:p w14:paraId="6659FF01">
      <w:pPr>
        <w:adjustRightInd w:val="0"/>
        <w:snapToGrid w:val="0"/>
        <w:spacing w:before="156" w:beforeLines="5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6、与本投标有关的一切正式往来信函请寄：</w:t>
      </w:r>
    </w:p>
    <w:p w14:paraId="35D25906">
      <w:pPr>
        <w:adjustRightInd w:val="0"/>
        <w:snapToGrid w:val="0"/>
        <w:spacing w:before="156" w:beforeLines="5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地址：</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；邮编：</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；电话：</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；电子邮箱：</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p>
    <w:p w14:paraId="7BBF4E66">
      <w:pPr>
        <w:adjustRightInd w:val="0"/>
        <w:snapToGrid w:val="0"/>
        <w:spacing w:before="156" w:beforeLines="50" w:line="360" w:lineRule="auto"/>
        <w:ind w:firstLine="420" w:firstLineChars="200"/>
        <w:rPr>
          <w:rFonts w:asciiTheme="minorEastAsia" w:hAnsiTheme="minorEastAsia" w:eastAsiaTheme="minorEastAsia"/>
          <w:szCs w:val="21"/>
        </w:rPr>
      </w:pPr>
    </w:p>
    <w:p w14:paraId="147EA0C9">
      <w:pPr>
        <w:pStyle w:val="23"/>
        <w:adjustRightInd w:val="0"/>
        <w:snapToGrid w:val="0"/>
        <w:spacing w:before="156" w:beforeLines="50" w:line="360" w:lineRule="auto"/>
        <w:rPr>
          <w:rFonts w:asciiTheme="minorEastAsia" w:hAnsiTheme="minorEastAsia" w:eastAsiaTheme="minorEastAsia"/>
        </w:rPr>
      </w:pPr>
    </w:p>
    <w:p w14:paraId="4EE4000C">
      <w:pPr>
        <w:pStyle w:val="23"/>
        <w:adjustRightInd w:val="0"/>
        <w:snapToGrid w:val="0"/>
        <w:spacing w:before="156" w:beforeLines="50" w:line="360" w:lineRule="auto"/>
        <w:rPr>
          <w:rFonts w:asciiTheme="minorEastAsia" w:hAnsiTheme="minorEastAsia" w:eastAsiaTheme="minorEastAsia"/>
        </w:rPr>
      </w:pPr>
      <w:r>
        <w:rPr>
          <w:rFonts w:hint="eastAsia" w:asciiTheme="minorEastAsia" w:hAnsiTheme="minorEastAsia" w:eastAsiaTheme="minorEastAsia"/>
        </w:rPr>
        <w:t xml:space="preserve">投标人名称（盖单位电子章）：                       </w:t>
      </w:r>
    </w:p>
    <w:p w14:paraId="280CF8CF">
      <w:pPr>
        <w:adjustRightInd w:val="0"/>
        <w:snapToGrid w:val="0"/>
        <w:spacing w:before="156" w:beforeLines="50" w:line="360" w:lineRule="auto"/>
        <w:rPr>
          <w:rFonts w:asciiTheme="minorEastAsia" w:hAnsiTheme="minorEastAsia" w:eastAsiaTheme="minorEastAsia"/>
          <w:szCs w:val="21"/>
          <w:u w:val="single"/>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Theme="minorEastAsia" w:hAnsiTheme="minorEastAsia" w:eastAsiaTheme="minorEastAsia"/>
          <w:szCs w:val="21"/>
        </w:rPr>
        <w:t>或其授权的代理人</w:t>
      </w:r>
      <w:r>
        <w:rPr>
          <w:rFonts w:hint="eastAsia" w:asciiTheme="minorEastAsia" w:hAnsiTheme="minorEastAsia" w:eastAsiaTheme="minorEastAsia"/>
          <w:szCs w:val="21"/>
          <w:lang w:eastAsia="zh-CN"/>
        </w:rPr>
        <w:t>（电子签章）</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 xml:space="preserve">               </w:t>
      </w:r>
    </w:p>
    <w:p w14:paraId="3177C6B7">
      <w:pPr>
        <w:adjustRightInd w:val="0"/>
        <w:snapToGrid w:val="0"/>
        <w:spacing w:before="156" w:beforeLines="50" w:line="360" w:lineRule="auto"/>
        <w:rPr>
          <w:rFonts w:ascii="黑体" w:hAnsi="宋体" w:eastAsia="黑体"/>
          <w:b/>
          <w:bCs/>
          <w:sz w:val="28"/>
          <w:szCs w:val="28"/>
        </w:rPr>
      </w:pPr>
      <w:r>
        <w:rPr>
          <w:rFonts w:hint="eastAsia" w:asciiTheme="minorEastAsia" w:hAnsiTheme="minorEastAsia" w:eastAsiaTheme="minorEastAsia"/>
          <w:szCs w:val="21"/>
        </w:rPr>
        <w:t>日期：</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r>
        <w:rPr>
          <w:rFonts w:ascii="黑体" w:hAnsi="宋体" w:eastAsia="黑体"/>
          <w:b/>
          <w:bCs/>
          <w:sz w:val="28"/>
          <w:szCs w:val="28"/>
        </w:rPr>
        <w:br w:type="page"/>
      </w:r>
    </w:p>
    <w:p w14:paraId="2DF4FF4D">
      <w:pPr>
        <w:pStyle w:val="4"/>
        <w:adjustRightInd w:val="0"/>
        <w:snapToGrid w:val="0"/>
        <w:spacing w:before="0" w:after="0" w:line="360" w:lineRule="auto"/>
        <w:jc w:val="center"/>
        <w:rPr>
          <w:rFonts w:ascii="黑体" w:hAnsi="宋体" w:eastAsia="黑体"/>
          <w:sz w:val="28"/>
          <w:szCs w:val="28"/>
        </w:rPr>
      </w:pPr>
      <w:bookmarkStart w:id="181" w:name="_Toc10998"/>
      <w:bookmarkStart w:id="182" w:name="_Toc29913962"/>
      <w:bookmarkStart w:id="183" w:name="_Toc8157"/>
      <w:r>
        <w:rPr>
          <w:rFonts w:hint="eastAsia" w:ascii="黑体" w:hAnsi="宋体" w:eastAsia="黑体"/>
          <w:sz w:val="28"/>
          <w:szCs w:val="28"/>
        </w:rPr>
        <w:t>六、分项报价</w:t>
      </w:r>
      <w:bookmarkEnd w:id="181"/>
      <w:bookmarkEnd w:id="182"/>
      <w:bookmarkEnd w:id="183"/>
    </w:p>
    <w:p w14:paraId="6A6DF592">
      <w:pPr>
        <w:pStyle w:val="5"/>
        <w:jc w:val="left"/>
        <w:rPr>
          <w:rFonts w:ascii="黑体" w:cs="微软雅黑" w:hAnsiTheme="minorEastAsia"/>
          <w:b w:val="0"/>
          <w:kern w:val="0"/>
          <w:sz w:val="21"/>
          <w:szCs w:val="21"/>
        </w:rPr>
      </w:pPr>
      <w:bookmarkStart w:id="184" w:name="_Toc13762"/>
      <w:bookmarkStart w:id="185" w:name="_Toc29913963"/>
      <w:bookmarkStart w:id="186" w:name="_Toc2213"/>
      <w:r>
        <w:rPr>
          <w:rFonts w:hint="eastAsia" w:ascii="黑体" w:hAnsi="华文中宋" w:cs="宋体"/>
          <w:b w:val="0"/>
          <w:bCs w:val="0"/>
          <w:spacing w:val="6"/>
          <w:kern w:val="0"/>
          <w:sz w:val="21"/>
          <w:szCs w:val="21"/>
        </w:rPr>
        <w:t xml:space="preserve">附件6-1 </w:t>
      </w:r>
      <w:r>
        <w:rPr>
          <w:rFonts w:hint="eastAsia" w:ascii="黑体" w:cs="微软雅黑" w:hAnsiTheme="minorEastAsia"/>
          <w:b w:val="0"/>
          <w:spacing w:val="-2"/>
          <w:kern w:val="0"/>
          <w:sz w:val="21"/>
          <w:szCs w:val="21"/>
        </w:rPr>
        <w:t>分</w:t>
      </w:r>
      <w:r>
        <w:rPr>
          <w:rFonts w:hint="eastAsia" w:ascii="黑体" w:cs="微软雅黑" w:hAnsiTheme="minorEastAsia"/>
          <w:b w:val="0"/>
          <w:kern w:val="0"/>
          <w:sz w:val="21"/>
          <w:szCs w:val="21"/>
        </w:rPr>
        <w:t>项</w:t>
      </w:r>
      <w:r>
        <w:rPr>
          <w:rFonts w:hint="eastAsia" w:ascii="黑体" w:cs="微软雅黑" w:hAnsiTheme="minorEastAsia"/>
          <w:b w:val="0"/>
          <w:spacing w:val="-2"/>
          <w:kern w:val="0"/>
          <w:sz w:val="21"/>
          <w:szCs w:val="21"/>
        </w:rPr>
        <w:t>报</w:t>
      </w:r>
      <w:r>
        <w:rPr>
          <w:rFonts w:hint="eastAsia" w:ascii="黑体" w:cs="微软雅黑" w:hAnsiTheme="minorEastAsia"/>
          <w:b w:val="0"/>
          <w:kern w:val="0"/>
          <w:sz w:val="21"/>
          <w:szCs w:val="21"/>
        </w:rPr>
        <w:t>价说明</w:t>
      </w:r>
      <w:bookmarkEnd w:id="184"/>
      <w:bookmarkEnd w:id="185"/>
      <w:bookmarkEnd w:id="186"/>
      <w:r>
        <w:rPr>
          <w:rFonts w:hint="eastAsia" w:ascii="黑体" w:cs="微软雅黑" w:hAnsiTheme="minorEastAsia"/>
          <w:b w:val="0"/>
          <w:kern w:val="0"/>
          <w:sz w:val="21"/>
          <w:szCs w:val="21"/>
        </w:rPr>
        <w:t xml:space="preserve">  </w:t>
      </w:r>
    </w:p>
    <w:p w14:paraId="4921F650">
      <w:pPr>
        <w:autoSpaceDE w:val="0"/>
        <w:autoSpaceDN w:val="0"/>
        <w:adjustRightInd w:val="0"/>
        <w:snapToGrid w:val="0"/>
        <w:spacing w:line="360" w:lineRule="auto"/>
        <w:jc w:val="center"/>
        <w:rPr>
          <w:rFonts w:ascii="黑体" w:eastAsia="黑体" w:cs="微软雅黑" w:hAnsiTheme="minorEastAsia"/>
          <w:b/>
          <w:kern w:val="0"/>
          <w:sz w:val="28"/>
          <w:szCs w:val="28"/>
        </w:rPr>
      </w:pPr>
      <w:r>
        <w:rPr>
          <w:rFonts w:hint="eastAsia" w:ascii="黑体" w:eastAsia="黑体" w:cs="微软雅黑" w:hAnsiTheme="minorEastAsia"/>
          <w:b/>
          <w:spacing w:val="-2"/>
          <w:kern w:val="0"/>
          <w:sz w:val="28"/>
          <w:szCs w:val="28"/>
        </w:rPr>
        <w:t>分</w:t>
      </w:r>
      <w:r>
        <w:rPr>
          <w:rFonts w:hint="eastAsia" w:ascii="黑体" w:eastAsia="黑体" w:cs="微软雅黑" w:hAnsiTheme="minorEastAsia"/>
          <w:b/>
          <w:kern w:val="0"/>
          <w:sz w:val="28"/>
          <w:szCs w:val="28"/>
        </w:rPr>
        <w:t>项</w:t>
      </w:r>
      <w:r>
        <w:rPr>
          <w:rFonts w:hint="eastAsia" w:ascii="黑体" w:eastAsia="黑体" w:cs="微软雅黑" w:hAnsiTheme="minorEastAsia"/>
          <w:b/>
          <w:spacing w:val="-2"/>
          <w:kern w:val="0"/>
          <w:sz w:val="28"/>
          <w:szCs w:val="28"/>
        </w:rPr>
        <w:t>报</w:t>
      </w:r>
      <w:r>
        <w:rPr>
          <w:rFonts w:hint="eastAsia" w:ascii="黑体" w:eastAsia="黑体" w:cs="微软雅黑" w:hAnsiTheme="minorEastAsia"/>
          <w:b/>
          <w:kern w:val="0"/>
          <w:sz w:val="28"/>
          <w:szCs w:val="28"/>
        </w:rPr>
        <w:t>价说明</w:t>
      </w:r>
    </w:p>
    <w:p w14:paraId="2C4279BD">
      <w:pPr>
        <w:autoSpaceDE w:val="0"/>
        <w:autoSpaceDN w:val="0"/>
        <w:adjustRightInd w:val="0"/>
        <w:snapToGrid w:val="0"/>
        <w:spacing w:line="360" w:lineRule="auto"/>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kern w:val="0"/>
          <w:szCs w:val="21"/>
        </w:rPr>
        <w:t>备注：投标人应按招标文件第二章相关要求，对本节</w:t>
      </w:r>
      <w:r>
        <w:rPr>
          <w:rFonts w:hint="eastAsia" w:asciiTheme="minorEastAsia" w:hAnsiTheme="minorEastAsia" w:eastAsiaTheme="minorEastAsia"/>
          <w:bCs/>
          <w:szCs w:val="21"/>
        </w:rPr>
        <w:t>“</w:t>
      </w:r>
      <w:r>
        <w:rPr>
          <w:rFonts w:hint="eastAsia" w:cs="微软雅黑" w:asciiTheme="minorEastAsia" w:hAnsiTheme="minorEastAsia" w:eastAsiaTheme="minorEastAsia"/>
          <w:kern w:val="0"/>
          <w:szCs w:val="21"/>
        </w:rPr>
        <w:t>分项报价明细表</w:t>
      </w:r>
      <w:r>
        <w:rPr>
          <w:rFonts w:hint="eastAsia" w:asciiTheme="minorEastAsia" w:hAnsiTheme="minorEastAsia" w:eastAsiaTheme="minorEastAsia"/>
          <w:bCs/>
          <w:szCs w:val="21"/>
        </w:rPr>
        <w:t>”进行</w:t>
      </w:r>
      <w:r>
        <w:rPr>
          <w:rFonts w:hint="eastAsia" w:cs="微软雅黑" w:asciiTheme="minorEastAsia" w:hAnsiTheme="minorEastAsia" w:eastAsiaTheme="minorEastAsia"/>
          <w:kern w:val="0"/>
          <w:szCs w:val="21"/>
        </w:rPr>
        <w:t>编制，并说明。</w:t>
      </w:r>
    </w:p>
    <w:p w14:paraId="2EAE6852"/>
    <w:p w14:paraId="0835814B">
      <w:pPr>
        <w:pStyle w:val="5"/>
        <w:spacing w:after="0" w:line="377" w:lineRule="auto"/>
        <w:jc w:val="left"/>
        <w:rPr>
          <w:rFonts w:ascii="黑体" w:cs="微软雅黑" w:hAnsiTheme="minorEastAsia"/>
          <w:b w:val="0"/>
          <w:kern w:val="0"/>
          <w:position w:val="-3"/>
        </w:rPr>
      </w:pPr>
      <w:bookmarkStart w:id="187" w:name="_Toc29913964"/>
      <w:bookmarkStart w:id="188" w:name="_Toc8675"/>
      <w:bookmarkStart w:id="189" w:name="_Toc20323"/>
      <w:r>
        <w:rPr>
          <w:rFonts w:hint="eastAsia" w:ascii="黑体" w:hAnsi="华文中宋" w:cs="宋体"/>
          <w:b w:val="0"/>
          <w:bCs w:val="0"/>
          <w:spacing w:val="6"/>
          <w:kern w:val="0"/>
          <w:sz w:val="21"/>
          <w:szCs w:val="21"/>
        </w:rPr>
        <w:t xml:space="preserve">附件6-2 </w:t>
      </w:r>
      <w:r>
        <w:rPr>
          <w:rFonts w:hint="eastAsia" w:ascii="黑体" w:cs="微软雅黑" w:hAnsiTheme="minorEastAsia"/>
          <w:b w:val="0"/>
          <w:spacing w:val="-2"/>
          <w:kern w:val="0"/>
          <w:position w:val="-3"/>
          <w:sz w:val="21"/>
          <w:szCs w:val="21"/>
        </w:rPr>
        <w:t>分</w:t>
      </w:r>
      <w:r>
        <w:rPr>
          <w:rFonts w:hint="eastAsia" w:ascii="黑体" w:cs="微软雅黑" w:hAnsiTheme="minorEastAsia"/>
          <w:b w:val="0"/>
          <w:kern w:val="0"/>
          <w:position w:val="-3"/>
          <w:sz w:val="21"/>
          <w:szCs w:val="21"/>
        </w:rPr>
        <w:t>项</w:t>
      </w:r>
      <w:r>
        <w:rPr>
          <w:rFonts w:hint="eastAsia" w:ascii="黑体" w:cs="微软雅黑" w:hAnsiTheme="minorEastAsia"/>
          <w:b w:val="0"/>
          <w:spacing w:val="-2"/>
          <w:kern w:val="0"/>
          <w:position w:val="-3"/>
          <w:sz w:val="21"/>
          <w:szCs w:val="21"/>
        </w:rPr>
        <w:t>报</w:t>
      </w:r>
      <w:r>
        <w:rPr>
          <w:rFonts w:hint="eastAsia" w:ascii="黑体" w:cs="微软雅黑" w:hAnsiTheme="minorEastAsia"/>
          <w:b w:val="0"/>
          <w:kern w:val="0"/>
          <w:position w:val="-3"/>
          <w:sz w:val="21"/>
          <w:szCs w:val="21"/>
        </w:rPr>
        <w:t>价明细表</w:t>
      </w:r>
      <w:bookmarkEnd w:id="187"/>
      <w:r>
        <w:rPr>
          <w:rFonts w:hint="eastAsia" w:ascii="黑体" w:cs="微软雅黑" w:hAnsiTheme="minorEastAsia"/>
          <w:spacing w:val="-2"/>
          <w:kern w:val="0"/>
          <w:position w:val="-3"/>
        </w:rPr>
        <w:t>分</w:t>
      </w:r>
      <w:r>
        <w:rPr>
          <w:rFonts w:hint="eastAsia" w:ascii="黑体" w:cs="微软雅黑" w:hAnsiTheme="minorEastAsia"/>
          <w:kern w:val="0"/>
          <w:position w:val="-3"/>
        </w:rPr>
        <w:t>项</w:t>
      </w:r>
      <w:r>
        <w:rPr>
          <w:rFonts w:hint="eastAsia" w:ascii="黑体" w:cs="微软雅黑" w:hAnsiTheme="minorEastAsia"/>
          <w:spacing w:val="-2"/>
          <w:kern w:val="0"/>
          <w:position w:val="-3"/>
        </w:rPr>
        <w:t>报</w:t>
      </w:r>
      <w:r>
        <w:rPr>
          <w:rFonts w:hint="eastAsia" w:ascii="黑体" w:cs="微软雅黑" w:hAnsiTheme="minorEastAsia"/>
          <w:kern w:val="0"/>
          <w:position w:val="-3"/>
        </w:rPr>
        <w:t>价明细表</w:t>
      </w:r>
      <w:bookmarkEnd w:id="188"/>
      <w:bookmarkEnd w:id="189"/>
    </w:p>
    <w:p w14:paraId="58553C36">
      <w:pPr>
        <w:adjustRightInd w:val="0"/>
        <w:snapToGrid w:val="0"/>
        <w:spacing w:line="360" w:lineRule="auto"/>
        <w:jc w:val="center"/>
        <w:rPr>
          <w:color w:val="0070C0"/>
        </w:rPr>
      </w:pPr>
    </w:p>
    <w:p w14:paraId="2AB07695">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采购代理编号：</w:t>
      </w:r>
      <w:r>
        <w:rPr>
          <w:rFonts w:hint="eastAsia" w:asciiTheme="minorEastAsia" w:hAnsiTheme="minorEastAsia" w:eastAsiaTheme="minorEastAsia"/>
          <w:szCs w:val="21"/>
          <w:u w:val="single"/>
        </w:rPr>
        <w:t>__    ________</w:t>
      </w:r>
      <w:r>
        <w:rPr>
          <w:rFonts w:hint="eastAsia" w:asciiTheme="minorEastAsia" w:hAnsiTheme="minorEastAsia" w:eastAsiaTheme="minorEastAsia"/>
          <w:szCs w:val="21"/>
        </w:rPr>
        <w:t xml:space="preserve">                       项目名称：</w:t>
      </w:r>
      <w:r>
        <w:rPr>
          <w:rFonts w:hint="eastAsia" w:asciiTheme="minorEastAsia" w:hAnsiTheme="minorEastAsia" w:eastAsiaTheme="minorEastAsia"/>
          <w:szCs w:val="21"/>
          <w:u w:val="single"/>
        </w:rPr>
        <w:t>____            ______</w:t>
      </w:r>
      <w:r>
        <w:rPr>
          <w:rFonts w:hint="eastAsia" w:asciiTheme="minorEastAsia" w:hAnsiTheme="minorEastAsia" w:eastAsiaTheme="minorEastAsia"/>
          <w:szCs w:val="21"/>
        </w:rPr>
        <w:t xml:space="preserve"> </w:t>
      </w:r>
    </w:p>
    <w:p w14:paraId="072BAC19">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包号：</w:t>
      </w:r>
      <w:r>
        <w:rPr>
          <w:rFonts w:hint="eastAsia" w:asciiTheme="minorEastAsia" w:hAnsiTheme="minorEastAsia" w:eastAsiaTheme="minorEastAsia"/>
          <w:szCs w:val="21"/>
          <w:u w:val="single"/>
        </w:rPr>
        <w:t xml:space="preserve">__    ________         </w:t>
      </w:r>
      <w:r>
        <w:rPr>
          <w:rFonts w:hint="eastAsia" w:asciiTheme="minorEastAsia" w:hAnsiTheme="minorEastAsia" w:eastAsiaTheme="minorEastAsia"/>
          <w:szCs w:val="21"/>
        </w:rPr>
        <w:t xml:space="preserve">                      包名称：</w:t>
      </w:r>
      <w:r>
        <w:rPr>
          <w:rFonts w:hint="eastAsia" w:asciiTheme="minorEastAsia" w:hAnsiTheme="minorEastAsia" w:eastAsiaTheme="minorEastAsia"/>
          <w:szCs w:val="21"/>
          <w:u w:val="single"/>
        </w:rPr>
        <w:t xml:space="preserve">__    ________  </w:t>
      </w:r>
      <w:r>
        <w:rPr>
          <w:rFonts w:hint="eastAsia" w:asciiTheme="minorEastAsia" w:hAnsiTheme="minorEastAsia" w:eastAsiaTheme="minorEastAsia"/>
          <w:szCs w:val="21"/>
        </w:rPr>
        <w:t xml:space="preserve"> </w:t>
      </w:r>
    </w:p>
    <w:tbl>
      <w:tblPr>
        <w:tblStyle w:val="43"/>
        <w:tblW w:w="8874" w:type="dxa"/>
        <w:tblInd w:w="0" w:type="dxa"/>
        <w:tblLayout w:type="fixed"/>
        <w:tblCellMar>
          <w:top w:w="0" w:type="dxa"/>
          <w:left w:w="0" w:type="dxa"/>
          <w:bottom w:w="0" w:type="dxa"/>
          <w:right w:w="0" w:type="dxa"/>
        </w:tblCellMar>
      </w:tblPr>
      <w:tblGrid>
        <w:gridCol w:w="333"/>
        <w:gridCol w:w="1383"/>
        <w:gridCol w:w="2126"/>
        <w:gridCol w:w="1200"/>
        <w:gridCol w:w="1092"/>
        <w:gridCol w:w="910"/>
        <w:gridCol w:w="916"/>
        <w:gridCol w:w="914"/>
      </w:tblGrid>
      <w:tr w14:paraId="4B829AE5">
        <w:tblPrEx>
          <w:tblCellMar>
            <w:top w:w="0" w:type="dxa"/>
            <w:left w:w="0" w:type="dxa"/>
            <w:bottom w:w="0" w:type="dxa"/>
            <w:right w:w="0" w:type="dxa"/>
          </w:tblCellMar>
        </w:tblPrEx>
        <w:trPr>
          <w:trHeight w:val="415" w:hRule="exact"/>
        </w:trPr>
        <w:tc>
          <w:tcPr>
            <w:tcW w:w="1716" w:type="dxa"/>
            <w:gridSpan w:val="2"/>
            <w:vMerge w:val="restart"/>
            <w:tcBorders>
              <w:top w:val="double" w:color="auto" w:sz="4" w:space="0"/>
              <w:left w:val="double" w:color="auto" w:sz="4" w:space="0"/>
              <w:right w:val="single" w:color="auto" w:sz="6" w:space="0"/>
            </w:tcBorders>
            <w:vAlign w:val="center"/>
          </w:tcPr>
          <w:p w14:paraId="4B2314FD">
            <w:pPr>
              <w:autoSpaceDE w:val="0"/>
              <w:autoSpaceDN w:val="0"/>
              <w:adjustRightInd w:val="0"/>
              <w:snapToGrid w:val="0"/>
              <w:spacing w:line="360" w:lineRule="auto"/>
              <w:ind w:right="-20"/>
              <w:jc w:val="center"/>
              <w:rPr>
                <w:rFonts w:cs="微软雅黑" w:asciiTheme="minorEastAsia" w:hAnsiTheme="minorEastAsia" w:eastAsiaTheme="minorEastAsia"/>
                <w:kern w:val="0"/>
                <w:position w:val="-1"/>
                <w:szCs w:val="21"/>
              </w:rPr>
            </w:pPr>
            <w:r>
              <w:rPr>
                <w:rFonts w:hint="eastAsia" w:cs="微软雅黑" w:asciiTheme="minorEastAsia" w:hAnsiTheme="minorEastAsia" w:eastAsiaTheme="minorEastAsia"/>
                <w:kern w:val="0"/>
                <w:position w:val="-1"/>
                <w:szCs w:val="21"/>
              </w:rPr>
              <w:t>分项项目名称</w:t>
            </w:r>
          </w:p>
        </w:tc>
        <w:tc>
          <w:tcPr>
            <w:tcW w:w="2126" w:type="dxa"/>
            <w:vMerge w:val="restart"/>
            <w:tcBorders>
              <w:top w:val="double" w:color="auto" w:sz="4" w:space="0"/>
              <w:left w:val="single" w:color="auto" w:sz="6" w:space="0"/>
              <w:bottom w:val="single" w:color="auto" w:sz="6" w:space="0"/>
              <w:right w:val="single" w:color="auto" w:sz="4" w:space="0"/>
            </w:tcBorders>
            <w:vAlign w:val="center"/>
          </w:tcPr>
          <w:p w14:paraId="5FB94673">
            <w:pPr>
              <w:autoSpaceDE w:val="0"/>
              <w:autoSpaceDN w:val="0"/>
              <w:adjustRightInd w:val="0"/>
              <w:snapToGrid w:val="0"/>
              <w:spacing w:line="360" w:lineRule="auto"/>
              <w:ind w:right="-20"/>
              <w:jc w:val="center"/>
              <w:rPr>
                <w:rFonts w:ascii="宋体" w:hAnsi="宋体"/>
                <w:szCs w:val="21"/>
              </w:rPr>
            </w:pPr>
            <w:r>
              <w:rPr>
                <w:rFonts w:hint="eastAsia" w:ascii="宋体" w:hAnsi="宋体"/>
                <w:szCs w:val="21"/>
              </w:rPr>
              <w:t>服务内容</w:t>
            </w:r>
          </w:p>
        </w:tc>
        <w:tc>
          <w:tcPr>
            <w:tcW w:w="1200" w:type="dxa"/>
            <w:vMerge w:val="restart"/>
            <w:tcBorders>
              <w:top w:val="double" w:color="auto" w:sz="4" w:space="0"/>
              <w:left w:val="single" w:color="auto" w:sz="4" w:space="0"/>
              <w:bottom w:val="single" w:color="auto" w:sz="6" w:space="0"/>
              <w:right w:val="single" w:color="auto" w:sz="6" w:space="0"/>
            </w:tcBorders>
            <w:vAlign w:val="center"/>
          </w:tcPr>
          <w:p w14:paraId="6ED16B79">
            <w:pPr>
              <w:autoSpaceDE w:val="0"/>
              <w:autoSpaceDN w:val="0"/>
              <w:adjustRightInd w:val="0"/>
              <w:snapToGrid w:val="0"/>
              <w:spacing w:line="360" w:lineRule="auto"/>
              <w:ind w:right="-20"/>
              <w:jc w:val="center"/>
              <w:rPr>
                <w:rFonts w:ascii="宋体" w:hAnsi="宋体"/>
                <w:szCs w:val="21"/>
              </w:rPr>
            </w:pPr>
            <w:r>
              <w:rPr>
                <w:rFonts w:hint="eastAsia" w:ascii="宋体" w:hAnsi="宋体"/>
                <w:szCs w:val="21"/>
              </w:rPr>
              <w:t>服务周期</w:t>
            </w:r>
          </w:p>
        </w:tc>
        <w:tc>
          <w:tcPr>
            <w:tcW w:w="1092" w:type="dxa"/>
            <w:vMerge w:val="restart"/>
            <w:tcBorders>
              <w:top w:val="double" w:color="auto" w:sz="4" w:space="0"/>
              <w:left w:val="single" w:color="auto" w:sz="6" w:space="0"/>
              <w:right w:val="single" w:color="auto" w:sz="4" w:space="0"/>
            </w:tcBorders>
            <w:vAlign w:val="center"/>
          </w:tcPr>
          <w:p w14:paraId="460F1EDB">
            <w:pPr>
              <w:autoSpaceDE w:val="0"/>
              <w:autoSpaceDN w:val="0"/>
              <w:adjustRightInd w:val="0"/>
              <w:snapToGrid w:val="0"/>
              <w:spacing w:line="360" w:lineRule="auto"/>
              <w:ind w:right="-20"/>
              <w:jc w:val="center"/>
              <w:rPr>
                <w:rFonts w:cs="微软雅黑" w:asciiTheme="minorEastAsia" w:hAnsiTheme="minorEastAsia" w:eastAsiaTheme="minorEastAsia"/>
                <w:kern w:val="0"/>
                <w:position w:val="-1"/>
                <w:szCs w:val="21"/>
              </w:rPr>
            </w:pPr>
            <w:r>
              <w:rPr>
                <w:rFonts w:hint="eastAsia" w:asciiTheme="minorEastAsia" w:hAnsiTheme="minorEastAsia" w:eastAsiaTheme="minorEastAsia"/>
                <w:kern w:val="0"/>
                <w:szCs w:val="21"/>
              </w:rPr>
              <w:t>数量</w:t>
            </w:r>
          </w:p>
        </w:tc>
        <w:tc>
          <w:tcPr>
            <w:tcW w:w="1826" w:type="dxa"/>
            <w:gridSpan w:val="2"/>
            <w:tcBorders>
              <w:top w:val="double" w:color="auto" w:sz="4" w:space="0"/>
              <w:left w:val="single" w:color="auto" w:sz="4" w:space="0"/>
              <w:bottom w:val="single" w:color="auto" w:sz="6" w:space="0"/>
              <w:right w:val="single" w:color="auto" w:sz="6" w:space="0"/>
            </w:tcBorders>
            <w:vAlign w:val="center"/>
          </w:tcPr>
          <w:p w14:paraId="3980AB6D">
            <w:pPr>
              <w:autoSpaceDE w:val="0"/>
              <w:autoSpaceDN w:val="0"/>
              <w:adjustRightInd w:val="0"/>
              <w:snapToGrid w:val="0"/>
              <w:spacing w:line="360" w:lineRule="auto"/>
              <w:ind w:right="-20"/>
              <w:jc w:val="center"/>
              <w:rPr>
                <w:rFonts w:cs="微软雅黑" w:asciiTheme="minorEastAsia" w:hAnsiTheme="minorEastAsia" w:eastAsiaTheme="minorEastAsia"/>
                <w:kern w:val="0"/>
                <w:position w:val="-1"/>
                <w:szCs w:val="21"/>
              </w:rPr>
            </w:pPr>
            <w:r>
              <w:rPr>
                <w:rFonts w:hint="eastAsia" w:cs="微软雅黑" w:asciiTheme="minorEastAsia" w:hAnsiTheme="minorEastAsia" w:eastAsiaTheme="minorEastAsia"/>
                <w:kern w:val="0"/>
                <w:position w:val="-1"/>
                <w:szCs w:val="21"/>
              </w:rPr>
              <w:t>金额（元）</w:t>
            </w:r>
          </w:p>
        </w:tc>
        <w:tc>
          <w:tcPr>
            <w:tcW w:w="914" w:type="dxa"/>
            <w:vMerge w:val="restart"/>
            <w:tcBorders>
              <w:top w:val="double" w:color="auto" w:sz="4" w:space="0"/>
              <w:left w:val="single" w:color="auto" w:sz="6" w:space="0"/>
              <w:bottom w:val="single" w:color="auto" w:sz="6" w:space="0"/>
              <w:right w:val="double" w:color="auto" w:sz="4" w:space="0"/>
            </w:tcBorders>
            <w:vAlign w:val="center"/>
          </w:tcPr>
          <w:p w14:paraId="42D5FD2F">
            <w:pPr>
              <w:autoSpaceDE w:val="0"/>
              <w:autoSpaceDN w:val="0"/>
              <w:adjustRightInd w:val="0"/>
              <w:snapToGrid w:val="0"/>
              <w:spacing w:line="360" w:lineRule="auto"/>
              <w:ind w:right="-20"/>
              <w:jc w:val="center"/>
              <w:rPr>
                <w:rFonts w:cs="微软雅黑" w:asciiTheme="minorEastAsia" w:hAnsiTheme="minorEastAsia" w:eastAsiaTheme="minorEastAsia"/>
                <w:kern w:val="0"/>
                <w:position w:val="-1"/>
                <w:szCs w:val="21"/>
              </w:rPr>
            </w:pPr>
            <w:r>
              <w:rPr>
                <w:rFonts w:hint="eastAsia" w:cs="微软雅黑" w:asciiTheme="minorEastAsia" w:hAnsiTheme="minorEastAsia" w:eastAsiaTheme="minorEastAsia"/>
                <w:kern w:val="0"/>
                <w:position w:val="-1"/>
                <w:szCs w:val="21"/>
              </w:rPr>
              <w:t>备注</w:t>
            </w:r>
          </w:p>
        </w:tc>
      </w:tr>
      <w:tr w14:paraId="2083FC02">
        <w:tblPrEx>
          <w:tblCellMar>
            <w:top w:w="0" w:type="dxa"/>
            <w:left w:w="0" w:type="dxa"/>
            <w:bottom w:w="0" w:type="dxa"/>
            <w:right w:w="0" w:type="dxa"/>
          </w:tblCellMar>
        </w:tblPrEx>
        <w:trPr>
          <w:trHeight w:val="415" w:hRule="exact"/>
        </w:trPr>
        <w:tc>
          <w:tcPr>
            <w:tcW w:w="1716" w:type="dxa"/>
            <w:gridSpan w:val="2"/>
            <w:vMerge w:val="continue"/>
            <w:tcBorders>
              <w:left w:val="double" w:color="auto" w:sz="4" w:space="0"/>
              <w:bottom w:val="single" w:color="auto" w:sz="6" w:space="0"/>
              <w:right w:val="single" w:color="auto" w:sz="6" w:space="0"/>
            </w:tcBorders>
          </w:tcPr>
          <w:p w14:paraId="196032AE">
            <w:pPr>
              <w:autoSpaceDE w:val="0"/>
              <w:autoSpaceDN w:val="0"/>
              <w:adjustRightInd w:val="0"/>
              <w:snapToGrid w:val="0"/>
              <w:spacing w:line="360" w:lineRule="auto"/>
              <w:ind w:left="352" w:right="-20"/>
              <w:jc w:val="left"/>
              <w:rPr>
                <w:rFonts w:asciiTheme="minorEastAsia" w:hAnsiTheme="minorEastAsia" w:eastAsiaTheme="minorEastAsia"/>
                <w:kern w:val="0"/>
                <w:szCs w:val="21"/>
              </w:rPr>
            </w:pPr>
          </w:p>
        </w:tc>
        <w:tc>
          <w:tcPr>
            <w:tcW w:w="2126" w:type="dxa"/>
            <w:vMerge w:val="continue"/>
            <w:tcBorders>
              <w:top w:val="single" w:color="auto" w:sz="6" w:space="0"/>
              <w:left w:val="single" w:color="auto" w:sz="6" w:space="0"/>
              <w:bottom w:val="single" w:color="auto" w:sz="6" w:space="0"/>
              <w:right w:val="single" w:color="auto" w:sz="4" w:space="0"/>
            </w:tcBorders>
            <w:vAlign w:val="center"/>
          </w:tcPr>
          <w:p w14:paraId="0AEA58B6">
            <w:pPr>
              <w:autoSpaceDE w:val="0"/>
              <w:autoSpaceDN w:val="0"/>
              <w:adjustRightInd w:val="0"/>
              <w:snapToGrid w:val="0"/>
              <w:spacing w:line="360" w:lineRule="auto"/>
              <w:ind w:right="-20"/>
              <w:jc w:val="center"/>
              <w:rPr>
                <w:rFonts w:asciiTheme="minorEastAsia" w:hAnsiTheme="minorEastAsia" w:eastAsiaTheme="minorEastAsia"/>
                <w:kern w:val="0"/>
                <w:szCs w:val="21"/>
              </w:rPr>
            </w:pPr>
          </w:p>
        </w:tc>
        <w:tc>
          <w:tcPr>
            <w:tcW w:w="1200" w:type="dxa"/>
            <w:vMerge w:val="continue"/>
            <w:tcBorders>
              <w:top w:val="single" w:color="auto" w:sz="6" w:space="0"/>
              <w:left w:val="single" w:color="auto" w:sz="4" w:space="0"/>
              <w:bottom w:val="single" w:color="auto" w:sz="6" w:space="0"/>
              <w:right w:val="single" w:color="auto" w:sz="6" w:space="0"/>
            </w:tcBorders>
            <w:vAlign w:val="center"/>
          </w:tcPr>
          <w:p w14:paraId="26FA5F6A">
            <w:pPr>
              <w:autoSpaceDE w:val="0"/>
              <w:autoSpaceDN w:val="0"/>
              <w:adjustRightInd w:val="0"/>
              <w:snapToGrid w:val="0"/>
              <w:spacing w:line="360" w:lineRule="auto"/>
              <w:ind w:right="-20"/>
              <w:jc w:val="center"/>
              <w:rPr>
                <w:rFonts w:asciiTheme="minorEastAsia" w:hAnsiTheme="minorEastAsia" w:eastAsiaTheme="minorEastAsia"/>
                <w:kern w:val="0"/>
                <w:szCs w:val="21"/>
              </w:rPr>
            </w:pPr>
          </w:p>
        </w:tc>
        <w:tc>
          <w:tcPr>
            <w:tcW w:w="1092" w:type="dxa"/>
            <w:vMerge w:val="continue"/>
            <w:tcBorders>
              <w:left w:val="single" w:color="auto" w:sz="6" w:space="0"/>
              <w:bottom w:val="single" w:color="auto" w:sz="6" w:space="0"/>
              <w:right w:val="single" w:color="auto" w:sz="4" w:space="0"/>
            </w:tcBorders>
            <w:vAlign w:val="center"/>
          </w:tcPr>
          <w:p w14:paraId="2FC92946">
            <w:pPr>
              <w:autoSpaceDE w:val="0"/>
              <w:autoSpaceDN w:val="0"/>
              <w:adjustRightInd w:val="0"/>
              <w:snapToGrid w:val="0"/>
              <w:spacing w:line="360" w:lineRule="auto"/>
              <w:ind w:right="-20"/>
              <w:jc w:val="center"/>
              <w:rPr>
                <w:rFonts w:asciiTheme="minorEastAsia" w:hAnsiTheme="minorEastAsia" w:eastAsiaTheme="minorEastAsia"/>
                <w:kern w:val="0"/>
                <w:szCs w:val="21"/>
              </w:rPr>
            </w:pPr>
          </w:p>
        </w:tc>
        <w:tc>
          <w:tcPr>
            <w:tcW w:w="910" w:type="dxa"/>
            <w:tcBorders>
              <w:top w:val="single" w:color="auto" w:sz="6" w:space="0"/>
              <w:left w:val="single" w:color="auto" w:sz="4" w:space="0"/>
              <w:bottom w:val="single" w:color="auto" w:sz="6" w:space="0"/>
              <w:right w:val="single" w:color="auto" w:sz="4" w:space="0"/>
            </w:tcBorders>
            <w:vAlign w:val="center"/>
          </w:tcPr>
          <w:p w14:paraId="1C54DA71">
            <w:pPr>
              <w:autoSpaceDE w:val="0"/>
              <w:autoSpaceDN w:val="0"/>
              <w:adjustRightInd w:val="0"/>
              <w:snapToGrid w:val="0"/>
              <w:spacing w:line="360" w:lineRule="auto"/>
              <w:ind w:right="-20"/>
              <w:jc w:val="center"/>
              <w:rPr>
                <w:rFonts w:asciiTheme="minorEastAsia" w:hAnsiTheme="minorEastAsia" w:eastAsiaTheme="minorEastAsia"/>
                <w:kern w:val="0"/>
                <w:szCs w:val="21"/>
              </w:rPr>
            </w:pPr>
            <w:r>
              <w:rPr>
                <w:rFonts w:hint="eastAsia" w:cs="微软雅黑" w:asciiTheme="minorEastAsia" w:hAnsiTheme="minorEastAsia" w:eastAsiaTheme="minorEastAsia"/>
                <w:kern w:val="0"/>
                <w:position w:val="-1"/>
                <w:szCs w:val="21"/>
              </w:rPr>
              <w:t>单价</w:t>
            </w:r>
          </w:p>
        </w:tc>
        <w:tc>
          <w:tcPr>
            <w:tcW w:w="916" w:type="dxa"/>
            <w:tcBorders>
              <w:top w:val="single" w:color="auto" w:sz="6" w:space="0"/>
              <w:left w:val="single" w:color="auto" w:sz="4" w:space="0"/>
              <w:bottom w:val="single" w:color="auto" w:sz="6" w:space="0"/>
              <w:right w:val="single" w:color="auto" w:sz="6" w:space="0"/>
            </w:tcBorders>
            <w:vAlign w:val="center"/>
          </w:tcPr>
          <w:p w14:paraId="6D008D32">
            <w:pPr>
              <w:autoSpaceDE w:val="0"/>
              <w:autoSpaceDN w:val="0"/>
              <w:adjustRightInd w:val="0"/>
              <w:snapToGrid w:val="0"/>
              <w:spacing w:line="360" w:lineRule="auto"/>
              <w:ind w:left="70" w:right="-2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小计</w:t>
            </w:r>
          </w:p>
        </w:tc>
        <w:tc>
          <w:tcPr>
            <w:tcW w:w="914" w:type="dxa"/>
            <w:vMerge w:val="continue"/>
            <w:tcBorders>
              <w:top w:val="single" w:color="auto" w:sz="6" w:space="0"/>
              <w:left w:val="single" w:color="auto" w:sz="6" w:space="0"/>
              <w:bottom w:val="single" w:color="auto" w:sz="6" w:space="0"/>
              <w:right w:val="double" w:color="auto" w:sz="4" w:space="0"/>
            </w:tcBorders>
          </w:tcPr>
          <w:p w14:paraId="38519DF5">
            <w:pPr>
              <w:autoSpaceDE w:val="0"/>
              <w:autoSpaceDN w:val="0"/>
              <w:adjustRightInd w:val="0"/>
              <w:snapToGrid w:val="0"/>
              <w:spacing w:line="360" w:lineRule="auto"/>
              <w:ind w:left="422" w:right="-20"/>
              <w:jc w:val="left"/>
              <w:rPr>
                <w:rFonts w:asciiTheme="minorEastAsia" w:hAnsiTheme="minorEastAsia" w:eastAsiaTheme="minorEastAsia"/>
                <w:kern w:val="0"/>
                <w:szCs w:val="21"/>
              </w:rPr>
            </w:pPr>
          </w:p>
        </w:tc>
      </w:tr>
      <w:tr w14:paraId="5404F894">
        <w:tblPrEx>
          <w:tblCellMar>
            <w:top w:w="0" w:type="dxa"/>
            <w:left w:w="0" w:type="dxa"/>
            <w:bottom w:w="0" w:type="dxa"/>
            <w:right w:w="0" w:type="dxa"/>
          </w:tblCellMar>
        </w:tblPrEx>
        <w:trPr>
          <w:trHeight w:val="378" w:hRule="exact"/>
        </w:trPr>
        <w:tc>
          <w:tcPr>
            <w:tcW w:w="333" w:type="dxa"/>
            <w:tcBorders>
              <w:top w:val="single" w:color="auto" w:sz="6" w:space="0"/>
              <w:left w:val="double" w:color="auto" w:sz="4" w:space="0"/>
              <w:bottom w:val="single" w:color="auto" w:sz="6" w:space="0"/>
              <w:right w:val="single" w:color="auto" w:sz="6" w:space="0"/>
            </w:tcBorders>
            <w:vAlign w:val="center"/>
          </w:tcPr>
          <w:p w14:paraId="246C711F">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383" w:type="dxa"/>
            <w:tcBorders>
              <w:top w:val="single" w:color="auto" w:sz="6" w:space="0"/>
              <w:left w:val="single" w:color="auto" w:sz="6" w:space="0"/>
              <w:bottom w:val="single" w:color="auto" w:sz="6" w:space="0"/>
              <w:right w:val="single" w:color="auto" w:sz="6" w:space="0"/>
            </w:tcBorders>
            <w:vAlign w:val="center"/>
          </w:tcPr>
          <w:p w14:paraId="14C332CA">
            <w:pPr>
              <w:autoSpaceDE w:val="0"/>
              <w:autoSpaceDN w:val="0"/>
              <w:adjustRightInd w:val="0"/>
              <w:snapToGrid w:val="0"/>
              <w:spacing w:line="360" w:lineRule="auto"/>
              <w:jc w:val="center"/>
              <w:rPr>
                <w:rFonts w:asciiTheme="minorEastAsia" w:hAnsiTheme="minorEastAsia" w:eastAsiaTheme="minorEastAsia"/>
                <w:kern w:val="0"/>
                <w:szCs w:val="21"/>
              </w:rPr>
            </w:pPr>
          </w:p>
        </w:tc>
        <w:tc>
          <w:tcPr>
            <w:tcW w:w="2126" w:type="dxa"/>
            <w:tcBorders>
              <w:top w:val="single" w:color="auto" w:sz="6" w:space="0"/>
              <w:left w:val="single" w:color="auto" w:sz="6" w:space="0"/>
              <w:bottom w:val="single" w:color="auto" w:sz="6" w:space="0"/>
              <w:right w:val="single" w:color="auto" w:sz="4" w:space="0"/>
            </w:tcBorders>
          </w:tcPr>
          <w:p w14:paraId="65FF08C6">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200" w:type="dxa"/>
            <w:tcBorders>
              <w:top w:val="single" w:color="auto" w:sz="6" w:space="0"/>
              <w:left w:val="single" w:color="auto" w:sz="4" w:space="0"/>
              <w:bottom w:val="single" w:color="auto" w:sz="6" w:space="0"/>
              <w:right w:val="single" w:color="auto" w:sz="6" w:space="0"/>
            </w:tcBorders>
          </w:tcPr>
          <w:p w14:paraId="25EEAA71">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092" w:type="dxa"/>
            <w:tcBorders>
              <w:top w:val="single" w:color="auto" w:sz="6" w:space="0"/>
              <w:left w:val="single" w:color="auto" w:sz="6" w:space="0"/>
              <w:bottom w:val="single" w:color="auto" w:sz="6" w:space="0"/>
              <w:right w:val="single" w:color="auto" w:sz="4" w:space="0"/>
            </w:tcBorders>
          </w:tcPr>
          <w:p w14:paraId="62E03001">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0" w:type="dxa"/>
            <w:tcBorders>
              <w:top w:val="single" w:color="auto" w:sz="6" w:space="0"/>
              <w:left w:val="single" w:color="auto" w:sz="6" w:space="0"/>
              <w:bottom w:val="single" w:color="auto" w:sz="6" w:space="0"/>
              <w:right w:val="single" w:color="auto" w:sz="6" w:space="0"/>
            </w:tcBorders>
          </w:tcPr>
          <w:p w14:paraId="5F7425FA">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6" w:type="dxa"/>
            <w:tcBorders>
              <w:top w:val="single" w:color="auto" w:sz="6" w:space="0"/>
              <w:left w:val="single" w:color="auto" w:sz="6" w:space="0"/>
              <w:bottom w:val="single" w:color="auto" w:sz="6" w:space="0"/>
              <w:right w:val="single" w:color="auto" w:sz="6" w:space="0"/>
            </w:tcBorders>
          </w:tcPr>
          <w:p w14:paraId="7F6755D1">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4" w:type="dxa"/>
            <w:tcBorders>
              <w:top w:val="single" w:color="auto" w:sz="6" w:space="0"/>
              <w:left w:val="single" w:color="auto" w:sz="6" w:space="0"/>
              <w:bottom w:val="single" w:color="auto" w:sz="6" w:space="0"/>
              <w:right w:val="double" w:color="auto" w:sz="4" w:space="0"/>
            </w:tcBorders>
          </w:tcPr>
          <w:p w14:paraId="04D20597">
            <w:pPr>
              <w:autoSpaceDE w:val="0"/>
              <w:autoSpaceDN w:val="0"/>
              <w:adjustRightInd w:val="0"/>
              <w:snapToGrid w:val="0"/>
              <w:spacing w:line="360" w:lineRule="auto"/>
              <w:jc w:val="left"/>
              <w:rPr>
                <w:rFonts w:asciiTheme="minorEastAsia" w:hAnsiTheme="minorEastAsia" w:eastAsiaTheme="minorEastAsia"/>
                <w:kern w:val="0"/>
                <w:szCs w:val="21"/>
              </w:rPr>
            </w:pPr>
          </w:p>
        </w:tc>
      </w:tr>
      <w:tr w14:paraId="01B724CD">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14:paraId="0A4ADBAC">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383" w:type="dxa"/>
            <w:tcBorders>
              <w:top w:val="single" w:color="auto" w:sz="6" w:space="0"/>
              <w:left w:val="single" w:color="auto" w:sz="6" w:space="0"/>
              <w:bottom w:val="single" w:color="auto" w:sz="6" w:space="0"/>
              <w:right w:val="single" w:color="auto" w:sz="6" w:space="0"/>
            </w:tcBorders>
            <w:vAlign w:val="center"/>
          </w:tcPr>
          <w:p w14:paraId="21CF5CCE">
            <w:pPr>
              <w:autoSpaceDE w:val="0"/>
              <w:autoSpaceDN w:val="0"/>
              <w:adjustRightInd w:val="0"/>
              <w:snapToGrid w:val="0"/>
              <w:spacing w:line="360" w:lineRule="auto"/>
              <w:jc w:val="center"/>
              <w:rPr>
                <w:rFonts w:asciiTheme="minorEastAsia" w:hAnsiTheme="minorEastAsia" w:eastAsiaTheme="minorEastAsia"/>
                <w:kern w:val="0"/>
                <w:szCs w:val="21"/>
              </w:rPr>
            </w:pPr>
          </w:p>
        </w:tc>
        <w:tc>
          <w:tcPr>
            <w:tcW w:w="2126" w:type="dxa"/>
            <w:tcBorders>
              <w:top w:val="single" w:color="auto" w:sz="6" w:space="0"/>
              <w:left w:val="single" w:color="auto" w:sz="6" w:space="0"/>
              <w:bottom w:val="single" w:color="auto" w:sz="6" w:space="0"/>
              <w:right w:val="single" w:color="auto" w:sz="4" w:space="0"/>
            </w:tcBorders>
          </w:tcPr>
          <w:p w14:paraId="4FBF569B">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200" w:type="dxa"/>
            <w:tcBorders>
              <w:top w:val="single" w:color="auto" w:sz="6" w:space="0"/>
              <w:left w:val="single" w:color="auto" w:sz="4" w:space="0"/>
              <w:bottom w:val="single" w:color="auto" w:sz="6" w:space="0"/>
              <w:right w:val="single" w:color="auto" w:sz="6" w:space="0"/>
            </w:tcBorders>
          </w:tcPr>
          <w:p w14:paraId="6EE5ED8B">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092" w:type="dxa"/>
            <w:tcBorders>
              <w:top w:val="single" w:color="auto" w:sz="6" w:space="0"/>
              <w:left w:val="single" w:color="auto" w:sz="6" w:space="0"/>
              <w:bottom w:val="single" w:color="auto" w:sz="6" w:space="0"/>
              <w:right w:val="single" w:color="auto" w:sz="4" w:space="0"/>
            </w:tcBorders>
          </w:tcPr>
          <w:p w14:paraId="27A12FE4">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0" w:type="dxa"/>
            <w:tcBorders>
              <w:top w:val="single" w:color="auto" w:sz="6" w:space="0"/>
              <w:left w:val="single" w:color="auto" w:sz="6" w:space="0"/>
              <w:bottom w:val="single" w:color="auto" w:sz="6" w:space="0"/>
              <w:right w:val="single" w:color="auto" w:sz="6" w:space="0"/>
            </w:tcBorders>
          </w:tcPr>
          <w:p w14:paraId="5FE4E05B">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6" w:type="dxa"/>
            <w:tcBorders>
              <w:top w:val="single" w:color="auto" w:sz="6" w:space="0"/>
              <w:left w:val="single" w:color="auto" w:sz="6" w:space="0"/>
              <w:bottom w:val="single" w:color="auto" w:sz="6" w:space="0"/>
              <w:right w:val="single" w:color="auto" w:sz="6" w:space="0"/>
            </w:tcBorders>
          </w:tcPr>
          <w:p w14:paraId="70B91296">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4" w:type="dxa"/>
            <w:tcBorders>
              <w:top w:val="single" w:color="auto" w:sz="6" w:space="0"/>
              <w:left w:val="single" w:color="auto" w:sz="6" w:space="0"/>
              <w:bottom w:val="single" w:color="auto" w:sz="6" w:space="0"/>
              <w:right w:val="double" w:color="auto" w:sz="4" w:space="0"/>
            </w:tcBorders>
          </w:tcPr>
          <w:p w14:paraId="099330F0">
            <w:pPr>
              <w:autoSpaceDE w:val="0"/>
              <w:autoSpaceDN w:val="0"/>
              <w:adjustRightInd w:val="0"/>
              <w:snapToGrid w:val="0"/>
              <w:spacing w:line="360" w:lineRule="auto"/>
              <w:jc w:val="left"/>
              <w:rPr>
                <w:rFonts w:asciiTheme="minorEastAsia" w:hAnsiTheme="minorEastAsia" w:eastAsiaTheme="minorEastAsia"/>
                <w:kern w:val="0"/>
                <w:szCs w:val="21"/>
              </w:rPr>
            </w:pPr>
          </w:p>
        </w:tc>
      </w:tr>
      <w:tr w14:paraId="2711B238">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14:paraId="63AF20F7">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3</w:t>
            </w:r>
          </w:p>
        </w:tc>
        <w:tc>
          <w:tcPr>
            <w:tcW w:w="1383" w:type="dxa"/>
            <w:tcBorders>
              <w:top w:val="single" w:color="auto" w:sz="6" w:space="0"/>
              <w:left w:val="single" w:color="auto" w:sz="6" w:space="0"/>
              <w:bottom w:val="single" w:color="auto" w:sz="6" w:space="0"/>
              <w:right w:val="single" w:color="auto" w:sz="6" w:space="0"/>
            </w:tcBorders>
            <w:vAlign w:val="center"/>
          </w:tcPr>
          <w:p w14:paraId="7C118FF0">
            <w:pPr>
              <w:autoSpaceDE w:val="0"/>
              <w:autoSpaceDN w:val="0"/>
              <w:adjustRightInd w:val="0"/>
              <w:snapToGrid w:val="0"/>
              <w:spacing w:line="360" w:lineRule="auto"/>
              <w:jc w:val="center"/>
              <w:rPr>
                <w:rFonts w:asciiTheme="minorEastAsia" w:hAnsiTheme="minorEastAsia" w:eastAsiaTheme="minorEastAsia"/>
                <w:kern w:val="0"/>
                <w:szCs w:val="21"/>
              </w:rPr>
            </w:pPr>
          </w:p>
        </w:tc>
        <w:tc>
          <w:tcPr>
            <w:tcW w:w="2126" w:type="dxa"/>
            <w:tcBorders>
              <w:top w:val="single" w:color="auto" w:sz="6" w:space="0"/>
              <w:left w:val="single" w:color="auto" w:sz="6" w:space="0"/>
              <w:bottom w:val="single" w:color="auto" w:sz="6" w:space="0"/>
              <w:right w:val="single" w:color="auto" w:sz="4" w:space="0"/>
            </w:tcBorders>
          </w:tcPr>
          <w:p w14:paraId="1EF2802C">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200" w:type="dxa"/>
            <w:tcBorders>
              <w:top w:val="single" w:color="auto" w:sz="6" w:space="0"/>
              <w:left w:val="single" w:color="auto" w:sz="4" w:space="0"/>
              <w:bottom w:val="single" w:color="auto" w:sz="6" w:space="0"/>
              <w:right w:val="single" w:color="auto" w:sz="6" w:space="0"/>
            </w:tcBorders>
          </w:tcPr>
          <w:p w14:paraId="3FDB8342">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092" w:type="dxa"/>
            <w:tcBorders>
              <w:top w:val="single" w:color="auto" w:sz="6" w:space="0"/>
              <w:left w:val="single" w:color="auto" w:sz="6" w:space="0"/>
              <w:bottom w:val="single" w:color="auto" w:sz="6" w:space="0"/>
              <w:right w:val="single" w:color="auto" w:sz="4" w:space="0"/>
            </w:tcBorders>
          </w:tcPr>
          <w:p w14:paraId="6117BF28">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0" w:type="dxa"/>
            <w:tcBorders>
              <w:top w:val="single" w:color="auto" w:sz="6" w:space="0"/>
              <w:left w:val="single" w:color="auto" w:sz="6" w:space="0"/>
              <w:bottom w:val="single" w:color="auto" w:sz="6" w:space="0"/>
              <w:right w:val="single" w:color="auto" w:sz="6" w:space="0"/>
            </w:tcBorders>
          </w:tcPr>
          <w:p w14:paraId="03740240">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6" w:type="dxa"/>
            <w:tcBorders>
              <w:top w:val="single" w:color="auto" w:sz="6" w:space="0"/>
              <w:left w:val="single" w:color="auto" w:sz="6" w:space="0"/>
              <w:bottom w:val="single" w:color="auto" w:sz="6" w:space="0"/>
              <w:right w:val="single" w:color="auto" w:sz="6" w:space="0"/>
            </w:tcBorders>
          </w:tcPr>
          <w:p w14:paraId="5BE26AD6">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4" w:type="dxa"/>
            <w:tcBorders>
              <w:top w:val="single" w:color="auto" w:sz="6" w:space="0"/>
              <w:left w:val="single" w:color="auto" w:sz="6" w:space="0"/>
              <w:bottom w:val="single" w:color="auto" w:sz="6" w:space="0"/>
              <w:right w:val="double" w:color="auto" w:sz="4" w:space="0"/>
            </w:tcBorders>
          </w:tcPr>
          <w:p w14:paraId="60DC45D2">
            <w:pPr>
              <w:autoSpaceDE w:val="0"/>
              <w:autoSpaceDN w:val="0"/>
              <w:adjustRightInd w:val="0"/>
              <w:snapToGrid w:val="0"/>
              <w:spacing w:line="360" w:lineRule="auto"/>
              <w:jc w:val="left"/>
              <w:rPr>
                <w:rFonts w:asciiTheme="minorEastAsia" w:hAnsiTheme="minorEastAsia" w:eastAsiaTheme="minorEastAsia"/>
                <w:kern w:val="0"/>
                <w:szCs w:val="21"/>
              </w:rPr>
            </w:pPr>
          </w:p>
        </w:tc>
      </w:tr>
      <w:tr w14:paraId="4C4AAC1B">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14:paraId="0A06FC81">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4</w:t>
            </w:r>
          </w:p>
        </w:tc>
        <w:tc>
          <w:tcPr>
            <w:tcW w:w="1383" w:type="dxa"/>
            <w:tcBorders>
              <w:top w:val="single" w:color="auto" w:sz="6" w:space="0"/>
              <w:left w:val="single" w:color="auto" w:sz="6" w:space="0"/>
              <w:bottom w:val="single" w:color="auto" w:sz="6" w:space="0"/>
              <w:right w:val="single" w:color="auto" w:sz="6" w:space="0"/>
            </w:tcBorders>
            <w:vAlign w:val="center"/>
          </w:tcPr>
          <w:p w14:paraId="265EDD01">
            <w:pPr>
              <w:autoSpaceDE w:val="0"/>
              <w:autoSpaceDN w:val="0"/>
              <w:adjustRightInd w:val="0"/>
              <w:snapToGrid w:val="0"/>
              <w:spacing w:line="360" w:lineRule="auto"/>
              <w:jc w:val="center"/>
              <w:rPr>
                <w:rFonts w:asciiTheme="minorEastAsia" w:hAnsiTheme="minorEastAsia" w:eastAsiaTheme="minorEastAsia"/>
                <w:kern w:val="0"/>
                <w:szCs w:val="21"/>
              </w:rPr>
            </w:pPr>
          </w:p>
        </w:tc>
        <w:tc>
          <w:tcPr>
            <w:tcW w:w="2126" w:type="dxa"/>
            <w:tcBorders>
              <w:top w:val="single" w:color="auto" w:sz="6" w:space="0"/>
              <w:left w:val="single" w:color="auto" w:sz="6" w:space="0"/>
              <w:bottom w:val="single" w:color="auto" w:sz="6" w:space="0"/>
              <w:right w:val="single" w:color="auto" w:sz="4" w:space="0"/>
            </w:tcBorders>
          </w:tcPr>
          <w:p w14:paraId="6C47BD8A">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200" w:type="dxa"/>
            <w:tcBorders>
              <w:top w:val="single" w:color="auto" w:sz="6" w:space="0"/>
              <w:left w:val="single" w:color="auto" w:sz="4" w:space="0"/>
              <w:bottom w:val="single" w:color="auto" w:sz="6" w:space="0"/>
              <w:right w:val="single" w:color="auto" w:sz="6" w:space="0"/>
            </w:tcBorders>
          </w:tcPr>
          <w:p w14:paraId="34759D84">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092" w:type="dxa"/>
            <w:tcBorders>
              <w:top w:val="single" w:color="auto" w:sz="6" w:space="0"/>
              <w:left w:val="single" w:color="auto" w:sz="6" w:space="0"/>
              <w:bottom w:val="single" w:color="auto" w:sz="6" w:space="0"/>
              <w:right w:val="single" w:color="auto" w:sz="4" w:space="0"/>
            </w:tcBorders>
          </w:tcPr>
          <w:p w14:paraId="6754AC22">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0" w:type="dxa"/>
            <w:tcBorders>
              <w:top w:val="single" w:color="auto" w:sz="6" w:space="0"/>
              <w:left w:val="single" w:color="auto" w:sz="4" w:space="0"/>
              <w:bottom w:val="single" w:color="auto" w:sz="6" w:space="0"/>
              <w:right w:val="single" w:color="auto" w:sz="6" w:space="0"/>
            </w:tcBorders>
          </w:tcPr>
          <w:p w14:paraId="1A8731FC">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6" w:type="dxa"/>
            <w:tcBorders>
              <w:top w:val="single" w:color="auto" w:sz="6" w:space="0"/>
              <w:left w:val="single" w:color="auto" w:sz="6" w:space="0"/>
              <w:bottom w:val="single" w:color="auto" w:sz="6" w:space="0"/>
              <w:right w:val="single" w:color="auto" w:sz="6" w:space="0"/>
            </w:tcBorders>
          </w:tcPr>
          <w:p w14:paraId="66A8E56A">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4" w:type="dxa"/>
            <w:tcBorders>
              <w:top w:val="single" w:color="auto" w:sz="6" w:space="0"/>
              <w:left w:val="single" w:color="auto" w:sz="6" w:space="0"/>
              <w:bottom w:val="single" w:color="auto" w:sz="6" w:space="0"/>
              <w:right w:val="double" w:color="auto" w:sz="4" w:space="0"/>
            </w:tcBorders>
          </w:tcPr>
          <w:p w14:paraId="3928C043">
            <w:pPr>
              <w:autoSpaceDE w:val="0"/>
              <w:autoSpaceDN w:val="0"/>
              <w:adjustRightInd w:val="0"/>
              <w:snapToGrid w:val="0"/>
              <w:spacing w:line="360" w:lineRule="auto"/>
              <w:jc w:val="left"/>
              <w:rPr>
                <w:rFonts w:asciiTheme="minorEastAsia" w:hAnsiTheme="minorEastAsia" w:eastAsiaTheme="minorEastAsia"/>
                <w:kern w:val="0"/>
                <w:szCs w:val="21"/>
              </w:rPr>
            </w:pPr>
          </w:p>
        </w:tc>
      </w:tr>
      <w:tr w14:paraId="36CC6D3F">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14:paraId="278005CB">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5</w:t>
            </w:r>
          </w:p>
        </w:tc>
        <w:tc>
          <w:tcPr>
            <w:tcW w:w="1383" w:type="dxa"/>
            <w:tcBorders>
              <w:top w:val="single" w:color="auto" w:sz="6" w:space="0"/>
              <w:left w:val="single" w:color="auto" w:sz="6" w:space="0"/>
              <w:bottom w:val="single" w:color="auto" w:sz="6" w:space="0"/>
              <w:right w:val="single" w:color="auto" w:sz="6" w:space="0"/>
            </w:tcBorders>
            <w:vAlign w:val="center"/>
          </w:tcPr>
          <w:p w14:paraId="2CB20B65">
            <w:pPr>
              <w:autoSpaceDE w:val="0"/>
              <w:autoSpaceDN w:val="0"/>
              <w:adjustRightInd w:val="0"/>
              <w:snapToGrid w:val="0"/>
              <w:spacing w:line="360" w:lineRule="auto"/>
              <w:jc w:val="center"/>
              <w:rPr>
                <w:rFonts w:asciiTheme="minorEastAsia" w:hAnsiTheme="minorEastAsia" w:eastAsiaTheme="minorEastAsia"/>
                <w:kern w:val="0"/>
                <w:szCs w:val="21"/>
              </w:rPr>
            </w:pPr>
          </w:p>
        </w:tc>
        <w:tc>
          <w:tcPr>
            <w:tcW w:w="2126" w:type="dxa"/>
            <w:tcBorders>
              <w:top w:val="single" w:color="auto" w:sz="6" w:space="0"/>
              <w:left w:val="single" w:color="auto" w:sz="6" w:space="0"/>
              <w:bottom w:val="single" w:color="auto" w:sz="6" w:space="0"/>
              <w:right w:val="single" w:color="auto" w:sz="4" w:space="0"/>
            </w:tcBorders>
          </w:tcPr>
          <w:p w14:paraId="0C125C10">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200" w:type="dxa"/>
            <w:tcBorders>
              <w:top w:val="single" w:color="auto" w:sz="6" w:space="0"/>
              <w:left w:val="single" w:color="auto" w:sz="4" w:space="0"/>
              <w:bottom w:val="single" w:color="auto" w:sz="6" w:space="0"/>
              <w:right w:val="single" w:color="auto" w:sz="6" w:space="0"/>
            </w:tcBorders>
          </w:tcPr>
          <w:p w14:paraId="388EFEC2">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092" w:type="dxa"/>
            <w:tcBorders>
              <w:top w:val="single" w:color="auto" w:sz="6" w:space="0"/>
              <w:left w:val="single" w:color="auto" w:sz="6" w:space="0"/>
              <w:bottom w:val="single" w:color="auto" w:sz="6" w:space="0"/>
              <w:right w:val="single" w:color="auto" w:sz="4" w:space="0"/>
            </w:tcBorders>
          </w:tcPr>
          <w:p w14:paraId="46CBE47F">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0" w:type="dxa"/>
            <w:tcBorders>
              <w:top w:val="single" w:color="auto" w:sz="6" w:space="0"/>
              <w:left w:val="single" w:color="auto" w:sz="4" w:space="0"/>
              <w:bottom w:val="single" w:color="auto" w:sz="6" w:space="0"/>
              <w:right w:val="single" w:color="auto" w:sz="6" w:space="0"/>
            </w:tcBorders>
          </w:tcPr>
          <w:p w14:paraId="2732D889">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6" w:type="dxa"/>
            <w:tcBorders>
              <w:top w:val="single" w:color="auto" w:sz="6" w:space="0"/>
              <w:left w:val="single" w:color="auto" w:sz="6" w:space="0"/>
              <w:bottom w:val="single" w:color="auto" w:sz="6" w:space="0"/>
              <w:right w:val="single" w:color="auto" w:sz="6" w:space="0"/>
            </w:tcBorders>
          </w:tcPr>
          <w:p w14:paraId="3233B21A">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4" w:type="dxa"/>
            <w:tcBorders>
              <w:top w:val="single" w:color="auto" w:sz="6" w:space="0"/>
              <w:left w:val="single" w:color="auto" w:sz="6" w:space="0"/>
              <w:bottom w:val="single" w:color="auto" w:sz="6" w:space="0"/>
              <w:right w:val="double" w:color="auto" w:sz="4" w:space="0"/>
            </w:tcBorders>
          </w:tcPr>
          <w:p w14:paraId="7512C960">
            <w:pPr>
              <w:autoSpaceDE w:val="0"/>
              <w:autoSpaceDN w:val="0"/>
              <w:adjustRightInd w:val="0"/>
              <w:snapToGrid w:val="0"/>
              <w:spacing w:line="360" w:lineRule="auto"/>
              <w:jc w:val="left"/>
              <w:rPr>
                <w:rFonts w:asciiTheme="minorEastAsia" w:hAnsiTheme="minorEastAsia" w:eastAsiaTheme="minorEastAsia"/>
                <w:kern w:val="0"/>
                <w:szCs w:val="21"/>
              </w:rPr>
            </w:pPr>
          </w:p>
        </w:tc>
      </w:tr>
      <w:tr w14:paraId="1E221873">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14:paraId="4FC1197B">
            <w:pPr>
              <w:jc w:val="center"/>
            </w:pPr>
            <w:r>
              <w:t>…</w:t>
            </w:r>
          </w:p>
        </w:tc>
        <w:tc>
          <w:tcPr>
            <w:tcW w:w="1383" w:type="dxa"/>
            <w:tcBorders>
              <w:top w:val="single" w:color="auto" w:sz="6" w:space="0"/>
              <w:left w:val="single" w:color="auto" w:sz="6" w:space="0"/>
              <w:bottom w:val="single" w:color="auto" w:sz="6" w:space="0"/>
              <w:right w:val="single" w:color="auto" w:sz="6" w:space="0"/>
            </w:tcBorders>
          </w:tcPr>
          <w:p w14:paraId="7DB83AE8">
            <w:pPr>
              <w:autoSpaceDE w:val="0"/>
              <w:autoSpaceDN w:val="0"/>
              <w:adjustRightInd w:val="0"/>
              <w:snapToGrid w:val="0"/>
              <w:spacing w:line="360" w:lineRule="auto"/>
              <w:ind w:left="527" w:right="507"/>
              <w:jc w:val="center"/>
              <w:rPr>
                <w:rFonts w:asciiTheme="minorEastAsia" w:hAnsiTheme="minorEastAsia" w:eastAsiaTheme="minorEastAsia"/>
                <w:kern w:val="0"/>
                <w:szCs w:val="21"/>
              </w:rPr>
            </w:pPr>
          </w:p>
        </w:tc>
        <w:tc>
          <w:tcPr>
            <w:tcW w:w="2126" w:type="dxa"/>
            <w:tcBorders>
              <w:top w:val="single" w:color="auto" w:sz="6" w:space="0"/>
              <w:left w:val="single" w:color="auto" w:sz="6" w:space="0"/>
              <w:bottom w:val="single" w:color="auto" w:sz="6" w:space="0"/>
              <w:right w:val="single" w:color="auto" w:sz="4" w:space="0"/>
            </w:tcBorders>
          </w:tcPr>
          <w:p w14:paraId="63611910">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200" w:type="dxa"/>
            <w:tcBorders>
              <w:top w:val="single" w:color="auto" w:sz="6" w:space="0"/>
              <w:left w:val="single" w:color="auto" w:sz="4" w:space="0"/>
              <w:bottom w:val="single" w:color="auto" w:sz="6" w:space="0"/>
              <w:right w:val="single" w:color="auto" w:sz="6" w:space="0"/>
            </w:tcBorders>
          </w:tcPr>
          <w:p w14:paraId="04518722">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092" w:type="dxa"/>
            <w:tcBorders>
              <w:top w:val="single" w:color="auto" w:sz="6" w:space="0"/>
              <w:left w:val="single" w:color="auto" w:sz="6" w:space="0"/>
              <w:bottom w:val="single" w:color="auto" w:sz="6" w:space="0"/>
              <w:right w:val="single" w:color="auto" w:sz="4" w:space="0"/>
            </w:tcBorders>
          </w:tcPr>
          <w:p w14:paraId="415D0D64">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0" w:type="dxa"/>
            <w:tcBorders>
              <w:top w:val="single" w:color="auto" w:sz="6" w:space="0"/>
              <w:left w:val="single" w:color="auto" w:sz="4" w:space="0"/>
              <w:bottom w:val="single" w:color="auto" w:sz="6" w:space="0"/>
              <w:right w:val="single" w:color="auto" w:sz="6" w:space="0"/>
            </w:tcBorders>
          </w:tcPr>
          <w:p w14:paraId="118492F1">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6" w:type="dxa"/>
            <w:tcBorders>
              <w:top w:val="single" w:color="auto" w:sz="6" w:space="0"/>
              <w:left w:val="single" w:color="auto" w:sz="6" w:space="0"/>
              <w:bottom w:val="single" w:color="auto" w:sz="6" w:space="0"/>
              <w:right w:val="single" w:color="auto" w:sz="6" w:space="0"/>
            </w:tcBorders>
          </w:tcPr>
          <w:p w14:paraId="39B1AB56">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4" w:type="dxa"/>
            <w:tcBorders>
              <w:top w:val="single" w:color="auto" w:sz="6" w:space="0"/>
              <w:left w:val="single" w:color="auto" w:sz="6" w:space="0"/>
              <w:bottom w:val="single" w:color="auto" w:sz="6" w:space="0"/>
              <w:right w:val="double" w:color="auto" w:sz="4" w:space="0"/>
            </w:tcBorders>
          </w:tcPr>
          <w:p w14:paraId="52E39340">
            <w:pPr>
              <w:autoSpaceDE w:val="0"/>
              <w:autoSpaceDN w:val="0"/>
              <w:adjustRightInd w:val="0"/>
              <w:snapToGrid w:val="0"/>
              <w:spacing w:line="360" w:lineRule="auto"/>
              <w:jc w:val="left"/>
              <w:rPr>
                <w:rFonts w:asciiTheme="minorEastAsia" w:hAnsiTheme="minorEastAsia" w:eastAsiaTheme="minorEastAsia"/>
                <w:kern w:val="0"/>
                <w:szCs w:val="21"/>
              </w:rPr>
            </w:pPr>
          </w:p>
        </w:tc>
      </w:tr>
      <w:tr w14:paraId="752027FC">
        <w:tblPrEx>
          <w:tblCellMar>
            <w:top w:w="0" w:type="dxa"/>
            <w:left w:w="0" w:type="dxa"/>
            <w:bottom w:w="0" w:type="dxa"/>
            <w:right w:w="0" w:type="dxa"/>
          </w:tblCellMar>
        </w:tblPrEx>
        <w:trPr>
          <w:trHeight w:val="415" w:hRule="exact"/>
        </w:trPr>
        <w:tc>
          <w:tcPr>
            <w:tcW w:w="7044" w:type="dxa"/>
            <w:gridSpan w:val="6"/>
            <w:tcBorders>
              <w:top w:val="single" w:color="auto" w:sz="6" w:space="0"/>
              <w:left w:val="double" w:color="auto" w:sz="4" w:space="0"/>
              <w:bottom w:val="double" w:color="auto" w:sz="4" w:space="0"/>
              <w:right w:val="single" w:color="auto" w:sz="6" w:space="0"/>
            </w:tcBorders>
            <w:vAlign w:val="center"/>
          </w:tcPr>
          <w:p w14:paraId="684522AD">
            <w:pPr>
              <w:autoSpaceDE w:val="0"/>
              <w:autoSpaceDN w:val="0"/>
              <w:adjustRightInd w:val="0"/>
              <w:snapToGrid w:val="0"/>
              <w:spacing w:line="360" w:lineRule="auto"/>
              <w:jc w:val="center"/>
              <w:rPr>
                <w:rFonts w:asciiTheme="minorEastAsia" w:hAnsiTheme="minorEastAsia" w:eastAsiaTheme="minorEastAsia"/>
                <w:kern w:val="0"/>
                <w:szCs w:val="21"/>
              </w:rPr>
            </w:pPr>
            <w:r>
              <w:rPr>
                <w:rFonts w:hint="eastAsia" w:cs="微软雅黑" w:asciiTheme="minorEastAsia" w:hAnsiTheme="minorEastAsia" w:eastAsiaTheme="minorEastAsia"/>
                <w:kern w:val="0"/>
                <w:position w:val="-1"/>
                <w:szCs w:val="21"/>
              </w:rPr>
              <w:t>投标报价（元）：</w:t>
            </w:r>
          </w:p>
        </w:tc>
        <w:tc>
          <w:tcPr>
            <w:tcW w:w="916" w:type="dxa"/>
            <w:tcBorders>
              <w:top w:val="single" w:color="auto" w:sz="6" w:space="0"/>
              <w:left w:val="single" w:color="auto" w:sz="6" w:space="0"/>
              <w:bottom w:val="double" w:color="auto" w:sz="4" w:space="0"/>
              <w:right w:val="single" w:color="auto" w:sz="6" w:space="0"/>
            </w:tcBorders>
          </w:tcPr>
          <w:p w14:paraId="2CF09F5A">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4" w:type="dxa"/>
            <w:tcBorders>
              <w:top w:val="single" w:color="auto" w:sz="6" w:space="0"/>
              <w:left w:val="single" w:color="auto" w:sz="6" w:space="0"/>
              <w:bottom w:val="double" w:color="auto" w:sz="4" w:space="0"/>
              <w:right w:val="double" w:color="auto" w:sz="4" w:space="0"/>
            </w:tcBorders>
          </w:tcPr>
          <w:p w14:paraId="7784F276">
            <w:pPr>
              <w:autoSpaceDE w:val="0"/>
              <w:autoSpaceDN w:val="0"/>
              <w:adjustRightInd w:val="0"/>
              <w:snapToGrid w:val="0"/>
              <w:spacing w:line="360" w:lineRule="auto"/>
              <w:jc w:val="left"/>
              <w:rPr>
                <w:rFonts w:asciiTheme="minorEastAsia" w:hAnsiTheme="minorEastAsia" w:eastAsiaTheme="minorEastAsia"/>
                <w:kern w:val="0"/>
                <w:szCs w:val="21"/>
              </w:rPr>
            </w:pPr>
          </w:p>
        </w:tc>
      </w:tr>
    </w:tbl>
    <w:p w14:paraId="0E02C4D7">
      <w:pPr>
        <w:adjustRightInd w:val="0"/>
        <w:snapToGrid w:val="0"/>
        <w:spacing w:line="360" w:lineRule="auto"/>
        <w:rPr>
          <w:rFonts w:ascii="宋体" w:hAnsi="宋体"/>
          <w:szCs w:val="21"/>
        </w:rPr>
      </w:pPr>
      <w:r>
        <w:rPr>
          <w:rFonts w:hint="eastAsia" w:ascii="宋体" w:hAnsi="宋体"/>
          <w:szCs w:val="21"/>
        </w:rPr>
        <w:t>备注：</w:t>
      </w:r>
      <w:r>
        <w:rPr>
          <w:rFonts w:hint="eastAsia" w:asciiTheme="minorEastAsia" w:hAnsiTheme="minorEastAsia" w:eastAsiaTheme="minorEastAsia"/>
          <w:szCs w:val="21"/>
        </w:rPr>
        <w:t>（1）</w:t>
      </w:r>
      <w:r>
        <w:rPr>
          <w:rFonts w:hint="eastAsia" w:asciiTheme="minorEastAsia" w:hAnsiTheme="minorEastAsia" w:eastAsiaTheme="minorEastAsia"/>
          <w:b/>
          <w:szCs w:val="21"/>
        </w:rPr>
        <w:t>本表应对应</w:t>
      </w:r>
      <w:r>
        <w:rPr>
          <w:rFonts w:hint="eastAsia" w:ascii="宋体" w:hAnsi="宋体"/>
          <w:szCs w:val="21"/>
        </w:rPr>
        <w:t>“</w:t>
      </w:r>
      <w:r>
        <w:rPr>
          <w:rFonts w:hint="eastAsia" w:asciiTheme="minorEastAsia" w:hAnsiTheme="minorEastAsia" w:eastAsiaTheme="minorEastAsia"/>
          <w:b/>
          <w:szCs w:val="21"/>
        </w:rPr>
        <w:t>开标一览表</w:t>
      </w:r>
      <w:r>
        <w:rPr>
          <w:rFonts w:hint="eastAsia" w:ascii="宋体" w:hAnsi="宋体"/>
          <w:szCs w:val="21"/>
        </w:rPr>
        <w:t>”</w:t>
      </w:r>
      <w:r>
        <w:rPr>
          <w:rFonts w:hint="eastAsia" w:asciiTheme="minorEastAsia" w:hAnsiTheme="minorEastAsia" w:eastAsiaTheme="minorEastAsia"/>
          <w:b/>
          <w:szCs w:val="21"/>
        </w:rPr>
        <w:t>，按包填写</w:t>
      </w:r>
      <w:r>
        <w:rPr>
          <w:rFonts w:hint="eastAsia" w:asciiTheme="minorEastAsia" w:hAnsiTheme="minorEastAsia" w:eastAsiaTheme="minorEastAsia"/>
          <w:szCs w:val="21"/>
        </w:rPr>
        <w:t>。</w:t>
      </w:r>
      <w:r>
        <w:rPr>
          <w:rFonts w:hint="eastAsia" w:ascii="宋体" w:hAnsi="宋体"/>
          <w:szCs w:val="21"/>
        </w:rPr>
        <w:t>投标人如果不提供分项报价明细表，其</w:t>
      </w:r>
      <w:r>
        <w:rPr>
          <w:rFonts w:hint="eastAsia" w:ascii="宋体" w:hAnsi="宋体"/>
          <w:b/>
          <w:szCs w:val="21"/>
        </w:rPr>
        <w:t>投标无效</w:t>
      </w:r>
      <w:r>
        <w:rPr>
          <w:rFonts w:hint="eastAsia" w:ascii="宋体" w:hAnsi="宋体"/>
          <w:szCs w:val="21"/>
        </w:rPr>
        <w:t>。</w:t>
      </w:r>
    </w:p>
    <w:p w14:paraId="3AB6DD20">
      <w:pPr>
        <w:adjustRightInd w:val="0"/>
        <w:snapToGrid w:val="0"/>
        <w:spacing w:line="360" w:lineRule="auto"/>
        <w:ind w:firstLine="420" w:firstLineChars="200"/>
        <w:rPr>
          <w:rFonts w:ascii="宋体" w:hAnsi="宋体"/>
          <w:szCs w:val="21"/>
        </w:rPr>
      </w:pPr>
      <w:r>
        <w:rPr>
          <w:rFonts w:hint="eastAsia" w:asciiTheme="minorEastAsia" w:hAnsiTheme="minorEastAsia" w:eastAsiaTheme="minorEastAsia"/>
          <w:szCs w:val="21"/>
        </w:rPr>
        <w:t>（2）</w:t>
      </w:r>
      <w:r>
        <w:rPr>
          <w:rFonts w:hint="eastAsia" w:ascii="宋体" w:hAnsi="宋体"/>
          <w:szCs w:val="21"/>
        </w:rPr>
        <w:t>不得填写“免费”或“赠与”，也不得进行“零”报价，否则</w:t>
      </w:r>
      <w:r>
        <w:rPr>
          <w:rFonts w:hint="eastAsia" w:ascii="宋体" w:hAnsi="宋体"/>
          <w:b/>
          <w:szCs w:val="21"/>
        </w:rPr>
        <w:t>投标无效</w:t>
      </w:r>
      <w:r>
        <w:rPr>
          <w:rFonts w:hint="eastAsia" w:ascii="宋体" w:hAnsi="宋体"/>
          <w:szCs w:val="21"/>
        </w:rPr>
        <w:t>。</w:t>
      </w:r>
    </w:p>
    <w:p w14:paraId="2A70CDBA">
      <w:pPr>
        <w:adjustRightInd w:val="0"/>
        <w:snapToGrid w:val="0"/>
        <w:spacing w:line="360" w:lineRule="auto"/>
        <w:ind w:firstLine="420" w:firstLineChars="200"/>
        <w:rPr>
          <w:rFonts w:ascii="宋体" w:hAnsi="宋体"/>
          <w:szCs w:val="21"/>
        </w:rPr>
      </w:pPr>
      <w:r>
        <w:rPr>
          <w:rFonts w:hint="eastAsia" w:asciiTheme="minorEastAsia" w:hAnsiTheme="minorEastAsia" w:eastAsiaTheme="minorEastAsia"/>
          <w:szCs w:val="21"/>
        </w:rPr>
        <w:t>（3）</w:t>
      </w:r>
      <w:r>
        <w:rPr>
          <w:rFonts w:hint="eastAsia" w:ascii="宋体" w:hAnsi="宋体"/>
          <w:szCs w:val="21"/>
        </w:rPr>
        <w:t>如果开标一览表内容与本表内容不一致的，以开标一览表内容为准。</w:t>
      </w:r>
    </w:p>
    <w:p w14:paraId="57C5C6AB">
      <w:pPr>
        <w:adjustRightInd w:val="0"/>
        <w:snapToGrid w:val="0"/>
        <w:spacing w:line="360" w:lineRule="auto"/>
        <w:ind w:firstLine="420" w:firstLineChars="200"/>
        <w:rPr>
          <w:rFonts w:ascii="宋体" w:hAnsi="宋体"/>
          <w:szCs w:val="21"/>
        </w:rPr>
      </w:pPr>
      <w:r>
        <w:rPr>
          <w:rFonts w:hint="eastAsia" w:asciiTheme="minorEastAsia" w:hAnsiTheme="minorEastAsia" w:eastAsiaTheme="minorEastAsia"/>
          <w:szCs w:val="21"/>
        </w:rPr>
        <w:t>（4）</w:t>
      </w:r>
      <w:r>
        <w:rPr>
          <w:rFonts w:hint="eastAsia" w:asciiTheme="minorEastAsia" w:hAnsiTheme="minorEastAsia" w:eastAsiaTheme="minorEastAsia"/>
          <w:bCs/>
          <w:szCs w:val="21"/>
        </w:rPr>
        <w:t>投标人在投标截止时间前修改“开标一览表”中的投标报价的，应按第二章第13.7款规定修改本表相应内容。否则，</w:t>
      </w:r>
      <w:r>
        <w:rPr>
          <w:rFonts w:hint="eastAsia" w:ascii="宋体" w:hAnsi="宋体"/>
          <w:szCs w:val="21"/>
        </w:rPr>
        <w:t>本表相应内容按投标报价修改的相同比例进行调整。</w:t>
      </w:r>
    </w:p>
    <w:p w14:paraId="64739212">
      <w:pPr>
        <w:adjustRightInd w:val="0"/>
        <w:snapToGrid w:val="0"/>
        <w:spacing w:line="360" w:lineRule="auto"/>
        <w:ind w:firstLine="422" w:firstLineChars="200"/>
        <w:rPr>
          <w:rFonts w:asciiTheme="minorEastAsia" w:hAnsiTheme="minorEastAsia" w:eastAsiaTheme="minorEastAsia"/>
          <w:b/>
          <w:szCs w:val="21"/>
        </w:rPr>
      </w:pPr>
    </w:p>
    <w:p w14:paraId="7DCA8605">
      <w:pPr>
        <w:adjustRightInd w:val="0"/>
        <w:snapToGrid w:val="0"/>
        <w:spacing w:line="360" w:lineRule="auto"/>
        <w:rPr>
          <w:rFonts w:ascii="宋体" w:hAnsi="宋体"/>
          <w:szCs w:val="21"/>
        </w:rPr>
      </w:pPr>
    </w:p>
    <w:p w14:paraId="7735675F">
      <w:pPr>
        <w:adjustRightInd w:val="0"/>
        <w:snapToGrid w:val="0"/>
        <w:spacing w:line="360" w:lineRule="auto"/>
        <w:rPr>
          <w:rFonts w:ascii="宋体" w:hAnsi="宋体"/>
          <w:szCs w:val="21"/>
        </w:rPr>
      </w:pPr>
      <w:r>
        <w:rPr>
          <w:rFonts w:hint="eastAsia" w:ascii="宋体" w:hAnsi="宋体"/>
          <w:szCs w:val="21"/>
        </w:rPr>
        <w:t>投标人名称（盖单位电子章）：</w:t>
      </w:r>
    </w:p>
    <w:p w14:paraId="328C4EC8">
      <w:pPr>
        <w:adjustRightInd w:val="0"/>
        <w:snapToGrid w:val="0"/>
        <w:spacing w:line="360" w:lineRule="auto"/>
        <w:rPr>
          <w:rFonts w:ascii="宋体" w:hAnsi="宋体"/>
          <w:szCs w:val="21"/>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宋体" w:hAnsi="宋体"/>
          <w:szCs w:val="21"/>
        </w:rPr>
        <w:t>或其授权的代理人</w:t>
      </w:r>
      <w:r>
        <w:rPr>
          <w:rFonts w:hint="eastAsia" w:ascii="宋体" w:hAnsi="宋体"/>
          <w:szCs w:val="21"/>
          <w:lang w:eastAsia="zh-CN"/>
        </w:rPr>
        <w:t>（电子签章）</w:t>
      </w:r>
      <w:r>
        <w:rPr>
          <w:rFonts w:hint="eastAsia" w:ascii="宋体" w:hAnsi="宋体"/>
          <w:szCs w:val="21"/>
        </w:rPr>
        <w:t>：</w:t>
      </w:r>
      <w:r>
        <w:rPr>
          <w:rFonts w:hint="eastAsia" w:ascii="宋体" w:hAnsi="宋体"/>
          <w:szCs w:val="21"/>
          <w:u w:val="single"/>
        </w:rPr>
        <w:t xml:space="preserve">       </w:t>
      </w:r>
    </w:p>
    <w:p w14:paraId="7B5A7113">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CC994B8">
      <w:pPr>
        <w:adjustRightInd w:val="0"/>
        <w:snapToGrid w:val="0"/>
        <w:spacing w:line="360" w:lineRule="auto"/>
        <w:rPr>
          <w:rFonts w:ascii="宋体" w:hAnsi="宋体"/>
          <w:szCs w:val="21"/>
        </w:rPr>
        <w:sectPr>
          <w:headerReference r:id="rId8" w:type="default"/>
          <w:footerReference r:id="rId9" w:type="default"/>
          <w:pgSz w:w="11906" w:h="16838"/>
          <w:pgMar w:top="1474" w:right="1474" w:bottom="1474" w:left="1588" w:header="851" w:footer="992" w:gutter="0"/>
          <w:pgNumType w:fmt="decimal"/>
          <w:cols w:space="720" w:num="1"/>
          <w:docGrid w:type="lines" w:linePitch="312" w:charSpace="0"/>
        </w:sectPr>
      </w:pPr>
    </w:p>
    <w:p w14:paraId="4DC96DE0">
      <w:pPr>
        <w:adjustRightInd w:val="0"/>
        <w:snapToGrid w:val="0"/>
        <w:spacing w:line="360" w:lineRule="auto"/>
        <w:rPr>
          <w:rFonts w:ascii="宋体" w:hAnsi="宋体"/>
          <w:szCs w:val="21"/>
        </w:rPr>
      </w:pPr>
    </w:p>
    <w:p w14:paraId="7A1D64C3">
      <w:pPr>
        <w:pStyle w:val="4"/>
        <w:adjustRightInd w:val="0"/>
        <w:snapToGrid w:val="0"/>
        <w:spacing w:before="0" w:after="0" w:line="360" w:lineRule="auto"/>
        <w:jc w:val="center"/>
        <w:rPr>
          <w:rFonts w:ascii="黑体" w:hAnsi="宋体" w:eastAsia="黑体"/>
          <w:color w:val="558ED5" w:themeColor="text2" w:themeTint="99"/>
          <w:sz w:val="44"/>
          <w:szCs w:val="44"/>
          <w14:textFill>
            <w14:solidFill>
              <w14:schemeClr w14:val="tx2">
                <w14:lumMod w14:val="60000"/>
                <w14:lumOff w14:val="40000"/>
              </w14:schemeClr>
            </w14:solidFill>
          </w14:textFill>
        </w:rPr>
      </w:pPr>
      <w:bookmarkStart w:id="190" w:name="_Toc10340"/>
      <w:bookmarkStart w:id="191" w:name="_Toc28564"/>
      <w:bookmarkStart w:id="192" w:name="_Toc29913967"/>
      <w:r>
        <w:rPr>
          <w:rFonts w:hint="eastAsia" w:ascii="黑体" w:hAnsi="宋体" w:eastAsia="黑体"/>
          <w:sz w:val="28"/>
          <w:szCs w:val="28"/>
        </w:rPr>
        <w:t>七、采购需求响应</w:t>
      </w:r>
      <w:bookmarkEnd w:id="190"/>
      <w:bookmarkEnd w:id="191"/>
    </w:p>
    <w:p w14:paraId="37C354E0">
      <w:pPr>
        <w:adjustRightInd w:val="0"/>
        <w:snapToGrid w:val="0"/>
        <w:spacing w:line="360" w:lineRule="auto"/>
        <w:rPr>
          <w:rFonts w:asciiTheme="minorEastAsia" w:hAnsiTheme="minorEastAsia" w:eastAsiaTheme="minorEastAsia"/>
          <w:b/>
          <w:szCs w:val="21"/>
        </w:rPr>
      </w:pPr>
    </w:p>
    <w:p w14:paraId="21F00E3C">
      <w:pPr>
        <w:adjustRightInd w:val="0"/>
        <w:snapToGrid w:val="0"/>
        <w:spacing w:line="360" w:lineRule="auto"/>
        <w:rPr>
          <w:b/>
        </w:rPr>
      </w:pPr>
      <w:r>
        <w:rPr>
          <w:rFonts w:hint="eastAsia" w:asciiTheme="minorEastAsia" w:hAnsiTheme="minorEastAsia" w:eastAsiaTheme="minorEastAsia"/>
          <w:b/>
          <w:szCs w:val="21"/>
        </w:rPr>
        <w:t>编制说明</w:t>
      </w:r>
      <w:r>
        <w:rPr>
          <w:rFonts w:hint="eastAsia" w:asciiTheme="minorEastAsia" w:hAnsiTheme="minorEastAsia" w:eastAsiaTheme="minorEastAsia"/>
          <w:bCs/>
          <w:szCs w:val="21"/>
        </w:rPr>
        <w:t>：</w:t>
      </w:r>
      <w:r>
        <w:rPr>
          <w:rFonts w:hint="eastAsia"/>
          <w:b/>
        </w:rPr>
        <w:t>投标人应按招标文件第五章采购需求自行编写采购需求响应文件（其内容可包括，且不限于详细的技术指标和服务的组织及保证措施等，格式自拟）。</w:t>
      </w:r>
    </w:p>
    <w:p w14:paraId="714D2DA5">
      <w:pPr>
        <w:pStyle w:val="25"/>
        <w:adjustRightInd w:val="0"/>
        <w:snapToGrid w:val="0"/>
        <w:spacing w:line="360" w:lineRule="auto"/>
        <w:ind w:left="-88" w:leftChars="-42"/>
        <w:rPr>
          <w:rFonts w:ascii="宋体" w:hAnsi="宋体"/>
          <w:bCs/>
          <w:sz w:val="21"/>
          <w:szCs w:val="21"/>
        </w:rPr>
      </w:pPr>
    </w:p>
    <w:p w14:paraId="51A1F3BC"/>
    <w:p w14:paraId="66198DB5"/>
    <w:p w14:paraId="6D7939D8">
      <w:pPr>
        <w:pStyle w:val="25"/>
        <w:tabs>
          <w:tab w:val="left" w:pos="6208"/>
        </w:tabs>
        <w:adjustRightInd w:val="0"/>
        <w:snapToGrid w:val="0"/>
        <w:spacing w:line="360" w:lineRule="auto"/>
        <w:ind w:left="-88" w:leftChars="-42"/>
        <w:rPr>
          <w:rFonts w:ascii="宋体" w:hAnsi="宋体"/>
          <w:bCs/>
          <w:sz w:val="21"/>
          <w:szCs w:val="21"/>
        </w:rPr>
      </w:pPr>
    </w:p>
    <w:p w14:paraId="6CBCA16B">
      <w:pPr>
        <w:adjustRightInd w:val="0"/>
        <w:snapToGrid w:val="0"/>
        <w:spacing w:line="360" w:lineRule="auto"/>
        <w:rPr>
          <w:rFonts w:ascii="宋体" w:hAnsi="宋体"/>
          <w:szCs w:val="21"/>
        </w:rPr>
      </w:pPr>
    </w:p>
    <w:p w14:paraId="02CEA4CA">
      <w:pPr>
        <w:adjustRightInd w:val="0"/>
        <w:snapToGrid w:val="0"/>
        <w:spacing w:line="360" w:lineRule="auto"/>
        <w:rPr>
          <w:rFonts w:ascii="宋体" w:hAnsi="宋体"/>
          <w:szCs w:val="21"/>
        </w:rPr>
      </w:pPr>
      <w:r>
        <w:rPr>
          <w:rFonts w:hint="eastAsia" w:ascii="宋体" w:hAnsi="宋体"/>
          <w:szCs w:val="21"/>
        </w:rPr>
        <w:t>投标人名称（盖单位电子章）：</w:t>
      </w:r>
    </w:p>
    <w:p w14:paraId="71484323">
      <w:pPr>
        <w:adjustRightInd w:val="0"/>
        <w:snapToGrid w:val="0"/>
        <w:spacing w:line="360" w:lineRule="auto"/>
        <w:rPr>
          <w:rFonts w:ascii="宋体" w:hAnsi="宋体"/>
          <w:szCs w:val="21"/>
          <w:u w:val="single"/>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宋体" w:hAnsi="宋体"/>
          <w:szCs w:val="21"/>
        </w:rPr>
        <w:t>或其授权的代理人</w:t>
      </w:r>
      <w:r>
        <w:rPr>
          <w:rFonts w:hint="eastAsia" w:ascii="宋体" w:hAnsi="宋体"/>
          <w:szCs w:val="21"/>
          <w:lang w:eastAsia="zh-CN"/>
        </w:rPr>
        <w:t>（电子签章）</w:t>
      </w:r>
      <w:r>
        <w:rPr>
          <w:rFonts w:hint="eastAsia" w:ascii="宋体" w:hAnsi="宋体"/>
          <w:szCs w:val="21"/>
        </w:rPr>
        <w:t>：</w:t>
      </w:r>
      <w:r>
        <w:rPr>
          <w:rFonts w:hint="eastAsia" w:ascii="宋体" w:hAnsi="宋体"/>
          <w:szCs w:val="21"/>
          <w:u w:val="single"/>
        </w:rPr>
        <w:t xml:space="preserve">             </w:t>
      </w:r>
    </w:p>
    <w:p w14:paraId="21B756D5">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15367B6"/>
    <w:p w14:paraId="42D34067"/>
    <w:p w14:paraId="1341E576">
      <w:pPr>
        <w:pStyle w:val="5"/>
        <w:adjustRightInd w:val="0"/>
        <w:snapToGrid w:val="0"/>
        <w:spacing w:before="156" w:beforeLines="50" w:after="0" w:line="360" w:lineRule="auto"/>
        <w:rPr>
          <w:rFonts w:ascii="黑体" w:hAnsi="黑体"/>
          <w:b w:val="0"/>
          <w:sz w:val="21"/>
          <w:szCs w:val="21"/>
        </w:rPr>
      </w:pPr>
      <w:bookmarkStart w:id="193" w:name="_Toc28646"/>
      <w:bookmarkStart w:id="194" w:name="_Toc15795"/>
      <w:r>
        <w:rPr>
          <w:rFonts w:hint="eastAsia" w:ascii="黑体" w:hAnsi="黑体" w:cs="宋体"/>
          <w:b w:val="0"/>
          <w:spacing w:val="6"/>
          <w:kern w:val="0"/>
          <w:sz w:val="21"/>
          <w:szCs w:val="21"/>
        </w:rPr>
        <w:t>附件7-1 响应</w:t>
      </w:r>
      <w:r>
        <w:rPr>
          <w:rFonts w:hint="eastAsia" w:ascii="黑体" w:hAnsi="黑体"/>
          <w:b w:val="0"/>
          <w:sz w:val="21"/>
          <w:szCs w:val="21"/>
        </w:rPr>
        <w:t>-览表</w:t>
      </w:r>
      <w:bookmarkEnd w:id="193"/>
      <w:bookmarkEnd w:id="194"/>
    </w:p>
    <w:p w14:paraId="0CB2EDB8">
      <w:pPr>
        <w:adjustRightInd w:val="0"/>
        <w:snapToGrid w:val="0"/>
        <w:spacing w:before="156" w:beforeLines="50" w:line="360" w:lineRule="auto"/>
        <w:jc w:val="center"/>
        <w:rPr>
          <w:rFonts w:ascii="黑体" w:hAnsi="黑体" w:eastAsia="黑体"/>
          <w:b/>
          <w:bCs/>
          <w:sz w:val="28"/>
          <w:szCs w:val="28"/>
        </w:rPr>
      </w:pPr>
      <w:r>
        <w:rPr>
          <w:rFonts w:hint="eastAsia" w:ascii="黑体" w:hAnsi="黑体" w:eastAsia="黑体"/>
          <w:b/>
          <w:bCs/>
          <w:sz w:val="28"/>
          <w:szCs w:val="28"/>
        </w:rPr>
        <w:t>响应-览表</w:t>
      </w:r>
    </w:p>
    <w:p w14:paraId="39D72201">
      <w:pPr>
        <w:adjustRightInd w:val="0"/>
        <w:snapToGrid w:val="0"/>
        <w:spacing w:before="156" w:beforeLines="50" w:line="360" w:lineRule="auto"/>
        <w:jc w:val="center"/>
        <w:rPr>
          <w:rFonts w:ascii="黑体" w:hAnsi="黑体" w:eastAsia="黑体"/>
          <w:b/>
          <w:bCs/>
          <w:sz w:val="28"/>
          <w:szCs w:val="28"/>
        </w:rPr>
      </w:pPr>
    </w:p>
    <w:tbl>
      <w:tblPr>
        <w:tblStyle w:val="43"/>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9"/>
        <w:gridCol w:w="957"/>
        <w:gridCol w:w="2124"/>
        <w:gridCol w:w="2127"/>
        <w:gridCol w:w="992"/>
        <w:gridCol w:w="709"/>
        <w:gridCol w:w="751"/>
        <w:gridCol w:w="971"/>
      </w:tblGrid>
      <w:tr w14:paraId="0CE06C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6" w:hRule="atLeast"/>
        </w:trPr>
        <w:tc>
          <w:tcPr>
            <w:tcW w:w="429" w:type="dxa"/>
            <w:vMerge w:val="restart"/>
            <w:vAlign w:val="center"/>
          </w:tcPr>
          <w:p w14:paraId="20E3C8F3">
            <w:pPr>
              <w:jc w:val="center"/>
              <w:rPr>
                <w:szCs w:val="21"/>
              </w:rPr>
            </w:pPr>
            <w:r>
              <w:rPr>
                <w:rFonts w:hint="eastAsia"/>
                <w:szCs w:val="21"/>
              </w:rPr>
              <w:t xml:space="preserve">包号 </w:t>
            </w:r>
          </w:p>
        </w:tc>
        <w:tc>
          <w:tcPr>
            <w:tcW w:w="957" w:type="dxa"/>
            <w:vMerge w:val="restart"/>
            <w:tcBorders>
              <w:right w:val="single" w:color="auto" w:sz="4" w:space="0"/>
            </w:tcBorders>
            <w:vAlign w:val="center"/>
          </w:tcPr>
          <w:p w14:paraId="183664E8">
            <w:pPr>
              <w:jc w:val="center"/>
              <w:rPr>
                <w:szCs w:val="21"/>
              </w:rPr>
            </w:pPr>
            <w:r>
              <w:rPr>
                <w:rFonts w:hint="eastAsia"/>
                <w:szCs w:val="21"/>
              </w:rPr>
              <w:t>包名称</w:t>
            </w:r>
          </w:p>
        </w:tc>
        <w:tc>
          <w:tcPr>
            <w:tcW w:w="2124" w:type="dxa"/>
            <w:vMerge w:val="restart"/>
            <w:tcBorders>
              <w:left w:val="single" w:color="auto" w:sz="4" w:space="0"/>
            </w:tcBorders>
            <w:vAlign w:val="center"/>
          </w:tcPr>
          <w:p w14:paraId="59AEB54F">
            <w:pPr>
              <w:jc w:val="center"/>
              <w:rPr>
                <w:szCs w:val="21"/>
              </w:rPr>
            </w:pPr>
            <w:r>
              <w:rPr>
                <w:rFonts w:hint="eastAsia"/>
                <w:szCs w:val="21"/>
              </w:rPr>
              <w:t>分项项目名称</w:t>
            </w:r>
          </w:p>
          <w:p w14:paraId="2EBE452A">
            <w:pPr>
              <w:jc w:val="center"/>
              <w:rPr>
                <w:szCs w:val="21"/>
              </w:rPr>
            </w:pPr>
            <w:r>
              <w:rPr>
                <w:rFonts w:hint="eastAsia"/>
                <w:szCs w:val="21"/>
              </w:rPr>
              <w:t>（条目号/品目名称）</w:t>
            </w:r>
          </w:p>
        </w:tc>
        <w:tc>
          <w:tcPr>
            <w:tcW w:w="2127" w:type="dxa"/>
            <w:vMerge w:val="restart"/>
            <w:vAlign w:val="center"/>
          </w:tcPr>
          <w:p w14:paraId="0DF09E52">
            <w:pPr>
              <w:jc w:val="center"/>
              <w:rPr>
                <w:szCs w:val="21"/>
              </w:rPr>
            </w:pPr>
            <w:r>
              <w:rPr>
                <w:rFonts w:hint="eastAsia"/>
                <w:szCs w:val="21"/>
              </w:rPr>
              <w:t>主要技术条款要求</w:t>
            </w:r>
          </w:p>
        </w:tc>
        <w:tc>
          <w:tcPr>
            <w:tcW w:w="992" w:type="dxa"/>
            <w:vMerge w:val="restart"/>
            <w:vAlign w:val="center"/>
          </w:tcPr>
          <w:p w14:paraId="7CE4641D">
            <w:pPr>
              <w:jc w:val="center"/>
              <w:rPr>
                <w:szCs w:val="21"/>
              </w:rPr>
            </w:pPr>
            <w:r>
              <w:rPr>
                <w:rFonts w:hint="eastAsia"/>
                <w:szCs w:val="21"/>
              </w:rPr>
              <w:t>数量</w:t>
            </w:r>
          </w:p>
        </w:tc>
        <w:tc>
          <w:tcPr>
            <w:tcW w:w="1460" w:type="dxa"/>
            <w:gridSpan w:val="2"/>
            <w:vAlign w:val="center"/>
          </w:tcPr>
          <w:p w14:paraId="33DE642D">
            <w:pPr>
              <w:jc w:val="center"/>
              <w:rPr>
                <w:szCs w:val="21"/>
              </w:rPr>
            </w:pPr>
            <w:r>
              <w:rPr>
                <w:rFonts w:hint="eastAsia"/>
                <w:szCs w:val="21"/>
              </w:rPr>
              <w:t>服务</w:t>
            </w:r>
          </w:p>
        </w:tc>
        <w:tc>
          <w:tcPr>
            <w:tcW w:w="971" w:type="dxa"/>
            <w:vMerge w:val="restart"/>
            <w:vAlign w:val="center"/>
          </w:tcPr>
          <w:p w14:paraId="56FE712C">
            <w:pPr>
              <w:jc w:val="center"/>
              <w:rPr>
                <w:szCs w:val="21"/>
              </w:rPr>
            </w:pPr>
            <w:r>
              <w:rPr>
                <w:rFonts w:hint="eastAsia"/>
                <w:szCs w:val="21"/>
              </w:rPr>
              <w:t>备注</w:t>
            </w:r>
          </w:p>
        </w:tc>
      </w:tr>
      <w:tr w14:paraId="4967C9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429" w:type="dxa"/>
            <w:vMerge w:val="continue"/>
            <w:vAlign w:val="center"/>
          </w:tcPr>
          <w:p w14:paraId="75514C89">
            <w:pPr>
              <w:jc w:val="center"/>
              <w:rPr>
                <w:szCs w:val="21"/>
              </w:rPr>
            </w:pPr>
          </w:p>
        </w:tc>
        <w:tc>
          <w:tcPr>
            <w:tcW w:w="957" w:type="dxa"/>
            <w:vMerge w:val="continue"/>
            <w:tcBorders>
              <w:right w:val="single" w:color="auto" w:sz="4" w:space="0"/>
            </w:tcBorders>
            <w:vAlign w:val="center"/>
          </w:tcPr>
          <w:p w14:paraId="70ECE1A1">
            <w:pPr>
              <w:jc w:val="center"/>
              <w:rPr>
                <w:szCs w:val="21"/>
              </w:rPr>
            </w:pPr>
          </w:p>
        </w:tc>
        <w:tc>
          <w:tcPr>
            <w:tcW w:w="2124" w:type="dxa"/>
            <w:vMerge w:val="continue"/>
            <w:tcBorders>
              <w:left w:val="single" w:color="auto" w:sz="4" w:space="0"/>
            </w:tcBorders>
            <w:vAlign w:val="center"/>
          </w:tcPr>
          <w:p w14:paraId="1547117C">
            <w:pPr>
              <w:jc w:val="center"/>
              <w:rPr>
                <w:szCs w:val="21"/>
              </w:rPr>
            </w:pPr>
          </w:p>
        </w:tc>
        <w:tc>
          <w:tcPr>
            <w:tcW w:w="2127" w:type="dxa"/>
            <w:vMerge w:val="continue"/>
            <w:vAlign w:val="center"/>
          </w:tcPr>
          <w:p w14:paraId="5E9301B0">
            <w:pPr>
              <w:jc w:val="center"/>
              <w:rPr>
                <w:szCs w:val="21"/>
              </w:rPr>
            </w:pPr>
          </w:p>
        </w:tc>
        <w:tc>
          <w:tcPr>
            <w:tcW w:w="992" w:type="dxa"/>
            <w:vMerge w:val="continue"/>
            <w:vAlign w:val="center"/>
          </w:tcPr>
          <w:p w14:paraId="78EC3064">
            <w:pPr>
              <w:jc w:val="center"/>
              <w:rPr>
                <w:szCs w:val="21"/>
              </w:rPr>
            </w:pPr>
          </w:p>
        </w:tc>
        <w:tc>
          <w:tcPr>
            <w:tcW w:w="709" w:type="dxa"/>
            <w:vAlign w:val="center"/>
          </w:tcPr>
          <w:p w14:paraId="58B19089">
            <w:pPr>
              <w:jc w:val="center"/>
              <w:rPr>
                <w:szCs w:val="21"/>
              </w:rPr>
            </w:pPr>
            <w:r>
              <w:rPr>
                <w:rFonts w:hint="eastAsia"/>
                <w:szCs w:val="21"/>
              </w:rPr>
              <w:t>时间</w:t>
            </w:r>
          </w:p>
        </w:tc>
        <w:tc>
          <w:tcPr>
            <w:tcW w:w="751" w:type="dxa"/>
            <w:vAlign w:val="center"/>
          </w:tcPr>
          <w:p w14:paraId="30EC2E96">
            <w:pPr>
              <w:jc w:val="center"/>
              <w:rPr>
                <w:szCs w:val="21"/>
              </w:rPr>
            </w:pPr>
            <w:r>
              <w:rPr>
                <w:rFonts w:hint="eastAsia"/>
                <w:szCs w:val="21"/>
              </w:rPr>
              <w:t>地点</w:t>
            </w:r>
          </w:p>
        </w:tc>
        <w:tc>
          <w:tcPr>
            <w:tcW w:w="971" w:type="dxa"/>
            <w:vMerge w:val="continue"/>
          </w:tcPr>
          <w:p w14:paraId="5E5CB297">
            <w:pPr>
              <w:rPr>
                <w:szCs w:val="21"/>
              </w:rPr>
            </w:pPr>
          </w:p>
        </w:tc>
      </w:tr>
      <w:tr w14:paraId="7A92C5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tcPr>
          <w:p w14:paraId="413522F0">
            <w:pPr>
              <w:rPr>
                <w:szCs w:val="21"/>
              </w:rPr>
            </w:pPr>
          </w:p>
        </w:tc>
        <w:tc>
          <w:tcPr>
            <w:tcW w:w="957" w:type="dxa"/>
            <w:tcBorders>
              <w:right w:val="single" w:color="auto" w:sz="4" w:space="0"/>
            </w:tcBorders>
          </w:tcPr>
          <w:p w14:paraId="32D3A5FA">
            <w:pPr>
              <w:rPr>
                <w:szCs w:val="21"/>
              </w:rPr>
            </w:pPr>
          </w:p>
        </w:tc>
        <w:tc>
          <w:tcPr>
            <w:tcW w:w="2124" w:type="dxa"/>
            <w:tcBorders>
              <w:left w:val="single" w:color="auto" w:sz="4" w:space="0"/>
            </w:tcBorders>
          </w:tcPr>
          <w:p w14:paraId="050B5864">
            <w:pPr>
              <w:rPr>
                <w:szCs w:val="21"/>
              </w:rPr>
            </w:pPr>
          </w:p>
        </w:tc>
        <w:tc>
          <w:tcPr>
            <w:tcW w:w="2127" w:type="dxa"/>
          </w:tcPr>
          <w:p w14:paraId="22E16E26">
            <w:pPr>
              <w:rPr>
                <w:szCs w:val="21"/>
              </w:rPr>
            </w:pPr>
          </w:p>
        </w:tc>
        <w:tc>
          <w:tcPr>
            <w:tcW w:w="992" w:type="dxa"/>
          </w:tcPr>
          <w:p w14:paraId="64AECCC5">
            <w:pPr>
              <w:rPr>
                <w:szCs w:val="21"/>
              </w:rPr>
            </w:pPr>
          </w:p>
        </w:tc>
        <w:tc>
          <w:tcPr>
            <w:tcW w:w="709" w:type="dxa"/>
            <w:tcBorders>
              <w:bottom w:val="single" w:color="auto" w:sz="4" w:space="0"/>
            </w:tcBorders>
          </w:tcPr>
          <w:p w14:paraId="5E213AF4">
            <w:pPr>
              <w:rPr>
                <w:szCs w:val="21"/>
              </w:rPr>
            </w:pPr>
          </w:p>
        </w:tc>
        <w:tc>
          <w:tcPr>
            <w:tcW w:w="751" w:type="dxa"/>
            <w:tcBorders>
              <w:bottom w:val="single" w:color="auto" w:sz="4" w:space="0"/>
            </w:tcBorders>
          </w:tcPr>
          <w:p w14:paraId="6539FA2E">
            <w:pPr>
              <w:rPr>
                <w:szCs w:val="21"/>
              </w:rPr>
            </w:pPr>
          </w:p>
        </w:tc>
        <w:tc>
          <w:tcPr>
            <w:tcW w:w="971" w:type="dxa"/>
          </w:tcPr>
          <w:p w14:paraId="1780BE6D">
            <w:pPr>
              <w:rPr>
                <w:szCs w:val="21"/>
              </w:rPr>
            </w:pPr>
          </w:p>
        </w:tc>
      </w:tr>
      <w:tr w14:paraId="022942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tcPr>
          <w:p w14:paraId="046C52A3">
            <w:pPr>
              <w:rPr>
                <w:szCs w:val="21"/>
              </w:rPr>
            </w:pPr>
          </w:p>
        </w:tc>
        <w:tc>
          <w:tcPr>
            <w:tcW w:w="957" w:type="dxa"/>
            <w:tcBorders>
              <w:right w:val="single" w:color="auto" w:sz="4" w:space="0"/>
            </w:tcBorders>
          </w:tcPr>
          <w:p w14:paraId="4E73F7C4">
            <w:pPr>
              <w:rPr>
                <w:szCs w:val="21"/>
              </w:rPr>
            </w:pPr>
          </w:p>
        </w:tc>
        <w:tc>
          <w:tcPr>
            <w:tcW w:w="2124" w:type="dxa"/>
            <w:tcBorders>
              <w:left w:val="single" w:color="auto" w:sz="4" w:space="0"/>
            </w:tcBorders>
          </w:tcPr>
          <w:p w14:paraId="4D67ED91">
            <w:pPr>
              <w:rPr>
                <w:szCs w:val="21"/>
              </w:rPr>
            </w:pPr>
          </w:p>
        </w:tc>
        <w:tc>
          <w:tcPr>
            <w:tcW w:w="2127" w:type="dxa"/>
          </w:tcPr>
          <w:p w14:paraId="54CA0B1B">
            <w:pPr>
              <w:rPr>
                <w:szCs w:val="21"/>
              </w:rPr>
            </w:pPr>
          </w:p>
        </w:tc>
        <w:tc>
          <w:tcPr>
            <w:tcW w:w="992" w:type="dxa"/>
          </w:tcPr>
          <w:p w14:paraId="52BF91DE">
            <w:pPr>
              <w:rPr>
                <w:szCs w:val="21"/>
              </w:rPr>
            </w:pPr>
          </w:p>
        </w:tc>
        <w:tc>
          <w:tcPr>
            <w:tcW w:w="709" w:type="dxa"/>
            <w:tcBorders>
              <w:top w:val="single" w:color="auto" w:sz="4" w:space="0"/>
              <w:bottom w:val="single" w:color="auto" w:sz="4" w:space="0"/>
            </w:tcBorders>
          </w:tcPr>
          <w:p w14:paraId="5CFF223E">
            <w:pPr>
              <w:rPr>
                <w:szCs w:val="21"/>
              </w:rPr>
            </w:pPr>
          </w:p>
        </w:tc>
        <w:tc>
          <w:tcPr>
            <w:tcW w:w="751" w:type="dxa"/>
            <w:tcBorders>
              <w:top w:val="single" w:color="auto" w:sz="4" w:space="0"/>
              <w:bottom w:val="single" w:color="auto" w:sz="4" w:space="0"/>
            </w:tcBorders>
          </w:tcPr>
          <w:p w14:paraId="25359DA2">
            <w:pPr>
              <w:rPr>
                <w:szCs w:val="21"/>
              </w:rPr>
            </w:pPr>
          </w:p>
        </w:tc>
        <w:tc>
          <w:tcPr>
            <w:tcW w:w="971" w:type="dxa"/>
          </w:tcPr>
          <w:p w14:paraId="58CB035E">
            <w:pPr>
              <w:rPr>
                <w:szCs w:val="21"/>
              </w:rPr>
            </w:pPr>
          </w:p>
        </w:tc>
      </w:tr>
      <w:tr w14:paraId="5A94C9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tcPr>
          <w:p w14:paraId="4C98EEBB">
            <w:pPr>
              <w:rPr>
                <w:szCs w:val="21"/>
              </w:rPr>
            </w:pPr>
          </w:p>
        </w:tc>
        <w:tc>
          <w:tcPr>
            <w:tcW w:w="957" w:type="dxa"/>
            <w:tcBorders>
              <w:right w:val="single" w:color="auto" w:sz="4" w:space="0"/>
            </w:tcBorders>
          </w:tcPr>
          <w:p w14:paraId="3B533950">
            <w:pPr>
              <w:rPr>
                <w:szCs w:val="21"/>
              </w:rPr>
            </w:pPr>
          </w:p>
        </w:tc>
        <w:tc>
          <w:tcPr>
            <w:tcW w:w="2124" w:type="dxa"/>
            <w:tcBorders>
              <w:left w:val="single" w:color="auto" w:sz="4" w:space="0"/>
            </w:tcBorders>
          </w:tcPr>
          <w:p w14:paraId="04270FC3">
            <w:pPr>
              <w:rPr>
                <w:szCs w:val="21"/>
              </w:rPr>
            </w:pPr>
          </w:p>
        </w:tc>
        <w:tc>
          <w:tcPr>
            <w:tcW w:w="2127" w:type="dxa"/>
          </w:tcPr>
          <w:p w14:paraId="0E7EBDAE">
            <w:pPr>
              <w:rPr>
                <w:szCs w:val="21"/>
              </w:rPr>
            </w:pPr>
          </w:p>
        </w:tc>
        <w:tc>
          <w:tcPr>
            <w:tcW w:w="992" w:type="dxa"/>
          </w:tcPr>
          <w:p w14:paraId="43E18EAB">
            <w:pPr>
              <w:rPr>
                <w:szCs w:val="21"/>
              </w:rPr>
            </w:pPr>
          </w:p>
        </w:tc>
        <w:tc>
          <w:tcPr>
            <w:tcW w:w="709" w:type="dxa"/>
            <w:tcBorders>
              <w:top w:val="single" w:color="auto" w:sz="4" w:space="0"/>
              <w:bottom w:val="single" w:color="auto" w:sz="4" w:space="0"/>
            </w:tcBorders>
          </w:tcPr>
          <w:p w14:paraId="6F69503B">
            <w:pPr>
              <w:rPr>
                <w:szCs w:val="21"/>
              </w:rPr>
            </w:pPr>
          </w:p>
        </w:tc>
        <w:tc>
          <w:tcPr>
            <w:tcW w:w="751" w:type="dxa"/>
            <w:tcBorders>
              <w:top w:val="single" w:color="auto" w:sz="4" w:space="0"/>
              <w:bottom w:val="single" w:color="auto" w:sz="4" w:space="0"/>
            </w:tcBorders>
          </w:tcPr>
          <w:p w14:paraId="70F8959F">
            <w:pPr>
              <w:rPr>
                <w:szCs w:val="21"/>
              </w:rPr>
            </w:pPr>
          </w:p>
        </w:tc>
        <w:tc>
          <w:tcPr>
            <w:tcW w:w="971" w:type="dxa"/>
          </w:tcPr>
          <w:p w14:paraId="6138C0AF">
            <w:pPr>
              <w:rPr>
                <w:szCs w:val="21"/>
              </w:rPr>
            </w:pPr>
          </w:p>
        </w:tc>
      </w:tr>
      <w:tr w14:paraId="6B3555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tcPr>
          <w:p w14:paraId="42DD0608">
            <w:pPr>
              <w:rPr>
                <w:szCs w:val="21"/>
              </w:rPr>
            </w:pPr>
          </w:p>
        </w:tc>
        <w:tc>
          <w:tcPr>
            <w:tcW w:w="957" w:type="dxa"/>
            <w:tcBorders>
              <w:right w:val="single" w:color="auto" w:sz="4" w:space="0"/>
            </w:tcBorders>
          </w:tcPr>
          <w:p w14:paraId="581146DA">
            <w:pPr>
              <w:rPr>
                <w:szCs w:val="21"/>
              </w:rPr>
            </w:pPr>
          </w:p>
        </w:tc>
        <w:tc>
          <w:tcPr>
            <w:tcW w:w="2124" w:type="dxa"/>
            <w:tcBorders>
              <w:left w:val="single" w:color="auto" w:sz="4" w:space="0"/>
            </w:tcBorders>
          </w:tcPr>
          <w:p w14:paraId="5B34BB08">
            <w:pPr>
              <w:rPr>
                <w:szCs w:val="21"/>
              </w:rPr>
            </w:pPr>
          </w:p>
        </w:tc>
        <w:tc>
          <w:tcPr>
            <w:tcW w:w="2127" w:type="dxa"/>
          </w:tcPr>
          <w:p w14:paraId="7759E069">
            <w:pPr>
              <w:rPr>
                <w:szCs w:val="21"/>
              </w:rPr>
            </w:pPr>
          </w:p>
        </w:tc>
        <w:tc>
          <w:tcPr>
            <w:tcW w:w="992" w:type="dxa"/>
          </w:tcPr>
          <w:p w14:paraId="68903EF8">
            <w:pPr>
              <w:rPr>
                <w:szCs w:val="21"/>
              </w:rPr>
            </w:pPr>
          </w:p>
        </w:tc>
        <w:tc>
          <w:tcPr>
            <w:tcW w:w="709" w:type="dxa"/>
            <w:tcBorders>
              <w:top w:val="single" w:color="auto" w:sz="4" w:space="0"/>
              <w:bottom w:val="single" w:color="auto" w:sz="4" w:space="0"/>
            </w:tcBorders>
          </w:tcPr>
          <w:p w14:paraId="0FE704F0">
            <w:pPr>
              <w:rPr>
                <w:szCs w:val="21"/>
              </w:rPr>
            </w:pPr>
          </w:p>
        </w:tc>
        <w:tc>
          <w:tcPr>
            <w:tcW w:w="751" w:type="dxa"/>
            <w:tcBorders>
              <w:top w:val="single" w:color="auto" w:sz="4" w:space="0"/>
              <w:bottom w:val="single" w:color="auto" w:sz="4" w:space="0"/>
            </w:tcBorders>
          </w:tcPr>
          <w:p w14:paraId="5372BDF9">
            <w:pPr>
              <w:rPr>
                <w:szCs w:val="21"/>
              </w:rPr>
            </w:pPr>
          </w:p>
        </w:tc>
        <w:tc>
          <w:tcPr>
            <w:tcW w:w="971" w:type="dxa"/>
          </w:tcPr>
          <w:p w14:paraId="35A81CA7">
            <w:pPr>
              <w:rPr>
                <w:szCs w:val="21"/>
              </w:rPr>
            </w:pPr>
          </w:p>
        </w:tc>
      </w:tr>
      <w:tr w14:paraId="378D57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tcPr>
          <w:p w14:paraId="3E1E166F">
            <w:pPr>
              <w:rPr>
                <w:szCs w:val="21"/>
              </w:rPr>
            </w:pPr>
          </w:p>
        </w:tc>
        <w:tc>
          <w:tcPr>
            <w:tcW w:w="957" w:type="dxa"/>
            <w:tcBorders>
              <w:right w:val="single" w:color="auto" w:sz="4" w:space="0"/>
            </w:tcBorders>
          </w:tcPr>
          <w:p w14:paraId="4AE01302">
            <w:pPr>
              <w:rPr>
                <w:szCs w:val="21"/>
              </w:rPr>
            </w:pPr>
          </w:p>
        </w:tc>
        <w:tc>
          <w:tcPr>
            <w:tcW w:w="2124" w:type="dxa"/>
            <w:tcBorders>
              <w:left w:val="single" w:color="auto" w:sz="4" w:space="0"/>
            </w:tcBorders>
          </w:tcPr>
          <w:p w14:paraId="435F39D9">
            <w:pPr>
              <w:rPr>
                <w:szCs w:val="21"/>
              </w:rPr>
            </w:pPr>
          </w:p>
        </w:tc>
        <w:tc>
          <w:tcPr>
            <w:tcW w:w="2127" w:type="dxa"/>
          </w:tcPr>
          <w:p w14:paraId="7C3F8208">
            <w:pPr>
              <w:rPr>
                <w:szCs w:val="21"/>
              </w:rPr>
            </w:pPr>
          </w:p>
        </w:tc>
        <w:tc>
          <w:tcPr>
            <w:tcW w:w="992" w:type="dxa"/>
          </w:tcPr>
          <w:p w14:paraId="586A05FC">
            <w:pPr>
              <w:rPr>
                <w:szCs w:val="21"/>
              </w:rPr>
            </w:pPr>
          </w:p>
        </w:tc>
        <w:tc>
          <w:tcPr>
            <w:tcW w:w="709" w:type="dxa"/>
            <w:tcBorders>
              <w:top w:val="single" w:color="auto" w:sz="4" w:space="0"/>
            </w:tcBorders>
          </w:tcPr>
          <w:p w14:paraId="37A98126">
            <w:pPr>
              <w:rPr>
                <w:szCs w:val="21"/>
              </w:rPr>
            </w:pPr>
          </w:p>
        </w:tc>
        <w:tc>
          <w:tcPr>
            <w:tcW w:w="751" w:type="dxa"/>
            <w:tcBorders>
              <w:top w:val="single" w:color="auto" w:sz="4" w:space="0"/>
            </w:tcBorders>
          </w:tcPr>
          <w:p w14:paraId="13DD9F82">
            <w:pPr>
              <w:rPr>
                <w:szCs w:val="21"/>
              </w:rPr>
            </w:pPr>
          </w:p>
        </w:tc>
        <w:tc>
          <w:tcPr>
            <w:tcW w:w="971" w:type="dxa"/>
          </w:tcPr>
          <w:p w14:paraId="0FEE82BC">
            <w:pPr>
              <w:rPr>
                <w:szCs w:val="21"/>
              </w:rPr>
            </w:pPr>
          </w:p>
        </w:tc>
      </w:tr>
    </w:tbl>
    <w:p w14:paraId="2FA3D90A">
      <w:pPr>
        <w:adjustRightInd w:val="0"/>
        <w:snapToGrid w:val="0"/>
        <w:spacing w:before="156" w:beforeLines="50" w:line="360" w:lineRule="auto"/>
        <w:jc w:val="center"/>
        <w:rPr>
          <w:rFonts w:ascii="黑体" w:hAnsi="黑体" w:eastAsia="黑体"/>
          <w:b/>
          <w:bCs/>
          <w:sz w:val="28"/>
          <w:szCs w:val="28"/>
        </w:rPr>
      </w:pPr>
    </w:p>
    <w:p w14:paraId="37DAD6EE">
      <w:pPr>
        <w:jc w:val="center"/>
        <w:rPr>
          <w:rFonts w:asciiTheme="minorEastAsia" w:hAnsiTheme="minorEastAsia" w:eastAsiaTheme="minorEastAsia"/>
          <w:szCs w:val="21"/>
        </w:rPr>
      </w:pPr>
    </w:p>
    <w:p w14:paraId="158F2882">
      <w:pPr>
        <w:adjustRightInd w:val="0"/>
        <w:snapToGrid w:val="0"/>
        <w:spacing w:line="360" w:lineRule="auto"/>
      </w:pPr>
    </w:p>
    <w:p w14:paraId="50C3B0B1">
      <w:pPr>
        <w:adjustRightInd w:val="0"/>
        <w:snapToGrid w:val="0"/>
        <w:spacing w:line="360" w:lineRule="auto"/>
        <w:rPr>
          <w:rFonts w:ascii="宋体" w:hAnsi="宋体"/>
          <w:szCs w:val="21"/>
        </w:rPr>
      </w:pPr>
    </w:p>
    <w:p w14:paraId="1187CC63">
      <w:pPr>
        <w:adjustRightInd w:val="0"/>
        <w:snapToGrid w:val="0"/>
        <w:spacing w:line="360" w:lineRule="auto"/>
        <w:rPr>
          <w:rFonts w:ascii="宋体" w:hAnsi="宋体"/>
          <w:szCs w:val="21"/>
        </w:rPr>
      </w:pPr>
    </w:p>
    <w:p w14:paraId="7973D493">
      <w:pPr>
        <w:adjustRightInd w:val="0"/>
        <w:snapToGrid w:val="0"/>
        <w:spacing w:line="360" w:lineRule="auto"/>
        <w:rPr>
          <w:rFonts w:ascii="黑体" w:hAnsi="宋体" w:eastAsia="黑体"/>
          <w:sz w:val="28"/>
          <w:szCs w:val="28"/>
        </w:rPr>
        <w:sectPr>
          <w:headerReference r:id="rId12" w:type="first"/>
          <w:headerReference r:id="rId10" w:type="default"/>
          <w:footerReference r:id="rId13" w:type="default"/>
          <w:headerReference r:id="rId11" w:type="even"/>
          <w:pgSz w:w="11906" w:h="16838"/>
          <w:pgMar w:top="1474" w:right="1474" w:bottom="1474" w:left="1588" w:header="851" w:footer="992" w:gutter="0"/>
          <w:pgNumType w:fmt="decimal"/>
          <w:cols w:space="720" w:num="1"/>
          <w:docGrid w:type="lines" w:linePitch="312" w:charSpace="0"/>
        </w:sectPr>
      </w:pPr>
    </w:p>
    <w:p w14:paraId="48DC39FA">
      <w:pPr>
        <w:pStyle w:val="4"/>
        <w:adjustRightInd w:val="0"/>
        <w:snapToGrid w:val="0"/>
        <w:spacing w:before="156" w:beforeLines="50" w:after="0" w:line="360" w:lineRule="auto"/>
        <w:jc w:val="center"/>
        <w:rPr>
          <w:rFonts w:ascii="黑体" w:hAnsi="黑体" w:eastAsia="黑体"/>
          <w:sz w:val="28"/>
          <w:szCs w:val="28"/>
        </w:rPr>
      </w:pPr>
      <w:bookmarkStart w:id="195" w:name="_Toc25457"/>
      <w:bookmarkStart w:id="196" w:name="_Toc5437"/>
      <w:r>
        <w:rPr>
          <w:rFonts w:hint="eastAsia" w:ascii="黑体" w:hAnsi="黑体" w:eastAsia="黑体"/>
          <w:sz w:val="28"/>
          <w:szCs w:val="28"/>
        </w:rPr>
        <w:t>八、合同条款偏离表</w:t>
      </w:r>
      <w:bookmarkEnd w:id="192"/>
      <w:bookmarkEnd w:id="195"/>
      <w:bookmarkEnd w:id="196"/>
    </w:p>
    <w:p w14:paraId="1D06C968">
      <w:pPr>
        <w:adjustRightInd w:val="0"/>
        <w:snapToGrid w:val="0"/>
        <w:spacing w:before="156" w:beforeLines="50" w:line="360" w:lineRule="auto"/>
        <w:rPr>
          <w:rFonts w:asciiTheme="minorEastAsia" w:hAnsiTheme="minorEastAsia" w:eastAsiaTheme="minorEastAsia"/>
          <w:szCs w:val="21"/>
          <w:u w:val="single"/>
        </w:rPr>
      </w:pPr>
      <w:r>
        <w:rPr>
          <w:rFonts w:hint="eastAsia" w:ascii="宋体" w:hAnsi="宋体"/>
          <w:spacing w:val="28"/>
          <w:szCs w:val="21"/>
        </w:rPr>
        <w:t>采购代理编号</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w:t>
      </w:r>
      <w:r>
        <w:rPr>
          <w:rFonts w:hint="eastAsia" w:asciiTheme="minorEastAsia" w:hAnsiTheme="minorEastAsia" w:eastAsiaTheme="minorEastAsia"/>
          <w:szCs w:val="21"/>
        </w:rPr>
        <w:t>项目名称：</w:t>
      </w:r>
      <w:r>
        <w:rPr>
          <w:rFonts w:hint="eastAsia" w:asciiTheme="minorEastAsia" w:hAnsiTheme="minorEastAsia" w:eastAsiaTheme="minorEastAsia"/>
          <w:szCs w:val="21"/>
          <w:u w:val="single"/>
        </w:rPr>
        <w:t>____            ______</w:t>
      </w:r>
    </w:p>
    <w:p w14:paraId="77B118C4">
      <w:pPr>
        <w:adjustRightInd w:val="0"/>
        <w:snapToGrid w:val="0"/>
        <w:spacing w:before="50" w:line="360" w:lineRule="auto"/>
        <w:rPr>
          <w:rFonts w:ascii="宋体" w:hAnsi="宋体"/>
          <w:szCs w:val="21"/>
          <w:u w:val="single"/>
        </w:rPr>
      </w:pPr>
      <w:r>
        <w:rPr>
          <w:rFonts w:hint="eastAsia" w:asciiTheme="minorEastAsia" w:hAnsiTheme="minorEastAsia" w:eastAsiaTheme="minorEastAsia"/>
          <w:szCs w:val="21"/>
        </w:rPr>
        <w:t>包           号：</w:t>
      </w:r>
      <w:r>
        <w:rPr>
          <w:rFonts w:hint="eastAsia" w:asciiTheme="minorEastAsia" w:hAnsiTheme="minorEastAsia" w:eastAsiaTheme="minorEastAsia"/>
          <w:szCs w:val="21"/>
          <w:u w:val="single"/>
        </w:rPr>
        <w:t xml:space="preserve">__    ________          </w:t>
      </w:r>
      <w:r>
        <w:rPr>
          <w:rFonts w:hint="eastAsia" w:asciiTheme="minorEastAsia" w:hAnsiTheme="minorEastAsia" w:eastAsiaTheme="minorEastAsia"/>
          <w:szCs w:val="21"/>
        </w:rPr>
        <w:t xml:space="preserve">           包名称：</w:t>
      </w:r>
      <w:r>
        <w:rPr>
          <w:rFonts w:hint="eastAsia" w:asciiTheme="minorEastAsia" w:hAnsiTheme="minorEastAsia" w:eastAsiaTheme="minorEastAsia"/>
          <w:szCs w:val="21"/>
          <w:u w:val="single"/>
        </w:rPr>
        <w:t>___          _______</w:t>
      </w:r>
    </w:p>
    <w:tbl>
      <w:tblPr>
        <w:tblStyle w:val="43"/>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95"/>
        <w:gridCol w:w="2410"/>
        <w:gridCol w:w="1985"/>
        <w:gridCol w:w="2082"/>
        <w:gridCol w:w="1942"/>
      </w:tblGrid>
      <w:tr w14:paraId="3C519F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95" w:type="dxa"/>
            <w:vAlign w:val="center"/>
          </w:tcPr>
          <w:p w14:paraId="6A6CDBDE">
            <w:pPr>
              <w:adjustRightInd w:val="0"/>
              <w:snapToGrid w:val="0"/>
              <w:spacing w:before="50" w:line="360" w:lineRule="auto"/>
              <w:ind w:left="-88" w:leftChars="-42"/>
              <w:jc w:val="center"/>
              <w:rPr>
                <w:rFonts w:asciiTheme="minorEastAsia" w:hAnsiTheme="minorEastAsia" w:eastAsiaTheme="minorEastAsia"/>
                <w:szCs w:val="21"/>
              </w:rPr>
            </w:pPr>
            <w:r>
              <w:rPr>
                <w:rFonts w:hint="eastAsia" w:asciiTheme="minorEastAsia" w:hAnsiTheme="minorEastAsia" w:eastAsiaTheme="minorEastAsia"/>
                <w:bCs/>
                <w:szCs w:val="21"/>
              </w:rPr>
              <w:t>序</w:t>
            </w:r>
            <w:r>
              <w:rPr>
                <w:rFonts w:hint="eastAsia" w:asciiTheme="minorEastAsia" w:hAnsiTheme="minorEastAsia" w:eastAsiaTheme="minorEastAsia"/>
                <w:szCs w:val="21"/>
              </w:rPr>
              <w:t>号</w:t>
            </w:r>
          </w:p>
        </w:tc>
        <w:tc>
          <w:tcPr>
            <w:tcW w:w="2410" w:type="dxa"/>
            <w:vAlign w:val="center"/>
          </w:tcPr>
          <w:p w14:paraId="18FADDD7">
            <w:pPr>
              <w:adjustRightInd w:val="0"/>
              <w:snapToGrid w:val="0"/>
              <w:spacing w:before="50" w:line="360" w:lineRule="auto"/>
              <w:ind w:left="-88" w:leftChars="-42"/>
              <w:jc w:val="center"/>
              <w:rPr>
                <w:rFonts w:asciiTheme="minorEastAsia" w:hAnsiTheme="minorEastAsia" w:eastAsiaTheme="minorEastAsia"/>
                <w:szCs w:val="21"/>
              </w:rPr>
            </w:pPr>
            <w:r>
              <w:rPr>
                <w:rFonts w:hint="eastAsia" w:asciiTheme="minorEastAsia" w:hAnsiTheme="minorEastAsia" w:eastAsiaTheme="minorEastAsia"/>
                <w:szCs w:val="21"/>
              </w:rPr>
              <w:t>招标文件章节</w:t>
            </w:r>
            <w:r>
              <w:rPr>
                <w:rFonts w:hint="eastAsia" w:asciiTheme="minorEastAsia" w:hAnsiTheme="minorEastAsia" w:eastAsiaTheme="minorEastAsia"/>
                <w:bCs/>
                <w:szCs w:val="21"/>
              </w:rPr>
              <w:t>条</w:t>
            </w:r>
            <w:r>
              <w:rPr>
                <w:rFonts w:hint="eastAsia" w:asciiTheme="minorEastAsia" w:hAnsiTheme="minorEastAsia" w:eastAsiaTheme="minorEastAsia"/>
                <w:szCs w:val="21"/>
              </w:rPr>
              <w:t>款号</w:t>
            </w:r>
          </w:p>
        </w:tc>
        <w:tc>
          <w:tcPr>
            <w:tcW w:w="1985" w:type="dxa"/>
            <w:vAlign w:val="center"/>
          </w:tcPr>
          <w:p w14:paraId="2FB4C3AF">
            <w:pPr>
              <w:adjustRightInd w:val="0"/>
              <w:snapToGrid w:val="0"/>
              <w:spacing w:before="50" w:line="360" w:lineRule="auto"/>
              <w:ind w:left="-88" w:leftChars="-42"/>
              <w:jc w:val="center"/>
              <w:rPr>
                <w:rFonts w:asciiTheme="minorEastAsia" w:hAnsiTheme="minorEastAsia" w:eastAsiaTheme="minorEastAsia"/>
                <w:szCs w:val="21"/>
              </w:rPr>
            </w:pPr>
            <w:r>
              <w:rPr>
                <w:rFonts w:hint="eastAsia"/>
              </w:rPr>
              <w:t>招标文件要求</w:t>
            </w:r>
          </w:p>
        </w:tc>
        <w:tc>
          <w:tcPr>
            <w:tcW w:w="2082" w:type="dxa"/>
            <w:tcBorders>
              <w:right w:val="single" w:color="auto" w:sz="4" w:space="0"/>
            </w:tcBorders>
            <w:vAlign w:val="center"/>
          </w:tcPr>
          <w:p w14:paraId="4607E034">
            <w:pPr>
              <w:adjustRightInd w:val="0"/>
              <w:snapToGrid w:val="0"/>
              <w:spacing w:before="50" w:line="360" w:lineRule="auto"/>
              <w:jc w:val="center"/>
              <w:rPr>
                <w:rFonts w:asciiTheme="minorEastAsia" w:hAnsiTheme="minorEastAsia" w:eastAsiaTheme="minorEastAsia"/>
                <w:szCs w:val="21"/>
              </w:rPr>
            </w:pPr>
            <w:r>
              <w:rPr>
                <w:rFonts w:hint="eastAsia"/>
              </w:rPr>
              <w:t>投标文件的应答</w:t>
            </w:r>
          </w:p>
        </w:tc>
        <w:tc>
          <w:tcPr>
            <w:tcW w:w="1942" w:type="dxa"/>
            <w:tcBorders>
              <w:left w:val="single" w:color="auto" w:sz="4" w:space="0"/>
            </w:tcBorders>
            <w:vAlign w:val="center"/>
          </w:tcPr>
          <w:p w14:paraId="36482BCF">
            <w:pPr>
              <w:adjustRightInd w:val="0"/>
              <w:snapToGrid w:val="0"/>
              <w:spacing w:before="50" w:line="360" w:lineRule="auto"/>
              <w:ind w:left="-88" w:leftChars="-42"/>
              <w:jc w:val="center"/>
              <w:rPr>
                <w:rFonts w:asciiTheme="minorEastAsia" w:hAnsiTheme="minorEastAsia" w:eastAsiaTheme="minorEastAsia"/>
                <w:szCs w:val="21"/>
              </w:rPr>
            </w:pPr>
            <w:r>
              <w:rPr>
                <w:rFonts w:hint="eastAsia" w:asciiTheme="minorEastAsia" w:hAnsiTheme="minorEastAsia" w:eastAsiaTheme="minorEastAsia"/>
                <w:szCs w:val="21"/>
              </w:rPr>
              <w:t>偏离说明</w:t>
            </w:r>
          </w:p>
        </w:tc>
      </w:tr>
      <w:tr w14:paraId="167D59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4C394FCD">
            <w:pPr>
              <w:adjustRightInd w:val="0"/>
              <w:snapToGrid w:val="0"/>
              <w:spacing w:before="50" w:line="360" w:lineRule="auto"/>
              <w:ind w:left="-88" w:leftChars="-42"/>
              <w:jc w:val="center"/>
              <w:rPr>
                <w:rFonts w:asciiTheme="minorEastAsia" w:hAnsiTheme="minorEastAsia" w:eastAsiaTheme="minorEastAsia"/>
                <w:szCs w:val="21"/>
              </w:rPr>
            </w:pPr>
          </w:p>
        </w:tc>
        <w:tc>
          <w:tcPr>
            <w:tcW w:w="2410" w:type="dxa"/>
            <w:vAlign w:val="center"/>
          </w:tcPr>
          <w:p w14:paraId="39F8AF48">
            <w:pPr>
              <w:adjustRightInd w:val="0"/>
              <w:snapToGrid w:val="0"/>
              <w:spacing w:before="50" w:line="360" w:lineRule="auto"/>
              <w:ind w:left="-88" w:leftChars="-42"/>
              <w:jc w:val="center"/>
              <w:rPr>
                <w:rFonts w:asciiTheme="minorEastAsia" w:hAnsiTheme="minorEastAsia" w:eastAsiaTheme="minorEastAsia"/>
                <w:szCs w:val="21"/>
              </w:rPr>
            </w:pPr>
          </w:p>
        </w:tc>
        <w:tc>
          <w:tcPr>
            <w:tcW w:w="1985" w:type="dxa"/>
          </w:tcPr>
          <w:p w14:paraId="38732BDB">
            <w:pPr>
              <w:adjustRightInd w:val="0"/>
              <w:snapToGrid w:val="0"/>
              <w:spacing w:before="50" w:line="360" w:lineRule="auto"/>
            </w:pPr>
          </w:p>
        </w:tc>
        <w:tc>
          <w:tcPr>
            <w:tcW w:w="2082" w:type="dxa"/>
            <w:tcBorders>
              <w:right w:val="single" w:color="auto" w:sz="4" w:space="0"/>
            </w:tcBorders>
          </w:tcPr>
          <w:p w14:paraId="56A344F6">
            <w:pPr>
              <w:adjustRightInd w:val="0"/>
              <w:snapToGrid w:val="0"/>
              <w:spacing w:before="50" w:line="360" w:lineRule="auto"/>
            </w:pPr>
          </w:p>
        </w:tc>
        <w:tc>
          <w:tcPr>
            <w:tcW w:w="1942" w:type="dxa"/>
            <w:tcBorders>
              <w:left w:val="single" w:color="auto" w:sz="4" w:space="0"/>
            </w:tcBorders>
          </w:tcPr>
          <w:p w14:paraId="117B5FB7">
            <w:pPr>
              <w:adjustRightInd w:val="0"/>
              <w:snapToGrid w:val="0"/>
              <w:spacing w:before="50" w:line="360" w:lineRule="auto"/>
              <w:ind w:left="-88" w:leftChars="-42"/>
              <w:jc w:val="center"/>
              <w:rPr>
                <w:rFonts w:asciiTheme="minorEastAsia" w:hAnsiTheme="minorEastAsia" w:eastAsiaTheme="minorEastAsia"/>
                <w:szCs w:val="21"/>
              </w:rPr>
            </w:pPr>
          </w:p>
        </w:tc>
      </w:tr>
      <w:tr w14:paraId="5ED95E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4327D0A1">
            <w:pPr>
              <w:adjustRightInd w:val="0"/>
              <w:snapToGrid w:val="0"/>
              <w:spacing w:before="50" w:line="360" w:lineRule="auto"/>
              <w:ind w:left="-88" w:leftChars="-42"/>
              <w:jc w:val="center"/>
              <w:rPr>
                <w:rFonts w:asciiTheme="minorEastAsia" w:hAnsiTheme="minorEastAsia" w:eastAsiaTheme="minorEastAsia"/>
                <w:szCs w:val="21"/>
              </w:rPr>
            </w:pPr>
          </w:p>
        </w:tc>
        <w:tc>
          <w:tcPr>
            <w:tcW w:w="2410" w:type="dxa"/>
            <w:vAlign w:val="center"/>
          </w:tcPr>
          <w:p w14:paraId="4CC45479">
            <w:pPr>
              <w:adjustRightInd w:val="0"/>
              <w:snapToGrid w:val="0"/>
              <w:spacing w:before="50" w:line="360" w:lineRule="auto"/>
              <w:ind w:left="-88" w:leftChars="-42"/>
              <w:jc w:val="center"/>
              <w:rPr>
                <w:rFonts w:asciiTheme="minorEastAsia" w:hAnsiTheme="minorEastAsia" w:eastAsiaTheme="minorEastAsia"/>
                <w:szCs w:val="21"/>
              </w:rPr>
            </w:pPr>
          </w:p>
        </w:tc>
        <w:tc>
          <w:tcPr>
            <w:tcW w:w="1985" w:type="dxa"/>
            <w:vAlign w:val="center"/>
          </w:tcPr>
          <w:p w14:paraId="2E28CE6B">
            <w:pPr>
              <w:adjustRightInd w:val="0"/>
              <w:snapToGrid w:val="0"/>
              <w:spacing w:before="50" w:line="360" w:lineRule="auto"/>
              <w:ind w:left="-88" w:leftChars="-42"/>
              <w:jc w:val="center"/>
              <w:rPr>
                <w:rFonts w:asciiTheme="minorEastAsia" w:hAnsiTheme="minorEastAsia" w:eastAsiaTheme="minorEastAsia"/>
                <w:szCs w:val="21"/>
              </w:rPr>
            </w:pPr>
          </w:p>
        </w:tc>
        <w:tc>
          <w:tcPr>
            <w:tcW w:w="2082" w:type="dxa"/>
            <w:tcBorders>
              <w:right w:val="single" w:color="auto" w:sz="4" w:space="0"/>
            </w:tcBorders>
            <w:vAlign w:val="center"/>
          </w:tcPr>
          <w:p w14:paraId="06D2F942">
            <w:pPr>
              <w:adjustRightInd w:val="0"/>
              <w:snapToGrid w:val="0"/>
              <w:spacing w:before="50" w:line="360" w:lineRule="auto"/>
              <w:ind w:left="-88" w:leftChars="-42"/>
              <w:jc w:val="center"/>
              <w:rPr>
                <w:rFonts w:asciiTheme="minorEastAsia" w:hAnsiTheme="minorEastAsia" w:eastAsiaTheme="minorEastAsia"/>
                <w:szCs w:val="21"/>
              </w:rPr>
            </w:pPr>
          </w:p>
        </w:tc>
        <w:tc>
          <w:tcPr>
            <w:tcW w:w="1942" w:type="dxa"/>
            <w:tcBorders>
              <w:left w:val="single" w:color="auto" w:sz="4" w:space="0"/>
            </w:tcBorders>
            <w:vAlign w:val="center"/>
          </w:tcPr>
          <w:p w14:paraId="0DB27815">
            <w:pPr>
              <w:adjustRightInd w:val="0"/>
              <w:snapToGrid w:val="0"/>
              <w:spacing w:before="50" w:line="360" w:lineRule="auto"/>
              <w:ind w:left="-88" w:leftChars="-42"/>
              <w:jc w:val="center"/>
              <w:rPr>
                <w:rFonts w:asciiTheme="minorEastAsia" w:hAnsiTheme="minorEastAsia" w:eastAsiaTheme="minorEastAsia"/>
                <w:szCs w:val="21"/>
              </w:rPr>
            </w:pPr>
          </w:p>
        </w:tc>
      </w:tr>
      <w:tr w14:paraId="19FB7F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0CB1C762">
            <w:pPr>
              <w:adjustRightInd w:val="0"/>
              <w:snapToGrid w:val="0"/>
              <w:spacing w:before="50" w:line="360" w:lineRule="auto"/>
              <w:ind w:left="-88" w:leftChars="-42"/>
              <w:jc w:val="center"/>
              <w:rPr>
                <w:rFonts w:asciiTheme="minorEastAsia" w:hAnsiTheme="minorEastAsia" w:eastAsiaTheme="minorEastAsia"/>
                <w:szCs w:val="21"/>
              </w:rPr>
            </w:pPr>
          </w:p>
        </w:tc>
        <w:tc>
          <w:tcPr>
            <w:tcW w:w="2410" w:type="dxa"/>
            <w:vAlign w:val="center"/>
          </w:tcPr>
          <w:p w14:paraId="6977479A">
            <w:pPr>
              <w:adjustRightInd w:val="0"/>
              <w:snapToGrid w:val="0"/>
              <w:spacing w:before="50" w:line="360" w:lineRule="auto"/>
              <w:ind w:left="-88" w:leftChars="-42"/>
              <w:jc w:val="center"/>
              <w:rPr>
                <w:rFonts w:asciiTheme="minorEastAsia" w:hAnsiTheme="minorEastAsia" w:eastAsiaTheme="minorEastAsia"/>
                <w:szCs w:val="21"/>
              </w:rPr>
            </w:pPr>
          </w:p>
        </w:tc>
        <w:tc>
          <w:tcPr>
            <w:tcW w:w="1985" w:type="dxa"/>
            <w:vAlign w:val="center"/>
          </w:tcPr>
          <w:p w14:paraId="63146205">
            <w:pPr>
              <w:adjustRightInd w:val="0"/>
              <w:snapToGrid w:val="0"/>
              <w:spacing w:before="50" w:line="360" w:lineRule="auto"/>
              <w:ind w:left="-88" w:leftChars="-42"/>
              <w:jc w:val="center"/>
              <w:rPr>
                <w:rFonts w:asciiTheme="minorEastAsia" w:hAnsiTheme="minorEastAsia" w:eastAsiaTheme="minorEastAsia"/>
                <w:szCs w:val="21"/>
              </w:rPr>
            </w:pPr>
          </w:p>
        </w:tc>
        <w:tc>
          <w:tcPr>
            <w:tcW w:w="2082" w:type="dxa"/>
            <w:tcBorders>
              <w:right w:val="single" w:color="auto" w:sz="4" w:space="0"/>
            </w:tcBorders>
            <w:vAlign w:val="center"/>
          </w:tcPr>
          <w:p w14:paraId="1CA60847">
            <w:pPr>
              <w:adjustRightInd w:val="0"/>
              <w:snapToGrid w:val="0"/>
              <w:spacing w:before="50" w:line="360" w:lineRule="auto"/>
              <w:ind w:left="-88" w:leftChars="-42"/>
              <w:jc w:val="center"/>
              <w:rPr>
                <w:rFonts w:asciiTheme="minorEastAsia" w:hAnsiTheme="minorEastAsia" w:eastAsiaTheme="minorEastAsia"/>
                <w:szCs w:val="21"/>
              </w:rPr>
            </w:pPr>
          </w:p>
        </w:tc>
        <w:tc>
          <w:tcPr>
            <w:tcW w:w="1942" w:type="dxa"/>
            <w:tcBorders>
              <w:left w:val="single" w:color="auto" w:sz="4" w:space="0"/>
            </w:tcBorders>
            <w:vAlign w:val="center"/>
          </w:tcPr>
          <w:p w14:paraId="3004EE9C">
            <w:pPr>
              <w:adjustRightInd w:val="0"/>
              <w:snapToGrid w:val="0"/>
              <w:spacing w:before="50" w:line="360" w:lineRule="auto"/>
              <w:ind w:left="-88" w:leftChars="-42"/>
              <w:jc w:val="center"/>
              <w:rPr>
                <w:rFonts w:asciiTheme="minorEastAsia" w:hAnsiTheme="minorEastAsia" w:eastAsiaTheme="minorEastAsia"/>
                <w:szCs w:val="21"/>
              </w:rPr>
            </w:pPr>
          </w:p>
        </w:tc>
      </w:tr>
      <w:tr w14:paraId="552A92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1198A917">
            <w:pPr>
              <w:adjustRightInd w:val="0"/>
              <w:snapToGrid w:val="0"/>
              <w:spacing w:before="50" w:line="360" w:lineRule="auto"/>
              <w:ind w:left="-88" w:leftChars="-42"/>
              <w:jc w:val="center"/>
              <w:rPr>
                <w:rFonts w:asciiTheme="minorEastAsia" w:hAnsiTheme="minorEastAsia" w:eastAsiaTheme="minorEastAsia"/>
                <w:szCs w:val="21"/>
              </w:rPr>
            </w:pPr>
          </w:p>
        </w:tc>
        <w:tc>
          <w:tcPr>
            <w:tcW w:w="2410" w:type="dxa"/>
            <w:vAlign w:val="center"/>
          </w:tcPr>
          <w:p w14:paraId="3F690955">
            <w:pPr>
              <w:adjustRightInd w:val="0"/>
              <w:snapToGrid w:val="0"/>
              <w:spacing w:before="50" w:line="360" w:lineRule="auto"/>
              <w:ind w:left="-88" w:leftChars="-42"/>
              <w:jc w:val="center"/>
              <w:rPr>
                <w:rFonts w:asciiTheme="minorEastAsia" w:hAnsiTheme="minorEastAsia" w:eastAsiaTheme="minorEastAsia"/>
                <w:szCs w:val="21"/>
              </w:rPr>
            </w:pPr>
          </w:p>
        </w:tc>
        <w:tc>
          <w:tcPr>
            <w:tcW w:w="1985" w:type="dxa"/>
            <w:vAlign w:val="center"/>
          </w:tcPr>
          <w:p w14:paraId="71902C55">
            <w:pPr>
              <w:adjustRightInd w:val="0"/>
              <w:snapToGrid w:val="0"/>
              <w:spacing w:before="50" w:line="360" w:lineRule="auto"/>
              <w:ind w:left="-88" w:leftChars="-42"/>
              <w:jc w:val="center"/>
              <w:rPr>
                <w:rFonts w:asciiTheme="minorEastAsia" w:hAnsiTheme="minorEastAsia" w:eastAsiaTheme="minorEastAsia"/>
                <w:szCs w:val="21"/>
              </w:rPr>
            </w:pPr>
          </w:p>
        </w:tc>
        <w:tc>
          <w:tcPr>
            <w:tcW w:w="2082" w:type="dxa"/>
            <w:tcBorders>
              <w:right w:val="single" w:color="auto" w:sz="4" w:space="0"/>
            </w:tcBorders>
            <w:vAlign w:val="center"/>
          </w:tcPr>
          <w:p w14:paraId="46C8B202">
            <w:pPr>
              <w:adjustRightInd w:val="0"/>
              <w:snapToGrid w:val="0"/>
              <w:spacing w:before="50" w:line="360" w:lineRule="auto"/>
              <w:ind w:left="-88" w:leftChars="-42"/>
              <w:jc w:val="center"/>
              <w:rPr>
                <w:rFonts w:asciiTheme="minorEastAsia" w:hAnsiTheme="minorEastAsia" w:eastAsiaTheme="minorEastAsia"/>
                <w:szCs w:val="21"/>
              </w:rPr>
            </w:pPr>
          </w:p>
        </w:tc>
        <w:tc>
          <w:tcPr>
            <w:tcW w:w="1942" w:type="dxa"/>
            <w:tcBorders>
              <w:left w:val="single" w:color="auto" w:sz="4" w:space="0"/>
            </w:tcBorders>
            <w:vAlign w:val="center"/>
          </w:tcPr>
          <w:p w14:paraId="4BD6963F">
            <w:pPr>
              <w:adjustRightInd w:val="0"/>
              <w:snapToGrid w:val="0"/>
              <w:spacing w:before="50" w:line="360" w:lineRule="auto"/>
              <w:ind w:left="-88" w:leftChars="-42"/>
              <w:jc w:val="center"/>
              <w:rPr>
                <w:rFonts w:asciiTheme="minorEastAsia" w:hAnsiTheme="minorEastAsia" w:eastAsiaTheme="minorEastAsia"/>
                <w:szCs w:val="21"/>
              </w:rPr>
            </w:pPr>
          </w:p>
        </w:tc>
      </w:tr>
      <w:tr w14:paraId="232F17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43DD46CF">
            <w:pPr>
              <w:adjustRightInd w:val="0"/>
              <w:snapToGrid w:val="0"/>
              <w:spacing w:before="50" w:line="360" w:lineRule="auto"/>
              <w:ind w:left="-88" w:leftChars="-42"/>
              <w:jc w:val="center"/>
              <w:rPr>
                <w:rFonts w:asciiTheme="minorEastAsia" w:hAnsiTheme="minorEastAsia" w:eastAsiaTheme="minorEastAsia"/>
                <w:szCs w:val="21"/>
              </w:rPr>
            </w:pPr>
          </w:p>
        </w:tc>
        <w:tc>
          <w:tcPr>
            <w:tcW w:w="2410" w:type="dxa"/>
            <w:vAlign w:val="center"/>
          </w:tcPr>
          <w:p w14:paraId="53F69DED">
            <w:pPr>
              <w:adjustRightInd w:val="0"/>
              <w:snapToGrid w:val="0"/>
              <w:spacing w:before="50" w:line="360" w:lineRule="auto"/>
              <w:ind w:left="-88" w:leftChars="-42"/>
              <w:jc w:val="center"/>
              <w:rPr>
                <w:rFonts w:asciiTheme="minorEastAsia" w:hAnsiTheme="minorEastAsia" w:eastAsiaTheme="minorEastAsia"/>
                <w:szCs w:val="21"/>
              </w:rPr>
            </w:pPr>
          </w:p>
        </w:tc>
        <w:tc>
          <w:tcPr>
            <w:tcW w:w="1985" w:type="dxa"/>
            <w:vAlign w:val="center"/>
          </w:tcPr>
          <w:p w14:paraId="51B00217">
            <w:pPr>
              <w:adjustRightInd w:val="0"/>
              <w:snapToGrid w:val="0"/>
              <w:spacing w:before="50" w:line="360" w:lineRule="auto"/>
              <w:ind w:left="-88" w:leftChars="-42"/>
              <w:jc w:val="center"/>
              <w:rPr>
                <w:rFonts w:asciiTheme="minorEastAsia" w:hAnsiTheme="minorEastAsia" w:eastAsiaTheme="minorEastAsia"/>
                <w:szCs w:val="21"/>
              </w:rPr>
            </w:pPr>
          </w:p>
        </w:tc>
        <w:tc>
          <w:tcPr>
            <w:tcW w:w="2082" w:type="dxa"/>
            <w:tcBorders>
              <w:right w:val="single" w:color="auto" w:sz="4" w:space="0"/>
            </w:tcBorders>
            <w:vAlign w:val="center"/>
          </w:tcPr>
          <w:p w14:paraId="656A28F3">
            <w:pPr>
              <w:adjustRightInd w:val="0"/>
              <w:snapToGrid w:val="0"/>
              <w:spacing w:before="50" w:line="360" w:lineRule="auto"/>
              <w:ind w:left="-88" w:leftChars="-42"/>
              <w:jc w:val="center"/>
              <w:rPr>
                <w:rFonts w:asciiTheme="minorEastAsia" w:hAnsiTheme="minorEastAsia" w:eastAsiaTheme="minorEastAsia"/>
                <w:szCs w:val="21"/>
              </w:rPr>
            </w:pPr>
          </w:p>
        </w:tc>
        <w:tc>
          <w:tcPr>
            <w:tcW w:w="1942" w:type="dxa"/>
            <w:tcBorders>
              <w:left w:val="single" w:color="auto" w:sz="4" w:space="0"/>
            </w:tcBorders>
            <w:vAlign w:val="center"/>
          </w:tcPr>
          <w:p w14:paraId="19F33C9D">
            <w:pPr>
              <w:adjustRightInd w:val="0"/>
              <w:snapToGrid w:val="0"/>
              <w:spacing w:before="50" w:line="360" w:lineRule="auto"/>
              <w:ind w:left="-88" w:leftChars="-42"/>
              <w:jc w:val="center"/>
              <w:rPr>
                <w:rFonts w:asciiTheme="minorEastAsia" w:hAnsiTheme="minorEastAsia" w:eastAsiaTheme="minorEastAsia"/>
                <w:szCs w:val="21"/>
              </w:rPr>
            </w:pPr>
          </w:p>
        </w:tc>
      </w:tr>
      <w:tr w14:paraId="7944C5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69AC7CBF">
            <w:pPr>
              <w:adjustRightInd w:val="0"/>
              <w:snapToGrid w:val="0"/>
              <w:spacing w:before="50" w:line="360" w:lineRule="auto"/>
              <w:ind w:left="-88" w:leftChars="-42"/>
              <w:jc w:val="center"/>
              <w:rPr>
                <w:rFonts w:asciiTheme="minorEastAsia" w:hAnsiTheme="minorEastAsia" w:eastAsiaTheme="minorEastAsia"/>
                <w:szCs w:val="21"/>
              </w:rPr>
            </w:pPr>
          </w:p>
        </w:tc>
        <w:tc>
          <w:tcPr>
            <w:tcW w:w="2410" w:type="dxa"/>
            <w:vAlign w:val="center"/>
          </w:tcPr>
          <w:p w14:paraId="0BE723AA">
            <w:pPr>
              <w:adjustRightInd w:val="0"/>
              <w:snapToGrid w:val="0"/>
              <w:spacing w:before="50" w:line="360" w:lineRule="auto"/>
              <w:ind w:left="-88" w:leftChars="-42"/>
              <w:jc w:val="center"/>
              <w:rPr>
                <w:rFonts w:asciiTheme="minorEastAsia" w:hAnsiTheme="minorEastAsia" w:eastAsiaTheme="minorEastAsia"/>
                <w:szCs w:val="21"/>
              </w:rPr>
            </w:pPr>
          </w:p>
        </w:tc>
        <w:tc>
          <w:tcPr>
            <w:tcW w:w="1985" w:type="dxa"/>
            <w:vAlign w:val="center"/>
          </w:tcPr>
          <w:p w14:paraId="38E50D1A">
            <w:pPr>
              <w:adjustRightInd w:val="0"/>
              <w:snapToGrid w:val="0"/>
              <w:spacing w:before="50" w:line="360" w:lineRule="auto"/>
              <w:ind w:left="-88" w:leftChars="-42"/>
              <w:jc w:val="center"/>
              <w:rPr>
                <w:rFonts w:asciiTheme="minorEastAsia" w:hAnsiTheme="minorEastAsia" w:eastAsiaTheme="minorEastAsia"/>
                <w:szCs w:val="21"/>
              </w:rPr>
            </w:pPr>
          </w:p>
        </w:tc>
        <w:tc>
          <w:tcPr>
            <w:tcW w:w="2082" w:type="dxa"/>
            <w:tcBorders>
              <w:right w:val="single" w:color="auto" w:sz="4" w:space="0"/>
            </w:tcBorders>
            <w:vAlign w:val="center"/>
          </w:tcPr>
          <w:p w14:paraId="3082DFEF">
            <w:pPr>
              <w:adjustRightInd w:val="0"/>
              <w:snapToGrid w:val="0"/>
              <w:spacing w:before="50" w:line="360" w:lineRule="auto"/>
              <w:ind w:left="-88" w:leftChars="-42"/>
              <w:jc w:val="center"/>
              <w:rPr>
                <w:rFonts w:asciiTheme="minorEastAsia" w:hAnsiTheme="minorEastAsia" w:eastAsiaTheme="minorEastAsia"/>
                <w:szCs w:val="21"/>
              </w:rPr>
            </w:pPr>
          </w:p>
        </w:tc>
        <w:tc>
          <w:tcPr>
            <w:tcW w:w="1942" w:type="dxa"/>
            <w:tcBorders>
              <w:left w:val="single" w:color="auto" w:sz="4" w:space="0"/>
            </w:tcBorders>
            <w:vAlign w:val="center"/>
          </w:tcPr>
          <w:p w14:paraId="66A331E4">
            <w:pPr>
              <w:adjustRightInd w:val="0"/>
              <w:snapToGrid w:val="0"/>
              <w:spacing w:before="50" w:line="360" w:lineRule="auto"/>
              <w:ind w:left="-88" w:leftChars="-42"/>
              <w:jc w:val="center"/>
              <w:rPr>
                <w:rFonts w:asciiTheme="minorEastAsia" w:hAnsiTheme="minorEastAsia" w:eastAsiaTheme="minorEastAsia"/>
                <w:szCs w:val="21"/>
              </w:rPr>
            </w:pPr>
          </w:p>
        </w:tc>
      </w:tr>
      <w:tr w14:paraId="4D2756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63E16B6C">
            <w:pPr>
              <w:adjustRightInd w:val="0"/>
              <w:snapToGrid w:val="0"/>
              <w:spacing w:before="50" w:line="360" w:lineRule="auto"/>
              <w:ind w:left="-88" w:leftChars="-42"/>
              <w:jc w:val="center"/>
              <w:rPr>
                <w:rFonts w:asciiTheme="minorEastAsia" w:hAnsiTheme="minorEastAsia" w:eastAsiaTheme="minorEastAsia"/>
                <w:szCs w:val="21"/>
              </w:rPr>
            </w:pPr>
          </w:p>
        </w:tc>
        <w:tc>
          <w:tcPr>
            <w:tcW w:w="2410" w:type="dxa"/>
            <w:vAlign w:val="center"/>
          </w:tcPr>
          <w:p w14:paraId="7B859A8C">
            <w:pPr>
              <w:adjustRightInd w:val="0"/>
              <w:snapToGrid w:val="0"/>
              <w:spacing w:before="50" w:line="360" w:lineRule="auto"/>
              <w:ind w:left="-88" w:leftChars="-42"/>
              <w:jc w:val="center"/>
              <w:rPr>
                <w:rFonts w:asciiTheme="minorEastAsia" w:hAnsiTheme="minorEastAsia" w:eastAsiaTheme="minorEastAsia"/>
                <w:szCs w:val="21"/>
              </w:rPr>
            </w:pPr>
          </w:p>
        </w:tc>
        <w:tc>
          <w:tcPr>
            <w:tcW w:w="1985" w:type="dxa"/>
            <w:vAlign w:val="center"/>
          </w:tcPr>
          <w:p w14:paraId="189CBB75">
            <w:pPr>
              <w:adjustRightInd w:val="0"/>
              <w:snapToGrid w:val="0"/>
              <w:spacing w:before="50" w:line="360" w:lineRule="auto"/>
              <w:ind w:left="-88" w:leftChars="-42"/>
              <w:jc w:val="center"/>
              <w:rPr>
                <w:rFonts w:asciiTheme="minorEastAsia" w:hAnsiTheme="minorEastAsia" w:eastAsiaTheme="minorEastAsia"/>
                <w:szCs w:val="21"/>
              </w:rPr>
            </w:pPr>
          </w:p>
        </w:tc>
        <w:tc>
          <w:tcPr>
            <w:tcW w:w="4024" w:type="dxa"/>
            <w:gridSpan w:val="2"/>
            <w:vAlign w:val="center"/>
          </w:tcPr>
          <w:p w14:paraId="55531D4E">
            <w:pPr>
              <w:adjustRightInd w:val="0"/>
              <w:snapToGrid w:val="0"/>
              <w:spacing w:before="50" w:line="360" w:lineRule="auto"/>
              <w:ind w:firstLine="422" w:firstLineChars="200"/>
              <w:jc w:val="left"/>
              <w:rPr>
                <w:rFonts w:asciiTheme="minorEastAsia" w:hAnsiTheme="minorEastAsia" w:eastAsiaTheme="minorEastAsia"/>
                <w:b/>
                <w:szCs w:val="21"/>
              </w:rPr>
            </w:pPr>
            <w:r>
              <w:rPr>
                <w:rFonts w:hint="eastAsia" w:asciiTheme="minorEastAsia" w:hAnsiTheme="minorEastAsia" w:eastAsiaTheme="minorEastAsia"/>
                <w:b/>
                <w:szCs w:val="21"/>
              </w:rPr>
              <w:t>投标人保证：除本合同条款偏离表列出的偏离外，我单位对招标文件的其他商务、合同条款完全响应，无偏离。</w:t>
            </w:r>
          </w:p>
        </w:tc>
      </w:tr>
    </w:tbl>
    <w:p w14:paraId="5C6F333D">
      <w:pPr>
        <w:adjustRightInd w:val="0"/>
        <w:snapToGrid w:val="0"/>
        <w:spacing w:before="50" w:line="360" w:lineRule="auto"/>
        <w:ind w:left="-88" w:leftChars="-42"/>
        <w:rPr>
          <w:rFonts w:ascii="宋体" w:hAnsi="宋体"/>
          <w:szCs w:val="21"/>
        </w:rPr>
      </w:pPr>
      <w:r>
        <w:rPr>
          <w:rFonts w:hint="eastAsia" w:asciiTheme="minorEastAsia" w:hAnsiTheme="minorEastAsia" w:eastAsiaTheme="minorEastAsia"/>
          <w:b/>
          <w:szCs w:val="21"/>
        </w:rPr>
        <w:t>备注</w:t>
      </w:r>
      <w:r>
        <w:rPr>
          <w:rFonts w:hint="eastAsia" w:asciiTheme="minorEastAsia" w:hAnsiTheme="minorEastAsia" w:eastAsiaTheme="minorEastAsia"/>
          <w:szCs w:val="21"/>
        </w:rPr>
        <w:t>：（1）</w:t>
      </w:r>
      <w:r>
        <w:rPr>
          <w:rFonts w:hint="eastAsia" w:ascii="宋体" w:hAnsi="宋体"/>
          <w:szCs w:val="21"/>
        </w:rPr>
        <w:t>投标人应根据招标文件第六章</w:t>
      </w:r>
      <w:r>
        <w:rPr>
          <w:rFonts w:hint="eastAsia" w:ascii="华文宋体" w:hAnsi="华文宋体" w:eastAsia="华文宋体"/>
          <w:szCs w:val="21"/>
        </w:rPr>
        <w:t>“</w:t>
      </w:r>
      <w:r>
        <w:rPr>
          <w:rFonts w:hint="eastAsia" w:ascii="宋体" w:hAnsi="宋体"/>
          <w:szCs w:val="21"/>
        </w:rPr>
        <w:t>政府采购合同</w:t>
      </w:r>
      <w:r>
        <w:rPr>
          <w:rFonts w:hint="eastAsia" w:ascii="华文宋体" w:hAnsi="华文宋体" w:eastAsia="华文宋体"/>
          <w:szCs w:val="21"/>
        </w:rPr>
        <w:t>”</w:t>
      </w:r>
      <w:r>
        <w:rPr>
          <w:rFonts w:hint="eastAsia" w:ascii="宋体" w:hAnsi="宋体"/>
          <w:szCs w:val="21"/>
        </w:rPr>
        <w:t>填写本表；</w:t>
      </w:r>
    </w:p>
    <w:p w14:paraId="5A996FCE">
      <w:pPr>
        <w:adjustRightInd w:val="0"/>
        <w:snapToGrid w:val="0"/>
        <w:spacing w:before="50" w:line="360" w:lineRule="auto"/>
        <w:ind w:left="-88" w:leftChars="-42" w:firstLine="420" w:firstLineChars="200"/>
        <w:rPr>
          <w:rFonts w:ascii="宋体" w:hAnsi="宋体"/>
          <w:b/>
          <w:szCs w:val="21"/>
        </w:rPr>
      </w:pPr>
      <w:r>
        <w:rPr>
          <w:rFonts w:hint="eastAsia" w:asciiTheme="minorEastAsia" w:hAnsiTheme="minorEastAsia" w:eastAsiaTheme="minorEastAsia"/>
          <w:szCs w:val="21"/>
        </w:rPr>
        <w:t>（2）</w:t>
      </w:r>
      <w:r>
        <w:rPr>
          <w:rFonts w:hint="eastAsia" w:ascii="宋体" w:hAnsi="宋体"/>
          <w:b/>
          <w:szCs w:val="21"/>
        </w:rPr>
        <w:t>投标人如果对招标文件第六章“政府采购合同”的响应有偏离，应将偏离条款逐条如实应答，并作出说明；</w:t>
      </w:r>
    </w:p>
    <w:p w14:paraId="07CAA9DA">
      <w:pPr>
        <w:adjustRightInd w:val="0"/>
        <w:snapToGrid w:val="0"/>
        <w:spacing w:before="50" w:line="360" w:lineRule="auto"/>
        <w:ind w:left="-88" w:leftChars="-42" w:firstLine="420" w:firstLineChars="200"/>
        <w:rPr>
          <w:rFonts w:ascii="宋体" w:hAnsi="宋体"/>
          <w:szCs w:val="21"/>
        </w:rPr>
      </w:pPr>
      <w:r>
        <w:rPr>
          <w:rFonts w:hint="eastAsia" w:asciiTheme="minorEastAsia" w:hAnsiTheme="minorEastAsia" w:eastAsiaTheme="minorEastAsia"/>
          <w:szCs w:val="21"/>
        </w:rPr>
        <w:t>（3）</w:t>
      </w:r>
      <w:r>
        <w:rPr>
          <w:rFonts w:hint="eastAsia" w:ascii="宋体" w:hAnsi="宋体"/>
          <w:szCs w:val="21"/>
        </w:rPr>
        <w:t>如不提供此表，则视为投标人不满足招标文件第六章的所有条款要求，</w:t>
      </w:r>
      <w:r>
        <w:rPr>
          <w:rFonts w:hint="eastAsia" w:asciiTheme="minorEastAsia" w:hAnsiTheme="minorEastAsia" w:eastAsiaTheme="minorEastAsia"/>
          <w:szCs w:val="21"/>
        </w:rPr>
        <w:t>其</w:t>
      </w:r>
      <w:r>
        <w:rPr>
          <w:rFonts w:hint="eastAsia" w:asciiTheme="minorEastAsia" w:hAnsiTheme="minorEastAsia" w:eastAsiaTheme="minorEastAsia"/>
          <w:b/>
          <w:szCs w:val="21"/>
        </w:rPr>
        <w:t>投标无效</w:t>
      </w:r>
      <w:r>
        <w:rPr>
          <w:rFonts w:hint="eastAsia" w:ascii="宋体" w:hAnsi="宋体"/>
          <w:szCs w:val="21"/>
        </w:rPr>
        <w:t>。</w:t>
      </w:r>
    </w:p>
    <w:p w14:paraId="32055159">
      <w:pPr>
        <w:adjustRightInd w:val="0"/>
        <w:snapToGrid w:val="0"/>
        <w:spacing w:before="50" w:line="360" w:lineRule="auto"/>
        <w:ind w:left="-88" w:leftChars="-42" w:firstLine="420" w:firstLineChars="200"/>
        <w:rPr>
          <w:rFonts w:ascii="宋体" w:hAnsi="宋体"/>
          <w:szCs w:val="21"/>
        </w:rPr>
      </w:pPr>
      <w:r>
        <w:rPr>
          <w:rFonts w:hint="eastAsia" w:asciiTheme="minorEastAsia" w:hAnsiTheme="minorEastAsia" w:eastAsiaTheme="minorEastAsia"/>
          <w:szCs w:val="21"/>
        </w:rPr>
        <w:t>（4）在采购人与中标人签订合同时，如中标人未在投标文件“合同条款偏离表”中列出偏离说明，无论已发生或即将发生任何情形，均视为完全符合招标文件要求，并写入合同。若中标人在合同签订前，以上述事项为借口而不履行合同签订手续及执行合同，则视作拒绝与采购人签订合同。</w:t>
      </w:r>
    </w:p>
    <w:p w14:paraId="31F280B6">
      <w:pPr>
        <w:adjustRightInd w:val="0"/>
        <w:snapToGrid w:val="0"/>
        <w:spacing w:before="50" w:line="360" w:lineRule="auto"/>
        <w:rPr>
          <w:rFonts w:asciiTheme="minorEastAsia" w:hAnsiTheme="minorEastAsia" w:eastAsiaTheme="minorEastAsia"/>
          <w:szCs w:val="21"/>
        </w:rPr>
      </w:pPr>
    </w:p>
    <w:p w14:paraId="3368F8A8">
      <w:pPr>
        <w:adjustRightInd w:val="0"/>
        <w:snapToGrid w:val="0"/>
        <w:spacing w:before="50" w:line="360" w:lineRule="auto"/>
        <w:rPr>
          <w:rFonts w:ascii="宋体" w:hAnsi="宋体"/>
          <w:szCs w:val="21"/>
        </w:rPr>
      </w:pPr>
    </w:p>
    <w:p w14:paraId="3CC1C1B2">
      <w:pPr>
        <w:adjustRightInd w:val="0"/>
        <w:snapToGrid w:val="0"/>
        <w:spacing w:before="50" w:line="360" w:lineRule="auto"/>
        <w:rPr>
          <w:rFonts w:ascii="宋体" w:hAnsi="宋体"/>
          <w:szCs w:val="21"/>
        </w:rPr>
      </w:pPr>
      <w:r>
        <w:rPr>
          <w:rFonts w:hint="eastAsia" w:ascii="宋体" w:hAnsi="宋体"/>
          <w:szCs w:val="21"/>
        </w:rPr>
        <w:t>投标人名称（盖单位电子章）：</w:t>
      </w:r>
    </w:p>
    <w:p w14:paraId="493CD338">
      <w:pPr>
        <w:adjustRightInd w:val="0"/>
        <w:snapToGrid w:val="0"/>
        <w:spacing w:before="50" w:line="360" w:lineRule="auto"/>
        <w:rPr>
          <w:rFonts w:ascii="宋体" w:hAnsi="宋体"/>
          <w:szCs w:val="21"/>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宋体" w:hAnsi="宋体"/>
          <w:szCs w:val="21"/>
        </w:rPr>
        <w:t>或其授权的代理人</w:t>
      </w:r>
      <w:r>
        <w:rPr>
          <w:rFonts w:hint="eastAsia" w:ascii="宋体" w:hAnsi="宋体"/>
          <w:szCs w:val="21"/>
          <w:lang w:eastAsia="zh-CN"/>
        </w:rPr>
        <w:t>（电子签章）</w:t>
      </w:r>
      <w:r>
        <w:rPr>
          <w:rFonts w:hint="eastAsia" w:ascii="宋体" w:hAnsi="宋体"/>
          <w:szCs w:val="21"/>
        </w:rPr>
        <w:t>：</w:t>
      </w:r>
      <w:r>
        <w:rPr>
          <w:rFonts w:hint="eastAsia" w:ascii="宋体" w:hAnsi="宋体"/>
          <w:szCs w:val="21"/>
          <w:u w:val="single"/>
        </w:rPr>
        <w:t xml:space="preserve">                     </w:t>
      </w:r>
    </w:p>
    <w:p w14:paraId="29BC9E4E">
      <w:pPr>
        <w:adjustRightInd w:val="0"/>
        <w:snapToGrid w:val="0"/>
        <w:spacing w:before="50" w:line="360" w:lineRule="auto"/>
        <w:rPr>
          <w:rFonts w:ascii="黑体" w:hAnsi="宋体" w:eastAsia="黑体"/>
          <w:b/>
          <w:bCs/>
          <w:sz w:val="28"/>
          <w:szCs w:val="28"/>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_日</w:t>
      </w:r>
      <w:r>
        <w:rPr>
          <w:rFonts w:ascii="黑体" w:hAnsi="宋体" w:eastAsia="黑体"/>
          <w:sz w:val="28"/>
          <w:szCs w:val="28"/>
        </w:rPr>
        <w:br w:type="page"/>
      </w:r>
    </w:p>
    <w:p w14:paraId="14925A53">
      <w:pPr>
        <w:pStyle w:val="4"/>
        <w:adjustRightInd w:val="0"/>
        <w:snapToGrid w:val="0"/>
        <w:spacing w:before="156" w:beforeLines="50" w:after="0" w:line="360" w:lineRule="auto"/>
        <w:jc w:val="center"/>
        <w:rPr>
          <w:rFonts w:ascii="黑体" w:hAnsi="宋体" w:eastAsia="黑体"/>
          <w:sz w:val="28"/>
          <w:szCs w:val="28"/>
        </w:rPr>
      </w:pPr>
      <w:bookmarkStart w:id="197" w:name="_Toc29913968"/>
      <w:bookmarkStart w:id="198" w:name="_Toc5967"/>
      <w:bookmarkStart w:id="199" w:name="_Toc24790"/>
      <w:r>
        <w:rPr>
          <w:rFonts w:hint="eastAsia" w:ascii="黑体" w:hAnsi="宋体" w:eastAsia="黑体"/>
          <w:sz w:val="28"/>
          <w:szCs w:val="28"/>
        </w:rPr>
        <w:t>九、采购需求（技术、商务）偏离表</w:t>
      </w:r>
      <w:bookmarkEnd w:id="197"/>
      <w:bookmarkEnd w:id="198"/>
      <w:bookmarkEnd w:id="199"/>
    </w:p>
    <w:p w14:paraId="28DE3CF2">
      <w:pPr>
        <w:adjustRightInd w:val="0"/>
        <w:snapToGrid w:val="0"/>
        <w:spacing w:before="156" w:beforeLines="50" w:line="360" w:lineRule="auto"/>
        <w:rPr>
          <w:rFonts w:asciiTheme="minorEastAsia" w:hAnsiTheme="minorEastAsia" w:eastAsiaTheme="minorEastAsia"/>
          <w:szCs w:val="21"/>
          <w:u w:val="single"/>
        </w:rPr>
      </w:pPr>
      <w:r>
        <w:rPr>
          <w:rFonts w:hint="eastAsia" w:ascii="宋体" w:hAnsi="宋体"/>
          <w:spacing w:val="28"/>
          <w:szCs w:val="21"/>
        </w:rPr>
        <w:t>采购代理编号</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r>
        <w:rPr>
          <w:rFonts w:hint="eastAsia" w:asciiTheme="minorEastAsia" w:hAnsiTheme="minorEastAsia" w:eastAsiaTheme="minorEastAsia"/>
          <w:szCs w:val="21"/>
        </w:rPr>
        <w:t>项目名称：</w:t>
      </w:r>
      <w:r>
        <w:rPr>
          <w:rFonts w:hint="eastAsia" w:asciiTheme="minorEastAsia" w:hAnsiTheme="minorEastAsia" w:eastAsiaTheme="minorEastAsia"/>
          <w:szCs w:val="21"/>
          <w:u w:val="single"/>
        </w:rPr>
        <w:t>____            ______</w:t>
      </w:r>
    </w:p>
    <w:p w14:paraId="28EB9A50">
      <w:pPr>
        <w:adjustRightInd w:val="0"/>
        <w:snapToGrid w:val="0"/>
        <w:spacing w:before="156" w:beforeLines="50" w:line="360" w:lineRule="auto"/>
        <w:rPr>
          <w:rFonts w:ascii="宋体" w:hAnsi="宋体"/>
          <w:szCs w:val="21"/>
          <w:u w:val="single"/>
        </w:rPr>
      </w:pPr>
      <w:r>
        <w:rPr>
          <w:rFonts w:hint="eastAsia" w:asciiTheme="minorEastAsia" w:hAnsiTheme="minorEastAsia" w:eastAsiaTheme="minorEastAsia"/>
          <w:szCs w:val="21"/>
        </w:rPr>
        <w:t>包           号：</w:t>
      </w:r>
      <w:r>
        <w:rPr>
          <w:rFonts w:hint="eastAsia" w:asciiTheme="minorEastAsia" w:hAnsiTheme="minorEastAsia" w:eastAsiaTheme="minorEastAsia"/>
          <w:szCs w:val="21"/>
          <w:u w:val="single"/>
        </w:rPr>
        <w:t xml:space="preserve">__    ________           </w:t>
      </w:r>
      <w:r>
        <w:rPr>
          <w:rFonts w:hint="eastAsia" w:asciiTheme="minorEastAsia" w:hAnsiTheme="minorEastAsia" w:eastAsiaTheme="minorEastAsia"/>
          <w:szCs w:val="21"/>
        </w:rPr>
        <w:t xml:space="preserve">           包名称：</w:t>
      </w:r>
      <w:r>
        <w:rPr>
          <w:rFonts w:hint="eastAsia" w:asciiTheme="minorEastAsia" w:hAnsiTheme="minorEastAsia" w:eastAsiaTheme="minorEastAsia"/>
          <w:szCs w:val="21"/>
          <w:u w:val="single"/>
        </w:rPr>
        <w:t>___          _______</w:t>
      </w:r>
    </w:p>
    <w:tbl>
      <w:tblPr>
        <w:tblStyle w:val="43"/>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14:paraId="08A491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14:paraId="0B7F864E">
            <w:pPr>
              <w:adjustRightInd w:val="0"/>
              <w:snapToGrid w:val="0"/>
              <w:spacing w:before="50" w:line="360" w:lineRule="auto"/>
              <w:ind w:left="-88" w:leftChars="-42"/>
              <w:jc w:val="center"/>
              <w:rPr>
                <w:rFonts w:asciiTheme="minorEastAsia" w:hAnsiTheme="minorEastAsia" w:eastAsiaTheme="minorEastAsia"/>
                <w:szCs w:val="21"/>
              </w:rPr>
            </w:pPr>
            <w:r>
              <w:rPr>
                <w:rFonts w:hint="eastAsia" w:asciiTheme="minorEastAsia" w:hAnsiTheme="minorEastAsia" w:eastAsiaTheme="minorEastAsia"/>
                <w:bCs/>
                <w:szCs w:val="21"/>
              </w:rPr>
              <w:t>序</w:t>
            </w:r>
            <w:r>
              <w:rPr>
                <w:rFonts w:hint="eastAsia" w:asciiTheme="minorEastAsia" w:hAnsiTheme="minorEastAsia" w:eastAsiaTheme="minorEastAsia"/>
                <w:szCs w:val="21"/>
              </w:rPr>
              <w:t>号</w:t>
            </w:r>
          </w:p>
        </w:tc>
        <w:tc>
          <w:tcPr>
            <w:tcW w:w="2410" w:type="dxa"/>
            <w:vAlign w:val="center"/>
          </w:tcPr>
          <w:p w14:paraId="54A36B69">
            <w:pPr>
              <w:adjustRightInd w:val="0"/>
              <w:snapToGrid w:val="0"/>
              <w:spacing w:before="50" w:line="360" w:lineRule="auto"/>
              <w:ind w:left="-88" w:leftChars="-42"/>
              <w:jc w:val="center"/>
              <w:rPr>
                <w:rFonts w:asciiTheme="minorEastAsia" w:hAnsiTheme="minorEastAsia" w:eastAsiaTheme="minorEastAsia"/>
                <w:szCs w:val="21"/>
              </w:rPr>
            </w:pPr>
            <w:r>
              <w:rPr>
                <w:rFonts w:hint="eastAsia" w:asciiTheme="minorEastAsia" w:hAnsiTheme="minorEastAsia" w:eastAsiaTheme="minorEastAsia"/>
                <w:szCs w:val="21"/>
              </w:rPr>
              <w:t>招标文件章节</w:t>
            </w:r>
            <w:r>
              <w:rPr>
                <w:rFonts w:hint="eastAsia" w:asciiTheme="minorEastAsia" w:hAnsiTheme="minorEastAsia" w:eastAsiaTheme="minorEastAsia"/>
                <w:bCs/>
                <w:szCs w:val="21"/>
              </w:rPr>
              <w:t>条</w:t>
            </w:r>
            <w:r>
              <w:rPr>
                <w:rFonts w:hint="eastAsia" w:asciiTheme="minorEastAsia" w:hAnsiTheme="minorEastAsia" w:eastAsiaTheme="minorEastAsia"/>
                <w:szCs w:val="21"/>
              </w:rPr>
              <w:t>款号</w:t>
            </w:r>
          </w:p>
        </w:tc>
        <w:tc>
          <w:tcPr>
            <w:tcW w:w="1985" w:type="dxa"/>
            <w:tcBorders>
              <w:right w:val="single" w:color="auto" w:sz="4" w:space="0"/>
            </w:tcBorders>
          </w:tcPr>
          <w:p w14:paraId="4A4E6CED">
            <w:pPr>
              <w:adjustRightInd w:val="0"/>
              <w:snapToGrid w:val="0"/>
              <w:spacing w:before="50" w:line="360" w:lineRule="auto"/>
              <w:jc w:val="center"/>
            </w:pPr>
            <w:r>
              <w:rPr>
                <w:rFonts w:hint="eastAsia"/>
              </w:rPr>
              <w:t>招标文件要求</w:t>
            </w:r>
          </w:p>
        </w:tc>
        <w:tc>
          <w:tcPr>
            <w:tcW w:w="2126" w:type="dxa"/>
            <w:tcBorders>
              <w:left w:val="single" w:color="auto" w:sz="4" w:space="0"/>
            </w:tcBorders>
          </w:tcPr>
          <w:p w14:paraId="06550424">
            <w:pPr>
              <w:adjustRightInd w:val="0"/>
              <w:snapToGrid w:val="0"/>
              <w:spacing w:before="50" w:line="360" w:lineRule="auto"/>
              <w:jc w:val="center"/>
            </w:pPr>
            <w:r>
              <w:rPr>
                <w:rFonts w:hint="eastAsia"/>
              </w:rPr>
              <w:t>投标文件应答</w:t>
            </w:r>
          </w:p>
        </w:tc>
        <w:tc>
          <w:tcPr>
            <w:tcW w:w="1756" w:type="dxa"/>
            <w:vAlign w:val="center"/>
          </w:tcPr>
          <w:p w14:paraId="51DE0B7F">
            <w:pPr>
              <w:adjustRightInd w:val="0"/>
              <w:snapToGrid w:val="0"/>
              <w:spacing w:before="50" w:line="360" w:lineRule="auto"/>
              <w:ind w:left="-88" w:leftChars="-42"/>
              <w:jc w:val="center"/>
              <w:rPr>
                <w:rFonts w:asciiTheme="minorEastAsia" w:hAnsiTheme="minorEastAsia" w:eastAsiaTheme="minorEastAsia"/>
                <w:szCs w:val="21"/>
              </w:rPr>
            </w:pPr>
            <w:r>
              <w:rPr>
                <w:rFonts w:hint="eastAsia" w:asciiTheme="minorEastAsia" w:hAnsiTheme="minorEastAsia" w:eastAsiaTheme="minorEastAsia"/>
                <w:szCs w:val="21"/>
              </w:rPr>
              <w:t>偏离说明</w:t>
            </w:r>
          </w:p>
        </w:tc>
      </w:tr>
      <w:tr w14:paraId="7C70D1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22E8EF1D">
            <w:pPr>
              <w:adjustRightInd w:val="0"/>
              <w:snapToGrid w:val="0"/>
              <w:spacing w:before="50" w:line="360" w:lineRule="auto"/>
              <w:ind w:left="-88" w:leftChars="-42"/>
              <w:jc w:val="center"/>
              <w:rPr>
                <w:rFonts w:asciiTheme="minorEastAsia" w:hAnsiTheme="minorEastAsia" w:eastAsiaTheme="minorEastAsia"/>
                <w:szCs w:val="21"/>
              </w:rPr>
            </w:pPr>
          </w:p>
        </w:tc>
        <w:tc>
          <w:tcPr>
            <w:tcW w:w="2410" w:type="dxa"/>
            <w:vAlign w:val="center"/>
          </w:tcPr>
          <w:p w14:paraId="6C253395">
            <w:pPr>
              <w:adjustRightInd w:val="0"/>
              <w:snapToGrid w:val="0"/>
              <w:spacing w:before="50" w:line="360" w:lineRule="auto"/>
              <w:ind w:left="-88" w:leftChars="-42"/>
              <w:jc w:val="center"/>
              <w:rPr>
                <w:rFonts w:asciiTheme="minorEastAsia" w:hAnsiTheme="minorEastAsia" w:eastAsiaTheme="minorEastAsia"/>
                <w:szCs w:val="21"/>
              </w:rPr>
            </w:pPr>
          </w:p>
        </w:tc>
        <w:tc>
          <w:tcPr>
            <w:tcW w:w="1985" w:type="dxa"/>
            <w:tcBorders>
              <w:right w:val="single" w:color="auto" w:sz="4" w:space="0"/>
            </w:tcBorders>
            <w:vAlign w:val="center"/>
          </w:tcPr>
          <w:p w14:paraId="322EAAEF">
            <w:pPr>
              <w:adjustRightInd w:val="0"/>
              <w:snapToGrid w:val="0"/>
              <w:spacing w:before="50" w:line="360" w:lineRule="auto"/>
              <w:ind w:left="-88" w:leftChars="-42"/>
              <w:jc w:val="center"/>
              <w:rPr>
                <w:rFonts w:asciiTheme="minorEastAsia" w:hAnsiTheme="minorEastAsia" w:eastAsiaTheme="minorEastAsia"/>
                <w:szCs w:val="21"/>
              </w:rPr>
            </w:pPr>
          </w:p>
        </w:tc>
        <w:tc>
          <w:tcPr>
            <w:tcW w:w="2126" w:type="dxa"/>
            <w:tcBorders>
              <w:left w:val="single" w:color="auto" w:sz="4" w:space="0"/>
            </w:tcBorders>
            <w:vAlign w:val="center"/>
          </w:tcPr>
          <w:p w14:paraId="06F563C4">
            <w:pPr>
              <w:adjustRightInd w:val="0"/>
              <w:snapToGrid w:val="0"/>
              <w:spacing w:before="50" w:line="360" w:lineRule="auto"/>
              <w:ind w:left="-88" w:leftChars="-42"/>
              <w:jc w:val="center"/>
              <w:rPr>
                <w:rFonts w:asciiTheme="minorEastAsia" w:hAnsiTheme="minorEastAsia" w:eastAsiaTheme="minorEastAsia"/>
                <w:szCs w:val="21"/>
              </w:rPr>
            </w:pPr>
          </w:p>
        </w:tc>
        <w:tc>
          <w:tcPr>
            <w:tcW w:w="1756" w:type="dxa"/>
            <w:vAlign w:val="center"/>
          </w:tcPr>
          <w:p w14:paraId="6F207133">
            <w:pPr>
              <w:adjustRightInd w:val="0"/>
              <w:snapToGrid w:val="0"/>
              <w:spacing w:before="50" w:line="360" w:lineRule="auto"/>
              <w:ind w:left="-88" w:leftChars="-42"/>
              <w:jc w:val="center"/>
              <w:rPr>
                <w:rFonts w:asciiTheme="minorEastAsia" w:hAnsiTheme="minorEastAsia" w:eastAsiaTheme="minorEastAsia"/>
                <w:szCs w:val="21"/>
              </w:rPr>
            </w:pPr>
          </w:p>
        </w:tc>
      </w:tr>
      <w:tr w14:paraId="7C229B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A13D7AE">
            <w:pPr>
              <w:adjustRightInd w:val="0"/>
              <w:snapToGrid w:val="0"/>
              <w:spacing w:before="50" w:line="360" w:lineRule="auto"/>
              <w:ind w:left="-88" w:leftChars="-42"/>
              <w:jc w:val="center"/>
              <w:rPr>
                <w:rFonts w:asciiTheme="minorEastAsia" w:hAnsiTheme="minorEastAsia" w:eastAsiaTheme="minorEastAsia"/>
                <w:szCs w:val="21"/>
              </w:rPr>
            </w:pPr>
          </w:p>
        </w:tc>
        <w:tc>
          <w:tcPr>
            <w:tcW w:w="2410" w:type="dxa"/>
            <w:vAlign w:val="center"/>
          </w:tcPr>
          <w:p w14:paraId="23B2E71A">
            <w:pPr>
              <w:adjustRightInd w:val="0"/>
              <w:snapToGrid w:val="0"/>
              <w:spacing w:before="50" w:line="360" w:lineRule="auto"/>
              <w:ind w:left="-88" w:leftChars="-42"/>
              <w:jc w:val="center"/>
              <w:rPr>
                <w:rFonts w:asciiTheme="minorEastAsia" w:hAnsiTheme="minorEastAsia" w:eastAsiaTheme="minorEastAsia"/>
                <w:szCs w:val="21"/>
              </w:rPr>
            </w:pPr>
          </w:p>
        </w:tc>
        <w:tc>
          <w:tcPr>
            <w:tcW w:w="1985" w:type="dxa"/>
            <w:tcBorders>
              <w:right w:val="single" w:color="auto" w:sz="4" w:space="0"/>
            </w:tcBorders>
            <w:vAlign w:val="center"/>
          </w:tcPr>
          <w:p w14:paraId="50F44551">
            <w:pPr>
              <w:adjustRightInd w:val="0"/>
              <w:snapToGrid w:val="0"/>
              <w:spacing w:before="50" w:line="360" w:lineRule="auto"/>
              <w:ind w:left="-88" w:leftChars="-42"/>
              <w:jc w:val="center"/>
              <w:rPr>
                <w:rFonts w:asciiTheme="minorEastAsia" w:hAnsiTheme="minorEastAsia" w:eastAsiaTheme="minorEastAsia"/>
                <w:szCs w:val="21"/>
              </w:rPr>
            </w:pPr>
          </w:p>
        </w:tc>
        <w:tc>
          <w:tcPr>
            <w:tcW w:w="2126" w:type="dxa"/>
            <w:tcBorders>
              <w:left w:val="single" w:color="auto" w:sz="4" w:space="0"/>
            </w:tcBorders>
            <w:vAlign w:val="center"/>
          </w:tcPr>
          <w:p w14:paraId="7A198070">
            <w:pPr>
              <w:adjustRightInd w:val="0"/>
              <w:snapToGrid w:val="0"/>
              <w:spacing w:before="50" w:line="360" w:lineRule="auto"/>
              <w:ind w:left="-88" w:leftChars="-42"/>
              <w:jc w:val="center"/>
              <w:rPr>
                <w:rFonts w:asciiTheme="minorEastAsia" w:hAnsiTheme="minorEastAsia" w:eastAsiaTheme="minorEastAsia"/>
                <w:szCs w:val="21"/>
              </w:rPr>
            </w:pPr>
          </w:p>
        </w:tc>
        <w:tc>
          <w:tcPr>
            <w:tcW w:w="1756" w:type="dxa"/>
            <w:vAlign w:val="center"/>
          </w:tcPr>
          <w:p w14:paraId="3D1E9812">
            <w:pPr>
              <w:adjustRightInd w:val="0"/>
              <w:snapToGrid w:val="0"/>
              <w:spacing w:before="50" w:line="360" w:lineRule="auto"/>
              <w:ind w:left="-88" w:leftChars="-42"/>
              <w:jc w:val="center"/>
              <w:rPr>
                <w:rFonts w:asciiTheme="minorEastAsia" w:hAnsiTheme="minorEastAsia" w:eastAsiaTheme="minorEastAsia"/>
                <w:szCs w:val="21"/>
              </w:rPr>
            </w:pPr>
          </w:p>
        </w:tc>
      </w:tr>
      <w:tr w14:paraId="783A64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0470EA6D">
            <w:pPr>
              <w:adjustRightInd w:val="0"/>
              <w:snapToGrid w:val="0"/>
              <w:spacing w:before="50" w:line="360" w:lineRule="auto"/>
              <w:ind w:left="-88" w:leftChars="-42"/>
              <w:jc w:val="center"/>
              <w:rPr>
                <w:rFonts w:asciiTheme="minorEastAsia" w:hAnsiTheme="minorEastAsia" w:eastAsiaTheme="minorEastAsia"/>
                <w:szCs w:val="21"/>
              </w:rPr>
            </w:pPr>
          </w:p>
        </w:tc>
        <w:tc>
          <w:tcPr>
            <w:tcW w:w="2410" w:type="dxa"/>
            <w:vAlign w:val="center"/>
          </w:tcPr>
          <w:p w14:paraId="26470902">
            <w:pPr>
              <w:adjustRightInd w:val="0"/>
              <w:snapToGrid w:val="0"/>
              <w:spacing w:before="50" w:line="360" w:lineRule="auto"/>
              <w:ind w:left="-88" w:leftChars="-42"/>
              <w:jc w:val="center"/>
              <w:rPr>
                <w:rFonts w:asciiTheme="minorEastAsia" w:hAnsiTheme="minorEastAsia" w:eastAsiaTheme="minorEastAsia"/>
                <w:szCs w:val="21"/>
              </w:rPr>
            </w:pPr>
          </w:p>
        </w:tc>
        <w:tc>
          <w:tcPr>
            <w:tcW w:w="1985" w:type="dxa"/>
            <w:tcBorders>
              <w:right w:val="single" w:color="auto" w:sz="4" w:space="0"/>
            </w:tcBorders>
            <w:vAlign w:val="center"/>
          </w:tcPr>
          <w:p w14:paraId="4051841F">
            <w:pPr>
              <w:adjustRightInd w:val="0"/>
              <w:snapToGrid w:val="0"/>
              <w:spacing w:before="50" w:line="360" w:lineRule="auto"/>
              <w:ind w:left="-88" w:leftChars="-42"/>
              <w:jc w:val="center"/>
              <w:rPr>
                <w:rFonts w:asciiTheme="minorEastAsia" w:hAnsiTheme="minorEastAsia" w:eastAsiaTheme="minorEastAsia"/>
                <w:szCs w:val="21"/>
              </w:rPr>
            </w:pPr>
          </w:p>
        </w:tc>
        <w:tc>
          <w:tcPr>
            <w:tcW w:w="2126" w:type="dxa"/>
            <w:tcBorders>
              <w:left w:val="single" w:color="auto" w:sz="4" w:space="0"/>
            </w:tcBorders>
            <w:vAlign w:val="center"/>
          </w:tcPr>
          <w:p w14:paraId="1B96FD16">
            <w:pPr>
              <w:adjustRightInd w:val="0"/>
              <w:snapToGrid w:val="0"/>
              <w:spacing w:before="50" w:line="360" w:lineRule="auto"/>
              <w:ind w:left="-88" w:leftChars="-42"/>
              <w:jc w:val="center"/>
              <w:rPr>
                <w:rFonts w:asciiTheme="minorEastAsia" w:hAnsiTheme="minorEastAsia" w:eastAsiaTheme="minorEastAsia"/>
                <w:szCs w:val="21"/>
              </w:rPr>
            </w:pPr>
          </w:p>
        </w:tc>
        <w:tc>
          <w:tcPr>
            <w:tcW w:w="1756" w:type="dxa"/>
            <w:vAlign w:val="center"/>
          </w:tcPr>
          <w:p w14:paraId="61DA6B65">
            <w:pPr>
              <w:adjustRightInd w:val="0"/>
              <w:snapToGrid w:val="0"/>
              <w:spacing w:before="50" w:line="360" w:lineRule="auto"/>
              <w:ind w:left="-88" w:leftChars="-42"/>
              <w:jc w:val="center"/>
              <w:rPr>
                <w:rFonts w:asciiTheme="minorEastAsia" w:hAnsiTheme="minorEastAsia" w:eastAsiaTheme="minorEastAsia"/>
                <w:szCs w:val="21"/>
              </w:rPr>
            </w:pPr>
          </w:p>
        </w:tc>
      </w:tr>
      <w:tr w14:paraId="33C636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7CF3EE0A">
            <w:pPr>
              <w:adjustRightInd w:val="0"/>
              <w:snapToGrid w:val="0"/>
              <w:spacing w:before="50" w:line="360" w:lineRule="auto"/>
              <w:ind w:left="-88" w:leftChars="-42"/>
              <w:jc w:val="center"/>
              <w:rPr>
                <w:rFonts w:asciiTheme="minorEastAsia" w:hAnsiTheme="minorEastAsia" w:eastAsiaTheme="minorEastAsia"/>
                <w:szCs w:val="21"/>
              </w:rPr>
            </w:pPr>
          </w:p>
        </w:tc>
        <w:tc>
          <w:tcPr>
            <w:tcW w:w="2410" w:type="dxa"/>
            <w:vAlign w:val="center"/>
          </w:tcPr>
          <w:p w14:paraId="43A3A030">
            <w:pPr>
              <w:adjustRightInd w:val="0"/>
              <w:snapToGrid w:val="0"/>
              <w:spacing w:before="50" w:line="360" w:lineRule="auto"/>
              <w:ind w:left="-88" w:leftChars="-42"/>
              <w:jc w:val="center"/>
              <w:rPr>
                <w:rFonts w:asciiTheme="minorEastAsia" w:hAnsiTheme="minorEastAsia" w:eastAsiaTheme="minorEastAsia"/>
                <w:szCs w:val="21"/>
              </w:rPr>
            </w:pPr>
          </w:p>
        </w:tc>
        <w:tc>
          <w:tcPr>
            <w:tcW w:w="1985" w:type="dxa"/>
            <w:tcBorders>
              <w:right w:val="single" w:color="auto" w:sz="4" w:space="0"/>
            </w:tcBorders>
            <w:vAlign w:val="center"/>
          </w:tcPr>
          <w:p w14:paraId="1EE372AE">
            <w:pPr>
              <w:adjustRightInd w:val="0"/>
              <w:snapToGrid w:val="0"/>
              <w:spacing w:before="50" w:line="360" w:lineRule="auto"/>
              <w:ind w:left="-88" w:leftChars="-42"/>
              <w:jc w:val="center"/>
              <w:rPr>
                <w:rFonts w:asciiTheme="minorEastAsia" w:hAnsiTheme="minorEastAsia" w:eastAsiaTheme="minorEastAsia"/>
                <w:szCs w:val="21"/>
              </w:rPr>
            </w:pPr>
          </w:p>
        </w:tc>
        <w:tc>
          <w:tcPr>
            <w:tcW w:w="2126" w:type="dxa"/>
            <w:tcBorders>
              <w:left w:val="single" w:color="auto" w:sz="4" w:space="0"/>
            </w:tcBorders>
            <w:vAlign w:val="center"/>
          </w:tcPr>
          <w:p w14:paraId="5D74D485">
            <w:pPr>
              <w:adjustRightInd w:val="0"/>
              <w:snapToGrid w:val="0"/>
              <w:spacing w:before="50" w:line="360" w:lineRule="auto"/>
              <w:ind w:left="-88" w:leftChars="-42"/>
              <w:jc w:val="center"/>
              <w:rPr>
                <w:rFonts w:asciiTheme="minorEastAsia" w:hAnsiTheme="minorEastAsia" w:eastAsiaTheme="minorEastAsia"/>
                <w:szCs w:val="21"/>
              </w:rPr>
            </w:pPr>
          </w:p>
        </w:tc>
        <w:tc>
          <w:tcPr>
            <w:tcW w:w="1756" w:type="dxa"/>
            <w:vAlign w:val="center"/>
          </w:tcPr>
          <w:p w14:paraId="09AABE49">
            <w:pPr>
              <w:adjustRightInd w:val="0"/>
              <w:snapToGrid w:val="0"/>
              <w:spacing w:before="50" w:line="360" w:lineRule="auto"/>
              <w:ind w:left="-88" w:leftChars="-42"/>
              <w:jc w:val="center"/>
              <w:rPr>
                <w:rFonts w:asciiTheme="minorEastAsia" w:hAnsiTheme="minorEastAsia" w:eastAsiaTheme="minorEastAsia"/>
                <w:szCs w:val="21"/>
              </w:rPr>
            </w:pPr>
          </w:p>
        </w:tc>
      </w:tr>
      <w:tr w14:paraId="5B3E4D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311C11A8">
            <w:pPr>
              <w:adjustRightInd w:val="0"/>
              <w:snapToGrid w:val="0"/>
              <w:spacing w:before="50" w:line="360" w:lineRule="auto"/>
              <w:ind w:left="-88" w:leftChars="-42"/>
              <w:jc w:val="center"/>
              <w:rPr>
                <w:rFonts w:asciiTheme="minorEastAsia" w:hAnsiTheme="minorEastAsia" w:eastAsiaTheme="minorEastAsia"/>
                <w:szCs w:val="21"/>
              </w:rPr>
            </w:pPr>
          </w:p>
        </w:tc>
        <w:tc>
          <w:tcPr>
            <w:tcW w:w="2410" w:type="dxa"/>
            <w:vAlign w:val="center"/>
          </w:tcPr>
          <w:p w14:paraId="1AF3DB8D">
            <w:pPr>
              <w:adjustRightInd w:val="0"/>
              <w:snapToGrid w:val="0"/>
              <w:spacing w:before="50" w:line="360" w:lineRule="auto"/>
              <w:ind w:left="-88" w:leftChars="-42"/>
              <w:jc w:val="center"/>
              <w:rPr>
                <w:rFonts w:asciiTheme="minorEastAsia" w:hAnsiTheme="minorEastAsia" w:eastAsiaTheme="minorEastAsia"/>
                <w:szCs w:val="21"/>
              </w:rPr>
            </w:pPr>
          </w:p>
        </w:tc>
        <w:tc>
          <w:tcPr>
            <w:tcW w:w="1985" w:type="dxa"/>
            <w:tcBorders>
              <w:right w:val="single" w:color="auto" w:sz="4" w:space="0"/>
            </w:tcBorders>
            <w:vAlign w:val="center"/>
          </w:tcPr>
          <w:p w14:paraId="50CC653E">
            <w:pPr>
              <w:adjustRightInd w:val="0"/>
              <w:snapToGrid w:val="0"/>
              <w:spacing w:before="50" w:line="360" w:lineRule="auto"/>
              <w:ind w:left="-88" w:leftChars="-42"/>
              <w:jc w:val="center"/>
              <w:rPr>
                <w:rFonts w:asciiTheme="minorEastAsia" w:hAnsiTheme="minorEastAsia" w:eastAsiaTheme="minorEastAsia"/>
                <w:szCs w:val="21"/>
              </w:rPr>
            </w:pPr>
          </w:p>
        </w:tc>
        <w:tc>
          <w:tcPr>
            <w:tcW w:w="2126" w:type="dxa"/>
            <w:tcBorders>
              <w:left w:val="single" w:color="auto" w:sz="4" w:space="0"/>
            </w:tcBorders>
            <w:vAlign w:val="center"/>
          </w:tcPr>
          <w:p w14:paraId="4E68FF30">
            <w:pPr>
              <w:adjustRightInd w:val="0"/>
              <w:snapToGrid w:val="0"/>
              <w:spacing w:before="50" w:line="360" w:lineRule="auto"/>
              <w:ind w:left="-88" w:leftChars="-42"/>
              <w:jc w:val="center"/>
              <w:rPr>
                <w:rFonts w:asciiTheme="minorEastAsia" w:hAnsiTheme="minorEastAsia" w:eastAsiaTheme="minorEastAsia"/>
                <w:szCs w:val="21"/>
              </w:rPr>
            </w:pPr>
          </w:p>
        </w:tc>
        <w:tc>
          <w:tcPr>
            <w:tcW w:w="1756" w:type="dxa"/>
            <w:vAlign w:val="center"/>
          </w:tcPr>
          <w:p w14:paraId="54DBF123">
            <w:pPr>
              <w:adjustRightInd w:val="0"/>
              <w:snapToGrid w:val="0"/>
              <w:spacing w:before="50" w:line="360" w:lineRule="auto"/>
              <w:ind w:left="-88" w:leftChars="-42"/>
              <w:jc w:val="center"/>
              <w:rPr>
                <w:rFonts w:asciiTheme="minorEastAsia" w:hAnsiTheme="minorEastAsia" w:eastAsiaTheme="minorEastAsia"/>
                <w:szCs w:val="21"/>
              </w:rPr>
            </w:pPr>
          </w:p>
        </w:tc>
      </w:tr>
      <w:tr w14:paraId="216AE1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35BEA92F">
            <w:pPr>
              <w:adjustRightInd w:val="0"/>
              <w:snapToGrid w:val="0"/>
              <w:spacing w:before="50" w:line="360" w:lineRule="auto"/>
              <w:ind w:left="-88" w:leftChars="-42"/>
              <w:jc w:val="center"/>
              <w:rPr>
                <w:rFonts w:asciiTheme="minorEastAsia" w:hAnsiTheme="minorEastAsia" w:eastAsiaTheme="minorEastAsia"/>
                <w:szCs w:val="21"/>
              </w:rPr>
            </w:pPr>
          </w:p>
        </w:tc>
        <w:tc>
          <w:tcPr>
            <w:tcW w:w="2410" w:type="dxa"/>
            <w:vAlign w:val="center"/>
          </w:tcPr>
          <w:p w14:paraId="5F7E20A6">
            <w:pPr>
              <w:adjustRightInd w:val="0"/>
              <w:snapToGrid w:val="0"/>
              <w:spacing w:before="50" w:line="360" w:lineRule="auto"/>
              <w:ind w:left="-88" w:leftChars="-42"/>
              <w:jc w:val="center"/>
              <w:rPr>
                <w:rFonts w:asciiTheme="minorEastAsia" w:hAnsiTheme="minorEastAsia" w:eastAsiaTheme="minorEastAsia"/>
                <w:szCs w:val="21"/>
              </w:rPr>
            </w:pPr>
          </w:p>
        </w:tc>
        <w:tc>
          <w:tcPr>
            <w:tcW w:w="1985" w:type="dxa"/>
            <w:tcBorders>
              <w:right w:val="single" w:color="auto" w:sz="4" w:space="0"/>
            </w:tcBorders>
            <w:vAlign w:val="center"/>
          </w:tcPr>
          <w:p w14:paraId="06633928">
            <w:pPr>
              <w:adjustRightInd w:val="0"/>
              <w:snapToGrid w:val="0"/>
              <w:spacing w:before="50" w:line="360" w:lineRule="auto"/>
              <w:ind w:left="-88" w:leftChars="-42"/>
              <w:jc w:val="center"/>
              <w:rPr>
                <w:rFonts w:asciiTheme="minorEastAsia" w:hAnsiTheme="minorEastAsia" w:eastAsiaTheme="minorEastAsia"/>
                <w:szCs w:val="21"/>
              </w:rPr>
            </w:pPr>
          </w:p>
        </w:tc>
        <w:tc>
          <w:tcPr>
            <w:tcW w:w="3882" w:type="dxa"/>
            <w:gridSpan w:val="2"/>
            <w:tcBorders>
              <w:left w:val="single" w:color="auto" w:sz="4" w:space="0"/>
            </w:tcBorders>
            <w:vAlign w:val="center"/>
          </w:tcPr>
          <w:p w14:paraId="02FEB281">
            <w:pPr>
              <w:adjustRightInd w:val="0"/>
              <w:snapToGrid w:val="0"/>
              <w:spacing w:before="50"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投标人保证：除本采购需求偏离表列出的偏离外，我单位对招标文件的其他采购需求条款完全响应，无偏离。</w:t>
            </w:r>
          </w:p>
        </w:tc>
      </w:tr>
    </w:tbl>
    <w:p w14:paraId="2864FE58">
      <w:pPr>
        <w:adjustRightInd w:val="0"/>
        <w:snapToGrid w:val="0"/>
        <w:spacing w:before="50" w:line="360" w:lineRule="auto"/>
        <w:ind w:left="-88" w:leftChars="-42"/>
        <w:rPr>
          <w:rFonts w:asciiTheme="minorEastAsia" w:hAnsiTheme="minorEastAsia" w:eastAsiaTheme="minorEastAsia"/>
          <w:szCs w:val="21"/>
        </w:rPr>
      </w:pPr>
      <w:r>
        <w:rPr>
          <w:rFonts w:hint="eastAsia" w:asciiTheme="minorEastAsia" w:hAnsiTheme="minorEastAsia" w:eastAsiaTheme="minorEastAsia"/>
          <w:b/>
          <w:szCs w:val="21"/>
        </w:rPr>
        <w:t>备注</w:t>
      </w:r>
      <w:r>
        <w:rPr>
          <w:rFonts w:hint="eastAsia" w:asciiTheme="minorEastAsia" w:hAnsiTheme="minorEastAsia" w:eastAsiaTheme="minorEastAsia"/>
          <w:szCs w:val="21"/>
        </w:rPr>
        <w:t>：（1）投标人应根据招标文件第五章“采购需求”填写本表；</w:t>
      </w:r>
    </w:p>
    <w:p w14:paraId="33F28D3E">
      <w:pPr>
        <w:adjustRightInd w:val="0"/>
        <w:snapToGrid w:val="0"/>
        <w:spacing w:before="50" w:line="360" w:lineRule="auto"/>
        <w:ind w:left="-88" w:leftChars="-42" w:firstLine="420" w:firstLineChars="200"/>
        <w:rPr>
          <w:rFonts w:asciiTheme="minorEastAsia" w:hAnsiTheme="minorEastAsia" w:eastAsiaTheme="minorEastAsia"/>
          <w:b/>
          <w:color w:val="FF0000"/>
          <w:szCs w:val="21"/>
        </w:rPr>
      </w:pPr>
      <w:r>
        <w:rPr>
          <w:rFonts w:hint="eastAsia" w:asciiTheme="minorEastAsia" w:hAnsiTheme="minorEastAsia" w:eastAsiaTheme="minorEastAsia"/>
          <w:szCs w:val="21"/>
        </w:rPr>
        <w:t>（2）</w:t>
      </w:r>
      <w:r>
        <w:rPr>
          <w:rFonts w:hint="eastAsia" w:asciiTheme="minorEastAsia" w:hAnsiTheme="minorEastAsia" w:eastAsiaTheme="minorEastAsia"/>
          <w:b/>
          <w:szCs w:val="21"/>
        </w:rPr>
        <w:t>投标人如果对招标文件第五章“采购需求”的响应有偏离，应将偏离条款逐条如实应答，并作出说明；</w:t>
      </w:r>
    </w:p>
    <w:p w14:paraId="5DCA2B60">
      <w:pPr>
        <w:adjustRightInd w:val="0"/>
        <w:snapToGrid w:val="0"/>
        <w:spacing w:before="50" w:line="360" w:lineRule="auto"/>
        <w:ind w:left="-88" w:leftChars="-42" w:firstLine="420" w:firstLineChars="200"/>
        <w:rPr>
          <w:rFonts w:asciiTheme="minorEastAsia" w:hAnsiTheme="minorEastAsia" w:eastAsiaTheme="minorEastAsia"/>
          <w:szCs w:val="21"/>
        </w:rPr>
      </w:pPr>
      <w:r>
        <w:rPr>
          <w:rFonts w:hint="eastAsia" w:asciiTheme="minorEastAsia" w:hAnsiTheme="minorEastAsia" w:eastAsiaTheme="minorEastAsia"/>
          <w:szCs w:val="21"/>
        </w:rPr>
        <w:t>（3）如不提供此表，则视为投标人不满足招标文件第五章的所有条款要求，其</w:t>
      </w:r>
      <w:r>
        <w:rPr>
          <w:rFonts w:hint="eastAsia" w:asciiTheme="minorEastAsia" w:hAnsiTheme="minorEastAsia" w:eastAsiaTheme="minorEastAsia"/>
          <w:b/>
          <w:szCs w:val="21"/>
        </w:rPr>
        <w:t>投标无效</w:t>
      </w:r>
      <w:r>
        <w:rPr>
          <w:rFonts w:hint="eastAsia" w:asciiTheme="minorEastAsia" w:hAnsiTheme="minorEastAsia" w:eastAsiaTheme="minorEastAsia"/>
          <w:szCs w:val="21"/>
        </w:rPr>
        <w:t>。</w:t>
      </w:r>
    </w:p>
    <w:p w14:paraId="63A80A09">
      <w:pPr>
        <w:adjustRightInd w:val="0"/>
        <w:snapToGrid w:val="0"/>
        <w:spacing w:before="50" w:line="360" w:lineRule="auto"/>
        <w:ind w:left="-88" w:leftChars="-42" w:firstLine="420" w:firstLineChars="200"/>
        <w:rPr>
          <w:rFonts w:asciiTheme="minorEastAsia" w:hAnsiTheme="minorEastAsia" w:eastAsiaTheme="minorEastAsia"/>
          <w:szCs w:val="21"/>
        </w:rPr>
      </w:pPr>
      <w:r>
        <w:rPr>
          <w:rFonts w:hint="eastAsia" w:asciiTheme="minorEastAsia" w:hAnsiTheme="minorEastAsia" w:eastAsiaTheme="minorEastAsia"/>
          <w:szCs w:val="21"/>
        </w:rPr>
        <w:t>（4）在采购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采购人签订合同。</w:t>
      </w:r>
    </w:p>
    <w:p w14:paraId="264D9E36">
      <w:pPr>
        <w:adjustRightInd w:val="0"/>
        <w:snapToGrid w:val="0"/>
        <w:spacing w:before="50" w:line="360" w:lineRule="auto"/>
        <w:ind w:left="-88" w:leftChars="-42" w:firstLine="420" w:firstLineChars="200"/>
        <w:rPr>
          <w:rFonts w:asciiTheme="minorEastAsia" w:hAnsiTheme="minorEastAsia" w:eastAsiaTheme="minorEastAsia"/>
          <w:color w:val="FF0000"/>
          <w:szCs w:val="21"/>
        </w:rPr>
      </w:pPr>
      <w:r>
        <w:rPr>
          <w:rFonts w:hint="eastAsia" w:asciiTheme="minorEastAsia" w:hAnsiTheme="minorEastAsia" w:eastAsiaTheme="minorEastAsia"/>
          <w:szCs w:val="21"/>
        </w:rPr>
        <w:t>（5）本表偏离表与本章第七节“采购需求响应”不一致时，以“采购需求响应”为准。</w:t>
      </w:r>
    </w:p>
    <w:p w14:paraId="7CF7E830">
      <w:pPr>
        <w:adjustRightInd w:val="0"/>
        <w:snapToGrid w:val="0"/>
        <w:spacing w:before="50" w:line="360" w:lineRule="auto"/>
        <w:rPr>
          <w:rFonts w:asciiTheme="minorEastAsia" w:hAnsiTheme="minorEastAsia" w:eastAsiaTheme="minorEastAsia"/>
          <w:szCs w:val="21"/>
        </w:rPr>
      </w:pPr>
    </w:p>
    <w:p w14:paraId="6950CCA1">
      <w:pPr>
        <w:adjustRightInd w:val="0"/>
        <w:snapToGrid w:val="0"/>
        <w:spacing w:before="50" w:line="360" w:lineRule="auto"/>
        <w:rPr>
          <w:rFonts w:ascii="宋体" w:hAnsi="宋体"/>
          <w:szCs w:val="21"/>
        </w:rPr>
      </w:pPr>
    </w:p>
    <w:p w14:paraId="6E407B50">
      <w:pPr>
        <w:adjustRightInd w:val="0"/>
        <w:snapToGrid w:val="0"/>
        <w:spacing w:before="50" w:line="360" w:lineRule="auto"/>
        <w:rPr>
          <w:rFonts w:ascii="宋体" w:hAnsi="宋体"/>
          <w:szCs w:val="21"/>
        </w:rPr>
      </w:pPr>
      <w:r>
        <w:rPr>
          <w:rFonts w:hint="eastAsia" w:ascii="宋体" w:hAnsi="宋体"/>
          <w:szCs w:val="21"/>
        </w:rPr>
        <w:t>投标人名称（盖单位电子章）：</w:t>
      </w:r>
    </w:p>
    <w:p w14:paraId="53766F7A">
      <w:pPr>
        <w:adjustRightInd w:val="0"/>
        <w:snapToGrid w:val="0"/>
        <w:spacing w:before="50" w:line="360" w:lineRule="auto"/>
        <w:rPr>
          <w:rFonts w:ascii="宋体" w:hAnsi="宋体"/>
          <w:szCs w:val="21"/>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宋体" w:hAnsi="宋体"/>
          <w:szCs w:val="21"/>
        </w:rPr>
        <w:t>或其授权的代理人</w:t>
      </w:r>
      <w:r>
        <w:rPr>
          <w:rFonts w:hint="eastAsia" w:ascii="宋体" w:hAnsi="宋体"/>
          <w:szCs w:val="21"/>
          <w:lang w:eastAsia="zh-CN"/>
        </w:rPr>
        <w:t>（电子签章）</w:t>
      </w:r>
      <w:r>
        <w:rPr>
          <w:rFonts w:hint="eastAsia" w:ascii="宋体" w:hAnsi="宋体"/>
          <w:szCs w:val="21"/>
        </w:rPr>
        <w:t>：</w:t>
      </w:r>
      <w:r>
        <w:rPr>
          <w:rFonts w:hint="eastAsia" w:ascii="宋体" w:hAnsi="宋体"/>
          <w:szCs w:val="21"/>
          <w:u w:val="single"/>
        </w:rPr>
        <w:t xml:space="preserve">                     </w:t>
      </w:r>
    </w:p>
    <w:p w14:paraId="307763A9">
      <w:pPr>
        <w:adjustRightInd w:val="0"/>
        <w:snapToGrid w:val="0"/>
        <w:spacing w:before="50" w:line="360" w:lineRule="auto"/>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_日</w:t>
      </w:r>
    </w:p>
    <w:p w14:paraId="73BF0CBD">
      <w:pPr>
        <w:pStyle w:val="4"/>
        <w:adjustRightInd w:val="0"/>
        <w:snapToGrid w:val="0"/>
        <w:spacing w:before="0" w:after="0" w:line="360" w:lineRule="auto"/>
        <w:jc w:val="center"/>
        <w:rPr>
          <w:rFonts w:ascii="宋体" w:hAnsi="宋体"/>
          <w:szCs w:val="21"/>
        </w:rPr>
        <w:sectPr>
          <w:pgSz w:w="11906" w:h="16838"/>
          <w:pgMar w:top="1474" w:right="1474" w:bottom="1474" w:left="1474" w:header="851" w:footer="992" w:gutter="0"/>
          <w:pgNumType w:fmt="decimal"/>
          <w:cols w:space="720" w:num="1"/>
          <w:docGrid w:type="lines" w:linePitch="312" w:charSpace="0"/>
        </w:sectPr>
      </w:pPr>
      <w:r>
        <w:rPr>
          <w:rFonts w:ascii="宋体" w:hAnsi="宋体"/>
          <w:szCs w:val="21"/>
        </w:rPr>
        <w:br w:type="page"/>
      </w:r>
    </w:p>
    <w:p w14:paraId="15E20D90">
      <w:pPr>
        <w:pStyle w:val="4"/>
        <w:adjustRightInd w:val="0"/>
        <w:snapToGrid w:val="0"/>
        <w:spacing w:before="0" w:after="0" w:line="360" w:lineRule="auto"/>
        <w:jc w:val="center"/>
        <w:rPr>
          <w:rFonts w:ascii="黑体" w:hAnsi="宋体" w:eastAsia="黑体"/>
          <w:sz w:val="28"/>
          <w:szCs w:val="28"/>
        </w:rPr>
      </w:pPr>
      <w:bookmarkStart w:id="200" w:name="_Toc32763"/>
      <w:bookmarkStart w:id="201" w:name="_Toc18886"/>
      <w:bookmarkStart w:id="202" w:name="_Toc29913969"/>
      <w:r>
        <w:rPr>
          <w:rFonts w:hint="eastAsia" w:ascii="宋体" w:hAnsi="宋体"/>
          <w:szCs w:val="21"/>
        </w:rPr>
        <w:t>十</w:t>
      </w:r>
      <w:r>
        <w:rPr>
          <w:rFonts w:hint="eastAsia" w:ascii="黑体" w:hAnsi="宋体" w:eastAsia="黑体"/>
          <w:sz w:val="28"/>
          <w:szCs w:val="28"/>
        </w:rPr>
        <w:t>、享受政府采购政策优惠的证明资料</w:t>
      </w:r>
      <w:bookmarkEnd w:id="200"/>
      <w:bookmarkEnd w:id="201"/>
      <w:bookmarkEnd w:id="202"/>
    </w:p>
    <w:p w14:paraId="690DB858">
      <w:pPr>
        <w:adjustRightInd w:val="0"/>
        <w:snapToGrid w:val="0"/>
        <w:spacing w:line="360" w:lineRule="auto"/>
        <w:rPr>
          <w:rFonts w:ascii="黑体" w:hAnsi="华文中宋" w:eastAsia="黑体" w:cs="宋体"/>
          <w:bCs/>
          <w:spacing w:val="6"/>
          <w:kern w:val="0"/>
          <w:szCs w:val="21"/>
        </w:rPr>
      </w:pPr>
    </w:p>
    <w:p w14:paraId="018FCB43">
      <w:pPr>
        <w:adjustRightInd w:val="0"/>
        <w:snapToGrid w:val="0"/>
        <w:spacing w:line="360" w:lineRule="auto"/>
        <w:ind w:firstLine="444" w:firstLineChars="200"/>
        <w:rPr>
          <w:rFonts w:ascii="黑体" w:hAnsi="华文中宋" w:eastAsia="黑体" w:cs="宋体"/>
          <w:bCs/>
          <w:spacing w:val="6"/>
          <w:kern w:val="0"/>
          <w:szCs w:val="21"/>
        </w:rPr>
      </w:pPr>
      <w:r>
        <w:rPr>
          <w:rFonts w:hint="eastAsia" w:cs="宋体" w:asciiTheme="minorEastAsia" w:hAnsiTheme="minorEastAsia" w:eastAsiaTheme="minorEastAsia"/>
          <w:bCs/>
          <w:spacing w:val="6"/>
          <w:kern w:val="0"/>
          <w:szCs w:val="21"/>
        </w:rPr>
        <w:t>投标人符合第二章第33.6款要求的，应提供下列证明资料，并填写相关数据。否则，评审时不予以考虑。</w:t>
      </w:r>
    </w:p>
    <w:p w14:paraId="4EC6AF15">
      <w:pPr>
        <w:pStyle w:val="5"/>
        <w:bidi w:val="0"/>
        <w:rPr>
          <w:rFonts w:ascii="黑体" w:hAnsi="华文中宋" w:cs="宋体"/>
          <w:b w:val="0"/>
          <w:bCs w:val="0"/>
          <w:spacing w:val="6"/>
          <w:kern w:val="0"/>
          <w:sz w:val="21"/>
          <w:szCs w:val="21"/>
        </w:rPr>
      </w:pPr>
      <w:bookmarkStart w:id="203" w:name="_Toc29913970"/>
      <w:bookmarkStart w:id="204" w:name="_Toc29443"/>
      <w:bookmarkStart w:id="205" w:name="_Toc7055"/>
      <w:r>
        <w:rPr>
          <w:rFonts w:hint="eastAsia"/>
          <w:sz w:val="22"/>
          <w:szCs w:val="22"/>
        </w:rPr>
        <w:t>附件10-1</w:t>
      </w:r>
      <w:bookmarkEnd w:id="203"/>
      <w:bookmarkEnd w:id="204"/>
      <w:r>
        <w:rPr>
          <w:rFonts w:hint="eastAsia"/>
          <w:sz w:val="22"/>
          <w:szCs w:val="22"/>
          <w:lang w:val="en-US" w:eastAsia="zh-CN"/>
        </w:rPr>
        <w:t xml:space="preserve">  中小企业声明函（工程、服务）</w:t>
      </w:r>
      <w:bookmarkEnd w:id="205"/>
    </w:p>
    <w:p w14:paraId="1082E2AC">
      <w:pPr>
        <w:keepNext w:val="0"/>
        <w:keepLines w:val="0"/>
        <w:widowControl/>
        <w:suppressLineNumbers w:val="0"/>
        <w:spacing w:before="100" w:beforeAutospacing="1" w:after="100" w:afterAutospacing="1" w:line="435" w:lineRule="atLeast"/>
        <w:ind w:left="0" w:right="0"/>
        <w:jc w:val="center"/>
        <w:rPr>
          <w:rStyle w:val="46"/>
          <w:rFonts w:hint="eastAsia" w:ascii="宋体" w:hAnsi="宋体" w:eastAsia="宋体" w:cs="宋体"/>
          <w:color w:val="333333"/>
          <w:kern w:val="0"/>
          <w:sz w:val="28"/>
          <w:szCs w:val="28"/>
          <w:lang w:val="en-US" w:eastAsia="zh-CN" w:bidi="ar"/>
        </w:rPr>
      </w:pPr>
      <w:r>
        <w:rPr>
          <w:rStyle w:val="46"/>
          <w:rFonts w:hint="eastAsia" w:ascii="宋体" w:hAnsi="宋体" w:eastAsia="宋体" w:cs="宋体"/>
          <w:color w:val="333333"/>
          <w:kern w:val="0"/>
          <w:sz w:val="28"/>
          <w:szCs w:val="28"/>
          <w:lang w:val="en-US" w:eastAsia="zh-CN" w:bidi="ar"/>
        </w:rPr>
        <w:t>中小企业声明函（服务）</w:t>
      </w:r>
    </w:p>
    <w:p w14:paraId="0AC94BC9">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80" w:lineRule="auto"/>
        <w:ind w:left="0" w:right="0" w:firstLine="482"/>
        <w:jc w:val="left"/>
        <w:textAlignment w:val="auto"/>
      </w:pPr>
      <w:r>
        <w:rPr>
          <w:rFonts w:hint="eastAsia" w:ascii="宋体" w:hAnsi="宋体" w:eastAsia="宋体" w:cs="宋体"/>
          <w:b w:val="0"/>
          <w:bCs w:val="0"/>
          <w:color w:val="333333"/>
          <w:kern w:val="0"/>
          <w:sz w:val="24"/>
          <w:szCs w:val="24"/>
          <w:lang w:val="en-US" w:eastAsia="zh-CN" w:bidi="ar"/>
        </w:rPr>
        <w:t>本公司（联合体）郑重声明，根据《政府采购促进中小企业发展管理办法》（财库﹝2020﹞46 号）的规定，本公司（联合体）参加</w:t>
      </w:r>
      <w:r>
        <w:rPr>
          <w:rFonts w:hint="eastAsia" w:ascii="宋体" w:hAnsi="宋体" w:eastAsia="宋体" w:cs="宋体"/>
          <w:b w:val="0"/>
          <w:bCs w:val="0"/>
          <w:color w:val="333333"/>
          <w:kern w:val="0"/>
          <w:sz w:val="24"/>
          <w:szCs w:val="24"/>
          <w:u w:val="single"/>
          <w:lang w:val="en-US" w:eastAsia="zh-CN" w:bidi="ar"/>
        </w:rPr>
        <w:t>    （单位名称）</w:t>
      </w:r>
      <w:r>
        <w:rPr>
          <w:rFonts w:hint="eastAsia" w:ascii="宋体" w:hAnsi="宋体" w:eastAsia="宋体" w:cs="宋体"/>
          <w:b w:val="0"/>
          <w:bCs w:val="0"/>
          <w:color w:val="333333"/>
          <w:kern w:val="0"/>
          <w:sz w:val="24"/>
          <w:szCs w:val="24"/>
          <w:lang w:val="en-US" w:eastAsia="zh-CN" w:bidi="ar"/>
        </w:rPr>
        <w:t>的</w:t>
      </w:r>
      <w:r>
        <w:rPr>
          <w:rFonts w:hint="eastAsia" w:ascii="宋体" w:hAnsi="宋体" w:eastAsia="宋体" w:cs="宋体"/>
          <w:b w:val="0"/>
          <w:bCs w:val="0"/>
          <w:color w:val="333333"/>
          <w:kern w:val="0"/>
          <w:sz w:val="24"/>
          <w:szCs w:val="24"/>
          <w:u w:val="single"/>
          <w:lang w:val="en-US" w:eastAsia="zh-CN" w:bidi="ar"/>
        </w:rPr>
        <w:t>（项目名称）</w:t>
      </w:r>
      <w:r>
        <w:rPr>
          <w:rFonts w:hint="eastAsia" w:ascii="宋体" w:hAnsi="宋体" w:eastAsia="宋体" w:cs="宋体"/>
          <w:b w:val="0"/>
          <w:bCs w:val="0"/>
          <w:color w:val="333333"/>
          <w:kern w:val="0"/>
          <w:sz w:val="24"/>
          <w:szCs w:val="24"/>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14:paraId="422AEE7C">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80" w:lineRule="auto"/>
        <w:ind w:left="0" w:right="0" w:firstLine="482"/>
        <w:jc w:val="both"/>
        <w:textAlignment w:val="auto"/>
      </w:pPr>
      <w:r>
        <w:rPr>
          <w:rFonts w:hint="eastAsia" w:ascii="宋体" w:hAnsi="宋体" w:eastAsia="宋体" w:cs="宋体"/>
          <w:b w:val="0"/>
          <w:bCs w:val="0"/>
          <w:color w:val="333333"/>
          <w:kern w:val="0"/>
          <w:sz w:val="24"/>
          <w:szCs w:val="24"/>
          <w:u w:val="single"/>
          <w:lang w:val="en-US" w:eastAsia="zh-CN" w:bidi="ar"/>
        </w:rPr>
        <w:t>1.   （标的名称）</w:t>
      </w:r>
      <w:r>
        <w:rPr>
          <w:rFonts w:hint="eastAsia" w:ascii="宋体" w:hAnsi="宋体" w:eastAsia="宋体" w:cs="宋体"/>
          <w:b w:val="0"/>
          <w:bCs w:val="0"/>
          <w:color w:val="333333"/>
          <w:kern w:val="0"/>
          <w:sz w:val="24"/>
          <w:szCs w:val="24"/>
          <w:lang w:val="en-US" w:eastAsia="zh-CN" w:bidi="ar"/>
        </w:rPr>
        <w:t>，属于</w:t>
      </w:r>
      <w:r>
        <w:rPr>
          <w:rFonts w:hint="eastAsia" w:ascii="宋体" w:hAnsi="宋体" w:eastAsia="宋体" w:cs="宋体"/>
          <w:b w:val="0"/>
          <w:bCs w:val="0"/>
          <w:color w:val="333333"/>
          <w:kern w:val="0"/>
          <w:sz w:val="24"/>
          <w:szCs w:val="24"/>
          <w:u w:val="single"/>
          <w:lang w:val="en-US" w:eastAsia="zh-CN" w:bidi="ar"/>
        </w:rPr>
        <w:t>    （采购文件中明确的所属行业）</w:t>
      </w:r>
      <w:r>
        <w:rPr>
          <w:rFonts w:hint="eastAsia" w:ascii="宋体" w:hAnsi="宋体" w:eastAsia="宋体" w:cs="宋体"/>
          <w:b w:val="0"/>
          <w:bCs w:val="0"/>
          <w:color w:val="333333"/>
          <w:kern w:val="0"/>
          <w:sz w:val="24"/>
          <w:szCs w:val="24"/>
          <w:lang w:val="en-US" w:eastAsia="zh-CN" w:bidi="ar"/>
        </w:rPr>
        <w:t>；承建（承接）企业为</w:t>
      </w:r>
      <w:r>
        <w:rPr>
          <w:rFonts w:hint="eastAsia" w:ascii="宋体" w:hAnsi="宋体" w:eastAsia="宋体" w:cs="宋体"/>
          <w:b w:val="0"/>
          <w:bCs w:val="0"/>
          <w:color w:val="333333"/>
          <w:kern w:val="0"/>
          <w:sz w:val="24"/>
          <w:szCs w:val="24"/>
          <w:u w:val="single"/>
          <w:lang w:val="en-US" w:eastAsia="zh-CN" w:bidi="ar"/>
        </w:rPr>
        <w:t>    （企业名称）</w:t>
      </w:r>
      <w:r>
        <w:rPr>
          <w:rFonts w:hint="eastAsia" w:ascii="宋体" w:hAnsi="宋体" w:eastAsia="宋体" w:cs="宋体"/>
          <w:b w:val="0"/>
          <w:bCs w:val="0"/>
          <w:color w:val="333333"/>
          <w:kern w:val="0"/>
          <w:sz w:val="24"/>
          <w:szCs w:val="24"/>
          <w:lang w:val="en-US" w:eastAsia="zh-CN" w:bidi="ar"/>
        </w:rPr>
        <w:t>，从业人员</w:t>
      </w:r>
      <w:r>
        <w:rPr>
          <w:rFonts w:hint="eastAsia" w:ascii="宋体" w:hAnsi="宋体" w:eastAsia="宋体" w:cs="宋体"/>
          <w:b w:val="0"/>
          <w:bCs w:val="0"/>
          <w:color w:val="333333"/>
          <w:kern w:val="0"/>
          <w:sz w:val="24"/>
          <w:szCs w:val="24"/>
          <w:u w:val="single"/>
          <w:lang w:val="en-US" w:eastAsia="zh-CN" w:bidi="ar"/>
        </w:rPr>
        <w:t>    </w:t>
      </w:r>
      <w:r>
        <w:rPr>
          <w:rFonts w:hint="eastAsia" w:ascii="宋体" w:hAnsi="宋体" w:eastAsia="宋体" w:cs="宋体"/>
          <w:b w:val="0"/>
          <w:bCs w:val="0"/>
          <w:color w:val="333333"/>
          <w:kern w:val="0"/>
          <w:sz w:val="24"/>
          <w:szCs w:val="24"/>
          <w:lang w:val="en-US" w:eastAsia="zh-CN" w:bidi="ar"/>
        </w:rPr>
        <w:t>人，营业收入为</w:t>
      </w:r>
      <w:r>
        <w:rPr>
          <w:rFonts w:hint="eastAsia" w:ascii="宋体" w:hAnsi="宋体" w:eastAsia="宋体" w:cs="宋体"/>
          <w:b w:val="0"/>
          <w:bCs w:val="0"/>
          <w:color w:val="333333"/>
          <w:kern w:val="0"/>
          <w:sz w:val="24"/>
          <w:szCs w:val="24"/>
          <w:u w:val="single"/>
          <w:lang w:val="en-US" w:eastAsia="zh-CN" w:bidi="ar"/>
        </w:rPr>
        <w:t>    </w:t>
      </w:r>
      <w:r>
        <w:rPr>
          <w:rFonts w:hint="eastAsia" w:ascii="宋体" w:hAnsi="宋体" w:eastAsia="宋体" w:cs="宋体"/>
          <w:b w:val="0"/>
          <w:bCs w:val="0"/>
          <w:color w:val="333333"/>
          <w:kern w:val="0"/>
          <w:sz w:val="24"/>
          <w:szCs w:val="24"/>
          <w:lang w:val="en-US" w:eastAsia="zh-CN" w:bidi="ar"/>
        </w:rPr>
        <w:t>万元，资产总额为</w:t>
      </w:r>
      <w:r>
        <w:rPr>
          <w:rFonts w:hint="eastAsia" w:ascii="宋体" w:hAnsi="宋体" w:eastAsia="宋体" w:cs="宋体"/>
          <w:b w:val="0"/>
          <w:bCs w:val="0"/>
          <w:color w:val="333333"/>
          <w:kern w:val="0"/>
          <w:sz w:val="24"/>
          <w:szCs w:val="24"/>
          <w:u w:val="single"/>
          <w:lang w:val="en-US" w:eastAsia="zh-CN" w:bidi="ar"/>
        </w:rPr>
        <w:t>    </w:t>
      </w:r>
      <w:r>
        <w:rPr>
          <w:rFonts w:hint="eastAsia" w:ascii="宋体" w:hAnsi="宋体" w:eastAsia="宋体" w:cs="宋体"/>
          <w:b w:val="0"/>
          <w:bCs w:val="0"/>
          <w:color w:val="333333"/>
          <w:kern w:val="0"/>
          <w:sz w:val="24"/>
          <w:szCs w:val="24"/>
          <w:lang w:val="en-US" w:eastAsia="zh-CN" w:bidi="ar"/>
        </w:rPr>
        <w:t>万元，属于</w:t>
      </w:r>
      <w:r>
        <w:rPr>
          <w:rFonts w:hint="eastAsia" w:ascii="宋体" w:hAnsi="宋体" w:eastAsia="宋体" w:cs="宋体"/>
          <w:b w:val="0"/>
          <w:bCs w:val="0"/>
          <w:color w:val="333333"/>
          <w:kern w:val="0"/>
          <w:sz w:val="24"/>
          <w:szCs w:val="24"/>
          <w:u w:val="single"/>
          <w:lang w:val="en-US" w:eastAsia="zh-CN" w:bidi="ar"/>
        </w:rPr>
        <w:t>     （中型企业、小型企业、微型企业）</w:t>
      </w:r>
      <w:r>
        <w:rPr>
          <w:rFonts w:hint="eastAsia" w:ascii="宋体" w:hAnsi="宋体" w:eastAsia="宋体" w:cs="宋体"/>
          <w:b w:val="0"/>
          <w:bCs w:val="0"/>
          <w:color w:val="333333"/>
          <w:kern w:val="0"/>
          <w:sz w:val="24"/>
          <w:szCs w:val="24"/>
          <w:lang w:val="en-US" w:eastAsia="zh-CN" w:bidi="ar"/>
        </w:rPr>
        <w:t>；</w:t>
      </w:r>
    </w:p>
    <w:p w14:paraId="0C77C8EE">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80" w:lineRule="auto"/>
        <w:ind w:left="0" w:right="0" w:firstLine="482"/>
        <w:jc w:val="both"/>
        <w:textAlignment w:val="auto"/>
      </w:pPr>
      <w:r>
        <w:rPr>
          <w:rFonts w:hint="eastAsia" w:ascii="宋体" w:hAnsi="宋体" w:eastAsia="宋体" w:cs="宋体"/>
          <w:b w:val="0"/>
          <w:bCs w:val="0"/>
          <w:color w:val="333333"/>
          <w:kern w:val="0"/>
          <w:sz w:val="24"/>
          <w:szCs w:val="24"/>
          <w:lang w:val="en-US" w:eastAsia="zh-CN" w:bidi="ar"/>
        </w:rPr>
        <w:t>2.</w:t>
      </w:r>
      <w:r>
        <w:rPr>
          <w:rFonts w:hint="eastAsia" w:ascii="宋体" w:hAnsi="宋体" w:eastAsia="宋体" w:cs="宋体"/>
          <w:b w:val="0"/>
          <w:bCs w:val="0"/>
          <w:color w:val="333333"/>
          <w:kern w:val="0"/>
          <w:sz w:val="24"/>
          <w:szCs w:val="24"/>
          <w:u w:val="single"/>
          <w:lang w:val="en-US" w:eastAsia="zh-CN" w:bidi="ar"/>
        </w:rPr>
        <w:t>     （标的名称）</w:t>
      </w:r>
      <w:r>
        <w:rPr>
          <w:rFonts w:hint="eastAsia" w:ascii="宋体" w:hAnsi="宋体" w:eastAsia="宋体" w:cs="宋体"/>
          <w:b w:val="0"/>
          <w:bCs w:val="0"/>
          <w:color w:val="333333"/>
          <w:kern w:val="0"/>
          <w:sz w:val="24"/>
          <w:szCs w:val="24"/>
          <w:lang w:val="en-US" w:eastAsia="zh-CN" w:bidi="ar"/>
        </w:rPr>
        <w:t>，属于</w:t>
      </w:r>
      <w:r>
        <w:rPr>
          <w:rFonts w:hint="eastAsia" w:ascii="宋体" w:hAnsi="宋体" w:eastAsia="宋体" w:cs="宋体"/>
          <w:b w:val="0"/>
          <w:bCs w:val="0"/>
          <w:color w:val="333333"/>
          <w:kern w:val="0"/>
          <w:sz w:val="24"/>
          <w:szCs w:val="24"/>
          <w:u w:val="single"/>
          <w:lang w:val="en-US" w:eastAsia="zh-CN" w:bidi="ar"/>
        </w:rPr>
        <w:t>     （采购文件中明确的所属行业）</w:t>
      </w:r>
      <w:r>
        <w:rPr>
          <w:rFonts w:hint="eastAsia" w:ascii="宋体" w:hAnsi="宋体" w:eastAsia="宋体" w:cs="宋体"/>
          <w:b w:val="0"/>
          <w:bCs w:val="0"/>
          <w:color w:val="333333"/>
          <w:kern w:val="0"/>
          <w:sz w:val="24"/>
          <w:szCs w:val="24"/>
          <w:lang w:val="en-US" w:eastAsia="zh-CN" w:bidi="ar"/>
        </w:rPr>
        <w:t>行业；制造商为</w:t>
      </w:r>
      <w:r>
        <w:rPr>
          <w:rFonts w:hint="eastAsia" w:ascii="宋体" w:hAnsi="宋体" w:eastAsia="宋体" w:cs="宋体"/>
          <w:b w:val="0"/>
          <w:bCs w:val="0"/>
          <w:color w:val="333333"/>
          <w:kern w:val="0"/>
          <w:sz w:val="24"/>
          <w:szCs w:val="24"/>
          <w:u w:val="single"/>
          <w:lang w:val="en-US" w:eastAsia="zh-CN" w:bidi="ar"/>
        </w:rPr>
        <w:t>       （企业名称）</w:t>
      </w:r>
      <w:r>
        <w:rPr>
          <w:rFonts w:hint="eastAsia" w:ascii="宋体" w:hAnsi="宋体" w:eastAsia="宋体" w:cs="宋体"/>
          <w:b w:val="0"/>
          <w:bCs w:val="0"/>
          <w:color w:val="333333"/>
          <w:kern w:val="0"/>
          <w:sz w:val="24"/>
          <w:szCs w:val="24"/>
          <w:lang w:val="en-US" w:eastAsia="zh-CN" w:bidi="ar"/>
        </w:rPr>
        <w:t>，从业人员</w:t>
      </w:r>
      <w:r>
        <w:rPr>
          <w:rFonts w:hint="eastAsia" w:ascii="宋体" w:hAnsi="宋体" w:eastAsia="宋体" w:cs="宋体"/>
          <w:b w:val="0"/>
          <w:bCs w:val="0"/>
          <w:color w:val="333333"/>
          <w:kern w:val="0"/>
          <w:sz w:val="24"/>
          <w:szCs w:val="24"/>
          <w:u w:val="single"/>
          <w:lang w:val="en-US" w:eastAsia="zh-CN" w:bidi="ar"/>
        </w:rPr>
        <w:t>    </w:t>
      </w:r>
      <w:r>
        <w:rPr>
          <w:rFonts w:hint="eastAsia" w:ascii="宋体" w:hAnsi="宋体" w:eastAsia="宋体" w:cs="宋体"/>
          <w:b w:val="0"/>
          <w:bCs w:val="0"/>
          <w:color w:val="333333"/>
          <w:kern w:val="0"/>
          <w:sz w:val="24"/>
          <w:szCs w:val="24"/>
          <w:lang w:val="en-US" w:eastAsia="zh-CN" w:bidi="ar"/>
        </w:rPr>
        <w:t>人，营业收入为</w:t>
      </w:r>
      <w:r>
        <w:rPr>
          <w:rFonts w:hint="eastAsia" w:ascii="宋体" w:hAnsi="宋体" w:eastAsia="宋体" w:cs="宋体"/>
          <w:b w:val="0"/>
          <w:bCs w:val="0"/>
          <w:color w:val="333333"/>
          <w:kern w:val="0"/>
          <w:sz w:val="24"/>
          <w:szCs w:val="24"/>
          <w:u w:val="single"/>
          <w:lang w:val="en-US" w:eastAsia="zh-CN" w:bidi="ar"/>
        </w:rPr>
        <w:t>    </w:t>
      </w:r>
      <w:r>
        <w:rPr>
          <w:rFonts w:hint="eastAsia" w:ascii="宋体" w:hAnsi="宋体" w:eastAsia="宋体" w:cs="宋体"/>
          <w:b w:val="0"/>
          <w:bCs w:val="0"/>
          <w:color w:val="333333"/>
          <w:kern w:val="0"/>
          <w:sz w:val="24"/>
          <w:szCs w:val="24"/>
          <w:lang w:val="en-US" w:eastAsia="zh-CN" w:bidi="ar"/>
        </w:rPr>
        <w:t>万元，资产总额为</w:t>
      </w:r>
      <w:r>
        <w:rPr>
          <w:rFonts w:hint="eastAsia" w:ascii="宋体" w:hAnsi="宋体" w:eastAsia="宋体" w:cs="宋体"/>
          <w:b w:val="0"/>
          <w:bCs w:val="0"/>
          <w:color w:val="333333"/>
          <w:kern w:val="0"/>
          <w:sz w:val="24"/>
          <w:szCs w:val="24"/>
          <w:u w:val="single"/>
          <w:lang w:val="en-US" w:eastAsia="zh-CN" w:bidi="ar"/>
        </w:rPr>
        <w:t>   </w:t>
      </w:r>
      <w:r>
        <w:rPr>
          <w:rFonts w:hint="eastAsia" w:ascii="宋体" w:hAnsi="宋体" w:eastAsia="宋体" w:cs="宋体"/>
          <w:b w:val="0"/>
          <w:bCs w:val="0"/>
          <w:color w:val="333333"/>
          <w:kern w:val="0"/>
          <w:sz w:val="24"/>
          <w:szCs w:val="24"/>
          <w:lang w:val="en-US" w:eastAsia="zh-CN" w:bidi="ar"/>
        </w:rPr>
        <w:t>万元</w:t>
      </w:r>
      <w:r>
        <w:rPr>
          <w:rFonts w:hint="eastAsia" w:ascii="宋体" w:hAnsi="宋体" w:eastAsia="宋体" w:cs="宋体"/>
          <w:b w:val="0"/>
          <w:bCs w:val="0"/>
          <w:color w:val="333333"/>
          <w:kern w:val="0"/>
          <w:sz w:val="24"/>
          <w:szCs w:val="24"/>
          <w:vertAlign w:val="superscript"/>
          <w:lang w:val="en-US" w:eastAsia="zh-CN" w:bidi="ar"/>
        </w:rPr>
        <w:t>1</w:t>
      </w:r>
      <w:r>
        <w:rPr>
          <w:rFonts w:hint="eastAsia" w:ascii="宋体" w:hAnsi="宋体" w:eastAsia="宋体" w:cs="宋体"/>
          <w:b w:val="0"/>
          <w:bCs w:val="0"/>
          <w:color w:val="333333"/>
          <w:kern w:val="0"/>
          <w:sz w:val="24"/>
          <w:szCs w:val="24"/>
          <w:lang w:val="en-US" w:eastAsia="zh-CN" w:bidi="ar"/>
        </w:rPr>
        <w:t>，属于</w:t>
      </w:r>
      <w:r>
        <w:rPr>
          <w:rFonts w:hint="eastAsia" w:ascii="宋体" w:hAnsi="宋体" w:eastAsia="宋体" w:cs="宋体"/>
          <w:b w:val="0"/>
          <w:bCs w:val="0"/>
          <w:color w:val="333333"/>
          <w:kern w:val="0"/>
          <w:sz w:val="24"/>
          <w:szCs w:val="24"/>
          <w:u w:val="single"/>
          <w:lang w:val="en-US" w:eastAsia="zh-CN" w:bidi="ar"/>
        </w:rPr>
        <w:t>     （中型企业、小型企业、微型企业）</w:t>
      </w:r>
      <w:r>
        <w:rPr>
          <w:rFonts w:hint="eastAsia" w:ascii="宋体" w:hAnsi="宋体" w:eastAsia="宋体" w:cs="宋体"/>
          <w:b w:val="0"/>
          <w:bCs w:val="0"/>
          <w:color w:val="333333"/>
          <w:kern w:val="0"/>
          <w:sz w:val="24"/>
          <w:szCs w:val="24"/>
          <w:lang w:val="en-US" w:eastAsia="zh-CN" w:bidi="ar"/>
        </w:rPr>
        <w:t>；</w:t>
      </w:r>
    </w:p>
    <w:p w14:paraId="04B2F151">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80" w:lineRule="auto"/>
        <w:ind w:left="0" w:right="0" w:firstLine="482"/>
        <w:jc w:val="both"/>
        <w:textAlignment w:val="auto"/>
      </w:pPr>
      <w:r>
        <w:rPr>
          <w:rFonts w:hint="eastAsia" w:ascii="宋体" w:hAnsi="宋体" w:eastAsia="宋体" w:cs="宋体"/>
          <w:b w:val="0"/>
          <w:bCs w:val="0"/>
          <w:color w:val="333333"/>
          <w:kern w:val="0"/>
          <w:sz w:val="24"/>
          <w:szCs w:val="24"/>
          <w:lang w:val="en-US" w:eastAsia="zh-CN" w:bidi="ar"/>
        </w:rPr>
        <w:t>……</w:t>
      </w:r>
    </w:p>
    <w:p w14:paraId="1757117A">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80" w:lineRule="auto"/>
        <w:ind w:left="0" w:right="0" w:firstLine="482"/>
        <w:jc w:val="left"/>
        <w:textAlignment w:val="auto"/>
      </w:pPr>
      <w:r>
        <w:rPr>
          <w:rFonts w:hint="eastAsia" w:ascii="宋体" w:hAnsi="宋体" w:eastAsia="宋体" w:cs="宋体"/>
          <w:b w:val="0"/>
          <w:bCs w:val="0"/>
          <w:color w:val="333333"/>
          <w:kern w:val="0"/>
          <w:sz w:val="24"/>
          <w:szCs w:val="24"/>
          <w:lang w:val="en-US" w:eastAsia="zh-CN" w:bidi="ar"/>
        </w:rPr>
        <w:t>以上企业，不属于大企业的分支机构，不存在控股股东为大企业的情形，也不存在与大企业的负责人为同一人的情形。</w:t>
      </w:r>
    </w:p>
    <w:p w14:paraId="2257C679">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40" w:lineRule="exact"/>
        <w:ind w:left="0" w:right="0" w:firstLine="482"/>
        <w:jc w:val="left"/>
        <w:textAlignment w:val="auto"/>
      </w:pPr>
      <w:r>
        <w:rPr>
          <w:rFonts w:hint="eastAsia" w:ascii="宋体" w:hAnsi="宋体" w:eastAsia="宋体" w:cs="宋体"/>
          <w:b w:val="0"/>
          <w:bCs w:val="0"/>
          <w:color w:val="333333"/>
          <w:kern w:val="0"/>
          <w:sz w:val="24"/>
          <w:szCs w:val="24"/>
          <w:lang w:val="en-US" w:eastAsia="zh-CN" w:bidi="ar"/>
        </w:rPr>
        <w:t>本企业对上述声明内容的真实性负责。如有虚假，将依法承担相应责任。</w:t>
      </w:r>
    </w:p>
    <w:p w14:paraId="306C5021">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40" w:lineRule="exact"/>
        <w:ind w:left="0" w:right="0" w:firstLine="5280"/>
        <w:jc w:val="left"/>
        <w:textAlignment w:val="auto"/>
      </w:pPr>
      <w:r>
        <w:rPr>
          <w:rFonts w:hint="eastAsia" w:ascii="宋体" w:hAnsi="宋体" w:eastAsia="宋体" w:cs="宋体"/>
          <w:b w:val="0"/>
          <w:bCs w:val="0"/>
          <w:color w:val="333333"/>
          <w:kern w:val="0"/>
          <w:sz w:val="24"/>
          <w:szCs w:val="24"/>
          <w:lang w:val="en-US" w:eastAsia="zh-CN" w:bidi="ar"/>
        </w:rPr>
        <w:t>企业名称（</w:t>
      </w:r>
      <w:r>
        <w:rPr>
          <w:rFonts w:hint="eastAsia" w:ascii="宋体" w:hAnsi="宋体"/>
          <w:szCs w:val="21"/>
        </w:rPr>
        <w:t>盖单位电子章</w:t>
      </w:r>
      <w:r>
        <w:rPr>
          <w:rFonts w:hint="eastAsia" w:ascii="宋体" w:hAnsi="宋体" w:eastAsia="宋体" w:cs="宋体"/>
          <w:b w:val="0"/>
          <w:bCs w:val="0"/>
          <w:color w:val="333333"/>
          <w:kern w:val="0"/>
          <w:sz w:val="24"/>
          <w:szCs w:val="24"/>
          <w:lang w:val="en-US" w:eastAsia="zh-CN" w:bidi="ar"/>
        </w:rPr>
        <w:t>）：</w:t>
      </w:r>
    </w:p>
    <w:p w14:paraId="0946888C">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40" w:lineRule="exact"/>
        <w:ind w:left="0" w:right="0" w:firstLine="5280"/>
        <w:jc w:val="left"/>
        <w:textAlignment w:val="auto"/>
      </w:pPr>
      <w:r>
        <w:rPr>
          <w:rFonts w:hint="eastAsia" w:ascii="宋体" w:hAnsi="宋体" w:eastAsia="宋体" w:cs="宋体"/>
          <w:b w:val="0"/>
          <w:bCs w:val="0"/>
          <w:color w:val="333333"/>
          <w:kern w:val="0"/>
          <w:sz w:val="24"/>
          <w:szCs w:val="24"/>
          <w:lang w:val="en-US" w:eastAsia="zh-CN" w:bidi="ar"/>
        </w:rPr>
        <w:t>日 期：</w:t>
      </w:r>
    </w:p>
    <w:p w14:paraId="0E13DDE2">
      <w:pPr>
        <w:keepNext w:val="0"/>
        <w:keepLines w:val="0"/>
        <w:widowControl/>
        <w:suppressLineNumbers w:val="0"/>
        <w:spacing w:before="100" w:beforeAutospacing="1" w:after="100" w:afterAutospacing="1" w:line="435" w:lineRule="atLeast"/>
        <w:ind w:left="0" w:right="0"/>
        <w:jc w:val="left"/>
      </w:pPr>
      <w:r>
        <w:rPr>
          <w:rFonts w:hint="eastAsia" w:ascii="宋体" w:hAnsi="宋体" w:eastAsia="宋体" w:cs="宋体"/>
          <w:b w:val="0"/>
          <w:bCs w:val="0"/>
          <w:color w:val="333333"/>
          <w:kern w:val="0"/>
          <w:sz w:val="24"/>
          <w:szCs w:val="24"/>
          <w:u w:val="single"/>
          <w:lang w:val="en-US" w:eastAsia="zh-CN" w:bidi="ar"/>
        </w:rPr>
        <w:t>              </w:t>
      </w:r>
    </w:p>
    <w:p w14:paraId="5ECF64F5">
      <w:pPr>
        <w:keepNext w:val="0"/>
        <w:keepLines w:val="0"/>
        <w:widowControl/>
        <w:suppressLineNumbers w:val="0"/>
        <w:spacing w:before="100" w:beforeAutospacing="1" w:after="100" w:afterAutospacing="1" w:line="435" w:lineRule="atLeast"/>
        <w:ind w:left="0" w:right="0"/>
        <w:jc w:val="left"/>
      </w:pPr>
      <w:r>
        <w:rPr>
          <w:rFonts w:hint="eastAsia" w:ascii="宋体" w:hAnsi="宋体" w:eastAsia="宋体" w:cs="宋体"/>
          <w:b w:val="0"/>
          <w:bCs w:val="0"/>
          <w:color w:val="333333"/>
          <w:kern w:val="0"/>
          <w:sz w:val="18"/>
          <w:szCs w:val="18"/>
          <w:vertAlign w:val="superscript"/>
          <w:lang w:val="en-US" w:eastAsia="zh-CN" w:bidi="ar"/>
        </w:rPr>
        <w:t>1</w:t>
      </w:r>
      <w:r>
        <w:rPr>
          <w:rFonts w:hint="eastAsia" w:ascii="宋体" w:hAnsi="宋体" w:eastAsia="宋体" w:cs="宋体"/>
          <w:b w:val="0"/>
          <w:bCs w:val="0"/>
          <w:color w:val="333333"/>
          <w:kern w:val="0"/>
          <w:sz w:val="18"/>
          <w:szCs w:val="18"/>
          <w:lang w:val="en-US" w:eastAsia="zh-CN" w:bidi="ar"/>
        </w:rPr>
        <w:t>从业人员、营业收入、资产总额填报上一年度数据，无上一年度数据的新成立企业可不填报。</w:t>
      </w:r>
    </w:p>
    <w:p w14:paraId="53210FAE">
      <w:pPr>
        <w:widowControl/>
        <w:adjustRightInd w:val="0"/>
        <w:snapToGrid w:val="0"/>
        <w:spacing w:line="360" w:lineRule="auto"/>
        <w:ind w:firstLine="446" w:firstLineChars="200"/>
        <w:jc w:val="center"/>
        <w:rPr>
          <w:rFonts w:cs="宋体" w:asciiTheme="minorEastAsia" w:hAnsiTheme="minorEastAsia" w:eastAsiaTheme="minorEastAsia"/>
          <w:b/>
          <w:spacing w:val="6"/>
          <w:kern w:val="0"/>
          <w:szCs w:val="21"/>
          <w:u w:val="single"/>
        </w:rPr>
      </w:pPr>
    </w:p>
    <w:p w14:paraId="0499307C">
      <w:pPr>
        <w:widowControl/>
        <w:adjustRightInd w:val="0"/>
        <w:snapToGrid w:val="0"/>
        <w:spacing w:line="360" w:lineRule="auto"/>
        <w:ind w:firstLine="446" w:firstLineChars="200"/>
        <w:jc w:val="left"/>
        <w:rPr>
          <w:rFonts w:cs="宋体" w:asciiTheme="minorEastAsia" w:hAnsiTheme="minorEastAsia" w:eastAsiaTheme="minorEastAsia"/>
          <w:b/>
          <w:bCs/>
          <w:spacing w:val="6"/>
          <w:kern w:val="0"/>
          <w:szCs w:val="21"/>
        </w:rPr>
      </w:pPr>
    </w:p>
    <w:p w14:paraId="76A84363">
      <w:pPr>
        <w:widowControl/>
        <w:adjustRightInd w:val="0"/>
        <w:snapToGrid w:val="0"/>
        <w:spacing w:line="360" w:lineRule="auto"/>
        <w:ind w:firstLine="446" w:firstLineChars="200"/>
        <w:jc w:val="left"/>
        <w:rPr>
          <w:rFonts w:cs="宋体" w:asciiTheme="minorEastAsia" w:hAnsiTheme="minorEastAsia" w:eastAsiaTheme="minorEastAsia"/>
          <w:b/>
          <w:bCs/>
          <w:spacing w:val="6"/>
          <w:kern w:val="0"/>
          <w:szCs w:val="21"/>
        </w:rPr>
      </w:pPr>
    </w:p>
    <w:p w14:paraId="5BA0472E">
      <w:pPr>
        <w:widowControl/>
        <w:adjustRightInd w:val="0"/>
        <w:snapToGrid w:val="0"/>
        <w:spacing w:line="360" w:lineRule="auto"/>
        <w:ind w:firstLine="446" w:firstLineChars="200"/>
        <w:jc w:val="left"/>
        <w:rPr>
          <w:rFonts w:cs="宋体" w:asciiTheme="minorEastAsia" w:hAnsiTheme="minorEastAsia" w:eastAsiaTheme="minorEastAsia"/>
          <w:b/>
          <w:bCs/>
          <w:spacing w:val="6"/>
          <w:kern w:val="0"/>
          <w:szCs w:val="21"/>
        </w:rPr>
      </w:pPr>
    </w:p>
    <w:p w14:paraId="27BB392F">
      <w:pPr>
        <w:widowControl/>
        <w:jc w:val="left"/>
        <w:rPr>
          <w:rFonts w:ascii="黑体" w:hAnsi="华文中宋" w:eastAsia="黑体" w:cs="宋体"/>
          <w:spacing w:val="6"/>
          <w:kern w:val="0"/>
          <w:szCs w:val="21"/>
        </w:rPr>
      </w:pPr>
      <w:r>
        <w:rPr>
          <w:rFonts w:ascii="黑体" w:hAnsi="华文中宋" w:cs="宋体"/>
          <w:b/>
          <w:bCs/>
          <w:spacing w:val="6"/>
          <w:kern w:val="0"/>
          <w:szCs w:val="21"/>
        </w:rPr>
        <w:br w:type="page"/>
      </w:r>
    </w:p>
    <w:p w14:paraId="35D03C70">
      <w:pPr>
        <w:pStyle w:val="5"/>
        <w:rPr>
          <w:rFonts w:ascii="黑体" w:hAnsi="宋体"/>
          <w:b w:val="0"/>
          <w:spacing w:val="6"/>
          <w:sz w:val="21"/>
          <w:szCs w:val="21"/>
        </w:rPr>
      </w:pPr>
      <w:bookmarkStart w:id="206" w:name="_Toc29913972"/>
      <w:bookmarkStart w:id="207" w:name="_Toc28952"/>
      <w:bookmarkStart w:id="208" w:name="_Toc14005"/>
      <w:r>
        <w:rPr>
          <w:rFonts w:hint="eastAsia" w:ascii="黑体" w:hAnsi="华文中宋" w:cs="宋体"/>
          <w:b w:val="0"/>
          <w:bCs w:val="0"/>
          <w:spacing w:val="6"/>
          <w:kern w:val="0"/>
          <w:sz w:val="21"/>
          <w:szCs w:val="21"/>
        </w:rPr>
        <w:t xml:space="preserve">附件10-2 </w:t>
      </w:r>
      <w:r>
        <w:rPr>
          <w:rFonts w:hint="eastAsia" w:ascii="黑体" w:hAnsi="宋体"/>
          <w:b w:val="0"/>
          <w:spacing w:val="6"/>
          <w:sz w:val="21"/>
          <w:szCs w:val="21"/>
        </w:rPr>
        <w:t>残疾人福利性单位声明函</w:t>
      </w:r>
      <w:bookmarkEnd w:id="206"/>
      <w:bookmarkEnd w:id="207"/>
      <w:bookmarkEnd w:id="208"/>
    </w:p>
    <w:p w14:paraId="1CE2ED24">
      <w:pPr>
        <w:adjustRightInd w:val="0"/>
        <w:snapToGrid w:val="0"/>
        <w:spacing w:line="360" w:lineRule="auto"/>
        <w:jc w:val="center"/>
        <w:rPr>
          <w:rFonts w:ascii="黑体" w:hAnsi="黑体" w:eastAsia="黑体"/>
          <w:b/>
          <w:spacing w:val="6"/>
          <w:sz w:val="28"/>
          <w:szCs w:val="28"/>
        </w:rPr>
      </w:pPr>
      <w:r>
        <w:rPr>
          <w:rFonts w:hint="eastAsia" w:ascii="黑体" w:hAnsi="黑体" w:eastAsia="黑体"/>
          <w:b/>
          <w:spacing w:val="6"/>
          <w:sz w:val="28"/>
          <w:szCs w:val="28"/>
        </w:rPr>
        <w:t>残疾人福利性单位声明函</w:t>
      </w:r>
    </w:p>
    <w:p w14:paraId="5B996FA7">
      <w:pPr>
        <w:adjustRightInd w:val="0"/>
        <w:snapToGrid w:val="0"/>
        <w:spacing w:line="360" w:lineRule="auto"/>
        <w:jc w:val="center"/>
        <w:rPr>
          <w:rFonts w:ascii="宋体" w:hAnsi="宋体"/>
          <w:b/>
          <w:spacing w:val="6"/>
          <w:szCs w:val="21"/>
        </w:rPr>
      </w:pPr>
      <w:r>
        <w:rPr>
          <w:rFonts w:hint="eastAsia" w:ascii="宋体" w:hAnsi="宋体"/>
          <w:b/>
          <w:spacing w:val="6"/>
          <w:szCs w:val="21"/>
        </w:rPr>
        <w:t>(不属于残疾人福利性单位的无需填写)</w:t>
      </w:r>
    </w:p>
    <w:p w14:paraId="43458B0B">
      <w:pPr>
        <w:adjustRightInd w:val="0"/>
        <w:snapToGrid w:val="0"/>
        <w:spacing w:line="360" w:lineRule="auto"/>
        <w:ind w:firstLine="444" w:firstLineChars="200"/>
        <w:rPr>
          <w:rFonts w:ascii="宋体" w:hAnsi="宋体"/>
          <w:spacing w:val="6"/>
          <w:szCs w:val="21"/>
        </w:rPr>
      </w:pPr>
    </w:p>
    <w:p w14:paraId="32D992AA">
      <w:pPr>
        <w:adjustRightInd w:val="0"/>
        <w:snapToGrid w:val="0"/>
        <w:spacing w:line="360" w:lineRule="auto"/>
        <w:ind w:firstLine="444" w:firstLineChars="200"/>
        <w:rPr>
          <w:rFonts w:ascii="宋体" w:hAnsi="宋体"/>
          <w:spacing w:val="6"/>
          <w:szCs w:val="21"/>
        </w:rPr>
      </w:pPr>
      <w:r>
        <w:rPr>
          <w:rFonts w:hint="eastAsia" w:ascii="宋体" w:hAnsi="宋体"/>
          <w:spacing w:val="6"/>
          <w:szCs w:val="21"/>
        </w:rPr>
        <w:t>本单位郑重声明，根据《财政部 民政部 中国残疾人联合会关于促进残疾人就业政府采购政策的通知》（财库</w:t>
      </w:r>
      <w:r>
        <w:rPr>
          <w:rFonts w:hint="eastAsia" w:ascii="宋体" w:hAnsi="宋体"/>
          <w:szCs w:val="21"/>
        </w:rPr>
        <w:t>〔2017〕141</w:t>
      </w:r>
      <w:r>
        <w:rPr>
          <w:rFonts w:hint="eastAsia" w:ascii="宋体" w:hAnsi="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16A7787">
      <w:pPr>
        <w:adjustRightInd w:val="0"/>
        <w:snapToGrid w:val="0"/>
        <w:spacing w:line="360" w:lineRule="auto"/>
        <w:ind w:firstLine="44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14:paraId="57DE4721">
      <w:pPr>
        <w:adjustRightInd w:val="0"/>
        <w:snapToGrid w:val="0"/>
        <w:spacing w:line="360" w:lineRule="auto"/>
        <w:ind w:firstLine="444" w:firstLineChars="200"/>
        <w:rPr>
          <w:rFonts w:ascii="宋体" w:hAnsi="宋体"/>
          <w:spacing w:val="6"/>
          <w:szCs w:val="21"/>
        </w:rPr>
      </w:pPr>
    </w:p>
    <w:p w14:paraId="6DB1A928">
      <w:pPr>
        <w:adjustRightInd w:val="0"/>
        <w:snapToGrid w:val="0"/>
        <w:spacing w:line="360" w:lineRule="auto"/>
        <w:ind w:firstLine="444" w:firstLineChars="200"/>
        <w:rPr>
          <w:rFonts w:ascii="宋体" w:hAnsi="宋体"/>
          <w:spacing w:val="6"/>
          <w:szCs w:val="21"/>
        </w:rPr>
      </w:pPr>
    </w:p>
    <w:p w14:paraId="12311349">
      <w:pPr>
        <w:tabs>
          <w:tab w:val="left" w:pos="4860"/>
        </w:tabs>
        <w:adjustRightInd w:val="0"/>
        <w:snapToGrid w:val="0"/>
        <w:spacing w:line="360" w:lineRule="auto"/>
        <w:ind w:right="1560" w:firstLine="444" w:firstLineChars="200"/>
        <w:jc w:val="center"/>
        <w:rPr>
          <w:rFonts w:ascii="宋体" w:hAnsi="宋体"/>
          <w:spacing w:val="6"/>
          <w:szCs w:val="21"/>
        </w:rPr>
      </w:pPr>
      <w:r>
        <w:rPr>
          <w:rFonts w:hint="eastAsia" w:ascii="宋体" w:hAnsi="宋体"/>
          <w:spacing w:val="6"/>
          <w:szCs w:val="21"/>
        </w:rPr>
        <w:t xml:space="preserve">               单位名称（盖单位电子章）：</w:t>
      </w:r>
    </w:p>
    <w:p w14:paraId="30F21245">
      <w:pPr>
        <w:tabs>
          <w:tab w:val="left" w:pos="4860"/>
        </w:tabs>
        <w:adjustRightInd w:val="0"/>
        <w:snapToGrid w:val="0"/>
        <w:spacing w:line="360" w:lineRule="auto"/>
        <w:ind w:right="1560" w:firstLine="444" w:firstLineChars="200"/>
        <w:jc w:val="center"/>
        <w:rPr>
          <w:rFonts w:ascii="宋体" w:hAnsi="宋体"/>
          <w:spacing w:val="6"/>
          <w:szCs w:val="21"/>
        </w:rPr>
      </w:pPr>
      <w:r>
        <w:rPr>
          <w:rFonts w:hint="eastAsia" w:ascii="宋体" w:hAnsi="宋体"/>
          <w:spacing w:val="6"/>
          <w:szCs w:val="21"/>
        </w:rPr>
        <w:t xml:space="preserve">       日  期：</w:t>
      </w:r>
    </w:p>
    <w:p w14:paraId="02C72C75">
      <w:pPr>
        <w:widowControl/>
        <w:adjustRightInd w:val="0"/>
        <w:snapToGrid w:val="0"/>
        <w:spacing w:line="360" w:lineRule="auto"/>
        <w:jc w:val="left"/>
        <w:rPr>
          <w:rFonts w:ascii="宋体" w:hAnsi="宋体" w:cs="宋体"/>
          <w:kern w:val="0"/>
          <w:szCs w:val="21"/>
        </w:rPr>
      </w:pPr>
    </w:p>
    <w:p w14:paraId="7DEF4443">
      <w:pPr>
        <w:widowControl/>
        <w:jc w:val="left"/>
        <w:rPr>
          <w:rFonts w:ascii="黑体" w:hAnsi="华文中宋" w:eastAsia="黑体" w:cs="宋体"/>
          <w:spacing w:val="6"/>
          <w:kern w:val="0"/>
          <w:szCs w:val="21"/>
        </w:rPr>
      </w:pPr>
      <w:r>
        <w:rPr>
          <w:rFonts w:ascii="黑体" w:hAnsi="华文中宋" w:cs="宋体"/>
          <w:b/>
          <w:bCs/>
          <w:spacing w:val="6"/>
          <w:kern w:val="0"/>
          <w:szCs w:val="21"/>
        </w:rPr>
        <w:br w:type="page"/>
      </w:r>
    </w:p>
    <w:p w14:paraId="4439ABFE">
      <w:pPr>
        <w:pStyle w:val="5"/>
        <w:rPr>
          <w:rFonts w:ascii="黑体" w:hAnsi="宋体"/>
          <w:b w:val="0"/>
          <w:sz w:val="21"/>
          <w:szCs w:val="21"/>
        </w:rPr>
      </w:pPr>
      <w:bookmarkStart w:id="209" w:name="_Toc15490"/>
      <w:bookmarkStart w:id="210" w:name="_Toc29913973"/>
      <w:bookmarkStart w:id="211" w:name="_Toc27688"/>
      <w:r>
        <w:rPr>
          <w:rFonts w:hint="eastAsia" w:ascii="黑体" w:hAnsi="宋体" w:cs="宋体"/>
          <w:b w:val="0"/>
          <w:kern w:val="0"/>
          <w:sz w:val="21"/>
          <w:szCs w:val="21"/>
        </w:rPr>
        <w:t xml:space="preserve">附件10-3 </w:t>
      </w:r>
      <w:r>
        <w:rPr>
          <w:rFonts w:hint="eastAsia" w:ascii="黑体" w:hAnsi="宋体"/>
          <w:b w:val="0"/>
          <w:sz w:val="21"/>
          <w:szCs w:val="21"/>
        </w:rPr>
        <w:t>监狱企业证明资料</w:t>
      </w:r>
      <w:bookmarkEnd w:id="209"/>
      <w:bookmarkEnd w:id="210"/>
      <w:bookmarkEnd w:id="211"/>
    </w:p>
    <w:p w14:paraId="11176F03">
      <w:pPr>
        <w:adjustRightInd w:val="0"/>
        <w:snapToGrid w:val="0"/>
        <w:spacing w:line="360" w:lineRule="auto"/>
        <w:jc w:val="center"/>
        <w:rPr>
          <w:rFonts w:ascii="黑体" w:hAnsi="宋体"/>
          <w:b/>
          <w:sz w:val="28"/>
          <w:szCs w:val="28"/>
        </w:rPr>
      </w:pPr>
      <w:r>
        <w:rPr>
          <w:rFonts w:hint="eastAsia" w:ascii="黑体" w:hAnsi="宋体"/>
          <w:b/>
          <w:sz w:val="28"/>
          <w:szCs w:val="28"/>
        </w:rPr>
        <w:t>监狱企业证明资料</w:t>
      </w:r>
    </w:p>
    <w:p w14:paraId="1DEEAAB8">
      <w:pPr>
        <w:adjustRightInd w:val="0"/>
        <w:snapToGrid w:val="0"/>
        <w:spacing w:line="360" w:lineRule="auto"/>
        <w:jc w:val="center"/>
        <w:rPr>
          <w:rFonts w:ascii="宋体" w:hAnsi="宋体"/>
          <w:b/>
          <w:spacing w:val="6"/>
          <w:szCs w:val="21"/>
        </w:rPr>
      </w:pPr>
      <w:r>
        <w:rPr>
          <w:rFonts w:hint="eastAsia" w:ascii="宋体" w:hAnsi="宋体"/>
          <w:b/>
          <w:spacing w:val="6"/>
          <w:szCs w:val="21"/>
        </w:rPr>
        <w:t>(不属于监狱企业的无需提供)</w:t>
      </w:r>
    </w:p>
    <w:p w14:paraId="3427CACC">
      <w:pPr>
        <w:adjustRightInd w:val="0"/>
        <w:snapToGrid w:val="0"/>
        <w:spacing w:line="360" w:lineRule="auto"/>
        <w:rPr>
          <w:rFonts w:asciiTheme="minorEastAsia" w:hAnsiTheme="minorEastAsia" w:eastAsiaTheme="minorEastAsia"/>
          <w:szCs w:val="21"/>
        </w:rPr>
      </w:pPr>
    </w:p>
    <w:p w14:paraId="026FB55C">
      <w:pPr>
        <w:adjustRightInd w:val="0"/>
        <w:snapToGrid w:val="0"/>
        <w:spacing w:line="360" w:lineRule="auto"/>
        <w:ind w:firstLine="444" w:firstLineChars="200"/>
        <w:rPr>
          <w:rFonts w:asciiTheme="minorEastAsia" w:hAnsiTheme="minorEastAsia" w:eastAsiaTheme="minorEastAsia"/>
          <w:szCs w:val="21"/>
        </w:rPr>
      </w:pPr>
      <w:r>
        <w:rPr>
          <w:rFonts w:hint="eastAsia" w:cs="宋体" w:asciiTheme="minorEastAsia" w:hAnsiTheme="minorEastAsia" w:eastAsiaTheme="minorEastAsia"/>
          <w:bCs/>
          <w:spacing w:val="6"/>
          <w:kern w:val="0"/>
          <w:szCs w:val="21"/>
        </w:rPr>
        <w:t>备注：</w:t>
      </w:r>
      <w:r>
        <w:rPr>
          <w:rFonts w:hint="eastAsia" w:asciiTheme="minorEastAsia" w:hAnsiTheme="minorEastAsia" w:eastAsiaTheme="minorEastAsia"/>
          <w:szCs w:val="21"/>
        </w:rPr>
        <w:t>按</w:t>
      </w:r>
      <w:r>
        <w:rPr>
          <w:rFonts w:hint="eastAsia" w:ascii="宋体" w:hAnsi="宋体"/>
          <w:spacing w:val="6"/>
          <w:szCs w:val="21"/>
        </w:rPr>
        <w:t>《</w:t>
      </w:r>
      <w:r>
        <w:rPr>
          <w:rFonts w:hint="eastAsia" w:asciiTheme="minorEastAsia" w:hAnsiTheme="minorEastAsia" w:eastAsiaTheme="minorEastAsia"/>
          <w:szCs w:val="21"/>
        </w:rPr>
        <w:t>财政部 司法部关于政府采购支持监狱企业发展有关问题的通知</w:t>
      </w:r>
      <w:r>
        <w:rPr>
          <w:rFonts w:hint="eastAsia" w:ascii="宋体" w:hAnsi="宋体"/>
          <w:spacing w:val="6"/>
          <w:szCs w:val="21"/>
        </w:rPr>
        <w:t>》</w:t>
      </w:r>
      <w:r>
        <w:rPr>
          <w:rFonts w:hint="eastAsia" w:asciiTheme="minorEastAsia" w:hAnsiTheme="minorEastAsia" w:eastAsiaTheme="minorEastAsia"/>
          <w:szCs w:val="21"/>
        </w:rPr>
        <w:t>(财库〔2014〕68号)文件规定提供证明文件（复印件）。</w:t>
      </w:r>
    </w:p>
    <w:p w14:paraId="12C6CCCD">
      <w:pPr>
        <w:adjustRightInd w:val="0"/>
        <w:snapToGrid w:val="0"/>
        <w:spacing w:line="360" w:lineRule="auto"/>
        <w:rPr>
          <w:rFonts w:ascii="黑体" w:hAnsi="华文中宋" w:eastAsia="黑体" w:cs="宋体"/>
          <w:bCs/>
          <w:spacing w:val="6"/>
          <w:kern w:val="0"/>
          <w:szCs w:val="21"/>
        </w:rPr>
      </w:pPr>
      <w:r>
        <w:rPr>
          <w:rFonts w:ascii="黑体" w:hAnsi="华文中宋" w:eastAsia="黑体" w:cs="宋体"/>
          <w:bCs/>
          <w:spacing w:val="6"/>
          <w:kern w:val="0"/>
          <w:szCs w:val="21"/>
        </w:rPr>
        <w:br w:type="page"/>
      </w:r>
    </w:p>
    <w:p w14:paraId="12A1987C">
      <w:pPr>
        <w:pStyle w:val="5"/>
        <w:rPr>
          <w:rFonts w:ascii="黑体" w:hAnsi="宋体"/>
          <w:b w:val="0"/>
          <w:sz w:val="21"/>
          <w:szCs w:val="21"/>
        </w:rPr>
      </w:pPr>
      <w:bookmarkStart w:id="212" w:name="_Toc29913974"/>
      <w:bookmarkStart w:id="213" w:name="_Toc12324"/>
      <w:bookmarkStart w:id="214" w:name="_Toc10072"/>
      <w:r>
        <w:rPr>
          <w:rFonts w:hint="eastAsia" w:ascii="黑体" w:hAnsi="华文中宋" w:cs="宋体"/>
          <w:b w:val="0"/>
          <w:bCs w:val="0"/>
          <w:spacing w:val="6"/>
          <w:kern w:val="0"/>
          <w:sz w:val="21"/>
          <w:szCs w:val="21"/>
        </w:rPr>
        <w:t xml:space="preserve">附件10-4 </w:t>
      </w:r>
      <w:r>
        <w:rPr>
          <w:rFonts w:hint="eastAsia" w:ascii="黑体" w:hAnsi="宋体"/>
          <w:b w:val="0"/>
          <w:sz w:val="21"/>
          <w:szCs w:val="21"/>
        </w:rPr>
        <w:t>强制采购或者优先采购产品</w:t>
      </w:r>
      <w:r>
        <w:rPr>
          <w:rFonts w:hint="eastAsia" w:ascii="黑体" w:hAnsi="宋体"/>
          <w:b w:val="0"/>
          <w:bCs w:val="0"/>
          <w:sz w:val="21"/>
          <w:szCs w:val="21"/>
        </w:rPr>
        <w:t>的</w:t>
      </w:r>
      <w:r>
        <w:rPr>
          <w:rFonts w:hint="eastAsia" w:ascii="黑体" w:hAnsi="宋体"/>
          <w:b w:val="0"/>
          <w:sz w:val="21"/>
          <w:szCs w:val="21"/>
        </w:rPr>
        <w:t>证明材料</w:t>
      </w:r>
      <w:bookmarkEnd w:id="212"/>
      <w:bookmarkEnd w:id="213"/>
      <w:bookmarkEnd w:id="214"/>
    </w:p>
    <w:p w14:paraId="26E775A9">
      <w:pPr>
        <w:adjustRightInd w:val="0"/>
        <w:snapToGrid w:val="0"/>
        <w:spacing w:line="360" w:lineRule="auto"/>
        <w:jc w:val="center"/>
        <w:rPr>
          <w:rFonts w:ascii="黑体" w:hAnsi="黑体" w:eastAsia="黑体"/>
          <w:b/>
          <w:sz w:val="28"/>
          <w:szCs w:val="28"/>
        </w:rPr>
      </w:pPr>
      <w:r>
        <w:rPr>
          <w:rFonts w:hint="eastAsia" w:ascii="黑体" w:hAnsi="黑体" w:eastAsia="黑体"/>
          <w:b/>
          <w:sz w:val="28"/>
          <w:szCs w:val="28"/>
        </w:rPr>
        <w:t>强制采购或者优先采购产品</w:t>
      </w:r>
      <w:r>
        <w:rPr>
          <w:rFonts w:hint="eastAsia" w:ascii="黑体" w:hAnsi="黑体" w:eastAsia="黑体"/>
          <w:b/>
          <w:bCs/>
          <w:sz w:val="28"/>
          <w:szCs w:val="28"/>
        </w:rPr>
        <w:t>的</w:t>
      </w:r>
      <w:r>
        <w:rPr>
          <w:rFonts w:hint="eastAsia" w:ascii="黑体" w:hAnsi="黑体" w:eastAsia="黑体"/>
          <w:b/>
          <w:sz w:val="28"/>
          <w:szCs w:val="28"/>
        </w:rPr>
        <w:t>证明材料</w:t>
      </w:r>
    </w:p>
    <w:p w14:paraId="67695A36">
      <w:pPr>
        <w:adjustRightInd w:val="0"/>
        <w:snapToGrid w:val="0"/>
        <w:spacing w:line="360" w:lineRule="auto"/>
        <w:jc w:val="center"/>
        <w:rPr>
          <w:rFonts w:ascii="宋体" w:hAnsi="宋体"/>
          <w:b/>
          <w:spacing w:val="6"/>
          <w:szCs w:val="21"/>
        </w:rPr>
      </w:pPr>
      <w:r>
        <w:rPr>
          <w:rFonts w:hint="eastAsia" w:ascii="宋体" w:hAnsi="宋体"/>
          <w:b/>
          <w:spacing w:val="6"/>
          <w:szCs w:val="21"/>
        </w:rPr>
        <w:t>(不属于强制采购或者优先采购产品的无需提供)</w:t>
      </w:r>
    </w:p>
    <w:p w14:paraId="4A3B39BF">
      <w:pPr>
        <w:adjustRightInd w:val="0"/>
        <w:snapToGrid w:val="0"/>
        <w:spacing w:line="360" w:lineRule="auto"/>
        <w:ind w:firstLine="420" w:firstLineChars="200"/>
        <w:jc w:val="left"/>
        <w:rPr>
          <w:rFonts w:asciiTheme="minorEastAsia" w:hAnsiTheme="minorEastAsia" w:eastAsiaTheme="minorEastAsia"/>
          <w:szCs w:val="21"/>
        </w:rPr>
      </w:pPr>
    </w:p>
    <w:p w14:paraId="118CE1ED">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说明：投标人提供的产品</w:t>
      </w:r>
      <w:r>
        <w:rPr>
          <w:rFonts w:hint="eastAsia" w:asciiTheme="minorEastAsia" w:hAnsiTheme="minorEastAsia" w:eastAsiaTheme="minorEastAsia"/>
          <w:bCs/>
          <w:szCs w:val="21"/>
        </w:rPr>
        <w:t>属于强制采购或者优先采购的</w:t>
      </w:r>
      <w:r>
        <w:rPr>
          <w:rFonts w:hint="eastAsia" w:asciiTheme="minorEastAsia" w:hAnsiTheme="minorEastAsia" w:eastAsiaTheme="minorEastAsia"/>
          <w:szCs w:val="21"/>
        </w:rPr>
        <w:t>，应按第二章第33.6款规定提供证明材料和本章本节附页2“优先采购产品清单”，并加盖投标人单位电子章。</w:t>
      </w:r>
    </w:p>
    <w:p w14:paraId="0D963874">
      <w:pPr>
        <w:adjustRightInd w:val="0"/>
        <w:snapToGrid w:val="0"/>
        <w:spacing w:line="360" w:lineRule="auto"/>
        <w:ind w:firstLine="420" w:firstLineChars="200"/>
        <w:jc w:val="left"/>
        <w:rPr>
          <w:rFonts w:asciiTheme="minorEastAsia" w:hAnsiTheme="minorEastAsia" w:eastAsiaTheme="minorEastAsia"/>
          <w:szCs w:val="21"/>
        </w:rPr>
      </w:pPr>
    </w:p>
    <w:p w14:paraId="2350B8B7">
      <w:pPr>
        <w:adjustRightInd w:val="0"/>
        <w:snapToGrid w:val="0"/>
        <w:spacing w:line="360" w:lineRule="auto"/>
        <w:rPr>
          <w:rFonts w:ascii="黑体" w:hAnsi="宋体" w:eastAsia="黑体"/>
          <w:color w:val="000000"/>
          <w:szCs w:val="21"/>
        </w:rPr>
      </w:pPr>
      <w:r>
        <w:rPr>
          <w:rFonts w:ascii="黑体" w:hAnsi="宋体" w:eastAsia="黑体"/>
          <w:b/>
          <w:sz w:val="28"/>
          <w:szCs w:val="28"/>
        </w:rPr>
        <w:br w:type="page"/>
      </w:r>
    </w:p>
    <w:p w14:paraId="58BF26B8">
      <w:pPr>
        <w:pStyle w:val="5"/>
        <w:jc w:val="left"/>
        <w:rPr>
          <w:rFonts w:ascii="黑体" w:hAnsi="宋体"/>
          <w:b w:val="0"/>
          <w:sz w:val="21"/>
          <w:szCs w:val="21"/>
        </w:rPr>
      </w:pPr>
      <w:bookmarkStart w:id="215" w:name="_Toc22237"/>
      <w:bookmarkStart w:id="216" w:name="_Toc26064"/>
      <w:bookmarkStart w:id="217" w:name="_Toc29913975"/>
      <w:r>
        <w:rPr>
          <w:rFonts w:hint="eastAsia" w:ascii="黑体" w:hAnsi="华文中宋" w:cs="宋体"/>
          <w:b w:val="0"/>
          <w:bCs w:val="0"/>
          <w:spacing w:val="6"/>
          <w:kern w:val="0"/>
          <w:sz w:val="21"/>
          <w:szCs w:val="21"/>
        </w:rPr>
        <w:t xml:space="preserve">附页 2 </w:t>
      </w:r>
      <w:r>
        <w:rPr>
          <w:rFonts w:hint="eastAsia" w:ascii="黑体" w:hAnsi="宋体"/>
          <w:b w:val="0"/>
          <w:sz w:val="21"/>
          <w:szCs w:val="21"/>
        </w:rPr>
        <w:t>优先采购产品清单</w:t>
      </w:r>
      <w:bookmarkEnd w:id="215"/>
      <w:bookmarkEnd w:id="216"/>
      <w:bookmarkEnd w:id="217"/>
    </w:p>
    <w:p w14:paraId="1DA0A909">
      <w:pPr>
        <w:adjustRightInd w:val="0"/>
        <w:snapToGrid w:val="0"/>
        <w:spacing w:line="360" w:lineRule="auto"/>
        <w:jc w:val="center"/>
        <w:rPr>
          <w:rFonts w:ascii="宋体" w:hAnsi="宋体"/>
          <w:b/>
          <w:spacing w:val="6"/>
          <w:szCs w:val="21"/>
        </w:rPr>
      </w:pPr>
      <w:r>
        <w:rPr>
          <w:rFonts w:hint="eastAsia" w:ascii="黑体" w:hAnsi="宋体" w:eastAsia="黑体"/>
          <w:b/>
          <w:sz w:val="28"/>
          <w:szCs w:val="28"/>
        </w:rPr>
        <w:t>优先采购产品清单</w:t>
      </w:r>
    </w:p>
    <w:p w14:paraId="33373634">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采购代理编号：</w:t>
      </w:r>
      <w:r>
        <w:rPr>
          <w:rFonts w:hint="eastAsia" w:asciiTheme="minorEastAsia" w:hAnsiTheme="minorEastAsia" w:eastAsiaTheme="minorEastAsia"/>
          <w:szCs w:val="21"/>
          <w:u w:val="single"/>
        </w:rPr>
        <w:t>__    ________</w:t>
      </w:r>
      <w:r>
        <w:rPr>
          <w:rFonts w:hint="eastAsia" w:asciiTheme="minorEastAsia" w:hAnsiTheme="minorEastAsia" w:eastAsiaTheme="minorEastAsia"/>
          <w:szCs w:val="21"/>
        </w:rPr>
        <w:t xml:space="preserve">                     项目名称：</w:t>
      </w:r>
      <w:r>
        <w:rPr>
          <w:rFonts w:hint="eastAsia" w:asciiTheme="minorEastAsia" w:hAnsiTheme="minorEastAsia" w:eastAsiaTheme="minorEastAsia"/>
          <w:szCs w:val="21"/>
          <w:u w:val="single"/>
        </w:rPr>
        <w:t>____            ______</w:t>
      </w:r>
      <w:r>
        <w:rPr>
          <w:rFonts w:hint="eastAsia" w:asciiTheme="minorEastAsia" w:hAnsiTheme="minorEastAsia" w:eastAsiaTheme="minorEastAsia"/>
          <w:szCs w:val="21"/>
        </w:rPr>
        <w:t xml:space="preserve"> </w:t>
      </w:r>
    </w:p>
    <w:p w14:paraId="21670706">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包       号：</w:t>
      </w:r>
      <w:r>
        <w:rPr>
          <w:rFonts w:hint="eastAsia" w:asciiTheme="minorEastAsia" w:hAnsiTheme="minorEastAsia" w:eastAsiaTheme="minorEastAsia"/>
          <w:szCs w:val="21"/>
          <w:u w:val="single"/>
        </w:rPr>
        <w:t>__    ________</w:t>
      </w:r>
      <w:r>
        <w:rPr>
          <w:rFonts w:hint="eastAsia" w:asciiTheme="minorEastAsia" w:hAnsiTheme="minorEastAsia" w:eastAsiaTheme="minorEastAsia"/>
          <w:szCs w:val="21"/>
        </w:rPr>
        <w:t xml:space="preserve">                      包名称：</w:t>
      </w:r>
      <w:r>
        <w:rPr>
          <w:rFonts w:hint="eastAsia" w:asciiTheme="minorEastAsia" w:hAnsiTheme="minorEastAsia" w:eastAsiaTheme="minorEastAsia"/>
          <w:szCs w:val="21"/>
          <w:u w:val="single"/>
        </w:rPr>
        <w:t>___          _______</w:t>
      </w:r>
      <w:r>
        <w:rPr>
          <w:rFonts w:hint="eastAsia" w:asciiTheme="minorEastAsia" w:hAnsiTheme="minorEastAsia" w:eastAsiaTheme="minorEastAsia"/>
          <w:szCs w:val="21"/>
        </w:rPr>
        <w:t xml:space="preserve">  </w:t>
      </w:r>
    </w:p>
    <w:tbl>
      <w:tblPr>
        <w:tblStyle w:val="43"/>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1134"/>
        <w:gridCol w:w="1418"/>
        <w:gridCol w:w="1984"/>
        <w:gridCol w:w="1843"/>
      </w:tblGrid>
      <w:tr w14:paraId="14CF7A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8789" w:type="dxa"/>
            <w:gridSpan w:val="6"/>
            <w:vAlign w:val="center"/>
          </w:tcPr>
          <w:p w14:paraId="6C83E7BD">
            <w:pPr>
              <w:widowControl/>
              <w:adjustRightInd w:val="0"/>
              <w:snapToGrid w:val="0"/>
              <w:spacing w:line="360" w:lineRule="auto"/>
              <w:ind w:firstLine="480" w:firstLineChars="200"/>
              <w:jc w:val="left"/>
              <w:rPr>
                <w:rFonts w:ascii="黑体" w:hAnsi="黑体" w:eastAsia="黑体"/>
                <w:kern w:val="0"/>
                <w:sz w:val="24"/>
              </w:rPr>
            </w:pPr>
            <w:r>
              <w:rPr>
                <w:rFonts w:hint="eastAsia" w:ascii="黑体" w:hAnsi="宋体" w:eastAsia="黑体"/>
                <w:kern w:val="0"/>
                <w:sz w:val="24"/>
              </w:rPr>
              <w:t>以下为投标人提供的政府采购优先采购产品，投标人对本表的真实性负责。如有虚假，将依法承担相应责任。</w:t>
            </w:r>
          </w:p>
        </w:tc>
      </w:tr>
      <w:tr w14:paraId="6482A1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71" w:type="dxa"/>
            <w:vAlign w:val="center"/>
          </w:tcPr>
          <w:p w14:paraId="0826AE3B">
            <w:pPr>
              <w:widowControl/>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1739" w:type="dxa"/>
            <w:vAlign w:val="center"/>
          </w:tcPr>
          <w:p w14:paraId="391BE016">
            <w:pPr>
              <w:widowControl/>
              <w:adjustRightInd w:val="0"/>
              <w:snapToGrid w:val="0"/>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1134" w:type="dxa"/>
            <w:tcBorders>
              <w:right w:val="single" w:color="auto" w:sz="4" w:space="0"/>
            </w:tcBorders>
            <w:vAlign w:val="center"/>
          </w:tcPr>
          <w:p w14:paraId="61446C8D">
            <w:pPr>
              <w:adjustRightInd w:val="0"/>
              <w:snapToGrid w:val="0"/>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3</w:t>
            </w:r>
          </w:p>
        </w:tc>
        <w:tc>
          <w:tcPr>
            <w:tcW w:w="1418" w:type="dxa"/>
            <w:tcBorders>
              <w:left w:val="single" w:color="auto" w:sz="4" w:space="0"/>
            </w:tcBorders>
            <w:vAlign w:val="center"/>
          </w:tcPr>
          <w:p w14:paraId="16278604">
            <w:pPr>
              <w:widowControl/>
              <w:adjustRightInd w:val="0"/>
              <w:snapToGrid w:val="0"/>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4</w:t>
            </w:r>
          </w:p>
        </w:tc>
        <w:tc>
          <w:tcPr>
            <w:tcW w:w="1984" w:type="dxa"/>
            <w:vAlign w:val="center"/>
          </w:tcPr>
          <w:p w14:paraId="0904B768">
            <w:pPr>
              <w:widowControl/>
              <w:adjustRightInd w:val="0"/>
              <w:snapToGrid w:val="0"/>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1843" w:type="dxa"/>
            <w:vAlign w:val="center"/>
          </w:tcPr>
          <w:p w14:paraId="5FE02521">
            <w:pPr>
              <w:widowControl/>
              <w:adjustRightInd w:val="0"/>
              <w:snapToGrid w:val="0"/>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6</w:t>
            </w:r>
          </w:p>
        </w:tc>
      </w:tr>
      <w:tr w14:paraId="7F2938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71" w:type="dxa"/>
            <w:vAlign w:val="center"/>
          </w:tcPr>
          <w:p w14:paraId="5865956E">
            <w:pPr>
              <w:widowControl/>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1739" w:type="dxa"/>
            <w:vAlign w:val="center"/>
          </w:tcPr>
          <w:p w14:paraId="0181B664">
            <w:pPr>
              <w:widowControl/>
              <w:adjustRightInd w:val="0"/>
              <w:snapToGrid w:val="0"/>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货物名称</w:t>
            </w:r>
          </w:p>
        </w:tc>
        <w:tc>
          <w:tcPr>
            <w:tcW w:w="1134" w:type="dxa"/>
            <w:tcBorders>
              <w:right w:val="single" w:color="auto" w:sz="4" w:space="0"/>
            </w:tcBorders>
            <w:vAlign w:val="center"/>
          </w:tcPr>
          <w:p w14:paraId="74C9ABCF">
            <w:pPr>
              <w:widowControl/>
              <w:adjustRightInd w:val="0"/>
              <w:snapToGrid w:val="0"/>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规格型号</w:t>
            </w:r>
          </w:p>
        </w:tc>
        <w:tc>
          <w:tcPr>
            <w:tcW w:w="1418" w:type="dxa"/>
            <w:tcBorders>
              <w:left w:val="single" w:color="auto" w:sz="4" w:space="0"/>
            </w:tcBorders>
            <w:vAlign w:val="center"/>
          </w:tcPr>
          <w:p w14:paraId="26091C60">
            <w:pPr>
              <w:adjustRightInd w:val="0"/>
              <w:snapToGrid w:val="0"/>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价格（元）</w:t>
            </w:r>
          </w:p>
        </w:tc>
        <w:tc>
          <w:tcPr>
            <w:tcW w:w="1984" w:type="dxa"/>
            <w:vAlign w:val="center"/>
          </w:tcPr>
          <w:p w14:paraId="64AC7D65">
            <w:pPr>
              <w:widowControl/>
              <w:adjustRightInd w:val="0"/>
              <w:snapToGrid w:val="0"/>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货物制造商名称</w:t>
            </w:r>
          </w:p>
        </w:tc>
        <w:tc>
          <w:tcPr>
            <w:tcW w:w="1843" w:type="dxa"/>
            <w:vAlign w:val="center"/>
          </w:tcPr>
          <w:p w14:paraId="3BCE6F32">
            <w:pPr>
              <w:widowControl/>
              <w:adjustRightInd w:val="0"/>
              <w:snapToGrid w:val="0"/>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政策功能编码</w:t>
            </w:r>
          </w:p>
        </w:tc>
      </w:tr>
      <w:tr w14:paraId="0F9087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14:paraId="4D6EECE7">
            <w:pPr>
              <w:adjustRightInd w:val="0"/>
              <w:snapToGri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节能产品</w:t>
            </w:r>
          </w:p>
        </w:tc>
      </w:tr>
      <w:tr w14:paraId="4B496D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3E47FCE3">
            <w:pPr>
              <w:adjustRightInd w:val="0"/>
              <w:snapToGrid w:val="0"/>
              <w:spacing w:line="360" w:lineRule="auto"/>
              <w:jc w:val="center"/>
              <w:rPr>
                <w:rFonts w:ascii="宋体" w:hAnsi="宋体"/>
                <w:b/>
                <w:szCs w:val="21"/>
              </w:rPr>
            </w:pPr>
          </w:p>
        </w:tc>
        <w:tc>
          <w:tcPr>
            <w:tcW w:w="1739" w:type="dxa"/>
            <w:vAlign w:val="center"/>
          </w:tcPr>
          <w:p w14:paraId="24989231">
            <w:pPr>
              <w:adjustRightInd w:val="0"/>
              <w:snapToGrid w:val="0"/>
              <w:spacing w:line="360" w:lineRule="auto"/>
              <w:jc w:val="center"/>
              <w:rPr>
                <w:rFonts w:asciiTheme="minorEastAsia" w:hAnsiTheme="minorEastAsia" w:eastAsiaTheme="minorEastAsia"/>
                <w:b/>
                <w:szCs w:val="21"/>
              </w:rPr>
            </w:pPr>
          </w:p>
        </w:tc>
        <w:tc>
          <w:tcPr>
            <w:tcW w:w="1134" w:type="dxa"/>
            <w:tcBorders>
              <w:right w:val="single" w:color="auto" w:sz="4" w:space="0"/>
            </w:tcBorders>
            <w:vAlign w:val="center"/>
          </w:tcPr>
          <w:p w14:paraId="59534BD3">
            <w:pPr>
              <w:adjustRightInd w:val="0"/>
              <w:snapToGrid w:val="0"/>
              <w:spacing w:line="360" w:lineRule="auto"/>
              <w:jc w:val="left"/>
              <w:rPr>
                <w:rFonts w:asciiTheme="minorEastAsia" w:hAnsiTheme="minorEastAsia" w:eastAsiaTheme="minorEastAsia"/>
                <w:b/>
                <w:szCs w:val="21"/>
              </w:rPr>
            </w:pPr>
          </w:p>
        </w:tc>
        <w:tc>
          <w:tcPr>
            <w:tcW w:w="1418" w:type="dxa"/>
            <w:tcBorders>
              <w:left w:val="single" w:color="auto" w:sz="4" w:space="0"/>
            </w:tcBorders>
            <w:vAlign w:val="center"/>
          </w:tcPr>
          <w:p w14:paraId="5FBFB291">
            <w:pPr>
              <w:adjustRightInd w:val="0"/>
              <w:snapToGrid w:val="0"/>
              <w:spacing w:line="360" w:lineRule="auto"/>
              <w:jc w:val="left"/>
              <w:rPr>
                <w:rFonts w:asciiTheme="minorEastAsia" w:hAnsiTheme="minorEastAsia" w:eastAsiaTheme="minorEastAsia"/>
                <w:b/>
                <w:szCs w:val="21"/>
              </w:rPr>
            </w:pPr>
          </w:p>
        </w:tc>
        <w:tc>
          <w:tcPr>
            <w:tcW w:w="1984" w:type="dxa"/>
            <w:vAlign w:val="center"/>
          </w:tcPr>
          <w:p w14:paraId="1DE3D2CD">
            <w:pPr>
              <w:adjustRightInd w:val="0"/>
              <w:snapToGrid w:val="0"/>
              <w:spacing w:line="360" w:lineRule="auto"/>
              <w:jc w:val="center"/>
              <w:rPr>
                <w:rFonts w:asciiTheme="minorEastAsia" w:hAnsiTheme="minorEastAsia" w:eastAsiaTheme="minorEastAsia"/>
                <w:b/>
                <w:szCs w:val="21"/>
              </w:rPr>
            </w:pPr>
          </w:p>
        </w:tc>
        <w:tc>
          <w:tcPr>
            <w:tcW w:w="1843" w:type="dxa"/>
          </w:tcPr>
          <w:p w14:paraId="0C98D807">
            <w:pPr>
              <w:adjustRightInd w:val="0"/>
              <w:snapToGrid w:val="0"/>
              <w:spacing w:line="360" w:lineRule="auto"/>
              <w:jc w:val="center"/>
              <w:rPr>
                <w:rFonts w:asciiTheme="minorEastAsia" w:hAnsiTheme="minorEastAsia" w:eastAsiaTheme="minorEastAsia"/>
                <w:b/>
                <w:szCs w:val="21"/>
              </w:rPr>
            </w:pPr>
          </w:p>
        </w:tc>
      </w:tr>
      <w:tr w14:paraId="44B1B5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2C94E591">
            <w:pPr>
              <w:adjustRightInd w:val="0"/>
              <w:snapToGrid w:val="0"/>
              <w:spacing w:line="360" w:lineRule="auto"/>
              <w:jc w:val="center"/>
              <w:rPr>
                <w:rFonts w:ascii="宋体" w:hAnsi="宋体"/>
                <w:szCs w:val="21"/>
              </w:rPr>
            </w:pPr>
            <w:r>
              <w:rPr>
                <w:rFonts w:hint="eastAsia" w:ascii="宋体" w:hAnsi="宋体"/>
                <w:szCs w:val="21"/>
              </w:rPr>
              <w:t>小计</w:t>
            </w:r>
          </w:p>
        </w:tc>
        <w:tc>
          <w:tcPr>
            <w:tcW w:w="1739" w:type="dxa"/>
            <w:vAlign w:val="center"/>
          </w:tcPr>
          <w:p w14:paraId="48675A8D">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w:t>
            </w:r>
          </w:p>
        </w:tc>
        <w:tc>
          <w:tcPr>
            <w:tcW w:w="1134" w:type="dxa"/>
            <w:tcBorders>
              <w:right w:val="single" w:color="auto" w:sz="4" w:space="0"/>
            </w:tcBorders>
            <w:vAlign w:val="center"/>
          </w:tcPr>
          <w:p w14:paraId="491C7067">
            <w:pPr>
              <w:adjustRightInd w:val="0"/>
              <w:snapToGrid w:val="0"/>
              <w:spacing w:line="360" w:lineRule="auto"/>
              <w:jc w:val="left"/>
              <w:rPr>
                <w:rFonts w:asciiTheme="minorEastAsia" w:hAnsiTheme="minorEastAsia" w:eastAsiaTheme="minorEastAsia"/>
                <w:b/>
                <w:szCs w:val="21"/>
              </w:rPr>
            </w:pPr>
          </w:p>
        </w:tc>
        <w:tc>
          <w:tcPr>
            <w:tcW w:w="1418" w:type="dxa"/>
            <w:tcBorders>
              <w:left w:val="single" w:color="auto" w:sz="4" w:space="0"/>
            </w:tcBorders>
            <w:vAlign w:val="center"/>
          </w:tcPr>
          <w:p w14:paraId="086DECF5">
            <w:pPr>
              <w:adjustRightInd w:val="0"/>
              <w:snapToGrid w:val="0"/>
              <w:spacing w:line="360" w:lineRule="auto"/>
              <w:jc w:val="left"/>
              <w:rPr>
                <w:rFonts w:asciiTheme="minorEastAsia" w:hAnsiTheme="minorEastAsia" w:eastAsiaTheme="minorEastAsia"/>
                <w:b/>
                <w:szCs w:val="21"/>
              </w:rPr>
            </w:pPr>
          </w:p>
        </w:tc>
        <w:tc>
          <w:tcPr>
            <w:tcW w:w="1984" w:type="dxa"/>
            <w:vAlign w:val="center"/>
          </w:tcPr>
          <w:p w14:paraId="67753875">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w:t>
            </w:r>
          </w:p>
        </w:tc>
        <w:tc>
          <w:tcPr>
            <w:tcW w:w="1843" w:type="dxa"/>
          </w:tcPr>
          <w:p w14:paraId="26E7F2D7">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w:t>
            </w:r>
          </w:p>
        </w:tc>
      </w:tr>
      <w:tr w14:paraId="14191E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14:paraId="39E07567">
            <w:pPr>
              <w:adjustRightInd w:val="0"/>
              <w:snapToGri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环境标志产品</w:t>
            </w:r>
          </w:p>
        </w:tc>
      </w:tr>
      <w:tr w14:paraId="7A4212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66C9DCD1">
            <w:pPr>
              <w:adjustRightInd w:val="0"/>
              <w:snapToGrid w:val="0"/>
              <w:spacing w:line="360" w:lineRule="auto"/>
              <w:jc w:val="center"/>
              <w:rPr>
                <w:rFonts w:ascii="宋体" w:hAnsi="宋体"/>
                <w:b/>
                <w:szCs w:val="21"/>
              </w:rPr>
            </w:pPr>
          </w:p>
        </w:tc>
        <w:tc>
          <w:tcPr>
            <w:tcW w:w="1739" w:type="dxa"/>
            <w:vAlign w:val="center"/>
          </w:tcPr>
          <w:p w14:paraId="2A67A16F">
            <w:pPr>
              <w:adjustRightInd w:val="0"/>
              <w:snapToGrid w:val="0"/>
              <w:spacing w:line="360" w:lineRule="auto"/>
              <w:jc w:val="center"/>
              <w:rPr>
                <w:rFonts w:asciiTheme="minorEastAsia" w:hAnsiTheme="minorEastAsia" w:eastAsiaTheme="minorEastAsia"/>
                <w:b/>
                <w:szCs w:val="21"/>
              </w:rPr>
            </w:pPr>
          </w:p>
        </w:tc>
        <w:tc>
          <w:tcPr>
            <w:tcW w:w="1134" w:type="dxa"/>
            <w:tcBorders>
              <w:right w:val="single" w:color="auto" w:sz="4" w:space="0"/>
            </w:tcBorders>
            <w:vAlign w:val="center"/>
          </w:tcPr>
          <w:p w14:paraId="22B3F4EA">
            <w:pPr>
              <w:adjustRightInd w:val="0"/>
              <w:snapToGrid w:val="0"/>
              <w:spacing w:line="360" w:lineRule="auto"/>
              <w:jc w:val="left"/>
              <w:rPr>
                <w:rFonts w:asciiTheme="minorEastAsia" w:hAnsiTheme="minorEastAsia" w:eastAsiaTheme="minorEastAsia"/>
                <w:b/>
                <w:szCs w:val="21"/>
              </w:rPr>
            </w:pPr>
          </w:p>
        </w:tc>
        <w:tc>
          <w:tcPr>
            <w:tcW w:w="1418" w:type="dxa"/>
            <w:tcBorders>
              <w:left w:val="single" w:color="auto" w:sz="4" w:space="0"/>
            </w:tcBorders>
            <w:vAlign w:val="center"/>
          </w:tcPr>
          <w:p w14:paraId="29AF8E23">
            <w:pPr>
              <w:adjustRightInd w:val="0"/>
              <w:snapToGrid w:val="0"/>
              <w:spacing w:line="360" w:lineRule="auto"/>
              <w:jc w:val="left"/>
              <w:rPr>
                <w:rFonts w:asciiTheme="minorEastAsia" w:hAnsiTheme="minorEastAsia" w:eastAsiaTheme="minorEastAsia"/>
                <w:b/>
                <w:szCs w:val="21"/>
              </w:rPr>
            </w:pPr>
          </w:p>
        </w:tc>
        <w:tc>
          <w:tcPr>
            <w:tcW w:w="1984" w:type="dxa"/>
            <w:vAlign w:val="center"/>
          </w:tcPr>
          <w:p w14:paraId="499E92F7">
            <w:pPr>
              <w:adjustRightInd w:val="0"/>
              <w:snapToGrid w:val="0"/>
              <w:spacing w:line="360" w:lineRule="auto"/>
              <w:jc w:val="center"/>
              <w:rPr>
                <w:rFonts w:asciiTheme="minorEastAsia" w:hAnsiTheme="minorEastAsia" w:eastAsiaTheme="minorEastAsia"/>
                <w:b/>
                <w:szCs w:val="21"/>
              </w:rPr>
            </w:pPr>
          </w:p>
        </w:tc>
        <w:tc>
          <w:tcPr>
            <w:tcW w:w="1843" w:type="dxa"/>
          </w:tcPr>
          <w:p w14:paraId="4D044E6B">
            <w:pPr>
              <w:adjustRightInd w:val="0"/>
              <w:snapToGrid w:val="0"/>
              <w:spacing w:line="360" w:lineRule="auto"/>
              <w:jc w:val="center"/>
              <w:rPr>
                <w:rFonts w:asciiTheme="minorEastAsia" w:hAnsiTheme="minorEastAsia" w:eastAsiaTheme="minorEastAsia"/>
                <w:b/>
                <w:szCs w:val="21"/>
              </w:rPr>
            </w:pPr>
          </w:p>
        </w:tc>
      </w:tr>
      <w:tr w14:paraId="470225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0F50E96C">
            <w:pPr>
              <w:adjustRightInd w:val="0"/>
              <w:snapToGrid w:val="0"/>
              <w:spacing w:line="360" w:lineRule="auto"/>
              <w:jc w:val="center"/>
              <w:rPr>
                <w:rFonts w:ascii="宋体" w:hAnsi="宋体"/>
                <w:szCs w:val="21"/>
              </w:rPr>
            </w:pPr>
            <w:r>
              <w:rPr>
                <w:rFonts w:hint="eastAsia" w:ascii="宋体" w:hAnsi="宋体"/>
                <w:szCs w:val="21"/>
              </w:rPr>
              <w:t>小计</w:t>
            </w:r>
          </w:p>
        </w:tc>
        <w:tc>
          <w:tcPr>
            <w:tcW w:w="1739" w:type="dxa"/>
            <w:vAlign w:val="center"/>
          </w:tcPr>
          <w:p w14:paraId="6B6C81A6">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w:t>
            </w:r>
          </w:p>
        </w:tc>
        <w:tc>
          <w:tcPr>
            <w:tcW w:w="1134" w:type="dxa"/>
            <w:tcBorders>
              <w:right w:val="single" w:color="auto" w:sz="4" w:space="0"/>
            </w:tcBorders>
            <w:vAlign w:val="center"/>
          </w:tcPr>
          <w:p w14:paraId="0FB5A29E">
            <w:pPr>
              <w:adjustRightInd w:val="0"/>
              <w:snapToGrid w:val="0"/>
              <w:spacing w:line="360" w:lineRule="auto"/>
              <w:jc w:val="left"/>
              <w:rPr>
                <w:rFonts w:asciiTheme="minorEastAsia" w:hAnsiTheme="minorEastAsia" w:eastAsiaTheme="minorEastAsia"/>
                <w:b/>
                <w:szCs w:val="21"/>
              </w:rPr>
            </w:pPr>
          </w:p>
        </w:tc>
        <w:tc>
          <w:tcPr>
            <w:tcW w:w="1418" w:type="dxa"/>
            <w:tcBorders>
              <w:left w:val="single" w:color="auto" w:sz="4" w:space="0"/>
            </w:tcBorders>
            <w:vAlign w:val="center"/>
          </w:tcPr>
          <w:p w14:paraId="44A65D96">
            <w:pPr>
              <w:adjustRightInd w:val="0"/>
              <w:snapToGrid w:val="0"/>
              <w:spacing w:line="360" w:lineRule="auto"/>
              <w:jc w:val="left"/>
              <w:rPr>
                <w:rFonts w:asciiTheme="minorEastAsia" w:hAnsiTheme="minorEastAsia" w:eastAsiaTheme="minorEastAsia"/>
                <w:b/>
                <w:szCs w:val="21"/>
              </w:rPr>
            </w:pPr>
          </w:p>
        </w:tc>
        <w:tc>
          <w:tcPr>
            <w:tcW w:w="1984" w:type="dxa"/>
            <w:vAlign w:val="center"/>
          </w:tcPr>
          <w:p w14:paraId="25249423">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w:t>
            </w:r>
          </w:p>
        </w:tc>
        <w:tc>
          <w:tcPr>
            <w:tcW w:w="1843" w:type="dxa"/>
          </w:tcPr>
          <w:p w14:paraId="3252FD3C">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w:t>
            </w:r>
          </w:p>
        </w:tc>
      </w:tr>
      <w:tr w14:paraId="255690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14:paraId="1EC202F2">
            <w:pPr>
              <w:adjustRightInd w:val="0"/>
              <w:snapToGri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两型产品</w:t>
            </w:r>
          </w:p>
        </w:tc>
      </w:tr>
      <w:tr w14:paraId="181657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50261E4D">
            <w:pPr>
              <w:adjustRightInd w:val="0"/>
              <w:snapToGrid w:val="0"/>
              <w:spacing w:line="360" w:lineRule="auto"/>
              <w:jc w:val="center"/>
              <w:rPr>
                <w:rFonts w:ascii="宋体" w:hAnsi="宋体"/>
                <w:szCs w:val="21"/>
              </w:rPr>
            </w:pPr>
          </w:p>
        </w:tc>
        <w:tc>
          <w:tcPr>
            <w:tcW w:w="1739" w:type="dxa"/>
            <w:vAlign w:val="center"/>
          </w:tcPr>
          <w:p w14:paraId="3DA1325A">
            <w:pPr>
              <w:adjustRightInd w:val="0"/>
              <w:snapToGrid w:val="0"/>
              <w:spacing w:line="360" w:lineRule="auto"/>
              <w:jc w:val="center"/>
              <w:rPr>
                <w:rFonts w:asciiTheme="minorEastAsia" w:hAnsiTheme="minorEastAsia" w:eastAsiaTheme="minorEastAsia"/>
                <w:szCs w:val="21"/>
              </w:rPr>
            </w:pPr>
          </w:p>
        </w:tc>
        <w:tc>
          <w:tcPr>
            <w:tcW w:w="1134" w:type="dxa"/>
            <w:tcBorders>
              <w:right w:val="single" w:color="auto" w:sz="4" w:space="0"/>
            </w:tcBorders>
            <w:vAlign w:val="center"/>
          </w:tcPr>
          <w:p w14:paraId="3653EDE6">
            <w:pPr>
              <w:adjustRightInd w:val="0"/>
              <w:snapToGrid w:val="0"/>
              <w:spacing w:line="360" w:lineRule="auto"/>
              <w:jc w:val="center"/>
              <w:rPr>
                <w:rFonts w:asciiTheme="minorEastAsia" w:hAnsiTheme="minorEastAsia" w:eastAsiaTheme="minorEastAsia"/>
                <w:szCs w:val="21"/>
              </w:rPr>
            </w:pPr>
          </w:p>
        </w:tc>
        <w:tc>
          <w:tcPr>
            <w:tcW w:w="1418" w:type="dxa"/>
            <w:tcBorders>
              <w:left w:val="single" w:color="auto" w:sz="4" w:space="0"/>
            </w:tcBorders>
            <w:vAlign w:val="center"/>
          </w:tcPr>
          <w:p w14:paraId="188203F9">
            <w:pPr>
              <w:adjustRightInd w:val="0"/>
              <w:snapToGrid w:val="0"/>
              <w:spacing w:line="360" w:lineRule="auto"/>
              <w:jc w:val="center"/>
              <w:rPr>
                <w:rFonts w:asciiTheme="minorEastAsia" w:hAnsiTheme="minorEastAsia" w:eastAsiaTheme="minorEastAsia"/>
                <w:szCs w:val="21"/>
              </w:rPr>
            </w:pPr>
          </w:p>
        </w:tc>
        <w:tc>
          <w:tcPr>
            <w:tcW w:w="1984" w:type="dxa"/>
            <w:vAlign w:val="center"/>
          </w:tcPr>
          <w:p w14:paraId="5F3F2329">
            <w:pPr>
              <w:adjustRightInd w:val="0"/>
              <w:snapToGrid w:val="0"/>
              <w:spacing w:line="360" w:lineRule="auto"/>
              <w:jc w:val="center"/>
              <w:rPr>
                <w:rFonts w:asciiTheme="minorEastAsia" w:hAnsiTheme="minorEastAsia" w:eastAsiaTheme="minorEastAsia"/>
                <w:szCs w:val="21"/>
              </w:rPr>
            </w:pPr>
          </w:p>
        </w:tc>
        <w:tc>
          <w:tcPr>
            <w:tcW w:w="1843" w:type="dxa"/>
          </w:tcPr>
          <w:p w14:paraId="22C1F5FF">
            <w:pPr>
              <w:adjustRightInd w:val="0"/>
              <w:snapToGrid w:val="0"/>
              <w:spacing w:line="360" w:lineRule="auto"/>
              <w:jc w:val="center"/>
              <w:rPr>
                <w:rFonts w:asciiTheme="minorEastAsia" w:hAnsiTheme="minorEastAsia" w:eastAsiaTheme="minorEastAsia"/>
                <w:szCs w:val="21"/>
              </w:rPr>
            </w:pPr>
          </w:p>
        </w:tc>
      </w:tr>
      <w:tr w14:paraId="5BAC1F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4EEE461F">
            <w:pPr>
              <w:adjustRightInd w:val="0"/>
              <w:snapToGrid w:val="0"/>
              <w:spacing w:line="360" w:lineRule="auto"/>
              <w:jc w:val="center"/>
              <w:rPr>
                <w:rFonts w:ascii="宋体" w:hAnsi="宋体"/>
                <w:szCs w:val="21"/>
              </w:rPr>
            </w:pPr>
            <w:r>
              <w:rPr>
                <w:rFonts w:hint="eastAsia" w:ascii="宋体" w:hAnsi="宋体"/>
                <w:szCs w:val="21"/>
              </w:rPr>
              <w:t>小计</w:t>
            </w:r>
          </w:p>
        </w:tc>
        <w:tc>
          <w:tcPr>
            <w:tcW w:w="1739" w:type="dxa"/>
            <w:vAlign w:val="center"/>
          </w:tcPr>
          <w:p w14:paraId="55725C6D">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w:t>
            </w:r>
          </w:p>
        </w:tc>
        <w:tc>
          <w:tcPr>
            <w:tcW w:w="1134" w:type="dxa"/>
            <w:tcBorders>
              <w:right w:val="single" w:color="auto" w:sz="4" w:space="0"/>
            </w:tcBorders>
            <w:vAlign w:val="center"/>
          </w:tcPr>
          <w:p w14:paraId="049D4707">
            <w:pPr>
              <w:adjustRightInd w:val="0"/>
              <w:snapToGrid w:val="0"/>
              <w:spacing w:line="360" w:lineRule="auto"/>
              <w:jc w:val="center"/>
              <w:rPr>
                <w:rFonts w:asciiTheme="minorEastAsia" w:hAnsiTheme="minorEastAsia" w:eastAsiaTheme="minorEastAsia"/>
                <w:szCs w:val="21"/>
              </w:rPr>
            </w:pPr>
          </w:p>
        </w:tc>
        <w:tc>
          <w:tcPr>
            <w:tcW w:w="1418" w:type="dxa"/>
            <w:tcBorders>
              <w:left w:val="single" w:color="auto" w:sz="4" w:space="0"/>
            </w:tcBorders>
            <w:vAlign w:val="center"/>
          </w:tcPr>
          <w:p w14:paraId="1F991233">
            <w:pPr>
              <w:adjustRightInd w:val="0"/>
              <w:snapToGrid w:val="0"/>
              <w:spacing w:line="360" w:lineRule="auto"/>
              <w:jc w:val="center"/>
              <w:rPr>
                <w:rFonts w:asciiTheme="minorEastAsia" w:hAnsiTheme="minorEastAsia" w:eastAsiaTheme="minorEastAsia"/>
                <w:szCs w:val="21"/>
              </w:rPr>
            </w:pPr>
          </w:p>
        </w:tc>
        <w:tc>
          <w:tcPr>
            <w:tcW w:w="1984" w:type="dxa"/>
            <w:vAlign w:val="center"/>
          </w:tcPr>
          <w:p w14:paraId="10D0D6C1">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w:t>
            </w:r>
          </w:p>
        </w:tc>
        <w:tc>
          <w:tcPr>
            <w:tcW w:w="1843" w:type="dxa"/>
          </w:tcPr>
          <w:p w14:paraId="569D5909">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w:t>
            </w:r>
          </w:p>
        </w:tc>
      </w:tr>
    </w:tbl>
    <w:p w14:paraId="0294F27A">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说明：</w:t>
      </w:r>
      <w:r>
        <w:rPr>
          <w:rFonts w:hint="eastAsia" w:asciiTheme="minorEastAsia" w:hAnsiTheme="minorEastAsia" w:eastAsiaTheme="minorEastAsia"/>
          <w:bCs/>
          <w:szCs w:val="21"/>
        </w:rPr>
        <w:t>1、</w:t>
      </w:r>
      <w:r>
        <w:rPr>
          <w:rFonts w:hint="eastAsia" w:asciiTheme="minorEastAsia" w:hAnsiTheme="minorEastAsia" w:eastAsiaTheme="minorEastAsia"/>
          <w:szCs w:val="21"/>
        </w:rPr>
        <w:t>本表用于计算政府采购优先采购产品（节能产品或环境标志产品或两型产品）的政府采购政策加分或者价格扣除。</w:t>
      </w:r>
    </w:p>
    <w:p w14:paraId="7D36BF85">
      <w:pPr>
        <w:adjustRightInd w:val="0"/>
        <w:snapToGrid w:val="0"/>
        <w:spacing w:line="360" w:lineRule="auto"/>
        <w:ind w:firstLine="630" w:firstLineChars="300"/>
        <w:jc w:val="left"/>
        <w:rPr>
          <w:rFonts w:asciiTheme="minorEastAsia" w:hAnsiTheme="minorEastAsia" w:eastAsiaTheme="minorEastAsia"/>
          <w:szCs w:val="21"/>
        </w:rPr>
      </w:pPr>
      <w:r>
        <w:rPr>
          <w:rFonts w:hint="eastAsia" w:asciiTheme="minorEastAsia" w:hAnsiTheme="minorEastAsia" w:eastAsiaTheme="minorEastAsia"/>
          <w:szCs w:val="21"/>
        </w:rPr>
        <w:t>2、栏目4“价格”为综合单价，包含货物所有隐含的内容，如运输费、保险费、管理费和利润等。</w:t>
      </w:r>
    </w:p>
    <w:p w14:paraId="239A5A01">
      <w:pPr>
        <w:adjustRightInd w:val="0"/>
        <w:snapToGrid w:val="0"/>
        <w:spacing w:line="360" w:lineRule="auto"/>
        <w:ind w:firstLine="630" w:firstLineChars="300"/>
        <w:jc w:val="left"/>
        <w:rPr>
          <w:rFonts w:asciiTheme="minorEastAsia" w:hAnsiTheme="minorEastAsia" w:eastAsiaTheme="minorEastAsia"/>
          <w:szCs w:val="21"/>
        </w:rPr>
      </w:pPr>
      <w:r>
        <w:rPr>
          <w:rFonts w:hint="eastAsia" w:asciiTheme="minorEastAsia" w:hAnsiTheme="minorEastAsia" w:eastAsiaTheme="minorEastAsia"/>
          <w:szCs w:val="21"/>
        </w:rPr>
        <w:t>3、栏目6“政策功能编码”是指货物的中国环境标志认证证书编号、中国节能标志认证证书号、湖南两型产品编号（货物同时属于节能产品、环境标志产品、两型产品的，只须填写一种）。</w:t>
      </w:r>
    </w:p>
    <w:p w14:paraId="2FF503DF">
      <w:pPr>
        <w:adjustRightInd w:val="0"/>
        <w:snapToGrid w:val="0"/>
        <w:spacing w:line="360" w:lineRule="auto"/>
        <w:ind w:firstLine="630" w:firstLineChars="300"/>
        <w:rPr>
          <w:rFonts w:asciiTheme="minorEastAsia" w:hAnsiTheme="minorEastAsia" w:eastAsiaTheme="minorEastAsia"/>
          <w:bCs/>
          <w:szCs w:val="21"/>
        </w:rPr>
      </w:pPr>
      <w:r>
        <w:rPr>
          <w:rFonts w:hint="eastAsia" w:asciiTheme="minorEastAsia" w:hAnsiTheme="minorEastAsia" w:eastAsiaTheme="minorEastAsia"/>
          <w:bCs/>
          <w:szCs w:val="21"/>
        </w:rPr>
        <w:t>4、投标人在投标截止时间前修改“开标一览表”中的投标报价的，应按第二章第13.7款规定修改本表相应内容。否则，评审时涉及本表所有优惠不予以考虑。</w:t>
      </w:r>
    </w:p>
    <w:p w14:paraId="62BEFB99">
      <w:pPr>
        <w:adjustRightInd w:val="0"/>
        <w:snapToGrid w:val="0"/>
        <w:spacing w:line="360" w:lineRule="auto"/>
        <w:rPr>
          <w:rFonts w:ascii="宋体" w:hAnsi="宋体"/>
          <w:szCs w:val="21"/>
        </w:rPr>
      </w:pPr>
    </w:p>
    <w:p w14:paraId="26D6CF29">
      <w:pPr>
        <w:adjustRightInd w:val="0"/>
        <w:snapToGrid w:val="0"/>
        <w:spacing w:line="360" w:lineRule="auto"/>
        <w:rPr>
          <w:rFonts w:ascii="宋体" w:hAnsi="宋体"/>
          <w:szCs w:val="21"/>
        </w:rPr>
      </w:pPr>
      <w:r>
        <w:rPr>
          <w:rFonts w:hint="eastAsia" w:ascii="宋体" w:hAnsi="宋体"/>
          <w:szCs w:val="21"/>
        </w:rPr>
        <w:t>投标人名称（盖单位电子章）：</w:t>
      </w:r>
    </w:p>
    <w:p w14:paraId="2F0E02D8">
      <w:pPr>
        <w:adjustRightInd w:val="0"/>
        <w:snapToGrid w:val="0"/>
        <w:spacing w:line="360" w:lineRule="auto"/>
        <w:rPr>
          <w:rFonts w:ascii="宋体" w:hAnsi="宋体"/>
          <w:szCs w:val="21"/>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宋体" w:hAnsi="宋体"/>
          <w:szCs w:val="21"/>
        </w:rPr>
        <w:t>或其委托代理人</w:t>
      </w:r>
      <w:r>
        <w:rPr>
          <w:rFonts w:hint="eastAsia" w:ascii="宋体" w:hAnsi="宋体"/>
          <w:szCs w:val="21"/>
          <w:lang w:eastAsia="zh-CN"/>
        </w:rPr>
        <w:t>（电子签章）</w:t>
      </w:r>
      <w:r>
        <w:rPr>
          <w:rFonts w:hint="eastAsia" w:ascii="宋体" w:hAnsi="宋体"/>
          <w:szCs w:val="21"/>
        </w:rPr>
        <w:t>：</w:t>
      </w:r>
      <w:r>
        <w:rPr>
          <w:rFonts w:hint="eastAsia" w:ascii="宋体" w:hAnsi="宋体"/>
          <w:szCs w:val="21"/>
          <w:u w:val="single"/>
        </w:rPr>
        <w:t xml:space="preserve">       </w:t>
      </w:r>
    </w:p>
    <w:p w14:paraId="7BA9F698">
      <w:pPr>
        <w:rPr>
          <w:rFonts w:ascii="宋体" w:hAnsi="宋体"/>
          <w:b/>
          <w:bCs/>
          <w:sz w:val="32"/>
          <w:szCs w:val="21"/>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ascii="宋体" w:hAnsi="宋体"/>
          <w:szCs w:val="21"/>
        </w:rPr>
        <w:br w:type="page"/>
      </w:r>
    </w:p>
    <w:p w14:paraId="2F159ED3">
      <w:pPr>
        <w:pStyle w:val="4"/>
        <w:adjustRightInd w:val="0"/>
        <w:snapToGrid w:val="0"/>
        <w:spacing w:before="0" w:after="0" w:line="360" w:lineRule="auto"/>
        <w:jc w:val="center"/>
        <w:rPr>
          <w:rFonts w:ascii="黑体" w:hAnsi="宋体" w:eastAsia="黑体"/>
          <w:color w:val="558ED5" w:themeColor="text2" w:themeTint="99"/>
          <w:sz w:val="28"/>
          <w:szCs w:val="28"/>
          <w14:textFill>
            <w14:solidFill>
              <w14:schemeClr w14:val="tx2">
                <w14:lumMod w14:val="60000"/>
                <w14:lumOff w14:val="40000"/>
              </w14:schemeClr>
            </w14:solidFill>
          </w14:textFill>
        </w:rPr>
      </w:pPr>
      <w:bookmarkStart w:id="218" w:name="_Toc7297"/>
      <w:bookmarkStart w:id="219" w:name="_Toc2561"/>
      <w:bookmarkStart w:id="220" w:name="_Toc29913977"/>
      <w:r>
        <w:rPr>
          <w:rFonts w:hint="eastAsia" w:ascii="黑体" w:hAnsi="宋体" w:eastAsia="黑体"/>
          <w:sz w:val="28"/>
          <w:szCs w:val="28"/>
        </w:rPr>
        <w:t>十一、投标服务符合招标文件规定的证明文件</w:t>
      </w:r>
      <w:bookmarkEnd w:id="218"/>
      <w:bookmarkEnd w:id="219"/>
    </w:p>
    <w:p w14:paraId="719A2B54">
      <w:pPr>
        <w:adjustRightInd w:val="0"/>
        <w:snapToGrid w:val="0"/>
        <w:spacing w:line="360" w:lineRule="auto"/>
        <w:rPr>
          <w:rFonts w:asciiTheme="minorEastAsia" w:hAnsiTheme="minorEastAsia" w:eastAsiaTheme="minorEastAsia"/>
          <w:szCs w:val="21"/>
        </w:rPr>
      </w:pPr>
    </w:p>
    <w:p w14:paraId="496985E4">
      <w:pPr>
        <w:adjustRightInd w:val="0"/>
        <w:snapToGrid w:val="0"/>
        <w:spacing w:line="360" w:lineRule="auto"/>
        <w:rPr>
          <w:rFonts w:asciiTheme="minorEastAsia" w:hAnsiTheme="minorEastAsia" w:eastAsiaTheme="minorEastAsia"/>
        </w:rPr>
      </w:pPr>
      <w:r>
        <w:rPr>
          <w:rFonts w:hint="eastAsia" w:asciiTheme="minorEastAsia" w:hAnsiTheme="minorEastAsia" w:eastAsiaTheme="minorEastAsia"/>
          <w:szCs w:val="21"/>
        </w:rPr>
        <w:t>备注：提供第五章规定的证明材料复印件。</w:t>
      </w:r>
    </w:p>
    <w:p w14:paraId="77BFD973">
      <w:pPr>
        <w:widowControl/>
        <w:jc w:val="left"/>
        <w:rPr>
          <w:rFonts w:ascii="黑体" w:eastAsia="黑体"/>
          <w:sz w:val="28"/>
          <w:szCs w:val="28"/>
        </w:rPr>
      </w:pPr>
      <w:r>
        <w:rPr>
          <w:rFonts w:ascii="黑体" w:eastAsia="黑体"/>
          <w:b/>
          <w:bCs/>
          <w:sz w:val="28"/>
          <w:szCs w:val="28"/>
        </w:rPr>
        <w:br w:type="page"/>
      </w:r>
    </w:p>
    <w:p w14:paraId="366D02D8">
      <w:pPr>
        <w:pStyle w:val="4"/>
        <w:adjustRightInd w:val="0"/>
        <w:snapToGrid w:val="0"/>
        <w:spacing w:before="0" w:after="0" w:line="360" w:lineRule="auto"/>
        <w:jc w:val="center"/>
        <w:rPr>
          <w:rFonts w:ascii="黑体" w:hAnsi="宋体" w:eastAsia="黑体"/>
          <w:sz w:val="28"/>
          <w:szCs w:val="28"/>
        </w:rPr>
      </w:pPr>
      <w:bookmarkStart w:id="221" w:name="_Toc15533"/>
      <w:bookmarkStart w:id="222" w:name="_Toc5376"/>
      <w:r>
        <w:rPr>
          <w:rFonts w:hint="eastAsia" w:ascii="黑体" w:hAnsi="宋体" w:eastAsia="黑体"/>
          <w:sz w:val="28"/>
          <w:szCs w:val="28"/>
        </w:rPr>
        <w:t>十二、投标人认为需提供的其他资料</w:t>
      </w:r>
      <w:bookmarkEnd w:id="220"/>
      <w:bookmarkEnd w:id="221"/>
      <w:bookmarkEnd w:id="222"/>
    </w:p>
    <w:p w14:paraId="4ED5CCAC">
      <w:pPr>
        <w:adjustRightInd w:val="0"/>
        <w:snapToGrid w:val="0"/>
        <w:spacing w:before="156" w:beforeLines="50" w:line="360" w:lineRule="auto"/>
        <w:rPr>
          <w:rFonts w:asciiTheme="minorEastAsia" w:hAnsiTheme="minorEastAsia" w:eastAsiaTheme="minorEastAsia"/>
        </w:rPr>
      </w:pPr>
    </w:p>
    <w:p w14:paraId="5D0D0EDE">
      <w:pPr>
        <w:adjustRightInd w:val="0"/>
        <w:snapToGrid w:val="0"/>
        <w:spacing w:before="156" w:beforeLines="50" w:line="360" w:lineRule="auto"/>
        <w:rPr>
          <w:rFonts w:asciiTheme="minorEastAsia" w:hAnsiTheme="minorEastAsia" w:eastAsiaTheme="minorEastAsia"/>
        </w:rPr>
      </w:pPr>
      <w:r>
        <w:rPr>
          <w:rFonts w:hint="eastAsia" w:asciiTheme="minorEastAsia" w:hAnsiTheme="minorEastAsia" w:eastAsiaTheme="minorEastAsia"/>
        </w:rPr>
        <w:t>备注：投标人认为需提供的其他资料包括：</w:t>
      </w:r>
    </w:p>
    <w:p w14:paraId="3E084E20">
      <w:pPr>
        <w:adjustRightInd w:val="0"/>
        <w:snapToGrid w:val="0"/>
        <w:spacing w:before="156" w:beforeLines="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（1）招标文件第五章采购需求要求的其他资料；</w:t>
      </w:r>
    </w:p>
    <w:p w14:paraId="04CBCBC3">
      <w:pPr>
        <w:adjustRightInd w:val="0"/>
        <w:snapToGrid w:val="0"/>
        <w:spacing w:before="156" w:beforeLines="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（2）招标文件第四章评标方法及标准要求的其他相关资料。</w:t>
      </w:r>
    </w:p>
    <w:p w14:paraId="245C531A">
      <w:pPr>
        <w:adjustRightInd w:val="0"/>
        <w:snapToGrid w:val="0"/>
        <w:spacing w:before="156" w:beforeLines="50" w:line="360" w:lineRule="auto"/>
        <w:rPr>
          <w:rFonts w:asciiTheme="minorEastAsia" w:hAnsiTheme="minorEastAsia" w:eastAsiaTheme="minorEastAsia"/>
        </w:rPr>
      </w:pPr>
    </w:p>
    <w:p w14:paraId="1661A836"/>
    <w:p w14:paraId="23594F20">
      <w:pPr>
        <w:widowControl/>
        <w:jc w:val="left"/>
        <w:rPr>
          <w:rFonts w:ascii="宋体" w:hAnsi="宋体"/>
          <w:szCs w:val="21"/>
        </w:rPr>
      </w:pPr>
    </w:p>
    <w:sectPr>
      <w:pgSz w:w="11906" w:h="16838"/>
      <w:pgMar w:top="1474" w:right="1474" w:bottom="1474"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roma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TimesNewRomanPSM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A67">
    <w:pPr>
      <w:pStyle w:val="29"/>
      <w:ind w:left="300" w:right="359" w:rightChars="171" w:hanging="180" w:hangingChars="100"/>
      <w:rPr>
        <w:rFonts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946E5">
    <w:pPr>
      <w:pStyle w:val="29"/>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09218">
                          <w:pPr>
                            <w:pStyle w:val="29"/>
                            <w:rPr>
                              <w:rStyle w:val="47"/>
                            </w:rPr>
                          </w:pPr>
                          <w:r>
                            <w:fldChar w:fldCharType="begin"/>
                          </w:r>
                          <w:r>
                            <w:rPr>
                              <w:rStyle w:val="47"/>
                            </w:rPr>
                            <w:instrText xml:space="preserve">PAGE  </w:instrText>
                          </w:r>
                          <w:r>
                            <w:fldChar w:fldCharType="separate"/>
                          </w:r>
                          <w:r>
                            <w:rPr>
                              <w:rStyle w:val="47"/>
                            </w:rP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B09218">
                    <w:pPr>
                      <w:pStyle w:val="29"/>
                      <w:rPr>
                        <w:rStyle w:val="47"/>
                      </w:rPr>
                    </w:pPr>
                    <w:r>
                      <w:fldChar w:fldCharType="begin"/>
                    </w:r>
                    <w:r>
                      <w:rPr>
                        <w:rStyle w:val="47"/>
                      </w:rPr>
                      <w:instrText xml:space="preserve">PAGE  </w:instrText>
                    </w:r>
                    <w:r>
                      <w:fldChar w:fldCharType="separate"/>
                    </w:r>
                    <w:r>
                      <w:rPr>
                        <w:rStyle w:val="47"/>
                      </w:rPr>
                      <w:t>80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025D1">
    <w:pPr>
      <w:pStyle w:val="29"/>
      <w:ind w:left="300" w:right="359" w:rightChars="171" w:hanging="180" w:hangingChars="100"/>
      <w:jc w:val="right"/>
      <w:rPr>
        <w:rFonts w:eastAsia="楷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F2D83">
                          <w:pPr>
                            <w:pStyle w:val="29"/>
                            <w:ind w:left="300" w:right="359" w:rightChars="171" w:hanging="300" w:hangingChars="100"/>
                            <w:jc w:val="right"/>
                          </w:pPr>
                          <w:r>
                            <w:rPr>
                              <w:rStyle w:val="47"/>
                              <w:rFonts w:hint="eastAsia" w:ascii="仿宋_GB2312" w:eastAsia="仿宋_GB2312"/>
                              <w:sz w:val="30"/>
                              <w:szCs w:val="30"/>
                            </w:rPr>
                            <w:t>—</w:t>
                          </w:r>
                          <w:r>
                            <w:rPr>
                              <w:rStyle w:val="47"/>
                              <w:rFonts w:hint="eastAsia" w:ascii="仿宋_GB2312" w:eastAsia="仿宋_GB2312"/>
                              <w:sz w:val="30"/>
                              <w:szCs w:val="30"/>
                            </w:rPr>
                            <w:fldChar w:fldCharType="begin"/>
                          </w:r>
                          <w:r>
                            <w:rPr>
                              <w:rStyle w:val="47"/>
                              <w:rFonts w:hint="eastAsia" w:ascii="仿宋_GB2312" w:eastAsia="仿宋_GB2312"/>
                              <w:sz w:val="30"/>
                              <w:szCs w:val="30"/>
                            </w:rPr>
                            <w:instrText xml:space="preserve"> PAGE </w:instrText>
                          </w:r>
                          <w:r>
                            <w:rPr>
                              <w:rStyle w:val="47"/>
                              <w:rFonts w:hint="eastAsia" w:ascii="仿宋_GB2312" w:eastAsia="仿宋_GB2312"/>
                              <w:sz w:val="30"/>
                              <w:szCs w:val="30"/>
                            </w:rPr>
                            <w:fldChar w:fldCharType="separate"/>
                          </w:r>
                          <w:r>
                            <w:rPr>
                              <w:rStyle w:val="47"/>
                              <w:rFonts w:ascii="仿宋_GB2312" w:eastAsia="仿宋_GB2312"/>
                              <w:sz w:val="30"/>
                              <w:szCs w:val="30"/>
                            </w:rPr>
                            <w:t>92</w:t>
                          </w:r>
                          <w:r>
                            <w:rPr>
                              <w:rStyle w:val="47"/>
                              <w:rFonts w:hint="eastAsia" w:ascii="仿宋_GB2312" w:eastAsia="仿宋_GB2312"/>
                              <w:sz w:val="30"/>
                              <w:szCs w:val="30"/>
                            </w:rPr>
                            <w:fldChar w:fldCharType="end"/>
                          </w:r>
                          <w:r>
                            <w:rPr>
                              <w:rStyle w:val="47"/>
                              <w:rFonts w:hint="eastAsia" w:ascii="仿宋_GB2312" w:eastAsia="仿宋_GB2312"/>
                              <w:sz w:val="30"/>
                              <w:szCs w:val="30"/>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5F2D83">
                    <w:pPr>
                      <w:pStyle w:val="29"/>
                      <w:ind w:left="300" w:right="359" w:rightChars="171" w:hanging="300" w:hangingChars="100"/>
                      <w:jc w:val="right"/>
                    </w:pPr>
                    <w:r>
                      <w:rPr>
                        <w:rStyle w:val="47"/>
                        <w:rFonts w:hint="eastAsia" w:ascii="仿宋_GB2312" w:eastAsia="仿宋_GB2312"/>
                        <w:sz w:val="30"/>
                        <w:szCs w:val="30"/>
                      </w:rPr>
                      <w:t>—</w:t>
                    </w:r>
                    <w:r>
                      <w:rPr>
                        <w:rStyle w:val="47"/>
                        <w:rFonts w:hint="eastAsia" w:ascii="仿宋_GB2312" w:eastAsia="仿宋_GB2312"/>
                        <w:sz w:val="30"/>
                        <w:szCs w:val="30"/>
                      </w:rPr>
                      <w:fldChar w:fldCharType="begin"/>
                    </w:r>
                    <w:r>
                      <w:rPr>
                        <w:rStyle w:val="47"/>
                        <w:rFonts w:hint="eastAsia" w:ascii="仿宋_GB2312" w:eastAsia="仿宋_GB2312"/>
                        <w:sz w:val="30"/>
                        <w:szCs w:val="30"/>
                      </w:rPr>
                      <w:instrText xml:space="preserve"> PAGE </w:instrText>
                    </w:r>
                    <w:r>
                      <w:rPr>
                        <w:rStyle w:val="47"/>
                        <w:rFonts w:hint="eastAsia" w:ascii="仿宋_GB2312" w:eastAsia="仿宋_GB2312"/>
                        <w:sz w:val="30"/>
                        <w:szCs w:val="30"/>
                      </w:rPr>
                      <w:fldChar w:fldCharType="separate"/>
                    </w:r>
                    <w:r>
                      <w:rPr>
                        <w:rStyle w:val="47"/>
                        <w:rFonts w:ascii="仿宋_GB2312" w:eastAsia="仿宋_GB2312"/>
                        <w:sz w:val="30"/>
                        <w:szCs w:val="30"/>
                      </w:rPr>
                      <w:t>92</w:t>
                    </w:r>
                    <w:r>
                      <w:rPr>
                        <w:rStyle w:val="47"/>
                        <w:rFonts w:hint="eastAsia" w:ascii="仿宋_GB2312" w:eastAsia="仿宋_GB2312"/>
                        <w:sz w:val="30"/>
                        <w:szCs w:val="30"/>
                      </w:rPr>
                      <w:fldChar w:fldCharType="end"/>
                    </w:r>
                    <w:r>
                      <w:rPr>
                        <w:rStyle w:val="47"/>
                        <w:rFonts w:hint="eastAsia" w:ascii="仿宋_GB2312" w:eastAsia="仿宋_GB2312"/>
                        <w:sz w:val="30"/>
                        <w:szCs w:val="30"/>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71F6D">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4A2A1">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FF9D9">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4156A">
    <w:pPr>
      <w:pStyle w:val="2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A0FD9">
    <w:pPr>
      <w:pStyle w:val="2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E97DB">
    <w:pPr>
      <w:pStyle w:val="2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A65FF">
    <w:pPr>
      <w:pStyle w:val="2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CB4E3">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90EC60"/>
    <w:multiLevelType w:val="singleLevel"/>
    <w:tmpl w:val="E990EC60"/>
    <w:lvl w:ilvl="0" w:tentative="0">
      <w:start w:val="1"/>
      <w:numFmt w:val="decimal"/>
      <w:suff w:val="nothing"/>
      <w:lvlText w:val="%1、"/>
      <w:lvlJc w:val="left"/>
    </w:lvl>
  </w:abstractNum>
  <w:abstractNum w:abstractNumId="1">
    <w:nsid w:val="F6EEFB2B"/>
    <w:multiLevelType w:val="singleLevel"/>
    <w:tmpl w:val="F6EEFB2B"/>
    <w:lvl w:ilvl="0" w:tentative="0">
      <w:start w:val="2"/>
      <w:numFmt w:val="chineseCounting"/>
      <w:suff w:val="nothing"/>
      <w:lvlText w:val="%1、"/>
      <w:lvlJc w:val="left"/>
      <w:rPr>
        <w:rFonts w:hint="eastAsia"/>
      </w:rPr>
    </w:lvl>
  </w:abstractNum>
  <w:abstractNum w:abstractNumId="2">
    <w:nsid w:val="24AA4C17"/>
    <w:multiLevelType w:val="singleLevel"/>
    <w:tmpl w:val="24AA4C17"/>
    <w:lvl w:ilvl="0" w:tentative="0">
      <w:start w:val="2"/>
      <w:numFmt w:val="chineseCounting"/>
      <w:suff w:val="nothing"/>
      <w:lvlText w:val="（%1）"/>
      <w:lvlJc w:val="left"/>
      <w:rPr>
        <w:rFonts w:hint="eastAsia"/>
      </w:rPr>
    </w:lvl>
  </w:abstractNum>
  <w:abstractNum w:abstractNumId="3">
    <w:nsid w:val="39A147A0"/>
    <w:multiLevelType w:val="singleLevel"/>
    <w:tmpl w:val="39A147A0"/>
    <w:lvl w:ilvl="0" w:tentative="0">
      <w:start w:val="1"/>
      <w:numFmt w:val="decimal"/>
      <w:suff w:val="nothing"/>
      <w:lvlText w:val="%1、"/>
      <w:lvlJc w:val="left"/>
    </w:lvl>
  </w:abstractNum>
  <w:abstractNum w:abstractNumId="4">
    <w:nsid w:val="49C49B56"/>
    <w:multiLevelType w:val="singleLevel"/>
    <w:tmpl w:val="49C49B56"/>
    <w:lvl w:ilvl="0" w:tentative="0">
      <w:start w:val="4"/>
      <w:numFmt w:val="chineseCounting"/>
      <w:suff w:val="nothing"/>
      <w:lvlText w:val="%1、"/>
      <w:lvlJc w:val="left"/>
      <w:rPr>
        <w:rFonts w:hint="eastAsia"/>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Y2NkNzJjNjgxZWFjNDVjNDc0NmVmYmE5OTBlYjcifQ=="/>
  </w:docVars>
  <w:rsids>
    <w:rsidRoot w:val="007434B4"/>
    <w:rsid w:val="00000A61"/>
    <w:rsid w:val="00000A83"/>
    <w:rsid w:val="000013FE"/>
    <w:rsid w:val="0000186F"/>
    <w:rsid w:val="00001A03"/>
    <w:rsid w:val="00002568"/>
    <w:rsid w:val="00002840"/>
    <w:rsid w:val="000037DE"/>
    <w:rsid w:val="00003D23"/>
    <w:rsid w:val="00004EAF"/>
    <w:rsid w:val="00006552"/>
    <w:rsid w:val="0001024D"/>
    <w:rsid w:val="00010382"/>
    <w:rsid w:val="00011A7B"/>
    <w:rsid w:val="00013365"/>
    <w:rsid w:val="00013466"/>
    <w:rsid w:val="00013574"/>
    <w:rsid w:val="000135B0"/>
    <w:rsid w:val="00013923"/>
    <w:rsid w:val="00014A82"/>
    <w:rsid w:val="00015858"/>
    <w:rsid w:val="00015A29"/>
    <w:rsid w:val="0001617A"/>
    <w:rsid w:val="00017581"/>
    <w:rsid w:val="000175E8"/>
    <w:rsid w:val="00017CF0"/>
    <w:rsid w:val="00017F9C"/>
    <w:rsid w:val="000252F0"/>
    <w:rsid w:val="00025EED"/>
    <w:rsid w:val="00027D0F"/>
    <w:rsid w:val="00030A53"/>
    <w:rsid w:val="00031705"/>
    <w:rsid w:val="00031BBE"/>
    <w:rsid w:val="00031C52"/>
    <w:rsid w:val="00032D53"/>
    <w:rsid w:val="000333AE"/>
    <w:rsid w:val="00033EFF"/>
    <w:rsid w:val="00035663"/>
    <w:rsid w:val="000358FA"/>
    <w:rsid w:val="00035B2B"/>
    <w:rsid w:val="00040247"/>
    <w:rsid w:val="00040313"/>
    <w:rsid w:val="00040E14"/>
    <w:rsid w:val="0004234C"/>
    <w:rsid w:val="0004444E"/>
    <w:rsid w:val="00045B4B"/>
    <w:rsid w:val="00046881"/>
    <w:rsid w:val="00047440"/>
    <w:rsid w:val="0004759C"/>
    <w:rsid w:val="0005019F"/>
    <w:rsid w:val="000508AD"/>
    <w:rsid w:val="0005168D"/>
    <w:rsid w:val="0005208E"/>
    <w:rsid w:val="00052DBD"/>
    <w:rsid w:val="00053BE1"/>
    <w:rsid w:val="00053C94"/>
    <w:rsid w:val="000566BD"/>
    <w:rsid w:val="0005701C"/>
    <w:rsid w:val="000606A2"/>
    <w:rsid w:val="00060C04"/>
    <w:rsid w:val="00061310"/>
    <w:rsid w:val="00061914"/>
    <w:rsid w:val="000620A1"/>
    <w:rsid w:val="000638C9"/>
    <w:rsid w:val="000662FC"/>
    <w:rsid w:val="000666F2"/>
    <w:rsid w:val="000675E6"/>
    <w:rsid w:val="000677C7"/>
    <w:rsid w:val="00067D0B"/>
    <w:rsid w:val="000709FB"/>
    <w:rsid w:val="00070B21"/>
    <w:rsid w:val="00070F95"/>
    <w:rsid w:val="00072573"/>
    <w:rsid w:val="0007343D"/>
    <w:rsid w:val="000745C1"/>
    <w:rsid w:val="0007473A"/>
    <w:rsid w:val="00074CB8"/>
    <w:rsid w:val="00076502"/>
    <w:rsid w:val="000775DD"/>
    <w:rsid w:val="000777C0"/>
    <w:rsid w:val="000821AB"/>
    <w:rsid w:val="00082346"/>
    <w:rsid w:val="000841E5"/>
    <w:rsid w:val="00085204"/>
    <w:rsid w:val="00087CA6"/>
    <w:rsid w:val="000904BC"/>
    <w:rsid w:val="000909AB"/>
    <w:rsid w:val="00090D47"/>
    <w:rsid w:val="00091751"/>
    <w:rsid w:val="000917F5"/>
    <w:rsid w:val="000921D2"/>
    <w:rsid w:val="00092E61"/>
    <w:rsid w:val="00094343"/>
    <w:rsid w:val="0009483A"/>
    <w:rsid w:val="0009530E"/>
    <w:rsid w:val="00095A0E"/>
    <w:rsid w:val="00096239"/>
    <w:rsid w:val="00096A68"/>
    <w:rsid w:val="00097FB9"/>
    <w:rsid w:val="000A0CD6"/>
    <w:rsid w:val="000A2575"/>
    <w:rsid w:val="000A25D2"/>
    <w:rsid w:val="000A2631"/>
    <w:rsid w:val="000A3313"/>
    <w:rsid w:val="000A3BB4"/>
    <w:rsid w:val="000A4283"/>
    <w:rsid w:val="000A4354"/>
    <w:rsid w:val="000A6658"/>
    <w:rsid w:val="000B0390"/>
    <w:rsid w:val="000B0F6F"/>
    <w:rsid w:val="000B1637"/>
    <w:rsid w:val="000B1715"/>
    <w:rsid w:val="000B2722"/>
    <w:rsid w:val="000B2C01"/>
    <w:rsid w:val="000B320F"/>
    <w:rsid w:val="000B33DF"/>
    <w:rsid w:val="000B3A4F"/>
    <w:rsid w:val="000B4504"/>
    <w:rsid w:val="000B48CB"/>
    <w:rsid w:val="000B5D7D"/>
    <w:rsid w:val="000B67D9"/>
    <w:rsid w:val="000B6A6A"/>
    <w:rsid w:val="000B7DF1"/>
    <w:rsid w:val="000C035B"/>
    <w:rsid w:val="000C0714"/>
    <w:rsid w:val="000C188C"/>
    <w:rsid w:val="000C245B"/>
    <w:rsid w:val="000C2AE6"/>
    <w:rsid w:val="000C354A"/>
    <w:rsid w:val="000C4FD9"/>
    <w:rsid w:val="000C52A0"/>
    <w:rsid w:val="000C6B2C"/>
    <w:rsid w:val="000C70C2"/>
    <w:rsid w:val="000C7812"/>
    <w:rsid w:val="000D04C8"/>
    <w:rsid w:val="000D0769"/>
    <w:rsid w:val="000D0E5E"/>
    <w:rsid w:val="000D1018"/>
    <w:rsid w:val="000D211B"/>
    <w:rsid w:val="000D2A3F"/>
    <w:rsid w:val="000D344B"/>
    <w:rsid w:val="000D5249"/>
    <w:rsid w:val="000D6185"/>
    <w:rsid w:val="000D6514"/>
    <w:rsid w:val="000E166F"/>
    <w:rsid w:val="000E3DCC"/>
    <w:rsid w:val="000E4525"/>
    <w:rsid w:val="000E46D9"/>
    <w:rsid w:val="000E4E95"/>
    <w:rsid w:val="000E50DD"/>
    <w:rsid w:val="000E640C"/>
    <w:rsid w:val="000E7308"/>
    <w:rsid w:val="000E7417"/>
    <w:rsid w:val="000E741F"/>
    <w:rsid w:val="000E7B7A"/>
    <w:rsid w:val="000F1A45"/>
    <w:rsid w:val="000F1AF9"/>
    <w:rsid w:val="000F21C8"/>
    <w:rsid w:val="000F3713"/>
    <w:rsid w:val="000F376A"/>
    <w:rsid w:val="000F37AB"/>
    <w:rsid w:val="000F4155"/>
    <w:rsid w:val="000F44CB"/>
    <w:rsid w:val="000F4F2F"/>
    <w:rsid w:val="000F5866"/>
    <w:rsid w:val="000F620C"/>
    <w:rsid w:val="000F7591"/>
    <w:rsid w:val="001000C3"/>
    <w:rsid w:val="0010071B"/>
    <w:rsid w:val="001047E3"/>
    <w:rsid w:val="00104908"/>
    <w:rsid w:val="00104D5D"/>
    <w:rsid w:val="00105A9C"/>
    <w:rsid w:val="00106446"/>
    <w:rsid w:val="00107077"/>
    <w:rsid w:val="00107FD9"/>
    <w:rsid w:val="00110169"/>
    <w:rsid w:val="00110B4B"/>
    <w:rsid w:val="001113FC"/>
    <w:rsid w:val="00111596"/>
    <w:rsid w:val="00111CC9"/>
    <w:rsid w:val="00112A3D"/>
    <w:rsid w:val="001133AC"/>
    <w:rsid w:val="00113C61"/>
    <w:rsid w:val="00114B15"/>
    <w:rsid w:val="00117058"/>
    <w:rsid w:val="00117143"/>
    <w:rsid w:val="00117E7C"/>
    <w:rsid w:val="00120369"/>
    <w:rsid w:val="00121A30"/>
    <w:rsid w:val="001228FD"/>
    <w:rsid w:val="001232B6"/>
    <w:rsid w:val="00124345"/>
    <w:rsid w:val="00125769"/>
    <w:rsid w:val="00125F48"/>
    <w:rsid w:val="00126231"/>
    <w:rsid w:val="001264B5"/>
    <w:rsid w:val="001264DC"/>
    <w:rsid w:val="00126691"/>
    <w:rsid w:val="00127083"/>
    <w:rsid w:val="0013172D"/>
    <w:rsid w:val="001322EF"/>
    <w:rsid w:val="001324B3"/>
    <w:rsid w:val="001345E9"/>
    <w:rsid w:val="00134894"/>
    <w:rsid w:val="001348D3"/>
    <w:rsid w:val="00135375"/>
    <w:rsid w:val="001370E3"/>
    <w:rsid w:val="00137DBD"/>
    <w:rsid w:val="00137DCD"/>
    <w:rsid w:val="00140DA3"/>
    <w:rsid w:val="001413DF"/>
    <w:rsid w:val="00141BEE"/>
    <w:rsid w:val="00143121"/>
    <w:rsid w:val="00144141"/>
    <w:rsid w:val="00144F97"/>
    <w:rsid w:val="00145791"/>
    <w:rsid w:val="0014699B"/>
    <w:rsid w:val="00146D14"/>
    <w:rsid w:val="00151BA6"/>
    <w:rsid w:val="0015269F"/>
    <w:rsid w:val="00153C89"/>
    <w:rsid w:val="00156049"/>
    <w:rsid w:val="001564DB"/>
    <w:rsid w:val="00156F75"/>
    <w:rsid w:val="00160E3C"/>
    <w:rsid w:val="001617E9"/>
    <w:rsid w:val="00162175"/>
    <w:rsid w:val="00162403"/>
    <w:rsid w:val="0016254E"/>
    <w:rsid w:val="00162F23"/>
    <w:rsid w:val="001637C1"/>
    <w:rsid w:val="0016451E"/>
    <w:rsid w:val="00164C0D"/>
    <w:rsid w:val="001655DB"/>
    <w:rsid w:val="0016583A"/>
    <w:rsid w:val="00166A7A"/>
    <w:rsid w:val="00166F38"/>
    <w:rsid w:val="00167313"/>
    <w:rsid w:val="00167763"/>
    <w:rsid w:val="001708E8"/>
    <w:rsid w:val="0017148D"/>
    <w:rsid w:val="0017284E"/>
    <w:rsid w:val="0017334A"/>
    <w:rsid w:val="00173713"/>
    <w:rsid w:val="00173A95"/>
    <w:rsid w:val="00173D83"/>
    <w:rsid w:val="0017404D"/>
    <w:rsid w:val="00175C3F"/>
    <w:rsid w:val="00175FE2"/>
    <w:rsid w:val="0017633E"/>
    <w:rsid w:val="001773C6"/>
    <w:rsid w:val="0017741D"/>
    <w:rsid w:val="001810E9"/>
    <w:rsid w:val="00181D2E"/>
    <w:rsid w:val="001828D3"/>
    <w:rsid w:val="001846F2"/>
    <w:rsid w:val="001850A4"/>
    <w:rsid w:val="00185B43"/>
    <w:rsid w:val="00186927"/>
    <w:rsid w:val="001870D2"/>
    <w:rsid w:val="00190053"/>
    <w:rsid w:val="00190101"/>
    <w:rsid w:val="00190C8F"/>
    <w:rsid w:val="00191A57"/>
    <w:rsid w:val="00192075"/>
    <w:rsid w:val="00193526"/>
    <w:rsid w:val="00195771"/>
    <w:rsid w:val="00197441"/>
    <w:rsid w:val="001A053D"/>
    <w:rsid w:val="001A101A"/>
    <w:rsid w:val="001A12A4"/>
    <w:rsid w:val="001A130A"/>
    <w:rsid w:val="001A2976"/>
    <w:rsid w:val="001A3AA5"/>
    <w:rsid w:val="001A3AFC"/>
    <w:rsid w:val="001A3BCB"/>
    <w:rsid w:val="001A4D9B"/>
    <w:rsid w:val="001A561A"/>
    <w:rsid w:val="001A58C6"/>
    <w:rsid w:val="001A59EB"/>
    <w:rsid w:val="001B0B82"/>
    <w:rsid w:val="001B2294"/>
    <w:rsid w:val="001B313B"/>
    <w:rsid w:val="001B383C"/>
    <w:rsid w:val="001B4531"/>
    <w:rsid w:val="001B4F01"/>
    <w:rsid w:val="001B5907"/>
    <w:rsid w:val="001B78EC"/>
    <w:rsid w:val="001C2072"/>
    <w:rsid w:val="001C274B"/>
    <w:rsid w:val="001C3481"/>
    <w:rsid w:val="001C4E4C"/>
    <w:rsid w:val="001C5444"/>
    <w:rsid w:val="001C737E"/>
    <w:rsid w:val="001C7B25"/>
    <w:rsid w:val="001D0F5F"/>
    <w:rsid w:val="001D1A86"/>
    <w:rsid w:val="001D26DC"/>
    <w:rsid w:val="001D300D"/>
    <w:rsid w:val="001D302B"/>
    <w:rsid w:val="001D34F7"/>
    <w:rsid w:val="001D574C"/>
    <w:rsid w:val="001D5B75"/>
    <w:rsid w:val="001E1D4A"/>
    <w:rsid w:val="001E3396"/>
    <w:rsid w:val="001E3A6E"/>
    <w:rsid w:val="001E3AF6"/>
    <w:rsid w:val="001E3D6A"/>
    <w:rsid w:val="001E4458"/>
    <w:rsid w:val="001E59F7"/>
    <w:rsid w:val="001E6A66"/>
    <w:rsid w:val="001F075D"/>
    <w:rsid w:val="001F130D"/>
    <w:rsid w:val="001F1819"/>
    <w:rsid w:val="001F3A23"/>
    <w:rsid w:val="001F4878"/>
    <w:rsid w:val="001F5321"/>
    <w:rsid w:val="001F534E"/>
    <w:rsid w:val="001F5B18"/>
    <w:rsid w:val="001F7AFA"/>
    <w:rsid w:val="00200789"/>
    <w:rsid w:val="002008A9"/>
    <w:rsid w:val="00200C39"/>
    <w:rsid w:val="00200D09"/>
    <w:rsid w:val="002018AB"/>
    <w:rsid w:val="00201F4F"/>
    <w:rsid w:val="002023F0"/>
    <w:rsid w:val="0020308E"/>
    <w:rsid w:val="00203EA6"/>
    <w:rsid w:val="00205CF8"/>
    <w:rsid w:val="00206018"/>
    <w:rsid w:val="00207D02"/>
    <w:rsid w:val="00210EE8"/>
    <w:rsid w:val="00210F21"/>
    <w:rsid w:val="00211F38"/>
    <w:rsid w:val="0021548B"/>
    <w:rsid w:val="002157B6"/>
    <w:rsid w:val="00215C17"/>
    <w:rsid w:val="00215D98"/>
    <w:rsid w:val="00216282"/>
    <w:rsid w:val="00216FA2"/>
    <w:rsid w:val="002203CE"/>
    <w:rsid w:val="00221240"/>
    <w:rsid w:val="00221600"/>
    <w:rsid w:val="00221BE4"/>
    <w:rsid w:val="00223541"/>
    <w:rsid w:val="00223B66"/>
    <w:rsid w:val="002240A4"/>
    <w:rsid w:val="0022478B"/>
    <w:rsid w:val="00224EE3"/>
    <w:rsid w:val="00225547"/>
    <w:rsid w:val="00226CCD"/>
    <w:rsid w:val="002303FF"/>
    <w:rsid w:val="00230B4C"/>
    <w:rsid w:val="00231C9E"/>
    <w:rsid w:val="0023235C"/>
    <w:rsid w:val="00232836"/>
    <w:rsid w:val="00232D80"/>
    <w:rsid w:val="0023339C"/>
    <w:rsid w:val="00234309"/>
    <w:rsid w:val="00235123"/>
    <w:rsid w:val="00235317"/>
    <w:rsid w:val="002416E2"/>
    <w:rsid w:val="002419D0"/>
    <w:rsid w:val="00242897"/>
    <w:rsid w:val="00242A62"/>
    <w:rsid w:val="002444EA"/>
    <w:rsid w:val="00244B2A"/>
    <w:rsid w:val="00245EF6"/>
    <w:rsid w:val="00250A62"/>
    <w:rsid w:val="0025131F"/>
    <w:rsid w:val="00253669"/>
    <w:rsid w:val="00255AC7"/>
    <w:rsid w:val="002569C5"/>
    <w:rsid w:val="00256A84"/>
    <w:rsid w:val="00257F4D"/>
    <w:rsid w:val="00260902"/>
    <w:rsid w:val="00260A71"/>
    <w:rsid w:val="0026198C"/>
    <w:rsid w:val="00261AC6"/>
    <w:rsid w:val="00262FCB"/>
    <w:rsid w:val="00263AB2"/>
    <w:rsid w:val="002643E5"/>
    <w:rsid w:val="00264503"/>
    <w:rsid w:val="00264EB2"/>
    <w:rsid w:val="00265009"/>
    <w:rsid w:val="0026705D"/>
    <w:rsid w:val="00267C83"/>
    <w:rsid w:val="00267F9F"/>
    <w:rsid w:val="00270AE8"/>
    <w:rsid w:val="00270DBF"/>
    <w:rsid w:val="00272498"/>
    <w:rsid w:val="002725B6"/>
    <w:rsid w:val="002726B5"/>
    <w:rsid w:val="00276030"/>
    <w:rsid w:val="00276AC4"/>
    <w:rsid w:val="00276F7B"/>
    <w:rsid w:val="0027767A"/>
    <w:rsid w:val="002815E4"/>
    <w:rsid w:val="0028240A"/>
    <w:rsid w:val="00282892"/>
    <w:rsid w:val="00283506"/>
    <w:rsid w:val="00283A43"/>
    <w:rsid w:val="002842BF"/>
    <w:rsid w:val="00284301"/>
    <w:rsid w:val="00284647"/>
    <w:rsid w:val="0028487B"/>
    <w:rsid w:val="002849EB"/>
    <w:rsid w:val="002859F4"/>
    <w:rsid w:val="00285A81"/>
    <w:rsid w:val="00285BDF"/>
    <w:rsid w:val="00285F61"/>
    <w:rsid w:val="002862E3"/>
    <w:rsid w:val="002868A8"/>
    <w:rsid w:val="0028701F"/>
    <w:rsid w:val="00287BB6"/>
    <w:rsid w:val="00287E12"/>
    <w:rsid w:val="00290DAB"/>
    <w:rsid w:val="00291042"/>
    <w:rsid w:val="00291C24"/>
    <w:rsid w:val="002922D9"/>
    <w:rsid w:val="00292441"/>
    <w:rsid w:val="00292F73"/>
    <w:rsid w:val="00293A07"/>
    <w:rsid w:val="002950BC"/>
    <w:rsid w:val="002958E2"/>
    <w:rsid w:val="00295CE8"/>
    <w:rsid w:val="002962B1"/>
    <w:rsid w:val="002965AD"/>
    <w:rsid w:val="00297B75"/>
    <w:rsid w:val="002A0C4E"/>
    <w:rsid w:val="002A15D6"/>
    <w:rsid w:val="002A1672"/>
    <w:rsid w:val="002A22D6"/>
    <w:rsid w:val="002A3505"/>
    <w:rsid w:val="002A3741"/>
    <w:rsid w:val="002A4AAB"/>
    <w:rsid w:val="002A5CB2"/>
    <w:rsid w:val="002A5E44"/>
    <w:rsid w:val="002A65E2"/>
    <w:rsid w:val="002A7BBC"/>
    <w:rsid w:val="002B00AE"/>
    <w:rsid w:val="002B12E2"/>
    <w:rsid w:val="002B1662"/>
    <w:rsid w:val="002B3F03"/>
    <w:rsid w:val="002B4148"/>
    <w:rsid w:val="002B469A"/>
    <w:rsid w:val="002B51EA"/>
    <w:rsid w:val="002B5C26"/>
    <w:rsid w:val="002B7974"/>
    <w:rsid w:val="002C0DD0"/>
    <w:rsid w:val="002C11C5"/>
    <w:rsid w:val="002C1AB9"/>
    <w:rsid w:val="002C2D6E"/>
    <w:rsid w:val="002C3042"/>
    <w:rsid w:val="002C33EB"/>
    <w:rsid w:val="002C363B"/>
    <w:rsid w:val="002C465A"/>
    <w:rsid w:val="002C666B"/>
    <w:rsid w:val="002C6C07"/>
    <w:rsid w:val="002C6E3F"/>
    <w:rsid w:val="002C7157"/>
    <w:rsid w:val="002D13DD"/>
    <w:rsid w:val="002D1777"/>
    <w:rsid w:val="002D2F30"/>
    <w:rsid w:val="002D47DE"/>
    <w:rsid w:val="002D54FF"/>
    <w:rsid w:val="002D5C40"/>
    <w:rsid w:val="002D61AB"/>
    <w:rsid w:val="002D7BB2"/>
    <w:rsid w:val="002E1F2C"/>
    <w:rsid w:val="002E273F"/>
    <w:rsid w:val="002E28E9"/>
    <w:rsid w:val="002E348F"/>
    <w:rsid w:val="002E36ED"/>
    <w:rsid w:val="002E466F"/>
    <w:rsid w:val="002E6BFE"/>
    <w:rsid w:val="002F1878"/>
    <w:rsid w:val="002F4310"/>
    <w:rsid w:val="002F4865"/>
    <w:rsid w:val="002F499D"/>
    <w:rsid w:val="002F654F"/>
    <w:rsid w:val="002F7B60"/>
    <w:rsid w:val="0030203A"/>
    <w:rsid w:val="00306A74"/>
    <w:rsid w:val="00311CEC"/>
    <w:rsid w:val="00313325"/>
    <w:rsid w:val="00313A4D"/>
    <w:rsid w:val="00313F34"/>
    <w:rsid w:val="00314DB9"/>
    <w:rsid w:val="0031707F"/>
    <w:rsid w:val="00321E2F"/>
    <w:rsid w:val="003246F2"/>
    <w:rsid w:val="00324865"/>
    <w:rsid w:val="00324B01"/>
    <w:rsid w:val="00324E36"/>
    <w:rsid w:val="0032557C"/>
    <w:rsid w:val="00326478"/>
    <w:rsid w:val="003266B9"/>
    <w:rsid w:val="0032788A"/>
    <w:rsid w:val="00331031"/>
    <w:rsid w:val="00331281"/>
    <w:rsid w:val="003333CF"/>
    <w:rsid w:val="003347D8"/>
    <w:rsid w:val="003347F8"/>
    <w:rsid w:val="003348AD"/>
    <w:rsid w:val="003350FF"/>
    <w:rsid w:val="0033575A"/>
    <w:rsid w:val="003359F2"/>
    <w:rsid w:val="00340374"/>
    <w:rsid w:val="003405B0"/>
    <w:rsid w:val="00340734"/>
    <w:rsid w:val="0034095A"/>
    <w:rsid w:val="00340B45"/>
    <w:rsid w:val="0034287E"/>
    <w:rsid w:val="00342E44"/>
    <w:rsid w:val="00343125"/>
    <w:rsid w:val="00343334"/>
    <w:rsid w:val="00346F10"/>
    <w:rsid w:val="00347DC8"/>
    <w:rsid w:val="00350642"/>
    <w:rsid w:val="0035087B"/>
    <w:rsid w:val="00352E5D"/>
    <w:rsid w:val="003538B4"/>
    <w:rsid w:val="00353D3F"/>
    <w:rsid w:val="003546A7"/>
    <w:rsid w:val="00354E41"/>
    <w:rsid w:val="00355F7D"/>
    <w:rsid w:val="00356C0C"/>
    <w:rsid w:val="00357A18"/>
    <w:rsid w:val="00357CAE"/>
    <w:rsid w:val="0036003D"/>
    <w:rsid w:val="003601EE"/>
    <w:rsid w:val="0036092F"/>
    <w:rsid w:val="0036212C"/>
    <w:rsid w:val="00364709"/>
    <w:rsid w:val="00365849"/>
    <w:rsid w:val="00365CEB"/>
    <w:rsid w:val="0036608F"/>
    <w:rsid w:val="00367761"/>
    <w:rsid w:val="00371061"/>
    <w:rsid w:val="003723EC"/>
    <w:rsid w:val="003725C2"/>
    <w:rsid w:val="00373228"/>
    <w:rsid w:val="0037398C"/>
    <w:rsid w:val="00373BCB"/>
    <w:rsid w:val="00373DDA"/>
    <w:rsid w:val="003751D4"/>
    <w:rsid w:val="003765C9"/>
    <w:rsid w:val="0037765F"/>
    <w:rsid w:val="0037789B"/>
    <w:rsid w:val="003805C3"/>
    <w:rsid w:val="003808DC"/>
    <w:rsid w:val="003812EE"/>
    <w:rsid w:val="00381353"/>
    <w:rsid w:val="003817D3"/>
    <w:rsid w:val="00381AD3"/>
    <w:rsid w:val="00382023"/>
    <w:rsid w:val="00382317"/>
    <w:rsid w:val="00382748"/>
    <w:rsid w:val="0038366B"/>
    <w:rsid w:val="00383E27"/>
    <w:rsid w:val="00384A33"/>
    <w:rsid w:val="00384F53"/>
    <w:rsid w:val="0038718B"/>
    <w:rsid w:val="00390037"/>
    <w:rsid w:val="003908CB"/>
    <w:rsid w:val="00390F51"/>
    <w:rsid w:val="00391805"/>
    <w:rsid w:val="00392780"/>
    <w:rsid w:val="003965DB"/>
    <w:rsid w:val="003966A4"/>
    <w:rsid w:val="00397EA7"/>
    <w:rsid w:val="003A131A"/>
    <w:rsid w:val="003A1873"/>
    <w:rsid w:val="003A22A1"/>
    <w:rsid w:val="003A3153"/>
    <w:rsid w:val="003A389D"/>
    <w:rsid w:val="003A4099"/>
    <w:rsid w:val="003A4572"/>
    <w:rsid w:val="003A48A3"/>
    <w:rsid w:val="003A4DEB"/>
    <w:rsid w:val="003A56B4"/>
    <w:rsid w:val="003A63A3"/>
    <w:rsid w:val="003A7CE9"/>
    <w:rsid w:val="003A7D94"/>
    <w:rsid w:val="003B074C"/>
    <w:rsid w:val="003B304F"/>
    <w:rsid w:val="003B36FD"/>
    <w:rsid w:val="003B52E3"/>
    <w:rsid w:val="003B6EB4"/>
    <w:rsid w:val="003C0A14"/>
    <w:rsid w:val="003C1256"/>
    <w:rsid w:val="003C1404"/>
    <w:rsid w:val="003C229B"/>
    <w:rsid w:val="003C2F63"/>
    <w:rsid w:val="003C4815"/>
    <w:rsid w:val="003C5D94"/>
    <w:rsid w:val="003C7A73"/>
    <w:rsid w:val="003D061C"/>
    <w:rsid w:val="003D16A0"/>
    <w:rsid w:val="003D1765"/>
    <w:rsid w:val="003D188B"/>
    <w:rsid w:val="003D2993"/>
    <w:rsid w:val="003D3B9A"/>
    <w:rsid w:val="003D42BA"/>
    <w:rsid w:val="003D4669"/>
    <w:rsid w:val="003D5E2A"/>
    <w:rsid w:val="003D6B57"/>
    <w:rsid w:val="003D6F48"/>
    <w:rsid w:val="003E0880"/>
    <w:rsid w:val="003E0893"/>
    <w:rsid w:val="003E0C00"/>
    <w:rsid w:val="003E3CBC"/>
    <w:rsid w:val="003E4724"/>
    <w:rsid w:val="003E5316"/>
    <w:rsid w:val="003E5B81"/>
    <w:rsid w:val="003E63DA"/>
    <w:rsid w:val="003E6E9A"/>
    <w:rsid w:val="003E7A91"/>
    <w:rsid w:val="003F0052"/>
    <w:rsid w:val="003F080A"/>
    <w:rsid w:val="003F2BA3"/>
    <w:rsid w:val="003F4609"/>
    <w:rsid w:val="003F47E7"/>
    <w:rsid w:val="003F4887"/>
    <w:rsid w:val="003F6718"/>
    <w:rsid w:val="003F7A91"/>
    <w:rsid w:val="00400ACB"/>
    <w:rsid w:val="004014AC"/>
    <w:rsid w:val="00401EA9"/>
    <w:rsid w:val="00402BA3"/>
    <w:rsid w:val="004041BB"/>
    <w:rsid w:val="0040556F"/>
    <w:rsid w:val="00405C57"/>
    <w:rsid w:val="0040634B"/>
    <w:rsid w:val="00406717"/>
    <w:rsid w:val="00406F15"/>
    <w:rsid w:val="00407DF5"/>
    <w:rsid w:val="004112B7"/>
    <w:rsid w:val="004113F2"/>
    <w:rsid w:val="0041189C"/>
    <w:rsid w:val="00412846"/>
    <w:rsid w:val="0041286B"/>
    <w:rsid w:val="00412E55"/>
    <w:rsid w:val="00412EDA"/>
    <w:rsid w:val="00413ED6"/>
    <w:rsid w:val="0041470D"/>
    <w:rsid w:val="00415306"/>
    <w:rsid w:val="004153E5"/>
    <w:rsid w:val="00416293"/>
    <w:rsid w:val="004165A5"/>
    <w:rsid w:val="004165E0"/>
    <w:rsid w:val="0042020F"/>
    <w:rsid w:val="004209AD"/>
    <w:rsid w:val="00420E26"/>
    <w:rsid w:val="00423265"/>
    <w:rsid w:val="00423AB0"/>
    <w:rsid w:val="004241CA"/>
    <w:rsid w:val="00424DB7"/>
    <w:rsid w:val="0042508B"/>
    <w:rsid w:val="004255AF"/>
    <w:rsid w:val="00425EF9"/>
    <w:rsid w:val="00426293"/>
    <w:rsid w:val="0043056E"/>
    <w:rsid w:val="004307C1"/>
    <w:rsid w:val="0043102C"/>
    <w:rsid w:val="00431770"/>
    <w:rsid w:val="00431D80"/>
    <w:rsid w:val="0043264C"/>
    <w:rsid w:val="00432EDE"/>
    <w:rsid w:val="00433361"/>
    <w:rsid w:val="00433970"/>
    <w:rsid w:val="004346A4"/>
    <w:rsid w:val="00434E74"/>
    <w:rsid w:val="00435970"/>
    <w:rsid w:val="004366AC"/>
    <w:rsid w:val="00436879"/>
    <w:rsid w:val="00437C0C"/>
    <w:rsid w:val="00437DC8"/>
    <w:rsid w:val="00440935"/>
    <w:rsid w:val="0044137D"/>
    <w:rsid w:val="00441DE0"/>
    <w:rsid w:val="004428F8"/>
    <w:rsid w:val="004438EC"/>
    <w:rsid w:val="00445686"/>
    <w:rsid w:val="00446471"/>
    <w:rsid w:val="004470BD"/>
    <w:rsid w:val="00447425"/>
    <w:rsid w:val="00447F68"/>
    <w:rsid w:val="004508EB"/>
    <w:rsid w:val="004515F1"/>
    <w:rsid w:val="00453947"/>
    <w:rsid w:val="00456A2C"/>
    <w:rsid w:val="00457B50"/>
    <w:rsid w:val="00460668"/>
    <w:rsid w:val="004611C1"/>
    <w:rsid w:val="00462B72"/>
    <w:rsid w:val="00465AF5"/>
    <w:rsid w:val="004661B0"/>
    <w:rsid w:val="00466FEA"/>
    <w:rsid w:val="004702BD"/>
    <w:rsid w:val="00470775"/>
    <w:rsid w:val="0047091D"/>
    <w:rsid w:val="00472D5C"/>
    <w:rsid w:val="00473031"/>
    <w:rsid w:val="00473A7F"/>
    <w:rsid w:val="0047596E"/>
    <w:rsid w:val="00476409"/>
    <w:rsid w:val="00477865"/>
    <w:rsid w:val="00480F9B"/>
    <w:rsid w:val="00482A44"/>
    <w:rsid w:val="004838AA"/>
    <w:rsid w:val="00484599"/>
    <w:rsid w:val="004851C5"/>
    <w:rsid w:val="00485335"/>
    <w:rsid w:val="00485F0D"/>
    <w:rsid w:val="00486155"/>
    <w:rsid w:val="00487EFD"/>
    <w:rsid w:val="004911DC"/>
    <w:rsid w:val="004920BD"/>
    <w:rsid w:val="004944B6"/>
    <w:rsid w:val="00494A80"/>
    <w:rsid w:val="004A3B8B"/>
    <w:rsid w:val="004A4630"/>
    <w:rsid w:val="004A4CC2"/>
    <w:rsid w:val="004A5AEC"/>
    <w:rsid w:val="004A7952"/>
    <w:rsid w:val="004A7AFF"/>
    <w:rsid w:val="004B1465"/>
    <w:rsid w:val="004B268D"/>
    <w:rsid w:val="004B5555"/>
    <w:rsid w:val="004B6A9B"/>
    <w:rsid w:val="004C0A57"/>
    <w:rsid w:val="004C159B"/>
    <w:rsid w:val="004C1CEC"/>
    <w:rsid w:val="004C4320"/>
    <w:rsid w:val="004C5584"/>
    <w:rsid w:val="004C6B9E"/>
    <w:rsid w:val="004C6C6E"/>
    <w:rsid w:val="004C780E"/>
    <w:rsid w:val="004D090D"/>
    <w:rsid w:val="004D14D8"/>
    <w:rsid w:val="004D2C1C"/>
    <w:rsid w:val="004D3D91"/>
    <w:rsid w:val="004D4549"/>
    <w:rsid w:val="004D5ACE"/>
    <w:rsid w:val="004D5BB9"/>
    <w:rsid w:val="004D7834"/>
    <w:rsid w:val="004D7BF8"/>
    <w:rsid w:val="004E01E1"/>
    <w:rsid w:val="004E0B7A"/>
    <w:rsid w:val="004E0B8E"/>
    <w:rsid w:val="004E1894"/>
    <w:rsid w:val="004E28E8"/>
    <w:rsid w:val="004E2CF6"/>
    <w:rsid w:val="004E3BBF"/>
    <w:rsid w:val="004E4CC2"/>
    <w:rsid w:val="004E518C"/>
    <w:rsid w:val="004E6F94"/>
    <w:rsid w:val="004E7578"/>
    <w:rsid w:val="004F0107"/>
    <w:rsid w:val="004F1699"/>
    <w:rsid w:val="004F17FB"/>
    <w:rsid w:val="004F3090"/>
    <w:rsid w:val="004F4346"/>
    <w:rsid w:val="004F489A"/>
    <w:rsid w:val="004F4A39"/>
    <w:rsid w:val="004F4D75"/>
    <w:rsid w:val="004F5F21"/>
    <w:rsid w:val="004F66D0"/>
    <w:rsid w:val="004F6747"/>
    <w:rsid w:val="00500332"/>
    <w:rsid w:val="00500F88"/>
    <w:rsid w:val="00504154"/>
    <w:rsid w:val="00504223"/>
    <w:rsid w:val="0050477B"/>
    <w:rsid w:val="005057CC"/>
    <w:rsid w:val="00505858"/>
    <w:rsid w:val="00505A9A"/>
    <w:rsid w:val="00505F80"/>
    <w:rsid w:val="00506735"/>
    <w:rsid w:val="005069A5"/>
    <w:rsid w:val="00507E86"/>
    <w:rsid w:val="0051089D"/>
    <w:rsid w:val="005115F3"/>
    <w:rsid w:val="00512BF2"/>
    <w:rsid w:val="00513834"/>
    <w:rsid w:val="00514908"/>
    <w:rsid w:val="00514A6D"/>
    <w:rsid w:val="00515EB7"/>
    <w:rsid w:val="00520518"/>
    <w:rsid w:val="005208EB"/>
    <w:rsid w:val="005209D7"/>
    <w:rsid w:val="00520CD4"/>
    <w:rsid w:val="0052205A"/>
    <w:rsid w:val="00523D1E"/>
    <w:rsid w:val="0052537E"/>
    <w:rsid w:val="00525F48"/>
    <w:rsid w:val="0052611C"/>
    <w:rsid w:val="005261F1"/>
    <w:rsid w:val="00526784"/>
    <w:rsid w:val="00526E2C"/>
    <w:rsid w:val="00527268"/>
    <w:rsid w:val="00527CD2"/>
    <w:rsid w:val="00531527"/>
    <w:rsid w:val="005316B6"/>
    <w:rsid w:val="00533FFC"/>
    <w:rsid w:val="0053539D"/>
    <w:rsid w:val="005361E0"/>
    <w:rsid w:val="005378EF"/>
    <w:rsid w:val="00540570"/>
    <w:rsid w:val="005437CF"/>
    <w:rsid w:val="0054482C"/>
    <w:rsid w:val="00547B5A"/>
    <w:rsid w:val="00550282"/>
    <w:rsid w:val="0055130D"/>
    <w:rsid w:val="005550DD"/>
    <w:rsid w:val="00555359"/>
    <w:rsid w:val="005575BA"/>
    <w:rsid w:val="00557DC5"/>
    <w:rsid w:val="00560C5B"/>
    <w:rsid w:val="00560F77"/>
    <w:rsid w:val="00561EA3"/>
    <w:rsid w:val="005624A0"/>
    <w:rsid w:val="005634AE"/>
    <w:rsid w:val="005635C8"/>
    <w:rsid w:val="00564B12"/>
    <w:rsid w:val="0056550D"/>
    <w:rsid w:val="005659AC"/>
    <w:rsid w:val="00566122"/>
    <w:rsid w:val="005665E1"/>
    <w:rsid w:val="00567592"/>
    <w:rsid w:val="00567730"/>
    <w:rsid w:val="00567B55"/>
    <w:rsid w:val="005701BB"/>
    <w:rsid w:val="005709B5"/>
    <w:rsid w:val="00570BB9"/>
    <w:rsid w:val="005712A8"/>
    <w:rsid w:val="00572418"/>
    <w:rsid w:val="00572A77"/>
    <w:rsid w:val="00573BE5"/>
    <w:rsid w:val="00574301"/>
    <w:rsid w:val="00574806"/>
    <w:rsid w:val="005752A3"/>
    <w:rsid w:val="00575CB7"/>
    <w:rsid w:val="00580F55"/>
    <w:rsid w:val="0058146F"/>
    <w:rsid w:val="00583F70"/>
    <w:rsid w:val="00584D05"/>
    <w:rsid w:val="0058523D"/>
    <w:rsid w:val="00586934"/>
    <w:rsid w:val="00587C00"/>
    <w:rsid w:val="00587E4F"/>
    <w:rsid w:val="0059033F"/>
    <w:rsid w:val="00591754"/>
    <w:rsid w:val="00591BBD"/>
    <w:rsid w:val="0059449D"/>
    <w:rsid w:val="00597E4B"/>
    <w:rsid w:val="005A1260"/>
    <w:rsid w:val="005A2328"/>
    <w:rsid w:val="005A2FA1"/>
    <w:rsid w:val="005A3014"/>
    <w:rsid w:val="005A35B6"/>
    <w:rsid w:val="005A4232"/>
    <w:rsid w:val="005A50A0"/>
    <w:rsid w:val="005A57A2"/>
    <w:rsid w:val="005A6740"/>
    <w:rsid w:val="005A6767"/>
    <w:rsid w:val="005A77C9"/>
    <w:rsid w:val="005A7A37"/>
    <w:rsid w:val="005B016E"/>
    <w:rsid w:val="005B03C3"/>
    <w:rsid w:val="005B0807"/>
    <w:rsid w:val="005B0C96"/>
    <w:rsid w:val="005B1244"/>
    <w:rsid w:val="005B214B"/>
    <w:rsid w:val="005B2CA3"/>
    <w:rsid w:val="005B3314"/>
    <w:rsid w:val="005B3467"/>
    <w:rsid w:val="005B5AF6"/>
    <w:rsid w:val="005B61FE"/>
    <w:rsid w:val="005B6687"/>
    <w:rsid w:val="005C09B3"/>
    <w:rsid w:val="005C0D7E"/>
    <w:rsid w:val="005C0DE7"/>
    <w:rsid w:val="005C0F07"/>
    <w:rsid w:val="005C177B"/>
    <w:rsid w:val="005C1CA1"/>
    <w:rsid w:val="005C2DE6"/>
    <w:rsid w:val="005C3E05"/>
    <w:rsid w:val="005C4EBF"/>
    <w:rsid w:val="005C5098"/>
    <w:rsid w:val="005C58EB"/>
    <w:rsid w:val="005C5977"/>
    <w:rsid w:val="005C7ED7"/>
    <w:rsid w:val="005D01A4"/>
    <w:rsid w:val="005D088D"/>
    <w:rsid w:val="005D0D39"/>
    <w:rsid w:val="005D1A7D"/>
    <w:rsid w:val="005D1D9B"/>
    <w:rsid w:val="005D1F21"/>
    <w:rsid w:val="005D392F"/>
    <w:rsid w:val="005D57AA"/>
    <w:rsid w:val="005D5D39"/>
    <w:rsid w:val="005D78A2"/>
    <w:rsid w:val="005E1C52"/>
    <w:rsid w:val="005E2E68"/>
    <w:rsid w:val="005E33D2"/>
    <w:rsid w:val="005E41E1"/>
    <w:rsid w:val="005E4442"/>
    <w:rsid w:val="005E4BD2"/>
    <w:rsid w:val="005E501E"/>
    <w:rsid w:val="005E50F3"/>
    <w:rsid w:val="005E5490"/>
    <w:rsid w:val="005E5F00"/>
    <w:rsid w:val="005F2D4C"/>
    <w:rsid w:val="005F31D5"/>
    <w:rsid w:val="005F37D4"/>
    <w:rsid w:val="005F42D2"/>
    <w:rsid w:val="005F4DD9"/>
    <w:rsid w:val="005F51F9"/>
    <w:rsid w:val="005F554A"/>
    <w:rsid w:val="005F67E2"/>
    <w:rsid w:val="006020D9"/>
    <w:rsid w:val="0060267A"/>
    <w:rsid w:val="006030D6"/>
    <w:rsid w:val="00603705"/>
    <w:rsid w:val="006043A4"/>
    <w:rsid w:val="00605007"/>
    <w:rsid w:val="0060594A"/>
    <w:rsid w:val="006105B3"/>
    <w:rsid w:val="006119B8"/>
    <w:rsid w:val="00613E21"/>
    <w:rsid w:val="00614CD3"/>
    <w:rsid w:val="0061627F"/>
    <w:rsid w:val="00616BF1"/>
    <w:rsid w:val="0062043A"/>
    <w:rsid w:val="00620808"/>
    <w:rsid w:val="006209D6"/>
    <w:rsid w:val="006217E3"/>
    <w:rsid w:val="00621A67"/>
    <w:rsid w:val="00621EDB"/>
    <w:rsid w:val="00622F37"/>
    <w:rsid w:val="006232A3"/>
    <w:rsid w:val="006240A6"/>
    <w:rsid w:val="006242DF"/>
    <w:rsid w:val="0062497C"/>
    <w:rsid w:val="00624EB7"/>
    <w:rsid w:val="0062600E"/>
    <w:rsid w:val="00626EC9"/>
    <w:rsid w:val="006365C2"/>
    <w:rsid w:val="00636643"/>
    <w:rsid w:val="006374CD"/>
    <w:rsid w:val="00637F16"/>
    <w:rsid w:val="00640570"/>
    <w:rsid w:val="00640CB0"/>
    <w:rsid w:val="00641143"/>
    <w:rsid w:val="0064267E"/>
    <w:rsid w:val="006430FF"/>
    <w:rsid w:val="0064347A"/>
    <w:rsid w:val="00643967"/>
    <w:rsid w:val="0064721C"/>
    <w:rsid w:val="00647882"/>
    <w:rsid w:val="00647DA8"/>
    <w:rsid w:val="00647F9D"/>
    <w:rsid w:val="006502AB"/>
    <w:rsid w:val="00650F32"/>
    <w:rsid w:val="00651177"/>
    <w:rsid w:val="0065343A"/>
    <w:rsid w:val="00653A2A"/>
    <w:rsid w:val="00653B74"/>
    <w:rsid w:val="006569FD"/>
    <w:rsid w:val="0066096D"/>
    <w:rsid w:val="0066100B"/>
    <w:rsid w:val="0066219C"/>
    <w:rsid w:val="00663D25"/>
    <w:rsid w:val="0066654B"/>
    <w:rsid w:val="00666B1D"/>
    <w:rsid w:val="006672FF"/>
    <w:rsid w:val="00671816"/>
    <w:rsid w:val="006724CA"/>
    <w:rsid w:val="006727E9"/>
    <w:rsid w:val="006746CD"/>
    <w:rsid w:val="00674DB1"/>
    <w:rsid w:val="00677156"/>
    <w:rsid w:val="006779A1"/>
    <w:rsid w:val="006807B3"/>
    <w:rsid w:val="006813A4"/>
    <w:rsid w:val="00681F77"/>
    <w:rsid w:val="006823B3"/>
    <w:rsid w:val="00682BA0"/>
    <w:rsid w:val="00682E7A"/>
    <w:rsid w:val="0068368F"/>
    <w:rsid w:val="0068390A"/>
    <w:rsid w:val="00684D30"/>
    <w:rsid w:val="0068528A"/>
    <w:rsid w:val="006855D3"/>
    <w:rsid w:val="00685D06"/>
    <w:rsid w:val="00686202"/>
    <w:rsid w:val="00690243"/>
    <w:rsid w:val="00690709"/>
    <w:rsid w:val="0069139A"/>
    <w:rsid w:val="006917A7"/>
    <w:rsid w:val="00691862"/>
    <w:rsid w:val="0069219F"/>
    <w:rsid w:val="006944EB"/>
    <w:rsid w:val="00694C2D"/>
    <w:rsid w:val="006954C4"/>
    <w:rsid w:val="006A00B7"/>
    <w:rsid w:val="006A0563"/>
    <w:rsid w:val="006A134B"/>
    <w:rsid w:val="006A1B12"/>
    <w:rsid w:val="006A229F"/>
    <w:rsid w:val="006A34AC"/>
    <w:rsid w:val="006A46A7"/>
    <w:rsid w:val="006A4D18"/>
    <w:rsid w:val="006A4F09"/>
    <w:rsid w:val="006A50E4"/>
    <w:rsid w:val="006A5C66"/>
    <w:rsid w:val="006A7371"/>
    <w:rsid w:val="006B34C9"/>
    <w:rsid w:val="006B399A"/>
    <w:rsid w:val="006B4795"/>
    <w:rsid w:val="006B5791"/>
    <w:rsid w:val="006B60A2"/>
    <w:rsid w:val="006B6798"/>
    <w:rsid w:val="006B77BE"/>
    <w:rsid w:val="006B7B54"/>
    <w:rsid w:val="006C06AF"/>
    <w:rsid w:val="006C0F76"/>
    <w:rsid w:val="006C1340"/>
    <w:rsid w:val="006C23C2"/>
    <w:rsid w:val="006C33AC"/>
    <w:rsid w:val="006C4B1F"/>
    <w:rsid w:val="006C5C39"/>
    <w:rsid w:val="006C6FBB"/>
    <w:rsid w:val="006C723E"/>
    <w:rsid w:val="006C7B71"/>
    <w:rsid w:val="006D01E3"/>
    <w:rsid w:val="006D3A6D"/>
    <w:rsid w:val="006D46C6"/>
    <w:rsid w:val="006D4F91"/>
    <w:rsid w:val="006D5556"/>
    <w:rsid w:val="006D6DB3"/>
    <w:rsid w:val="006D7238"/>
    <w:rsid w:val="006E0419"/>
    <w:rsid w:val="006E0CF5"/>
    <w:rsid w:val="006E15B5"/>
    <w:rsid w:val="006E18EB"/>
    <w:rsid w:val="006E1C31"/>
    <w:rsid w:val="006E31A3"/>
    <w:rsid w:val="006E45CC"/>
    <w:rsid w:val="006E52E1"/>
    <w:rsid w:val="006E5C6C"/>
    <w:rsid w:val="006E63DE"/>
    <w:rsid w:val="006E6A42"/>
    <w:rsid w:val="006E70D1"/>
    <w:rsid w:val="006F04D9"/>
    <w:rsid w:val="006F07FA"/>
    <w:rsid w:val="006F0FBF"/>
    <w:rsid w:val="006F137B"/>
    <w:rsid w:val="006F1B2E"/>
    <w:rsid w:val="006F1DC1"/>
    <w:rsid w:val="006F2292"/>
    <w:rsid w:val="006F31D7"/>
    <w:rsid w:val="006F3670"/>
    <w:rsid w:val="006F3932"/>
    <w:rsid w:val="006F3B2C"/>
    <w:rsid w:val="006F48D3"/>
    <w:rsid w:val="006F4901"/>
    <w:rsid w:val="006F617A"/>
    <w:rsid w:val="006F6BD6"/>
    <w:rsid w:val="006F6D52"/>
    <w:rsid w:val="007001BB"/>
    <w:rsid w:val="0070184C"/>
    <w:rsid w:val="007028E7"/>
    <w:rsid w:val="007039B7"/>
    <w:rsid w:val="00703CAD"/>
    <w:rsid w:val="0070401B"/>
    <w:rsid w:val="00704082"/>
    <w:rsid w:val="00705371"/>
    <w:rsid w:val="007077DC"/>
    <w:rsid w:val="00707DAE"/>
    <w:rsid w:val="00710C2B"/>
    <w:rsid w:val="00712FDD"/>
    <w:rsid w:val="00713384"/>
    <w:rsid w:val="00713D73"/>
    <w:rsid w:val="007141E1"/>
    <w:rsid w:val="00714F31"/>
    <w:rsid w:val="0071593B"/>
    <w:rsid w:val="007219F6"/>
    <w:rsid w:val="00722046"/>
    <w:rsid w:val="00722CFC"/>
    <w:rsid w:val="0072440A"/>
    <w:rsid w:val="00724504"/>
    <w:rsid w:val="007247EB"/>
    <w:rsid w:val="007257D4"/>
    <w:rsid w:val="00725A64"/>
    <w:rsid w:val="00725BA5"/>
    <w:rsid w:val="00726485"/>
    <w:rsid w:val="00726F2B"/>
    <w:rsid w:val="00732F1A"/>
    <w:rsid w:val="00733151"/>
    <w:rsid w:val="00733AC8"/>
    <w:rsid w:val="00734A87"/>
    <w:rsid w:val="00734CF6"/>
    <w:rsid w:val="00735189"/>
    <w:rsid w:val="007360FB"/>
    <w:rsid w:val="007369A0"/>
    <w:rsid w:val="00740E6A"/>
    <w:rsid w:val="007413D9"/>
    <w:rsid w:val="0074150C"/>
    <w:rsid w:val="00742024"/>
    <w:rsid w:val="007434B4"/>
    <w:rsid w:val="00744360"/>
    <w:rsid w:val="007455AC"/>
    <w:rsid w:val="00745685"/>
    <w:rsid w:val="0074593E"/>
    <w:rsid w:val="007460BC"/>
    <w:rsid w:val="00746586"/>
    <w:rsid w:val="00747190"/>
    <w:rsid w:val="00747779"/>
    <w:rsid w:val="00747DDA"/>
    <w:rsid w:val="00747F03"/>
    <w:rsid w:val="00750446"/>
    <w:rsid w:val="00751132"/>
    <w:rsid w:val="00751F7C"/>
    <w:rsid w:val="00753FAF"/>
    <w:rsid w:val="00755F77"/>
    <w:rsid w:val="007567BC"/>
    <w:rsid w:val="007568EE"/>
    <w:rsid w:val="007601F3"/>
    <w:rsid w:val="007606C3"/>
    <w:rsid w:val="00760E64"/>
    <w:rsid w:val="007611A9"/>
    <w:rsid w:val="00761C5D"/>
    <w:rsid w:val="00761F02"/>
    <w:rsid w:val="0076488F"/>
    <w:rsid w:val="00765AED"/>
    <w:rsid w:val="0076675E"/>
    <w:rsid w:val="0076684A"/>
    <w:rsid w:val="00767220"/>
    <w:rsid w:val="00771449"/>
    <w:rsid w:val="00771DE6"/>
    <w:rsid w:val="007723AB"/>
    <w:rsid w:val="0077273F"/>
    <w:rsid w:val="0077276B"/>
    <w:rsid w:val="007741AD"/>
    <w:rsid w:val="00774632"/>
    <w:rsid w:val="00775065"/>
    <w:rsid w:val="00777B6C"/>
    <w:rsid w:val="00780CB0"/>
    <w:rsid w:val="007847B2"/>
    <w:rsid w:val="00785952"/>
    <w:rsid w:val="00786755"/>
    <w:rsid w:val="00787111"/>
    <w:rsid w:val="00787136"/>
    <w:rsid w:val="0078751B"/>
    <w:rsid w:val="00787713"/>
    <w:rsid w:val="00787B90"/>
    <w:rsid w:val="007928E2"/>
    <w:rsid w:val="007936B7"/>
    <w:rsid w:val="007938A2"/>
    <w:rsid w:val="00793C99"/>
    <w:rsid w:val="007946C7"/>
    <w:rsid w:val="007948EB"/>
    <w:rsid w:val="0079531F"/>
    <w:rsid w:val="00795D1A"/>
    <w:rsid w:val="007972B8"/>
    <w:rsid w:val="00797518"/>
    <w:rsid w:val="007975C6"/>
    <w:rsid w:val="007A229D"/>
    <w:rsid w:val="007A32D4"/>
    <w:rsid w:val="007A33DB"/>
    <w:rsid w:val="007A3ABD"/>
    <w:rsid w:val="007A4B56"/>
    <w:rsid w:val="007A54CF"/>
    <w:rsid w:val="007A5DDD"/>
    <w:rsid w:val="007A69F1"/>
    <w:rsid w:val="007A6B90"/>
    <w:rsid w:val="007B00EC"/>
    <w:rsid w:val="007B0338"/>
    <w:rsid w:val="007B0520"/>
    <w:rsid w:val="007B2232"/>
    <w:rsid w:val="007B4A00"/>
    <w:rsid w:val="007B644C"/>
    <w:rsid w:val="007B65F8"/>
    <w:rsid w:val="007C0C56"/>
    <w:rsid w:val="007C2C9D"/>
    <w:rsid w:val="007C302F"/>
    <w:rsid w:val="007C5299"/>
    <w:rsid w:val="007C5C1F"/>
    <w:rsid w:val="007C5F6A"/>
    <w:rsid w:val="007C6ED7"/>
    <w:rsid w:val="007C76F3"/>
    <w:rsid w:val="007D0885"/>
    <w:rsid w:val="007D1565"/>
    <w:rsid w:val="007D23C8"/>
    <w:rsid w:val="007D348B"/>
    <w:rsid w:val="007D3A8A"/>
    <w:rsid w:val="007D405F"/>
    <w:rsid w:val="007D460B"/>
    <w:rsid w:val="007D4EAE"/>
    <w:rsid w:val="007D57AF"/>
    <w:rsid w:val="007D5C23"/>
    <w:rsid w:val="007D6E84"/>
    <w:rsid w:val="007D71A8"/>
    <w:rsid w:val="007D7812"/>
    <w:rsid w:val="007E0993"/>
    <w:rsid w:val="007E1305"/>
    <w:rsid w:val="007E1DC0"/>
    <w:rsid w:val="007E256E"/>
    <w:rsid w:val="007E2C2B"/>
    <w:rsid w:val="007E2F36"/>
    <w:rsid w:val="007E3355"/>
    <w:rsid w:val="007E4784"/>
    <w:rsid w:val="007E484A"/>
    <w:rsid w:val="007E4969"/>
    <w:rsid w:val="007E5152"/>
    <w:rsid w:val="007E5BC4"/>
    <w:rsid w:val="007F589A"/>
    <w:rsid w:val="007F5A41"/>
    <w:rsid w:val="007F5C7E"/>
    <w:rsid w:val="007F5C8A"/>
    <w:rsid w:val="007F6ECA"/>
    <w:rsid w:val="00801B24"/>
    <w:rsid w:val="008022FA"/>
    <w:rsid w:val="00802842"/>
    <w:rsid w:val="008029A3"/>
    <w:rsid w:val="00802D88"/>
    <w:rsid w:val="008041E9"/>
    <w:rsid w:val="00804342"/>
    <w:rsid w:val="0080530F"/>
    <w:rsid w:val="00805524"/>
    <w:rsid w:val="00805B8A"/>
    <w:rsid w:val="00805E68"/>
    <w:rsid w:val="00807280"/>
    <w:rsid w:val="00807527"/>
    <w:rsid w:val="008100B3"/>
    <w:rsid w:val="00811559"/>
    <w:rsid w:val="008137E0"/>
    <w:rsid w:val="00814617"/>
    <w:rsid w:val="00814F1A"/>
    <w:rsid w:val="008168BB"/>
    <w:rsid w:val="008171F2"/>
    <w:rsid w:val="008205E0"/>
    <w:rsid w:val="00820C24"/>
    <w:rsid w:val="00821980"/>
    <w:rsid w:val="0082253F"/>
    <w:rsid w:val="00823B5F"/>
    <w:rsid w:val="00824B7E"/>
    <w:rsid w:val="00826848"/>
    <w:rsid w:val="00826A07"/>
    <w:rsid w:val="00826FDC"/>
    <w:rsid w:val="008327F1"/>
    <w:rsid w:val="0083358D"/>
    <w:rsid w:val="00833685"/>
    <w:rsid w:val="008348A7"/>
    <w:rsid w:val="00834DF7"/>
    <w:rsid w:val="008368A0"/>
    <w:rsid w:val="00837704"/>
    <w:rsid w:val="008400EE"/>
    <w:rsid w:val="00840AB2"/>
    <w:rsid w:val="008417A5"/>
    <w:rsid w:val="00842D56"/>
    <w:rsid w:val="00844573"/>
    <w:rsid w:val="00844C56"/>
    <w:rsid w:val="00845C17"/>
    <w:rsid w:val="00846C2C"/>
    <w:rsid w:val="0085129C"/>
    <w:rsid w:val="00852675"/>
    <w:rsid w:val="00852853"/>
    <w:rsid w:val="00853251"/>
    <w:rsid w:val="00854301"/>
    <w:rsid w:val="008558C2"/>
    <w:rsid w:val="008570AA"/>
    <w:rsid w:val="00860E07"/>
    <w:rsid w:val="008613AD"/>
    <w:rsid w:val="0086223C"/>
    <w:rsid w:val="00862AC9"/>
    <w:rsid w:val="00862E2B"/>
    <w:rsid w:val="00863896"/>
    <w:rsid w:val="00863AFA"/>
    <w:rsid w:val="00865FC0"/>
    <w:rsid w:val="00865FEB"/>
    <w:rsid w:val="0086659F"/>
    <w:rsid w:val="00866B3B"/>
    <w:rsid w:val="008706F9"/>
    <w:rsid w:val="00871BBB"/>
    <w:rsid w:val="00873CDE"/>
    <w:rsid w:val="00874C18"/>
    <w:rsid w:val="00875458"/>
    <w:rsid w:val="00875A3A"/>
    <w:rsid w:val="00876925"/>
    <w:rsid w:val="00877941"/>
    <w:rsid w:val="0088016F"/>
    <w:rsid w:val="00880359"/>
    <w:rsid w:val="0088062D"/>
    <w:rsid w:val="00880C22"/>
    <w:rsid w:val="00881408"/>
    <w:rsid w:val="0088206F"/>
    <w:rsid w:val="008821CE"/>
    <w:rsid w:val="00882419"/>
    <w:rsid w:val="008828A3"/>
    <w:rsid w:val="00882F88"/>
    <w:rsid w:val="008836B3"/>
    <w:rsid w:val="00883835"/>
    <w:rsid w:val="00884527"/>
    <w:rsid w:val="00885429"/>
    <w:rsid w:val="00886054"/>
    <w:rsid w:val="008862FF"/>
    <w:rsid w:val="00886FAE"/>
    <w:rsid w:val="00887570"/>
    <w:rsid w:val="0088767A"/>
    <w:rsid w:val="00892D2C"/>
    <w:rsid w:val="00893531"/>
    <w:rsid w:val="008952DA"/>
    <w:rsid w:val="00895D20"/>
    <w:rsid w:val="008961A9"/>
    <w:rsid w:val="00897720"/>
    <w:rsid w:val="008978AE"/>
    <w:rsid w:val="008A0865"/>
    <w:rsid w:val="008A1CC1"/>
    <w:rsid w:val="008A1E03"/>
    <w:rsid w:val="008A400C"/>
    <w:rsid w:val="008A4564"/>
    <w:rsid w:val="008A64F6"/>
    <w:rsid w:val="008A664A"/>
    <w:rsid w:val="008A6C2A"/>
    <w:rsid w:val="008A75A2"/>
    <w:rsid w:val="008B064A"/>
    <w:rsid w:val="008B35FF"/>
    <w:rsid w:val="008B3914"/>
    <w:rsid w:val="008B3B34"/>
    <w:rsid w:val="008B4ECD"/>
    <w:rsid w:val="008B685F"/>
    <w:rsid w:val="008B7C50"/>
    <w:rsid w:val="008B7C74"/>
    <w:rsid w:val="008B7E9E"/>
    <w:rsid w:val="008C008E"/>
    <w:rsid w:val="008C2834"/>
    <w:rsid w:val="008C29DE"/>
    <w:rsid w:val="008C2DE1"/>
    <w:rsid w:val="008C3A07"/>
    <w:rsid w:val="008C41AF"/>
    <w:rsid w:val="008C47C2"/>
    <w:rsid w:val="008C59E1"/>
    <w:rsid w:val="008D0C02"/>
    <w:rsid w:val="008D201F"/>
    <w:rsid w:val="008D3FC4"/>
    <w:rsid w:val="008D499A"/>
    <w:rsid w:val="008D4A08"/>
    <w:rsid w:val="008D5A64"/>
    <w:rsid w:val="008D63C6"/>
    <w:rsid w:val="008D71E1"/>
    <w:rsid w:val="008E1B2E"/>
    <w:rsid w:val="008E2E02"/>
    <w:rsid w:val="008E3392"/>
    <w:rsid w:val="008E3C1A"/>
    <w:rsid w:val="008E4ED5"/>
    <w:rsid w:val="008E6DFB"/>
    <w:rsid w:val="008F1C57"/>
    <w:rsid w:val="008F587E"/>
    <w:rsid w:val="008F63FC"/>
    <w:rsid w:val="008F6500"/>
    <w:rsid w:val="008F73EE"/>
    <w:rsid w:val="00901406"/>
    <w:rsid w:val="00901880"/>
    <w:rsid w:val="00901F5B"/>
    <w:rsid w:val="0090312E"/>
    <w:rsid w:val="00903231"/>
    <w:rsid w:val="0090323D"/>
    <w:rsid w:val="0090365C"/>
    <w:rsid w:val="009040DE"/>
    <w:rsid w:val="00904101"/>
    <w:rsid w:val="00904162"/>
    <w:rsid w:val="00904FDD"/>
    <w:rsid w:val="009055CB"/>
    <w:rsid w:val="009069C0"/>
    <w:rsid w:val="0090766C"/>
    <w:rsid w:val="009104BE"/>
    <w:rsid w:val="00910FB9"/>
    <w:rsid w:val="0091102F"/>
    <w:rsid w:val="009130C4"/>
    <w:rsid w:val="009138A1"/>
    <w:rsid w:val="00913D07"/>
    <w:rsid w:val="00914055"/>
    <w:rsid w:val="00915C2A"/>
    <w:rsid w:val="00916580"/>
    <w:rsid w:val="0091715D"/>
    <w:rsid w:val="009179EE"/>
    <w:rsid w:val="00917B30"/>
    <w:rsid w:val="00921556"/>
    <w:rsid w:val="0092181D"/>
    <w:rsid w:val="009220E1"/>
    <w:rsid w:val="009226FF"/>
    <w:rsid w:val="00922BF1"/>
    <w:rsid w:val="00922DDF"/>
    <w:rsid w:val="0092412A"/>
    <w:rsid w:val="0092516A"/>
    <w:rsid w:val="009258D3"/>
    <w:rsid w:val="00926E98"/>
    <w:rsid w:val="0093049E"/>
    <w:rsid w:val="00932D24"/>
    <w:rsid w:val="0093449D"/>
    <w:rsid w:val="0093744F"/>
    <w:rsid w:val="009413A9"/>
    <w:rsid w:val="009438E2"/>
    <w:rsid w:val="00943F2F"/>
    <w:rsid w:val="009440E8"/>
    <w:rsid w:val="0094476B"/>
    <w:rsid w:val="00944F45"/>
    <w:rsid w:val="00945FCD"/>
    <w:rsid w:val="009471C8"/>
    <w:rsid w:val="00950768"/>
    <w:rsid w:val="00951E05"/>
    <w:rsid w:val="009523BC"/>
    <w:rsid w:val="0095283A"/>
    <w:rsid w:val="009530CA"/>
    <w:rsid w:val="00953295"/>
    <w:rsid w:val="009533D4"/>
    <w:rsid w:val="009536C0"/>
    <w:rsid w:val="00955A0A"/>
    <w:rsid w:val="00956792"/>
    <w:rsid w:val="009575AE"/>
    <w:rsid w:val="00957733"/>
    <w:rsid w:val="0096037C"/>
    <w:rsid w:val="009605C3"/>
    <w:rsid w:val="00960AEF"/>
    <w:rsid w:val="00964404"/>
    <w:rsid w:val="009663CE"/>
    <w:rsid w:val="00966666"/>
    <w:rsid w:val="00966A87"/>
    <w:rsid w:val="00967B29"/>
    <w:rsid w:val="00967EB5"/>
    <w:rsid w:val="0097053B"/>
    <w:rsid w:val="00970885"/>
    <w:rsid w:val="009716E8"/>
    <w:rsid w:val="00974D37"/>
    <w:rsid w:val="00974E44"/>
    <w:rsid w:val="009764A4"/>
    <w:rsid w:val="009771AA"/>
    <w:rsid w:val="0098151F"/>
    <w:rsid w:val="009822D7"/>
    <w:rsid w:val="009822F0"/>
    <w:rsid w:val="00983A67"/>
    <w:rsid w:val="00983E55"/>
    <w:rsid w:val="009864CF"/>
    <w:rsid w:val="009868D4"/>
    <w:rsid w:val="0099031D"/>
    <w:rsid w:val="00991EB4"/>
    <w:rsid w:val="009928A8"/>
    <w:rsid w:val="00992BAF"/>
    <w:rsid w:val="00992F43"/>
    <w:rsid w:val="00993871"/>
    <w:rsid w:val="00994C2B"/>
    <w:rsid w:val="00994DAF"/>
    <w:rsid w:val="00996896"/>
    <w:rsid w:val="00996B4D"/>
    <w:rsid w:val="00996D0D"/>
    <w:rsid w:val="009A0AA3"/>
    <w:rsid w:val="009A0EAF"/>
    <w:rsid w:val="009A2243"/>
    <w:rsid w:val="009A2CBF"/>
    <w:rsid w:val="009A30BF"/>
    <w:rsid w:val="009A3F9F"/>
    <w:rsid w:val="009A4C47"/>
    <w:rsid w:val="009A5E9C"/>
    <w:rsid w:val="009A7525"/>
    <w:rsid w:val="009A7664"/>
    <w:rsid w:val="009A7FB8"/>
    <w:rsid w:val="009B06BC"/>
    <w:rsid w:val="009B1169"/>
    <w:rsid w:val="009B1687"/>
    <w:rsid w:val="009B1F47"/>
    <w:rsid w:val="009B2B6A"/>
    <w:rsid w:val="009B327E"/>
    <w:rsid w:val="009B339A"/>
    <w:rsid w:val="009B3680"/>
    <w:rsid w:val="009B4D71"/>
    <w:rsid w:val="009B56E8"/>
    <w:rsid w:val="009B5BE2"/>
    <w:rsid w:val="009C120F"/>
    <w:rsid w:val="009C29F4"/>
    <w:rsid w:val="009C2F1E"/>
    <w:rsid w:val="009C3487"/>
    <w:rsid w:val="009C39BD"/>
    <w:rsid w:val="009C4F0D"/>
    <w:rsid w:val="009C7F22"/>
    <w:rsid w:val="009D09B9"/>
    <w:rsid w:val="009D7095"/>
    <w:rsid w:val="009E04AF"/>
    <w:rsid w:val="009E4A6F"/>
    <w:rsid w:val="009E5BB5"/>
    <w:rsid w:val="009E6986"/>
    <w:rsid w:val="009E69CC"/>
    <w:rsid w:val="009F08F7"/>
    <w:rsid w:val="009F091E"/>
    <w:rsid w:val="009F09DD"/>
    <w:rsid w:val="009F3C62"/>
    <w:rsid w:val="009F51BF"/>
    <w:rsid w:val="009F6612"/>
    <w:rsid w:val="009F7FB0"/>
    <w:rsid w:val="00A00FE5"/>
    <w:rsid w:val="00A025C8"/>
    <w:rsid w:val="00A0440E"/>
    <w:rsid w:val="00A055A2"/>
    <w:rsid w:val="00A05BDC"/>
    <w:rsid w:val="00A068BD"/>
    <w:rsid w:val="00A079C5"/>
    <w:rsid w:val="00A10993"/>
    <w:rsid w:val="00A10DF5"/>
    <w:rsid w:val="00A118FA"/>
    <w:rsid w:val="00A1238E"/>
    <w:rsid w:val="00A147BA"/>
    <w:rsid w:val="00A14F25"/>
    <w:rsid w:val="00A150CD"/>
    <w:rsid w:val="00A20365"/>
    <w:rsid w:val="00A2099A"/>
    <w:rsid w:val="00A20DB6"/>
    <w:rsid w:val="00A21A8D"/>
    <w:rsid w:val="00A21F26"/>
    <w:rsid w:val="00A23123"/>
    <w:rsid w:val="00A251BE"/>
    <w:rsid w:val="00A27620"/>
    <w:rsid w:val="00A308A5"/>
    <w:rsid w:val="00A30C20"/>
    <w:rsid w:val="00A31C0C"/>
    <w:rsid w:val="00A32970"/>
    <w:rsid w:val="00A33BF9"/>
    <w:rsid w:val="00A33F77"/>
    <w:rsid w:val="00A340D8"/>
    <w:rsid w:val="00A35822"/>
    <w:rsid w:val="00A364E0"/>
    <w:rsid w:val="00A3740A"/>
    <w:rsid w:val="00A40786"/>
    <w:rsid w:val="00A410EA"/>
    <w:rsid w:val="00A4267E"/>
    <w:rsid w:val="00A42F8F"/>
    <w:rsid w:val="00A43F6D"/>
    <w:rsid w:val="00A44128"/>
    <w:rsid w:val="00A44AA1"/>
    <w:rsid w:val="00A45D07"/>
    <w:rsid w:val="00A47B85"/>
    <w:rsid w:val="00A513BE"/>
    <w:rsid w:val="00A51B00"/>
    <w:rsid w:val="00A53A4C"/>
    <w:rsid w:val="00A53AA9"/>
    <w:rsid w:val="00A543D4"/>
    <w:rsid w:val="00A54ADC"/>
    <w:rsid w:val="00A572BD"/>
    <w:rsid w:val="00A57B0B"/>
    <w:rsid w:val="00A60510"/>
    <w:rsid w:val="00A611BB"/>
    <w:rsid w:val="00A64028"/>
    <w:rsid w:val="00A64425"/>
    <w:rsid w:val="00A668FB"/>
    <w:rsid w:val="00A6702B"/>
    <w:rsid w:val="00A71189"/>
    <w:rsid w:val="00A71D10"/>
    <w:rsid w:val="00A71D21"/>
    <w:rsid w:val="00A7220C"/>
    <w:rsid w:val="00A73A8A"/>
    <w:rsid w:val="00A73F66"/>
    <w:rsid w:val="00A7408E"/>
    <w:rsid w:val="00A74F07"/>
    <w:rsid w:val="00A76084"/>
    <w:rsid w:val="00A806A9"/>
    <w:rsid w:val="00A807C8"/>
    <w:rsid w:val="00A80A87"/>
    <w:rsid w:val="00A812A3"/>
    <w:rsid w:val="00A81C21"/>
    <w:rsid w:val="00A83F45"/>
    <w:rsid w:val="00A8400E"/>
    <w:rsid w:val="00A867DB"/>
    <w:rsid w:val="00A869D6"/>
    <w:rsid w:val="00A86ECE"/>
    <w:rsid w:val="00A90B18"/>
    <w:rsid w:val="00A90F3C"/>
    <w:rsid w:val="00A92883"/>
    <w:rsid w:val="00A92E92"/>
    <w:rsid w:val="00A93090"/>
    <w:rsid w:val="00A933B4"/>
    <w:rsid w:val="00A95AC6"/>
    <w:rsid w:val="00A95E01"/>
    <w:rsid w:val="00A96972"/>
    <w:rsid w:val="00A9710F"/>
    <w:rsid w:val="00A979CB"/>
    <w:rsid w:val="00AA4277"/>
    <w:rsid w:val="00AA4545"/>
    <w:rsid w:val="00AA6414"/>
    <w:rsid w:val="00AB03B3"/>
    <w:rsid w:val="00AB05A0"/>
    <w:rsid w:val="00AB0DD6"/>
    <w:rsid w:val="00AB126F"/>
    <w:rsid w:val="00AB1312"/>
    <w:rsid w:val="00AB179F"/>
    <w:rsid w:val="00AB210D"/>
    <w:rsid w:val="00AB4CFA"/>
    <w:rsid w:val="00AB5225"/>
    <w:rsid w:val="00AB621A"/>
    <w:rsid w:val="00AB65F6"/>
    <w:rsid w:val="00AB704D"/>
    <w:rsid w:val="00AB70A5"/>
    <w:rsid w:val="00AB77B3"/>
    <w:rsid w:val="00AB7A04"/>
    <w:rsid w:val="00AC14AF"/>
    <w:rsid w:val="00AC25B2"/>
    <w:rsid w:val="00AC47B6"/>
    <w:rsid w:val="00AC558B"/>
    <w:rsid w:val="00AC5FEB"/>
    <w:rsid w:val="00AC7AA9"/>
    <w:rsid w:val="00AC7D32"/>
    <w:rsid w:val="00AD0017"/>
    <w:rsid w:val="00AD0343"/>
    <w:rsid w:val="00AD0B8C"/>
    <w:rsid w:val="00AD3712"/>
    <w:rsid w:val="00AD3D71"/>
    <w:rsid w:val="00AD3EA2"/>
    <w:rsid w:val="00AD4070"/>
    <w:rsid w:val="00AD44DC"/>
    <w:rsid w:val="00AD4609"/>
    <w:rsid w:val="00AD5A5C"/>
    <w:rsid w:val="00AE0EF8"/>
    <w:rsid w:val="00AE3218"/>
    <w:rsid w:val="00AE32D9"/>
    <w:rsid w:val="00AE3B1F"/>
    <w:rsid w:val="00AE43C4"/>
    <w:rsid w:val="00AE4454"/>
    <w:rsid w:val="00AE4958"/>
    <w:rsid w:val="00AE4D65"/>
    <w:rsid w:val="00AE52B3"/>
    <w:rsid w:val="00AE58AB"/>
    <w:rsid w:val="00AE7DF5"/>
    <w:rsid w:val="00AF0141"/>
    <w:rsid w:val="00AF18B3"/>
    <w:rsid w:val="00AF25D7"/>
    <w:rsid w:val="00AF3BA9"/>
    <w:rsid w:val="00AF4CCA"/>
    <w:rsid w:val="00AF7B5E"/>
    <w:rsid w:val="00B00935"/>
    <w:rsid w:val="00B00CF6"/>
    <w:rsid w:val="00B012BD"/>
    <w:rsid w:val="00B014E7"/>
    <w:rsid w:val="00B02A7E"/>
    <w:rsid w:val="00B02D50"/>
    <w:rsid w:val="00B036E5"/>
    <w:rsid w:val="00B06424"/>
    <w:rsid w:val="00B07C43"/>
    <w:rsid w:val="00B108D2"/>
    <w:rsid w:val="00B10B2A"/>
    <w:rsid w:val="00B115CA"/>
    <w:rsid w:val="00B122B7"/>
    <w:rsid w:val="00B137EA"/>
    <w:rsid w:val="00B13FED"/>
    <w:rsid w:val="00B14152"/>
    <w:rsid w:val="00B14513"/>
    <w:rsid w:val="00B147C9"/>
    <w:rsid w:val="00B15ACB"/>
    <w:rsid w:val="00B1686A"/>
    <w:rsid w:val="00B20FEC"/>
    <w:rsid w:val="00B216C6"/>
    <w:rsid w:val="00B218D2"/>
    <w:rsid w:val="00B21BCE"/>
    <w:rsid w:val="00B221AB"/>
    <w:rsid w:val="00B2223A"/>
    <w:rsid w:val="00B22735"/>
    <w:rsid w:val="00B22ABA"/>
    <w:rsid w:val="00B233A7"/>
    <w:rsid w:val="00B242AF"/>
    <w:rsid w:val="00B24A89"/>
    <w:rsid w:val="00B24DFF"/>
    <w:rsid w:val="00B2614F"/>
    <w:rsid w:val="00B26607"/>
    <w:rsid w:val="00B277C0"/>
    <w:rsid w:val="00B30004"/>
    <w:rsid w:val="00B302AC"/>
    <w:rsid w:val="00B307F5"/>
    <w:rsid w:val="00B318AA"/>
    <w:rsid w:val="00B31CB9"/>
    <w:rsid w:val="00B33C46"/>
    <w:rsid w:val="00B37CD6"/>
    <w:rsid w:val="00B416F4"/>
    <w:rsid w:val="00B41991"/>
    <w:rsid w:val="00B420B0"/>
    <w:rsid w:val="00B42258"/>
    <w:rsid w:val="00B42450"/>
    <w:rsid w:val="00B4378F"/>
    <w:rsid w:val="00B44107"/>
    <w:rsid w:val="00B45413"/>
    <w:rsid w:val="00B45891"/>
    <w:rsid w:val="00B46449"/>
    <w:rsid w:val="00B47A89"/>
    <w:rsid w:val="00B47F99"/>
    <w:rsid w:val="00B50B02"/>
    <w:rsid w:val="00B51CB4"/>
    <w:rsid w:val="00B52945"/>
    <w:rsid w:val="00B52B57"/>
    <w:rsid w:val="00B53341"/>
    <w:rsid w:val="00B533D2"/>
    <w:rsid w:val="00B53710"/>
    <w:rsid w:val="00B539D0"/>
    <w:rsid w:val="00B53D89"/>
    <w:rsid w:val="00B56CDE"/>
    <w:rsid w:val="00B5734F"/>
    <w:rsid w:val="00B575F0"/>
    <w:rsid w:val="00B578B5"/>
    <w:rsid w:val="00B6048A"/>
    <w:rsid w:val="00B61262"/>
    <w:rsid w:val="00B612F1"/>
    <w:rsid w:val="00B618A0"/>
    <w:rsid w:val="00B629EE"/>
    <w:rsid w:val="00B62F29"/>
    <w:rsid w:val="00B6426D"/>
    <w:rsid w:val="00B650CF"/>
    <w:rsid w:val="00B661D4"/>
    <w:rsid w:val="00B667F6"/>
    <w:rsid w:val="00B7097C"/>
    <w:rsid w:val="00B70D74"/>
    <w:rsid w:val="00B71032"/>
    <w:rsid w:val="00B716F8"/>
    <w:rsid w:val="00B71E34"/>
    <w:rsid w:val="00B7326F"/>
    <w:rsid w:val="00B762A9"/>
    <w:rsid w:val="00B76AA9"/>
    <w:rsid w:val="00B77BB6"/>
    <w:rsid w:val="00B80917"/>
    <w:rsid w:val="00B81B3B"/>
    <w:rsid w:val="00B8333A"/>
    <w:rsid w:val="00B83403"/>
    <w:rsid w:val="00B8357F"/>
    <w:rsid w:val="00B8443F"/>
    <w:rsid w:val="00B87EE4"/>
    <w:rsid w:val="00B91352"/>
    <w:rsid w:val="00B917E2"/>
    <w:rsid w:val="00B924B7"/>
    <w:rsid w:val="00B924B9"/>
    <w:rsid w:val="00B92BEC"/>
    <w:rsid w:val="00B93D7E"/>
    <w:rsid w:val="00B948B3"/>
    <w:rsid w:val="00B95659"/>
    <w:rsid w:val="00B95BF4"/>
    <w:rsid w:val="00B962C7"/>
    <w:rsid w:val="00B96EA9"/>
    <w:rsid w:val="00B9759F"/>
    <w:rsid w:val="00BA1CF8"/>
    <w:rsid w:val="00BA27AD"/>
    <w:rsid w:val="00BA2A64"/>
    <w:rsid w:val="00BA2FAA"/>
    <w:rsid w:val="00BA3DEF"/>
    <w:rsid w:val="00BA499C"/>
    <w:rsid w:val="00BA5A6A"/>
    <w:rsid w:val="00BB014D"/>
    <w:rsid w:val="00BB1478"/>
    <w:rsid w:val="00BB1830"/>
    <w:rsid w:val="00BB220F"/>
    <w:rsid w:val="00BB4A09"/>
    <w:rsid w:val="00BB5B51"/>
    <w:rsid w:val="00BB7E13"/>
    <w:rsid w:val="00BC06E2"/>
    <w:rsid w:val="00BC0FDA"/>
    <w:rsid w:val="00BC1A1F"/>
    <w:rsid w:val="00BC23A2"/>
    <w:rsid w:val="00BC3538"/>
    <w:rsid w:val="00BC3C3D"/>
    <w:rsid w:val="00BC43EA"/>
    <w:rsid w:val="00BC4CC0"/>
    <w:rsid w:val="00BC509C"/>
    <w:rsid w:val="00BC51EA"/>
    <w:rsid w:val="00BC5F46"/>
    <w:rsid w:val="00BC60F6"/>
    <w:rsid w:val="00BC61E8"/>
    <w:rsid w:val="00BC62F1"/>
    <w:rsid w:val="00BC6F2C"/>
    <w:rsid w:val="00BD313F"/>
    <w:rsid w:val="00BD3615"/>
    <w:rsid w:val="00BD53DE"/>
    <w:rsid w:val="00BD5BEE"/>
    <w:rsid w:val="00BE0B80"/>
    <w:rsid w:val="00BE0C22"/>
    <w:rsid w:val="00BE2565"/>
    <w:rsid w:val="00BE2979"/>
    <w:rsid w:val="00BE2FF1"/>
    <w:rsid w:val="00BE3417"/>
    <w:rsid w:val="00BE37D6"/>
    <w:rsid w:val="00BE3967"/>
    <w:rsid w:val="00BE399F"/>
    <w:rsid w:val="00BE4053"/>
    <w:rsid w:val="00BE45B4"/>
    <w:rsid w:val="00BE4EF1"/>
    <w:rsid w:val="00BE623D"/>
    <w:rsid w:val="00BE66FC"/>
    <w:rsid w:val="00BE7139"/>
    <w:rsid w:val="00BE7826"/>
    <w:rsid w:val="00BF0581"/>
    <w:rsid w:val="00BF0D44"/>
    <w:rsid w:val="00BF19DA"/>
    <w:rsid w:val="00BF39FE"/>
    <w:rsid w:val="00BF3DF7"/>
    <w:rsid w:val="00BF4C07"/>
    <w:rsid w:val="00BF56F8"/>
    <w:rsid w:val="00BF59BE"/>
    <w:rsid w:val="00BF6097"/>
    <w:rsid w:val="00BF7233"/>
    <w:rsid w:val="00BF79D5"/>
    <w:rsid w:val="00C00EE7"/>
    <w:rsid w:val="00C02620"/>
    <w:rsid w:val="00C02977"/>
    <w:rsid w:val="00C02F22"/>
    <w:rsid w:val="00C0330A"/>
    <w:rsid w:val="00C0528C"/>
    <w:rsid w:val="00C11D0C"/>
    <w:rsid w:val="00C12F2F"/>
    <w:rsid w:val="00C13EF7"/>
    <w:rsid w:val="00C17281"/>
    <w:rsid w:val="00C208F9"/>
    <w:rsid w:val="00C20B7F"/>
    <w:rsid w:val="00C23CC1"/>
    <w:rsid w:val="00C23D8A"/>
    <w:rsid w:val="00C23E80"/>
    <w:rsid w:val="00C2463D"/>
    <w:rsid w:val="00C251FE"/>
    <w:rsid w:val="00C26970"/>
    <w:rsid w:val="00C26DAF"/>
    <w:rsid w:val="00C2755A"/>
    <w:rsid w:val="00C278BE"/>
    <w:rsid w:val="00C3055B"/>
    <w:rsid w:val="00C3149C"/>
    <w:rsid w:val="00C315B1"/>
    <w:rsid w:val="00C3210C"/>
    <w:rsid w:val="00C3302E"/>
    <w:rsid w:val="00C33EC6"/>
    <w:rsid w:val="00C35288"/>
    <w:rsid w:val="00C40DA5"/>
    <w:rsid w:val="00C40E1A"/>
    <w:rsid w:val="00C4109D"/>
    <w:rsid w:val="00C4500C"/>
    <w:rsid w:val="00C469CD"/>
    <w:rsid w:val="00C475AC"/>
    <w:rsid w:val="00C5245A"/>
    <w:rsid w:val="00C53170"/>
    <w:rsid w:val="00C536AF"/>
    <w:rsid w:val="00C54135"/>
    <w:rsid w:val="00C54290"/>
    <w:rsid w:val="00C54739"/>
    <w:rsid w:val="00C54C6E"/>
    <w:rsid w:val="00C55250"/>
    <w:rsid w:val="00C55584"/>
    <w:rsid w:val="00C578FA"/>
    <w:rsid w:val="00C6021F"/>
    <w:rsid w:val="00C613C2"/>
    <w:rsid w:val="00C61777"/>
    <w:rsid w:val="00C62CE9"/>
    <w:rsid w:val="00C62FE6"/>
    <w:rsid w:val="00C63C78"/>
    <w:rsid w:val="00C63CB0"/>
    <w:rsid w:val="00C65169"/>
    <w:rsid w:val="00C659FC"/>
    <w:rsid w:val="00C6650A"/>
    <w:rsid w:val="00C66D00"/>
    <w:rsid w:val="00C67517"/>
    <w:rsid w:val="00C67AF0"/>
    <w:rsid w:val="00C67B05"/>
    <w:rsid w:val="00C704F9"/>
    <w:rsid w:val="00C71E43"/>
    <w:rsid w:val="00C72881"/>
    <w:rsid w:val="00C73AB3"/>
    <w:rsid w:val="00C75910"/>
    <w:rsid w:val="00C7696B"/>
    <w:rsid w:val="00C76B08"/>
    <w:rsid w:val="00C7722E"/>
    <w:rsid w:val="00C77DF9"/>
    <w:rsid w:val="00C80904"/>
    <w:rsid w:val="00C814BA"/>
    <w:rsid w:val="00C81682"/>
    <w:rsid w:val="00C849DC"/>
    <w:rsid w:val="00C84BEE"/>
    <w:rsid w:val="00C85093"/>
    <w:rsid w:val="00C867C3"/>
    <w:rsid w:val="00C903D2"/>
    <w:rsid w:val="00C9058B"/>
    <w:rsid w:val="00C93B6F"/>
    <w:rsid w:val="00C94A69"/>
    <w:rsid w:val="00C9576D"/>
    <w:rsid w:val="00C957B6"/>
    <w:rsid w:val="00CA0823"/>
    <w:rsid w:val="00CA467A"/>
    <w:rsid w:val="00CA46D9"/>
    <w:rsid w:val="00CA473C"/>
    <w:rsid w:val="00CA5C85"/>
    <w:rsid w:val="00CA6433"/>
    <w:rsid w:val="00CA6F49"/>
    <w:rsid w:val="00CA752A"/>
    <w:rsid w:val="00CB003D"/>
    <w:rsid w:val="00CB066D"/>
    <w:rsid w:val="00CB0E79"/>
    <w:rsid w:val="00CB110F"/>
    <w:rsid w:val="00CB2335"/>
    <w:rsid w:val="00CB28D1"/>
    <w:rsid w:val="00CB2C90"/>
    <w:rsid w:val="00CB3788"/>
    <w:rsid w:val="00CB4902"/>
    <w:rsid w:val="00CB566F"/>
    <w:rsid w:val="00CB58B3"/>
    <w:rsid w:val="00CB65B0"/>
    <w:rsid w:val="00CB67F0"/>
    <w:rsid w:val="00CB68B5"/>
    <w:rsid w:val="00CB6C72"/>
    <w:rsid w:val="00CC24D5"/>
    <w:rsid w:val="00CC25F6"/>
    <w:rsid w:val="00CC26CB"/>
    <w:rsid w:val="00CC385C"/>
    <w:rsid w:val="00CC44EE"/>
    <w:rsid w:val="00CC479D"/>
    <w:rsid w:val="00CC4990"/>
    <w:rsid w:val="00CC54FD"/>
    <w:rsid w:val="00CC60E8"/>
    <w:rsid w:val="00CC627D"/>
    <w:rsid w:val="00CC6CF9"/>
    <w:rsid w:val="00CC72C5"/>
    <w:rsid w:val="00CC78C4"/>
    <w:rsid w:val="00CD1183"/>
    <w:rsid w:val="00CD13E8"/>
    <w:rsid w:val="00CD2906"/>
    <w:rsid w:val="00CD2E8F"/>
    <w:rsid w:val="00CD4432"/>
    <w:rsid w:val="00CD761E"/>
    <w:rsid w:val="00CD77FE"/>
    <w:rsid w:val="00CE5D57"/>
    <w:rsid w:val="00CE6BED"/>
    <w:rsid w:val="00CF0D0B"/>
    <w:rsid w:val="00CF2EFB"/>
    <w:rsid w:val="00CF42C0"/>
    <w:rsid w:val="00CF50E5"/>
    <w:rsid w:val="00CF5178"/>
    <w:rsid w:val="00CF565F"/>
    <w:rsid w:val="00CF5F28"/>
    <w:rsid w:val="00CF6927"/>
    <w:rsid w:val="00D045AB"/>
    <w:rsid w:val="00D045D2"/>
    <w:rsid w:val="00D05DA4"/>
    <w:rsid w:val="00D05E78"/>
    <w:rsid w:val="00D102D4"/>
    <w:rsid w:val="00D1130C"/>
    <w:rsid w:val="00D11C1D"/>
    <w:rsid w:val="00D12384"/>
    <w:rsid w:val="00D13355"/>
    <w:rsid w:val="00D149C8"/>
    <w:rsid w:val="00D14AE5"/>
    <w:rsid w:val="00D153C1"/>
    <w:rsid w:val="00D1657F"/>
    <w:rsid w:val="00D17CB4"/>
    <w:rsid w:val="00D202CE"/>
    <w:rsid w:val="00D20FE9"/>
    <w:rsid w:val="00D21663"/>
    <w:rsid w:val="00D22742"/>
    <w:rsid w:val="00D235C6"/>
    <w:rsid w:val="00D23FAD"/>
    <w:rsid w:val="00D24163"/>
    <w:rsid w:val="00D24BDB"/>
    <w:rsid w:val="00D25618"/>
    <w:rsid w:val="00D257BB"/>
    <w:rsid w:val="00D25B6D"/>
    <w:rsid w:val="00D25CB9"/>
    <w:rsid w:val="00D270CB"/>
    <w:rsid w:val="00D2732B"/>
    <w:rsid w:val="00D27741"/>
    <w:rsid w:val="00D27D30"/>
    <w:rsid w:val="00D305EC"/>
    <w:rsid w:val="00D30D81"/>
    <w:rsid w:val="00D30FDA"/>
    <w:rsid w:val="00D32A90"/>
    <w:rsid w:val="00D334FE"/>
    <w:rsid w:val="00D3360B"/>
    <w:rsid w:val="00D3479D"/>
    <w:rsid w:val="00D34B16"/>
    <w:rsid w:val="00D358A0"/>
    <w:rsid w:val="00D35B85"/>
    <w:rsid w:val="00D408EA"/>
    <w:rsid w:val="00D421F0"/>
    <w:rsid w:val="00D439F9"/>
    <w:rsid w:val="00D45E85"/>
    <w:rsid w:val="00D4671F"/>
    <w:rsid w:val="00D468AC"/>
    <w:rsid w:val="00D506A7"/>
    <w:rsid w:val="00D5329B"/>
    <w:rsid w:val="00D539C8"/>
    <w:rsid w:val="00D53E60"/>
    <w:rsid w:val="00D56DE3"/>
    <w:rsid w:val="00D570BC"/>
    <w:rsid w:val="00D573EA"/>
    <w:rsid w:val="00D579A6"/>
    <w:rsid w:val="00D60D2B"/>
    <w:rsid w:val="00D61D9E"/>
    <w:rsid w:val="00D6300D"/>
    <w:rsid w:val="00D631D2"/>
    <w:rsid w:val="00D65906"/>
    <w:rsid w:val="00D66DC1"/>
    <w:rsid w:val="00D66EF0"/>
    <w:rsid w:val="00D66F25"/>
    <w:rsid w:val="00D66FC5"/>
    <w:rsid w:val="00D679C2"/>
    <w:rsid w:val="00D720BD"/>
    <w:rsid w:val="00D720F1"/>
    <w:rsid w:val="00D7252F"/>
    <w:rsid w:val="00D72B3F"/>
    <w:rsid w:val="00D74F3C"/>
    <w:rsid w:val="00D76F19"/>
    <w:rsid w:val="00D774C7"/>
    <w:rsid w:val="00D77EFF"/>
    <w:rsid w:val="00D8088C"/>
    <w:rsid w:val="00D8167D"/>
    <w:rsid w:val="00D81873"/>
    <w:rsid w:val="00D81B81"/>
    <w:rsid w:val="00D82C72"/>
    <w:rsid w:val="00D83A2E"/>
    <w:rsid w:val="00D8453D"/>
    <w:rsid w:val="00D84D5F"/>
    <w:rsid w:val="00D854A2"/>
    <w:rsid w:val="00D85BA2"/>
    <w:rsid w:val="00D85DC3"/>
    <w:rsid w:val="00D86957"/>
    <w:rsid w:val="00D86A93"/>
    <w:rsid w:val="00D86AD5"/>
    <w:rsid w:val="00D86C5D"/>
    <w:rsid w:val="00D90A72"/>
    <w:rsid w:val="00D90D40"/>
    <w:rsid w:val="00D91111"/>
    <w:rsid w:val="00D917C7"/>
    <w:rsid w:val="00D91CA2"/>
    <w:rsid w:val="00D92719"/>
    <w:rsid w:val="00D92844"/>
    <w:rsid w:val="00D92CB8"/>
    <w:rsid w:val="00D92D7A"/>
    <w:rsid w:val="00D94248"/>
    <w:rsid w:val="00D95300"/>
    <w:rsid w:val="00D95C9B"/>
    <w:rsid w:val="00D95D9F"/>
    <w:rsid w:val="00D962ED"/>
    <w:rsid w:val="00D96631"/>
    <w:rsid w:val="00D96B28"/>
    <w:rsid w:val="00D96D87"/>
    <w:rsid w:val="00DA00FE"/>
    <w:rsid w:val="00DA0D97"/>
    <w:rsid w:val="00DA10B6"/>
    <w:rsid w:val="00DA12F4"/>
    <w:rsid w:val="00DA2B04"/>
    <w:rsid w:val="00DA2F07"/>
    <w:rsid w:val="00DA5DB6"/>
    <w:rsid w:val="00DA5DC0"/>
    <w:rsid w:val="00DA62C1"/>
    <w:rsid w:val="00DA7691"/>
    <w:rsid w:val="00DB0054"/>
    <w:rsid w:val="00DB0C12"/>
    <w:rsid w:val="00DB1D0E"/>
    <w:rsid w:val="00DB2595"/>
    <w:rsid w:val="00DB2F2C"/>
    <w:rsid w:val="00DB65C0"/>
    <w:rsid w:val="00DB74B1"/>
    <w:rsid w:val="00DC144A"/>
    <w:rsid w:val="00DC181C"/>
    <w:rsid w:val="00DC2440"/>
    <w:rsid w:val="00DC2A42"/>
    <w:rsid w:val="00DC30F3"/>
    <w:rsid w:val="00DC40C3"/>
    <w:rsid w:val="00DC4278"/>
    <w:rsid w:val="00DC4A83"/>
    <w:rsid w:val="00DC513B"/>
    <w:rsid w:val="00DC5C92"/>
    <w:rsid w:val="00DC6C22"/>
    <w:rsid w:val="00DD1F39"/>
    <w:rsid w:val="00DD2D6E"/>
    <w:rsid w:val="00DD33A0"/>
    <w:rsid w:val="00DD3AC2"/>
    <w:rsid w:val="00DD3C69"/>
    <w:rsid w:val="00DD5C09"/>
    <w:rsid w:val="00DD7653"/>
    <w:rsid w:val="00DD790D"/>
    <w:rsid w:val="00DE0A40"/>
    <w:rsid w:val="00DE1653"/>
    <w:rsid w:val="00DE2D8D"/>
    <w:rsid w:val="00DE6364"/>
    <w:rsid w:val="00DE6929"/>
    <w:rsid w:val="00DE7D7D"/>
    <w:rsid w:val="00DF0D25"/>
    <w:rsid w:val="00DF0E04"/>
    <w:rsid w:val="00DF210C"/>
    <w:rsid w:val="00DF4387"/>
    <w:rsid w:val="00DF4EB5"/>
    <w:rsid w:val="00DF53AF"/>
    <w:rsid w:val="00DF5957"/>
    <w:rsid w:val="00DF655F"/>
    <w:rsid w:val="00DF759D"/>
    <w:rsid w:val="00DF7BAE"/>
    <w:rsid w:val="00E01802"/>
    <w:rsid w:val="00E04F3F"/>
    <w:rsid w:val="00E0546F"/>
    <w:rsid w:val="00E05BA4"/>
    <w:rsid w:val="00E05EE8"/>
    <w:rsid w:val="00E06DA8"/>
    <w:rsid w:val="00E079C3"/>
    <w:rsid w:val="00E07EB2"/>
    <w:rsid w:val="00E10BC8"/>
    <w:rsid w:val="00E12D3B"/>
    <w:rsid w:val="00E13BD4"/>
    <w:rsid w:val="00E13EE0"/>
    <w:rsid w:val="00E15A39"/>
    <w:rsid w:val="00E15DAA"/>
    <w:rsid w:val="00E17FC4"/>
    <w:rsid w:val="00E22C20"/>
    <w:rsid w:val="00E23E08"/>
    <w:rsid w:val="00E23EBF"/>
    <w:rsid w:val="00E24459"/>
    <w:rsid w:val="00E246D4"/>
    <w:rsid w:val="00E25F5E"/>
    <w:rsid w:val="00E2648E"/>
    <w:rsid w:val="00E26F87"/>
    <w:rsid w:val="00E3015C"/>
    <w:rsid w:val="00E3127B"/>
    <w:rsid w:val="00E32B75"/>
    <w:rsid w:val="00E33154"/>
    <w:rsid w:val="00E33BEE"/>
    <w:rsid w:val="00E34719"/>
    <w:rsid w:val="00E34AC2"/>
    <w:rsid w:val="00E372AE"/>
    <w:rsid w:val="00E372F7"/>
    <w:rsid w:val="00E37331"/>
    <w:rsid w:val="00E40217"/>
    <w:rsid w:val="00E40A2D"/>
    <w:rsid w:val="00E42AE6"/>
    <w:rsid w:val="00E43872"/>
    <w:rsid w:val="00E44AE9"/>
    <w:rsid w:val="00E451F3"/>
    <w:rsid w:val="00E473F1"/>
    <w:rsid w:val="00E50005"/>
    <w:rsid w:val="00E5009F"/>
    <w:rsid w:val="00E50306"/>
    <w:rsid w:val="00E50972"/>
    <w:rsid w:val="00E52193"/>
    <w:rsid w:val="00E528E8"/>
    <w:rsid w:val="00E54D53"/>
    <w:rsid w:val="00E554E8"/>
    <w:rsid w:val="00E57523"/>
    <w:rsid w:val="00E61894"/>
    <w:rsid w:val="00E62214"/>
    <w:rsid w:val="00E6245C"/>
    <w:rsid w:val="00E62C34"/>
    <w:rsid w:val="00E62D90"/>
    <w:rsid w:val="00E63140"/>
    <w:rsid w:val="00E633DC"/>
    <w:rsid w:val="00E64BA0"/>
    <w:rsid w:val="00E655E2"/>
    <w:rsid w:val="00E65CD8"/>
    <w:rsid w:val="00E66603"/>
    <w:rsid w:val="00E711EA"/>
    <w:rsid w:val="00E715D0"/>
    <w:rsid w:val="00E735A9"/>
    <w:rsid w:val="00E735FE"/>
    <w:rsid w:val="00E73ACF"/>
    <w:rsid w:val="00E74ECC"/>
    <w:rsid w:val="00E7515A"/>
    <w:rsid w:val="00E776F0"/>
    <w:rsid w:val="00E80640"/>
    <w:rsid w:val="00E8157E"/>
    <w:rsid w:val="00E815FC"/>
    <w:rsid w:val="00E816FE"/>
    <w:rsid w:val="00E81736"/>
    <w:rsid w:val="00E81ED7"/>
    <w:rsid w:val="00E82586"/>
    <w:rsid w:val="00E826C4"/>
    <w:rsid w:val="00E82F1F"/>
    <w:rsid w:val="00E836D7"/>
    <w:rsid w:val="00E83A20"/>
    <w:rsid w:val="00E84C24"/>
    <w:rsid w:val="00E84D69"/>
    <w:rsid w:val="00E84FB3"/>
    <w:rsid w:val="00E850C3"/>
    <w:rsid w:val="00E85C7C"/>
    <w:rsid w:val="00E86488"/>
    <w:rsid w:val="00E90228"/>
    <w:rsid w:val="00E907F4"/>
    <w:rsid w:val="00E9145C"/>
    <w:rsid w:val="00E95F4E"/>
    <w:rsid w:val="00E96E5D"/>
    <w:rsid w:val="00E9798A"/>
    <w:rsid w:val="00E979F7"/>
    <w:rsid w:val="00EA3000"/>
    <w:rsid w:val="00EA3725"/>
    <w:rsid w:val="00EA3936"/>
    <w:rsid w:val="00EA513F"/>
    <w:rsid w:val="00EA5961"/>
    <w:rsid w:val="00EA5CD1"/>
    <w:rsid w:val="00EA5E2A"/>
    <w:rsid w:val="00EA6D84"/>
    <w:rsid w:val="00EA7710"/>
    <w:rsid w:val="00EA7D38"/>
    <w:rsid w:val="00EB0731"/>
    <w:rsid w:val="00EB1015"/>
    <w:rsid w:val="00EB2020"/>
    <w:rsid w:val="00EB27D5"/>
    <w:rsid w:val="00EB28E9"/>
    <w:rsid w:val="00EB2E09"/>
    <w:rsid w:val="00EB3653"/>
    <w:rsid w:val="00EB39F0"/>
    <w:rsid w:val="00EB578A"/>
    <w:rsid w:val="00EB6AFD"/>
    <w:rsid w:val="00EB6C7D"/>
    <w:rsid w:val="00EB70E5"/>
    <w:rsid w:val="00EB7C8E"/>
    <w:rsid w:val="00EC02BE"/>
    <w:rsid w:val="00EC146E"/>
    <w:rsid w:val="00EC1B1A"/>
    <w:rsid w:val="00EC35DE"/>
    <w:rsid w:val="00EC53E6"/>
    <w:rsid w:val="00EC543A"/>
    <w:rsid w:val="00EC5975"/>
    <w:rsid w:val="00EC6130"/>
    <w:rsid w:val="00EC6766"/>
    <w:rsid w:val="00EC6B27"/>
    <w:rsid w:val="00EC6BF6"/>
    <w:rsid w:val="00EC7AE3"/>
    <w:rsid w:val="00EC7E08"/>
    <w:rsid w:val="00ED0F4E"/>
    <w:rsid w:val="00ED2563"/>
    <w:rsid w:val="00ED2A4C"/>
    <w:rsid w:val="00ED6DFC"/>
    <w:rsid w:val="00ED6E2D"/>
    <w:rsid w:val="00ED762B"/>
    <w:rsid w:val="00EE067C"/>
    <w:rsid w:val="00EE1275"/>
    <w:rsid w:val="00EE1D7D"/>
    <w:rsid w:val="00EE2031"/>
    <w:rsid w:val="00EE2D3E"/>
    <w:rsid w:val="00EE35DE"/>
    <w:rsid w:val="00EE4924"/>
    <w:rsid w:val="00EE7A5E"/>
    <w:rsid w:val="00EF039F"/>
    <w:rsid w:val="00EF11CE"/>
    <w:rsid w:val="00EF13D7"/>
    <w:rsid w:val="00EF13FE"/>
    <w:rsid w:val="00EF2143"/>
    <w:rsid w:val="00EF3159"/>
    <w:rsid w:val="00EF384D"/>
    <w:rsid w:val="00EF4569"/>
    <w:rsid w:val="00EF4B37"/>
    <w:rsid w:val="00EF4F51"/>
    <w:rsid w:val="00EF6301"/>
    <w:rsid w:val="00EF6960"/>
    <w:rsid w:val="00EF74D6"/>
    <w:rsid w:val="00EF7D4C"/>
    <w:rsid w:val="00F03706"/>
    <w:rsid w:val="00F062AC"/>
    <w:rsid w:val="00F068A0"/>
    <w:rsid w:val="00F0745D"/>
    <w:rsid w:val="00F10C63"/>
    <w:rsid w:val="00F115CA"/>
    <w:rsid w:val="00F121CB"/>
    <w:rsid w:val="00F12787"/>
    <w:rsid w:val="00F152AB"/>
    <w:rsid w:val="00F15BE9"/>
    <w:rsid w:val="00F17101"/>
    <w:rsid w:val="00F175F6"/>
    <w:rsid w:val="00F177DC"/>
    <w:rsid w:val="00F17AC1"/>
    <w:rsid w:val="00F20A25"/>
    <w:rsid w:val="00F20D6E"/>
    <w:rsid w:val="00F21433"/>
    <w:rsid w:val="00F22810"/>
    <w:rsid w:val="00F23521"/>
    <w:rsid w:val="00F2359F"/>
    <w:rsid w:val="00F25573"/>
    <w:rsid w:val="00F25733"/>
    <w:rsid w:val="00F25E05"/>
    <w:rsid w:val="00F26F08"/>
    <w:rsid w:val="00F2710C"/>
    <w:rsid w:val="00F274F9"/>
    <w:rsid w:val="00F314CA"/>
    <w:rsid w:val="00F31F31"/>
    <w:rsid w:val="00F34F34"/>
    <w:rsid w:val="00F35350"/>
    <w:rsid w:val="00F35805"/>
    <w:rsid w:val="00F35D14"/>
    <w:rsid w:val="00F35E37"/>
    <w:rsid w:val="00F36CF6"/>
    <w:rsid w:val="00F37737"/>
    <w:rsid w:val="00F4022D"/>
    <w:rsid w:val="00F40BDA"/>
    <w:rsid w:val="00F419C8"/>
    <w:rsid w:val="00F41C30"/>
    <w:rsid w:val="00F4352C"/>
    <w:rsid w:val="00F435DD"/>
    <w:rsid w:val="00F43806"/>
    <w:rsid w:val="00F44A54"/>
    <w:rsid w:val="00F46DC9"/>
    <w:rsid w:val="00F47051"/>
    <w:rsid w:val="00F47DFA"/>
    <w:rsid w:val="00F5078F"/>
    <w:rsid w:val="00F529FD"/>
    <w:rsid w:val="00F56757"/>
    <w:rsid w:val="00F61830"/>
    <w:rsid w:val="00F61F2B"/>
    <w:rsid w:val="00F632F0"/>
    <w:rsid w:val="00F650C6"/>
    <w:rsid w:val="00F6654F"/>
    <w:rsid w:val="00F670C5"/>
    <w:rsid w:val="00F672F3"/>
    <w:rsid w:val="00F67E52"/>
    <w:rsid w:val="00F717A9"/>
    <w:rsid w:val="00F72893"/>
    <w:rsid w:val="00F72F75"/>
    <w:rsid w:val="00F744CB"/>
    <w:rsid w:val="00F74885"/>
    <w:rsid w:val="00F75D7F"/>
    <w:rsid w:val="00F808C8"/>
    <w:rsid w:val="00F82F71"/>
    <w:rsid w:val="00F8319D"/>
    <w:rsid w:val="00F852AC"/>
    <w:rsid w:val="00F87873"/>
    <w:rsid w:val="00F8797F"/>
    <w:rsid w:val="00F90801"/>
    <w:rsid w:val="00F90CEE"/>
    <w:rsid w:val="00F90FD1"/>
    <w:rsid w:val="00F928A7"/>
    <w:rsid w:val="00F940F7"/>
    <w:rsid w:val="00F94832"/>
    <w:rsid w:val="00F951A8"/>
    <w:rsid w:val="00F973B8"/>
    <w:rsid w:val="00FA074C"/>
    <w:rsid w:val="00FA1715"/>
    <w:rsid w:val="00FA189F"/>
    <w:rsid w:val="00FA33EA"/>
    <w:rsid w:val="00FA3B31"/>
    <w:rsid w:val="00FA4E6A"/>
    <w:rsid w:val="00FA6021"/>
    <w:rsid w:val="00FA6E71"/>
    <w:rsid w:val="00FA7041"/>
    <w:rsid w:val="00FB1AF5"/>
    <w:rsid w:val="00FB1F32"/>
    <w:rsid w:val="00FB38C1"/>
    <w:rsid w:val="00FB496B"/>
    <w:rsid w:val="00FB4EEC"/>
    <w:rsid w:val="00FB5305"/>
    <w:rsid w:val="00FB5539"/>
    <w:rsid w:val="00FB580A"/>
    <w:rsid w:val="00FB5D0B"/>
    <w:rsid w:val="00FB6219"/>
    <w:rsid w:val="00FB6344"/>
    <w:rsid w:val="00FC0BB0"/>
    <w:rsid w:val="00FC18C6"/>
    <w:rsid w:val="00FC2AA2"/>
    <w:rsid w:val="00FC2BFC"/>
    <w:rsid w:val="00FC2FEF"/>
    <w:rsid w:val="00FC4E0A"/>
    <w:rsid w:val="00FC507A"/>
    <w:rsid w:val="00FC5721"/>
    <w:rsid w:val="00FC7057"/>
    <w:rsid w:val="00FC70C1"/>
    <w:rsid w:val="00FC7C5E"/>
    <w:rsid w:val="00FD0107"/>
    <w:rsid w:val="00FD0552"/>
    <w:rsid w:val="00FD1F7B"/>
    <w:rsid w:val="00FD2A36"/>
    <w:rsid w:val="00FD45B6"/>
    <w:rsid w:val="00FD5B9A"/>
    <w:rsid w:val="00FD5BAB"/>
    <w:rsid w:val="00FD6621"/>
    <w:rsid w:val="00FE058D"/>
    <w:rsid w:val="00FE2FFD"/>
    <w:rsid w:val="00FE369C"/>
    <w:rsid w:val="00FE477F"/>
    <w:rsid w:val="00FE4CEE"/>
    <w:rsid w:val="00FE53AC"/>
    <w:rsid w:val="00FE6F80"/>
    <w:rsid w:val="00FE78F3"/>
    <w:rsid w:val="00FF0141"/>
    <w:rsid w:val="00FF1535"/>
    <w:rsid w:val="00FF309C"/>
    <w:rsid w:val="00FF5CDC"/>
    <w:rsid w:val="00FF6FAA"/>
    <w:rsid w:val="00FF771D"/>
    <w:rsid w:val="00FF77B0"/>
    <w:rsid w:val="019A4CB2"/>
    <w:rsid w:val="01A02082"/>
    <w:rsid w:val="01FA47FF"/>
    <w:rsid w:val="0269220F"/>
    <w:rsid w:val="029B24E9"/>
    <w:rsid w:val="02F44BE5"/>
    <w:rsid w:val="02F5504F"/>
    <w:rsid w:val="0444365B"/>
    <w:rsid w:val="04A337A1"/>
    <w:rsid w:val="04B450C8"/>
    <w:rsid w:val="04FD2458"/>
    <w:rsid w:val="05355B4E"/>
    <w:rsid w:val="06041A16"/>
    <w:rsid w:val="067166FA"/>
    <w:rsid w:val="06BD404D"/>
    <w:rsid w:val="06DF0D4B"/>
    <w:rsid w:val="07101CBA"/>
    <w:rsid w:val="07A6693B"/>
    <w:rsid w:val="084F055C"/>
    <w:rsid w:val="092403B3"/>
    <w:rsid w:val="093A3050"/>
    <w:rsid w:val="09542615"/>
    <w:rsid w:val="09554725"/>
    <w:rsid w:val="095F4B64"/>
    <w:rsid w:val="09C515A8"/>
    <w:rsid w:val="0B5A630E"/>
    <w:rsid w:val="0CB544E8"/>
    <w:rsid w:val="0D4A0310"/>
    <w:rsid w:val="0D7C07BE"/>
    <w:rsid w:val="0E9733D5"/>
    <w:rsid w:val="0ED91C40"/>
    <w:rsid w:val="0F3324C6"/>
    <w:rsid w:val="0F825E34"/>
    <w:rsid w:val="0FEB5C97"/>
    <w:rsid w:val="10AA5642"/>
    <w:rsid w:val="10C43E75"/>
    <w:rsid w:val="10D70444"/>
    <w:rsid w:val="111F39FD"/>
    <w:rsid w:val="11916893"/>
    <w:rsid w:val="12112CD7"/>
    <w:rsid w:val="12687563"/>
    <w:rsid w:val="146707AD"/>
    <w:rsid w:val="14746687"/>
    <w:rsid w:val="147635A2"/>
    <w:rsid w:val="148F59E2"/>
    <w:rsid w:val="14C71EF0"/>
    <w:rsid w:val="14DB226E"/>
    <w:rsid w:val="15DB6C2D"/>
    <w:rsid w:val="16173C12"/>
    <w:rsid w:val="16315EBE"/>
    <w:rsid w:val="16C641EB"/>
    <w:rsid w:val="16C805D0"/>
    <w:rsid w:val="17094942"/>
    <w:rsid w:val="170E769A"/>
    <w:rsid w:val="175C51BC"/>
    <w:rsid w:val="1846243E"/>
    <w:rsid w:val="18AC1971"/>
    <w:rsid w:val="1989530E"/>
    <w:rsid w:val="19D723F6"/>
    <w:rsid w:val="1A32674B"/>
    <w:rsid w:val="1A934532"/>
    <w:rsid w:val="1B5763C6"/>
    <w:rsid w:val="1C737230"/>
    <w:rsid w:val="1C9B5934"/>
    <w:rsid w:val="1CF347A8"/>
    <w:rsid w:val="1D2A012C"/>
    <w:rsid w:val="1D2A3BF5"/>
    <w:rsid w:val="1D31356D"/>
    <w:rsid w:val="1D466ABF"/>
    <w:rsid w:val="1D7B600C"/>
    <w:rsid w:val="1DD3548B"/>
    <w:rsid w:val="1DEB0A3D"/>
    <w:rsid w:val="1DED21D8"/>
    <w:rsid w:val="1E2043A5"/>
    <w:rsid w:val="1E8B1165"/>
    <w:rsid w:val="1EB910EB"/>
    <w:rsid w:val="1EFB6D55"/>
    <w:rsid w:val="1F0E3DA5"/>
    <w:rsid w:val="1F8030CC"/>
    <w:rsid w:val="20CE49AC"/>
    <w:rsid w:val="20EE455A"/>
    <w:rsid w:val="20F868EE"/>
    <w:rsid w:val="21221225"/>
    <w:rsid w:val="22181964"/>
    <w:rsid w:val="22C179E6"/>
    <w:rsid w:val="22F75C0D"/>
    <w:rsid w:val="23203542"/>
    <w:rsid w:val="23F72995"/>
    <w:rsid w:val="24223712"/>
    <w:rsid w:val="24601386"/>
    <w:rsid w:val="246B14B0"/>
    <w:rsid w:val="25114177"/>
    <w:rsid w:val="25164869"/>
    <w:rsid w:val="25AD3E95"/>
    <w:rsid w:val="262F5BC1"/>
    <w:rsid w:val="2790513A"/>
    <w:rsid w:val="28CA34AC"/>
    <w:rsid w:val="290F7096"/>
    <w:rsid w:val="29B00012"/>
    <w:rsid w:val="29D137E8"/>
    <w:rsid w:val="2A5F0DF4"/>
    <w:rsid w:val="2AB225E4"/>
    <w:rsid w:val="2AF6570F"/>
    <w:rsid w:val="2B0025D7"/>
    <w:rsid w:val="2BBE7D9C"/>
    <w:rsid w:val="2BD64EDB"/>
    <w:rsid w:val="2BF1793D"/>
    <w:rsid w:val="2BFB7DF5"/>
    <w:rsid w:val="2C8A5A53"/>
    <w:rsid w:val="2CAA1B33"/>
    <w:rsid w:val="2CEE4697"/>
    <w:rsid w:val="2D5E21DC"/>
    <w:rsid w:val="2EFA148A"/>
    <w:rsid w:val="2F00316E"/>
    <w:rsid w:val="2F8A4A30"/>
    <w:rsid w:val="2FAF6281"/>
    <w:rsid w:val="2FBF0026"/>
    <w:rsid w:val="2FCA7124"/>
    <w:rsid w:val="2FCB7CD8"/>
    <w:rsid w:val="30474804"/>
    <w:rsid w:val="30505D04"/>
    <w:rsid w:val="309E0581"/>
    <w:rsid w:val="30E00704"/>
    <w:rsid w:val="3149717D"/>
    <w:rsid w:val="318B0720"/>
    <w:rsid w:val="32797781"/>
    <w:rsid w:val="32C5141D"/>
    <w:rsid w:val="336D0D54"/>
    <w:rsid w:val="33792F26"/>
    <w:rsid w:val="33D75E9F"/>
    <w:rsid w:val="342A2472"/>
    <w:rsid w:val="34583E67"/>
    <w:rsid w:val="34D01CA3"/>
    <w:rsid w:val="34E8144B"/>
    <w:rsid w:val="351444F6"/>
    <w:rsid w:val="358409E6"/>
    <w:rsid w:val="358B0865"/>
    <w:rsid w:val="35C91DF7"/>
    <w:rsid w:val="3700570C"/>
    <w:rsid w:val="37EA7306"/>
    <w:rsid w:val="38A0633D"/>
    <w:rsid w:val="38BA79CC"/>
    <w:rsid w:val="38BD001A"/>
    <w:rsid w:val="38C26B8B"/>
    <w:rsid w:val="38F911D6"/>
    <w:rsid w:val="39020300"/>
    <w:rsid w:val="395B30CE"/>
    <w:rsid w:val="39726D2C"/>
    <w:rsid w:val="3A0374A0"/>
    <w:rsid w:val="3AAE222A"/>
    <w:rsid w:val="3B4068E3"/>
    <w:rsid w:val="3BDF32AC"/>
    <w:rsid w:val="3D174D89"/>
    <w:rsid w:val="3D1F191A"/>
    <w:rsid w:val="3DB03FCF"/>
    <w:rsid w:val="3DD96462"/>
    <w:rsid w:val="3E815041"/>
    <w:rsid w:val="3ECB2D10"/>
    <w:rsid w:val="3ED0771B"/>
    <w:rsid w:val="40CA29DC"/>
    <w:rsid w:val="419C2606"/>
    <w:rsid w:val="41A57B46"/>
    <w:rsid w:val="424A5620"/>
    <w:rsid w:val="42DC72F3"/>
    <w:rsid w:val="432E56D1"/>
    <w:rsid w:val="43454ABD"/>
    <w:rsid w:val="457136DD"/>
    <w:rsid w:val="464672D0"/>
    <w:rsid w:val="46FF3658"/>
    <w:rsid w:val="473311D8"/>
    <w:rsid w:val="47C83248"/>
    <w:rsid w:val="482530D4"/>
    <w:rsid w:val="4A1110EB"/>
    <w:rsid w:val="4A4112FC"/>
    <w:rsid w:val="4AF13892"/>
    <w:rsid w:val="4B781B3A"/>
    <w:rsid w:val="4BE763FE"/>
    <w:rsid w:val="4C3A1068"/>
    <w:rsid w:val="4CD92CE3"/>
    <w:rsid w:val="4D7E415B"/>
    <w:rsid w:val="4DBA260C"/>
    <w:rsid w:val="4E1A69AF"/>
    <w:rsid w:val="4FDC2367"/>
    <w:rsid w:val="503B275E"/>
    <w:rsid w:val="5095081C"/>
    <w:rsid w:val="50ED22AC"/>
    <w:rsid w:val="518231B6"/>
    <w:rsid w:val="518A6447"/>
    <w:rsid w:val="51A11B6E"/>
    <w:rsid w:val="51C3520F"/>
    <w:rsid w:val="523A566C"/>
    <w:rsid w:val="52816A24"/>
    <w:rsid w:val="52C5363A"/>
    <w:rsid w:val="536E08D4"/>
    <w:rsid w:val="536F3B1E"/>
    <w:rsid w:val="537F1FBE"/>
    <w:rsid w:val="53DF59D4"/>
    <w:rsid w:val="54602C2D"/>
    <w:rsid w:val="546155E5"/>
    <w:rsid w:val="549119BD"/>
    <w:rsid w:val="551027E8"/>
    <w:rsid w:val="55120D38"/>
    <w:rsid w:val="55376345"/>
    <w:rsid w:val="55D2623F"/>
    <w:rsid w:val="55E04670"/>
    <w:rsid w:val="56602607"/>
    <w:rsid w:val="56B4410E"/>
    <w:rsid w:val="57604F6B"/>
    <w:rsid w:val="57A5692F"/>
    <w:rsid w:val="58EC0971"/>
    <w:rsid w:val="59710078"/>
    <w:rsid w:val="5A27352C"/>
    <w:rsid w:val="5A5C0D28"/>
    <w:rsid w:val="5ADA13BE"/>
    <w:rsid w:val="5C6F5B60"/>
    <w:rsid w:val="5CD51FB1"/>
    <w:rsid w:val="5D131779"/>
    <w:rsid w:val="5DCE4506"/>
    <w:rsid w:val="5E281B9A"/>
    <w:rsid w:val="5E552FD5"/>
    <w:rsid w:val="5ED209B4"/>
    <w:rsid w:val="5EDA5A11"/>
    <w:rsid w:val="5EDE3A83"/>
    <w:rsid w:val="5F1141BF"/>
    <w:rsid w:val="5F1B51A6"/>
    <w:rsid w:val="5FF76DFD"/>
    <w:rsid w:val="60C53FFF"/>
    <w:rsid w:val="6123706E"/>
    <w:rsid w:val="613D1E9E"/>
    <w:rsid w:val="614D4740"/>
    <w:rsid w:val="61930DA7"/>
    <w:rsid w:val="61D42C79"/>
    <w:rsid w:val="620D2C42"/>
    <w:rsid w:val="6235591B"/>
    <w:rsid w:val="62886432"/>
    <w:rsid w:val="63A64DC2"/>
    <w:rsid w:val="642C4F94"/>
    <w:rsid w:val="648038B0"/>
    <w:rsid w:val="650F1BEE"/>
    <w:rsid w:val="651D4A69"/>
    <w:rsid w:val="65567AD8"/>
    <w:rsid w:val="6562503C"/>
    <w:rsid w:val="658904F7"/>
    <w:rsid w:val="65976968"/>
    <w:rsid w:val="669C24AC"/>
    <w:rsid w:val="66C63977"/>
    <w:rsid w:val="66CA1CB1"/>
    <w:rsid w:val="68A76AB7"/>
    <w:rsid w:val="68D66492"/>
    <w:rsid w:val="69635503"/>
    <w:rsid w:val="6B04316B"/>
    <w:rsid w:val="6B4A0F65"/>
    <w:rsid w:val="6B9B41A3"/>
    <w:rsid w:val="6C040369"/>
    <w:rsid w:val="6C354444"/>
    <w:rsid w:val="6CA44F9E"/>
    <w:rsid w:val="6CAD4C26"/>
    <w:rsid w:val="6CEB652D"/>
    <w:rsid w:val="6CFC0175"/>
    <w:rsid w:val="6DFE498D"/>
    <w:rsid w:val="6E225C58"/>
    <w:rsid w:val="6E5C5F10"/>
    <w:rsid w:val="6EBA0E66"/>
    <w:rsid w:val="6FAB07A1"/>
    <w:rsid w:val="6FC509BB"/>
    <w:rsid w:val="706C51D4"/>
    <w:rsid w:val="70FA1A61"/>
    <w:rsid w:val="713D7853"/>
    <w:rsid w:val="719D0168"/>
    <w:rsid w:val="72E65600"/>
    <w:rsid w:val="73597617"/>
    <w:rsid w:val="73E04711"/>
    <w:rsid w:val="7450542B"/>
    <w:rsid w:val="745555ED"/>
    <w:rsid w:val="746B0631"/>
    <w:rsid w:val="748E75A3"/>
    <w:rsid w:val="75373CDC"/>
    <w:rsid w:val="75422AC9"/>
    <w:rsid w:val="759B7FBA"/>
    <w:rsid w:val="75A02A57"/>
    <w:rsid w:val="76197A00"/>
    <w:rsid w:val="763B1ECB"/>
    <w:rsid w:val="76712F0C"/>
    <w:rsid w:val="768A331D"/>
    <w:rsid w:val="76E3368E"/>
    <w:rsid w:val="7718522A"/>
    <w:rsid w:val="771F5A9B"/>
    <w:rsid w:val="776B2153"/>
    <w:rsid w:val="785250C1"/>
    <w:rsid w:val="799A251B"/>
    <w:rsid w:val="799F572C"/>
    <w:rsid w:val="79E918E6"/>
    <w:rsid w:val="7A0F6CC1"/>
    <w:rsid w:val="7AC84FFB"/>
    <w:rsid w:val="7B6B04D4"/>
    <w:rsid w:val="7BF061B4"/>
    <w:rsid w:val="7C4E77CA"/>
    <w:rsid w:val="7C5424EB"/>
    <w:rsid w:val="7C6D6A69"/>
    <w:rsid w:val="7C831B79"/>
    <w:rsid w:val="7CB65C1E"/>
    <w:rsid w:val="7DD6735D"/>
    <w:rsid w:val="7E8B72AB"/>
    <w:rsid w:val="7FD83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jc w:val="center"/>
      <w:outlineLvl w:val="0"/>
    </w:pPr>
    <w:rPr>
      <w:b/>
      <w:bCs/>
      <w:sz w:val="24"/>
      <w:szCs w:val="20"/>
    </w:rPr>
  </w:style>
  <w:style w:type="paragraph" w:styleId="3">
    <w:name w:val="heading 2"/>
    <w:basedOn w:val="1"/>
    <w:next w:val="1"/>
    <w:link w:val="55"/>
    <w:qFormat/>
    <w:uiPriority w:val="0"/>
    <w:pPr>
      <w:keepNext/>
      <w:keepLines/>
      <w:spacing w:line="360" w:lineRule="auto"/>
      <w:outlineLvl w:val="1"/>
    </w:pPr>
    <w:rPr>
      <w:rFonts w:ascii="Arial" w:hAnsi="Arial"/>
      <w:b/>
      <w:bCs/>
      <w:sz w:val="24"/>
      <w:szCs w:val="32"/>
    </w:rPr>
  </w:style>
  <w:style w:type="paragraph" w:styleId="4">
    <w:name w:val="heading 3"/>
    <w:basedOn w:val="1"/>
    <w:next w:val="1"/>
    <w:link w:val="56"/>
    <w:qFormat/>
    <w:uiPriority w:val="0"/>
    <w:pPr>
      <w:keepNext/>
      <w:keepLines/>
      <w:spacing w:before="260" w:after="260" w:line="416" w:lineRule="auto"/>
      <w:outlineLvl w:val="2"/>
    </w:pPr>
    <w:rPr>
      <w:b/>
      <w:bCs/>
      <w:sz w:val="32"/>
      <w:szCs w:val="32"/>
    </w:rPr>
  </w:style>
  <w:style w:type="paragraph" w:styleId="5">
    <w:name w:val="heading 4"/>
    <w:basedOn w:val="1"/>
    <w:next w:val="1"/>
    <w:link w:val="5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8"/>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5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60"/>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6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2"/>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next w:val="13"/>
    <w:qFormat/>
    <w:uiPriority w:val="0"/>
    <w:pPr>
      <w:widowControl/>
      <w:ind w:firstLine="420"/>
      <w:jc w:val="left"/>
    </w:pPr>
    <w:rPr>
      <w:kern w:val="0"/>
      <w:sz w:val="20"/>
      <w:szCs w:val="20"/>
    </w:r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4">
    <w:name w:val="Document Map"/>
    <w:basedOn w:val="1"/>
    <w:link w:val="86"/>
    <w:semiHidden/>
    <w:qFormat/>
    <w:uiPriority w:val="0"/>
    <w:pPr>
      <w:shd w:val="clear" w:color="auto" w:fill="000080"/>
    </w:pPr>
  </w:style>
  <w:style w:type="paragraph" w:styleId="15">
    <w:name w:val="annotation text"/>
    <w:basedOn w:val="1"/>
    <w:link w:val="70"/>
    <w:semiHidden/>
    <w:qFormat/>
    <w:uiPriority w:val="0"/>
    <w:pPr>
      <w:jc w:val="left"/>
    </w:pPr>
  </w:style>
  <w:style w:type="paragraph" w:styleId="16">
    <w:name w:val="Salutation"/>
    <w:basedOn w:val="1"/>
    <w:next w:val="1"/>
    <w:link w:val="75"/>
    <w:qFormat/>
    <w:uiPriority w:val="0"/>
    <w:rPr>
      <w:rFonts w:ascii="仿宋_GB2312" w:eastAsia="仿宋_GB2312"/>
      <w:sz w:val="24"/>
    </w:rPr>
  </w:style>
  <w:style w:type="paragraph" w:styleId="17">
    <w:name w:val="Body Text"/>
    <w:basedOn w:val="1"/>
    <w:link w:val="64"/>
    <w:qFormat/>
    <w:uiPriority w:val="0"/>
    <w:pPr>
      <w:spacing w:after="120"/>
    </w:pPr>
  </w:style>
  <w:style w:type="paragraph" w:styleId="18">
    <w:name w:val="Body Text Indent"/>
    <w:basedOn w:val="1"/>
    <w:next w:val="19"/>
    <w:link w:val="67"/>
    <w:qFormat/>
    <w:uiPriority w:val="0"/>
    <w:pPr>
      <w:spacing w:after="120"/>
      <w:ind w:left="420" w:leftChars="200"/>
    </w:pPr>
  </w:style>
  <w:style w:type="paragraph" w:customStyle="1" w:styleId="19">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styleId="20">
    <w:name w:val="Block Text"/>
    <w:basedOn w:val="1"/>
    <w:qFormat/>
    <w:uiPriority w:val="0"/>
    <w:pPr>
      <w:ind w:left="1171" w:right="91" w:hanging="1080"/>
    </w:pPr>
    <w:rPr>
      <w:rFonts w:eastAsia="楷体_GB2312"/>
      <w:szCs w:val="20"/>
    </w:rPr>
  </w:style>
  <w:style w:type="paragraph" w:styleId="21">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22">
    <w:name w:val="toc 3"/>
    <w:basedOn w:val="1"/>
    <w:next w:val="1"/>
    <w:unhideWhenUsed/>
    <w:qFormat/>
    <w:uiPriority w:val="39"/>
    <w:pPr>
      <w:adjustRightInd w:val="0"/>
      <w:snapToGrid w:val="0"/>
      <w:spacing w:line="360" w:lineRule="auto"/>
      <w:ind w:left="400" w:leftChars="400"/>
    </w:pPr>
    <w:rPr>
      <w:rFonts w:eastAsiaTheme="minorEastAsia"/>
      <w:b/>
    </w:rPr>
  </w:style>
  <w:style w:type="paragraph" w:styleId="23">
    <w:name w:val="Plain Text"/>
    <w:basedOn w:val="1"/>
    <w:link w:val="69"/>
    <w:qFormat/>
    <w:uiPriority w:val="0"/>
    <w:rPr>
      <w:rFonts w:ascii="宋体" w:hAnsi="Courier New" w:cs="Courier New"/>
      <w:szCs w:val="21"/>
    </w:rPr>
  </w:style>
  <w:style w:type="paragraph" w:styleId="24">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5">
    <w:name w:val="Date"/>
    <w:basedOn w:val="1"/>
    <w:next w:val="1"/>
    <w:link w:val="80"/>
    <w:qFormat/>
    <w:uiPriority w:val="0"/>
    <w:rPr>
      <w:sz w:val="24"/>
      <w:szCs w:val="20"/>
    </w:rPr>
  </w:style>
  <w:style w:type="paragraph" w:styleId="26">
    <w:name w:val="Body Text Indent 2"/>
    <w:basedOn w:val="1"/>
    <w:next w:val="27"/>
    <w:link w:val="77"/>
    <w:qFormat/>
    <w:uiPriority w:val="0"/>
    <w:pPr>
      <w:spacing w:after="120" w:line="480" w:lineRule="auto"/>
      <w:ind w:left="420" w:leftChars="200"/>
    </w:pPr>
  </w:style>
  <w:style w:type="paragraph" w:styleId="27">
    <w:name w:val="header"/>
    <w:basedOn w:val="1"/>
    <w:link w:val="66"/>
    <w:qFormat/>
    <w:uiPriority w:val="99"/>
    <w:pPr>
      <w:pBdr>
        <w:bottom w:val="single" w:color="auto" w:sz="6" w:space="1"/>
      </w:pBdr>
      <w:tabs>
        <w:tab w:val="center" w:pos="4153"/>
        <w:tab w:val="right" w:pos="8306"/>
      </w:tabs>
      <w:snapToGrid w:val="0"/>
      <w:jc w:val="center"/>
    </w:pPr>
    <w:rPr>
      <w:sz w:val="18"/>
      <w:szCs w:val="18"/>
    </w:rPr>
  </w:style>
  <w:style w:type="paragraph" w:styleId="28">
    <w:name w:val="Balloon Text"/>
    <w:basedOn w:val="1"/>
    <w:link w:val="93"/>
    <w:qFormat/>
    <w:uiPriority w:val="0"/>
    <w:rPr>
      <w:sz w:val="18"/>
      <w:szCs w:val="18"/>
    </w:rPr>
  </w:style>
  <w:style w:type="paragraph" w:styleId="29">
    <w:name w:val="footer"/>
    <w:basedOn w:val="1"/>
    <w:link w:val="65"/>
    <w:qFormat/>
    <w:uiPriority w:val="99"/>
    <w:pPr>
      <w:tabs>
        <w:tab w:val="center" w:pos="4153"/>
        <w:tab w:val="right" w:pos="8306"/>
      </w:tabs>
      <w:snapToGrid w:val="0"/>
      <w:jc w:val="left"/>
    </w:pPr>
    <w:rPr>
      <w:sz w:val="18"/>
      <w:szCs w:val="18"/>
    </w:rPr>
  </w:style>
  <w:style w:type="paragraph" w:styleId="30">
    <w:name w:val="toc 1"/>
    <w:basedOn w:val="1"/>
    <w:next w:val="1"/>
    <w:qFormat/>
    <w:uiPriority w:val="39"/>
    <w:pPr>
      <w:spacing w:line="360" w:lineRule="auto"/>
    </w:pPr>
    <w:rPr>
      <w:rFonts w:asciiTheme="minorEastAsia" w:hAnsiTheme="minorEastAsia" w:eastAsiaTheme="minorEastAsia"/>
      <w:b/>
      <w:sz w:val="24"/>
      <w:szCs w:val="21"/>
    </w:rPr>
  </w:style>
  <w:style w:type="paragraph" w:styleId="31">
    <w:name w:val="toc 4"/>
    <w:basedOn w:val="1"/>
    <w:next w:val="1"/>
    <w:unhideWhenUsed/>
    <w:qFormat/>
    <w:uiPriority w:val="39"/>
    <w:pPr>
      <w:adjustRightInd w:val="0"/>
      <w:snapToGrid w:val="0"/>
      <w:spacing w:line="360" w:lineRule="auto"/>
      <w:ind w:left="600" w:leftChars="600"/>
    </w:pPr>
    <w:rPr>
      <w:rFonts w:asciiTheme="minorHAnsi" w:hAnsiTheme="minorHAnsi" w:eastAsiaTheme="minorEastAsia" w:cstheme="minorBidi"/>
      <w:b/>
      <w:szCs w:val="22"/>
    </w:rPr>
  </w:style>
  <w:style w:type="paragraph" w:styleId="32">
    <w:name w:val="toc 6"/>
    <w:basedOn w:val="1"/>
    <w:next w:val="1"/>
    <w:qFormat/>
    <w:uiPriority w:val="39"/>
    <w:pPr>
      <w:ind w:left="2100"/>
    </w:pPr>
    <w:rPr>
      <w:szCs w:val="20"/>
    </w:rPr>
  </w:style>
  <w:style w:type="paragraph" w:styleId="33">
    <w:name w:val="Body Text Indent 3"/>
    <w:basedOn w:val="1"/>
    <w:link w:val="79"/>
    <w:qFormat/>
    <w:uiPriority w:val="0"/>
    <w:pPr>
      <w:spacing w:after="120"/>
      <w:ind w:left="420" w:leftChars="200"/>
    </w:pPr>
    <w:rPr>
      <w:sz w:val="16"/>
      <w:szCs w:val="16"/>
    </w:rPr>
  </w:style>
  <w:style w:type="paragraph" w:styleId="34">
    <w:name w:val="toc 2"/>
    <w:basedOn w:val="1"/>
    <w:next w:val="1"/>
    <w:unhideWhenUsed/>
    <w:qFormat/>
    <w:uiPriority w:val="39"/>
    <w:pPr>
      <w:spacing w:line="360" w:lineRule="auto"/>
      <w:ind w:left="200" w:leftChars="200"/>
    </w:pPr>
    <w:rPr>
      <w:rFonts w:eastAsiaTheme="majorEastAsia"/>
      <w:b/>
    </w:rPr>
  </w:style>
  <w:style w:type="paragraph" w:styleId="35">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6">
    <w:name w:val="Body Text 2"/>
    <w:basedOn w:val="1"/>
    <w:link w:val="76"/>
    <w:qFormat/>
    <w:uiPriority w:val="0"/>
    <w:pPr>
      <w:spacing w:after="120" w:line="480" w:lineRule="auto"/>
    </w:pPr>
  </w:style>
  <w:style w:type="paragraph" w:styleId="37">
    <w:name w:val="HTML Preformatted"/>
    <w:basedOn w:val="1"/>
    <w:link w:val="7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pPr>
      <w:spacing w:line="220" w:lineRule="exact"/>
      <w:jc w:val="center"/>
    </w:pPr>
    <w:rPr>
      <w:rFonts w:ascii="仿宋_GB2312" w:eastAsia="仿宋_GB2312"/>
      <w:szCs w:val="20"/>
    </w:rPr>
  </w:style>
  <w:style w:type="paragraph" w:styleId="40">
    <w:name w:val="Title"/>
    <w:basedOn w:val="1"/>
    <w:link w:val="110"/>
    <w:qFormat/>
    <w:uiPriority w:val="0"/>
    <w:pPr>
      <w:jc w:val="center"/>
      <w:outlineLvl w:val="0"/>
    </w:pPr>
    <w:rPr>
      <w:rFonts w:asciiTheme="minorHAnsi" w:hAnsiTheme="minorHAnsi" w:eastAsiaTheme="minorEastAsia" w:cstheme="minorBidi"/>
      <w:b/>
      <w:sz w:val="32"/>
      <w:szCs w:val="22"/>
    </w:rPr>
  </w:style>
  <w:style w:type="paragraph" w:styleId="41">
    <w:name w:val="annotation subject"/>
    <w:basedOn w:val="15"/>
    <w:next w:val="15"/>
    <w:link w:val="92"/>
    <w:qFormat/>
    <w:uiPriority w:val="0"/>
    <w:rPr>
      <w:b/>
      <w:bCs/>
    </w:rPr>
  </w:style>
  <w:style w:type="paragraph" w:styleId="42">
    <w:name w:val="Body Text First Indent 2"/>
    <w:basedOn w:val="18"/>
    <w:unhideWhenUsed/>
    <w:qFormat/>
    <w:uiPriority w:val="99"/>
    <w:pPr>
      <w:ind w:firstLine="420" w:firstLineChars="200"/>
    </w:pPr>
    <w:rPr>
      <w:rFonts w:ascii="Calibri" w:hAnsi="Calibri" w:eastAsia="宋体" w:cs="Times New Roman"/>
      <w:szCs w:val="22"/>
    </w:rPr>
  </w:style>
  <w:style w:type="table" w:styleId="44">
    <w:name w:val="Table Grid"/>
    <w:basedOn w:val="43"/>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99"/>
    <w:rPr>
      <w:color w:val="136EC2"/>
      <w:u w:val="single"/>
    </w:rPr>
  </w:style>
  <w:style w:type="character" w:styleId="50">
    <w:name w:val="annotation reference"/>
    <w:qFormat/>
    <w:uiPriority w:val="0"/>
    <w:rPr>
      <w:sz w:val="21"/>
      <w:szCs w:val="21"/>
    </w:rPr>
  </w:style>
  <w:style w:type="paragraph" w:customStyle="1" w:styleId="51">
    <w:name w:val="正文文本缩进_0"/>
    <w:basedOn w:val="52"/>
    <w:qFormat/>
    <w:uiPriority w:val="0"/>
    <w:pPr>
      <w:widowControl w:val="0"/>
      <w:spacing w:line="500" w:lineRule="exact"/>
      <w:ind w:firstLine="560"/>
      <w:jc w:val="left"/>
    </w:pPr>
    <w:rPr>
      <w:rFonts w:ascii="仿宋_GB2312" w:hAnsi="Calibri" w:eastAsia="仿宋_GB2312" w:cs="Times New Roman"/>
      <w:kern w:val="2"/>
      <w:sz w:val="28"/>
      <w:szCs w:val="28"/>
      <w:lang w:val="en-US" w:eastAsia="zh-CN" w:bidi="ar-SA"/>
    </w:rPr>
  </w:style>
  <w:style w:type="paragraph" w:customStyle="1" w:styleId="52">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正文1"/>
    <w:basedOn w:val="1"/>
    <w:qFormat/>
    <w:uiPriority w:val="0"/>
    <w:pPr>
      <w:spacing w:line="360" w:lineRule="auto"/>
      <w:ind w:firstLine="480" w:firstLineChars="200"/>
    </w:pPr>
    <w:rPr>
      <w:rFonts w:ascii="Times New Roman" w:hAnsi="Times New Roman"/>
      <w:sz w:val="24"/>
      <w:szCs w:val="24"/>
    </w:rPr>
  </w:style>
  <w:style w:type="character" w:customStyle="1" w:styleId="54">
    <w:name w:val="标题 1 Char"/>
    <w:basedOn w:val="45"/>
    <w:link w:val="2"/>
    <w:qFormat/>
    <w:uiPriority w:val="0"/>
    <w:rPr>
      <w:rFonts w:ascii="Times New Roman" w:hAnsi="Times New Roman" w:eastAsia="宋体" w:cs="Times New Roman"/>
      <w:b/>
      <w:bCs/>
      <w:sz w:val="24"/>
      <w:szCs w:val="20"/>
    </w:rPr>
  </w:style>
  <w:style w:type="character" w:customStyle="1" w:styleId="55">
    <w:name w:val="标题 2 Char"/>
    <w:basedOn w:val="45"/>
    <w:link w:val="3"/>
    <w:qFormat/>
    <w:uiPriority w:val="0"/>
    <w:rPr>
      <w:rFonts w:ascii="Arial" w:hAnsi="Arial" w:eastAsia="宋体" w:cs="Times New Roman"/>
      <w:b/>
      <w:bCs/>
      <w:sz w:val="24"/>
      <w:szCs w:val="32"/>
    </w:rPr>
  </w:style>
  <w:style w:type="character" w:customStyle="1" w:styleId="56">
    <w:name w:val="标题 3 Char"/>
    <w:basedOn w:val="45"/>
    <w:link w:val="4"/>
    <w:qFormat/>
    <w:uiPriority w:val="0"/>
    <w:rPr>
      <w:rFonts w:ascii="Times New Roman" w:hAnsi="Times New Roman" w:eastAsia="宋体" w:cs="Times New Roman"/>
      <w:b/>
      <w:bCs/>
      <w:sz w:val="32"/>
      <w:szCs w:val="32"/>
    </w:rPr>
  </w:style>
  <w:style w:type="character" w:customStyle="1" w:styleId="57">
    <w:name w:val="标题 4 Char"/>
    <w:basedOn w:val="45"/>
    <w:link w:val="5"/>
    <w:qFormat/>
    <w:uiPriority w:val="0"/>
    <w:rPr>
      <w:rFonts w:ascii="Arial" w:hAnsi="Arial" w:eastAsia="黑体" w:cs="Times New Roman"/>
      <w:b/>
      <w:bCs/>
      <w:sz w:val="28"/>
      <w:szCs w:val="28"/>
    </w:rPr>
  </w:style>
  <w:style w:type="character" w:customStyle="1" w:styleId="58">
    <w:name w:val="标题 5 Char"/>
    <w:basedOn w:val="45"/>
    <w:link w:val="6"/>
    <w:qFormat/>
    <w:uiPriority w:val="0"/>
    <w:rPr>
      <w:rFonts w:ascii="Times New Roman" w:hAnsi="Times New Roman" w:eastAsia="宋体" w:cs="Times New Roman"/>
      <w:b/>
      <w:bCs/>
      <w:kern w:val="0"/>
      <w:sz w:val="28"/>
      <w:szCs w:val="28"/>
    </w:rPr>
  </w:style>
  <w:style w:type="character" w:customStyle="1" w:styleId="59">
    <w:name w:val="标题 6 Char"/>
    <w:basedOn w:val="45"/>
    <w:link w:val="7"/>
    <w:qFormat/>
    <w:uiPriority w:val="0"/>
    <w:rPr>
      <w:rFonts w:ascii="Arial" w:hAnsi="Arial" w:eastAsia="黑体" w:cs="Times New Roman"/>
      <w:b/>
      <w:bCs/>
      <w:kern w:val="0"/>
      <w:sz w:val="24"/>
      <w:szCs w:val="24"/>
    </w:rPr>
  </w:style>
  <w:style w:type="character" w:customStyle="1" w:styleId="60">
    <w:name w:val="标题 7 Char"/>
    <w:basedOn w:val="45"/>
    <w:link w:val="8"/>
    <w:qFormat/>
    <w:uiPriority w:val="0"/>
    <w:rPr>
      <w:rFonts w:ascii="Times New Roman" w:hAnsi="Times New Roman" w:eastAsia="宋体" w:cs="Times New Roman"/>
      <w:b/>
      <w:bCs/>
      <w:kern w:val="0"/>
      <w:sz w:val="24"/>
      <w:szCs w:val="24"/>
    </w:rPr>
  </w:style>
  <w:style w:type="character" w:customStyle="1" w:styleId="61">
    <w:name w:val="标题 8 Char"/>
    <w:basedOn w:val="45"/>
    <w:link w:val="9"/>
    <w:qFormat/>
    <w:uiPriority w:val="0"/>
    <w:rPr>
      <w:rFonts w:ascii="Arial" w:hAnsi="Arial" w:eastAsia="黑体" w:cs="Times New Roman"/>
      <w:kern w:val="0"/>
      <w:sz w:val="24"/>
      <w:szCs w:val="24"/>
    </w:rPr>
  </w:style>
  <w:style w:type="character" w:customStyle="1" w:styleId="62">
    <w:name w:val="标题 9 Char"/>
    <w:basedOn w:val="45"/>
    <w:link w:val="10"/>
    <w:qFormat/>
    <w:uiPriority w:val="0"/>
    <w:rPr>
      <w:rFonts w:ascii="Arial" w:hAnsi="Arial" w:eastAsia="黑体" w:cs="Times New Roman"/>
      <w:kern w:val="0"/>
      <w:szCs w:val="21"/>
    </w:rPr>
  </w:style>
  <w:style w:type="paragraph" w:customStyle="1" w:styleId="63">
    <w:name w:val="表格内容"/>
    <w:basedOn w:val="17"/>
    <w:qFormat/>
    <w:uiPriority w:val="0"/>
    <w:pPr>
      <w:suppressLineNumbers/>
      <w:suppressAutoHyphens/>
      <w:jc w:val="left"/>
    </w:pPr>
    <w:rPr>
      <w:rFonts w:cs="Tahoma"/>
      <w:kern w:val="0"/>
      <w:sz w:val="24"/>
    </w:rPr>
  </w:style>
  <w:style w:type="character" w:customStyle="1" w:styleId="64">
    <w:name w:val="正文文本 Char"/>
    <w:basedOn w:val="45"/>
    <w:link w:val="17"/>
    <w:qFormat/>
    <w:uiPriority w:val="0"/>
    <w:rPr>
      <w:rFonts w:ascii="Times New Roman" w:hAnsi="Times New Roman" w:eastAsia="宋体" w:cs="Times New Roman"/>
      <w:szCs w:val="24"/>
    </w:rPr>
  </w:style>
  <w:style w:type="character" w:customStyle="1" w:styleId="65">
    <w:name w:val="页脚 Char"/>
    <w:basedOn w:val="45"/>
    <w:link w:val="29"/>
    <w:qFormat/>
    <w:uiPriority w:val="99"/>
    <w:rPr>
      <w:rFonts w:ascii="Times New Roman" w:hAnsi="Times New Roman" w:eastAsia="宋体" w:cs="Times New Roman"/>
      <w:sz w:val="18"/>
      <w:szCs w:val="18"/>
    </w:rPr>
  </w:style>
  <w:style w:type="character" w:customStyle="1" w:styleId="66">
    <w:name w:val="页眉 Char"/>
    <w:basedOn w:val="45"/>
    <w:link w:val="27"/>
    <w:qFormat/>
    <w:uiPriority w:val="99"/>
    <w:rPr>
      <w:rFonts w:ascii="Times New Roman" w:hAnsi="Times New Roman" w:eastAsia="宋体" w:cs="Times New Roman"/>
      <w:sz w:val="18"/>
      <w:szCs w:val="18"/>
    </w:rPr>
  </w:style>
  <w:style w:type="character" w:customStyle="1" w:styleId="67">
    <w:name w:val="正文文本缩进 Char"/>
    <w:basedOn w:val="45"/>
    <w:link w:val="18"/>
    <w:qFormat/>
    <w:uiPriority w:val="0"/>
    <w:rPr>
      <w:rFonts w:ascii="Times New Roman" w:hAnsi="Times New Roman" w:eastAsia="宋体" w:cs="Times New Roman"/>
      <w:szCs w:val="24"/>
    </w:rPr>
  </w:style>
  <w:style w:type="paragraph" w:customStyle="1" w:styleId="68">
    <w:name w:val="Char Char Char Char Char Char Char"/>
    <w:basedOn w:val="1"/>
    <w:qFormat/>
    <w:uiPriority w:val="0"/>
    <w:pPr>
      <w:snapToGrid w:val="0"/>
      <w:spacing w:line="360" w:lineRule="auto"/>
      <w:ind w:firstLine="200" w:firstLineChars="200"/>
    </w:pPr>
    <w:rPr>
      <w:rFonts w:eastAsia="仿宋_GB2312"/>
      <w:sz w:val="24"/>
    </w:rPr>
  </w:style>
  <w:style w:type="character" w:customStyle="1" w:styleId="69">
    <w:name w:val="纯文本 Char"/>
    <w:basedOn w:val="45"/>
    <w:link w:val="23"/>
    <w:qFormat/>
    <w:uiPriority w:val="0"/>
    <w:rPr>
      <w:rFonts w:ascii="宋体" w:hAnsi="Courier New" w:eastAsia="宋体" w:cs="Courier New"/>
      <w:szCs w:val="21"/>
    </w:rPr>
  </w:style>
  <w:style w:type="character" w:customStyle="1" w:styleId="70">
    <w:name w:val="批注文字 Char"/>
    <w:basedOn w:val="45"/>
    <w:link w:val="15"/>
    <w:semiHidden/>
    <w:qFormat/>
    <w:uiPriority w:val="0"/>
    <w:rPr>
      <w:rFonts w:ascii="Times New Roman" w:hAnsi="Times New Roman" w:eastAsia="宋体" w:cs="Times New Roman"/>
      <w:szCs w:val="24"/>
    </w:rPr>
  </w:style>
  <w:style w:type="paragraph" w:customStyle="1" w:styleId="7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72">
    <w:name w:val="Char Char Char"/>
    <w:basedOn w:val="1"/>
    <w:qFormat/>
    <w:uiPriority w:val="0"/>
    <w:rPr>
      <w:rFonts w:ascii="宋体" w:hAnsi="宋体"/>
      <w:b/>
      <w:sz w:val="28"/>
      <w:szCs w:val="28"/>
    </w:rPr>
  </w:style>
  <w:style w:type="paragraph" w:customStyle="1" w:styleId="73">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74">
    <w:name w:val="HTML 预设格式 Char"/>
    <w:basedOn w:val="45"/>
    <w:link w:val="37"/>
    <w:qFormat/>
    <w:uiPriority w:val="0"/>
    <w:rPr>
      <w:rFonts w:ascii="Arial" w:hAnsi="Arial" w:eastAsia="宋体" w:cs="Arial"/>
      <w:kern w:val="0"/>
      <w:sz w:val="24"/>
      <w:szCs w:val="24"/>
    </w:rPr>
  </w:style>
  <w:style w:type="character" w:customStyle="1" w:styleId="75">
    <w:name w:val="称呼 Char"/>
    <w:basedOn w:val="45"/>
    <w:link w:val="16"/>
    <w:qFormat/>
    <w:uiPriority w:val="0"/>
    <w:rPr>
      <w:rFonts w:ascii="仿宋_GB2312" w:hAnsi="Times New Roman" w:eastAsia="仿宋_GB2312" w:cs="Times New Roman"/>
      <w:sz w:val="24"/>
      <w:szCs w:val="24"/>
    </w:rPr>
  </w:style>
  <w:style w:type="character" w:customStyle="1" w:styleId="76">
    <w:name w:val="正文文本 2 Char"/>
    <w:basedOn w:val="45"/>
    <w:link w:val="36"/>
    <w:qFormat/>
    <w:uiPriority w:val="0"/>
    <w:rPr>
      <w:rFonts w:ascii="Times New Roman" w:hAnsi="Times New Roman" w:eastAsia="宋体" w:cs="Times New Roman"/>
      <w:szCs w:val="24"/>
    </w:rPr>
  </w:style>
  <w:style w:type="character" w:customStyle="1" w:styleId="77">
    <w:name w:val="正文文本缩进 2 Char"/>
    <w:basedOn w:val="45"/>
    <w:link w:val="26"/>
    <w:qFormat/>
    <w:uiPriority w:val="0"/>
    <w:rPr>
      <w:rFonts w:ascii="Times New Roman" w:hAnsi="Times New Roman" w:eastAsia="宋体" w:cs="Times New Roman"/>
      <w:szCs w:val="24"/>
    </w:rPr>
  </w:style>
  <w:style w:type="paragraph" w:customStyle="1" w:styleId="78">
    <w:name w:val="Char"/>
    <w:basedOn w:val="1"/>
    <w:qFormat/>
    <w:uiPriority w:val="0"/>
    <w:pPr>
      <w:tabs>
        <w:tab w:val="left" w:pos="360"/>
      </w:tabs>
      <w:ind w:left="360" w:hanging="360" w:hangingChars="200"/>
    </w:pPr>
    <w:rPr>
      <w:sz w:val="24"/>
    </w:rPr>
  </w:style>
  <w:style w:type="character" w:customStyle="1" w:styleId="79">
    <w:name w:val="正文文本缩进 3 Char"/>
    <w:basedOn w:val="45"/>
    <w:link w:val="33"/>
    <w:qFormat/>
    <w:uiPriority w:val="0"/>
    <w:rPr>
      <w:rFonts w:ascii="Times New Roman" w:hAnsi="Times New Roman" w:eastAsia="宋体" w:cs="Times New Roman"/>
      <w:sz w:val="16"/>
      <w:szCs w:val="16"/>
    </w:rPr>
  </w:style>
  <w:style w:type="character" w:customStyle="1" w:styleId="80">
    <w:name w:val="日期 Char"/>
    <w:basedOn w:val="45"/>
    <w:link w:val="25"/>
    <w:qFormat/>
    <w:uiPriority w:val="0"/>
    <w:rPr>
      <w:rFonts w:ascii="Times New Roman" w:hAnsi="Times New Roman" w:eastAsia="宋体" w:cs="Times New Roman"/>
      <w:sz w:val="24"/>
      <w:szCs w:val="20"/>
    </w:rPr>
  </w:style>
  <w:style w:type="paragraph" w:customStyle="1" w:styleId="81">
    <w:name w:val="样式1"/>
    <w:basedOn w:val="1"/>
    <w:link w:val="112"/>
    <w:qFormat/>
    <w:uiPriority w:val="0"/>
    <w:pPr>
      <w:tabs>
        <w:tab w:val="left" w:pos="360"/>
      </w:tabs>
      <w:adjustRightInd w:val="0"/>
      <w:ind w:left="360" w:hanging="360"/>
      <w:textAlignment w:val="baseline"/>
    </w:pPr>
    <w:rPr>
      <w:rFonts w:ascii="宋体" w:hAnsi="宋体"/>
      <w:kern w:val="0"/>
      <w:szCs w:val="21"/>
    </w:rPr>
  </w:style>
  <w:style w:type="character" w:customStyle="1" w:styleId="82">
    <w:name w:val="p0 Char"/>
    <w:link w:val="83"/>
    <w:qFormat/>
    <w:uiPriority w:val="0"/>
    <w:rPr>
      <w:rFonts w:eastAsia="宋体"/>
      <w:szCs w:val="21"/>
    </w:rPr>
  </w:style>
  <w:style w:type="paragraph" w:customStyle="1" w:styleId="83">
    <w:name w:val="p0"/>
    <w:basedOn w:val="1"/>
    <w:link w:val="82"/>
    <w:qFormat/>
    <w:uiPriority w:val="0"/>
    <w:pPr>
      <w:widowControl/>
    </w:pPr>
    <w:rPr>
      <w:rFonts w:asciiTheme="minorHAnsi" w:hAnsiTheme="minorHAnsi" w:cstheme="minorBidi"/>
      <w:szCs w:val="21"/>
    </w:rPr>
  </w:style>
  <w:style w:type="paragraph" w:customStyle="1" w:styleId="8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85">
    <w:name w:val="Char Char1 Char Char Char Char Char1 Char Char Char Char"/>
    <w:basedOn w:val="14"/>
    <w:qFormat/>
    <w:uiPriority w:val="0"/>
    <w:rPr>
      <w:rFonts w:ascii="Tahoma" w:hAnsi="Tahoma"/>
    </w:rPr>
  </w:style>
  <w:style w:type="character" w:customStyle="1" w:styleId="86">
    <w:name w:val="文档结构图 Char"/>
    <w:basedOn w:val="45"/>
    <w:link w:val="14"/>
    <w:semiHidden/>
    <w:qFormat/>
    <w:uiPriority w:val="0"/>
    <w:rPr>
      <w:rFonts w:ascii="Times New Roman" w:hAnsi="Times New Roman" w:eastAsia="宋体" w:cs="Times New Roman"/>
      <w:szCs w:val="24"/>
      <w:shd w:val="clear" w:color="auto" w:fill="000080"/>
    </w:rPr>
  </w:style>
  <w:style w:type="paragraph" w:customStyle="1" w:styleId="87">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8">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9">
    <w:name w:val="1"/>
    <w:basedOn w:val="1"/>
    <w:qFormat/>
    <w:uiPriority w:val="0"/>
    <w:pPr>
      <w:spacing w:afterLines="50" w:line="360" w:lineRule="auto"/>
    </w:pPr>
    <w:rPr>
      <w:rFonts w:ascii="宋体" w:hAnsi="宋体"/>
      <w:b/>
      <w:sz w:val="30"/>
      <w:szCs w:val="21"/>
    </w:rPr>
  </w:style>
  <w:style w:type="paragraph" w:customStyle="1" w:styleId="90">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91">
    <w:name w:val="标题 1 +"/>
    <w:basedOn w:val="2"/>
    <w:next w:val="1"/>
    <w:qFormat/>
    <w:uiPriority w:val="0"/>
    <w:pPr>
      <w:keepLines/>
      <w:spacing w:line="600" w:lineRule="auto"/>
    </w:pPr>
    <w:rPr>
      <w:rFonts w:eastAsia="黑体"/>
      <w:kern w:val="0"/>
      <w:sz w:val="32"/>
      <w:szCs w:val="32"/>
    </w:rPr>
  </w:style>
  <w:style w:type="character" w:customStyle="1" w:styleId="92">
    <w:name w:val="批注主题 Char"/>
    <w:basedOn w:val="70"/>
    <w:link w:val="41"/>
    <w:qFormat/>
    <w:uiPriority w:val="0"/>
    <w:rPr>
      <w:rFonts w:ascii="Times New Roman" w:hAnsi="Times New Roman" w:eastAsia="宋体" w:cs="Times New Roman"/>
      <w:b/>
      <w:bCs/>
      <w:szCs w:val="24"/>
    </w:rPr>
  </w:style>
  <w:style w:type="character" w:customStyle="1" w:styleId="93">
    <w:name w:val="批注框文本 Char"/>
    <w:basedOn w:val="45"/>
    <w:link w:val="28"/>
    <w:qFormat/>
    <w:uiPriority w:val="0"/>
    <w:rPr>
      <w:rFonts w:ascii="Times New Roman" w:hAnsi="Times New Roman" w:eastAsia="宋体" w:cs="Times New Roman"/>
      <w:sz w:val="18"/>
      <w:szCs w:val="18"/>
    </w:rPr>
  </w:style>
  <w:style w:type="paragraph" w:customStyle="1" w:styleId="94">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95">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96">
    <w:name w:val="Char1 Char Char Char 字元 Char Char 字元 Char 字元 Char1 Char Char Char"/>
    <w:basedOn w:val="1"/>
    <w:qFormat/>
    <w:uiPriority w:val="0"/>
    <w:rPr>
      <w:szCs w:val="20"/>
    </w:rPr>
  </w:style>
  <w:style w:type="paragraph" w:customStyle="1" w:styleId="97">
    <w:name w:val="p16"/>
    <w:basedOn w:val="1"/>
    <w:qFormat/>
    <w:uiPriority w:val="0"/>
    <w:pPr>
      <w:widowControl/>
      <w:jc w:val="left"/>
    </w:pPr>
    <w:rPr>
      <w:kern w:val="0"/>
      <w:szCs w:val="21"/>
    </w:rPr>
  </w:style>
  <w:style w:type="paragraph" w:customStyle="1" w:styleId="98">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1">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2">
    <w:name w:val="Char Char Char1 Char"/>
    <w:basedOn w:val="1"/>
    <w:qFormat/>
    <w:uiPriority w:val="0"/>
    <w:pPr>
      <w:tabs>
        <w:tab w:val="left" w:pos="360"/>
      </w:tabs>
      <w:snapToGrid w:val="0"/>
      <w:spacing w:line="360" w:lineRule="auto"/>
    </w:pPr>
    <w:rPr>
      <w:rFonts w:eastAsia="仿宋_GB2312" w:cs="宋体"/>
      <w:sz w:val="24"/>
    </w:rPr>
  </w:style>
  <w:style w:type="paragraph" w:styleId="103">
    <w:name w:val="List Paragraph"/>
    <w:basedOn w:val="1"/>
    <w:link w:val="109"/>
    <w:qFormat/>
    <w:uiPriority w:val="0"/>
    <w:pPr>
      <w:ind w:firstLine="420" w:firstLineChars="200"/>
    </w:pPr>
  </w:style>
  <w:style w:type="character" w:customStyle="1" w:styleId="104">
    <w:name w:val="fontstyle01"/>
    <w:basedOn w:val="45"/>
    <w:qFormat/>
    <w:uiPriority w:val="0"/>
    <w:rPr>
      <w:rFonts w:hint="eastAsia" w:ascii="宋体" w:hAnsi="宋体" w:eastAsia="宋体"/>
      <w:color w:val="000000"/>
      <w:sz w:val="24"/>
      <w:szCs w:val="24"/>
    </w:rPr>
  </w:style>
  <w:style w:type="character" w:customStyle="1" w:styleId="105">
    <w:name w:val="fontstyle11"/>
    <w:basedOn w:val="45"/>
    <w:qFormat/>
    <w:uiPriority w:val="0"/>
    <w:rPr>
      <w:rFonts w:hint="default" w:ascii="TimesNewRomanPSMT" w:hAnsi="TimesNewRomanPSMT"/>
      <w:color w:val="000000"/>
      <w:sz w:val="24"/>
      <w:szCs w:val="24"/>
    </w:rPr>
  </w:style>
  <w:style w:type="paragraph" w:customStyle="1" w:styleId="106">
    <w:name w:val="TOC 标题1"/>
    <w:basedOn w:val="2"/>
    <w:next w:val="1"/>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7">
    <w:name w:val="fontstyle21"/>
    <w:basedOn w:val="45"/>
    <w:qFormat/>
    <w:uiPriority w:val="0"/>
    <w:rPr>
      <w:rFonts w:hint="eastAsia" w:ascii="宋体" w:hAnsi="宋体" w:eastAsia="宋体"/>
      <w:color w:val="993300"/>
      <w:sz w:val="24"/>
      <w:szCs w:val="24"/>
    </w:rPr>
  </w:style>
  <w:style w:type="character" w:customStyle="1" w:styleId="108">
    <w:name w:val="fontstyle31"/>
    <w:basedOn w:val="45"/>
    <w:qFormat/>
    <w:uiPriority w:val="0"/>
    <w:rPr>
      <w:rFonts w:hint="default" w:ascii="Arial" w:hAnsi="Arial" w:cs="Arial"/>
      <w:color w:val="993300"/>
      <w:sz w:val="24"/>
      <w:szCs w:val="24"/>
    </w:rPr>
  </w:style>
  <w:style w:type="character" w:customStyle="1" w:styleId="109">
    <w:name w:val="列出段落 Char"/>
    <w:link w:val="103"/>
    <w:qFormat/>
    <w:uiPriority w:val="0"/>
    <w:rPr>
      <w:rFonts w:ascii="Times New Roman" w:hAnsi="Times New Roman" w:eastAsia="宋体" w:cs="Times New Roman"/>
      <w:szCs w:val="24"/>
    </w:rPr>
  </w:style>
  <w:style w:type="character" w:customStyle="1" w:styleId="110">
    <w:name w:val="标题 Char"/>
    <w:link w:val="40"/>
    <w:qFormat/>
    <w:uiPriority w:val="0"/>
    <w:rPr>
      <w:b/>
      <w:sz w:val="32"/>
    </w:rPr>
  </w:style>
  <w:style w:type="character" w:customStyle="1" w:styleId="111">
    <w:name w:val="标题 Char1"/>
    <w:basedOn w:val="45"/>
    <w:qFormat/>
    <w:uiPriority w:val="10"/>
    <w:rPr>
      <w:rFonts w:eastAsia="宋体" w:asciiTheme="majorHAnsi" w:hAnsiTheme="majorHAnsi" w:cstheme="majorBidi"/>
      <w:b/>
      <w:bCs/>
      <w:sz w:val="32"/>
      <w:szCs w:val="32"/>
    </w:rPr>
  </w:style>
  <w:style w:type="character" w:customStyle="1" w:styleId="112">
    <w:name w:val="样式1 Char Char"/>
    <w:link w:val="81"/>
    <w:qFormat/>
    <w:uiPriority w:val="0"/>
    <w:rPr>
      <w:rFonts w:ascii="宋体" w:hAnsi="宋体" w:eastAsia="宋体" w:cs="Times New Roman"/>
      <w:kern w:val="0"/>
      <w:szCs w:val="21"/>
    </w:rPr>
  </w:style>
  <w:style w:type="character" w:customStyle="1" w:styleId="113">
    <w:name w:val="纯文本 Char1"/>
    <w:semiHidden/>
    <w:qFormat/>
    <w:locked/>
    <w:uiPriority w:val="0"/>
    <w:rPr>
      <w:rFonts w:ascii="宋体" w:hAnsi="Courier New" w:eastAsia="宋体" w:cs="Courier New"/>
      <w:kern w:val="2"/>
      <w:sz w:val="21"/>
      <w:szCs w:val="21"/>
      <w:lang w:val="en-US" w:eastAsia="zh-CN" w:bidi="ar-SA"/>
    </w:rPr>
  </w:style>
  <w:style w:type="paragraph" w:customStyle="1" w:styleId="114">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Normal_10"/>
    <w:qFormat/>
    <w:uiPriority w:val="0"/>
    <w:rPr>
      <w:rFonts w:ascii="Times New Roman" w:hAnsi="Times New Roman" w:eastAsia="Times New Roman" w:cs="Times New Roman"/>
      <w:sz w:val="24"/>
      <w:szCs w:val="24"/>
      <w:lang w:val="en-US" w:eastAsia="zh-CN" w:bidi="ar-SA"/>
    </w:rPr>
  </w:style>
  <w:style w:type="paragraph" w:customStyle="1" w:styleId="116">
    <w:name w:val="正文文本 (2)2"/>
    <w:basedOn w:val="1"/>
    <w:qFormat/>
    <w:uiPriority w:val="0"/>
    <w:pPr>
      <w:widowControl w:val="0"/>
      <w:shd w:val="clear" w:color="auto" w:fill="FFFFFF"/>
      <w:spacing w:before="380" w:line="600" w:lineRule="exact"/>
      <w:jc w:val="distribute"/>
    </w:pPr>
    <w:rPr>
      <w:rFonts w:ascii="MingLiU" w:hAnsi="MingLiU" w:eastAsia="MingLiU" w:cs="MingLiU"/>
      <w:u w:val="none"/>
    </w:rPr>
  </w:style>
  <w:style w:type="paragraph" w:customStyle="1" w:styleId="117">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3.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CDD418-2979-46B9-98A0-34CF63985EB0}">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97</Pages>
  <Words>2362</Words>
  <Characters>2687</Characters>
  <Lines>398</Lines>
  <Paragraphs>112</Paragraphs>
  <TotalTime>107</TotalTime>
  <ScaleCrop>false</ScaleCrop>
  <LinksUpToDate>false</LinksUpToDate>
  <CharactersWithSpaces>2784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2020-01-16T02:43:00Z</dcterms:created>
  <dc:creator>admin</dc:creator>
  <cp:lastModifiedBy>gaoslf</cp:lastModifiedBy>
  <cp:lastPrinted>2026-06-09T01:22:00Z</cp:lastPrinted>
  <dcterms:modified xsi:type="dcterms:W3CDTF">2026-06-09T06:50:40Z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FDDA629B023547F6A35E6B25A5785246_13</vt:lpwstr>
  </property>
  <property fmtid="{D5CDD505-2E9C-101B-9397-08002B2CF9AE}" pid="4" name="KSOTemplateDocerSaveRecord">
    <vt:lpwstr>eyJoZGlkIjoiN2RlNWI0MTdlMmFiZGQxNDllMGQyMjg1ZmY4ZWNjN2EiLCJ1c2VySWQiOiI4MzkyODE2MDYifQ==</vt:lpwstr>
  </property>
</Properties>
</file>