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04CD5">
      <w:pPr>
        <w:pStyle w:val="2"/>
        <w:keepNext w:val="0"/>
        <w:adjustRightInd w:val="0"/>
        <w:snapToGrid w:val="0"/>
        <w:spacing w:before="156" w:beforeLines="50" w:line="360" w:lineRule="auto"/>
        <w:rPr>
          <w:rFonts w:ascii="黑体" w:hAnsi="华文中宋" w:eastAsia="黑体"/>
          <w:sz w:val="32"/>
          <w:szCs w:val="32"/>
        </w:rPr>
      </w:pPr>
      <w:bookmarkStart w:id="4" w:name="_GoBack"/>
      <w:bookmarkEnd w:id="4"/>
      <w:bookmarkStart w:id="0" w:name="_Toc22482"/>
      <w:bookmarkStart w:id="1" w:name="_Toc29913941"/>
      <w:bookmarkStart w:id="2" w:name="_Toc4826"/>
      <w:bookmarkStart w:id="3" w:name="_Toc7906"/>
      <w:r>
        <w:rPr>
          <w:rFonts w:hint="eastAsia" w:ascii="黑体" w:hAnsi="华文中宋" w:eastAsia="黑体"/>
          <w:sz w:val="32"/>
          <w:szCs w:val="32"/>
        </w:rPr>
        <w:t xml:space="preserve"> 采购需求</w:t>
      </w:r>
      <w:bookmarkEnd w:id="0"/>
      <w:bookmarkEnd w:id="1"/>
      <w:bookmarkEnd w:id="2"/>
      <w:bookmarkEnd w:id="3"/>
    </w:p>
    <w:p w14:paraId="37705A2B">
      <w:pPr>
        <w:kinsoku w:val="0"/>
        <w:overflowPunct w:val="0"/>
        <w:autoSpaceDE w:val="0"/>
        <w:autoSpaceDN w:val="0"/>
        <w:adjustRightInd w:val="0"/>
        <w:spacing w:before="221"/>
        <w:ind w:left="229"/>
        <w:jc w:val="left"/>
        <w:rPr>
          <w:rFonts w:ascii="宋体" w:hAnsi="宋体" w:eastAsia="宋体" w:cs="宋体"/>
          <w:kern w:val="0"/>
          <w:sz w:val="24"/>
          <w:szCs w:val="24"/>
        </w:rPr>
      </w:pPr>
      <w:r>
        <w:rPr>
          <w:rFonts w:hint="eastAsia" w:ascii="宋体" w:hAnsi="宋体" w:eastAsia="宋体" w:cs="宋体"/>
          <w:b/>
          <w:bCs/>
          <w:kern w:val="0"/>
          <w:sz w:val="24"/>
          <w:szCs w:val="24"/>
          <w:lang w:eastAsia="zh-CN"/>
        </w:rPr>
        <w:t>一</w:t>
      </w:r>
      <w:r>
        <w:rPr>
          <w:rFonts w:hint="eastAsia" w:ascii="宋体" w:hAnsi="宋体" w:eastAsia="宋体" w:cs="宋体"/>
          <w:b/>
          <w:bCs/>
          <w:kern w:val="0"/>
          <w:sz w:val="24"/>
          <w:szCs w:val="24"/>
        </w:rPr>
        <w:t>、项目名称：</w:t>
      </w:r>
      <w:r>
        <w:rPr>
          <w:rFonts w:hint="eastAsia" w:ascii="宋体" w:hAnsi="宋体" w:cs="宋体"/>
          <w:b/>
          <w:bCs/>
          <w:kern w:val="0"/>
          <w:sz w:val="24"/>
          <w:szCs w:val="24"/>
          <w:lang w:eastAsia="zh-CN"/>
        </w:rPr>
        <w:t>桂阳县城区公共区域病媒生物防制服务（第二次）</w:t>
      </w:r>
      <w:r>
        <w:rPr>
          <w:rFonts w:hint="eastAsia" w:ascii="宋体" w:hAnsi="宋体" w:eastAsia="宋体" w:cs="Times New Roman"/>
          <w:b/>
          <w:sz w:val="24"/>
          <w:szCs w:val="24"/>
        </w:rPr>
        <w:t xml:space="preserve">     </w:t>
      </w:r>
    </w:p>
    <w:p w14:paraId="6DB0DD15">
      <w:pPr>
        <w:kinsoku w:val="0"/>
        <w:overflowPunct w:val="0"/>
        <w:autoSpaceDE w:val="0"/>
        <w:autoSpaceDN w:val="0"/>
        <w:adjustRightInd w:val="0"/>
        <w:spacing w:before="37"/>
        <w:ind w:left="229"/>
        <w:jc w:val="left"/>
        <w:rPr>
          <w:rFonts w:hint="eastAsia" w:ascii="宋体" w:hAnsi="宋体" w:eastAsia="宋体" w:cs="宋体"/>
          <w:b/>
          <w:bCs/>
          <w:kern w:val="0"/>
          <w:sz w:val="24"/>
          <w:szCs w:val="24"/>
          <w:lang w:eastAsia="zh-CN"/>
        </w:rPr>
      </w:pPr>
    </w:p>
    <w:p w14:paraId="5DC0E886">
      <w:pPr>
        <w:kinsoku w:val="0"/>
        <w:overflowPunct w:val="0"/>
        <w:autoSpaceDE w:val="0"/>
        <w:autoSpaceDN w:val="0"/>
        <w:adjustRightInd w:val="0"/>
        <w:spacing w:before="37"/>
        <w:ind w:left="229"/>
        <w:jc w:val="left"/>
        <w:rPr>
          <w:rFonts w:hint="eastAsia" w:ascii="宋体" w:hAnsi="宋体" w:cs="宋体"/>
          <w:b/>
          <w:bCs/>
          <w:color w:val="000000"/>
          <w:kern w:val="0"/>
          <w:sz w:val="24"/>
          <w:szCs w:val="24"/>
          <w:lang w:eastAsia="zh-CN"/>
        </w:rPr>
      </w:pPr>
      <w:r>
        <w:rPr>
          <w:rFonts w:hint="eastAsia" w:ascii="宋体" w:hAnsi="宋体" w:eastAsia="宋体" w:cs="宋体"/>
          <w:b/>
          <w:bCs/>
          <w:kern w:val="0"/>
          <w:sz w:val="24"/>
          <w:szCs w:val="24"/>
          <w:lang w:eastAsia="zh-CN"/>
        </w:rPr>
        <w:t>二</w:t>
      </w:r>
      <w:r>
        <w:rPr>
          <w:rFonts w:hint="eastAsia" w:ascii="宋体" w:hAnsi="宋体" w:eastAsia="宋体" w:cs="宋体"/>
          <w:b/>
          <w:bCs/>
          <w:kern w:val="0"/>
          <w:sz w:val="24"/>
          <w:szCs w:val="24"/>
        </w:rPr>
        <w:t>、预算金额</w:t>
      </w:r>
      <w:r>
        <w:rPr>
          <w:rFonts w:hint="eastAsia" w:ascii="宋体" w:hAnsi="宋体" w:eastAsia="宋体" w:cs="宋体"/>
          <w:b/>
          <w:bCs/>
          <w:color w:val="000000"/>
          <w:kern w:val="0"/>
          <w:sz w:val="24"/>
          <w:szCs w:val="24"/>
        </w:rPr>
        <w:t>：</w:t>
      </w:r>
      <w:r>
        <w:rPr>
          <w:rFonts w:hint="eastAsia" w:ascii="宋体" w:hAnsi="宋体" w:cs="宋体"/>
          <w:b/>
          <w:bCs/>
          <w:color w:val="auto"/>
          <w:kern w:val="0"/>
          <w:sz w:val="24"/>
          <w:szCs w:val="24"/>
          <w:lang w:val="en-US" w:eastAsia="zh-CN"/>
        </w:rPr>
        <w:t>240</w:t>
      </w:r>
      <w:r>
        <w:rPr>
          <w:rFonts w:hint="eastAsia" w:ascii="宋体" w:hAnsi="宋体" w:cs="宋体"/>
          <w:b/>
          <w:bCs/>
          <w:color w:val="auto"/>
          <w:kern w:val="0"/>
          <w:sz w:val="24"/>
          <w:szCs w:val="24"/>
          <w:lang w:eastAsia="zh-CN"/>
        </w:rPr>
        <w:t>万元</w:t>
      </w:r>
    </w:p>
    <w:p w14:paraId="0D0E9B20">
      <w:pPr>
        <w:kinsoku w:val="0"/>
        <w:overflowPunct w:val="0"/>
        <w:autoSpaceDE w:val="0"/>
        <w:autoSpaceDN w:val="0"/>
        <w:adjustRightInd w:val="0"/>
        <w:spacing w:before="221"/>
        <w:ind w:left="229"/>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三、服务期限：</w:t>
      </w:r>
      <w:r>
        <w:rPr>
          <w:rFonts w:hint="eastAsia" w:ascii="宋体" w:hAnsi="宋体" w:cs="宋体"/>
          <w:b/>
          <w:bCs/>
          <w:kern w:val="0"/>
          <w:sz w:val="24"/>
          <w:szCs w:val="24"/>
          <w:lang w:val="en-US" w:eastAsia="zh-CN"/>
        </w:rPr>
        <w:t>三</w:t>
      </w:r>
      <w:r>
        <w:rPr>
          <w:rFonts w:hint="eastAsia" w:ascii="宋体" w:hAnsi="宋体" w:eastAsia="宋体" w:cs="宋体"/>
          <w:b/>
          <w:bCs/>
          <w:kern w:val="0"/>
          <w:sz w:val="24"/>
          <w:szCs w:val="24"/>
          <w:lang w:val="en-US" w:eastAsia="zh-CN"/>
        </w:rPr>
        <w:t>年</w:t>
      </w:r>
    </w:p>
    <w:p w14:paraId="42964D7F">
      <w:pPr>
        <w:kinsoku w:val="0"/>
        <w:overflowPunct w:val="0"/>
        <w:autoSpaceDE w:val="0"/>
        <w:autoSpaceDN w:val="0"/>
        <w:adjustRightInd w:val="0"/>
        <w:spacing w:before="221"/>
        <w:ind w:left="229"/>
        <w:jc w:val="lef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四、服务范围及内容</w:t>
      </w:r>
    </w:p>
    <w:p w14:paraId="40ABC879">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1.城区公共区域外环境</w:t>
      </w:r>
    </w:p>
    <w:p w14:paraId="43D03931">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1.1辖区公园、绿地（含绿化带）、休闲广场的病媒生物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药物</w:t>
      </w:r>
      <w:r>
        <w:rPr>
          <w:rFonts w:hint="eastAsia" w:ascii="宋体" w:hAnsi="宋体" w:cs="Times New Roman"/>
          <w:b w:val="0"/>
          <w:bCs w:val="0"/>
          <w:kern w:val="2"/>
          <w:sz w:val="21"/>
          <w:szCs w:val="21"/>
          <w:lang w:val="en-US" w:eastAsia="zh-CN" w:bidi="ar-SA"/>
        </w:rPr>
        <w:t>消杀服务</w:t>
      </w:r>
      <w:r>
        <w:rPr>
          <w:rFonts w:hint="eastAsia" w:ascii="宋体" w:hAnsi="宋体" w:eastAsia="宋体" w:cs="Times New Roman"/>
          <w:b w:val="0"/>
          <w:bCs w:val="0"/>
          <w:kern w:val="2"/>
          <w:sz w:val="21"/>
          <w:szCs w:val="21"/>
          <w:lang w:val="en-US" w:eastAsia="zh-CN" w:bidi="ar-SA"/>
        </w:rPr>
        <w:t>；</w:t>
      </w:r>
    </w:p>
    <w:p w14:paraId="09E01461">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1.2辖区主次干道、</w:t>
      </w:r>
      <w:r>
        <w:rPr>
          <w:rFonts w:hint="eastAsia" w:ascii="宋体" w:hAnsi="宋体" w:cs="Times New Roman"/>
          <w:b w:val="0"/>
          <w:bCs w:val="0"/>
          <w:color w:val="auto"/>
          <w:kern w:val="2"/>
          <w:sz w:val="21"/>
          <w:szCs w:val="21"/>
          <w:lang w:val="en-US" w:eastAsia="zh-CN" w:bidi="ar-SA"/>
        </w:rPr>
        <w:t>背</w:t>
      </w:r>
      <w:r>
        <w:rPr>
          <w:rFonts w:hint="eastAsia" w:ascii="宋体" w:hAnsi="宋体" w:eastAsia="宋体" w:cs="Times New Roman"/>
          <w:b w:val="0"/>
          <w:bCs w:val="0"/>
          <w:color w:val="auto"/>
          <w:kern w:val="2"/>
          <w:sz w:val="21"/>
          <w:szCs w:val="21"/>
          <w:lang w:val="en-US" w:eastAsia="zh-CN" w:bidi="ar-SA"/>
        </w:rPr>
        <w:t>街小巷、城中村、城乡结合部病媒生物</w:t>
      </w:r>
      <w:r>
        <w:rPr>
          <w:rFonts w:hint="eastAsia" w:ascii="宋体" w:hAnsi="宋体" w:cs="Times New Roman"/>
          <w:b w:val="0"/>
          <w:bCs w:val="0"/>
          <w:color w:val="auto"/>
          <w:kern w:val="2"/>
          <w:sz w:val="21"/>
          <w:szCs w:val="21"/>
          <w:lang w:val="en-US" w:eastAsia="zh-CN" w:bidi="ar-SA"/>
        </w:rPr>
        <w:t>防治</w:t>
      </w:r>
      <w:r>
        <w:rPr>
          <w:rFonts w:hint="eastAsia" w:ascii="宋体" w:hAnsi="宋体" w:eastAsia="宋体" w:cs="Times New Roman"/>
          <w:b w:val="0"/>
          <w:bCs w:val="0"/>
          <w:color w:val="auto"/>
          <w:kern w:val="2"/>
          <w:sz w:val="21"/>
          <w:szCs w:val="21"/>
          <w:lang w:val="en-US" w:eastAsia="zh-CN" w:bidi="ar-SA"/>
        </w:rPr>
        <w:t>药物</w:t>
      </w:r>
      <w:r>
        <w:rPr>
          <w:rFonts w:hint="eastAsia" w:ascii="宋体" w:hAnsi="宋体" w:cs="Times New Roman"/>
          <w:b w:val="0"/>
          <w:bCs w:val="0"/>
          <w:color w:val="auto"/>
          <w:kern w:val="2"/>
          <w:sz w:val="21"/>
          <w:szCs w:val="21"/>
          <w:lang w:val="en-US" w:eastAsia="zh-CN" w:bidi="ar-SA"/>
        </w:rPr>
        <w:t>消杀服务</w:t>
      </w:r>
      <w:r>
        <w:rPr>
          <w:rFonts w:hint="eastAsia" w:ascii="宋体" w:hAnsi="宋体" w:eastAsia="宋体" w:cs="Times New Roman"/>
          <w:b w:val="0"/>
          <w:bCs w:val="0"/>
          <w:color w:val="auto"/>
          <w:kern w:val="2"/>
          <w:sz w:val="21"/>
          <w:szCs w:val="21"/>
          <w:lang w:val="en-US" w:eastAsia="zh-CN" w:bidi="ar-SA"/>
        </w:rPr>
        <w:t>；</w:t>
      </w:r>
    </w:p>
    <w:p w14:paraId="09C67748">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2.城区市政设施及卫生基础设施</w:t>
      </w:r>
    </w:p>
    <w:p w14:paraId="349A86E8">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2.1辖区公厕、下水道流泥井口病媒生物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药物</w:t>
      </w:r>
      <w:r>
        <w:rPr>
          <w:rFonts w:hint="eastAsia" w:ascii="宋体" w:hAnsi="宋体" w:cs="Times New Roman"/>
          <w:b w:val="0"/>
          <w:bCs w:val="0"/>
          <w:kern w:val="2"/>
          <w:sz w:val="21"/>
          <w:szCs w:val="21"/>
          <w:lang w:val="en-US" w:eastAsia="zh-CN" w:bidi="ar-SA"/>
        </w:rPr>
        <w:t>消杀服务</w:t>
      </w:r>
      <w:r>
        <w:rPr>
          <w:rFonts w:hint="eastAsia" w:ascii="宋体" w:hAnsi="宋体" w:eastAsia="宋体" w:cs="Times New Roman"/>
          <w:b w:val="0"/>
          <w:bCs w:val="0"/>
          <w:kern w:val="2"/>
          <w:sz w:val="21"/>
          <w:szCs w:val="21"/>
          <w:lang w:val="en-US" w:eastAsia="zh-CN" w:bidi="ar-SA"/>
        </w:rPr>
        <w:t>；</w:t>
      </w:r>
    </w:p>
    <w:p w14:paraId="4D8A3113">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2.2辖区垃圾收集设施：垃圾中转站（垃圾围站）、果皮箱等部位的病媒生物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药物</w:t>
      </w:r>
      <w:r>
        <w:rPr>
          <w:rFonts w:hint="eastAsia" w:ascii="宋体" w:hAnsi="宋体" w:cs="Times New Roman"/>
          <w:b w:val="0"/>
          <w:bCs w:val="0"/>
          <w:kern w:val="2"/>
          <w:sz w:val="21"/>
          <w:szCs w:val="21"/>
          <w:lang w:val="en-US" w:eastAsia="zh-CN" w:bidi="ar-SA"/>
        </w:rPr>
        <w:t>消杀服务</w:t>
      </w:r>
      <w:r>
        <w:rPr>
          <w:rFonts w:hint="eastAsia" w:ascii="宋体" w:hAnsi="宋体" w:eastAsia="宋体" w:cs="Times New Roman"/>
          <w:b w:val="0"/>
          <w:bCs w:val="0"/>
          <w:kern w:val="2"/>
          <w:sz w:val="21"/>
          <w:szCs w:val="21"/>
          <w:lang w:val="en-US" w:eastAsia="zh-CN" w:bidi="ar-SA"/>
        </w:rPr>
        <w:t>；</w:t>
      </w:r>
    </w:p>
    <w:p w14:paraId="0B4AF37C">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3.城区农贸市场：对辖区</w:t>
      </w:r>
      <w:r>
        <w:rPr>
          <w:rFonts w:hint="eastAsia" w:ascii="宋体" w:hAnsi="宋体" w:cs="Times New Roman"/>
          <w:b w:val="0"/>
          <w:bCs w:val="0"/>
          <w:color w:val="auto"/>
          <w:kern w:val="2"/>
          <w:sz w:val="21"/>
          <w:szCs w:val="21"/>
          <w:lang w:val="en-US" w:eastAsia="zh-CN" w:bidi="ar-SA"/>
        </w:rPr>
        <w:t>所有</w:t>
      </w:r>
      <w:r>
        <w:rPr>
          <w:rFonts w:hint="eastAsia" w:ascii="宋体" w:hAnsi="宋体" w:eastAsia="宋体" w:cs="Times New Roman"/>
          <w:b w:val="0"/>
          <w:bCs w:val="0"/>
          <w:color w:val="auto"/>
          <w:kern w:val="2"/>
          <w:sz w:val="21"/>
          <w:szCs w:val="21"/>
          <w:lang w:val="en-US" w:eastAsia="zh-CN" w:bidi="ar-SA"/>
        </w:rPr>
        <w:t>农贸市场开展病媒生物</w:t>
      </w:r>
      <w:r>
        <w:rPr>
          <w:rFonts w:hint="eastAsia" w:ascii="宋体" w:hAnsi="宋体" w:cs="Times New Roman"/>
          <w:b w:val="0"/>
          <w:bCs w:val="0"/>
          <w:color w:val="auto"/>
          <w:kern w:val="2"/>
          <w:sz w:val="21"/>
          <w:szCs w:val="21"/>
          <w:lang w:val="en-US" w:eastAsia="zh-CN" w:bidi="ar-SA"/>
        </w:rPr>
        <w:t>防治</w:t>
      </w:r>
      <w:r>
        <w:rPr>
          <w:rFonts w:hint="eastAsia" w:ascii="宋体" w:hAnsi="宋体" w:eastAsia="宋体" w:cs="Times New Roman"/>
          <w:b w:val="0"/>
          <w:bCs w:val="0"/>
          <w:color w:val="auto"/>
          <w:kern w:val="2"/>
          <w:sz w:val="21"/>
          <w:szCs w:val="21"/>
          <w:lang w:val="en-US" w:eastAsia="zh-CN" w:bidi="ar-SA"/>
        </w:rPr>
        <w:t>药物</w:t>
      </w:r>
      <w:r>
        <w:rPr>
          <w:rFonts w:hint="eastAsia" w:ascii="宋体" w:hAnsi="宋体" w:cs="Times New Roman"/>
          <w:b w:val="0"/>
          <w:bCs w:val="0"/>
          <w:color w:val="auto"/>
          <w:kern w:val="2"/>
          <w:sz w:val="21"/>
          <w:szCs w:val="21"/>
          <w:lang w:val="en-US" w:eastAsia="zh-CN" w:bidi="ar-SA"/>
        </w:rPr>
        <w:t>消杀服务</w:t>
      </w:r>
      <w:r>
        <w:rPr>
          <w:rFonts w:hint="eastAsia" w:ascii="宋体" w:hAnsi="宋体" w:eastAsia="宋体" w:cs="Times New Roman"/>
          <w:b w:val="0"/>
          <w:bCs w:val="0"/>
          <w:color w:val="auto"/>
          <w:kern w:val="2"/>
          <w:sz w:val="21"/>
          <w:szCs w:val="21"/>
          <w:lang w:val="en-US" w:eastAsia="zh-CN" w:bidi="ar-SA"/>
        </w:rPr>
        <w:t>；</w:t>
      </w:r>
    </w:p>
    <w:p w14:paraId="1E106715">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4.重点行业：辖区</w:t>
      </w:r>
      <w:r>
        <w:rPr>
          <w:rFonts w:hint="eastAsia" w:ascii="宋体" w:hAnsi="宋体" w:cs="Times New Roman"/>
          <w:b w:val="0"/>
          <w:bCs w:val="0"/>
          <w:color w:val="auto"/>
          <w:kern w:val="2"/>
          <w:sz w:val="21"/>
          <w:szCs w:val="21"/>
          <w:lang w:val="en-US" w:eastAsia="zh-CN" w:bidi="ar-SA"/>
        </w:rPr>
        <w:t>内</w:t>
      </w:r>
      <w:r>
        <w:rPr>
          <w:rFonts w:hint="eastAsia" w:ascii="宋体" w:hAnsi="宋体" w:eastAsia="宋体" w:cs="Times New Roman"/>
          <w:b w:val="0"/>
          <w:bCs w:val="0"/>
          <w:color w:val="auto"/>
          <w:kern w:val="2"/>
          <w:sz w:val="21"/>
          <w:szCs w:val="21"/>
          <w:lang w:val="en-US" w:eastAsia="zh-CN" w:bidi="ar-SA"/>
        </w:rPr>
        <w:t>重点场所如</w:t>
      </w:r>
      <w:r>
        <w:rPr>
          <w:rFonts w:hint="eastAsia" w:ascii="宋体" w:hAnsi="宋体" w:cs="Times New Roman"/>
          <w:b w:val="0"/>
          <w:bCs w:val="0"/>
          <w:color w:val="auto"/>
          <w:kern w:val="2"/>
          <w:sz w:val="21"/>
          <w:szCs w:val="21"/>
          <w:lang w:val="en-US" w:eastAsia="zh-CN" w:bidi="ar-SA"/>
        </w:rPr>
        <w:t>汽车站、五小门店以及100</w:t>
      </w:r>
      <w:r>
        <w:rPr>
          <w:rFonts w:hint="eastAsia" w:ascii="宋体" w:hAnsi="宋体" w:eastAsia="宋体" w:cs="Times New Roman"/>
          <w:b w:val="0"/>
          <w:bCs w:val="0"/>
          <w:color w:val="auto"/>
          <w:kern w:val="2"/>
          <w:sz w:val="21"/>
          <w:szCs w:val="21"/>
          <w:lang w:val="en-US" w:eastAsia="zh-CN" w:bidi="ar-SA"/>
        </w:rPr>
        <w:t>平方以下的餐饮门店提供病媒生物</w:t>
      </w:r>
      <w:r>
        <w:rPr>
          <w:rFonts w:hint="eastAsia" w:ascii="宋体" w:hAnsi="宋体" w:cs="Times New Roman"/>
          <w:b w:val="0"/>
          <w:bCs w:val="0"/>
          <w:color w:val="auto"/>
          <w:kern w:val="2"/>
          <w:sz w:val="21"/>
          <w:szCs w:val="21"/>
          <w:lang w:val="en-US" w:eastAsia="zh-CN" w:bidi="ar-SA"/>
        </w:rPr>
        <w:t>防治</w:t>
      </w:r>
      <w:r>
        <w:rPr>
          <w:rFonts w:hint="eastAsia" w:ascii="宋体" w:hAnsi="宋体" w:eastAsia="宋体" w:cs="Times New Roman"/>
          <w:b w:val="0"/>
          <w:bCs w:val="0"/>
          <w:color w:val="auto"/>
          <w:kern w:val="2"/>
          <w:sz w:val="21"/>
          <w:szCs w:val="21"/>
          <w:lang w:val="en-US" w:eastAsia="zh-CN" w:bidi="ar-SA"/>
        </w:rPr>
        <w:t>药物</w:t>
      </w:r>
      <w:r>
        <w:rPr>
          <w:rFonts w:hint="eastAsia" w:ascii="宋体" w:hAnsi="宋体" w:cs="Times New Roman"/>
          <w:b w:val="0"/>
          <w:bCs w:val="0"/>
          <w:color w:val="auto"/>
          <w:kern w:val="2"/>
          <w:sz w:val="21"/>
          <w:szCs w:val="21"/>
          <w:lang w:val="en-US" w:eastAsia="zh-CN" w:bidi="ar-SA"/>
        </w:rPr>
        <w:t>消杀服务</w:t>
      </w:r>
      <w:r>
        <w:rPr>
          <w:rFonts w:hint="eastAsia" w:ascii="宋体" w:hAnsi="宋体" w:eastAsia="宋体" w:cs="Times New Roman"/>
          <w:b w:val="0"/>
          <w:bCs w:val="0"/>
          <w:color w:val="auto"/>
          <w:kern w:val="2"/>
          <w:sz w:val="21"/>
          <w:szCs w:val="21"/>
          <w:lang w:val="en-US" w:eastAsia="zh-CN" w:bidi="ar-SA"/>
        </w:rPr>
        <w:t>；</w:t>
      </w:r>
    </w:p>
    <w:p w14:paraId="0BC355BD">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5.无物业居民区、特困企业：提供病媒生物</w:t>
      </w:r>
      <w:r>
        <w:rPr>
          <w:rFonts w:hint="eastAsia" w:ascii="宋体" w:hAnsi="宋体" w:cs="Times New Roman"/>
          <w:b w:val="0"/>
          <w:bCs w:val="0"/>
          <w:kern w:val="2"/>
          <w:sz w:val="21"/>
          <w:szCs w:val="21"/>
          <w:lang w:val="en-US" w:eastAsia="zh-CN" w:bidi="ar-SA"/>
        </w:rPr>
        <w:t>防治消杀服务</w:t>
      </w:r>
      <w:r>
        <w:rPr>
          <w:rFonts w:hint="eastAsia" w:ascii="宋体" w:hAnsi="宋体" w:eastAsia="宋体" w:cs="Times New Roman"/>
          <w:b w:val="0"/>
          <w:bCs w:val="0"/>
          <w:kern w:val="2"/>
          <w:sz w:val="21"/>
          <w:szCs w:val="21"/>
          <w:lang w:val="en-US" w:eastAsia="zh-CN" w:bidi="ar-SA"/>
        </w:rPr>
        <w:t>；</w:t>
      </w:r>
    </w:p>
    <w:p w14:paraId="10200F22">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6.</w:t>
      </w:r>
      <w:r>
        <w:rPr>
          <w:rFonts w:hint="eastAsia" w:ascii="宋体" w:hAnsi="宋体" w:cs="Times New Roman"/>
          <w:b w:val="0"/>
          <w:bCs w:val="0"/>
          <w:color w:val="auto"/>
          <w:kern w:val="2"/>
          <w:sz w:val="21"/>
          <w:szCs w:val="21"/>
          <w:lang w:val="en-US" w:eastAsia="zh-CN" w:bidi="ar-SA"/>
        </w:rPr>
        <w:t>县城区机关事业单位及其住宅小区</w:t>
      </w:r>
      <w:r>
        <w:rPr>
          <w:rFonts w:hint="eastAsia" w:ascii="宋体" w:hAnsi="宋体" w:eastAsia="宋体" w:cs="Times New Roman"/>
          <w:b w:val="0"/>
          <w:bCs w:val="0"/>
          <w:color w:val="auto"/>
          <w:kern w:val="2"/>
          <w:sz w:val="21"/>
          <w:szCs w:val="21"/>
          <w:lang w:val="en-US" w:eastAsia="zh-CN" w:bidi="ar-SA"/>
        </w:rPr>
        <w:t>：提供病媒生物</w:t>
      </w:r>
      <w:r>
        <w:rPr>
          <w:rFonts w:hint="eastAsia" w:ascii="宋体" w:hAnsi="宋体" w:cs="Times New Roman"/>
          <w:b w:val="0"/>
          <w:bCs w:val="0"/>
          <w:color w:val="auto"/>
          <w:kern w:val="2"/>
          <w:sz w:val="21"/>
          <w:szCs w:val="21"/>
          <w:lang w:val="en-US" w:eastAsia="zh-CN" w:bidi="ar-SA"/>
        </w:rPr>
        <w:t>防治消杀服务</w:t>
      </w:r>
      <w:r>
        <w:rPr>
          <w:rFonts w:hint="eastAsia" w:ascii="宋体" w:hAnsi="宋体" w:eastAsia="宋体" w:cs="Times New Roman"/>
          <w:b w:val="0"/>
          <w:bCs w:val="0"/>
          <w:color w:val="auto"/>
          <w:kern w:val="2"/>
          <w:sz w:val="21"/>
          <w:szCs w:val="21"/>
          <w:lang w:val="en-US" w:eastAsia="zh-CN" w:bidi="ar-SA"/>
        </w:rPr>
        <w:t>；</w:t>
      </w:r>
    </w:p>
    <w:p w14:paraId="6CFFFF76">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7.</w:t>
      </w:r>
      <w:r>
        <w:rPr>
          <w:rFonts w:hint="eastAsia" w:ascii="宋体" w:hAnsi="宋体" w:eastAsia="宋体" w:cs="Times New Roman"/>
          <w:b w:val="0"/>
          <w:bCs w:val="0"/>
          <w:kern w:val="2"/>
          <w:sz w:val="21"/>
          <w:szCs w:val="21"/>
          <w:lang w:val="en-US" w:eastAsia="zh-CN" w:bidi="ar-SA"/>
        </w:rPr>
        <w:t>指导主管部门、各职能单位对重点行业场所的三防设施进行标准化建设；指导各单位、街道、社区等进行鼠迹、蟑迹的全面清除，协助做好国家、省、市有关病媒生物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的各项检查验收。</w:t>
      </w:r>
    </w:p>
    <w:p w14:paraId="18DB1CEE">
      <w:pPr>
        <w:kinsoku w:val="0"/>
        <w:overflowPunct w:val="0"/>
        <w:autoSpaceDE w:val="0"/>
        <w:autoSpaceDN w:val="0"/>
        <w:adjustRightInd w:val="0"/>
        <w:spacing w:before="221"/>
        <w:ind w:left="229"/>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五、</w:t>
      </w:r>
      <w:r>
        <w:rPr>
          <w:rFonts w:hint="eastAsia" w:ascii="宋体" w:hAnsi="宋体" w:eastAsia="宋体" w:cs="宋体"/>
          <w:b/>
          <w:bCs/>
          <w:kern w:val="0"/>
          <w:sz w:val="24"/>
          <w:szCs w:val="24"/>
          <w:lang w:val="en-US" w:eastAsia="zh-CN"/>
        </w:rPr>
        <w:t>病媒密度控制指标</w:t>
      </w:r>
    </w:p>
    <w:p w14:paraId="615AAF53">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1.鼠类密度控制水平达到GB/T27770-2011  C级及以上水平。</w:t>
      </w:r>
    </w:p>
    <w:p w14:paraId="3A608E1E">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2.蟑类密度控制水平达到GB/T27773-2011  C级及以上水平。</w:t>
      </w:r>
    </w:p>
    <w:p w14:paraId="3E04F8DE">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3.蚊类密度控制水平达到GB/T27771-2011  C级及以上水平。</w:t>
      </w:r>
    </w:p>
    <w:p w14:paraId="1BA3175B">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1"/>
          <w:szCs w:val="21"/>
          <w:lang w:val="en-US" w:eastAsia="zh-CN" w:bidi="ar-SA"/>
        </w:rPr>
        <w:t>4.蝇类密度控制水平达到GB/T27772-2011  C级及以上水平。</w:t>
      </w:r>
    </w:p>
    <w:p w14:paraId="6B1B1DD9">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1"/>
          <w:szCs w:val="21"/>
          <w:lang w:val="en-US" w:eastAsia="zh-CN" w:bidi="ar-SA"/>
        </w:rPr>
        <w:t>5.在服务期限中，中标单位确保服务区域病媒生物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工作顺利通过国家、省级及市级的各项检查验收。</w:t>
      </w:r>
    </w:p>
    <w:p w14:paraId="25918536">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default"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六、服务具体要求</w:t>
      </w:r>
    </w:p>
    <w:p w14:paraId="18C1617C">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1.按专业要求投放（喷洒）鼠、蚊、蟑、蝇的药物。</w:t>
      </w:r>
    </w:p>
    <w:p w14:paraId="06908D07">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2.协助搞好病媒生物孳生地调查工作，并承担少部分工作量不大的孳生地治理工作。乙方负责治理的孳生地，年度累计治理总面积不超过10000㎡，且不超过项目总孳生地面积的20%。</w:t>
      </w:r>
    </w:p>
    <w:p w14:paraId="58B6EBE8">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3</w:t>
      </w:r>
      <w:r>
        <w:rPr>
          <w:rFonts w:hint="eastAsia" w:ascii="宋体" w:hAnsi="宋体" w:eastAsia="宋体" w:cs="Times New Roman"/>
          <w:b w:val="0"/>
          <w:bCs w:val="0"/>
          <w:kern w:val="2"/>
          <w:sz w:val="21"/>
          <w:szCs w:val="21"/>
          <w:lang w:val="en-US" w:eastAsia="zh-CN" w:bidi="ar-SA"/>
        </w:rPr>
        <w:t>.日常</w:t>
      </w:r>
      <w:r>
        <w:rPr>
          <w:rFonts w:hint="eastAsia" w:ascii="宋体" w:hAnsi="宋体" w:cs="Times New Roman"/>
          <w:b w:val="0"/>
          <w:bCs w:val="0"/>
          <w:kern w:val="2"/>
          <w:sz w:val="21"/>
          <w:szCs w:val="21"/>
          <w:lang w:val="en-US" w:eastAsia="zh-CN" w:bidi="ar-SA"/>
        </w:rPr>
        <w:t>参</w:t>
      </w:r>
      <w:r>
        <w:rPr>
          <w:rFonts w:hint="eastAsia" w:ascii="宋体" w:hAnsi="宋体" w:eastAsia="宋体" w:cs="Times New Roman"/>
          <w:b w:val="0"/>
          <w:bCs w:val="0"/>
          <w:kern w:val="2"/>
          <w:sz w:val="21"/>
          <w:szCs w:val="21"/>
          <w:lang w:val="en-US" w:eastAsia="zh-CN" w:bidi="ar-SA"/>
        </w:rPr>
        <w:t>与重点区域防治及孳生地管理：日常公共区域开展常态化病媒生物防制作业；对重点区域（如农贸市场、餐饮集中区、老旧小区、背街小巷等）实施加密作业频次。按规范开展孳生地定期清理整治，消除病媒生物滋生条件，降低密度水平。</w:t>
      </w:r>
    </w:p>
    <w:p w14:paraId="337605C3">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4.月度监测、数据上报及报告编制</w:t>
      </w:r>
      <w:r>
        <w:rPr>
          <w:rFonts w:hint="eastAsia" w:ascii="宋体" w:hAnsi="宋体" w:cs="Times New Roman"/>
          <w:b w:val="0"/>
          <w:bCs w:val="0"/>
          <w:kern w:val="2"/>
          <w:sz w:val="21"/>
          <w:szCs w:val="21"/>
          <w:lang w:val="en-US" w:eastAsia="zh-CN" w:bidi="ar-SA"/>
        </w:rPr>
        <w:t>：</w:t>
      </w:r>
      <w:r>
        <w:rPr>
          <w:rFonts w:hint="eastAsia" w:ascii="宋体" w:hAnsi="宋体" w:eastAsia="宋体" w:cs="Times New Roman"/>
          <w:b w:val="0"/>
          <w:bCs w:val="0"/>
          <w:kern w:val="2"/>
          <w:sz w:val="21"/>
          <w:szCs w:val="21"/>
          <w:lang w:val="en-US" w:eastAsia="zh-CN" w:bidi="ar-SA"/>
        </w:rPr>
        <w:t>月度监测：按《病媒生物密度控制水平》（GB/T 27770~27773）等相关标准，开展病媒生物密度月度监测，保证监测数据真实、完整、可追溯。数据上报：按采购人及主管部门要求，及时完成监测数据、作业记录等资料的线上/线下上报工作。</w:t>
      </w:r>
    </w:p>
    <w:p w14:paraId="3DB986AA">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5.协助县爱卫办对城区所有行政事业单位、企业、宾馆酒店、学校等病媒生物防治的技术督导，并参与督促落实。</w:t>
      </w:r>
    </w:p>
    <w:p w14:paraId="255B0B22">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6.协助县爱卫办收集整理病媒生物防治工作资料汇编。</w:t>
      </w:r>
    </w:p>
    <w:p w14:paraId="4D59CBEA">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7</w:t>
      </w:r>
      <w:r>
        <w:rPr>
          <w:rFonts w:hint="eastAsia" w:ascii="宋体" w:hAnsi="宋体" w:eastAsia="宋体" w:cs="Times New Roman"/>
          <w:b w:val="0"/>
          <w:bCs w:val="0"/>
          <w:kern w:val="2"/>
          <w:sz w:val="21"/>
          <w:szCs w:val="21"/>
          <w:lang w:val="en-US" w:eastAsia="zh-CN" w:bidi="ar-SA"/>
        </w:rPr>
        <w:t>.协助街道办事处、社区开展居民区病媒生物孳生地的治理，特别是小型黑臭水体治理。</w:t>
      </w:r>
    </w:p>
    <w:p w14:paraId="0F0ACF34">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8</w:t>
      </w:r>
      <w:r>
        <w:rPr>
          <w:rFonts w:hint="eastAsia" w:ascii="宋体" w:hAnsi="宋体" w:eastAsia="宋体" w:cs="Times New Roman"/>
          <w:b w:val="0"/>
          <w:bCs w:val="0"/>
          <w:kern w:val="2"/>
          <w:sz w:val="21"/>
          <w:szCs w:val="21"/>
          <w:lang w:val="en-US" w:eastAsia="zh-CN" w:bidi="ar-SA"/>
        </w:rPr>
        <w:t>.不得使用国家禁止使用的病媒生物防治药械。</w:t>
      </w:r>
    </w:p>
    <w:p w14:paraId="5AF3709E">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9</w:t>
      </w:r>
      <w:r>
        <w:rPr>
          <w:rFonts w:hint="eastAsia" w:ascii="宋体" w:hAnsi="宋体" w:eastAsia="宋体" w:cs="Times New Roman"/>
          <w:b w:val="0"/>
          <w:bCs w:val="0"/>
          <w:kern w:val="2"/>
          <w:sz w:val="21"/>
          <w:szCs w:val="21"/>
          <w:lang w:val="en-US" w:eastAsia="zh-CN" w:bidi="ar-SA"/>
        </w:rPr>
        <w:t>.不得以任何形式转让、转包服务。</w:t>
      </w:r>
    </w:p>
    <w:p w14:paraId="11EF72CF">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10</w:t>
      </w:r>
      <w:r>
        <w:rPr>
          <w:rFonts w:hint="eastAsia" w:ascii="宋体" w:hAnsi="宋体" w:eastAsia="宋体" w:cs="Times New Roman"/>
          <w:b w:val="0"/>
          <w:bCs w:val="0"/>
          <w:kern w:val="2"/>
          <w:sz w:val="21"/>
          <w:szCs w:val="21"/>
          <w:lang w:val="en-US" w:eastAsia="zh-CN" w:bidi="ar-SA"/>
        </w:rPr>
        <w:t>.应当及时向县爱卫办反馈辖区病媒生物预防控制服务情况。</w:t>
      </w:r>
    </w:p>
    <w:p w14:paraId="23D2F392">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11</w:t>
      </w:r>
      <w:r>
        <w:rPr>
          <w:rFonts w:hint="eastAsia" w:ascii="宋体" w:hAnsi="宋体" w:eastAsia="宋体" w:cs="Times New Roman"/>
          <w:b w:val="0"/>
          <w:bCs w:val="0"/>
          <w:kern w:val="2"/>
          <w:sz w:val="21"/>
          <w:szCs w:val="21"/>
          <w:lang w:val="en-US" w:eastAsia="zh-CN" w:bidi="ar-SA"/>
        </w:rPr>
        <w:t>.接到虫害投诉或应急事件，要求中标单位接到电话后1个小时内到达现场进行处理。</w:t>
      </w:r>
    </w:p>
    <w:p w14:paraId="73C201B3">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七、用药标准</w:t>
      </w:r>
    </w:p>
    <w:p w14:paraId="5EE72DC5">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投标单位必须注重科学合理用药，不得使用假药、国家禁用的药物，并须确保药物来源和质量正当可靠。使用的药物必须符合GB/T27777-2011《杀鼠剂安全使用准则》与GB/T27779-2011《卫生杀虫剂安全使用准则》的要求，达到“安全、高效、环保”并交替使用药物防止产生耐药性的要求。</w:t>
      </w:r>
    </w:p>
    <w:p w14:paraId="04C9621A">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八、</w:t>
      </w:r>
      <w:r>
        <w:rPr>
          <w:rFonts w:hint="eastAsia" w:ascii="宋体" w:hAnsi="宋体" w:cs="Times New Roman"/>
          <w:b/>
          <w:bCs/>
          <w:kern w:val="2"/>
          <w:sz w:val="24"/>
          <w:szCs w:val="24"/>
          <w:lang w:val="en-US" w:eastAsia="zh-CN" w:bidi="ar-SA"/>
        </w:rPr>
        <w:t>防治</w:t>
      </w:r>
      <w:r>
        <w:rPr>
          <w:rFonts w:hint="eastAsia" w:ascii="宋体" w:hAnsi="宋体" w:eastAsia="宋体" w:cs="Times New Roman"/>
          <w:b/>
          <w:bCs/>
          <w:kern w:val="2"/>
          <w:sz w:val="24"/>
          <w:szCs w:val="24"/>
          <w:lang w:val="en-US" w:eastAsia="zh-CN" w:bidi="ar-SA"/>
        </w:rPr>
        <w:t>服务方案及要求</w:t>
      </w:r>
    </w:p>
    <w:p w14:paraId="5E6B72F8">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1.投标人负责提供本项目中采购人所需要的灭鼠灭蟑灭蚊蝇药物消杀及技术服务，确保城区病媒生物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指标达标通过；</w:t>
      </w:r>
    </w:p>
    <w:p w14:paraId="432EC9C4">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1"/>
          <w:szCs w:val="21"/>
          <w:lang w:val="en-US" w:eastAsia="zh-CN" w:bidi="ar-SA"/>
        </w:rPr>
        <w:t>2.投标人须针对本项目编制并体现出的对服务区内外环境特点了解程度的编制相应的技术方案、服务实施方案；</w:t>
      </w:r>
    </w:p>
    <w:p w14:paraId="73343007">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3.投标人针对本项目编制</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服务技术方案，在技术方案中体现出的对</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对象、种类、熏杀</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方法科学的熟悉程度；</w:t>
      </w:r>
    </w:p>
    <w:p w14:paraId="5BEE2DEB">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4.投标人针对本项目配置选择药械（物）合理，药品、药物在</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过程中使用的分配情况，对不同环境的用药量及方法科学合理性；</w:t>
      </w:r>
    </w:p>
    <w:p w14:paraId="630EF7D9">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5.针对本项目编制完整的服务实施方案，实施方案描述的实施病媒生物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工作内容完整，包括人员培训、质量管理等，人员时间安排妥当，突出日常性工作，</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工作中时间进度安排、资料收集和分析情况。</w:t>
      </w:r>
    </w:p>
    <w:p w14:paraId="6FBBF157">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6.供应商在提供药物投放服务时，必须按规定投放，确保消杀药物的投放量、到位率、覆盖率符合要求并作好相关文字记录，保留备查。</w:t>
      </w:r>
    </w:p>
    <w:p w14:paraId="0EE90087">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7.供应商</w:t>
      </w:r>
      <w:r>
        <w:rPr>
          <w:rFonts w:hint="eastAsia" w:ascii="宋体" w:hAnsi="宋体" w:cs="Times New Roman"/>
          <w:b w:val="0"/>
          <w:bCs w:val="0"/>
          <w:kern w:val="2"/>
          <w:sz w:val="21"/>
          <w:szCs w:val="21"/>
          <w:lang w:val="en-US" w:eastAsia="zh-CN" w:bidi="ar-SA"/>
        </w:rPr>
        <w:t>需配合爱卫办做好</w:t>
      </w:r>
      <w:r>
        <w:rPr>
          <w:rFonts w:hint="eastAsia" w:ascii="宋体" w:hAnsi="宋体" w:eastAsia="宋体" w:cs="Times New Roman"/>
          <w:b w:val="0"/>
          <w:bCs w:val="0"/>
          <w:kern w:val="2"/>
          <w:sz w:val="21"/>
          <w:szCs w:val="21"/>
          <w:lang w:val="en-US" w:eastAsia="zh-CN" w:bidi="ar-SA"/>
        </w:rPr>
        <w:t>好宣传和技术指导工作，预防人畜误食鼠药中毒事件发生，以及对发生误食中毒事件进行及时处理，并承担因宣传和指导不力造成环境污染和人畜误食中毒所产生的后果。</w:t>
      </w:r>
    </w:p>
    <w:p w14:paraId="0385E54D">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8.服务期内药物使用必须符合国家规定的病媒生物防治用药，安全规范用药，严禁使用国家明令禁止使用的药物，如发生人、畜食中毒，经权威部门鉴定属于属乙方使用禁用药物，乙方需要承担全部责任。</w:t>
      </w:r>
    </w:p>
    <w:p w14:paraId="25EBB9F8">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9.供应商须制定突发公共卫生事件应急措施预案和其它活动配合措施；</w:t>
      </w:r>
    </w:p>
    <w:p w14:paraId="1BDFA084">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bCs/>
          <w:kern w:val="2"/>
          <w:sz w:val="24"/>
          <w:szCs w:val="24"/>
          <w:lang w:val="en-US" w:eastAsia="zh-CN" w:bidi="ar-SA"/>
        </w:rPr>
        <w:t>九、其他要求</w:t>
      </w:r>
    </w:p>
    <w:p w14:paraId="7E31A0CB">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1</w:t>
      </w:r>
      <w:r>
        <w:rPr>
          <w:rFonts w:hint="eastAsia" w:ascii="宋体" w:hAnsi="宋体" w:eastAsia="宋体" w:cs="Times New Roman"/>
          <w:b w:val="0"/>
          <w:bCs w:val="0"/>
          <w:kern w:val="2"/>
          <w:sz w:val="21"/>
          <w:szCs w:val="21"/>
          <w:lang w:val="en-US" w:eastAsia="zh-CN" w:bidi="ar-SA"/>
        </w:rPr>
        <w:t>.投标人保证按投标文件中的服务承诺提供良好的服务。</w:t>
      </w:r>
    </w:p>
    <w:p w14:paraId="171B3246">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2</w:t>
      </w:r>
      <w:r>
        <w:rPr>
          <w:rFonts w:hint="eastAsia" w:ascii="宋体" w:hAnsi="宋体" w:eastAsia="宋体" w:cs="Times New Roman"/>
          <w:b w:val="0"/>
          <w:bCs w:val="0"/>
          <w:kern w:val="2"/>
          <w:sz w:val="21"/>
          <w:szCs w:val="21"/>
          <w:lang w:val="en-US" w:eastAsia="zh-CN" w:bidi="ar-SA"/>
        </w:rPr>
        <w:t>.投标人工作人员在实施服务时应统一着装、佩证上岗、明确任务、规范操作，文明作业。填写服务登记卡，并请采购人有关人员签字，作为当次服务的凭据。</w:t>
      </w:r>
    </w:p>
    <w:p w14:paraId="472C9EE3">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3</w:t>
      </w:r>
      <w:r>
        <w:rPr>
          <w:rFonts w:hint="eastAsia" w:ascii="宋体" w:hAnsi="宋体" w:eastAsia="宋体" w:cs="Times New Roman"/>
          <w:b w:val="0"/>
          <w:bCs w:val="0"/>
          <w:kern w:val="2"/>
          <w:sz w:val="21"/>
          <w:szCs w:val="21"/>
          <w:lang w:val="en-US" w:eastAsia="zh-CN" w:bidi="ar-SA"/>
        </w:rPr>
        <w:t>.注意药物的使用安全，投（施）药后需防护的部位和措施，应采取有效的防护和措施，及时向采购人报告并向市民发布提醒事项。</w:t>
      </w:r>
    </w:p>
    <w:p w14:paraId="12BF0486">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cs="Times New Roman"/>
          <w:b w:val="0"/>
          <w:bCs w:val="0"/>
          <w:kern w:val="2"/>
          <w:sz w:val="21"/>
          <w:szCs w:val="21"/>
          <w:lang w:val="en-US" w:eastAsia="zh-CN" w:bidi="ar-SA"/>
        </w:rPr>
        <w:t>4</w:t>
      </w:r>
      <w:r>
        <w:rPr>
          <w:rFonts w:hint="eastAsia" w:ascii="宋体" w:hAnsi="宋体" w:eastAsia="宋体" w:cs="Times New Roman"/>
          <w:b w:val="0"/>
          <w:bCs w:val="0"/>
          <w:kern w:val="2"/>
          <w:sz w:val="21"/>
          <w:szCs w:val="21"/>
          <w:lang w:val="en-US" w:eastAsia="zh-CN" w:bidi="ar-SA"/>
        </w:rPr>
        <w:t>.事先作好投药前温馨提示，不能对市民造成影响。</w:t>
      </w:r>
    </w:p>
    <w:p w14:paraId="5D6B930E">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5</w:t>
      </w:r>
      <w:r>
        <w:rPr>
          <w:rFonts w:hint="eastAsia" w:ascii="宋体" w:hAnsi="宋体" w:eastAsia="宋体" w:cs="Times New Roman"/>
          <w:b w:val="0"/>
          <w:bCs w:val="0"/>
          <w:kern w:val="2"/>
          <w:sz w:val="21"/>
          <w:szCs w:val="21"/>
          <w:lang w:val="en-US" w:eastAsia="zh-CN" w:bidi="ar-SA"/>
        </w:rPr>
        <w:t>.确保对服务辖区内的动、植物及公共设施不造成损害。</w:t>
      </w:r>
    </w:p>
    <w:p w14:paraId="3DE98D45">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6</w:t>
      </w:r>
      <w:r>
        <w:rPr>
          <w:rFonts w:hint="eastAsia" w:ascii="宋体" w:hAnsi="宋体" w:eastAsia="宋体" w:cs="Times New Roman"/>
          <w:b w:val="0"/>
          <w:bCs w:val="0"/>
          <w:kern w:val="2"/>
          <w:sz w:val="21"/>
          <w:szCs w:val="21"/>
          <w:lang w:val="en-US" w:eastAsia="zh-CN" w:bidi="ar-SA"/>
        </w:rPr>
        <w:t>.确保施工安全，若因施工原因造成的安全事故及存在安全隐患造成自身和他人人身财产损害，其责任均由投标人承担。</w:t>
      </w:r>
    </w:p>
    <w:p w14:paraId="7C50D4E4">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cs="Times New Roman"/>
          <w:b w:val="0"/>
          <w:bCs w:val="0"/>
          <w:kern w:val="2"/>
          <w:sz w:val="21"/>
          <w:szCs w:val="21"/>
          <w:lang w:val="en-US" w:eastAsia="zh-CN" w:bidi="ar-SA"/>
        </w:rPr>
        <w:t>7</w:t>
      </w:r>
      <w:r>
        <w:rPr>
          <w:rFonts w:hint="eastAsia" w:ascii="宋体" w:hAnsi="宋体" w:eastAsia="宋体" w:cs="Times New Roman"/>
          <w:b w:val="0"/>
          <w:bCs w:val="0"/>
          <w:kern w:val="2"/>
          <w:sz w:val="21"/>
          <w:szCs w:val="21"/>
          <w:lang w:val="en-US" w:eastAsia="zh-CN" w:bidi="ar-SA"/>
        </w:rPr>
        <w:t>.中标单位在签订合同时，不得提出附加条件和不合理要求，中标资格将被取消，该投标人对由此产生的一切后果负责</w:t>
      </w:r>
      <w:r>
        <w:rPr>
          <w:rFonts w:hint="eastAsia" w:ascii="宋体" w:hAnsi="宋体" w:eastAsia="宋体" w:cs="宋体"/>
          <w:kern w:val="2"/>
          <w:sz w:val="21"/>
          <w:szCs w:val="21"/>
          <w:lang w:val="en-US" w:eastAsia="zh-CN" w:bidi="ar-SA"/>
        </w:rPr>
        <w:t>。</w:t>
      </w:r>
    </w:p>
    <w:p w14:paraId="4DE036B7">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default"/>
          <w:lang w:val="en-US" w:eastAsia="zh-CN"/>
        </w:rPr>
      </w:pPr>
      <w:r>
        <w:rPr>
          <w:rFonts w:hint="eastAsia" w:ascii="宋体" w:hAnsi="宋体" w:eastAsia="宋体" w:cs="Times New Roman"/>
          <w:b/>
          <w:bCs/>
          <w:kern w:val="2"/>
          <w:sz w:val="24"/>
          <w:szCs w:val="24"/>
          <w:lang w:val="en-US" w:eastAsia="zh-CN" w:bidi="ar-SA"/>
        </w:rPr>
        <w:t>十、其他要求</w:t>
      </w:r>
    </w:p>
    <w:p w14:paraId="2D195696">
      <w:pPr>
        <w:bidi w:val="0"/>
        <w:rPr>
          <w:rFonts w:hint="eastAsia"/>
          <w:lang w:val="en-US" w:eastAsia="zh-CN"/>
        </w:rPr>
      </w:pPr>
      <w:r>
        <w:rPr>
          <w:rFonts w:hint="eastAsia"/>
          <w:lang w:val="en-US" w:eastAsia="zh-CN"/>
        </w:rPr>
        <w:t xml:space="preserve">   </w:t>
      </w:r>
    </w:p>
    <w:p w14:paraId="50E56260">
      <w:pPr>
        <w:bidi w:val="0"/>
        <w:ind w:firstLine="420" w:firstLineChars="200"/>
        <w:rPr>
          <w:rFonts w:hint="default"/>
          <w:lang w:val="en-US" w:eastAsia="zh-CN"/>
        </w:rPr>
      </w:pPr>
      <w:r>
        <w:rPr>
          <w:rFonts w:hint="eastAsia"/>
          <w:lang w:val="en-US" w:eastAsia="zh-CN"/>
        </w:rPr>
        <w:t>1.完全响应桂阳县城区公共区域病媒生物防制服务（第二次）总体方案（详见后附件）</w:t>
      </w:r>
    </w:p>
    <w:p w14:paraId="3C405A16">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2.</w:t>
      </w:r>
      <w:r>
        <w:rPr>
          <w:rFonts w:hint="eastAsia" w:ascii="宋体" w:hAnsi="宋体" w:eastAsia="宋体" w:cs="Times New Roman"/>
          <w:b w:val="0"/>
          <w:bCs w:val="0"/>
          <w:kern w:val="2"/>
          <w:sz w:val="21"/>
          <w:szCs w:val="21"/>
          <w:lang w:val="en-US" w:eastAsia="zh-CN" w:bidi="ar-SA"/>
        </w:rPr>
        <w:t>付款方式：</w:t>
      </w:r>
      <w:r>
        <w:rPr>
          <w:rFonts w:hint="eastAsia" w:ascii="宋体" w:hAnsi="宋体" w:cs="Times New Roman"/>
          <w:b w:val="0"/>
          <w:bCs w:val="0"/>
          <w:kern w:val="2"/>
          <w:sz w:val="21"/>
          <w:szCs w:val="21"/>
          <w:lang w:val="en-US" w:eastAsia="zh-CN" w:bidi="ar-SA"/>
        </w:rPr>
        <w:t>签订合同时约定</w:t>
      </w:r>
    </w:p>
    <w:p w14:paraId="01B7FF86">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3</w:t>
      </w:r>
      <w:r>
        <w:rPr>
          <w:rFonts w:hint="eastAsia" w:ascii="宋体" w:hAnsi="宋体" w:eastAsia="宋体" w:cs="Times New Roman"/>
          <w:b w:val="0"/>
          <w:bCs w:val="0"/>
          <w:kern w:val="2"/>
          <w:sz w:val="21"/>
          <w:szCs w:val="21"/>
          <w:lang w:val="en-US" w:eastAsia="zh-CN" w:bidi="ar-SA"/>
        </w:rPr>
        <w:t>.履行合同的地点及方式：</w:t>
      </w:r>
      <w:r>
        <w:rPr>
          <w:rFonts w:hint="eastAsia" w:ascii="宋体" w:hAnsi="宋体" w:eastAsia="宋体" w:cs="Times New Roman"/>
          <w:b w:val="0"/>
          <w:bCs w:val="0"/>
          <w:kern w:val="2"/>
          <w:sz w:val="21"/>
          <w:szCs w:val="21"/>
          <w:lang w:val="en-US" w:eastAsia="zh-CN" w:bidi="ar-SA"/>
        </w:rPr>
        <w:tab/>
      </w:r>
    </w:p>
    <w:p w14:paraId="0610C0B2">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地点：采购人指定地点；</w:t>
      </w:r>
    </w:p>
    <w:p w14:paraId="181514E9">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方式：现场服务</w:t>
      </w:r>
    </w:p>
    <w:p w14:paraId="6C48BA20">
      <w:pPr>
        <w:pStyle w:val="6"/>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Theme="minorEastAsia" w:hAnsiTheme="minorEastAsia" w:eastAsiaTheme="minorEastAsia"/>
          <w:szCs w:val="21"/>
        </w:rPr>
      </w:pPr>
      <w:r>
        <w:rPr>
          <w:rFonts w:hint="eastAsia" w:ascii="宋体" w:hAnsi="宋体" w:cs="Times New Roman"/>
          <w:b w:val="0"/>
          <w:bCs w:val="0"/>
          <w:kern w:val="2"/>
          <w:sz w:val="21"/>
          <w:szCs w:val="21"/>
          <w:lang w:val="en-US" w:eastAsia="zh-CN" w:bidi="ar-SA"/>
        </w:rPr>
        <w:t>4.</w:t>
      </w:r>
      <w:r>
        <w:rPr>
          <w:rFonts w:hint="eastAsia" w:ascii="宋体" w:hAnsi="宋体" w:eastAsia="宋体" w:cs="Times New Roman"/>
          <w:b w:val="0"/>
          <w:bCs w:val="0"/>
          <w:kern w:val="2"/>
          <w:sz w:val="21"/>
          <w:szCs w:val="21"/>
          <w:lang w:val="en-US" w:eastAsia="zh-CN" w:bidi="ar-SA"/>
        </w:rPr>
        <w:t>.其它需要说明的事项: 供应商要严格按照采购需求要求提供服务，并达到采购需求规定的标准要求。若未达到约定的质量标准和服务内容，采购方有权要求供应商自行整改，并每项扣除1000元服务费；其服务区域病媒生物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工作需通过国家、省级及市级爱卫部门组织的各项明察暗访。如供应商的服务内容未达到</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检查评估要求，剩余价款，采购方有权不予支付。</w:t>
      </w:r>
    </w:p>
    <w:p w14:paraId="0B37ADBD">
      <w:pPr>
        <w:adjustRightInd w:val="0"/>
        <w:snapToGrid w:val="0"/>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注：1、“包”为最小合同单位（最小投标单位）。每“包”内容应细化到“品目”（如果分品目的）。</w:t>
      </w:r>
    </w:p>
    <w:p w14:paraId="11A8BC97">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2、投标人必须对一个完整、独立的包进行投标，不得仅对一个包中的部分品目投标，否则</w:t>
      </w:r>
      <w:r>
        <w:rPr>
          <w:rFonts w:hint="eastAsia" w:asciiTheme="minorEastAsia" w:hAnsiTheme="minorEastAsia" w:eastAsiaTheme="minorEastAsia"/>
          <w:b/>
          <w:szCs w:val="21"/>
        </w:rPr>
        <w:t>投标无效。</w:t>
      </w:r>
    </w:p>
    <w:p w14:paraId="16FA060C">
      <w:pPr>
        <w:adjustRightInd w:val="0"/>
        <w:snapToGrid w:val="0"/>
        <w:spacing w:before="156" w:beforeLines="50" w:line="360" w:lineRule="auto"/>
        <w:ind w:firstLine="420" w:firstLineChars="200"/>
        <w:rPr>
          <w:rFonts w:cs="宋体" w:asciiTheme="minorEastAsia" w:hAnsiTheme="minorEastAsia" w:eastAsiaTheme="minorEastAsia"/>
          <w:color w:val="000000"/>
          <w:kern w:val="0"/>
          <w:szCs w:val="21"/>
        </w:rPr>
      </w:pPr>
      <w:r>
        <w:rPr>
          <w:rFonts w:hint="eastAsia" w:asciiTheme="minorEastAsia" w:hAnsiTheme="minorEastAsia" w:eastAsiaTheme="minorEastAsia"/>
          <w:szCs w:val="21"/>
        </w:rPr>
        <w:t>3、货物的主要技术参数或规格：</w:t>
      </w:r>
      <w:r>
        <w:rPr>
          <w:rFonts w:cs="宋体" w:asciiTheme="minorEastAsia" w:hAnsiTheme="minorEastAsia" w:eastAsiaTheme="minorEastAsia"/>
          <w:color w:val="000000"/>
          <w:kern w:val="0"/>
          <w:szCs w:val="21"/>
        </w:rPr>
        <w:t>详见“技术要求”中的具体技术参数</w:t>
      </w:r>
      <w:r>
        <w:rPr>
          <w:rFonts w:hint="eastAsia" w:cs="宋体" w:asciiTheme="minorEastAsia" w:hAnsiTheme="minorEastAsia" w:eastAsiaTheme="minorEastAsia"/>
          <w:color w:val="000000"/>
          <w:kern w:val="0"/>
          <w:szCs w:val="21"/>
        </w:rPr>
        <w:t>。</w:t>
      </w:r>
    </w:p>
    <w:p w14:paraId="234E1AD0">
      <w:pPr>
        <w:adjustRightInd w:val="0"/>
        <w:snapToGrid w:val="0"/>
        <w:spacing w:before="156" w:beforeLines="50" w:line="360" w:lineRule="auto"/>
        <w:ind w:firstLine="420" w:firstLineChars="200"/>
        <w:rPr>
          <w:rFonts w:hint="eastAsia" w:ascii="宋体" w:hAnsi="宋体" w:cs="宋体"/>
          <w:kern w:val="0"/>
          <w:szCs w:val="21"/>
        </w:rPr>
      </w:pPr>
      <w:r>
        <w:rPr>
          <w:rFonts w:hint="eastAsia" w:ascii="宋体" w:hAnsi="宋体" w:cs="宋体"/>
          <w:bCs/>
          <w:kern w:val="0"/>
          <w:szCs w:val="21"/>
        </w:rPr>
        <w:t>4、投标人应</w:t>
      </w:r>
      <w:r>
        <w:rPr>
          <w:rFonts w:hint="eastAsia" w:ascii="宋体" w:hAnsi="宋体" w:cs="宋体"/>
          <w:kern w:val="0"/>
          <w:szCs w:val="21"/>
        </w:rPr>
        <w:t>在投标文件《分项报价明细表》中按</w:t>
      </w:r>
      <w:r>
        <w:rPr>
          <w:rFonts w:hint="eastAsia" w:ascii="宋体" w:hAnsi="宋体"/>
          <w:color w:val="000000"/>
          <w:szCs w:val="21"/>
        </w:rPr>
        <w:t>分项项目名称（包括</w:t>
      </w:r>
      <w:r>
        <w:rPr>
          <w:rFonts w:hint="eastAsia" w:ascii="宋体" w:hAnsi="宋体" w:cs="宋体"/>
          <w:kern w:val="0"/>
          <w:szCs w:val="21"/>
        </w:rPr>
        <w:t>条目号/品目名称）顺序逐项填写，且每个品目中的条目均需按招标文件规定报价。如有缺项、漏项，其</w:t>
      </w:r>
      <w:r>
        <w:rPr>
          <w:rFonts w:hint="eastAsia" w:ascii="宋体" w:hAnsi="宋体" w:cs="宋体"/>
          <w:b/>
          <w:kern w:val="0"/>
          <w:szCs w:val="21"/>
        </w:rPr>
        <w:t>投标无效</w:t>
      </w:r>
      <w:r>
        <w:rPr>
          <w:rFonts w:hint="eastAsia" w:ascii="宋体" w:hAnsi="宋体" w:cs="宋体"/>
          <w:kern w:val="0"/>
          <w:szCs w:val="21"/>
        </w:rPr>
        <w:t>。</w:t>
      </w:r>
    </w:p>
    <w:p w14:paraId="6A2581C2">
      <w:pPr>
        <w:bidi w:val="0"/>
        <w:jc w:val="center"/>
        <w:rPr>
          <w:rFonts w:hint="eastAsia"/>
          <w:b/>
          <w:bCs/>
          <w:sz w:val="36"/>
          <w:szCs w:val="36"/>
        </w:rPr>
      </w:pPr>
    </w:p>
    <w:p w14:paraId="0E2C98AE">
      <w:pPr>
        <w:bidi w:val="0"/>
        <w:jc w:val="center"/>
        <w:rPr>
          <w:rFonts w:hint="eastAsia"/>
          <w:b/>
          <w:bCs/>
          <w:sz w:val="36"/>
          <w:szCs w:val="36"/>
        </w:rPr>
      </w:pPr>
    </w:p>
    <w:p w14:paraId="2678E71E">
      <w:pPr>
        <w:bidi w:val="0"/>
        <w:jc w:val="center"/>
        <w:rPr>
          <w:rFonts w:hint="eastAsia"/>
          <w:b/>
          <w:bCs/>
          <w:sz w:val="36"/>
          <w:szCs w:val="36"/>
        </w:rPr>
      </w:pPr>
    </w:p>
    <w:p w14:paraId="67635EBF">
      <w:pPr>
        <w:bidi w:val="0"/>
        <w:jc w:val="center"/>
        <w:rPr>
          <w:rFonts w:hint="eastAsia"/>
          <w:b/>
          <w:bCs/>
          <w:sz w:val="36"/>
          <w:szCs w:val="36"/>
        </w:rPr>
      </w:pPr>
    </w:p>
    <w:p w14:paraId="357E2491">
      <w:pPr>
        <w:bidi w:val="0"/>
        <w:jc w:val="center"/>
        <w:rPr>
          <w:rFonts w:hint="eastAsia"/>
          <w:b/>
          <w:bCs/>
          <w:sz w:val="36"/>
          <w:szCs w:val="36"/>
        </w:rPr>
      </w:pPr>
    </w:p>
    <w:p w14:paraId="0375A96E">
      <w:pPr>
        <w:bidi w:val="0"/>
        <w:jc w:val="center"/>
        <w:rPr>
          <w:rFonts w:hint="eastAsia"/>
          <w:b/>
          <w:bCs/>
          <w:sz w:val="36"/>
          <w:szCs w:val="36"/>
        </w:rPr>
      </w:pPr>
    </w:p>
    <w:p w14:paraId="17E5333A">
      <w:pPr>
        <w:bidi w:val="0"/>
        <w:jc w:val="center"/>
        <w:rPr>
          <w:rFonts w:hint="eastAsia"/>
          <w:b/>
          <w:bCs/>
          <w:sz w:val="36"/>
          <w:szCs w:val="36"/>
        </w:rPr>
      </w:pPr>
    </w:p>
    <w:p w14:paraId="00AD8775">
      <w:pPr>
        <w:bidi w:val="0"/>
        <w:jc w:val="center"/>
        <w:rPr>
          <w:rFonts w:hint="eastAsia"/>
          <w:b/>
          <w:bCs/>
          <w:sz w:val="36"/>
          <w:szCs w:val="36"/>
        </w:rPr>
      </w:pPr>
    </w:p>
    <w:p w14:paraId="300F8F27">
      <w:pPr>
        <w:bidi w:val="0"/>
        <w:jc w:val="center"/>
        <w:rPr>
          <w:rFonts w:hint="eastAsia"/>
          <w:b/>
          <w:bCs/>
          <w:sz w:val="36"/>
          <w:szCs w:val="36"/>
        </w:rPr>
      </w:pPr>
    </w:p>
    <w:p w14:paraId="31FBD552">
      <w:pPr>
        <w:bidi w:val="0"/>
        <w:jc w:val="center"/>
        <w:rPr>
          <w:rFonts w:hint="eastAsia"/>
          <w:b/>
          <w:bCs/>
          <w:sz w:val="36"/>
          <w:szCs w:val="36"/>
        </w:rPr>
      </w:pPr>
    </w:p>
    <w:p w14:paraId="547A3952">
      <w:pPr>
        <w:bidi w:val="0"/>
        <w:jc w:val="center"/>
        <w:rPr>
          <w:rFonts w:hint="eastAsia"/>
          <w:b/>
          <w:bCs/>
          <w:sz w:val="36"/>
          <w:szCs w:val="36"/>
        </w:rPr>
      </w:pPr>
    </w:p>
    <w:p w14:paraId="3E75E7F2">
      <w:pPr>
        <w:bidi w:val="0"/>
        <w:jc w:val="center"/>
        <w:rPr>
          <w:rFonts w:hint="eastAsia"/>
          <w:b/>
          <w:bCs/>
          <w:sz w:val="36"/>
          <w:szCs w:val="36"/>
        </w:rPr>
      </w:pPr>
    </w:p>
    <w:p w14:paraId="36AB3A83">
      <w:pPr>
        <w:bidi w:val="0"/>
        <w:jc w:val="center"/>
        <w:rPr>
          <w:rFonts w:hint="eastAsia"/>
          <w:b/>
          <w:bCs/>
          <w:sz w:val="36"/>
          <w:szCs w:val="36"/>
        </w:rPr>
      </w:pPr>
      <w:r>
        <w:rPr>
          <w:rFonts w:hint="eastAsia"/>
          <w:b/>
          <w:bCs/>
          <w:sz w:val="36"/>
          <w:szCs w:val="36"/>
        </w:rPr>
        <w:t>桂阳县城区公共区域病媒生物防制</w:t>
      </w:r>
    </w:p>
    <w:p w14:paraId="4A0FAA30">
      <w:pPr>
        <w:bidi w:val="0"/>
        <w:jc w:val="center"/>
        <w:rPr>
          <w:rFonts w:hint="eastAsia" w:ascii="仿宋" w:hAnsi="仿宋" w:eastAsia="仿宋" w:cs="仿宋"/>
          <w:sz w:val="28"/>
          <w:szCs w:val="28"/>
        </w:rPr>
      </w:pPr>
      <w:r>
        <w:rPr>
          <w:rFonts w:hint="eastAsia"/>
          <w:b/>
          <w:bCs/>
          <w:sz w:val="36"/>
          <w:szCs w:val="36"/>
        </w:rPr>
        <w:t>服务</w:t>
      </w:r>
      <w:r>
        <w:rPr>
          <w:rFonts w:hint="eastAsia"/>
          <w:b/>
          <w:bCs/>
          <w:sz w:val="36"/>
          <w:szCs w:val="36"/>
          <w:lang w:eastAsia="zh-CN"/>
        </w:rPr>
        <w:t>总体方案</w:t>
      </w:r>
    </w:p>
    <w:p w14:paraId="0064DF61">
      <w:pPr>
        <w:tabs>
          <w:tab w:val="left" w:pos="360"/>
          <w:tab w:val="left" w:pos="540"/>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和规范病媒生物防控工作，有效防控病媒生物传播性疾病的发生和流行，保护人民群众的身体健康，扎实做好桂阳县城区的除“四害”工作，坚持综合防治、群防结合，加强环境防制，环境治理，全面杀灭，完善相关设施，确保鼠、蚊、蝇、蟑螂密度控制在国家规定的标准之内，达到国家卫生县城C级标准,为</w:t>
      </w:r>
      <w:r>
        <w:rPr>
          <w:rFonts w:hint="eastAsia" w:ascii="仿宋_GB2312" w:hAnsi="仿宋_GB2312" w:eastAsia="仿宋_GB2312" w:cs="仿宋_GB2312"/>
          <w:sz w:val="28"/>
          <w:szCs w:val="28"/>
          <w:lang w:eastAsia="zh-CN"/>
        </w:rPr>
        <w:t>巩固</w:t>
      </w:r>
      <w:r>
        <w:rPr>
          <w:rFonts w:hint="eastAsia" w:ascii="仿宋_GB2312" w:hAnsi="仿宋_GB2312" w:eastAsia="仿宋_GB2312" w:cs="仿宋_GB2312"/>
          <w:sz w:val="28"/>
          <w:szCs w:val="28"/>
        </w:rPr>
        <w:t>国家</w:t>
      </w:r>
      <w:r>
        <w:rPr>
          <w:rFonts w:hint="eastAsia" w:ascii="仿宋_GB2312" w:hAnsi="仿宋_GB2312" w:eastAsia="仿宋_GB2312" w:cs="仿宋_GB2312"/>
          <w:sz w:val="28"/>
          <w:szCs w:val="28"/>
          <w:lang w:eastAsia="zh-CN"/>
        </w:rPr>
        <w:t>卫生</w:t>
      </w:r>
      <w:r>
        <w:rPr>
          <w:rFonts w:hint="eastAsia" w:ascii="仿宋_GB2312" w:hAnsi="仿宋_GB2312" w:eastAsia="仿宋_GB2312" w:cs="仿宋_GB2312"/>
          <w:sz w:val="28"/>
          <w:szCs w:val="28"/>
        </w:rPr>
        <w:t>县城奠定坚实的基础。</w:t>
      </w:r>
    </w:p>
    <w:p w14:paraId="4DE50C8E">
      <w:pPr>
        <w:tabs>
          <w:tab w:val="left" w:pos="360"/>
          <w:tab w:val="left" w:pos="540"/>
        </w:tabs>
        <w:spacing w:line="600" w:lineRule="exact"/>
        <w:ind w:firstLine="630"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防制目标</w:t>
      </w:r>
    </w:p>
    <w:p w14:paraId="5E946BB7">
      <w:pPr>
        <w:tabs>
          <w:tab w:val="left" w:pos="360"/>
          <w:tab w:val="left" w:pos="540"/>
        </w:tabs>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通过政府购买</w:t>
      </w:r>
      <w:r>
        <w:rPr>
          <w:rFonts w:hint="eastAsia" w:ascii="仿宋_GB2312" w:hAnsi="仿宋_GB2312" w:eastAsia="仿宋_GB2312" w:cs="仿宋_GB2312"/>
          <w:sz w:val="28"/>
          <w:szCs w:val="28"/>
        </w:rPr>
        <w:t>病媒生物防</w:t>
      </w:r>
      <w:r>
        <w:rPr>
          <w:rFonts w:hint="eastAsia" w:ascii="仿宋_GB2312" w:hAnsi="仿宋_GB2312" w:eastAsia="仿宋_GB2312" w:cs="仿宋_GB2312"/>
          <w:sz w:val="28"/>
          <w:szCs w:val="28"/>
          <w:lang w:eastAsia="zh-CN"/>
        </w:rPr>
        <w:t>制服务模式，</w:t>
      </w:r>
      <w:r>
        <w:rPr>
          <w:rFonts w:hint="eastAsia" w:ascii="仿宋_GB2312" w:hAnsi="仿宋_GB2312" w:eastAsia="仿宋_GB2312" w:cs="仿宋_GB2312"/>
          <w:sz w:val="28"/>
          <w:szCs w:val="28"/>
        </w:rPr>
        <w:t>完善相关设施，加强环境防制，</w:t>
      </w:r>
      <w:r>
        <w:rPr>
          <w:rFonts w:hint="eastAsia" w:ascii="仿宋_GB2312" w:hAnsi="仿宋_GB2312" w:eastAsia="仿宋_GB2312" w:cs="仿宋_GB2312"/>
          <w:sz w:val="28"/>
          <w:szCs w:val="28"/>
          <w:lang w:eastAsia="zh-CN"/>
        </w:rPr>
        <w:t>扎实做好</w:t>
      </w:r>
      <w:r>
        <w:rPr>
          <w:rFonts w:hint="eastAsia" w:ascii="仿宋_GB2312" w:hAnsi="仿宋_GB2312" w:eastAsia="仿宋_GB2312" w:cs="仿宋_GB2312"/>
          <w:sz w:val="28"/>
          <w:szCs w:val="28"/>
        </w:rPr>
        <w:t>桂阳县城区公共区域的除“四害”服务（灭老鼠、蟑螂、蚊子、苍蝇）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确保鼠、蚊、蝇、蟑螂密度控制在国家规定的标准之内，达到国家卫生县城C级标准,</w:t>
      </w:r>
      <w:r>
        <w:rPr>
          <w:rFonts w:hint="eastAsia" w:ascii="仿宋_GB2312" w:hAnsi="仿宋_GB2312" w:eastAsia="仿宋_GB2312" w:cs="仿宋_GB2312"/>
          <w:sz w:val="28"/>
          <w:szCs w:val="28"/>
          <w:lang w:eastAsia="zh-CN"/>
        </w:rPr>
        <w:t>顺利通过上级爱卫部门的各项检查验收。</w:t>
      </w:r>
    </w:p>
    <w:p w14:paraId="210DA9AF">
      <w:pPr>
        <w:tabs>
          <w:tab w:val="left" w:pos="360"/>
          <w:tab w:val="left" w:pos="540"/>
        </w:tabs>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eastAsia="zh-CN"/>
        </w:rPr>
        <w:t>防制</w:t>
      </w:r>
      <w:r>
        <w:rPr>
          <w:rFonts w:hint="eastAsia" w:ascii="仿宋_GB2312" w:hAnsi="仿宋_GB2312" w:eastAsia="仿宋_GB2312" w:cs="仿宋_GB2312"/>
          <w:b/>
          <w:sz w:val="32"/>
          <w:szCs w:val="32"/>
        </w:rPr>
        <w:t>范围</w:t>
      </w:r>
    </w:p>
    <w:p w14:paraId="4FEFED38">
      <w:pPr>
        <w:tabs>
          <w:tab w:val="left" w:pos="360"/>
          <w:tab w:val="left" w:pos="540"/>
        </w:tabs>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桂阳县城建城区所有无物业管理的居民小区、困难企业、广场及草坪绿地、绿化带、大街小巷、市政道路、下水道、留泥井、垃圾站、公共厕所、农贸市场、公园、游园、汽车站、大中型水体、城乡结合部（包括山背村、拱极村、北麓社区子龙组、南苑社区月亮组和石岭组、周台村、上银山村、柏树村、全义村）、城中村（包括北关社区龙潭二村、八字塘社区腊树下和杨家庄、太和林场老场部、东风村、东塔社区塔背组、朝阳村）、闲置空地、营业面积100平方以下的小餐饮店、五小行业小门店、行政机关事业单位和住宅小区（不含学校、医院）；龙潭和鹿峰街道所属11个社区、宝山矿居民区、太和林场、共和农场、茶场、畜禽良种场的办公区域和村组、黄沙坪街道机关事业单位及公共区域，以上处所公共区域的病媒生物防制服务。并在以上区域确保有灭鼠毒鼠屋</w:t>
      </w:r>
      <w:r>
        <w:rPr>
          <w:rFonts w:hint="eastAsia" w:ascii="仿宋_GB2312" w:hAnsi="仿宋_GB2312" w:eastAsia="仿宋_GB2312" w:cs="仿宋_GB2312"/>
          <w:sz w:val="28"/>
          <w:szCs w:val="28"/>
          <w:lang w:val="en-US" w:eastAsia="zh-CN"/>
        </w:rPr>
        <w:t>30000</w:t>
      </w:r>
      <w:r>
        <w:rPr>
          <w:rFonts w:hint="eastAsia" w:ascii="仿宋_GB2312" w:hAnsi="仿宋_GB2312" w:eastAsia="仿宋_GB2312" w:cs="仿宋_GB2312"/>
          <w:sz w:val="28"/>
          <w:szCs w:val="28"/>
          <w:lang w:eastAsia="zh-CN"/>
        </w:rPr>
        <w:t>个以上。</w:t>
      </w:r>
    </w:p>
    <w:p w14:paraId="1D4BC8F8">
      <w:pPr>
        <w:tabs>
          <w:tab w:val="left" w:pos="360"/>
          <w:tab w:val="left" w:pos="540"/>
        </w:tabs>
        <w:spacing w:line="800" w:lineRule="exact"/>
        <w:ind w:firstLine="630" w:firstLineChars="196"/>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3、服务</w:t>
      </w:r>
      <w:r>
        <w:rPr>
          <w:rFonts w:hint="eastAsia" w:ascii="仿宋_GB2312" w:hAnsi="仿宋_GB2312" w:eastAsia="仿宋_GB2312" w:cs="仿宋_GB2312"/>
          <w:b/>
          <w:sz w:val="32"/>
          <w:szCs w:val="32"/>
          <w:lang w:eastAsia="zh-CN"/>
        </w:rPr>
        <w:t>周期</w:t>
      </w:r>
    </w:p>
    <w:p w14:paraId="4D55EE34">
      <w:pPr>
        <w:adjustRightInd w:val="0"/>
        <w:snapToGrid w:val="0"/>
        <w:spacing w:line="600" w:lineRule="exact"/>
        <w:ind w:firstLine="556"/>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年为一标期，</w:t>
      </w:r>
      <w:r>
        <w:rPr>
          <w:rFonts w:hint="eastAsia" w:ascii="仿宋_GB2312" w:hAnsi="仿宋_GB2312" w:eastAsia="仿宋_GB2312" w:cs="仿宋_GB2312"/>
          <w:sz w:val="28"/>
          <w:szCs w:val="28"/>
          <w:lang w:eastAsia="zh-CN"/>
        </w:rPr>
        <w:t>政府公开招标全县</w:t>
      </w:r>
      <w:r>
        <w:rPr>
          <w:rFonts w:hint="eastAsia" w:ascii="仿宋_GB2312" w:hAnsi="仿宋_GB2312" w:eastAsia="仿宋_GB2312" w:cs="仿宋_GB2312"/>
          <w:sz w:val="28"/>
          <w:szCs w:val="28"/>
        </w:rPr>
        <w:t>城区公共区域的病媒生物防</w:t>
      </w:r>
      <w:r>
        <w:rPr>
          <w:rFonts w:hint="eastAsia" w:ascii="仿宋_GB2312" w:hAnsi="仿宋_GB2312" w:eastAsia="仿宋_GB2312" w:cs="仿宋_GB2312"/>
          <w:sz w:val="28"/>
          <w:szCs w:val="28"/>
          <w:lang w:eastAsia="zh-CN"/>
        </w:rPr>
        <w:t>制服务。</w:t>
      </w:r>
      <w:r>
        <w:rPr>
          <w:rFonts w:hint="eastAsia" w:ascii="仿宋_GB2312" w:hAnsi="仿宋_GB2312" w:eastAsia="仿宋_GB2312" w:cs="仿宋_GB2312"/>
          <w:sz w:val="28"/>
          <w:szCs w:val="28"/>
        </w:rPr>
        <w:t>具体起止时间以政府采购签订的合同为准。</w:t>
      </w:r>
    </w:p>
    <w:p w14:paraId="0E485B90">
      <w:pPr>
        <w:adjustRightInd w:val="0"/>
        <w:snapToGrid w:val="0"/>
        <w:spacing w:line="600" w:lineRule="exact"/>
        <w:ind w:firstLine="643" w:firstLineChars="200"/>
        <w:jc w:val="lef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4、经费</w:t>
      </w:r>
      <w:r>
        <w:rPr>
          <w:rFonts w:hint="eastAsia" w:ascii="仿宋_GB2312" w:hAnsi="仿宋_GB2312" w:eastAsia="仿宋_GB2312" w:cs="仿宋_GB2312"/>
          <w:b/>
          <w:sz w:val="32"/>
          <w:szCs w:val="32"/>
          <w:lang w:eastAsia="zh-CN"/>
        </w:rPr>
        <w:t>预算</w:t>
      </w:r>
    </w:p>
    <w:p w14:paraId="4AE9008D">
      <w:pPr>
        <w:adjustRightInd w:val="0"/>
        <w:snapToGrid w:val="0"/>
        <w:spacing w:line="60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w:t>
      </w:r>
      <w:r>
        <w:rPr>
          <w:rFonts w:hint="eastAsia" w:ascii="仿宋_GB2312" w:hAnsi="仿宋_GB2312" w:eastAsia="仿宋_GB2312" w:cs="仿宋_GB2312"/>
          <w:bCs/>
          <w:sz w:val="28"/>
          <w:szCs w:val="28"/>
        </w:rPr>
        <w:t>度病媒生物防制总经费</w:t>
      </w:r>
      <w:r>
        <w:rPr>
          <w:rFonts w:hint="eastAsia" w:ascii="仿宋_GB2312" w:hAnsi="仿宋_GB2312" w:eastAsia="仿宋_GB2312" w:cs="仿宋_GB2312"/>
          <w:bCs/>
          <w:sz w:val="28"/>
          <w:szCs w:val="28"/>
          <w:lang w:eastAsia="zh-CN"/>
        </w:rPr>
        <w:t>不超</w:t>
      </w:r>
      <w:r>
        <w:rPr>
          <w:rFonts w:hint="eastAsia" w:ascii="仿宋_GB2312" w:hAnsi="仿宋_GB2312" w:eastAsia="仿宋_GB2312" w:cs="仿宋_GB2312"/>
          <w:bCs/>
          <w:sz w:val="28"/>
          <w:szCs w:val="28"/>
          <w:lang w:val="en-US" w:eastAsia="zh-CN"/>
        </w:rPr>
        <w:t>240</w:t>
      </w:r>
      <w:r>
        <w:rPr>
          <w:rFonts w:hint="eastAsia" w:ascii="仿宋_GB2312" w:hAnsi="仿宋_GB2312" w:eastAsia="仿宋_GB2312" w:cs="仿宋_GB2312"/>
          <w:bCs/>
          <w:sz w:val="28"/>
          <w:szCs w:val="28"/>
        </w:rPr>
        <w:t>万元，每年度病媒生物防制经费</w:t>
      </w:r>
      <w:r>
        <w:rPr>
          <w:rFonts w:hint="eastAsia" w:ascii="仿宋_GB2312" w:hAnsi="仿宋_GB2312" w:eastAsia="仿宋_GB2312" w:cs="仿宋_GB2312"/>
          <w:bCs/>
          <w:sz w:val="28"/>
          <w:szCs w:val="28"/>
          <w:lang w:eastAsia="zh-CN"/>
        </w:rPr>
        <w:t>不超</w:t>
      </w:r>
      <w:r>
        <w:rPr>
          <w:rFonts w:hint="eastAsia" w:ascii="仿宋_GB2312" w:hAnsi="仿宋_GB2312" w:eastAsia="仿宋_GB2312" w:cs="仿宋_GB2312"/>
          <w:bCs/>
          <w:sz w:val="28"/>
          <w:szCs w:val="28"/>
          <w:lang w:val="en-US" w:eastAsia="zh-CN"/>
        </w:rPr>
        <w:t>80</w:t>
      </w:r>
      <w:r>
        <w:rPr>
          <w:rFonts w:hint="eastAsia" w:ascii="仿宋_GB2312" w:hAnsi="仿宋_GB2312" w:eastAsia="仿宋_GB2312" w:cs="仿宋_GB2312"/>
          <w:bCs/>
          <w:sz w:val="28"/>
          <w:szCs w:val="28"/>
        </w:rPr>
        <w:t>万元</w:t>
      </w:r>
      <w:r>
        <w:rPr>
          <w:rFonts w:hint="eastAsia" w:ascii="仿宋_GB2312" w:hAnsi="仿宋_GB2312" w:eastAsia="仿宋_GB2312" w:cs="仿宋_GB2312"/>
          <w:sz w:val="28"/>
          <w:szCs w:val="28"/>
        </w:rPr>
        <w:t>。</w:t>
      </w:r>
    </w:p>
    <w:p w14:paraId="519FF2BB">
      <w:pPr>
        <w:tabs>
          <w:tab w:val="left" w:pos="360"/>
          <w:tab w:val="left" w:pos="540"/>
        </w:tabs>
        <w:spacing w:line="8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5、服务职责</w:t>
      </w:r>
    </w:p>
    <w:p w14:paraId="23397E13">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⑴、对城区以上</w:t>
      </w:r>
      <w:r>
        <w:rPr>
          <w:rFonts w:hint="eastAsia" w:ascii="仿宋_GB2312" w:hAnsi="仿宋_GB2312" w:eastAsia="仿宋_GB2312" w:cs="仿宋_GB2312"/>
          <w:sz w:val="28"/>
          <w:szCs w:val="28"/>
          <w:lang w:eastAsia="zh-CN"/>
        </w:rPr>
        <w:t>防制</w:t>
      </w:r>
      <w:r>
        <w:rPr>
          <w:rFonts w:hint="eastAsia" w:ascii="仿宋_GB2312" w:hAnsi="仿宋_GB2312" w:eastAsia="仿宋_GB2312" w:cs="仿宋_GB2312"/>
          <w:sz w:val="28"/>
          <w:szCs w:val="28"/>
        </w:rPr>
        <w:t>范围进行病媒生物防制，城区除“四害” 综合防制水平达</w:t>
      </w:r>
      <w:r>
        <w:rPr>
          <w:rFonts w:hint="eastAsia" w:ascii="仿宋_GB2312" w:hAnsi="仿宋_GB2312" w:eastAsia="仿宋_GB2312" w:cs="仿宋_GB2312"/>
          <w:color w:val="000000"/>
          <w:sz w:val="28"/>
          <w:szCs w:val="28"/>
        </w:rPr>
        <w:t>C级标准</w:t>
      </w:r>
      <w:r>
        <w:rPr>
          <w:rFonts w:hint="eastAsia" w:ascii="仿宋_GB2312" w:hAnsi="仿宋_GB2312" w:eastAsia="仿宋_GB2312" w:cs="仿宋_GB2312"/>
          <w:sz w:val="28"/>
          <w:szCs w:val="28"/>
        </w:rPr>
        <w:t>。</w:t>
      </w:r>
    </w:p>
    <w:p w14:paraId="1916AE3E">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⑵、负责对城区管辖街道、社区、城中村、单位等相关部门单位卫生专干及群众做好病媒生物防制技术培训和技术指导等。</w:t>
      </w:r>
    </w:p>
    <w:p w14:paraId="2F6AE195">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⑶、配合县爱卫办对辖区内各单位、社区、城中村的督查工作。</w:t>
      </w:r>
    </w:p>
    <w:p w14:paraId="7D559B7A">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⑷、配合县爱卫办对城区管辖街道、社区、城中村做好群众满意度调查工作。</w:t>
      </w:r>
    </w:p>
    <w:p w14:paraId="59B603B3">
      <w:pPr>
        <w:tabs>
          <w:tab w:val="left" w:pos="360"/>
          <w:tab w:val="left" w:pos="540"/>
        </w:tabs>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6、质量标准</w:t>
      </w:r>
    </w:p>
    <w:p w14:paraId="08D37D1C">
      <w:pPr>
        <w:tabs>
          <w:tab w:val="left" w:pos="360"/>
          <w:tab w:val="left" w:pos="540"/>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坚持综合防治、群防结合，加强环境防制，环境治理，全面杀灭，完善相关设施，扎实做好桂阳县城区</w:t>
      </w:r>
      <w:r>
        <w:rPr>
          <w:rFonts w:hint="eastAsia" w:ascii="仿宋_GB2312" w:hAnsi="仿宋_GB2312" w:eastAsia="仿宋_GB2312" w:cs="仿宋_GB2312"/>
          <w:sz w:val="28"/>
          <w:szCs w:val="28"/>
          <w:lang w:eastAsia="zh-CN"/>
        </w:rPr>
        <w:t>防制</w:t>
      </w:r>
      <w:r>
        <w:rPr>
          <w:rFonts w:hint="eastAsia" w:ascii="仿宋_GB2312" w:hAnsi="仿宋_GB2312" w:eastAsia="仿宋_GB2312" w:cs="仿宋_GB2312"/>
          <w:sz w:val="28"/>
          <w:szCs w:val="28"/>
        </w:rPr>
        <w:t>范围的灭鼠、灭蟑、灭蚊、灭蝇工作，确保鼠、蟑、蚊、蝇密度控制达到国家规定的C级标准，顺利通过上级爱卫部门的各项检查验收。</w:t>
      </w:r>
    </w:p>
    <w:p w14:paraId="1AFD042C">
      <w:pPr>
        <w:tabs>
          <w:tab w:val="left" w:pos="360"/>
          <w:tab w:val="left" w:pos="540"/>
        </w:tabs>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7、“四害”密度控制标准</w:t>
      </w:r>
    </w:p>
    <w:p w14:paraId="6749898D">
      <w:pPr>
        <w:widowControl/>
        <w:shd w:val="clear" w:color="auto" w:fill="FFFFFF"/>
        <w:snapToGrid w:val="0"/>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按照《湖南省爱国卫生运动委员会办公室关于印发〈湖南省病媒生物预防控制水平评估现场考核标准〉的通知》（</w:t>
      </w:r>
      <w:r>
        <w:rPr>
          <w:rFonts w:hint="eastAsia" w:ascii="仿宋_GB2312" w:hAnsi="仿宋_GB2312" w:eastAsia="仿宋_GB2312" w:cs="仿宋_GB2312"/>
          <w:color w:val="000000"/>
          <w:kern w:val="0"/>
          <w:sz w:val="28"/>
          <w:szCs w:val="28"/>
        </w:rPr>
        <w:t>湘爱卫办发〔2015〕4号</w:t>
      </w:r>
      <w:r>
        <w:rPr>
          <w:rFonts w:hint="eastAsia" w:ascii="仿宋_GB2312" w:hAnsi="仿宋_GB2312" w:eastAsia="仿宋_GB2312" w:cs="仿宋_GB2312"/>
          <w:color w:val="000000"/>
          <w:sz w:val="28"/>
          <w:szCs w:val="28"/>
        </w:rPr>
        <w:t>）文件的标准要求，</w:t>
      </w:r>
      <w:r>
        <w:rPr>
          <w:rFonts w:hint="eastAsia" w:ascii="仿宋_GB2312" w:hAnsi="仿宋_GB2312" w:eastAsia="仿宋_GB2312" w:cs="仿宋_GB2312"/>
          <w:sz w:val="28"/>
          <w:szCs w:val="28"/>
        </w:rPr>
        <w:t>桂阳县城区</w:t>
      </w:r>
      <w:r>
        <w:rPr>
          <w:rFonts w:hint="eastAsia" w:ascii="仿宋_GB2312" w:hAnsi="仿宋_GB2312" w:eastAsia="仿宋_GB2312" w:cs="仿宋_GB2312"/>
          <w:color w:val="000000"/>
          <w:sz w:val="28"/>
          <w:szCs w:val="28"/>
        </w:rPr>
        <w:t>除“四害”综合防制水平达C级标准。</w:t>
      </w:r>
    </w:p>
    <w:p w14:paraId="354FEB24">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（一）鼠类达到国家标准GB/T27770-2011病媒生物密度控制C级水平：</w:t>
      </w:r>
    </w:p>
    <w:p w14:paraId="52ADF2E0">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1、防鼠设施</w:t>
      </w:r>
      <w:r>
        <w:rPr>
          <w:rFonts w:hint="eastAsia" w:ascii="仿宋_GB2312" w:hAnsi="仿宋_GB2312" w:eastAsia="仿宋_GB2312" w:cs="仿宋_GB2312"/>
          <w:sz w:val="28"/>
          <w:szCs w:val="28"/>
        </w:rPr>
        <w:t>齐全，符合技术标准，</w:t>
      </w:r>
      <w:r>
        <w:rPr>
          <w:rFonts w:hint="eastAsia" w:ascii="仿宋_GB2312" w:hAnsi="仿宋_GB2312" w:eastAsia="仿宋_GB2312" w:cs="仿宋_GB2312"/>
          <w:bCs/>
          <w:snapToGrid w:val="0"/>
          <w:color w:val="000000"/>
          <w:sz w:val="28"/>
          <w:szCs w:val="28"/>
        </w:rPr>
        <w:t>合格率大于或等于9</w:t>
      </w:r>
      <w:r>
        <w:rPr>
          <w:rFonts w:hint="eastAsia" w:ascii="仿宋_GB2312" w:hAnsi="仿宋_GB2312" w:eastAsia="仿宋_GB2312" w:cs="仿宋_GB2312"/>
          <w:bCs/>
          <w:snapToGrid w:val="0"/>
          <w:color w:val="000000"/>
          <w:sz w:val="28"/>
          <w:szCs w:val="28"/>
          <w:lang w:val="en-US" w:eastAsia="zh-CN"/>
        </w:rPr>
        <w:t>5</w:t>
      </w:r>
      <w:r>
        <w:rPr>
          <w:rFonts w:hint="eastAsia" w:ascii="仿宋_GB2312" w:hAnsi="仿宋_GB2312" w:eastAsia="仿宋_GB2312" w:cs="仿宋_GB2312"/>
          <w:bCs/>
          <w:snapToGrid w:val="0"/>
          <w:color w:val="000000"/>
          <w:sz w:val="28"/>
          <w:szCs w:val="28"/>
        </w:rPr>
        <w:t>%。</w:t>
      </w:r>
    </w:p>
    <w:p w14:paraId="119962DA">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2、室内鼠迹阳性率小于或等于5%。</w:t>
      </w:r>
    </w:p>
    <w:p w14:paraId="2B53206B">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3、外环境路径指数小于或等于5。</w:t>
      </w:r>
    </w:p>
    <w:p w14:paraId="3C0DEF07">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（二）蜚蠊（蟑螂）达到国家标准GB/T27773-2011病媒生物密度控制C级水平：</w:t>
      </w:r>
    </w:p>
    <w:p w14:paraId="734306D3">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1、蜚蠊成若虫侵害率小于或等于5%， 平均每阳性间（处）成若虫数小蠊小于或等于10只，大蠊小于或等于5只。</w:t>
      </w:r>
    </w:p>
    <w:p w14:paraId="2CCB5221">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2、蜚蠊卵鞘查获率小于或等</w:t>
      </w:r>
      <w:r>
        <w:rPr>
          <w:rFonts w:hint="eastAsia" w:ascii="仿宋_GB2312" w:hAnsi="仿宋_GB2312" w:eastAsia="仿宋_GB2312" w:cs="仿宋_GB2312"/>
          <w:bCs/>
          <w:snapToGrid w:val="0"/>
          <w:sz w:val="28"/>
          <w:szCs w:val="28"/>
        </w:rPr>
        <w:t>于3%</w:t>
      </w:r>
      <w:r>
        <w:rPr>
          <w:rFonts w:hint="eastAsia" w:ascii="仿宋_GB2312" w:hAnsi="仿宋_GB2312" w:eastAsia="仿宋_GB2312" w:cs="仿宋_GB2312"/>
          <w:bCs/>
          <w:snapToGrid w:val="0"/>
          <w:color w:val="000000"/>
          <w:sz w:val="28"/>
          <w:szCs w:val="28"/>
        </w:rPr>
        <w:t>，平均每阳性间（处）卵鞘数小于或等于5只。</w:t>
      </w:r>
    </w:p>
    <w:p w14:paraId="758D1666">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3、蟑迹查获率小于或等于7%。</w:t>
      </w:r>
    </w:p>
    <w:p w14:paraId="18746779">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（三）蚊虫达到国家标准GB/T27771-2011病媒生物密度控制C级水平：</w:t>
      </w:r>
    </w:p>
    <w:p w14:paraId="53BB6C29">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1、小型积水蚊虫密度控制水平为路径指数小于或等于0.8。</w:t>
      </w:r>
    </w:p>
    <w:p w14:paraId="6F191F46">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2、大中型水体蚊虫密度控制水平为采样勺指数小于或等于5%，平均每阳性勺少于8只蚊虫幼虫和蛹。</w:t>
      </w:r>
    </w:p>
    <w:p w14:paraId="1BE8E184">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3、外环境蚊虫密度控制水平为停落指数小于或等于1.5.</w:t>
      </w:r>
    </w:p>
    <w:p w14:paraId="7B7AE77B">
      <w:pPr>
        <w:spacing w:line="560" w:lineRule="exact"/>
        <w:ind w:firstLine="560" w:firstLineChars="200"/>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sz w:val="28"/>
          <w:szCs w:val="28"/>
        </w:rPr>
        <w:t>（四）苍蝇达到国家标准GB/T27772-2011病媒生物密度控制C级水平：</w:t>
      </w:r>
    </w:p>
    <w:p w14:paraId="58B4289A">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1、生产销售直接入口食品的场所不得有蝇。室内不得存在蝇类孳生地。</w:t>
      </w:r>
      <w:r>
        <w:rPr>
          <w:rFonts w:hint="eastAsia" w:ascii="仿宋_GB2312" w:hAnsi="仿宋_GB2312" w:eastAsia="仿宋_GB2312" w:cs="仿宋_GB2312"/>
          <w:color w:val="000000"/>
          <w:sz w:val="28"/>
          <w:szCs w:val="28"/>
        </w:rPr>
        <w:t>有蝇房间阳性率≤9%，阳性间蝇密度≤3只/间。</w:t>
      </w:r>
    </w:p>
    <w:p w14:paraId="7812CC57">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2、室外蝇类孳生地阳性率小于或等于5%。</w:t>
      </w:r>
    </w:p>
    <w:p w14:paraId="5D1BBB1C">
      <w:pPr>
        <w:spacing w:line="560" w:lineRule="exact"/>
        <w:ind w:firstLine="560" w:firstLineChars="200"/>
        <w:rPr>
          <w:rFonts w:hint="eastAsia" w:ascii="仿宋_GB2312" w:hAnsi="仿宋_GB2312" w:eastAsia="仿宋_GB2312" w:cs="仿宋_GB2312"/>
          <w:bCs/>
          <w:snapToGrid w:val="0"/>
          <w:color w:val="000000"/>
          <w:sz w:val="32"/>
          <w:szCs w:val="32"/>
        </w:rPr>
      </w:pPr>
      <w:r>
        <w:rPr>
          <w:rFonts w:hint="eastAsia" w:ascii="仿宋_GB2312" w:hAnsi="仿宋_GB2312" w:eastAsia="仿宋_GB2312" w:cs="仿宋_GB2312"/>
          <w:sz w:val="28"/>
          <w:szCs w:val="28"/>
        </w:rPr>
        <w:t>3、防蝇设施合格率大于或等于</w:t>
      </w:r>
      <w:r>
        <w:rPr>
          <w:rFonts w:hint="eastAsia" w:ascii="仿宋_GB2312" w:hAnsi="仿宋_GB2312" w:eastAsia="仿宋_GB2312" w:cs="仿宋_GB2312"/>
          <w:sz w:val="28"/>
          <w:szCs w:val="28"/>
          <w:lang w:val="en-US" w:eastAsia="zh-CN"/>
        </w:rPr>
        <w:t>95</w:t>
      </w:r>
      <w:r>
        <w:rPr>
          <w:rFonts w:hint="eastAsia" w:ascii="仿宋_GB2312" w:hAnsi="仿宋_GB2312" w:eastAsia="仿宋_GB2312" w:cs="仿宋_GB2312"/>
          <w:sz w:val="28"/>
          <w:szCs w:val="28"/>
        </w:rPr>
        <w:t>%。</w:t>
      </w:r>
    </w:p>
    <w:p w14:paraId="540E3659">
      <w:pPr>
        <w:spacing w:line="20" w:lineRule="atLeast"/>
        <w:ind w:firstLine="630"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8、防制工作要求</w:t>
      </w:r>
    </w:p>
    <w:p w14:paraId="3ABF209E">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在实施病媒生物控制的全过程中，自始至终坚持以下防制方针和工作原则。</w:t>
      </w:r>
    </w:p>
    <w:p w14:paraId="1034397E">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①、坚持贯彻“预防为主、防制结合、综合治理”的方针，坚持“以人为本、科学治理、注重实效”的工作原则，高标准、严要求，确保项目预期的目标的实现。</w:t>
      </w:r>
    </w:p>
    <w:p w14:paraId="2CB97BC2">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②、遵循有害生物管理专业理念，坚持以“环境治理为主”的综合防制原则。在县政府、爱卫会、疾控中心的指导、协调下，积极主动参与单位、社区、村开展的环境治理、实施环境防制、物理防制、生物防制、化学防制相结合的综合防制措施，有效消除、控制虫害的孳生和栖息条件。</w:t>
      </w:r>
    </w:p>
    <w:p w14:paraId="34FEF3A6">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③、开展病媒生物种群、密度、生态调查、监测。严密监控管辖区域内病媒生物的活动规律，季节消长。种群密度变化，及时采取相应措施，有效遏制桂阳县城区内病媒生物密度的反弹和季节性高峰的出现。</w:t>
      </w:r>
    </w:p>
    <w:p w14:paraId="09A6CDEE">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④、使用的药品符合环保要求，有国家药品许可证书，高效低毒，对人、畜安全。</w:t>
      </w:r>
    </w:p>
    <w:p w14:paraId="58D9B1B0">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⑤、认真贯彻、落实桂阳县爱国卫生运动委员会关于病媒生物防制的各项规定、通知和工作要求，接受其指导和检查，全力配合做好本县和上级开展的爱卫、创卫和病媒生物防制工作迎检、验收活动。</w:t>
      </w:r>
    </w:p>
    <w:p w14:paraId="65826063">
      <w:pPr>
        <w:ind w:firstLine="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高度重视工程质量管理，规范操作，常年控制。规范作业程序，强化质量监控，努力实施作业标准化、制度化、规范化，并根据鼠、蚊、蝇、蟑的生活特性和季节特点，因地制宜、因时施策，采取针对性的防制措施，在达标后，连续作业，常抓不懈，巩固成果，精益求精，把防制对象的种群密度常年控制在标准之内。</w:t>
      </w:r>
    </w:p>
    <w:p w14:paraId="3A15FE9C">
      <w:pPr>
        <w:pStyle w:val="6"/>
      </w:pPr>
    </w:p>
    <w:p w14:paraId="239A3853">
      <w:pPr>
        <w:pStyle w:val="5"/>
      </w:pPr>
    </w:p>
    <w:p w14:paraId="1052262D"/>
    <w:p w14:paraId="23B24E7E"/>
    <w:p w14:paraId="767E23DD"/>
    <w:p w14:paraId="1B268A14"/>
    <w:p w14:paraId="2E821F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A53AE"/>
    <w:rsid w:val="0E5A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customStyle="1" w:styleId="4">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5">
    <w:name w:val="toc 2"/>
    <w:basedOn w:val="1"/>
    <w:next w:val="1"/>
    <w:unhideWhenUsed/>
    <w:qFormat/>
    <w:uiPriority w:val="39"/>
    <w:pPr>
      <w:spacing w:line="360" w:lineRule="auto"/>
      <w:ind w:left="200" w:leftChars="200"/>
    </w:pPr>
    <w:rPr>
      <w:rFonts w:eastAsiaTheme="majorEastAsia"/>
      <w:b/>
    </w:rPr>
  </w:style>
  <w:style w:type="paragraph" w:styleId="6">
    <w:name w:val="Body Text First Indent 2"/>
    <w:basedOn w:val="3"/>
    <w:unhideWhenUsed/>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2026-06-09T06:50:00Z</dcterms:created>
  <dc:creator>gaoslf</dc:creator>
  <cp:lastModifiedBy>gaoslf</cp:lastModifiedBy>
  <dcterms:modified xsi:type="dcterms:W3CDTF">2026-06-09T06:52:13Z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577E94CA324C45E2950E762B1EADF756_11</vt:lpwstr>
  </property>
  <property fmtid="{D5CDD505-2E9C-101B-9397-08002B2CF9AE}" pid="4" name="KSOTemplateDocerSaveRecord">
    <vt:lpwstr>eyJoZGlkIjoiN2RlNWI0MTdlMmFiZGQxNDllMGQyMjg1ZmY4ZWNjN2EiLCJ1c2VySWQiOiI4MzkyODE2MDYifQ==</vt:lpwstr>
  </property>
</Properties>
</file>