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9D8A">
      <w:pPr>
        <w:keepNext w:val="0"/>
        <w:keepLines w:val="0"/>
        <w:pageBreakBefore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bCs/>
          <w:i w:val="0"/>
          <w:i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bCs/>
          <w:i w:val="0"/>
          <w:iCs w:val="0"/>
          <w:color w:val="000000" w:themeColor="text1"/>
          <w:sz w:val="32"/>
          <w:szCs w:val="32"/>
          <w:lang w:val="en-US" w:eastAsia="zh-CN"/>
          <w14:textFill>
            <w14:solidFill>
              <w14:schemeClr w14:val="tx1"/>
            </w14:solidFill>
          </w14:textFill>
        </w:rPr>
        <w:t>中国融通集团电子商务平台费用收取规则</w:t>
      </w:r>
    </w:p>
    <w:p w14:paraId="1A4FDFB8">
      <w:pPr>
        <w:keepNext w:val="0"/>
        <w:keepLines w:val="0"/>
        <w:pageBreakBefore w:val="0"/>
        <w:numPr>
          <w:ilvl w:val="0"/>
          <w:numId w:val="0"/>
        </w:numPr>
        <w:kinsoku/>
        <w:wordWrap/>
        <w:overflowPunct/>
        <w:topLinePunct w:val="0"/>
        <w:autoSpaceDE/>
        <w:autoSpaceDN/>
        <w:bidi w:val="0"/>
        <w:adjustRightInd/>
        <w:snapToGrid/>
        <w:spacing w:before="0" w:after="0" w:line="560" w:lineRule="exact"/>
        <w:ind w:leftChars="200"/>
        <w:jc w:val="both"/>
        <w:textAlignment w:val="auto"/>
        <w:rPr>
          <w:rFonts w:hint="eastAsia" w:ascii="方正小标宋简体" w:hAnsi="方正小标宋简体" w:eastAsia="方正小标宋简体" w:cs="方正小标宋简体"/>
          <w:b w:val="0"/>
          <w:bCs w:val="0"/>
          <w:i w:val="0"/>
          <w:iCs w:val="0"/>
          <w:color w:val="000000" w:themeColor="text1"/>
          <w:sz w:val="32"/>
          <w:szCs w:val="32"/>
          <w:lang w:val="en-US" w:eastAsia="zh-CN"/>
          <w14:textFill>
            <w14:solidFill>
              <w14:schemeClr w14:val="tx1"/>
            </w14:solidFill>
          </w14:textFill>
        </w:rPr>
      </w:pPr>
    </w:p>
    <w:p w14:paraId="1AB51EED">
      <w:pPr>
        <w:keepNext w:val="0"/>
        <w:keepLines w:val="0"/>
        <w:pageBreakBefore w:val="0"/>
        <w:numPr>
          <w:ilvl w:val="0"/>
          <w:numId w:val="0"/>
        </w:numPr>
        <w:kinsoku/>
        <w:wordWrap/>
        <w:overflowPunct/>
        <w:topLinePunct w:val="0"/>
        <w:autoSpaceDE/>
        <w:autoSpaceDN/>
        <w:bidi w:val="0"/>
        <w:adjustRightInd/>
        <w:snapToGrid/>
        <w:spacing w:before="0" w:after="0" w:line="560" w:lineRule="exact"/>
        <w:ind w:leftChars="200"/>
        <w:jc w:val="both"/>
        <w:textAlignment w:val="auto"/>
        <w:rPr>
          <w:rFonts w:hint="eastAsia" w:ascii="黑体" w:hAnsi="黑体" w:eastAsia="黑体" w:cs="黑体"/>
          <w:b w:val="0"/>
          <w:bCs w:val="0"/>
          <w:i w:val="0"/>
          <w:i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i w:val="0"/>
          <w:iCs w:val="0"/>
          <w:color w:val="000000" w:themeColor="text1"/>
          <w:sz w:val="32"/>
          <w:szCs w:val="32"/>
          <w:lang w:val="en-US" w:eastAsia="zh-CN"/>
          <w14:textFill>
            <w14:solidFill>
              <w14:schemeClr w14:val="tx1"/>
            </w14:solidFill>
          </w14:textFill>
        </w:rPr>
        <w:t>一、平台服务费收取</w:t>
      </w:r>
    </w:p>
    <w:p w14:paraId="67F2D2AD">
      <w:pPr>
        <w:bidi w:val="0"/>
        <w:rPr>
          <w:rFonts w:hint="default"/>
          <w:lang w:val="en-US" w:eastAsia="zh-CN"/>
        </w:rPr>
      </w:pPr>
      <w:r>
        <w:rPr>
          <w:rFonts w:hint="eastAsia"/>
          <w:b/>
          <w:bCs/>
          <w:lang w:val="en-US" w:eastAsia="zh-CN"/>
        </w:rPr>
        <w:t>收费标准</w:t>
      </w:r>
      <w:r>
        <w:rPr>
          <w:rFonts w:hint="eastAsia"/>
          <w:lang w:val="en-US" w:eastAsia="zh-CN"/>
        </w:rPr>
        <w:t>：标包预算</w:t>
      </w:r>
      <w:r>
        <w:rPr>
          <w:rFonts w:hint="default"/>
          <w:lang w:val="en-US" w:eastAsia="zh-CN"/>
        </w:rPr>
        <w:t>100万元及以上，每标包收取500元；50万元及以上，100万元以下，每标包收取300元；50万元以下免收</w:t>
      </w:r>
      <w:r>
        <w:rPr>
          <w:rFonts w:hint="eastAsia"/>
          <w:lang w:val="en-US" w:eastAsia="zh-CN"/>
        </w:rPr>
        <w:t>。具体以中国融通集团电商平台设置为准</w:t>
      </w:r>
      <w:r>
        <w:rPr>
          <w:rFonts w:hint="eastAsia"/>
          <w:lang w:eastAsia="zh-CN"/>
        </w:rPr>
        <w:t>（</w:t>
      </w:r>
      <w:r>
        <w:rPr>
          <w:rFonts w:hint="eastAsia"/>
        </w:rPr>
        <w:t>售后不退</w:t>
      </w:r>
      <w:r>
        <w:rPr>
          <w:rFonts w:hint="eastAsia"/>
          <w:lang w:eastAsia="zh-CN"/>
        </w:rPr>
        <w:t>）。</w:t>
      </w:r>
    </w:p>
    <w:p w14:paraId="4B116818">
      <w:pPr>
        <w:keepNext w:val="0"/>
        <w:keepLines w:val="0"/>
        <w:pageBreakBefore w:val="0"/>
        <w:kinsoku/>
        <w:overflowPunct/>
        <w:topLinePunct w:val="0"/>
        <w:autoSpaceDE/>
        <w:autoSpaceDN/>
        <w:bidi w:val="0"/>
        <w:adjustRightInd w:val="0"/>
        <w:snapToGrid w:val="0"/>
        <w:spacing w:before="0" w:after="0" w:line="560" w:lineRule="exact"/>
        <w:ind w:firstLine="643" w:firstLineChars="200"/>
        <w:jc w:val="left"/>
        <w:textAlignment w:val="auto"/>
        <w:outlineLvl w:val="9"/>
        <w:rPr>
          <w:rFonts w:hint="eastAsia" w:ascii="Times New Roman" w:hAnsi="Times New Roman" w:eastAsia="方正仿宋_GB2312" w:cs="Times New Roman"/>
          <w:b w:val="0"/>
          <w:bCs w:val="0"/>
          <w:iCs w:val="0"/>
          <w:color w:val="000000"/>
          <w:sz w:val="32"/>
          <w:szCs w:val="32"/>
          <w:highlight w:val="none"/>
          <w:lang w:bidi="he-IL"/>
        </w:rPr>
      </w:pPr>
      <w:r>
        <w:rPr>
          <w:rFonts w:hint="eastAsia" w:ascii="Times New Roman" w:hAnsi="Times New Roman" w:eastAsia="方正仿宋_GB2312" w:cs="Times New Roman"/>
          <w:b/>
          <w:bCs/>
          <w:iCs w:val="0"/>
          <w:color w:val="000000"/>
          <w:sz w:val="32"/>
          <w:szCs w:val="32"/>
          <w:highlight w:val="none"/>
          <w:lang w:bidi="he-IL"/>
        </w:rPr>
        <w:t>支付</w:t>
      </w:r>
      <w:r>
        <w:rPr>
          <w:rFonts w:hint="eastAsia" w:cs="Times New Roman"/>
          <w:b/>
          <w:bCs/>
          <w:iCs w:val="0"/>
          <w:color w:val="000000"/>
          <w:sz w:val="32"/>
          <w:szCs w:val="32"/>
          <w:highlight w:val="none"/>
          <w:lang w:val="en-US" w:eastAsia="zh-CN" w:bidi="he-IL"/>
        </w:rPr>
        <w:t>方式</w:t>
      </w:r>
      <w:r>
        <w:rPr>
          <w:rFonts w:hint="eastAsia" w:ascii="Times New Roman" w:hAnsi="Times New Roman" w:eastAsia="方正仿宋_GB2312" w:cs="Times New Roman"/>
          <w:b/>
          <w:bCs/>
          <w:iCs w:val="0"/>
          <w:color w:val="000000"/>
          <w:sz w:val="32"/>
          <w:szCs w:val="32"/>
          <w:highlight w:val="none"/>
          <w:lang w:bidi="he-IL"/>
        </w:rPr>
        <w:t>：</w:t>
      </w:r>
      <w:r>
        <w:rPr>
          <w:rFonts w:hint="eastAsia" w:ascii="Times New Roman" w:hAnsi="Times New Roman" w:eastAsia="方正仿宋_GB2312" w:cs="Times New Roman"/>
          <w:b w:val="0"/>
          <w:bCs w:val="0"/>
          <w:snapToGrid/>
          <w:color w:val="000000"/>
          <w:kern w:val="2"/>
          <w:sz w:val="32"/>
          <w:szCs w:val="32"/>
          <w:lang w:val="en-US" w:eastAsia="zh-CN" w:bidi="ar"/>
        </w:rPr>
        <w:t>原则上要求</w:t>
      </w:r>
      <w:r>
        <w:rPr>
          <w:rFonts w:hint="eastAsia" w:ascii="Times New Roman" w:hAnsi="Times New Roman" w:eastAsia="方正仿宋_GB2312" w:cs="Times New Roman"/>
          <w:bCs w:val="0"/>
          <w:iCs w:val="0"/>
          <w:color w:val="000000"/>
          <w:sz w:val="32"/>
          <w:szCs w:val="32"/>
          <w:highlight w:val="none"/>
        </w:rPr>
        <w:t>从</w:t>
      </w:r>
      <w:r>
        <w:rPr>
          <w:rFonts w:hint="eastAsia" w:ascii="Times New Roman" w:hAnsi="Times New Roman" w:eastAsia="方正仿宋_GB2312" w:cs="Times New Roman"/>
          <w:bCs w:val="0"/>
          <w:iCs w:val="0"/>
          <w:color w:val="000000"/>
          <w:sz w:val="32"/>
          <w:szCs w:val="32"/>
          <w:highlight w:val="none"/>
          <w:lang w:val="en-US" w:eastAsia="zh-CN"/>
        </w:rPr>
        <w:t>供应商单位</w:t>
      </w:r>
      <w:r>
        <w:rPr>
          <w:rFonts w:hint="eastAsia" w:ascii="Times New Roman" w:hAnsi="Times New Roman" w:eastAsia="方正仿宋_GB2312" w:cs="Times New Roman"/>
          <w:bCs w:val="0"/>
          <w:iCs w:val="0"/>
          <w:color w:val="000000"/>
          <w:sz w:val="32"/>
          <w:szCs w:val="32"/>
          <w:highlight w:val="none"/>
        </w:rPr>
        <w:t>账户（汇款单位与开户许可证或银行通过账户管理系统打印的《基本账户存款信息》一致）</w:t>
      </w:r>
      <w:r>
        <w:rPr>
          <w:rFonts w:hint="eastAsia" w:ascii="Times New Roman" w:hAnsi="Times New Roman" w:eastAsia="方正仿宋_GB2312" w:cs="Times New Roman"/>
          <w:b w:val="0"/>
          <w:bCs w:val="0"/>
          <w:iCs w:val="0"/>
          <w:color w:val="000000"/>
          <w:sz w:val="32"/>
          <w:szCs w:val="32"/>
          <w:highlight w:val="none"/>
          <w:lang w:bidi="he-IL"/>
        </w:rPr>
        <w:t>银行转账、汇款支付（收款账号信息</w:t>
      </w:r>
      <w:r>
        <w:rPr>
          <w:rFonts w:hint="eastAsia" w:ascii="Times New Roman" w:hAnsi="Times New Roman" w:eastAsia="方正仿宋_GB2312" w:cs="Times New Roman"/>
          <w:b w:val="0"/>
          <w:bCs w:val="0"/>
          <w:iCs w:val="0"/>
          <w:color w:val="000000"/>
          <w:sz w:val="32"/>
          <w:szCs w:val="32"/>
          <w:highlight w:val="none"/>
          <w:lang w:eastAsia="zh-CN" w:bidi="he-IL"/>
        </w:rPr>
        <w:t>详见</w:t>
      </w:r>
      <w:r>
        <w:rPr>
          <w:rFonts w:hint="eastAsia" w:ascii="Times New Roman" w:hAnsi="Times New Roman" w:eastAsia="方正仿宋_GB2312" w:cs="Times New Roman"/>
          <w:b w:val="0"/>
          <w:bCs w:val="0"/>
          <w:iCs w:val="0"/>
          <w:color w:val="000000"/>
          <w:sz w:val="32"/>
          <w:szCs w:val="32"/>
          <w:highlight w:val="none"/>
          <w:lang w:bidi="he-IL"/>
        </w:rPr>
        <w:t>如下）：</w:t>
      </w:r>
    </w:p>
    <w:p w14:paraId="159E05CB">
      <w:pPr>
        <w:bidi w:val="0"/>
        <w:rPr>
          <w:rFonts w:hint="eastAsia"/>
        </w:rPr>
      </w:pPr>
      <w:r>
        <w:rPr>
          <w:rFonts w:hint="eastAsia"/>
        </w:rPr>
        <w:t>开户名称：中国融通集团信息技术有限公司</w:t>
      </w:r>
    </w:p>
    <w:p w14:paraId="7262F15B">
      <w:pPr>
        <w:bidi w:val="0"/>
        <w:rPr>
          <w:rFonts w:hint="eastAsia"/>
        </w:rPr>
      </w:pPr>
      <w:r>
        <w:rPr>
          <w:rFonts w:hint="eastAsia"/>
        </w:rPr>
        <w:t>开户银行：中国工商银行股份有限公司北京永定路支行</w:t>
      </w:r>
    </w:p>
    <w:p w14:paraId="729E4F7F">
      <w:pPr>
        <w:bidi w:val="0"/>
        <w:rPr>
          <w:rFonts w:hint="eastAsia" w:ascii="黑体" w:hAnsi="黑体" w:eastAsia="黑体" w:cs="黑体"/>
          <w:b w:val="0"/>
          <w:bCs w:val="0"/>
          <w:i w:val="0"/>
          <w:iCs w:val="0"/>
          <w:color w:val="000000" w:themeColor="text1"/>
          <w:sz w:val="32"/>
          <w:szCs w:val="32"/>
          <w:lang w:val="en-US" w:eastAsia="zh-CN"/>
          <w14:textFill>
            <w14:solidFill>
              <w14:schemeClr w14:val="tx1"/>
            </w14:solidFill>
          </w14:textFill>
        </w:rPr>
      </w:pPr>
      <w:r>
        <w:rPr>
          <w:rFonts w:hint="eastAsia"/>
        </w:rPr>
        <w:t>账    号：0200004909200639859</w:t>
      </w:r>
    </w:p>
    <w:p w14:paraId="131AE34E">
      <w:pPr>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方正仿宋_GB2312" w:hAnsi="方正仿宋_GB2312" w:eastAsia="方正仿宋_GB2312" w:cs="方正仿宋_GB2312"/>
          <w:b/>
          <w:bCs/>
          <w:i w:val="0"/>
          <w:i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i w:val="0"/>
          <w:iCs w:val="0"/>
          <w:color w:val="000000" w:themeColor="text1"/>
          <w:sz w:val="32"/>
          <w:szCs w:val="32"/>
          <w:lang w:val="en-US" w:eastAsia="zh-CN"/>
          <w14:textFill>
            <w14:solidFill>
              <w14:schemeClr w14:val="tx1"/>
            </w14:solidFill>
          </w14:textFill>
        </w:rPr>
        <w:t>二、投标保证金收取</w:t>
      </w:r>
    </w:p>
    <w:p w14:paraId="4466CEBB">
      <w:pPr>
        <w:keepNext w:val="0"/>
        <w:keepLines w:val="0"/>
        <w:pageBreakBefore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eastAsia" w:ascii="方正仿宋_GB2312" w:hAnsi="方正仿宋_GB2312" w:eastAsia="方正仿宋_GB2312" w:cs="方正仿宋_GB2312"/>
          <w:b w:val="0"/>
          <w:bCs w:val="0"/>
          <w:i w:val="0"/>
          <w:iCs w:val="0"/>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sz w:val="32"/>
          <w:szCs w:val="32"/>
          <w:lang w:val="en-US" w:eastAsia="zh-CN"/>
          <w14:textFill>
            <w14:solidFill>
              <w14:schemeClr w14:val="tx1"/>
            </w14:solidFill>
          </w14:textFill>
        </w:rPr>
        <w:t>投标</w:t>
      </w:r>
      <w:r>
        <w:rPr>
          <w:rFonts w:hint="eastAsia" w:ascii="方正仿宋_GB2312" w:hAnsi="方正仿宋_GB2312" w:eastAsia="方正仿宋_GB2312" w:cs="方正仿宋_GB2312"/>
          <w:b/>
          <w:bCs/>
          <w:i w:val="0"/>
          <w:iCs w:val="0"/>
          <w:color w:val="000000" w:themeColor="text1"/>
          <w:sz w:val="32"/>
          <w:szCs w:val="32"/>
          <w14:textFill>
            <w14:solidFill>
              <w14:schemeClr w14:val="tx1"/>
            </w14:solidFill>
          </w14:textFill>
        </w:rPr>
        <w:t>保证金形式</w:t>
      </w:r>
      <w:r>
        <w:rPr>
          <w:rFonts w:hint="eastAsia" w:ascii="方正仿宋_GB2312" w:hAnsi="方正仿宋_GB2312" w:eastAsia="方正仿宋_GB2312" w:cs="方正仿宋_GB2312"/>
          <w:b w:val="0"/>
          <w:bCs w:val="0"/>
          <w:i w:val="0"/>
          <w:iCs w:val="0"/>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b w:val="0"/>
          <w:bCs w:val="0"/>
          <w:i w:val="0"/>
          <w:iCs w:val="0"/>
          <w:color w:val="000000" w:themeColor="text1"/>
          <w:kern w:val="2"/>
          <w:sz w:val="32"/>
          <w:szCs w:val="32"/>
          <w:highlight w:val="none"/>
          <w:lang w:val="en-US" w:eastAsia="zh-CN" w:bidi="ar"/>
          <w14:textFill>
            <w14:solidFill>
              <w14:schemeClr w14:val="tx1"/>
            </w14:solidFill>
          </w14:textFill>
        </w:rPr>
        <w:t>可采用现金及支票、汇票、本票、网上银行支付或者金融机构、担保机构出具的保函等非现金形式交纳。</w:t>
      </w:r>
    </w:p>
    <w:p w14:paraId="5A8C71FC">
      <w:pPr>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方正仿宋_GB2312" w:hAnsi="方正仿宋_GB2312" w:eastAsia="方正仿宋_GB2312" w:cs="方正仿宋_GB2312"/>
          <w:b w:val="0"/>
          <w:bCs w:val="0"/>
          <w:i w:val="0"/>
          <w:iCs w:val="0"/>
          <w:color w:val="000000" w:themeColor="text1"/>
          <w:sz w:val="32"/>
          <w:szCs w:val="32"/>
          <w:u w:val="none"/>
          <w14:textFill>
            <w14:solidFill>
              <w14:schemeClr w14:val="tx1"/>
            </w14:solidFill>
          </w14:textFill>
        </w:rPr>
      </w:pPr>
      <w:r>
        <w:rPr>
          <w:rFonts w:hint="eastAsia" w:ascii="方正仿宋_GB2312" w:hAnsi="方正仿宋_GB2312" w:eastAsia="方正仿宋_GB2312" w:cs="方正仿宋_GB2312"/>
          <w:b w:val="0"/>
          <w:bCs w:val="0"/>
          <w:i w:val="0"/>
          <w:iCs w:val="0"/>
          <w:color w:val="000000" w:themeColor="text1"/>
          <w:sz w:val="32"/>
          <w:szCs w:val="32"/>
          <w:u w:val="none"/>
          <w:lang w:eastAsia="zh-CN"/>
          <w14:textFill>
            <w14:solidFill>
              <w14:schemeClr w14:val="tx1"/>
            </w14:solidFill>
          </w14:textFill>
        </w:rPr>
        <w:t>（</w:t>
      </w:r>
      <w:r>
        <w:rPr>
          <w:rFonts w:hint="eastAsia" w:ascii="方正仿宋_GB2312" w:hAnsi="方正仿宋_GB2312" w:eastAsia="方正仿宋_GB2312" w:cs="方正仿宋_GB2312"/>
          <w:b w:val="0"/>
          <w:bCs w:val="0"/>
          <w:i w:val="0"/>
          <w:iCs w:val="0"/>
          <w:color w:val="000000" w:themeColor="text1"/>
          <w:sz w:val="32"/>
          <w:szCs w:val="32"/>
          <w:u w:val="none"/>
          <w:lang w:val="en-US" w:eastAsia="zh-CN"/>
          <w14:textFill>
            <w14:solidFill>
              <w14:schemeClr w14:val="tx1"/>
            </w14:solidFill>
          </w14:textFill>
        </w:rPr>
        <w:t>1）</w:t>
      </w:r>
      <w:r>
        <w:rPr>
          <w:rFonts w:hint="eastAsia" w:ascii="方正仿宋_GB2312" w:hAnsi="方正仿宋_GB2312" w:eastAsia="方正仿宋_GB2312" w:cs="方正仿宋_GB2312"/>
          <w:b w:val="0"/>
          <w:bCs w:val="0"/>
          <w:i w:val="0"/>
          <w:iCs w:val="0"/>
          <w:color w:val="000000" w:themeColor="text1"/>
          <w:sz w:val="32"/>
          <w:szCs w:val="32"/>
          <w:u w:val="none"/>
          <w14:textFill>
            <w14:solidFill>
              <w14:schemeClr w14:val="tx1"/>
            </w14:solidFill>
          </w14:textFill>
        </w:rPr>
        <w:t>如采用</w:t>
      </w:r>
      <w:r>
        <w:rPr>
          <w:rFonts w:hint="eastAsia" w:ascii="方正仿宋_GB2312" w:hAnsi="方正仿宋_GB2312" w:eastAsia="方正仿宋_GB2312" w:cs="方正仿宋_GB2312"/>
          <w:b w:val="0"/>
          <w:bCs w:val="0"/>
          <w:i w:val="0"/>
          <w:iCs w:val="0"/>
          <w:caps w:val="0"/>
          <w:color w:val="000000" w:themeColor="text1"/>
          <w:spacing w:val="0"/>
          <w:sz w:val="32"/>
          <w:szCs w:val="32"/>
          <w14:textFill>
            <w14:solidFill>
              <w14:schemeClr w14:val="tx1"/>
            </w14:solidFill>
          </w14:textFill>
        </w:rPr>
        <w:t>现金或者支票形式提交的投标保证金应当从其基本账户转出。</w:t>
      </w:r>
      <w:r>
        <w:rPr>
          <w:rFonts w:hint="eastAsia" w:ascii="方正仿宋_GB2312" w:hAnsi="方正仿宋_GB2312" w:eastAsia="方正仿宋_GB2312" w:cs="方正仿宋_GB2312"/>
          <w:b w:val="0"/>
          <w:bCs w:val="0"/>
          <w:i w:val="0"/>
          <w:iCs w:val="0"/>
          <w:caps w:val="0"/>
          <w:color w:val="000000" w:themeColor="text1"/>
          <w:spacing w:val="0"/>
          <w:sz w:val="32"/>
          <w:szCs w:val="32"/>
          <w:lang w:val="en-US" w:eastAsia="zh-CN"/>
          <w14:textFill>
            <w14:solidFill>
              <w14:schemeClr w14:val="tx1"/>
            </w14:solidFill>
          </w14:textFill>
        </w:rPr>
        <w:t>提供基本户开户证明或相应证明材料。</w:t>
      </w:r>
    </w:p>
    <w:p w14:paraId="74DC1DB8">
      <w:pPr>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方正仿宋_GB2312" w:hAnsi="方正仿宋_GB2312" w:eastAsia="方正仿宋_GB2312" w:cs="方正仿宋_GB2312"/>
          <w:b w:val="0"/>
          <w:bCs w:val="0"/>
          <w:i w:val="0"/>
          <w:iCs w:val="0"/>
          <w:color w:val="000000" w:themeColor="text1"/>
          <w:sz w:val="32"/>
          <w:szCs w:val="32"/>
          <w:highlight w:val="yellow"/>
          <w:u w:val="none"/>
          <w:lang w:val="en-US" w:eastAsia="zh-CN"/>
          <w14:textFill>
            <w14:solidFill>
              <w14:schemeClr w14:val="tx1"/>
            </w14:solidFill>
          </w14:textFill>
        </w:rPr>
      </w:pPr>
      <w:r>
        <w:rPr>
          <w:rFonts w:hint="eastAsia" w:ascii="方正仿宋_GB2312" w:hAnsi="方正仿宋_GB2312" w:eastAsia="方正仿宋_GB2312" w:cs="方正仿宋_GB2312"/>
          <w:b w:val="0"/>
          <w:bCs w:val="0"/>
          <w:i w:val="0"/>
          <w:iCs w:val="0"/>
          <w:color w:val="000000" w:themeColor="text1"/>
          <w:sz w:val="32"/>
          <w:szCs w:val="32"/>
          <w:u w:val="none"/>
          <w14:textFill>
            <w14:solidFill>
              <w14:schemeClr w14:val="tx1"/>
            </w14:solidFill>
          </w14:textFill>
        </w:rPr>
        <w:t>（2）提供金融机构或担保机构出具的满足投标有效期的保函。</w:t>
      </w:r>
      <w:r>
        <w:rPr>
          <w:rFonts w:hint="eastAsia" w:ascii="方正仿宋_GB2312" w:hAnsi="方正仿宋_GB2312" w:eastAsia="方正仿宋_GB2312" w:cs="方正仿宋_GB2312"/>
          <w:b w:val="0"/>
          <w:bCs w:val="0"/>
          <w:i w:val="0"/>
          <w:iCs w:val="0"/>
          <w:color w:val="000000" w:themeColor="text1"/>
          <w:sz w:val="32"/>
          <w:szCs w:val="32"/>
          <w:highlight w:val="none"/>
          <w:u w:val="none"/>
          <w:lang w:val="en-US" w:eastAsia="zh-CN"/>
          <w14:textFill>
            <w14:solidFill>
              <w14:schemeClr w14:val="tx1"/>
            </w14:solidFill>
          </w14:textFill>
        </w:rPr>
        <w:t>招标人</w:t>
      </w:r>
      <w:r>
        <w:rPr>
          <w:rFonts w:hint="eastAsia" w:ascii="方正仿宋_GB2312" w:hAnsi="方正仿宋_GB2312" w:eastAsia="方正仿宋_GB2312" w:cs="方正仿宋_GB2312"/>
          <w:b w:val="0"/>
          <w:bCs w:val="0"/>
          <w:i w:val="0"/>
          <w:iCs w:val="0"/>
          <w:color w:val="000000" w:themeColor="text1"/>
          <w:sz w:val="32"/>
          <w:szCs w:val="32"/>
          <w:highlight w:val="none"/>
          <w:u w:val="none"/>
          <w14:textFill>
            <w14:solidFill>
              <w14:schemeClr w14:val="tx1"/>
            </w14:solidFill>
          </w14:textFill>
        </w:rPr>
        <w:t>对保函的真实性、有效性进行核验</w:t>
      </w:r>
      <w:r>
        <w:rPr>
          <w:rFonts w:hint="eastAsia" w:ascii="方正仿宋_GB2312" w:hAnsi="方正仿宋_GB2312" w:eastAsia="方正仿宋_GB2312" w:cs="方正仿宋_GB2312"/>
          <w:b w:val="0"/>
          <w:bCs w:val="0"/>
          <w:i w:val="0"/>
          <w:iCs w:val="0"/>
          <w:color w:val="000000" w:themeColor="text1"/>
          <w:sz w:val="32"/>
          <w:szCs w:val="32"/>
          <w:highlight w:val="none"/>
          <w:u w:val="none"/>
          <w:lang w:eastAsia="zh-CN"/>
          <w14:textFill>
            <w14:solidFill>
              <w14:schemeClr w14:val="tx1"/>
            </w14:solidFill>
          </w14:textFill>
        </w:rPr>
        <w:t>，</w:t>
      </w:r>
      <w:r>
        <w:rPr>
          <w:rFonts w:hint="eastAsia" w:ascii="方正仿宋_GB2312" w:hAnsi="方正仿宋_GB2312" w:eastAsia="方正仿宋_GB2312" w:cs="方正仿宋_GB2312"/>
          <w:b w:val="0"/>
          <w:bCs w:val="0"/>
          <w:i w:val="0"/>
          <w:iCs w:val="0"/>
          <w:color w:val="000000" w:themeColor="text1"/>
          <w:sz w:val="32"/>
          <w:szCs w:val="32"/>
          <w:highlight w:val="none"/>
          <w:u w:val="none"/>
          <w14:textFill>
            <w14:solidFill>
              <w14:schemeClr w14:val="tx1"/>
            </w14:solidFill>
          </w14:textFill>
        </w:rPr>
        <w:t>核验不通过的，应当拒收投标文件，或由评标委员会依法否决投标。</w:t>
      </w:r>
    </w:p>
    <w:p w14:paraId="24A5CDA7">
      <w:pPr>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方正仿宋_GB2312" w:hAnsi="方正仿宋_GB2312" w:eastAsia="方正仿宋_GB2312" w:cs="方正仿宋_GB2312"/>
          <w:b w:val="0"/>
          <w:bCs w:val="0"/>
          <w:i w:val="0"/>
          <w:iCs w:val="0"/>
          <w:color w:val="000000" w:themeColor="text1"/>
          <w:sz w:val="32"/>
          <w:szCs w:val="32"/>
          <w:highlight w:val="none"/>
          <w:u w:val="none"/>
          <w14:textFill>
            <w14:solidFill>
              <w14:schemeClr w14:val="tx1"/>
            </w14:solidFill>
          </w14:textFill>
        </w:rPr>
      </w:pPr>
      <w:r>
        <w:rPr>
          <w:rFonts w:hint="eastAsia" w:ascii="方正仿宋_GB2312" w:hAnsi="方正仿宋_GB2312" w:eastAsia="方正仿宋_GB2312" w:cs="方正仿宋_GB2312"/>
          <w:b w:val="0"/>
          <w:bCs w:val="0"/>
          <w:i w:val="0"/>
          <w:iCs w:val="0"/>
          <w:color w:val="000000" w:themeColor="text1"/>
          <w:sz w:val="32"/>
          <w:szCs w:val="32"/>
          <w:highlight w:val="none"/>
          <w:u w:val="none"/>
          <w14:textFill>
            <w14:solidFill>
              <w14:schemeClr w14:val="tx1"/>
            </w14:solidFill>
          </w14:textFill>
        </w:rPr>
        <w:t>（3）其他形式。</w:t>
      </w:r>
    </w:p>
    <w:p w14:paraId="01F16C6F">
      <w:pPr>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方正仿宋_GB2312" w:hAnsi="方正仿宋_GB2312" w:eastAsia="方正仿宋_GB2312" w:cs="方正仿宋_GB2312"/>
          <w:b w:val="0"/>
          <w:bCs w:val="0"/>
          <w:i w:val="0"/>
          <w:iCs w:val="0"/>
          <w:color w:val="000000" w:themeColor="text1"/>
          <w:sz w:val="32"/>
          <w:szCs w:val="32"/>
          <w:highlight w:val="yellow"/>
          <w:lang w:val="en-US" w:eastAsia="zh-CN"/>
          <w14:textFill>
            <w14:solidFill>
              <w14:schemeClr w14:val="tx1"/>
            </w14:solidFill>
          </w14:textFill>
        </w:rPr>
      </w:pPr>
      <w:r>
        <w:rPr>
          <w:rFonts w:hint="eastAsia" w:ascii="方正仿宋_GB2312" w:hAnsi="方正仿宋_GB2312" w:eastAsia="方正仿宋_GB2312" w:cs="方正仿宋_GB2312"/>
          <w:b w:val="0"/>
          <w:bCs w:val="0"/>
          <w:i w:val="0"/>
          <w:iCs w:val="0"/>
          <w:color w:val="000000" w:themeColor="text1"/>
          <w:sz w:val="32"/>
          <w:szCs w:val="32"/>
          <w:highlight w:val="yellow"/>
          <w:lang w:eastAsia="zh-CN"/>
          <w14:textFill>
            <w14:solidFill>
              <w14:schemeClr w14:val="tx1"/>
            </w14:solidFill>
          </w14:textFill>
        </w:rPr>
        <w:t>注：</w:t>
      </w:r>
      <w:r>
        <w:rPr>
          <w:rFonts w:hint="eastAsia" w:ascii="方正仿宋_GB2312" w:hAnsi="方正仿宋_GB2312" w:cs="方正仿宋_GB2312"/>
          <w:b w:val="0"/>
          <w:bCs w:val="0"/>
          <w:i w:val="0"/>
          <w:iCs w:val="0"/>
          <w:color w:val="000000" w:themeColor="text1"/>
          <w:sz w:val="32"/>
          <w:szCs w:val="32"/>
          <w:highlight w:val="yellow"/>
          <w:lang w:val="en-US" w:eastAsia="zh-CN"/>
          <w14:textFill>
            <w14:gradFill>
              <w14:gsLst>
                <w14:gs w14:pos="51300">
                  <w14:srgbClr w14:val="FE5F4A"/>
                </w14:gs>
                <w14:gs w14:pos="0">
                  <w14:srgbClr w14:val="DF0303"/>
                </w14:gs>
                <w14:gs w14:pos="100000">
                  <w14:srgbClr w14:val="FEA06E"/>
                </w14:gs>
              </w14:gsLst>
              <w14:lin w14:ang="5400000" w14:scaled="1"/>
            </w14:gradFill>
          </w14:textFill>
        </w:rPr>
        <w:t>按照集团公司统一要求，由中国融通集团电商平台运营主体单位中国融通集团信息技术有限公司统一收取现金保证金，收款账户以中国融通集团电商平台生成为准。</w:t>
      </w:r>
    </w:p>
    <w:p w14:paraId="455BCB01">
      <w:pPr>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方正仿宋_GB2312" w:hAnsi="方正仿宋_GB2312" w:eastAsia="方正仿宋_GB2312" w:cs="方正仿宋_GB2312"/>
          <w:b w:val="0"/>
          <w:bCs w:val="0"/>
          <w:i w:val="0"/>
          <w:iCs w:val="0"/>
          <w:color w:val="000000" w:themeColor="text1"/>
          <w:sz w:val="32"/>
          <w:szCs w:val="32"/>
          <w:u w:val="none"/>
          <w14:textFill>
            <w14:solidFill>
              <w14:schemeClr w14:val="tx1"/>
            </w14:solidFill>
          </w14:textFill>
        </w:rPr>
      </w:pPr>
      <w:r>
        <w:rPr>
          <w:rFonts w:hint="eastAsia" w:ascii="方正仿宋_GB2312" w:hAnsi="方正仿宋_GB2312" w:eastAsia="方正仿宋_GB2312" w:cs="方正仿宋_GB2312"/>
          <w:b w:val="0"/>
          <w:bCs w:val="0"/>
          <w:i w:val="0"/>
          <w:iCs w:val="0"/>
          <w:color w:val="000000" w:themeColor="text1"/>
          <w:sz w:val="32"/>
          <w:szCs w:val="32"/>
          <w:highlight w:val="yellow"/>
          <w:lang w:val="en-US" w:eastAsia="zh-CN"/>
          <w14:textFill>
            <w14:solidFill>
              <w14:schemeClr w14:val="tx1"/>
            </w14:solidFill>
          </w14:textFill>
        </w:rPr>
        <w:t>①</w:t>
      </w:r>
      <w:r>
        <w:rPr>
          <w:rFonts w:hint="eastAsia" w:ascii="方正仿宋_GB2312" w:hAnsi="方正仿宋_GB2312" w:eastAsia="方正仿宋_GB2312" w:cs="方正仿宋_GB2312"/>
          <w:b w:val="0"/>
          <w:bCs w:val="0"/>
          <w:i w:val="0"/>
          <w:iCs w:val="0"/>
          <w:color w:val="000000" w:themeColor="text1"/>
          <w:sz w:val="32"/>
          <w:szCs w:val="32"/>
          <w:highlight w:val="yellow"/>
          <w:u w:val="none"/>
          <w14:textFill>
            <w14:solidFill>
              <w14:schemeClr w14:val="tx1"/>
            </w14:solidFill>
          </w14:textFill>
        </w:rPr>
        <w:t>收款账户信息请</w:t>
      </w:r>
      <w:r>
        <w:rPr>
          <w:rFonts w:hint="eastAsia" w:ascii="方正仿宋_GB2312" w:hAnsi="方正仿宋_GB2312" w:eastAsia="方正仿宋_GB2312" w:cs="方正仿宋_GB2312"/>
          <w:b w:val="0"/>
          <w:bCs w:val="0"/>
          <w:i w:val="0"/>
          <w:iCs w:val="0"/>
          <w:color w:val="000000" w:themeColor="text1"/>
          <w:sz w:val="32"/>
          <w:szCs w:val="32"/>
          <w:highlight w:val="yellow"/>
          <w:u w:val="none"/>
          <w:lang w:val="en-US" w:eastAsia="zh-CN"/>
          <w14:textFill>
            <w14:solidFill>
              <w14:schemeClr w14:val="tx1"/>
            </w14:solidFill>
          </w14:textFill>
        </w:rPr>
        <w:t>投标人</w:t>
      </w:r>
      <w:r>
        <w:rPr>
          <w:rFonts w:hint="eastAsia" w:ascii="方正仿宋_GB2312" w:hAnsi="方正仿宋_GB2312" w:eastAsia="方正仿宋_GB2312" w:cs="方正仿宋_GB2312"/>
          <w:b w:val="0"/>
          <w:bCs w:val="0"/>
          <w:i w:val="0"/>
          <w:iCs w:val="0"/>
          <w:color w:val="000000" w:themeColor="text1"/>
          <w:sz w:val="32"/>
          <w:szCs w:val="32"/>
          <w:highlight w:val="yellow"/>
          <w:u w:val="none"/>
          <w14:textFill>
            <w14:solidFill>
              <w14:schemeClr w14:val="tx1"/>
            </w14:solidFill>
          </w14:textFill>
        </w:rPr>
        <w:t>登录中国融通电子商务平台，在“</w:t>
      </w:r>
      <w:r>
        <w:rPr>
          <w:rFonts w:hint="eastAsia" w:ascii="方正仿宋_GB2312" w:hAnsi="方正仿宋_GB2312" w:eastAsia="方正仿宋_GB2312" w:cs="方正仿宋_GB2312"/>
          <w:b w:val="0"/>
          <w:bCs w:val="0"/>
          <w:i w:val="0"/>
          <w:iCs w:val="0"/>
          <w:color w:val="000000" w:themeColor="text1"/>
          <w:sz w:val="32"/>
          <w:szCs w:val="32"/>
          <w:highlight w:val="yellow"/>
          <w:lang w:val="en-US" w:eastAsia="zh-CN"/>
          <w14:textFill>
            <w14:solidFill>
              <w14:schemeClr w14:val="tx1"/>
            </w14:solidFill>
          </w14:textFill>
        </w:rPr>
        <w:t>我的项目——项目管理（投标）——进入项目——网上投标——递交投标文件——递交</w:t>
      </w:r>
      <w:r>
        <w:rPr>
          <w:rFonts w:hint="eastAsia" w:ascii="方正仿宋_GB2312" w:hAnsi="方正仿宋_GB2312" w:eastAsia="方正仿宋_GB2312" w:cs="方正仿宋_GB2312"/>
          <w:b w:val="0"/>
          <w:bCs w:val="0"/>
          <w:i w:val="0"/>
          <w:iCs w:val="0"/>
          <w:color w:val="000000" w:themeColor="text1"/>
          <w:sz w:val="32"/>
          <w:szCs w:val="32"/>
          <w:highlight w:val="yellow"/>
          <w:lang w:eastAsia="zh-CN"/>
          <w14:textFill>
            <w14:solidFill>
              <w14:schemeClr w14:val="tx1"/>
            </w14:solidFill>
          </w14:textFill>
        </w:rPr>
        <w:t>保证金</w:t>
      </w:r>
      <w:r>
        <w:rPr>
          <w:rFonts w:hint="eastAsia" w:ascii="方正仿宋_GB2312" w:hAnsi="方正仿宋_GB2312" w:eastAsia="方正仿宋_GB2312" w:cs="方正仿宋_GB2312"/>
          <w:b w:val="0"/>
          <w:bCs w:val="0"/>
          <w:i w:val="0"/>
          <w:iCs w:val="0"/>
          <w:color w:val="000000" w:themeColor="text1"/>
          <w:sz w:val="32"/>
          <w:szCs w:val="32"/>
          <w:highlight w:val="yellow"/>
          <w:u w:val="none"/>
          <w14:textFill>
            <w14:solidFill>
              <w14:schemeClr w14:val="tx1"/>
            </w14:solidFill>
          </w14:textFill>
        </w:rPr>
        <w:t>”功能中查看，付款账户户名必须与平台注册的企业全称保持一致。</w:t>
      </w:r>
    </w:p>
    <w:p w14:paraId="4D2ED2AE">
      <w:pPr>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方正仿宋_GB2312" w:hAnsi="方正仿宋_GB2312" w:eastAsia="方正仿宋_GB2312" w:cs="方正仿宋_GB2312"/>
          <w:b w:val="0"/>
          <w:bCs w:val="0"/>
          <w:i w:val="0"/>
          <w:iCs w:val="0"/>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b w:val="0"/>
          <w:bCs w:val="0"/>
          <w:i w:val="0"/>
          <w:iCs w:val="0"/>
          <w:color w:val="000000" w:themeColor="text1"/>
          <w:sz w:val="32"/>
          <w:szCs w:val="32"/>
          <w:lang w:val="en-US" w:eastAsia="zh-CN"/>
          <w14:textFill>
            <w14:solidFill>
              <w14:schemeClr w14:val="tx1"/>
            </w14:solidFill>
          </w14:textFill>
        </w:rPr>
        <w:t>②</w:t>
      </w:r>
      <w:r>
        <w:rPr>
          <w:rFonts w:hint="eastAsia" w:ascii="方正仿宋_GB2312" w:hAnsi="方正仿宋_GB2312" w:eastAsia="方正仿宋_GB2312" w:cs="方正仿宋_GB2312"/>
          <w:b w:val="0"/>
          <w:bCs w:val="0"/>
          <w:i w:val="0"/>
          <w:iCs w:val="0"/>
          <w:color w:val="000000" w:themeColor="text1"/>
          <w:sz w:val="32"/>
          <w:szCs w:val="32"/>
          <w:lang w:eastAsia="zh-CN"/>
          <w14:textFill>
            <w14:solidFill>
              <w14:schemeClr w14:val="tx1"/>
            </w14:solidFill>
          </w14:textFill>
        </w:rPr>
        <w:t>投标人汇款时须备注“项目编号+</w:t>
      </w:r>
      <w:r>
        <w:rPr>
          <w:rFonts w:hint="eastAsia" w:ascii="方正仿宋_GB2312" w:hAnsi="方正仿宋_GB2312" w:cs="方正仿宋_GB2312"/>
          <w:b w:val="0"/>
          <w:bCs w:val="0"/>
          <w:i w:val="0"/>
          <w:iCs w:val="0"/>
          <w:color w:val="000000" w:themeColor="text1"/>
          <w:sz w:val="32"/>
          <w:szCs w:val="32"/>
          <w:lang w:val="en-US" w:eastAsia="zh-CN"/>
          <w14:textFill>
            <w14:solidFill>
              <w14:schemeClr w14:val="tx1"/>
            </w14:solidFill>
          </w14:textFill>
        </w:rPr>
        <w:t>标包号+</w:t>
      </w:r>
      <w:r>
        <w:rPr>
          <w:rFonts w:hint="eastAsia" w:ascii="方正仿宋_GB2312" w:hAnsi="方正仿宋_GB2312" w:eastAsia="方正仿宋_GB2312" w:cs="方正仿宋_GB2312"/>
          <w:b w:val="0"/>
          <w:bCs w:val="0"/>
          <w:i w:val="0"/>
          <w:iCs w:val="0"/>
          <w:color w:val="000000" w:themeColor="text1"/>
          <w:sz w:val="32"/>
          <w:szCs w:val="32"/>
          <w:lang w:eastAsia="zh-CN"/>
          <w14:textFill>
            <w14:solidFill>
              <w14:schemeClr w14:val="tx1"/>
            </w14:solidFill>
          </w14:textFill>
        </w:rPr>
        <w:t>投标保证金”，请采用银行转账或电汇形式支付，如果采用其他形式支付导致保证金信息不全或错误，由此产生的一切后果由投标人自行承担。</w:t>
      </w:r>
    </w:p>
    <w:p w14:paraId="3991DB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i w:val="0"/>
          <w:iCs w:val="0"/>
          <w:color w:val="000000" w:themeColor="text1"/>
          <w:sz w:val="32"/>
          <w:szCs w:val="32"/>
          <w:lang w:val="en-US" w:eastAsia="zh-CN"/>
          <w14:textFill>
            <w14:solidFill>
              <w14:schemeClr w14:val="tx1"/>
            </w14:solidFill>
          </w14:textFill>
        </w:rPr>
        <w:t>③招标</w:t>
      </w:r>
      <w:bookmarkStart w:id="0" w:name="_GoBack"/>
      <w:bookmarkEnd w:id="0"/>
      <w:r>
        <w:rPr>
          <w:rFonts w:hint="eastAsia" w:ascii="方正仿宋_GB2312" w:hAnsi="方正仿宋_GB2312" w:eastAsia="方正仿宋_GB2312" w:cs="方正仿宋_GB2312"/>
          <w:b w:val="0"/>
          <w:bCs w:val="0"/>
          <w:i w:val="0"/>
          <w:iCs w:val="0"/>
          <w:color w:val="000000" w:themeColor="text1"/>
          <w:sz w:val="32"/>
          <w:szCs w:val="32"/>
          <w:lang w:val="en-US" w:eastAsia="zh-CN"/>
          <w14:textFill>
            <w14:solidFill>
              <w14:schemeClr w14:val="tx1"/>
            </w14:solidFill>
          </w14:textFill>
        </w:rPr>
        <w:t>人与中标人签订合同后5日内，向未中标的投标人和中标人退还投标保证金及同期银行存款利息。投标保证金计息利率按照中国人民银行公布的同期活期存款利率，银行同期存款利息的计算公式为：金额×年利率/360×计息天数。起息日为项目的投标截止日，结息日为中标通知书发出当日。在退还投标保证金利息前，</w:t>
      </w:r>
      <w:r>
        <w:rPr>
          <w:rFonts w:hint="eastAsia" w:ascii="方正仿宋_GB2312" w:hAnsi="方正仿宋_GB2312" w:cs="方正仿宋_GB2312"/>
          <w:b w:val="0"/>
          <w:bCs w:val="0"/>
          <w:i w:val="0"/>
          <w:iCs w:val="0"/>
          <w:color w:val="000000" w:themeColor="text1"/>
          <w:sz w:val="32"/>
          <w:szCs w:val="32"/>
          <w:highlight w:val="yellow"/>
          <w:lang w:val="en-US" w:eastAsia="zh-CN"/>
          <w14:textFill>
            <w14:gradFill>
              <w14:gsLst>
                <w14:gs w14:pos="51300">
                  <w14:srgbClr w14:val="FE5F4A"/>
                </w14:gs>
                <w14:gs w14:pos="0">
                  <w14:srgbClr w14:val="DF0303"/>
                </w14:gs>
                <w14:gs w14:pos="100000">
                  <w14:srgbClr w14:val="FEA06E"/>
                </w14:gs>
              </w14:gsLst>
              <w14:lin w14:ang="5400000" w14:scaled="1"/>
            </w14:gradFill>
          </w14:textFill>
        </w:rPr>
        <w:t>中国融通集团信息技术有限公司</w:t>
      </w:r>
      <w:r>
        <w:rPr>
          <w:rFonts w:hint="eastAsia" w:ascii="方正仿宋_GB2312" w:hAnsi="方正仿宋_GB2312" w:eastAsia="方正仿宋_GB2312" w:cs="方正仿宋_GB2312"/>
          <w:b w:val="0"/>
          <w:bCs w:val="0"/>
          <w:i w:val="0"/>
          <w:iCs w:val="0"/>
          <w:color w:val="000000" w:themeColor="text1"/>
          <w:sz w:val="32"/>
          <w:szCs w:val="32"/>
          <w:lang w:val="en-US" w:eastAsia="zh-CN"/>
          <w14:textFill>
            <w14:solidFill>
              <w14:schemeClr w14:val="tx1"/>
            </w14:solidFill>
          </w14:textFill>
        </w:rPr>
        <w:t>将向投标人提供相应的计息清单，投标人需根据计息清单向</w:t>
      </w:r>
      <w:r>
        <w:rPr>
          <w:rFonts w:hint="eastAsia" w:ascii="方正仿宋_GB2312" w:hAnsi="方正仿宋_GB2312" w:cs="方正仿宋_GB2312"/>
          <w:b w:val="0"/>
          <w:bCs w:val="0"/>
          <w:i w:val="0"/>
          <w:iCs w:val="0"/>
          <w:color w:val="000000" w:themeColor="text1"/>
          <w:sz w:val="32"/>
          <w:szCs w:val="32"/>
          <w:highlight w:val="yellow"/>
          <w:lang w:val="en-US" w:eastAsia="zh-CN"/>
          <w14:textFill>
            <w14:gradFill>
              <w14:gsLst>
                <w14:gs w14:pos="51300">
                  <w14:srgbClr w14:val="FE5F4A"/>
                </w14:gs>
                <w14:gs w14:pos="0">
                  <w14:srgbClr w14:val="DF0303"/>
                </w14:gs>
                <w14:gs w14:pos="100000">
                  <w14:srgbClr w14:val="FEA06E"/>
                </w14:gs>
              </w14:gsLst>
              <w14:lin w14:ang="5400000" w14:scaled="1"/>
            </w14:gradFill>
          </w14:textFill>
        </w:rPr>
        <w:t>中国融通集团信息技术有限公司</w:t>
      </w:r>
      <w:r>
        <w:rPr>
          <w:rFonts w:hint="eastAsia" w:ascii="方正仿宋_GB2312" w:hAnsi="方正仿宋_GB2312" w:eastAsia="方正仿宋_GB2312" w:cs="方正仿宋_GB2312"/>
          <w:b w:val="0"/>
          <w:bCs w:val="0"/>
          <w:i w:val="0"/>
          <w:iCs w:val="0"/>
          <w:color w:val="000000" w:themeColor="text1"/>
          <w:sz w:val="32"/>
          <w:szCs w:val="32"/>
          <w:lang w:val="en-US" w:eastAsia="zh-CN"/>
          <w14:textFill>
            <w14:solidFill>
              <w14:schemeClr w14:val="tx1"/>
            </w14:solidFill>
          </w14:textFill>
        </w:rPr>
        <w:t>提供投标保证金利息的发票，</w:t>
      </w:r>
      <w:r>
        <w:rPr>
          <w:rFonts w:hint="eastAsia" w:ascii="方正仿宋_GB2312" w:hAnsi="方正仿宋_GB2312" w:cs="方正仿宋_GB2312"/>
          <w:b w:val="0"/>
          <w:bCs w:val="0"/>
          <w:i w:val="0"/>
          <w:iCs w:val="0"/>
          <w:color w:val="000000" w:themeColor="text1"/>
          <w:sz w:val="32"/>
          <w:szCs w:val="32"/>
          <w:highlight w:val="yellow"/>
          <w:lang w:val="en-US" w:eastAsia="zh-CN"/>
          <w14:textFill>
            <w14:gradFill>
              <w14:gsLst>
                <w14:gs w14:pos="51300">
                  <w14:srgbClr w14:val="FE5F4A"/>
                </w14:gs>
                <w14:gs w14:pos="0">
                  <w14:srgbClr w14:val="DF0303"/>
                </w14:gs>
                <w14:gs w14:pos="100000">
                  <w14:srgbClr w14:val="FEA06E"/>
                </w14:gs>
              </w14:gsLst>
              <w14:lin w14:ang="5400000" w14:scaled="1"/>
            </w14:gradFill>
          </w14:textFill>
        </w:rPr>
        <w:t>中国融通集团信息技术有限公司</w:t>
      </w:r>
      <w:r>
        <w:rPr>
          <w:rFonts w:hint="eastAsia" w:ascii="方正仿宋_GB2312" w:hAnsi="方正仿宋_GB2312" w:eastAsia="方正仿宋_GB2312" w:cs="方正仿宋_GB2312"/>
          <w:b w:val="0"/>
          <w:bCs w:val="0"/>
          <w:i w:val="0"/>
          <w:iCs w:val="0"/>
          <w:color w:val="000000" w:themeColor="text1"/>
          <w:sz w:val="32"/>
          <w:szCs w:val="32"/>
          <w:lang w:val="en-US" w:eastAsia="zh-CN"/>
          <w14:textFill>
            <w14:solidFill>
              <w14:schemeClr w14:val="tx1"/>
            </w14:solidFill>
          </w14:textFill>
        </w:rPr>
        <w:t>收到投标保证金利息发票后，退还保证金利息。以保函、保险形式提交的投标保证金无利息。</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FB2520-D274-47D5-86A9-45AE836EEA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42F751F-BB9C-4193-AE26-1B851D2ACBB3}"/>
  </w:font>
  <w:font w:name="方正仿宋_GB2312">
    <w:panose1 w:val="02000000000000000000"/>
    <w:charset w:val="86"/>
    <w:family w:val="auto"/>
    <w:pitch w:val="default"/>
    <w:sig w:usb0="A00002BF" w:usb1="184F6CFA" w:usb2="00000012" w:usb3="00000000" w:csb0="00040001" w:csb1="00000000"/>
    <w:embedRegular r:id="rId3" w:fontKey="{A6B80168-3D9E-4050-A046-8E8176CCC5BC}"/>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400B4A18-EB66-4B53-BD67-75DE69AA813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BDAE0"/>
    <w:multiLevelType w:val="singleLevel"/>
    <w:tmpl w:val="F2ABDAE0"/>
    <w:lvl w:ilvl="0" w:tentative="0">
      <w:start w:val="1"/>
      <w:numFmt w:val="decimal"/>
      <w:pStyle w:val="4"/>
      <w:lvlText w:val="%1."/>
      <w:lvlJc w:val="left"/>
      <w:pPr>
        <w:ind w:left="425" w:hanging="425"/>
      </w:pPr>
      <w:rPr>
        <w:rFonts w:hint="default"/>
      </w:rPr>
    </w:lvl>
  </w:abstractNum>
  <w:abstractNum w:abstractNumId="1">
    <w:nsid w:val="6B8523B0"/>
    <w:multiLevelType w:val="singleLevel"/>
    <w:tmpl w:val="6B8523B0"/>
    <w:lvl w:ilvl="0" w:tentative="0">
      <w:start w:val="1"/>
      <w:numFmt w:val="chineseCounting"/>
      <w:pStyle w:val="3"/>
      <w:suff w:val="nothing"/>
      <w:lvlText w:val="（%1）"/>
      <w:lvlJc w:val="left"/>
      <w:pPr>
        <w:ind w:left="0" w:firstLine="420"/>
      </w:pPr>
      <w:rPr>
        <w:rFonts w:hint="eastAsia"/>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446A5"/>
    <w:rsid w:val="2DB446A5"/>
    <w:rsid w:val="2DDF1B14"/>
    <w:rsid w:val="40B56D40"/>
    <w:rsid w:val="4B8360FF"/>
    <w:rsid w:val="50FE2865"/>
    <w:rsid w:val="551E043C"/>
    <w:rsid w:val="5D385F64"/>
    <w:rsid w:val="5E332504"/>
    <w:rsid w:val="7AFC0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562" w:firstLineChars="200"/>
      <w:jc w:val="both"/>
    </w:pPr>
    <w:rPr>
      <w:rFonts w:ascii="Times New Roman" w:hAnsi="Times New Roman" w:eastAsia="方正仿宋_GB2312" w:cs="Times New Roman"/>
      <w:kern w:val="2"/>
      <w:sz w:val="32"/>
      <w:szCs w:val="32"/>
      <w:u w:val="none"/>
      <w:lang w:val="en-US" w:eastAsia="zh-CN" w:bidi="ar-SA"/>
    </w:rPr>
  </w:style>
  <w:style w:type="paragraph" w:styleId="3">
    <w:name w:val="heading 2"/>
    <w:basedOn w:val="1"/>
    <w:next w:val="1"/>
    <w:semiHidden/>
    <w:unhideWhenUsed/>
    <w:qFormat/>
    <w:uiPriority w:val="0"/>
    <w:pPr>
      <w:keepNext/>
      <w:keepLines/>
      <w:numPr>
        <w:ilvl w:val="0"/>
        <w:numId w:val="1"/>
      </w:numPr>
      <w:spacing w:line="560" w:lineRule="exact"/>
      <w:jc w:val="both"/>
      <w:outlineLvl w:val="1"/>
    </w:pPr>
    <w:rPr>
      <w:rFonts w:ascii="Times New Roman" w:hAnsi="Times New Roman" w:eastAsia="楷体"/>
    </w:rPr>
  </w:style>
  <w:style w:type="paragraph" w:styleId="4">
    <w:name w:val="heading 3"/>
    <w:basedOn w:val="1"/>
    <w:next w:val="1"/>
    <w:semiHidden/>
    <w:unhideWhenUsed/>
    <w:qFormat/>
    <w:uiPriority w:val="0"/>
    <w:pPr>
      <w:keepNext/>
      <w:keepLines/>
      <w:numPr>
        <w:ilvl w:val="0"/>
        <w:numId w:val="2"/>
      </w:numPr>
      <w:spacing w:beforeLines="0" w:beforeAutospacing="0" w:afterLines="0" w:afterAutospacing="0" w:line="560" w:lineRule="exact"/>
      <w:ind w:left="0"/>
      <w:outlineLvl w:val="2"/>
    </w:pPr>
    <w:rPr>
      <w:rFonts w:ascii="Times New Roman" w:hAnsi="Times New Roman" w:eastAsia="方正仿宋_GB2312" w:cs="Times New Roman"/>
      <w:b/>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5">
    <w:name w:val="annotation text"/>
    <w:basedOn w:val="1"/>
    <w:qFormat/>
    <w:uiPriority w:val="0"/>
    <w:pPr>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849</Words>
  <Characters>880</Characters>
  <Lines>0</Lines>
  <Paragraphs>0</Paragraphs>
  <TotalTime>19</TotalTime>
  <ScaleCrop>false</ScaleCrop>
  <LinksUpToDate>false</LinksUpToDate>
  <CharactersWithSpaces>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2026-04-20T01:52:00Z</dcterms:created>
  <dc:creator>zq</dc:creator>
  <cp:lastModifiedBy>令</cp:lastModifiedBy>
  <dcterms:modified xsi:type="dcterms:W3CDTF">2026-04-21T02:00:16Z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B42C5C09243F48AB997506CAFA20E376_13</vt:lpwstr>
  </property>
  <property fmtid="{D5CDD505-2E9C-101B-9397-08002B2CF9AE}" pid="4" name="KSOTemplateDocerSaveRecord">
    <vt:lpwstr>eyJoZGlkIjoiMzEwNTM5NzYwMDRjMzkwZTVkZjY2ODkwMGIxNGU0OTUiLCJ1c2VySWQiOiI4OTMxMjY0NDgifQ==</vt:lpwstr>
  </property>
</Properties>
</file>