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60100">
      <w:pPr>
        <w:framePr w:w="9524" w:h="13477" w:hRule="exact" w:hSpace="180" w:wrap="around" w:vAnchor="text" w:hAnchor="page" w:x="1319" w:y="1"/>
        <w:ind w:firstLine="420"/>
        <w:jc w:val="center"/>
        <w:rPr>
          <w:rFonts w:ascii="宋体" w:hAnsi="宋体"/>
          <w:b/>
          <w:color w:val="000000"/>
          <w:sz w:val="44"/>
          <w:szCs w:val="44"/>
        </w:rPr>
      </w:pPr>
    </w:p>
    <w:p w14:paraId="00CA5DC7">
      <w:pPr>
        <w:framePr w:w="9524" w:h="13477" w:hRule="exact" w:hSpace="180" w:wrap="around" w:vAnchor="text" w:hAnchor="page" w:x="1319" w:y="1"/>
        <w:rPr>
          <w:rFonts w:ascii="宋体" w:hAnsi="宋体"/>
          <w:b/>
          <w:sz w:val="30"/>
          <w:szCs w:val="30"/>
        </w:rPr>
      </w:pPr>
    </w:p>
    <w:p w14:paraId="75357F2A">
      <w:pPr>
        <w:framePr w:w="9524" w:h="13477" w:hRule="exact" w:hSpace="180" w:wrap="around" w:vAnchor="text" w:hAnchor="page" w:x="1319" w:y="1"/>
        <w:spacing w:line="640" w:lineRule="exact"/>
        <w:jc w:val="center"/>
        <w:rPr>
          <w:rFonts w:ascii="宋体" w:hAnsi="宋体"/>
          <w:b/>
          <w:color w:val="000000"/>
          <w:sz w:val="30"/>
          <w:szCs w:val="30"/>
        </w:rPr>
      </w:pPr>
      <w:r>
        <w:rPr>
          <w:rFonts w:hint="eastAsia" w:ascii="宋体" w:hAnsi="宋体"/>
          <w:b/>
          <w:sz w:val="72"/>
        </w:rPr>
        <w:t xml:space="preserve"> </w:t>
      </w:r>
    </w:p>
    <w:p w14:paraId="172B8B19">
      <w:r>
        <w:rPr>
          <w:sz w:val="30"/>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153670</wp:posOffset>
                </wp:positionV>
                <wp:extent cx="6396355" cy="8650605"/>
                <wp:effectExtent l="6350" t="6350" r="17145" b="10795"/>
                <wp:wrapNone/>
                <wp:docPr id="2" name="文本框 21"/>
                <wp:cNvGraphicFramePr/>
                <a:graphic xmlns:a="http://schemas.openxmlformats.org/drawingml/2006/main">
                  <a:graphicData uri="http://schemas.microsoft.com/office/word/2010/wordprocessingShape">
                    <wps:wsp>
                      <wps:cNvSpPr txBox="1"/>
                      <wps:spPr>
                        <a:xfrm>
                          <a:off x="0" y="0"/>
                          <a:ext cx="6396355" cy="865060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EEC2486">
                            <w:pPr>
                              <w:jc w:val="center"/>
                              <w:rPr>
                                <w:rFonts w:ascii="宋体" w:hAnsi="宋体"/>
                                <w:b/>
                                <w:sz w:val="72"/>
                              </w:rPr>
                            </w:pPr>
                          </w:p>
                          <w:p w14:paraId="733571F0">
                            <w:pPr>
                              <w:jc w:val="center"/>
                              <w:rPr>
                                <w:rFonts w:ascii="宋体" w:hAnsi="宋体"/>
                                <w:b/>
                                <w:sz w:val="72"/>
                              </w:rPr>
                            </w:pPr>
                            <w:r>
                              <w:rPr>
                                <w:rFonts w:hint="eastAsia" w:ascii="宋体" w:hAnsi="宋体"/>
                                <w:b/>
                                <w:sz w:val="72"/>
                              </w:rPr>
                              <w:t>苍 南 县 政 府 采  购</w:t>
                            </w:r>
                          </w:p>
                          <w:p w14:paraId="2A404F1C">
                            <w:pPr>
                              <w:jc w:val="center"/>
                              <w:rPr>
                                <w:rFonts w:ascii="宋体" w:hAnsi="宋体"/>
                                <w:b/>
                                <w:sz w:val="72"/>
                              </w:rPr>
                            </w:pPr>
                            <w:r>
                              <w:rPr>
                                <w:rFonts w:hint="eastAsia" w:ascii="宋体" w:hAnsi="宋体"/>
                                <w:b/>
                                <w:sz w:val="72"/>
                              </w:rPr>
                              <w:t>招 标 文 件</w:t>
                            </w:r>
                          </w:p>
                          <w:p w14:paraId="2F3DEA90">
                            <w:pPr>
                              <w:spacing w:line="440" w:lineRule="exact"/>
                              <w:rPr>
                                <w:rFonts w:ascii="宋体" w:hAnsi="宋体"/>
                                <w:b/>
                                <w:color w:val="000000"/>
                                <w:sz w:val="30"/>
                                <w:szCs w:val="30"/>
                              </w:rPr>
                            </w:pPr>
                          </w:p>
                          <w:p w14:paraId="46851E1A">
                            <w:pPr>
                              <w:spacing w:line="440" w:lineRule="exact"/>
                              <w:rPr>
                                <w:rFonts w:ascii="宋体" w:hAnsi="宋体"/>
                                <w:b/>
                                <w:color w:val="000000"/>
                                <w:sz w:val="30"/>
                                <w:szCs w:val="30"/>
                              </w:rPr>
                            </w:pPr>
                          </w:p>
                          <w:p w14:paraId="0A5754E0">
                            <w:pPr>
                              <w:spacing w:line="440" w:lineRule="exact"/>
                              <w:ind w:firstLine="1506" w:firstLineChars="500"/>
                              <w:rPr>
                                <w:rFonts w:hint="eastAsia" w:ascii="宋体" w:hAnsi="宋体" w:eastAsia="宋体"/>
                                <w:b/>
                                <w:sz w:val="30"/>
                                <w:szCs w:val="30"/>
                                <w:lang w:eastAsia="zh-CN"/>
                              </w:rPr>
                            </w:pPr>
                            <w:r>
                              <w:rPr>
                                <w:rFonts w:hint="eastAsia" w:ascii="宋体" w:hAnsi="宋体"/>
                                <w:b/>
                                <w:color w:val="000000"/>
                                <w:sz w:val="30"/>
                                <w:szCs w:val="30"/>
                              </w:rPr>
                              <w:t>项目名称：</w:t>
                            </w:r>
                            <w:r>
                              <w:rPr>
                                <w:rFonts w:hint="eastAsia" w:ascii="宋体" w:hAnsi="宋体"/>
                                <w:b/>
                                <w:sz w:val="30"/>
                                <w:szCs w:val="30"/>
                                <w:lang w:eastAsia="zh-CN"/>
                              </w:rPr>
                              <w:t>苍南县灵溪镇2026年度除四害消杀服务采购项目</w:t>
                            </w:r>
                          </w:p>
                          <w:p w14:paraId="73C82E10">
                            <w:pPr>
                              <w:spacing w:line="440" w:lineRule="exact"/>
                              <w:ind w:firstLine="1506" w:firstLineChars="500"/>
                              <w:rPr>
                                <w:rFonts w:ascii="宋体" w:hAnsi="宋体"/>
                                <w:b/>
                                <w:color w:val="000000"/>
                                <w:sz w:val="30"/>
                                <w:szCs w:val="30"/>
                              </w:rPr>
                            </w:pPr>
                            <w:r>
                              <w:rPr>
                                <w:rFonts w:hint="eastAsia" w:ascii="宋体" w:hAnsi="宋体"/>
                                <w:b/>
                                <w:color w:val="000000"/>
                                <w:sz w:val="30"/>
                                <w:szCs w:val="30"/>
                              </w:rPr>
                              <w:t>采</w:t>
                            </w:r>
                            <w:r>
                              <w:rPr>
                                <w:rFonts w:hint="eastAsia" w:ascii="宋体" w:hAnsi="宋体"/>
                                <w:b/>
                                <w:color w:val="000000" w:themeColor="text1"/>
                                <w:sz w:val="30"/>
                                <w:szCs w:val="30"/>
                                <w14:textFill>
                                  <w14:solidFill>
                                    <w14:schemeClr w14:val="tx1"/>
                                  </w14:solidFill>
                                </w14:textFill>
                              </w:rPr>
                              <w:t>购方式：公开招标</w:t>
                            </w:r>
                          </w:p>
                          <w:p w14:paraId="0A812558">
                            <w:pPr>
                              <w:spacing w:line="440" w:lineRule="exact"/>
                              <w:ind w:left="-2" w:leftChars="-150" w:hanging="313" w:hangingChars="104"/>
                              <w:rPr>
                                <w:rFonts w:ascii="宋体" w:hAnsi="宋体"/>
                                <w:b/>
                                <w:color w:val="000000"/>
                                <w:sz w:val="30"/>
                                <w:szCs w:val="30"/>
                              </w:rPr>
                            </w:pPr>
                            <w:r>
                              <w:rPr>
                                <w:rFonts w:hint="eastAsia" w:ascii="宋体" w:hAnsi="宋体"/>
                                <w:b/>
                                <w:sz w:val="30"/>
                                <w:szCs w:val="30"/>
                              </w:rPr>
                              <w:t xml:space="preserve"> </w:t>
                            </w:r>
                          </w:p>
                          <w:p w14:paraId="3DBE6843">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 xml:space="preserve">      </w:t>
                            </w:r>
                          </w:p>
                          <w:p w14:paraId="6108466C">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采 购 人：苍南县灵溪镇人民政府</w:t>
                            </w:r>
                          </w:p>
                          <w:p w14:paraId="262FD076">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联 系 人：石先生</w:t>
                            </w:r>
                          </w:p>
                          <w:p w14:paraId="14631439">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w:t>
                            </w:r>
                          </w:p>
                          <w:p w14:paraId="6D2DB48C">
                            <w:pPr>
                              <w:pStyle w:val="21"/>
                            </w:pPr>
                          </w:p>
                          <w:p w14:paraId="61AB2CE2">
                            <w:pPr>
                              <w:spacing w:line="440" w:lineRule="exact"/>
                              <w:ind w:left="1148"/>
                              <w:rPr>
                                <w:rFonts w:ascii="宋体" w:hAnsi="宋体"/>
                                <w:b/>
                                <w:color w:val="000000"/>
                                <w:sz w:val="30"/>
                                <w:szCs w:val="30"/>
                              </w:rPr>
                            </w:pPr>
                          </w:p>
                          <w:p w14:paraId="3DC557EB">
                            <w:pPr>
                              <w:pStyle w:val="5"/>
                            </w:pPr>
                          </w:p>
                          <w:p w14:paraId="54EF0CB0">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代理机构：</w:t>
                            </w:r>
                            <w:r>
                              <w:rPr>
                                <w:rFonts w:hint="eastAsia" w:ascii="宋体" w:hAnsi="宋体"/>
                                <w:b/>
                                <w:color w:val="000000"/>
                                <w:spacing w:val="-12"/>
                                <w:sz w:val="30"/>
                                <w:szCs w:val="30"/>
                                <w:lang w:eastAsia="zh-CN"/>
                              </w:rPr>
                              <w:t>浙江明业项目管理有限公司</w:t>
                            </w:r>
                          </w:p>
                          <w:p w14:paraId="0A136B30">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联 系 人：</w:t>
                            </w:r>
                            <w:r>
                              <w:rPr>
                                <w:rFonts w:hint="eastAsia" w:ascii="宋体" w:hAnsi="宋体"/>
                                <w:b/>
                                <w:color w:val="000000"/>
                                <w:sz w:val="30"/>
                                <w:szCs w:val="30"/>
                                <w:lang w:eastAsia="zh-CN"/>
                              </w:rPr>
                              <w:t>陈先生</w:t>
                            </w:r>
                          </w:p>
                          <w:p w14:paraId="31A304C3">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联系电话：</w:t>
                            </w:r>
                            <w:r>
                              <w:rPr>
                                <w:rFonts w:hint="eastAsia" w:ascii="宋体" w:hAnsi="宋体"/>
                                <w:b/>
                                <w:color w:val="000000"/>
                                <w:spacing w:val="-12"/>
                                <w:sz w:val="30"/>
                                <w:szCs w:val="30"/>
                                <w:lang w:eastAsia="zh-CN"/>
                              </w:rPr>
                              <w:t>0577-59957530、15805772042</w:t>
                            </w:r>
                          </w:p>
                          <w:p w14:paraId="48860772">
                            <w:pPr>
                              <w:spacing w:line="440" w:lineRule="exact"/>
                              <w:rPr>
                                <w:rFonts w:ascii="宋体" w:hAnsi="宋体"/>
                                <w:b/>
                                <w:bCs/>
                                <w:sz w:val="30"/>
                                <w:szCs w:val="30"/>
                              </w:rPr>
                            </w:pPr>
                            <w:r>
                              <w:rPr>
                                <w:rFonts w:hint="eastAsia" w:ascii="宋体" w:hAnsi="宋体"/>
                                <w:b/>
                                <w:color w:val="000000"/>
                                <w:sz w:val="30"/>
                                <w:szCs w:val="30"/>
                              </w:rPr>
                              <w:t xml:space="preserve">           </w:t>
                            </w:r>
                          </w:p>
                          <w:p w14:paraId="7457FD8C">
                            <w:pPr>
                              <w:spacing w:line="440" w:lineRule="exact"/>
                              <w:ind w:left="1260" w:leftChars="600" w:firstLine="904" w:firstLineChars="300"/>
                              <w:rPr>
                                <w:rFonts w:ascii="宋体" w:hAnsi="宋体"/>
                                <w:b/>
                                <w:color w:val="000000"/>
                                <w:sz w:val="30"/>
                                <w:szCs w:val="30"/>
                              </w:rPr>
                            </w:pPr>
                          </w:p>
                          <w:p w14:paraId="55324DF1">
                            <w:pPr>
                              <w:pStyle w:val="3"/>
                              <w:rPr>
                                <w:rFonts w:ascii="宋体" w:hAnsi="宋体"/>
                                <w:b/>
                                <w:color w:val="000000"/>
                                <w:sz w:val="30"/>
                                <w:szCs w:val="30"/>
                              </w:rPr>
                            </w:pPr>
                          </w:p>
                          <w:p w14:paraId="4C7FA974"/>
                          <w:p w14:paraId="4682B697">
                            <w:pPr>
                              <w:spacing w:line="440" w:lineRule="exact"/>
                              <w:jc w:val="center"/>
                              <w:rPr>
                                <w:rFonts w:hint="eastAsia" w:ascii="宋体" w:hAnsi="宋体" w:eastAsia="宋体" w:cs="Times New Roman"/>
                                <w:b/>
                                <w:color w:val="000000"/>
                                <w:spacing w:val="-12"/>
                                <w:sz w:val="30"/>
                                <w:szCs w:val="30"/>
                                <w:lang w:eastAsia="zh-CN"/>
                              </w:rPr>
                            </w:pPr>
                            <w:r>
                              <w:rPr>
                                <w:rFonts w:hint="eastAsia" w:ascii="宋体" w:hAnsi="宋体" w:eastAsia="宋体" w:cs="Times New Roman"/>
                                <w:b/>
                                <w:color w:val="000000"/>
                                <w:spacing w:val="-12"/>
                                <w:sz w:val="30"/>
                                <w:szCs w:val="30"/>
                                <w:lang w:eastAsia="zh-CN"/>
                              </w:rPr>
                              <w:t>备案机构：苍南县政府采购监督管理办公室</w:t>
                            </w:r>
                          </w:p>
                          <w:p w14:paraId="333C5ADB">
                            <w:pPr>
                              <w:spacing w:line="440" w:lineRule="exact"/>
                              <w:rPr>
                                <w:rFonts w:ascii="宋体" w:hAnsi="宋体"/>
                                <w:b/>
                                <w:color w:val="000000"/>
                                <w:sz w:val="30"/>
                                <w:szCs w:val="30"/>
                              </w:rPr>
                            </w:pPr>
                            <w:r>
                              <w:rPr>
                                <w:rFonts w:hint="eastAsia" w:ascii="宋体" w:hAnsi="宋体"/>
                                <w:b/>
                                <w:sz w:val="28"/>
                                <w:szCs w:val="28"/>
                              </w:rPr>
                              <w:t xml:space="preserve">           </w:t>
                            </w:r>
                          </w:p>
                          <w:p w14:paraId="35B903E5">
                            <w:pPr>
                              <w:spacing w:line="640" w:lineRule="exact"/>
                              <w:jc w:val="center"/>
                              <w:rPr>
                                <w:rFonts w:ascii="宋体" w:hAnsi="宋体"/>
                                <w:b/>
                                <w:color w:val="000000"/>
                                <w:sz w:val="30"/>
                                <w:szCs w:val="30"/>
                              </w:rPr>
                            </w:pPr>
                            <w:r>
                              <w:rPr>
                                <w:rFonts w:hint="eastAsia" w:ascii="宋体" w:hAnsi="宋体"/>
                                <w:b/>
                                <w:color w:val="000000"/>
                                <w:sz w:val="30"/>
                                <w:szCs w:val="30"/>
                              </w:rPr>
                              <w:t>二○二</w:t>
                            </w:r>
                            <w:r>
                              <w:rPr>
                                <w:rFonts w:hint="eastAsia" w:ascii="宋体" w:hAnsi="宋体"/>
                                <w:b/>
                                <w:color w:val="000000"/>
                                <w:sz w:val="30"/>
                                <w:szCs w:val="30"/>
                                <w:lang w:val="en-US" w:eastAsia="zh-CN"/>
                              </w:rPr>
                              <w:t>六</w:t>
                            </w:r>
                            <w:r>
                              <w:rPr>
                                <w:rFonts w:hint="eastAsia" w:ascii="宋体" w:hAnsi="宋体"/>
                                <w:b/>
                                <w:color w:val="000000"/>
                                <w:sz w:val="30"/>
                                <w:szCs w:val="30"/>
                              </w:rPr>
                              <w:t>年</w:t>
                            </w:r>
                            <w:r>
                              <w:rPr>
                                <w:rFonts w:hint="eastAsia" w:ascii="宋体" w:hAnsi="宋体"/>
                                <w:b/>
                                <w:color w:val="000000"/>
                                <w:sz w:val="30"/>
                                <w:szCs w:val="30"/>
                                <w:lang w:val="en-US" w:eastAsia="zh-CN"/>
                              </w:rPr>
                              <w:t>六</w:t>
                            </w:r>
                            <w:r>
                              <w:rPr>
                                <w:rFonts w:hint="eastAsia" w:ascii="宋体" w:hAnsi="宋体"/>
                                <w:b/>
                                <w:color w:val="000000"/>
                                <w:sz w:val="30"/>
                                <w:szCs w:val="30"/>
                              </w:rPr>
                              <w:t>月</w:t>
                            </w:r>
                          </w:p>
                          <w:p w14:paraId="4F6C574F"/>
                        </w:txbxContent>
                      </wps:txbx>
                      <wps:bodyPr wrap="square"/>
                    </wps:wsp>
                  </a:graphicData>
                </a:graphic>
              </wp:anchor>
            </w:drawing>
          </mc:Choice>
          <mc:Fallback>
            <w:pict>
              <v:shape id="文本框 21" o:spid="_x0000_s1026" o:spt="202" type="#_x0000_t202" style="position:absolute;left:0pt;margin-left:-19.6pt;margin-top:12.1pt;height:681.15pt;width:503.65pt;z-index:251659264;mso-width-relative:page;mso-height-relative:page;" fillcolor="#FFFFFF" filled="t" stroked="t" coordsize="21600,21600" o:gfxdata="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og+NPdAAAACwEAAA8AAAAA&#10;AAAAAQAgAAAAIgAAAGRycy9kb3ducmV2LnhtbFBLAQIUABQAAAAIAIdO4kBe4nDzDwIAADsEAAAO&#10;AAAAAAAAAAEAIAAAACwBAABkcnMvZTJvRG9jLnhtbFBLBQYAAAAABgAGAFkBAACtBQAAAAA=&#10;">
                <v:fill on="t" focussize="0,0"/>
                <v:stroke weight="1pt" color="#000000" joinstyle="miter"/>
                <v:imagedata o:title=""/>
                <o:lock v:ext="edit" aspectratio="f"/>
                <v:textbox>
                  <w:txbxContent>
                    <w:p w14:paraId="7EEC2486">
                      <w:pPr>
                        <w:jc w:val="center"/>
                        <w:rPr>
                          <w:rFonts w:ascii="宋体" w:hAnsi="宋体"/>
                          <w:b/>
                          <w:sz w:val="72"/>
                        </w:rPr>
                      </w:pPr>
                    </w:p>
                    <w:p w14:paraId="733571F0">
                      <w:pPr>
                        <w:jc w:val="center"/>
                        <w:rPr>
                          <w:rFonts w:ascii="宋体" w:hAnsi="宋体"/>
                          <w:b/>
                          <w:sz w:val="72"/>
                        </w:rPr>
                      </w:pPr>
                      <w:r>
                        <w:rPr>
                          <w:rFonts w:hint="eastAsia" w:ascii="宋体" w:hAnsi="宋体"/>
                          <w:b/>
                          <w:sz w:val="72"/>
                        </w:rPr>
                        <w:t>苍 南 县 政 府 采  购</w:t>
                      </w:r>
                    </w:p>
                    <w:p w14:paraId="2A404F1C">
                      <w:pPr>
                        <w:jc w:val="center"/>
                        <w:rPr>
                          <w:rFonts w:ascii="宋体" w:hAnsi="宋体"/>
                          <w:b/>
                          <w:sz w:val="72"/>
                        </w:rPr>
                      </w:pPr>
                      <w:r>
                        <w:rPr>
                          <w:rFonts w:hint="eastAsia" w:ascii="宋体" w:hAnsi="宋体"/>
                          <w:b/>
                          <w:sz w:val="72"/>
                        </w:rPr>
                        <w:t>招 标 文 件</w:t>
                      </w:r>
                    </w:p>
                    <w:p w14:paraId="2F3DEA90">
                      <w:pPr>
                        <w:spacing w:line="440" w:lineRule="exact"/>
                        <w:rPr>
                          <w:rFonts w:ascii="宋体" w:hAnsi="宋体"/>
                          <w:b/>
                          <w:color w:val="000000"/>
                          <w:sz w:val="30"/>
                          <w:szCs w:val="30"/>
                        </w:rPr>
                      </w:pPr>
                    </w:p>
                    <w:p w14:paraId="46851E1A">
                      <w:pPr>
                        <w:spacing w:line="440" w:lineRule="exact"/>
                        <w:rPr>
                          <w:rFonts w:ascii="宋体" w:hAnsi="宋体"/>
                          <w:b/>
                          <w:color w:val="000000"/>
                          <w:sz w:val="30"/>
                          <w:szCs w:val="30"/>
                        </w:rPr>
                      </w:pPr>
                    </w:p>
                    <w:p w14:paraId="0A5754E0">
                      <w:pPr>
                        <w:spacing w:line="440" w:lineRule="exact"/>
                        <w:ind w:firstLine="1506" w:firstLineChars="500"/>
                        <w:rPr>
                          <w:rFonts w:hint="eastAsia" w:ascii="宋体" w:hAnsi="宋体" w:eastAsia="宋体"/>
                          <w:b/>
                          <w:sz w:val="30"/>
                          <w:szCs w:val="30"/>
                          <w:lang w:eastAsia="zh-CN"/>
                        </w:rPr>
                      </w:pPr>
                      <w:r>
                        <w:rPr>
                          <w:rFonts w:hint="eastAsia" w:ascii="宋体" w:hAnsi="宋体"/>
                          <w:b/>
                          <w:color w:val="000000"/>
                          <w:sz w:val="30"/>
                          <w:szCs w:val="30"/>
                        </w:rPr>
                        <w:t>项目名称：</w:t>
                      </w:r>
                      <w:r>
                        <w:rPr>
                          <w:rFonts w:hint="eastAsia" w:ascii="宋体" w:hAnsi="宋体"/>
                          <w:b/>
                          <w:sz w:val="30"/>
                          <w:szCs w:val="30"/>
                          <w:lang w:eastAsia="zh-CN"/>
                        </w:rPr>
                        <w:t>苍南县灵溪镇2026年度除四害消杀服务采购项目</w:t>
                      </w:r>
                    </w:p>
                    <w:p w14:paraId="73C82E10">
                      <w:pPr>
                        <w:spacing w:line="440" w:lineRule="exact"/>
                        <w:ind w:firstLine="1506" w:firstLineChars="500"/>
                        <w:rPr>
                          <w:rFonts w:ascii="宋体" w:hAnsi="宋体"/>
                          <w:b/>
                          <w:color w:val="000000"/>
                          <w:sz w:val="30"/>
                          <w:szCs w:val="30"/>
                        </w:rPr>
                      </w:pPr>
                      <w:r>
                        <w:rPr>
                          <w:rFonts w:hint="eastAsia" w:ascii="宋体" w:hAnsi="宋体"/>
                          <w:b/>
                          <w:color w:val="000000"/>
                          <w:sz w:val="30"/>
                          <w:szCs w:val="30"/>
                        </w:rPr>
                        <w:t>采</w:t>
                      </w:r>
                      <w:r>
                        <w:rPr>
                          <w:rFonts w:hint="eastAsia" w:ascii="宋体" w:hAnsi="宋体"/>
                          <w:b/>
                          <w:color w:val="000000" w:themeColor="text1"/>
                          <w:sz w:val="30"/>
                          <w:szCs w:val="30"/>
                          <w14:textFill>
                            <w14:solidFill>
                              <w14:schemeClr w14:val="tx1"/>
                            </w14:solidFill>
                          </w14:textFill>
                        </w:rPr>
                        <w:t>购方式：公开招标</w:t>
                      </w:r>
                    </w:p>
                    <w:p w14:paraId="0A812558">
                      <w:pPr>
                        <w:spacing w:line="440" w:lineRule="exact"/>
                        <w:ind w:left="-2" w:leftChars="-150" w:hanging="313" w:hangingChars="104"/>
                        <w:rPr>
                          <w:rFonts w:ascii="宋体" w:hAnsi="宋体"/>
                          <w:b/>
                          <w:color w:val="000000"/>
                          <w:sz w:val="30"/>
                          <w:szCs w:val="30"/>
                        </w:rPr>
                      </w:pPr>
                      <w:r>
                        <w:rPr>
                          <w:rFonts w:hint="eastAsia" w:ascii="宋体" w:hAnsi="宋体"/>
                          <w:b/>
                          <w:sz w:val="30"/>
                          <w:szCs w:val="30"/>
                        </w:rPr>
                        <w:t xml:space="preserve"> </w:t>
                      </w:r>
                    </w:p>
                    <w:p w14:paraId="3DBE6843">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 xml:space="preserve">      </w:t>
                      </w:r>
                    </w:p>
                    <w:p w14:paraId="6108466C">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采 购 人：苍南县灵溪镇人民政府</w:t>
                      </w:r>
                    </w:p>
                    <w:p w14:paraId="262FD076">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联 系 人：石先生</w:t>
                      </w:r>
                    </w:p>
                    <w:p w14:paraId="14631439">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w:t>
                      </w:r>
                    </w:p>
                    <w:p w14:paraId="6D2DB48C">
                      <w:pPr>
                        <w:pStyle w:val="21"/>
                      </w:pPr>
                    </w:p>
                    <w:p w14:paraId="61AB2CE2">
                      <w:pPr>
                        <w:spacing w:line="440" w:lineRule="exact"/>
                        <w:ind w:left="1148"/>
                        <w:rPr>
                          <w:rFonts w:ascii="宋体" w:hAnsi="宋体"/>
                          <w:b/>
                          <w:color w:val="000000"/>
                          <w:sz w:val="30"/>
                          <w:szCs w:val="30"/>
                        </w:rPr>
                      </w:pPr>
                    </w:p>
                    <w:p w14:paraId="3DC557EB">
                      <w:pPr>
                        <w:pStyle w:val="5"/>
                      </w:pPr>
                    </w:p>
                    <w:p w14:paraId="54EF0CB0">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代理机构：</w:t>
                      </w:r>
                      <w:r>
                        <w:rPr>
                          <w:rFonts w:hint="eastAsia" w:ascii="宋体" w:hAnsi="宋体"/>
                          <w:b/>
                          <w:color w:val="000000"/>
                          <w:spacing w:val="-12"/>
                          <w:sz w:val="30"/>
                          <w:szCs w:val="30"/>
                          <w:lang w:eastAsia="zh-CN"/>
                        </w:rPr>
                        <w:t>浙江明业项目管理有限公司</w:t>
                      </w:r>
                    </w:p>
                    <w:p w14:paraId="0A136B30">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联 系 人：</w:t>
                      </w:r>
                      <w:r>
                        <w:rPr>
                          <w:rFonts w:hint="eastAsia" w:ascii="宋体" w:hAnsi="宋体"/>
                          <w:b/>
                          <w:color w:val="000000"/>
                          <w:sz w:val="30"/>
                          <w:szCs w:val="30"/>
                          <w:lang w:eastAsia="zh-CN"/>
                        </w:rPr>
                        <w:t>陈先生</w:t>
                      </w:r>
                    </w:p>
                    <w:p w14:paraId="31A304C3">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联系电话：</w:t>
                      </w:r>
                      <w:r>
                        <w:rPr>
                          <w:rFonts w:hint="eastAsia" w:ascii="宋体" w:hAnsi="宋体"/>
                          <w:b/>
                          <w:color w:val="000000"/>
                          <w:spacing w:val="-12"/>
                          <w:sz w:val="30"/>
                          <w:szCs w:val="30"/>
                          <w:lang w:eastAsia="zh-CN"/>
                        </w:rPr>
                        <w:t>0577-59957530、15805772042</w:t>
                      </w:r>
                    </w:p>
                    <w:p w14:paraId="48860772">
                      <w:pPr>
                        <w:spacing w:line="440" w:lineRule="exact"/>
                        <w:rPr>
                          <w:rFonts w:ascii="宋体" w:hAnsi="宋体"/>
                          <w:b/>
                          <w:bCs/>
                          <w:sz w:val="30"/>
                          <w:szCs w:val="30"/>
                        </w:rPr>
                      </w:pPr>
                      <w:r>
                        <w:rPr>
                          <w:rFonts w:hint="eastAsia" w:ascii="宋体" w:hAnsi="宋体"/>
                          <w:b/>
                          <w:color w:val="000000"/>
                          <w:sz w:val="30"/>
                          <w:szCs w:val="30"/>
                        </w:rPr>
                        <w:t xml:space="preserve">           </w:t>
                      </w:r>
                    </w:p>
                    <w:p w14:paraId="7457FD8C">
                      <w:pPr>
                        <w:spacing w:line="440" w:lineRule="exact"/>
                        <w:ind w:left="1260" w:leftChars="600" w:firstLine="904" w:firstLineChars="300"/>
                        <w:rPr>
                          <w:rFonts w:ascii="宋体" w:hAnsi="宋体"/>
                          <w:b/>
                          <w:color w:val="000000"/>
                          <w:sz w:val="30"/>
                          <w:szCs w:val="30"/>
                        </w:rPr>
                      </w:pPr>
                    </w:p>
                    <w:p w14:paraId="55324DF1">
                      <w:pPr>
                        <w:pStyle w:val="3"/>
                        <w:rPr>
                          <w:rFonts w:ascii="宋体" w:hAnsi="宋体"/>
                          <w:b/>
                          <w:color w:val="000000"/>
                          <w:sz w:val="30"/>
                          <w:szCs w:val="30"/>
                        </w:rPr>
                      </w:pPr>
                    </w:p>
                    <w:p w14:paraId="4C7FA974"/>
                    <w:p w14:paraId="4682B697">
                      <w:pPr>
                        <w:spacing w:line="440" w:lineRule="exact"/>
                        <w:jc w:val="center"/>
                        <w:rPr>
                          <w:rFonts w:hint="eastAsia" w:ascii="宋体" w:hAnsi="宋体" w:eastAsia="宋体" w:cs="Times New Roman"/>
                          <w:b/>
                          <w:color w:val="000000"/>
                          <w:spacing w:val="-12"/>
                          <w:sz w:val="30"/>
                          <w:szCs w:val="30"/>
                          <w:lang w:eastAsia="zh-CN"/>
                        </w:rPr>
                      </w:pPr>
                      <w:r>
                        <w:rPr>
                          <w:rFonts w:hint="eastAsia" w:ascii="宋体" w:hAnsi="宋体" w:eastAsia="宋体" w:cs="Times New Roman"/>
                          <w:b/>
                          <w:color w:val="000000"/>
                          <w:spacing w:val="-12"/>
                          <w:sz w:val="30"/>
                          <w:szCs w:val="30"/>
                          <w:lang w:eastAsia="zh-CN"/>
                        </w:rPr>
                        <w:t>备案机构：苍南县政府采购监督管理办公室</w:t>
                      </w:r>
                    </w:p>
                    <w:p w14:paraId="333C5ADB">
                      <w:pPr>
                        <w:spacing w:line="440" w:lineRule="exact"/>
                        <w:rPr>
                          <w:rFonts w:ascii="宋体" w:hAnsi="宋体"/>
                          <w:b/>
                          <w:color w:val="000000"/>
                          <w:sz w:val="30"/>
                          <w:szCs w:val="30"/>
                        </w:rPr>
                      </w:pPr>
                      <w:r>
                        <w:rPr>
                          <w:rFonts w:hint="eastAsia" w:ascii="宋体" w:hAnsi="宋体"/>
                          <w:b/>
                          <w:sz w:val="28"/>
                          <w:szCs w:val="28"/>
                        </w:rPr>
                        <w:t xml:space="preserve">           </w:t>
                      </w:r>
                    </w:p>
                    <w:p w14:paraId="35B903E5">
                      <w:pPr>
                        <w:spacing w:line="640" w:lineRule="exact"/>
                        <w:jc w:val="center"/>
                        <w:rPr>
                          <w:rFonts w:ascii="宋体" w:hAnsi="宋体"/>
                          <w:b/>
                          <w:color w:val="000000"/>
                          <w:sz w:val="30"/>
                          <w:szCs w:val="30"/>
                        </w:rPr>
                      </w:pPr>
                      <w:r>
                        <w:rPr>
                          <w:rFonts w:hint="eastAsia" w:ascii="宋体" w:hAnsi="宋体"/>
                          <w:b/>
                          <w:color w:val="000000"/>
                          <w:sz w:val="30"/>
                          <w:szCs w:val="30"/>
                        </w:rPr>
                        <w:t>二○二</w:t>
                      </w:r>
                      <w:r>
                        <w:rPr>
                          <w:rFonts w:hint="eastAsia" w:ascii="宋体" w:hAnsi="宋体"/>
                          <w:b/>
                          <w:color w:val="000000"/>
                          <w:sz w:val="30"/>
                          <w:szCs w:val="30"/>
                          <w:lang w:val="en-US" w:eastAsia="zh-CN"/>
                        </w:rPr>
                        <w:t>六</w:t>
                      </w:r>
                      <w:r>
                        <w:rPr>
                          <w:rFonts w:hint="eastAsia" w:ascii="宋体" w:hAnsi="宋体"/>
                          <w:b/>
                          <w:color w:val="000000"/>
                          <w:sz w:val="30"/>
                          <w:szCs w:val="30"/>
                        </w:rPr>
                        <w:t>年</w:t>
                      </w:r>
                      <w:r>
                        <w:rPr>
                          <w:rFonts w:hint="eastAsia" w:ascii="宋体" w:hAnsi="宋体"/>
                          <w:b/>
                          <w:color w:val="000000"/>
                          <w:sz w:val="30"/>
                          <w:szCs w:val="30"/>
                          <w:lang w:val="en-US" w:eastAsia="zh-CN"/>
                        </w:rPr>
                        <w:t>六</w:t>
                      </w:r>
                      <w:r>
                        <w:rPr>
                          <w:rFonts w:hint="eastAsia" w:ascii="宋体" w:hAnsi="宋体"/>
                          <w:b/>
                          <w:color w:val="000000"/>
                          <w:sz w:val="30"/>
                          <w:szCs w:val="30"/>
                        </w:rPr>
                        <w:t>月</w:t>
                      </w:r>
                    </w:p>
                    <w:p w14:paraId="4F6C574F"/>
                  </w:txbxContent>
                </v:textbox>
              </v:shape>
            </w:pict>
          </mc:Fallback>
        </mc:AlternateContent>
      </w:r>
    </w:p>
    <w:p w14:paraId="27AD0766">
      <w:pPr>
        <w:pStyle w:val="35"/>
        <w:rPr>
          <w:rFonts w:ascii="宋体" w:hAnsi="宋体"/>
          <w:bCs/>
          <w:sz w:val="30"/>
          <w:szCs w:val="30"/>
        </w:rPr>
        <w:sectPr>
          <w:headerReference r:id="rId4" w:type="first"/>
          <w:headerReference r:id="rId3" w:type="default"/>
          <w:footerReference r:id="rId5" w:type="default"/>
          <w:pgSz w:w="11906" w:h="16838"/>
          <w:pgMar w:top="1440" w:right="1361" w:bottom="1276" w:left="136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0" w:name="_Toc457976017"/>
    </w:p>
    <w:bookmarkEnd w:id="0"/>
    <w:p w14:paraId="4A15458F">
      <w:pPr>
        <w:spacing w:line="360" w:lineRule="auto"/>
        <w:ind w:right="-355" w:rightChars="-169"/>
        <w:jc w:val="center"/>
        <w:outlineLvl w:val="0"/>
        <w:rPr>
          <w:rFonts w:hint="eastAsia" w:asciiTheme="minorEastAsia" w:hAnsiTheme="minorEastAsia" w:eastAsiaTheme="minorEastAsia" w:cstheme="minorEastAsia"/>
          <w:b/>
          <w:bCs/>
          <w:spacing w:val="-3"/>
          <w:sz w:val="28"/>
          <w:szCs w:val="28"/>
          <w:lang w:eastAsia="zh-CN"/>
        </w:rPr>
        <w:sectPr>
          <w:footerReference r:id="rId8" w:type="first"/>
          <w:headerReference r:id="rId6" w:type="default"/>
          <w:footerReference r:id="rId7" w:type="default"/>
          <w:pgSz w:w="11907" w:h="16840"/>
          <w:pgMar w:top="1304" w:right="1304" w:bottom="1304" w:left="1304" w:header="720" w:footer="720" w:gutter="0"/>
          <w:pgBorders w:offsetFrom="page">
            <w:top w:val="none" w:sz="0" w:space="0"/>
            <w:left w:val="none" w:sz="0" w:space="0"/>
            <w:bottom w:val="none" w:sz="0" w:space="0"/>
            <w:right w:val="none" w:sz="0" w:space="0"/>
          </w:pgBorders>
          <w:pgNumType w:fmt="decimal" w:start="1"/>
          <w:cols w:space="720" w:num="1"/>
          <w:titlePg/>
          <w:docGrid w:linePitch="286" w:charSpace="0"/>
        </w:sectPr>
      </w:pPr>
      <w:bookmarkStart w:id="1" w:name="OLE_LINK2"/>
      <w:bookmarkStart w:id="2" w:name="OLE_LINK1"/>
    </w:p>
    <w:p w14:paraId="2A5D5DBC">
      <w:pPr>
        <w:spacing w:line="360" w:lineRule="auto"/>
        <w:ind w:right="-355" w:rightChars="-169"/>
        <w:jc w:val="center"/>
        <w:outlineLvl w:val="0"/>
        <w:rPr>
          <w:rFonts w:asciiTheme="minorEastAsia" w:hAnsiTheme="minorEastAsia" w:eastAsiaTheme="minorEastAsia" w:cstheme="minorEastAsia"/>
          <w:b/>
          <w:bCs/>
          <w:color w:val="000000" w:themeColor="text1"/>
          <w:spacing w:val="-6"/>
          <w:sz w:val="28"/>
          <w:szCs w:val="28"/>
          <w14:textFill>
            <w14:solidFill>
              <w14:schemeClr w14:val="tx1"/>
            </w14:solidFill>
          </w14:textFill>
        </w:rPr>
      </w:pPr>
      <w:r>
        <w:rPr>
          <w:rFonts w:hint="eastAsia" w:asciiTheme="minorEastAsia" w:hAnsiTheme="minorEastAsia" w:eastAsiaTheme="minorEastAsia" w:cstheme="minorEastAsia"/>
          <w:b/>
          <w:bCs/>
          <w:spacing w:val="-3"/>
          <w:sz w:val="28"/>
          <w:szCs w:val="28"/>
          <w:lang w:eastAsia="zh-CN"/>
        </w:rPr>
        <w:t>浙江明业项目管理有限公司</w:t>
      </w:r>
      <w:r>
        <w:rPr>
          <w:rFonts w:hint="eastAsia" w:asciiTheme="minorEastAsia" w:hAnsiTheme="minorEastAsia" w:eastAsiaTheme="minorEastAsia" w:cstheme="minorEastAsia"/>
          <w:b/>
          <w:bCs/>
          <w:spacing w:val="-3"/>
          <w:sz w:val="28"/>
          <w:szCs w:val="28"/>
        </w:rPr>
        <w:t>关于</w:t>
      </w:r>
      <w:r>
        <w:rPr>
          <w:rFonts w:hint="eastAsia" w:asciiTheme="minorEastAsia" w:hAnsiTheme="minorEastAsia" w:eastAsiaTheme="minorEastAsia" w:cstheme="minorEastAsia"/>
          <w:b/>
          <w:bCs/>
          <w:spacing w:val="-3"/>
          <w:sz w:val="28"/>
          <w:szCs w:val="28"/>
          <w:lang w:eastAsia="zh-CN"/>
        </w:rPr>
        <w:t>苍南县灵溪镇2026年度除四害消杀服务采购项目</w:t>
      </w:r>
      <w:r>
        <w:rPr>
          <w:rFonts w:hint="eastAsia" w:asciiTheme="minorEastAsia" w:hAnsiTheme="minorEastAsia" w:eastAsiaTheme="minorEastAsia" w:cstheme="minorEastAsia"/>
          <w:b/>
          <w:bCs/>
          <w:color w:val="000000" w:themeColor="text1"/>
          <w:spacing w:val="-6"/>
          <w:sz w:val="28"/>
          <w:szCs w:val="28"/>
          <w14:textFill>
            <w14:solidFill>
              <w14:schemeClr w14:val="tx1"/>
            </w14:solidFill>
          </w14:textFill>
        </w:rPr>
        <w:t>的公开招标采购公告</w:t>
      </w:r>
    </w:p>
    <w:bookmarkEnd w:id="1"/>
    <w:bookmarkEnd w:id="2"/>
    <w:p w14:paraId="2EFB3A8C">
      <w:pPr>
        <w:spacing w:before="80" w:after="80" w:line="400" w:lineRule="exact"/>
        <w:ind w:right="80"/>
        <w:rPr>
          <w:rFonts w:ascii="宋体" w:hAnsi="宋体" w:cs="宋体"/>
          <w:kern w:val="0"/>
          <w:szCs w:val="30"/>
        </w:rPr>
      </w:pPr>
      <w:r>
        <w:rPr>
          <w:rFonts w:ascii="宋体" w:hAnsi="宋体" w:cs="宋体"/>
          <w:kern w:val="0"/>
          <w:szCs w:val="30"/>
        </w:rPr>
        <w:t>项目概况</w:t>
      </w:r>
    </w:p>
    <w:p w14:paraId="31C79A6D">
      <w:pPr>
        <w:spacing w:before="80" w:after="80" w:line="400" w:lineRule="exact"/>
        <w:ind w:right="80" w:firstLine="420" w:firstLineChars="200"/>
        <w:rPr>
          <w:rFonts w:ascii="宋体" w:hAnsi="宋体" w:cs="宋体"/>
          <w:kern w:val="0"/>
          <w:szCs w:val="30"/>
        </w:rPr>
      </w:pPr>
      <w:r>
        <w:rPr>
          <w:rFonts w:ascii="宋体" w:hAnsi="宋体" w:cs="宋体"/>
          <w:kern w:val="0"/>
          <w:szCs w:val="30"/>
        </w:rPr>
        <w:t>苍南县灵溪镇2026年度除四害消杀服务采购项目</w:t>
      </w:r>
      <w:r>
        <w:rPr>
          <w:rFonts w:hint="eastAsia" w:ascii="宋体" w:hAnsi="宋体" w:cs="宋体"/>
          <w:kern w:val="0"/>
          <w:szCs w:val="30"/>
        </w:rPr>
        <w:t>的潜在投标人应在政采云平台线上获取（下载）招标文件，并于2026年06月25日 09:30（北京时间）前递交（上传）投标文件。</w:t>
      </w:r>
    </w:p>
    <w:p w14:paraId="39700F2E">
      <w:pPr>
        <w:widowControl/>
        <w:spacing w:before="204" w:after="204" w:line="360" w:lineRule="atLeast"/>
        <w:outlineLvl w:val="1"/>
        <w:rPr>
          <w:rFonts w:ascii="黑体" w:hAnsi="黑体" w:eastAsia="黑体" w:cs="宋体"/>
          <w:color w:val="000000"/>
          <w:kern w:val="0"/>
          <w:sz w:val="25"/>
          <w:szCs w:val="25"/>
        </w:rPr>
      </w:pPr>
      <w:r>
        <w:rPr>
          <w:rFonts w:hint="eastAsia" w:ascii="黑体" w:hAnsi="黑体" w:eastAsia="黑体" w:cs="宋体"/>
          <w:b/>
          <w:bCs/>
          <w:color w:val="000000"/>
          <w:kern w:val="0"/>
          <w:sz w:val="22"/>
        </w:rPr>
        <w:t>一、项目基本情况</w:t>
      </w:r>
    </w:p>
    <w:p w14:paraId="230B09BA">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项目编号：</w:t>
      </w:r>
      <w:r>
        <w:rPr>
          <w:rFonts w:hint="eastAsia" w:ascii="宋体" w:hAnsi="宋体" w:cs="宋体"/>
          <w:bCs/>
          <w:kern w:val="0"/>
          <w:szCs w:val="30"/>
          <w:lang w:eastAsia="zh-CN"/>
        </w:rPr>
        <w:t>330327265050010000033-CNDL2026081</w:t>
      </w:r>
    </w:p>
    <w:p w14:paraId="12014E0D">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项目名称：</w:t>
      </w:r>
      <w:r>
        <w:rPr>
          <w:rFonts w:hint="eastAsia" w:ascii="宋体" w:hAnsi="宋体" w:cs="宋体"/>
          <w:kern w:val="0"/>
          <w:szCs w:val="30"/>
          <w:lang w:eastAsia="zh-CN"/>
        </w:rPr>
        <w:t>苍南县灵溪镇2026年度除四害消杀服务采购项目</w:t>
      </w:r>
    </w:p>
    <w:p w14:paraId="3AC30E2B">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预算金额（元）：</w:t>
      </w:r>
      <w:r>
        <w:rPr>
          <w:rFonts w:hint="eastAsia" w:ascii="宋体" w:hAnsi="宋体"/>
          <w:szCs w:val="21"/>
          <w:lang w:eastAsia="zh-CN"/>
        </w:rPr>
        <w:t>1089410</w:t>
      </w:r>
    </w:p>
    <w:p w14:paraId="4AA8CE9B">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最高限价（元）：</w:t>
      </w:r>
      <w:r>
        <w:rPr>
          <w:rFonts w:hint="eastAsia" w:ascii="宋体" w:hAnsi="宋体"/>
          <w:szCs w:val="21"/>
          <w:lang w:eastAsia="zh-CN"/>
        </w:rPr>
        <w:t>1089410</w:t>
      </w:r>
    </w:p>
    <w:p w14:paraId="4D984A18">
      <w:pPr>
        <w:spacing w:before="80" w:after="80" w:line="360" w:lineRule="auto"/>
        <w:ind w:right="80" w:firstLine="420" w:firstLineChars="200"/>
        <w:rPr>
          <w:rFonts w:ascii="宋体" w:hAnsi="宋体" w:cs="宋体"/>
          <w:kern w:val="0"/>
          <w:szCs w:val="30"/>
        </w:rPr>
      </w:pPr>
      <w:r>
        <w:rPr>
          <w:rFonts w:ascii="宋体" w:hAnsi="宋体" w:cs="宋体"/>
          <w:kern w:val="0"/>
          <w:szCs w:val="30"/>
        </w:rPr>
        <w:t>采购需求：</w:t>
      </w:r>
    </w:p>
    <w:p w14:paraId="4A0A6B18">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标项</w:t>
      </w:r>
      <w:r>
        <w:rPr>
          <w:rFonts w:hint="eastAsia" w:ascii="宋体" w:hAnsi="宋体" w:cs="宋体"/>
          <w:kern w:val="0"/>
          <w:szCs w:val="30"/>
        </w:rPr>
        <w:t>名称：</w:t>
      </w:r>
      <w:r>
        <w:rPr>
          <w:rFonts w:hint="eastAsia" w:ascii="宋体" w:hAnsi="宋体" w:cs="宋体"/>
          <w:kern w:val="0"/>
          <w:szCs w:val="30"/>
          <w:lang w:eastAsia="zh-CN"/>
        </w:rPr>
        <w:t>苍南县灵溪镇2026年度除四害消杀服务采购项目</w:t>
      </w:r>
    </w:p>
    <w:p w14:paraId="585BFD71">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数量：</w:t>
      </w:r>
      <w:r>
        <w:rPr>
          <w:rFonts w:hint="eastAsia" w:ascii="宋体" w:hAnsi="宋体" w:cs="宋体"/>
          <w:kern w:val="0"/>
          <w:szCs w:val="30"/>
          <w:lang w:eastAsia="zh-CN"/>
        </w:rPr>
        <w:t>不限</w:t>
      </w:r>
    </w:p>
    <w:p w14:paraId="159BBEC1">
      <w:pPr>
        <w:spacing w:before="80" w:after="80" w:line="360" w:lineRule="auto"/>
        <w:ind w:right="80" w:firstLine="420" w:firstLineChars="200"/>
        <w:rPr>
          <w:rFonts w:hint="eastAsia" w:ascii="宋体" w:hAnsi="宋体" w:eastAsia="宋体" w:cs="宋体"/>
          <w:kern w:val="0"/>
          <w:szCs w:val="30"/>
          <w:lang w:eastAsia="zh-CN"/>
        </w:rPr>
      </w:pPr>
      <w:r>
        <w:rPr>
          <w:rFonts w:ascii="宋体" w:hAnsi="宋体" w:cs="宋体"/>
          <w:kern w:val="0"/>
          <w:szCs w:val="30"/>
        </w:rPr>
        <w:t>预算金额（元）：</w:t>
      </w:r>
      <w:r>
        <w:rPr>
          <w:rFonts w:hint="eastAsia" w:ascii="宋体" w:hAnsi="宋体"/>
          <w:szCs w:val="21"/>
          <w:lang w:eastAsia="zh-CN"/>
        </w:rPr>
        <w:t>1089410</w:t>
      </w:r>
    </w:p>
    <w:p w14:paraId="6152FF13">
      <w:pPr>
        <w:spacing w:before="80" w:after="80" w:line="360" w:lineRule="auto"/>
        <w:ind w:right="80" w:firstLine="420" w:firstLineChars="200"/>
        <w:rPr>
          <w:rFonts w:ascii="宋体" w:hAnsi="宋体" w:cs="宋体"/>
          <w:kern w:val="0"/>
          <w:szCs w:val="30"/>
        </w:rPr>
      </w:pPr>
      <w:r>
        <w:rPr>
          <w:rFonts w:ascii="宋体" w:hAnsi="宋体" w:cs="宋体"/>
          <w:kern w:val="0"/>
          <w:szCs w:val="30"/>
        </w:rPr>
        <w:t>简要规格描述或项目基本概况介绍、用途：</w:t>
      </w:r>
      <w:r>
        <w:rPr>
          <w:rFonts w:hint="eastAsia" w:ascii="宋体" w:hAnsi="宋体" w:cs="宋体"/>
          <w:kern w:val="0"/>
          <w:szCs w:val="30"/>
        </w:rPr>
        <w:t>苍南县灵溪镇2026年度除四害消杀服务采购项目，具体详见采购文件。</w:t>
      </w:r>
    </w:p>
    <w:p w14:paraId="2D3D70BF">
      <w:pPr>
        <w:spacing w:before="80" w:after="80" w:line="360" w:lineRule="auto"/>
        <w:ind w:right="80" w:firstLine="420" w:firstLineChars="200"/>
        <w:rPr>
          <w:rFonts w:ascii="宋体" w:hAnsi="宋体" w:cs="宋体"/>
          <w:kern w:val="0"/>
          <w:szCs w:val="30"/>
        </w:rPr>
      </w:pPr>
      <w:r>
        <w:rPr>
          <w:rFonts w:ascii="宋体" w:hAnsi="宋体" w:cs="宋体"/>
          <w:kern w:val="0"/>
          <w:szCs w:val="30"/>
        </w:rPr>
        <w:t>备注：</w:t>
      </w:r>
    </w:p>
    <w:p w14:paraId="59144C14">
      <w:pPr>
        <w:spacing w:before="80" w:after="80" w:line="360" w:lineRule="auto"/>
        <w:ind w:right="80" w:firstLine="420" w:firstLineChars="200"/>
        <w:rPr>
          <w:rFonts w:ascii="宋体" w:hAnsi="宋体" w:cs="宋体"/>
          <w:kern w:val="0"/>
          <w:szCs w:val="30"/>
        </w:rPr>
      </w:pPr>
      <w:r>
        <w:rPr>
          <w:rFonts w:ascii="宋体" w:hAnsi="宋体" w:cs="宋体"/>
          <w:kern w:val="0"/>
          <w:szCs w:val="30"/>
        </w:rPr>
        <w:t>合同履约期限：标项 1，1年</w:t>
      </w:r>
    </w:p>
    <w:p w14:paraId="1E939812">
      <w:pPr>
        <w:spacing w:before="80" w:after="80" w:line="360" w:lineRule="auto"/>
        <w:ind w:right="80" w:firstLine="420" w:firstLineChars="200"/>
        <w:rPr>
          <w:rFonts w:ascii="宋体" w:hAnsi="宋体" w:cs="宋体"/>
          <w:kern w:val="0"/>
          <w:szCs w:val="30"/>
        </w:rPr>
      </w:pPr>
      <w:r>
        <w:rPr>
          <w:rFonts w:ascii="宋体" w:hAnsi="宋体" w:cs="宋体"/>
          <w:kern w:val="0"/>
          <w:szCs w:val="30"/>
        </w:rPr>
        <w:t>本项目（否）接受联合体投标。</w:t>
      </w:r>
    </w:p>
    <w:p w14:paraId="0B63373F">
      <w:pPr>
        <w:widowControl/>
        <w:spacing w:before="204" w:after="204" w:line="360" w:lineRule="atLeast"/>
        <w:outlineLvl w:val="1"/>
        <w:rPr>
          <w:rFonts w:ascii="黑体" w:hAnsi="黑体" w:eastAsia="黑体" w:cs="宋体"/>
          <w:color w:val="000000"/>
          <w:kern w:val="0"/>
          <w:sz w:val="22"/>
        </w:rPr>
      </w:pPr>
      <w:r>
        <w:rPr>
          <w:rFonts w:hint="eastAsia" w:ascii="黑体" w:hAnsi="黑体" w:eastAsia="黑体" w:cs="宋体"/>
          <w:b/>
          <w:bCs/>
          <w:color w:val="000000"/>
          <w:kern w:val="0"/>
          <w:sz w:val="22"/>
        </w:rPr>
        <w:t>二、申请人的资格要求：</w:t>
      </w:r>
    </w:p>
    <w:p w14:paraId="70F4F9BE">
      <w:pPr>
        <w:spacing w:before="80" w:after="80" w:line="400" w:lineRule="exact"/>
        <w:ind w:right="80" w:firstLine="420" w:firstLineChars="200"/>
        <w:rPr>
          <w:rFonts w:hint="eastAsia" w:ascii="宋体" w:hAnsi="宋体" w:cs="宋体"/>
          <w:kern w:val="0"/>
          <w:szCs w:val="30"/>
        </w:rPr>
      </w:pPr>
      <w:r>
        <w:rPr>
          <w:rFonts w:hint="eastAsia" w:ascii="宋体" w:hAnsi="宋体" w:cs="宋体"/>
          <w:kern w:val="0"/>
          <w:szCs w:val="30"/>
        </w:rPr>
        <w:t>1.满足《中华人民共和国政府采购法》第二十二条规定；未被“信用中国”（www.creditchina.gov.cn)、中国政府采购网（www.ccgp.gov.cn）列入失信被执行人、重大税收违法案件当事人名单、政府采购严重违法失信行为记录名单。</w:t>
      </w:r>
    </w:p>
    <w:p w14:paraId="533D8DB1">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2.落实政府采购政策需满足的资格要求：</w:t>
      </w:r>
      <w:r>
        <w:rPr>
          <w:rFonts w:hint="eastAsia" w:ascii="宋体" w:hAnsi="宋体" w:cs="宋体"/>
          <w:kern w:val="0"/>
          <w:szCs w:val="30"/>
          <w:lang w:eastAsia="zh-CN"/>
        </w:rPr>
        <w:t>本项目专门面向中小企业/监狱企业/残疾人福利企业。</w:t>
      </w:r>
    </w:p>
    <w:p w14:paraId="6F93AB8F">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3.本项目的特定资格要求：标项1：无</w:t>
      </w:r>
    </w:p>
    <w:p w14:paraId="76497242">
      <w:pPr>
        <w:widowControl/>
        <w:spacing w:before="204" w:after="204" w:line="360" w:lineRule="atLeast"/>
        <w:outlineLvl w:val="1"/>
        <w:rPr>
          <w:rFonts w:ascii="黑体" w:hAnsi="黑体" w:eastAsia="黑体" w:cs="宋体"/>
          <w:color w:val="000000"/>
          <w:kern w:val="0"/>
          <w:sz w:val="22"/>
        </w:rPr>
      </w:pPr>
      <w:r>
        <w:rPr>
          <w:rFonts w:hint="eastAsia" w:ascii="黑体" w:hAnsi="黑体" w:eastAsia="黑体" w:cs="宋体"/>
          <w:b/>
          <w:bCs/>
          <w:color w:val="000000"/>
          <w:kern w:val="0"/>
          <w:sz w:val="22"/>
        </w:rPr>
        <w:t>三、获取招标文件</w:t>
      </w:r>
    </w:p>
    <w:p w14:paraId="5171F574">
      <w:pPr>
        <w:spacing w:before="80" w:after="80" w:line="400" w:lineRule="exact"/>
        <w:ind w:right="80" w:firstLine="420" w:firstLineChars="200"/>
        <w:rPr>
          <w:rFonts w:ascii="宋体" w:hAnsi="宋体" w:cs="宋体"/>
          <w:kern w:val="0"/>
          <w:szCs w:val="30"/>
        </w:rPr>
      </w:pPr>
      <w:r>
        <w:rPr>
          <w:rFonts w:ascii="宋体" w:hAnsi="宋体" w:cs="宋体"/>
          <w:kern w:val="0"/>
          <w:szCs w:val="30"/>
        </w:rPr>
        <w:t>时间：/至</w:t>
      </w:r>
      <w:r>
        <w:rPr>
          <w:rFonts w:hint="eastAsia" w:ascii="宋体" w:hAnsi="宋体" w:cs="宋体"/>
          <w:kern w:val="0"/>
          <w:szCs w:val="30"/>
          <w:lang w:eastAsia="zh-CN"/>
        </w:rPr>
        <w:t>2026</w:t>
      </w:r>
      <w:r>
        <w:rPr>
          <w:rFonts w:ascii="宋体" w:hAnsi="宋体" w:cs="宋体"/>
          <w:kern w:val="0"/>
          <w:szCs w:val="30"/>
        </w:rPr>
        <w:t>年</w:t>
      </w:r>
      <w:r>
        <w:rPr>
          <w:rFonts w:hint="eastAsia" w:ascii="宋体" w:hAnsi="宋体" w:cs="宋体"/>
          <w:kern w:val="0"/>
          <w:szCs w:val="30"/>
          <w:lang w:val="en-US" w:eastAsia="zh-CN"/>
        </w:rPr>
        <w:t>6月25日</w:t>
      </w:r>
      <w:r>
        <w:rPr>
          <w:rFonts w:ascii="宋体" w:hAnsi="宋体" w:cs="宋体"/>
          <w:kern w:val="0"/>
          <w:szCs w:val="30"/>
        </w:rPr>
        <w:t>，每天上午00:00至12:00 ，下午12:00至23:59（北京时间，线上获取法定节假日均可，线下获取文件法定节假日除外）</w:t>
      </w:r>
    </w:p>
    <w:p w14:paraId="10664F65">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地点（网址）：政采云平台线上获取</w:t>
      </w:r>
    </w:p>
    <w:p w14:paraId="12C102C0">
      <w:pPr>
        <w:spacing w:before="80" w:after="80" w:line="400" w:lineRule="exact"/>
        <w:ind w:right="80" w:firstLine="420" w:firstLineChars="200"/>
        <w:rPr>
          <w:rFonts w:hint="eastAsia" w:ascii="宋体" w:hAnsi="宋体" w:cs="宋体"/>
          <w:kern w:val="0"/>
          <w:szCs w:val="30"/>
        </w:rPr>
      </w:pPr>
      <w:r>
        <w:rPr>
          <w:rFonts w:hint="eastAsia" w:ascii="宋体" w:hAnsi="宋体" w:cs="宋体"/>
          <w:kern w:val="0"/>
          <w:szCs w:val="30"/>
        </w:rPr>
        <w:t>方式：供应商登录政采云平台https://www.zcygov.cn/在线申请获取采购文件（进入“项目采购”应用，在获取采购文件菜单中选择项目，申请获取采购文件）</w:t>
      </w:r>
    </w:p>
    <w:p w14:paraId="4776F223">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售价（元）：0</w:t>
      </w:r>
    </w:p>
    <w:p w14:paraId="331490F3">
      <w:pPr>
        <w:widowControl/>
        <w:spacing w:before="204" w:after="204" w:line="360" w:lineRule="atLeast"/>
        <w:outlineLvl w:val="1"/>
        <w:rPr>
          <w:rFonts w:ascii="黑体" w:hAnsi="黑体" w:eastAsia="黑体" w:cs="宋体"/>
          <w:b/>
          <w:bCs/>
          <w:color w:val="000000"/>
          <w:kern w:val="0"/>
          <w:sz w:val="22"/>
        </w:rPr>
      </w:pPr>
      <w:r>
        <w:rPr>
          <w:rFonts w:ascii="黑体" w:hAnsi="黑体" w:eastAsia="黑体" w:cs="宋体"/>
          <w:b/>
          <w:bCs/>
          <w:color w:val="000000"/>
          <w:kern w:val="0"/>
          <w:sz w:val="22"/>
        </w:rPr>
        <w:t>四、</w:t>
      </w:r>
      <w:r>
        <w:rPr>
          <w:rFonts w:hint="eastAsia" w:ascii="黑体" w:hAnsi="黑体" w:eastAsia="黑体" w:cs="宋体"/>
          <w:b/>
          <w:bCs/>
          <w:color w:val="000000"/>
          <w:kern w:val="0"/>
          <w:sz w:val="22"/>
        </w:rPr>
        <w:t>提交投标文件截止时间、开标时间和地点</w:t>
      </w:r>
      <w:r>
        <w:rPr>
          <w:rFonts w:ascii="黑体" w:hAnsi="黑体" w:eastAsia="黑体" w:cs="宋体"/>
          <w:b/>
          <w:bCs/>
          <w:color w:val="000000"/>
          <w:kern w:val="0"/>
          <w:sz w:val="22"/>
        </w:rPr>
        <w:t> </w:t>
      </w:r>
    </w:p>
    <w:p w14:paraId="22B26D3F">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提交投标文件截止时间：</w:t>
      </w:r>
      <w:r>
        <w:rPr>
          <w:rFonts w:hint="eastAsia" w:ascii="宋体" w:hAnsi="宋体" w:cs="宋体"/>
          <w:kern w:val="0"/>
          <w:szCs w:val="30"/>
          <w:lang w:eastAsia="zh-CN"/>
        </w:rPr>
        <w:t>2026</w:t>
      </w:r>
      <w:r>
        <w:rPr>
          <w:rFonts w:hint="eastAsia" w:ascii="宋体" w:hAnsi="宋体" w:cs="宋体"/>
          <w:kern w:val="0"/>
          <w:szCs w:val="30"/>
        </w:rPr>
        <w:t>年</w:t>
      </w:r>
      <w:r>
        <w:rPr>
          <w:rFonts w:hint="eastAsia" w:ascii="宋体" w:hAnsi="宋体" w:cs="宋体"/>
          <w:kern w:val="0"/>
          <w:szCs w:val="30"/>
          <w:lang w:val="en-US" w:eastAsia="zh-CN"/>
        </w:rPr>
        <w:t>6月25日</w:t>
      </w:r>
      <w:r>
        <w:rPr>
          <w:rFonts w:hint="eastAsia" w:ascii="宋体" w:hAnsi="宋体" w:cs="宋体"/>
          <w:kern w:val="0"/>
          <w:szCs w:val="30"/>
          <w:lang w:eastAsia="zh-CN"/>
        </w:rPr>
        <w:t>09:30</w:t>
      </w:r>
      <w:r>
        <w:rPr>
          <w:rFonts w:hint="eastAsia" w:ascii="宋体" w:hAnsi="宋体" w:cs="宋体"/>
          <w:kern w:val="0"/>
          <w:szCs w:val="30"/>
        </w:rPr>
        <w:t>（北京时间）</w:t>
      </w:r>
    </w:p>
    <w:p w14:paraId="764F0BF9">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投标地点（网址）：通过“政府采购云平台（www.zcygov.cn）”实行在线投标响应。</w:t>
      </w:r>
    </w:p>
    <w:p w14:paraId="29B3BE19">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开标时间：</w:t>
      </w:r>
      <w:r>
        <w:rPr>
          <w:rFonts w:hint="eastAsia" w:ascii="宋体" w:hAnsi="宋体" w:cs="宋体"/>
          <w:kern w:val="0"/>
          <w:szCs w:val="30"/>
          <w:lang w:eastAsia="zh-CN"/>
        </w:rPr>
        <w:t>2026</w:t>
      </w:r>
      <w:r>
        <w:rPr>
          <w:rFonts w:hint="eastAsia" w:ascii="宋体" w:hAnsi="宋体" w:cs="宋体"/>
          <w:kern w:val="0"/>
          <w:szCs w:val="30"/>
        </w:rPr>
        <w:t>年</w:t>
      </w:r>
      <w:r>
        <w:rPr>
          <w:rFonts w:hint="eastAsia" w:ascii="宋体" w:hAnsi="宋体" w:cs="宋体"/>
          <w:kern w:val="0"/>
          <w:szCs w:val="30"/>
          <w:lang w:val="en-US" w:eastAsia="zh-CN"/>
        </w:rPr>
        <w:t>6月25日</w:t>
      </w:r>
      <w:r>
        <w:rPr>
          <w:rFonts w:hint="eastAsia" w:ascii="宋体" w:hAnsi="宋体" w:cs="宋体"/>
          <w:kern w:val="0"/>
          <w:szCs w:val="30"/>
          <w:lang w:eastAsia="zh-CN"/>
        </w:rPr>
        <w:t>09:30</w:t>
      </w:r>
      <w:r>
        <w:rPr>
          <w:rFonts w:hint="eastAsia" w:ascii="宋体" w:hAnsi="宋体" w:cs="宋体"/>
          <w:kern w:val="0"/>
          <w:szCs w:val="30"/>
        </w:rPr>
        <w:t> </w:t>
      </w:r>
    </w:p>
    <w:p w14:paraId="705D2CFD">
      <w:pPr>
        <w:spacing w:before="80" w:after="80" w:line="400" w:lineRule="exact"/>
        <w:ind w:right="80" w:firstLine="420" w:firstLineChars="200"/>
        <w:rPr>
          <w:rFonts w:ascii="宋体" w:hAnsi="宋体" w:cs="宋体"/>
          <w:kern w:val="0"/>
          <w:szCs w:val="30"/>
        </w:rPr>
      </w:pPr>
      <w:r>
        <w:rPr>
          <w:rFonts w:hint="eastAsia" w:ascii="宋体" w:hAnsi="宋体" w:cs="宋体"/>
          <w:kern w:val="0"/>
          <w:szCs w:val="30"/>
        </w:rPr>
        <w:t>开标地点（网址）：1、投标供应商通过“政府采购云平台（www.zcygov.cn）”实行在线投标响应（在投标截止时间止前，供应商须准时登录“政府采购云平台（www.zcygov.cn）”在线响应投标）2、开评标活动实施地点：苍南县灵溪镇春晖路</w:t>
      </w:r>
      <w:r>
        <w:rPr>
          <w:rFonts w:hint="eastAsia" w:ascii="宋体" w:hAnsi="宋体" w:cs="宋体"/>
          <w:kern w:val="0"/>
          <w:szCs w:val="30"/>
          <w:lang w:eastAsia="zh-CN"/>
        </w:rPr>
        <w:t>山海大厦</w:t>
      </w:r>
      <w:r>
        <w:rPr>
          <w:rFonts w:hint="eastAsia" w:ascii="宋体" w:hAnsi="宋体" w:cs="宋体"/>
          <w:kern w:val="0"/>
          <w:szCs w:val="30"/>
        </w:rPr>
        <w:t>裙楼苍南县公共资源交易中心</w:t>
      </w:r>
    </w:p>
    <w:p w14:paraId="1D83A31A">
      <w:pPr>
        <w:widowControl/>
        <w:spacing w:before="204" w:after="204" w:line="360" w:lineRule="atLeast"/>
        <w:outlineLvl w:val="1"/>
        <w:rPr>
          <w:rFonts w:ascii="黑体" w:hAnsi="黑体" w:eastAsia="黑体" w:cs="宋体"/>
          <w:b/>
          <w:bCs/>
          <w:color w:val="000000"/>
          <w:kern w:val="0"/>
          <w:sz w:val="22"/>
        </w:rPr>
      </w:pPr>
      <w:r>
        <w:rPr>
          <w:rFonts w:hint="eastAsia" w:ascii="黑体" w:hAnsi="黑体" w:eastAsia="黑体" w:cs="宋体"/>
          <w:b/>
          <w:bCs/>
          <w:color w:val="000000"/>
          <w:kern w:val="0"/>
          <w:sz w:val="22"/>
        </w:rPr>
        <w:t>五、公告期限</w:t>
      </w:r>
    </w:p>
    <w:p w14:paraId="63F358AB">
      <w:pPr>
        <w:spacing w:before="80" w:after="80" w:line="400" w:lineRule="exact"/>
        <w:ind w:right="80" w:firstLine="420" w:firstLineChars="200"/>
        <w:rPr>
          <w:rFonts w:ascii="宋体" w:hAnsi="宋体" w:cs="宋体"/>
          <w:kern w:val="0"/>
          <w:szCs w:val="30"/>
        </w:rPr>
      </w:pPr>
      <w:r>
        <w:rPr>
          <w:rFonts w:ascii="宋体" w:hAnsi="宋体" w:cs="宋体"/>
          <w:kern w:val="0"/>
          <w:szCs w:val="30"/>
        </w:rPr>
        <w:t>自本公告发布之日起</w:t>
      </w:r>
      <w:r>
        <w:rPr>
          <w:rFonts w:hint="eastAsia" w:ascii="宋体" w:hAnsi="宋体" w:cs="宋体"/>
          <w:kern w:val="0"/>
          <w:szCs w:val="30"/>
        </w:rPr>
        <w:t>5</w:t>
      </w:r>
      <w:r>
        <w:rPr>
          <w:rFonts w:ascii="宋体" w:hAnsi="宋体" w:cs="宋体"/>
          <w:kern w:val="0"/>
          <w:szCs w:val="30"/>
        </w:rPr>
        <w:t>个工作日。</w:t>
      </w:r>
    </w:p>
    <w:p w14:paraId="500425C5">
      <w:pPr>
        <w:widowControl/>
        <w:spacing w:before="204" w:after="204" w:line="360" w:lineRule="atLeast"/>
        <w:outlineLvl w:val="1"/>
        <w:rPr>
          <w:rFonts w:ascii="黑体" w:hAnsi="黑体" w:eastAsia="黑体" w:cs="宋体"/>
          <w:b/>
          <w:bCs/>
          <w:color w:val="000000"/>
          <w:kern w:val="0"/>
          <w:sz w:val="22"/>
        </w:rPr>
      </w:pPr>
      <w:r>
        <w:rPr>
          <w:rFonts w:hint="eastAsia" w:ascii="黑体" w:hAnsi="黑体" w:eastAsia="黑体" w:cs="宋体"/>
          <w:b/>
          <w:bCs/>
          <w:color w:val="000000"/>
          <w:kern w:val="0"/>
          <w:sz w:val="22"/>
        </w:rPr>
        <w:t>六、其他补充事宜 </w:t>
      </w:r>
    </w:p>
    <w:p w14:paraId="182775D7">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40" w:firstLineChars="200"/>
        <w:jc w:val="both"/>
        <w:textAlignment w:val="auto"/>
        <w:outlineLvl w:val="9"/>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DF65D7D">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40" w:firstLineChars="200"/>
        <w:jc w:val="both"/>
        <w:textAlignment w:val="auto"/>
        <w:outlineLvl w:val="9"/>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782992D1">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40" w:firstLineChars="200"/>
        <w:jc w:val="both"/>
        <w:textAlignment w:val="auto"/>
        <w:outlineLvl w:val="9"/>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7F4B75A">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40" w:firstLineChars="200"/>
        <w:jc w:val="both"/>
        <w:textAlignment w:val="auto"/>
        <w:outlineLvl w:val="9"/>
        <w:rPr>
          <w:rFonts w:ascii="宋体" w:hAnsi="宋体" w:cs="宋体"/>
          <w:kern w:val="0"/>
          <w:szCs w:val="30"/>
        </w:rPr>
      </w:pP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.其他事项：（1）在线电子投标说明：</w:t>
      </w:r>
      <w:r>
        <w:rPr>
          <w:rFonts w:hint="eastAsia" w:ascii="宋体" w:hAnsi="宋体" w:eastAsia="宋体" w:cs="宋体"/>
          <w:b w:val="0"/>
          <w:bCs/>
          <w:color w:val="auto"/>
          <w:sz w:val="22"/>
          <w:szCs w:val="22"/>
          <w:highlight w:val="none"/>
        </w:rPr>
        <w:br w:type="textWrapping"/>
      </w:r>
      <w:r>
        <w:rPr>
          <w:rFonts w:hint="eastAsia" w:ascii="宋体" w:hAnsi="宋体" w:eastAsia="宋体" w:cs="宋体"/>
          <w:b w:val="0"/>
          <w:bCs/>
          <w:color w:val="auto"/>
          <w:sz w:val="22"/>
          <w:szCs w:val="22"/>
          <w:highlight w:val="none"/>
        </w:rPr>
        <w:t>①投标人应按照招标文件和政采云平台的要求编制、加密并递交投标文件，并通过系统按时解密电子投标文件，无法按时解密的以备份投标文件为依据，否则视为投标文件撤回。投标供应商仅递交备份投标文件的，投标无效。</w:t>
      </w:r>
      <w:r>
        <w:rPr>
          <w:rFonts w:hint="eastAsia" w:ascii="宋体" w:hAnsi="宋体" w:eastAsia="宋体" w:cs="宋体"/>
          <w:b w:val="0"/>
          <w:bCs/>
          <w:color w:val="auto"/>
          <w:sz w:val="22"/>
          <w:szCs w:val="22"/>
          <w:highlight w:val="none"/>
        </w:rPr>
        <w:br w:type="textWrapping"/>
      </w:r>
      <w:r>
        <w:rPr>
          <w:rFonts w:hint="eastAsia" w:ascii="宋体" w:hAnsi="宋体" w:eastAsia="宋体" w:cs="宋体"/>
          <w:b w:val="0"/>
          <w:bCs/>
          <w:color w:val="auto"/>
          <w:sz w:val="22"/>
          <w:szCs w:val="22"/>
          <w:highlight w:val="none"/>
        </w:rPr>
        <w:t>②投标人通过政采云平台电子投标工具制作生成电子投标文件和电子备份投标文件。电子投标工具请供应商自行前往“浙江政府采购网-下载专区-电子交易客户端”下载并安装，客户端版本必须及时升级，否则造成投标和解密失败的后果，由投标人自行负责。</w:t>
      </w:r>
    </w:p>
    <w:p w14:paraId="52F2B587">
      <w:pPr>
        <w:widowControl/>
        <w:spacing w:before="204" w:after="204" w:line="360" w:lineRule="atLeast"/>
        <w:outlineLvl w:val="1"/>
        <w:rPr>
          <w:rFonts w:ascii="黑体" w:hAnsi="黑体" w:eastAsia="黑体" w:cs="宋体"/>
          <w:b/>
          <w:bCs/>
          <w:color w:val="000000"/>
          <w:kern w:val="0"/>
          <w:sz w:val="22"/>
        </w:rPr>
      </w:pPr>
      <w:r>
        <w:rPr>
          <w:rFonts w:hint="eastAsia" w:ascii="黑体" w:hAnsi="黑体" w:eastAsia="黑体" w:cs="宋体"/>
          <w:b/>
          <w:bCs/>
          <w:color w:val="000000"/>
          <w:kern w:val="0"/>
          <w:sz w:val="22"/>
        </w:rPr>
        <w:t>七、本次采购提出询问、质疑、投诉，请按以下方式联系</w:t>
      </w:r>
    </w:p>
    <w:p w14:paraId="473E7E17">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1.采购人信息</w:t>
      </w:r>
    </w:p>
    <w:p w14:paraId="4C38E5C7">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名称：</w:t>
      </w:r>
      <w:r>
        <w:rPr>
          <w:rFonts w:hint="eastAsia" w:ascii="宋体" w:hAnsi="仿宋_GB2312" w:cs="仿宋_GB2312"/>
          <w:bCs/>
          <w:kern w:val="0"/>
          <w:szCs w:val="21"/>
        </w:rPr>
        <w:t>苍南县灵溪镇人民政府</w:t>
      </w:r>
    </w:p>
    <w:p w14:paraId="23AC4560">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地址：</w:t>
      </w:r>
      <w:r>
        <w:rPr>
          <w:rFonts w:hint="eastAsia" w:ascii="宋体" w:hAnsi="仿宋_GB2312" w:cs="仿宋_GB2312"/>
          <w:bCs/>
          <w:kern w:val="0"/>
          <w:szCs w:val="21"/>
        </w:rPr>
        <w:t>苍南县灵溪镇玉苍路61号</w:t>
      </w:r>
    </w:p>
    <w:p w14:paraId="0F11DD88">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传真：</w:t>
      </w:r>
      <w:r>
        <w:rPr>
          <w:rFonts w:hint="eastAsia" w:ascii="宋体" w:hAnsi="仿宋_GB2312" w:cs="仿宋_GB2312"/>
          <w:bCs/>
          <w:kern w:val="0"/>
          <w:szCs w:val="21"/>
          <w:lang w:val="en-US" w:eastAsia="zh-CN"/>
        </w:rPr>
        <w:t>/</w:t>
      </w:r>
    </w:p>
    <w:p w14:paraId="7B089DC7">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项目联系人（询问）：</w:t>
      </w:r>
      <w:r>
        <w:rPr>
          <w:rFonts w:hint="eastAsia" w:ascii="宋体" w:hAnsi="仿宋_GB2312" w:cs="仿宋_GB2312"/>
          <w:bCs/>
          <w:kern w:val="0"/>
          <w:szCs w:val="21"/>
        </w:rPr>
        <w:t>石先生</w:t>
      </w:r>
    </w:p>
    <w:p w14:paraId="17BF5CE3">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项目联系方式（询问）：0577-</w:t>
      </w:r>
      <w:r>
        <w:rPr>
          <w:rFonts w:hint="eastAsia" w:ascii="宋体" w:hAnsi="仿宋_GB2312" w:cs="仿宋_GB2312"/>
          <w:bCs/>
          <w:kern w:val="0"/>
          <w:szCs w:val="21"/>
        </w:rPr>
        <w:t>68680090</w:t>
      </w:r>
    </w:p>
    <w:p w14:paraId="0906DD8D">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质疑联系人：</w:t>
      </w:r>
      <w:r>
        <w:rPr>
          <w:rFonts w:hint="eastAsia" w:ascii="宋体" w:hAnsi="仿宋_GB2312" w:cs="仿宋_GB2312"/>
          <w:bCs/>
          <w:kern w:val="0"/>
          <w:szCs w:val="21"/>
        </w:rPr>
        <w:t>石先生</w:t>
      </w:r>
    </w:p>
    <w:p w14:paraId="035E08B4">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质疑联系方式：0577-</w:t>
      </w:r>
      <w:r>
        <w:rPr>
          <w:rFonts w:hint="eastAsia" w:ascii="宋体" w:hAnsi="仿宋_GB2312" w:cs="仿宋_GB2312"/>
          <w:bCs/>
          <w:kern w:val="0"/>
          <w:szCs w:val="21"/>
        </w:rPr>
        <w:t>68680090</w:t>
      </w:r>
    </w:p>
    <w:p w14:paraId="0CB2A859">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2.采购代理机构信息</w:t>
      </w:r>
    </w:p>
    <w:p w14:paraId="57D4D094">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名称：</w:t>
      </w:r>
      <w:r>
        <w:rPr>
          <w:rFonts w:hint="eastAsia" w:ascii="宋体" w:hAnsi="仿宋_GB2312" w:cs="仿宋_GB2312"/>
          <w:bCs/>
          <w:kern w:val="0"/>
          <w:szCs w:val="21"/>
          <w:lang w:eastAsia="zh-CN"/>
        </w:rPr>
        <w:t>浙江明业项目管理有限公司</w:t>
      </w:r>
    </w:p>
    <w:p w14:paraId="6F84922B">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地址：</w:t>
      </w:r>
      <w:r>
        <w:rPr>
          <w:rFonts w:hint="eastAsia" w:ascii="宋体" w:hAnsi="仿宋_GB2312" w:cs="仿宋_GB2312"/>
          <w:bCs/>
          <w:kern w:val="0"/>
          <w:szCs w:val="21"/>
          <w:lang w:eastAsia="zh-CN"/>
        </w:rPr>
        <w:t>苍南县灵溪镇东方景园二号商务楼四楼403-404</w:t>
      </w:r>
    </w:p>
    <w:p w14:paraId="4C42E585">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传真：</w:t>
      </w:r>
      <w:r>
        <w:rPr>
          <w:rFonts w:hint="eastAsia" w:ascii="宋体" w:hAnsi="仿宋_GB2312" w:cs="仿宋_GB2312"/>
          <w:bCs/>
          <w:kern w:val="0"/>
          <w:szCs w:val="21"/>
          <w:lang w:val="en-US" w:eastAsia="zh-CN"/>
        </w:rPr>
        <w:t>/</w:t>
      </w:r>
    </w:p>
    <w:p w14:paraId="7E6510D3">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项目联系人（询问）：</w:t>
      </w:r>
      <w:r>
        <w:rPr>
          <w:rFonts w:hint="eastAsia" w:ascii="宋体" w:hAnsi="仿宋_GB2312" w:cs="仿宋_GB2312"/>
          <w:bCs/>
          <w:kern w:val="0"/>
          <w:szCs w:val="21"/>
          <w:lang w:eastAsia="zh-CN"/>
        </w:rPr>
        <w:t>陈先生</w:t>
      </w:r>
    </w:p>
    <w:p w14:paraId="77DB4D36">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项目联系方式（询问）：</w:t>
      </w:r>
      <w:r>
        <w:rPr>
          <w:rFonts w:hint="eastAsia" w:ascii="宋体" w:hAnsi="仿宋_GB2312" w:cs="仿宋_GB2312"/>
          <w:bCs/>
          <w:kern w:val="0"/>
          <w:szCs w:val="21"/>
          <w:lang w:eastAsia="zh-CN"/>
        </w:rPr>
        <w:t>0577-59957530、15805772042</w:t>
      </w:r>
    </w:p>
    <w:p w14:paraId="22BFC55F">
      <w:pPr>
        <w:spacing w:before="80" w:after="80" w:line="400" w:lineRule="exact"/>
        <w:ind w:right="80" w:firstLine="420" w:firstLineChars="200"/>
        <w:rPr>
          <w:rFonts w:hint="default" w:ascii="宋体" w:hAnsi="仿宋_GB2312" w:eastAsia="宋体" w:cs="仿宋_GB2312"/>
          <w:bCs/>
          <w:kern w:val="0"/>
          <w:szCs w:val="21"/>
          <w:lang w:val="en-US" w:eastAsia="zh-CN"/>
        </w:rPr>
      </w:pPr>
      <w:r>
        <w:rPr>
          <w:rFonts w:ascii="宋体" w:hAnsi="仿宋_GB2312" w:cs="仿宋_GB2312"/>
          <w:bCs/>
          <w:kern w:val="0"/>
          <w:szCs w:val="21"/>
        </w:rPr>
        <w:t>质疑联系人：</w:t>
      </w:r>
      <w:r>
        <w:rPr>
          <w:rFonts w:hint="eastAsia" w:ascii="宋体" w:hAnsi="仿宋_GB2312" w:cs="仿宋_GB2312"/>
          <w:bCs/>
          <w:kern w:val="0"/>
          <w:szCs w:val="21"/>
          <w:lang w:val="en-US" w:eastAsia="zh-CN"/>
        </w:rPr>
        <w:t>陈先生</w:t>
      </w:r>
    </w:p>
    <w:p w14:paraId="66A75DF4">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质疑联系方式：</w:t>
      </w:r>
      <w:r>
        <w:rPr>
          <w:rFonts w:hint="eastAsia" w:ascii="宋体" w:hAnsi="仿宋_GB2312" w:cs="仿宋_GB2312"/>
          <w:bCs/>
          <w:kern w:val="0"/>
          <w:szCs w:val="21"/>
          <w:lang w:eastAsia="zh-CN"/>
        </w:rPr>
        <w:t>0577-59957530</w:t>
      </w:r>
    </w:p>
    <w:p w14:paraId="4278A1B3">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3.同级政府采购监督管理部门</w:t>
      </w:r>
    </w:p>
    <w:p w14:paraId="2225B5F9">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名称：</w:t>
      </w:r>
      <w:r>
        <w:rPr>
          <w:rFonts w:hint="eastAsia" w:ascii="宋体" w:hAnsi="仿宋_GB2312" w:cs="仿宋_GB2312"/>
          <w:bCs/>
          <w:kern w:val="0"/>
          <w:szCs w:val="21"/>
          <w:lang w:eastAsia="zh-CN"/>
        </w:rPr>
        <w:t>苍南县财政局（浙江省政府采购行政裁决服务中心（温州））</w:t>
      </w:r>
    </w:p>
    <w:p w14:paraId="59B89306">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地址：</w:t>
      </w:r>
      <w:r>
        <w:rPr>
          <w:rFonts w:hint="eastAsia" w:ascii="宋体" w:hAnsi="仿宋_GB2312" w:cs="仿宋_GB2312"/>
          <w:bCs/>
          <w:kern w:val="0"/>
          <w:szCs w:val="21"/>
          <w:lang w:eastAsia="zh-CN"/>
        </w:rPr>
        <w:t>温州市鹿城区滨江街道瓯江路展银大厦1606室</w:t>
      </w:r>
    </w:p>
    <w:p w14:paraId="069EA695">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传真：</w:t>
      </w:r>
      <w:r>
        <w:rPr>
          <w:rFonts w:hint="eastAsia" w:ascii="宋体" w:hAnsi="仿宋_GB2312" w:cs="仿宋_GB2312"/>
          <w:bCs/>
          <w:kern w:val="0"/>
          <w:szCs w:val="21"/>
          <w:lang w:val="en-US" w:eastAsia="zh-CN"/>
        </w:rPr>
        <w:t xml:space="preserve"> </w:t>
      </w:r>
    </w:p>
    <w:p w14:paraId="51868A1D">
      <w:pPr>
        <w:spacing w:before="80" w:after="80" w:line="400" w:lineRule="exact"/>
        <w:ind w:right="80" w:firstLine="420" w:firstLineChars="200"/>
        <w:rPr>
          <w:rFonts w:ascii="宋体" w:hAnsi="仿宋_GB2312" w:cs="仿宋_GB2312"/>
          <w:bCs/>
          <w:kern w:val="0"/>
          <w:szCs w:val="21"/>
        </w:rPr>
      </w:pPr>
      <w:r>
        <w:rPr>
          <w:rFonts w:ascii="宋体" w:hAnsi="仿宋_GB2312" w:cs="仿宋_GB2312"/>
          <w:bCs/>
          <w:kern w:val="0"/>
          <w:szCs w:val="21"/>
        </w:rPr>
        <w:t>联系人 ：</w:t>
      </w:r>
      <w:r>
        <w:rPr>
          <w:rFonts w:hint="eastAsia" w:ascii="宋体" w:hAnsi="仿宋_GB2312" w:cs="仿宋_GB2312"/>
          <w:bCs/>
          <w:kern w:val="0"/>
          <w:szCs w:val="21"/>
          <w:lang w:eastAsia="zh-CN"/>
        </w:rPr>
        <w:t>李老师、王老师</w:t>
      </w:r>
      <w:r>
        <w:rPr>
          <w:rFonts w:hint="eastAsia" w:ascii="宋体" w:hAnsi="宋体" w:cs="宋体"/>
          <w:bCs/>
          <w:kern w:val="0"/>
          <w:szCs w:val="21"/>
        </w:rPr>
        <w:t>   </w:t>
      </w:r>
      <w:r>
        <w:rPr>
          <w:rFonts w:ascii="宋体" w:hAnsi="仿宋_GB2312" w:cs="仿宋_GB2312"/>
          <w:bCs/>
          <w:kern w:val="0"/>
          <w:szCs w:val="21"/>
        </w:rPr>
        <w:t xml:space="preserve"> </w:t>
      </w:r>
      <w:r>
        <w:rPr>
          <w:rFonts w:hint="eastAsia" w:ascii="宋体" w:hAnsi="宋体" w:cs="宋体"/>
          <w:bCs/>
          <w:kern w:val="0"/>
          <w:szCs w:val="21"/>
        </w:rPr>
        <w:t> </w:t>
      </w:r>
      <w:r>
        <w:rPr>
          <w:rFonts w:ascii="宋体" w:hAnsi="仿宋_GB2312" w:cs="仿宋_GB2312"/>
          <w:bCs/>
          <w:kern w:val="0"/>
          <w:szCs w:val="21"/>
        </w:rPr>
        <w:t xml:space="preserve"> </w:t>
      </w:r>
      <w:r>
        <w:rPr>
          <w:rFonts w:hint="eastAsia" w:ascii="宋体" w:hAnsi="宋体" w:cs="宋体"/>
          <w:bCs/>
          <w:kern w:val="0"/>
          <w:szCs w:val="21"/>
        </w:rPr>
        <w:t> </w:t>
      </w:r>
      <w:r>
        <w:rPr>
          <w:rFonts w:ascii="宋体" w:hAnsi="仿宋_GB2312" w:cs="仿宋_GB2312"/>
          <w:bCs/>
          <w:kern w:val="0"/>
          <w:szCs w:val="21"/>
        </w:rPr>
        <w:t xml:space="preserve"> </w:t>
      </w:r>
      <w:r>
        <w:rPr>
          <w:rFonts w:hint="eastAsia" w:ascii="宋体" w:hAnsi="宋体" w:cs="宋体"/>
          <w:bCs/>
          <w:kern w:val="0"/>
          <w:szCs w:val="21"/>
        </w:rPr>
        <w:t> </w:t>
      </w:r>
      <w:r>
        <w:rPr>
          <w:rFonts w:ascii="宋体" w:hAnsi="仿宋_GB2312" w:cs="仿宋_GB2312"/>
          <w:bCs/>
          <w:kern w:val="0"/>
          <w:szCs w:val="21"/>
        </w:rPr>
        <w:t xml:space="preserve"> </w:t>
      </w:r>
      <w:r>
        <w:rPr>
          <w:rFonts w:hint="eastAsia" w:ascii="宋体" w:hAnsi="宋体" w:cs="宋体"/>
          <w:bCs/>
          <w:kern w:val="0"/>
          <w:szCs w:val="21"/>
        </w:rPr>
        <w:t> </w:t>
      </w:r>
      <w:r>
        <w:rPr>
          <w:rFonts w:ascii="宋体" w:hAnsi="仿宋_GB2312" w:cs="仿宋_GB2312"/>
          <w:bCs/>
          <w:kern w:val="0"/>
          <w:szCs w:val="21"/>
        </w:rPr>
        <w:t xml:space="preserve"> </w:t>
      </w:r>
      <w:r>
        <w:rPr>
          <w:rFonts w:hint="eastAsia" w:ascii="宋体" w:hAnsi="宋体" w:cs="宋体"/>
          <w:bCs/>
          <w:kern w:val="0"/>
          <w:szCs w:val="21"/>
        </w:rPr>
        <w:t> </w:t>
      </w:r>
    </w:p>
    <w:p w14:paraId="3C95F1E7">
      <w:pPr>
        <w:spacing w:before="80" w:after="80" w:line="400" w:lineRule="exact"/>
        <w:ind w:right="80" w:firstLine="420" w:firstLineChars="200"/>
        <w:rPr>
          <w:rFonts w:hint="eastAsia" w:ascii="宋体" w:hAnsi="仿宋_GB2312" w:eastAsia="宋体" w:cs="仿宋_GB2312"/>
          <w:bCs/>
          <w:kern w:val="0"/>
          <w:szCs w:val="21"/>
          <w:lang w:eastAsia="zh-CN"/>
        </w:rPr>
      </w:pPr>
      <w:r>
        <w:rPr>
          <w:rFonts w:ascii="宋体" w:hAnsi="仿宋_GB2312" w:cs="仿宋_GB2312"/>
          <w:bCs/>
          <w:kern w:val="0"/>
          <w:szCs w:val="21"/>
        </w:rPr>
        <w:t>监督投诉电话：</w:t>
      </w:r>
      <w:r>
        <w:rPr>
          <w:rFonts w:hint="eastAsia" w:ascii="宋体" w:hAnsi="仿宋_GB2312" w:cs="仿宋_GB2312"/>
          <w:bCs/>
          <w:kern w:val="0"/>
          <w:szCs w:val="21"/>
          <w:lang w:eastAsia="zh-CN"/>
        </w:rPr>
        <w:t>0577-85501561，0577-85501562</w:t>
      </w:r>
    </w:p>
    <w:p w14:paraId="008C9F3E">
      <w:pPr>
        <w:spacing w:before="80" w:after="80" w:line="400" w:lineRule="exact"/>
        <w:ind w:right="80" w:firstLine="420" w:firstLineChars="200"/>
        <w:rPr>
          <w:rFonts w:ascii="宋体" w:hAnsi="仿宋_GB2312" w:cs="仿宋_GB2312"/>
          <w:bCs/>
          <w:kern w:val="0"/>
          <w:szCs w:val="21"/>
        </w:rPr>
      </w:pPr>
    </w:p>
    <w:p w14:paraId="66D3080F">
      <w:pPr>
        <w:spacing w:before="80" w:after="80" w:line="400" w:lineRule="exact"/>
        <w:ind w:right="80" w:firstLine="420" w:firstLineChars="200"/>
        <w:rPr>
          <w:rFonts w:ascii="宋体" w:hAnsi="仿宋_GB2312" w:cs="仿宋_GB2312"/>
          <w:bCs/>
          <w:kern w:val="0"/>
          <w:szCs w:val="21"/>
        </w:rPr>
      </w:pPr>
      <w:r>
        <w:rPr>
          <w:rFonts w:hint="eastAsia" w:ascii="宋体" w:hAnsi="仿宋_GB2312" w:cs="仿宋_GB2312"/>
          <w:bCs/>
          <w:kern w:val="0"/>
          <w:szCs w:val="21"/>
        </w:rPr>
        <w:t>若对项目采购电子交易系统操作有疑问，可登录政采云（https://www.zcygov.cn/），点击右侧咨询小采，获取采小蜜智能服务管家帮助，或拨打政采云服务热线400-881-7190获取热线服务帮助。       </w:t>
      </w:r>
    </w:p>
    <w:p w14:paraId="0D156EFA">
      <w:pPr>
        <w:spacing w:before="80" w:after="80" w:line="400" w:lineRule="exact"/>
        <w:ind w:right="80" w:firstLine="420" w:firstLineChars="200"/>
        <w:rPr>
          <w:rFonts w:ascii="宋体" w:hAnsi="仿宋_GB2312" w:cs="仿宋_GB2312"/>
          <w:bCs/>
          <w:kern w:val="0"/>
          <w:szCs w:val="21"/>
        </w:rPr>
      </w:pPr>
      <w:r>
        <w:rPr>
          <w:rFonts w:hint="eastAsia" w:ascii="宋体" w:hAnsi="仿宋_GB2312" w:cs="仿宋_GB2312"/>
          <w:bCs/>
          <w:kern w:val="0"/>
          <w:szCs w:val="21"/>
        </w:rPr>
        <w:t>CA问题联系电话（人工）：汇信CA 400-888-4636；天谷CA 400-087-8198。</w:t>
      </w:r>
    </w:p>
    <w:p w14:paraId="2C6A009E">
      <w:pPr>
        <w:pStyle w:val="34"/>
        <w:spacing w:before="75" w:beforeAutospacing="0" w:after="75" w:afterAutospacing="0"/>
      </w:pPr>
    </w:p>
    <w:p w14:paraId="4133F989">
      <w:pPr>
        <w:rPr>
          <w:rFonts w:ascii="宋体" w:hAnsi="宋体"/>
          <w:b/>
          <w:bCs/>
          <w:sz w:val="36"/>
          <w:szCs w:val="36"/>
        </w:rPr>
      </w:pPr>
      <w:r>
        <w:rPr>
          <w:rFonts w:ascii="宋体" w:hAnsi="宋体"/>
          <w:b/>
          <w:bCs/>
          <w:sz w:val="36"/>
          <w:szCs w:val="36"/>
        </w:rPr>
        <w:br w:type="page"/>
      </w:r>
    </w:p>
    <w:p w14:paraId="00D81622">
      <w:pPr>
        <w:jc w:val="center"/>
        <w:outlineLvl w:val="0"/>
        <w:rPr>
          <w:rFonts w:ascii="宋体" w:hAnsi="宋体"/>
          <w:b/>
          <w:bCs/>
          <w:sz w:val="36"/>
          <w:szCs w:val="36"/>
        </w:rPr>
      </w:pPr>
      <w:r>
        <w:rPr>
          <w:rFonts w:hint="eastAsia" w:ascii="宋体" w:hAnsi="宋体"/>
          <w:b/>
          <w:bCs/>
          <w:sz w:val="36"/>
          <w:szCs w:val="36"/>
        </w:rPr>
        <w:t>投标须知前附表</w:t>
      </w:r>
    </w:p>
    <w:p w14:paraId="3F63E961">
      <w:pPr>
        <w:spacing w:line="440" w:lineRule="exact"/>
        <w:ind w:firstLine="440" w:firstLineChars="200"/>
        <w:rPr>
          <w:rFonts w:ascii="宋体" w:hAnsi="宋体"/>
          <w:sz w:val="22"/>
          <w:szCs w:val="22"/>
        </w:rPr>
      </w:pPr>
      <w:r>
        <w:rPr>
          <w:rFonts w:hint="eastAsia" w:ascii="宋体" w:hAnsi="宋体"/>
          <w:sz w:val="22"/>
          <w:szCs w:val="22"/>
          <w:lang w:eastAsia="zh-CN"/>
        </w:rPr>
        <w:t>浙江明业项目管理有限公司受苍南县灵溪镇人民政府委托</w:t>
      </w:r>
      <w:r>
        <w:rPr>
          <w:rFonts w:hint="eastAsia" w:ascii="宋体" w:hAnsi="宋体"/>
          <w:sz w:val="22"/>
          <w:szCs w:val="22"/>
        </w:rPr>
        <w:t>对</w:t>
      </w:r>
      <w:r>
        <w:rPr>
          <w:rFonts w:hint="eastAsia" w:ascii="宋体" w:hAnsi="宋体"/>
          <w:b/>
          <w:sz w:val="22"/>
          <w:szCs w:val="22"/>
          <w:lang w:eastAsia="zh-CN"/>
        </w:rPr>
        <w:t>苍南县灵溪镇2026年度除四害消杀服务采购项目</w:t>
      </w:r>
      <w:r>
        <w:rPr>
          <w:rFonts w:hint="eastAsia" w:ascii="宋体" w:hAnsi="宋体"/>
          <w:color w:val="000000" w:themeColor="text1"/>
          <w:sz w:val="22"/>
          <w:szCs w:val="22"/>
          <w14:textFill>
            <w14:solidFill>
              <w14:schemeClr w14:val="tx1"/>
            </w14:solidFill>
          </w14:textFill>
        </w:rPr>
        <w:t>进行公开招标，我们</w:t>
      </w:r>
      <w:r>
        <w:rPr>
          <w:rFonts w:hint="eastAsia" w:ascii="宋体" w:hAnsi="宋体"/>
          <w:sz w:val="22"/>
          <w:szCs w:val="22"/>
        </w:rPr>
        <w:t>现通知贵公司（企业）参与投标，并请按招标文件的要求认真准备好投标文件，按时进行线上电子投标。</w:t>
      </w:r>
    </w:p>
    <w:tbl>
      <w:tblPr>
        <w:tblStyle w:val="38"/>
        <w:tblW w:w="953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708"/>
      </w:tblGrid>
      <w:tr w14:paraId="4A60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top w:val="double" w:color="auto" w:sz="4" w:space="0"/>
              <w:left w:val="double" w:color="auto" w:sz="4" w:space="0"/>
            </w:tcBorders>
            <w:vAlign w:val="center"/>
          </w:tcPr>
          <w:p w14:paraId="7B2B17E7">
            <w:pPr>
              <w:adjustRightInd w:val="0"/>
              <w:snapToGrid w:val="0"/>
              <w:spacing w:line="300" w:lineRule="exact"/>
              <w:rPr>
                <w:rFonts w:ascii="宋体" w:hAnsi="宋体"/>
                <w:sz w:val="22"/>
                <w:szCs w:val="22"/>
              </w:rPr>
            </w:pPr>
            <w:r>
              <w:rPr>
                <w:rFonts w:hint="eastAsia" w:ascii="宋体" w:hAnsi="宋体"/>
                <w:sz w:val="22"/>
                <w:szCs w:val="22"/>
              </w:rPr>
              <w:t>招标编号</w:t>
            </w:r>
          </w:p>
        </w:tc>
        <w:tc>
          <w:tcPr>
            <w:tcW w:w="7708" w:type="dxa"/>
            <w:tcBorders>
              <w:top w:val="double" w:color="auto" w:sz="4" w:space="0"/>
              <w:right w:val="double" w:color="auto" w:sz="4" w:space="0"/>
            </w:tcBorders>
            <w:vAlign w:val="center"/>
          </w:tcPr>
          <w:p w14:paraId="4EBC06AA">
            <w:pPr>
              <w:adjustRightInd w:val="0"/>
              <w:snapToGrid w:val="0"/>
              <w:spacing w:line="300" w:lineRule="exact"/>
              <w:rPr>
                <w:rFonts w:hint="eastAsia" w:ascii="宋体" w:hAnsi="宋体" w:eastAsiaTheme="minorEastAsia"/>
                <w:sz w:val="22"/>
                <w:szCs w:val="22"/>
                <w:lang w:eastAsia="zh-CN"/>
              </w:rPr>
            </w:pPr>
            <w:r>
              <w:rPr>
                <w:rFonts w:hint="eastAsia" w:cs="宋体" w:asciiTheme="minorEastAsia" w:hAnsiTheme="minorEastAsia" w:eastAsiaTheme="minorEastAsia"/>
                <w:bCs/>
                <w:kern w:val="0"/>
                <w:sz w:val="22"/>
                <w:szCs w:val="22"/>
                <w:lang w:eastAsia="zh-CN"/>
              </w:rPr>
              <w:t>330327265050010000033-CNDL2026081</w:t>
            </w:r>
          </w:p>
        </w:tc>
      </w:tr>
      <w:tr w14:paraId="226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23" w:type="dxa"/>
            <w:tcBorders>
              <w:left w:val="double" w:color="auto" w:sz="4" w:space="0"/>
            </w:tcBorders>
            <w:vAlign w:val="center"/>
          </w:tcPr>
          <w:p w14:paraId="06A1E71F">
            <w:pPr>
              <w:adjustRightInd w:val="0"/>
              <w:snapToGrid w:val="0"/>
              <w:spacing w:line="300" w:lineRule="exact"/>
              <w:rPr>
                <w:rFonts w:hint="eastAsia" w:ascii="宋体" w:hAnsi="宋体" w:eastAsia="宋体"/>
                <w:sz w:val="22"/>
                <w:szCs w:val="22"/>
                <w:lang w:val="en-US" w:eastAsia="zh-CN"/>
              </w:rPr>
            </w:pPr>
            <w:r>
              <w:rPr>
                <w:rFonts w:hint="eastAsia" w:ascii="宋体" w:hAnsi="宋体"/>
                <w:sz w:val="22"/>
                <w:szCs w:val="22"/>
                <w:lang w:val="en-US" w:eastAsia="zh-CN"/>
              </w:rPr>
              <w:t>项目名称</w:t>
            </w:r>
          </w:p>
        </w:tc>
        <w:tc>
          <w:tcPr>
            <w:tcW w:w="7708" w:type="dxa"/>
            <w:tcBorders>
              <w:right w:val="double" w:color="auto" w:sz="4" w:space="0"/>
            </w:tcBorders>
            <w:vAlign w:val="center"/>
          </w:tcPr>
          <w:p w14:paraId="7CD83630">
            <w:pPr>
              <w:adjustRightInd w:val="0"/>
              <w:snapToGrid w:val="0"/>
              <w:spacing w:line="300" w:lineRule="exact"/>
              <w:rPr>
                <w:rFonts w:hint="eastAsia" w:ascii="宋体" w:hAnsi="宋体" w:eastAsia="宋体"/>
                <w:color w:val="000000"/>
                <w:spacing w:val="-4"/>
                <w:sz w:val="22"/>
                <w:szCs w:val="22"/>
                <w:lang w:eastAsia="zh-CN"/>
              </w:rPr>
            </w:pPr>
            <w:r>
              <w:rPr>
                <w:rFonts w:hint="eastAsia" w:ascii="宋体" w:hAnsi="宋体"/>
                <w:b/>
                <w:spacing w:val="-4"/>
                <w:sz w:val="22"/>
                <w:szCs w:val="22"/>
                <w:lang w:eastAsia="zh-CN"/>
              </w:rPr>
              <w:t>苍南县灵溪镇2026年度除四害消杀服务采购项目</w:t>
            </w:r>
          </w:p>
        </w:tc>
      </w:tr>
      <w:tr w14:paraId="7F94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3" w:type="dxa"/>
            <w:tcBorders>
              <w:left w:val="double" w:color="auto" w:sz="4" w:space="0"/>
            </w:tcBorders>
            <w:vAlign w:val="center"/>
          </w:tcPr>
          <w:p w14:paraId="645819A9">
            <w:pPr>
              <w:adjustRightInd w:val="0"/>
              <w:snapToGrid w:val="0"/>
              <w:spacing w:line="300" w:lineRule="exact"/>
              <w:rPr>
                <w:rFonts w:ascii="宋体" w:hAnsi="宋体"/>
                <w:color w:val="000000"/>
                <w:sz w:val="22"/>
                <w:szCs w:val="22"/>
              </w:rPr>
            </w:pPr>
            <w:r>
              <w:rPr>
                <w:rFonts w:hint="eastAsia" w:ascii="宋体" w:hAnsi="宋体"/>
                <w:color w:val="000000"/>
                <w:sz w:val="22"/>
                <w:szCs w:val="22"/>
              </w:rPr>
              <w:t>资金来源</w:t>
            </w:r>
          </w:p>
        </w:tc>
        <w:tc>
          <w:tcPr>
            <w:tcW w:w="7708" w:type="dxa"/>
            <w:tcBorders>
              <w:right w:val="double" w:color="auto" w:sz="4" w:space="0"/>
            </w:tcBorders>
            <w:vAlign w:val="center"/>
          </w:tcPr>
          <w:p w14:paraId="30CB9126">
            <w:pPr>
              <w:adjustRightInd w:val="0"/>
              <w:snapToGrid w:val="0"/>
              <w:spacing w:line="300" w:lineRule="exact"/>
              <w:rPr>
                <w:rFonts w:ascii="宋体" w:hAnsi="宋体"/>
                <w:color w:val="000000"/>
                <w:sz w:val="22"/>
                <w:szCs w:val="22"/>
              </w:rPr>
            </w:pPr>
            <w:r>
              <w:rPr>
                <w:rFonts w:hint="eastAsia" w:ascii="宋体" w:hAnsi="宋体"/>
                <w:color w:val="000000"/>
                <w:sz w:val="22"/>
                <w:szCs w:val="22"/>
              </w:rPr>
              <w:t>财政资金</w:t>
            </w:r>
          </w:p>
        </w:tc>
      </w:tr>
      <w:tr w14:paraId="248C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823" w:type="dxa"/>
            <w:tcBorders>
              <w:left w:val="double" w:color="auto" w:sz="4" w:space="0"/>
            </w:tcBorders>
            <w:vAlign w:val="center"/>
          </w:tcPr>
          <w:p w14:paraId="5FD6E98A">
            <w:pPr>
              <w:adjustRightInd w:val="0"/>
              <w:snapToGrid w:val="0"/>
              <w:spacing w:line="300" w:lineRule="exact"/>
              <w:rPr>
                <w:rFonts w:ascii="宋体" w:hAnsi="宋体"/>
                <w:sz w:val="22"/>
                <w:szCs w:val="22"/>
              </w:rPr>
            </w:pPr>
            <w:r>
              <w:rPr>
                <w:rFonts w:hint="eastAsia" w:ascii="宋体" w:hAnsi="宋体"/>
                <w:sz w:val="22"/>
                <w:szCs w:val="22"/>
              </w:rPr>
              <w:t>采购预算</w:t>
            </w:r>
          </w:p>
        </w:tc>
        <w:tc>
          <w:tcPr>
            <w:tcW w:w="7708" w:type="dxa"/>
            <w:tcBorders>
              <w:right w:val="double" w:color="auto" w:sz="4" w:space="0"/>
            </w:tcBorders>
            <w:vAlign w:val="center"/>
          </w:tcPr>
          <w:p w14:paraId="04ED4ACD">
            <w:pPr>
              <w:rPr>
                <w:b/>
                <w:sz w:val="22"/>
                <w:szCs w:val="22"/>
              </w:rPr>
            </w:pPr>
            <w:r>
              <w:rPr>
                <w:rFonts w:hint="eastAsia"/>
                <w:b/>
                <w:sz w:val="22"/>
                <w:szCs w:val="22"/>
              </w:rPr>
              <w:t>▲本项目采购预算及最高限价为</w:t>
            </w:r>
            <w:r>
              <w:rPr>
                <w:rFonts w:hint="eastAsia"/>
                <w:b/>
                <w:sz w:val="22"/>
                <w:szCs w:val="22"/>
                <w:lang w:val="en-US" w:eastAsia="zh-CN"/>
              </w:rPr>
              <w:t>1089410元</w:t>
            </w:r>
            <w:r>
              <w:rPr>
                <w:rFonts w:hint="eastAsia"/>
                <w:b/>
                <w:sz w:val="22"/>
                <w:szCs w:val="22"/>
              </w:rPr>
              <w:t>；（供应商报价超出最高限价的，该供应商按无效标处理。）</w:t>
            </w:r>
          </w:p>
        </w:tc>
      </w:tr>
      <w:tr w14:paraId="232A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14:paraId="7CEF5C76">
            <w:pPr>
              <w:adjustRightInd w:val="0"/>
              <w:snapToGrid w:val="0"/>
              <w:spacing w:line="300" w:lineRule="exact"/>
              <w:rPr>
                <w:rFonts w:ascii="宋体" w:hAnsi="宋体"/>
                <w:sz w:val="22"/>
                <w:szCs w:val="22"/>
              </w:rPr>
            </w:pPr>
            <w:r>
              <w:rPr>
                <w:rFonts w:hint="eastAsia" w:ascii="宋体" w:hAnsi="宋体"/>
                <w:sz w:val="22"/>
                <w:szCs w:val="22"/>
              </w:rPr>
              <w:t>招标方式</w:t>
            </w:r>
          </w:p>
        </w:tc>
        <w:tc>
          <w:tcPr>
            <w:tcW w:w="7708" w:type="dxa"/>
            <w:tcBorders>
              <w:right w:val="double" w:color="auto" w:sz="4" w:space="0"/>
            </w:tcBorders>
            <w:vAlign w:val="center"/>
          </w:tcPr>
          <w:p w14:paraId="79C3C2BC">
            <w:pPr>
              <w:adjustRightInd w:val="0"/>
              <w:snapToGrid w:val="0"/>
              <w:spacing w:line="300" w:lineRule="exact"/>
              <w:rPr>
                <w:rFonts w:ascii="宋体" w:hAnsi="宋体"/>
                <w:color w:val="000000"/>
                <w:sz w:val="22"/>
                <w:szCs w:val="22"/>
              </w:rPr>
            </w:pPr>
            <w:r>
              <w:rPr>
                <w:rFonts w:hint="eastAsia" w:ascii="宋体" w:hAnsi="宋体"/>
                <w:color w:val="000000"/>
                <w:sz w:val="22"/>
                <w:szCs w:val="22"/>
              </w:rPr>
              <w:t>公开招标</w:t>
            </w:r>
          </w:p>
        </w:tc>
      </w:tr>
      <w:tr w14:paraId="33AF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14:paraId="3E9D8E9E">
            <w:pPr>
              <w:adjustRightInd w:val="0"/>
              <w:snapToGrid w:val="0"/>
              <w:spacing w:line="300" w:lineRule="exact"/>
              <w:rPr>
                <w:rFonts w:ascii="宋体" w:hAnsi="宋体" w:cs="宋体"/>
                <w:b/>
                <w:bCs/>
                <w:sz w:val="22"/>
              </w:rPr>
            </w:pPr>
            <w:r>
              <w:rPr>
                <w:rFonts w:hint="eastAsia" w:ascii="宋体" w:hAnsi="宋体"/>
                <w:sz w:val="22"/>
              </w:rPr>
              <w:t>采购类型</w:t>
            </w:r>
          </w:p>
        </w:tc>
        <w:tc>
          <w:tcPr>
            <w:tcW w:w="7708" w:type="dxa"/>
            <w:tcBorders>
              <w:right w:val="double" w:color="auto" w:sz="4" w:space="0"/>
            </w:tcBorders>
            <w:vAlign w:val="center"/>
          </w:tcPr>
          <w:p w14:paraId="4334CDE9">
            <w:pPr>
              <w:adjustRightInd w:val="0"/>
              <w:snapToGrid w:val="0"/>
              <w:spacing w:line="300" w:lineRule="exact"/>
              <w:rPr>
                <w:rFonts w:ascii="宋体" w:hAnsi="宋体" w:cs="宋体"/>
                <w:bCs/>
                <w:sz w:val="22"/>
              </w:rPr>
            </w:pPr>
            <w:r>
              <w:rPr>
                <w:rFonts w:hint="eastAsia" w:ascii="宋体" w:hAnsi="宋体"/>
                <w:color w:val="000000"/>
                <w:sz w:val="22"/>
              </w:rPr>
              <w:t>服务类</w:t>
            </w:r>
          </w:p>
        </w:tc>
      </w:tr>
      <w:tr w14:paraId="3BF3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14:paraId="452B3703">
            <w:pPr>
              <w:adjustRightInd w:val="0"/>
              <w:snapToGrid w:val="0"/>
              <w:spacing w:line="300" w:lineRule="exact"/>
              <w:jc w:val="center"/>
              <w:rPr>
                <w:rFonts w:ascii="宋体" w:hAnsi="宋体"/>
                <w:sz w:val="22"/>
              </w:rPr>
            </w:pPr>
            <w:r>
              <w:rPr>
                <w:rFonts w:hint="eastAsia" w:ascii="宋体" w:hAnsi="宋体"/>
                <w:sz w:val="22"/>
              </w:rPr>
              <w:t>采购标的所属行业</w:t>
            </w:r>
          </w:p>
        </w:tc>
        <w:tc>
          <w:tcPr>
            <w:tcW w:w="7708" w:type="dxa"/>
            <w:tcBorders>
              <w:right w:val="double" w:color="auto" w:sz="4" w:space="0"/>
            </w:tcBorders>
            <w:vAlign w:val="center"/>
          </w:tcPr>
          <w:p w14:paraId="317A969A">
            <w:pPr>
              <w:adjustRightInd w:val="0"/>
              <w:snapToGrid w:val="0"/>
              <w:spacing w:line="300" w:lineRule="exact"/>
              <w:rPr>
                <w:rFonts w:ascii="宋体" w:hAnsi="宋体"/>
                <w:sz w:val="22"/>
              </w:rPr>
            </w:pPr>
            <w:r>
              <w:rPr>
                <w:rFonts w:hint="eastAsia" w:ascii="宋体" w:hAnsi="宋体"/>
                <w:sz w:val="22"/>
              </w:rPr>
              <w:t>其他未列明行业</w:t>
            </w:r>
          </w:p>
        </w:tc>
      </w:tr>
      <w:tr w14:paraId="499E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23" w:type="dxa"/>
            <w:tcBorders>
              <w:left w:val="double" w:color="auto" w:sz="4" w:space="0"/>
            </w:tcBorders>
            <w:vAlign w:val="center"/>
          </w:tcPr>
          <w:p w14:paraId="109B4546">
            <w:pPr>
              <w:adjustRightInd w:val="0"/>
              <w:snapToGrid w:val="0"/>
              <w:spacing w:line="300" w:lineRule="exact"/>
              <w:rPr>
                <w:rFonts w:ascii="宋体" w:hAnsi="宋体"/>
                <w:sz w:val="22"/>
                <w:szCs w:val="22"/>
              </w:rPr>
            </w:pPr>
            <w:r>
              <w:rPr>
                <w:rFonts w:hint="eastAsia" w:ascii="宋体" w:hAnsi="宋体"/>
                <w:sz w:val="22"/>
                <w:szCs w:val="22"/>
              </w:rPr>
              <w:t>评标办法</w:t>
            </w:r>
          </w:p>
        </w:tc>
        <w:tc>
          <w:tcPr>
            <w:tcW w:w="7708" w:type="dxa"/>
            <w:tcBorders>
              <w:right w:val="double" w:color="auto" w:sz="4" w:space="0"/>
            </w:tcBorders>
            <w:vAlign w:val="center"/>
          </w:tcPr>
          <w:p w14:paraId="05BCE99C">
            <w:pPr>
              <w:adjustRightInd w:val="0"/>
              <w:snapToGrid w:val="0"/>
              <w:spacing w:line="300" w:lineRule="exact"/>
              <w:rPr>
                <w:rFonts w:ascii="宋体" w:hAnsi="宋体"/>
                <w:color w:val="000000"/>
                <w:sz w:val="22"/>
                <w:szCs w:val="22"/>
              </w:rPr>
            </w:pPr>
            <w:r>
              <w:rPr>
                <w:rFonts w:hint="eastAsia" w:ascii="宋体" w:hAnsi="宋体"/>
                <w:color w:val="000000"/>
                <w:sz w:val="22"/>
                <w:szCs w:val="22"/>
              </w:rPr>
              <w:t>综合评分法</w:t>
            </w:r>
          </w:p>
        </w:tc>
      </w:tr>
      <w:tr w14:paraId="0886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left w:val="double" w:color="auto" w:sz="4" w:space="0"/>
            </w:tcBorders>
            <w:vAlign w:val="center"/>
          </w:tcPr>
          <w:p w14:paraId="29BC4F91">
            <w:pPr>
              <w:adjustRightInd w:val="0"/>
              <w:snapToGrid w:val="0"/>
              <w:spacing w:line="300" w:lineRule="exact"/>
              <w:rPr>
                <w:rFonts w:ascii="宋体" w:hAnsi="宋体"/>
                <w:sz w:val="22"/>
                <w:szCs w:val="22"/>
              </w:rPr>
            </w:pPr>
            <w:r>
              <w:rPr>
                <w:rFonts w:hint="eastAsia" w:ascii="宋体" w:hAnsi="宋体"/>
                <w:sz w:val="22"/>
                <w:szCs w:val="22"/>
              </w:rPr>
              <w:t>投标有效期</w:t>
            </w:r>
          </w:p>
        </w:tc>
        <w:tc>
          <w:tcPr>
            <w:tcW w:w="7708" w:type="dxa"/>
            <w:tcBorders>
              <w:right w:val="double" w:color="auto" w:sz="4" w:space="0"/>
            </w:tcBorders>
            <w:vAlign w:val="center"/>
          </w:tcPr>
          <w:p w14:paraId="676CB04B">
            <w:pPr>
              <w:adjustRightInd w:val="0"/>
              <w:snapToGrid w:val="0"/>
              <w:spacing w:line="300" w:lineRule="exact"/>
              <w:rPr>
                <w:rFonts w:ascii="宋体" w:hAnsi="宋体"/>
                <w:color w:val="000000"/>
                <w:sz w:val="22"/>
                <w:szCs w:val="22"/>
              </w:rPr>
            </w:pPr>
            <w:r>
              <w:rPr>
                <w:rFonts w:hint="eastAsia" w:ascii="宋体" w:hAnsi="宋体"/>
                <w:color w:val="000000"/>
                <w:sz w:val="22"/>
                <w:szCs w:val="22"/>
              </w:rPr>
              <w:t>90日历天（自投标截止日起计算）</w:t>
            </w:r>
          </w:p>
        </w:tc>
      </w:tr>
      <w:tr w14:paraId="2715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left w:val="double" w:color="auto" w:sz="4" w:space="0"/>
            </w:tcBorders>
            <w:vAlign w:val="center"/>
          </w:tcPr>
          <w:p w14:paraId="5D5B4873">
            <w:pPr>
              <w:spacing w:line="276" w:lineRule="auto"/>
              <w:jc w:val="center"/>
              <w:rPr>
                <w:rFonts w:ascii="宋体" w:hAnsi="宋体" w:cs="Arial"/>
                <w:color w:val="000000"/>
                <w:sz w:val="22"/>
              </w:rPr>
            </w:pPr>
            <w:r>
              <w:rPr>
                <w:rFonts w:hint="eastAsia" w:ascii="宋体" w:hAnsi="宋体" w:cs="Arial"/>
                <w:color w:val="000000"/>
                <w:sz w:val="22"/>
              </w:rPr>
              <w:t>投标文件的组成</w:t>
            </w:r>
          </w:p>
        </w:tc>
        <w:tc>
          <w:tcPr>
            <w:tcW w:w="7708" w:type="dxa"/>
            <w:tcBorders>
              <w:right w:val="double" w:color="auto" w:sz="4" w:space="0"/>
            </w:tcBorders>
            <w:vAlign w:val="center"/>
          </w:tcPr>
          <w:p w14:paraId="57C1AACA">
            <w:pPr>
              <w:spacing w:line="276" w:lineRule="auto"/>
              <w:rPr>
                <w:rFonts w:ascii="宋体" w:hAnsi="宋体" w:cs="Arial"/>
                <w:b/>
                <w:color w:val="000000"/>
                <w:sz w:val="22"/>
                <w:u w:val="single"/>
              </w:rPr>
            </w:pPr>
            <w:r>
              <w:rPr>
                <w:rFonts w:ascii="宋体" w:hAnsi="宋体" w:cs="Arial"/>
                <w:b/>
                <w:color w:val="000000"/>
                <w:sz w:val="22"/>
              </w:rPr>
              <w:t>完整的《</w:t>
            </w:r>
            <w:r>
              <w:rPr>
                <w:rFonts w:hint="eastAsia" w:ascii="宋体" w:hAnsi="宋体" w:cs="Arial"/>
                <w:b/>
                <w:color w:val="000000"/>
                <w:sz w:val="22"/>
              </w:rPr>
              <w:t>投标</w:t>
            </w:r>
            <w:r>
              <w:rPr>
                <w:rFonts w:ascii="宋体" w:hAnsi="宋体" w:cs="Arial"/>
                <w:b/>
                <w:color w:val="000000"/>
                <w:sz w:val="22"/>
              </w:rPr>
              <w:t>文件》由</w:t>
            </w:r>
            <w:r>
              <w:rPr>
                <w:rFonts w:hint="eastAsia" w:ascii="宋体" w:hAnsi="宋体" w:cs="Arial"/>
                <w:b/>
                <w:color w:val="000000"/>
                <w:sz w:val="22"/>
              </w:rPr>
              <w:t>“资格文件”、</w:t>
            </w:r>
            <w:r>
              <w:rPr>
                <w:rFonts w:ascii="宋体" w:hAnsi="宋体" w:cs="Arial"/>
                <w:b/>
                <w:color w:val="000000"/>
                <w:sz w:val="22"/>
              </w:rPr>
              <w:t>“</w:t>
            </w:r>
            <w:r>
              <w:rPr>
                <w:rFonts w:hint="eastAsia" w:ascii="宋体" w:hAnsi="宋体" w:cs="Arial"/>
                <w:b/>
                <w:color w:val="000000"/>
                <w:sz w:val="22"/>
              </w:rPr>
              <w:t>商务</w:t>
            </w:r>
            <w:r>
              <w:rPr>
                <w:rFonts w:ascii="宋体" w:hAnsi="宋体" w:cs="Arial"/>
                <w:b/>
                <w:color w:val="000000"/>
                <w:sz w:val="22"/>
              </w:rPr>
              <w:t>技术文件”和“报价文件”</w:t>
            </w:r>
            <w:r>
              <w:rPr>
                <w:rFonts w:hint="eastAsia" w:ascii="宋体" w:hAnsi="宋体" w:cs="Arial"/>
                <w:b/>
                <w:color w:val="000000"/>
                <w:sz w:val="22"/>
              </w:rPr>
              <w:t>三</w:t>
            </w:r>
            <w:r>
              <w:rPr>
                <w:rFonts w:ascii="宋体" w:hAnsi="宋体" w:cs="Arial"/>
                <w:b/>
                <w:color w:val="000000"/>
                <w:sz w:val="22"/>
              </w:rPr>
              <w:t>个部分组成。</w:t>
            </w:r>
          </w:p>
        </w:tc>
      </w:tr>
      <w:tr w14:paraId="1685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823" w:type="dxa"/>
            <w:tcBorders>
              <w:left w:val="double" w:color="auto" w:sz="4" w:space="0"/>
            </w:tcBorders>
            <w:vAlign w:val="center"/>
          </w:tcPr>
          <w:p w14:paraId="1E284B6A">
            <w:pPr>
              <w:adjustRightInd w:val="0"/>
              <w:snapToGrid w:val="0"/>
              <w:spacing w:line="300" w:lineRule="exact"/>
              <w:rPr>
                <w:rFonts w:ascii="宋体" w:hAnsi="宋体"/>
                <w:sz w:val="22"/>
                <w:szCs w:val="22"/>
              </w:rPr>
            </w:pPr>
            <w:r>
              <w:rPr>
                <w:rFonts w:hint="eastAsia" w:ascii="宋体" w:hAnsi="宋体"/>
                <w:sz w:val="22"/>
                <w:szCs w:val="22"/>
              </w:rPr>
              <w:t>投标文件份数</w:t>
            </w:r>
          </w:p>
        </w:tc>
        <w:tc>
          <w:tcPr>
            <w:tcW w:w="7708" w:type="dxa"/>
            <w:tcBorders>
              <w:right w:val="double" w:color="auto" w:sz="4" w:space="0"/>
            </w:tcBorders>
            <w:vAlign w:val="center"/>
          </w:tcPr>
          <w:p w14:paraId="462BE59D">
            <w:pPr>
              <w:snapToGrid w:val="0"/>
              <w:rPr>
                <w:rFonts w:ascii="宋体" w:hAnsi="宋体"/>
                <w:b/>
                <w:sz w:val="22"/>
              </w:rPr>
            </w:pPr>
            <w:r>
              <w:rPr>
                <w:rFonts w:hint="eastAsia" w:ascii="宋体" w:hAnsi="宋体"/>
                <w:b/>
                <w:sz w:val="22"/>
              </w:rPr>
              <w:t>（1）“电子加密投标文件”：在线上传递交（一份）。</w:t>
            </w:r>
          </w:p>
          <w:p w14:paraId="18162093">
            <w:pPr>
              <w:adjustRightInd w:val="0"/>
              <w:snapToGrid w:val="0"/>
              <w:spacing w:line="300" w:lineRule="exact"/>
            </w:pPr>
            <w:r>
              <w:rPr>
                <w:rFonts w:hint="eastAsia" w:ascii="宋体" w:hAnsi="宋体"/>
                <w:b/>
                <w:sz w:val="22"/>
              </w:rPr>
              <w:t>（2）“备份投标文件”：密封包装后（当面送达由代理单位签收或采用邮寄形式由代理单位签收）投标截止时间前递交（一份）（收件地址：</w:t>
            </w:r>
            <w:r>
              <w:rPr>
                <w:rFonts w:hint="eastAsia" w:ascii="宋体" w:hAnsi="宋体"/>
                <w:b/>
                <w:sz w:val="22"/>
                <w:lang w:eastAsia="zh-CN"/>
              </w:rPr>
              <w:t>苍南县灵溪镇东方景园二号商务楼四楼403-404</w:t>
            </w:r>
            <w:r>
              <w:rPr>
                <w:rFonts w:hint="eastAsia" w:ascii="宋体" w:hAnsi="宋体"/>
                <w:b/>
                <w:sz w:val="22"/>
              </w:rPr>
              <w:t>（</w:t>
            </w:r>
            <w:r>
              <w:rPr>
                <w:rFonts w:hint="eastAsia" w:ascii="宋体" w:hAnsi="宋体"/>
                <w:b/>
                <w:sz w:val="22"/>
                <w:szCs w:val="22"/>
                <w:lang w:eastAsia="zh-CN"/>
              </w:rPr>
              <w:t>浙江明业项目管理有限公司</w:t>
            </w:r>
            <w:r>
              <w:rPr>
                <w:rFonts w:hint="eastAsia" w:ascii="宋体" w:hAnsi="宋体"/>
                <w:b/>
                <w:sz w:val="22"/>
                <w:szCs w:val="22"/>
              </w:rPr>
              <w:t xml:space="preserve"> </w:t>
            </w:r>
            <w:r>
              <w:rPr>
                <w:rFonts w:hint="eastAsia" w:ascii="宋体" w:hAnsi="宋体"/>
                <w:b/>
                <w:sz w:val="22"/>
                <w:szCs w:val="22"/>
                <w:lang w:eastAsia="zh-CN"/>
              </w:rPr>
              <w:t>陈先生</w:t>
            </w:r>
            <w:r>
              <w:rPr>
                <w:rFonts w:hint="eastAsia" w:ascii="宋体" w:hAnsi="宋体"/>
                <w:b/>
                <w:sz w:val="22"/>
              </w:rPr>
              <w:t>收 联系电话：</w:t>
            </w:r>
            <w:r>
              <w:rPr>
                <w:rFonts w:hint="eastAsia" w:ascii="宋体" w:hAnsi="宋体"/>
                <w:b/>
                <w:sz w:val="22"/>
                <w:lang w:eastAsia="zh-CN"/>
              </w:rPr>
              <w:t>0577-59957530、15805772042</w:t>
            </w:r>
            <w:r>
              <w:rPr>
                <w:rFonts w:hint="eastAsia" w:ascii="宋体" w:hAnsi="宋体"/>
                <w:b/>
                <w:sz w:val="22"/>
              </w:rPr>
              <w:t>）。</w:t>
            </w:r>
          </w:p>
        </w:tc>
      </w:tr>
      <w:tr w14:paraId="5691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23" w:type="dxa"/>
            <w:tcBorders>
              <w:left w:val="double" w:color="auto" w:sz="4" w:space="0"/>
            </w:tcBorders>
            <w:vAlign w:val="center"/>
          </w:tcPr>
          <w:p w14:paraId="30F80298">
            <w:pPr>
              <w:adjustRightInd w:val="0"/>
              <w:snapToGrid w:val="0"/>
              <w:spacing w:line="360" w:lineRule="atLeast"/>
              <w:rPr>
                <w:rFonts w:ascii="宋体" w:hAnsi="宋体"/>
                <w:sz w:val="22"/>
                <w:szCs w:val="22"/>
              </w:rPr>
            </w:pPr>
            <w:r>
              <w:rPr>
                <w:rFonts w:hint="eastAsia" w:ascii="宋体" w:hAnsi="宋体" w:cs="宋体"/>
                <w:color w:val="000000"/>
                <w:sz w:val="22"/>
              </w:rPr>
              <w:t>投标文件的形式</w:t>
            </w:r>
          </w:p>
        </w:tc>
        <w:tc>
          <w:tcPr>
            <w:tcW w:w="7708" w:type="dxa"/>
            <w:tcBorders>
              <w:right w:val="double" w:color="auto" w:sz="4" w:space="0"/>
            </w:tcBorders>
            <w:vAlign w:val="center"/>
          </w:tcPr>
          <w:p w14:paraId="3D3CD6C3">
            <w:pPr>
              <w:snapToGrid w:val="0"/>
              <w:rPr>
                <w:rFonts w:ascii="宋体" w:hAnsi="宋体"/>
                <w:b/>
                <w:sz w:val="22"/>
              </w:rPr>
            </w:pPr>
            <w:r>
              <w:rPr>
                <w:rFonts w:hint="eastAsia" w:ascii="宋体" w:hAnsi="宋体"/>
                <w:b/>
                <w:sz w:val="22"/>
              </w:rPr>
              <w:t>电子投标文件（包括“电子加密投标文件”和“备份投标文件”，在投标文件编制完成后同时生成）；</w:t>
            </w:r>
          </w:p>
          <w:p w14:paraId="60ED1C14">
            <w:pPr>
              <w:snapToGrid w:val="0"/>
              <w:rPr>
                <w:rFonts w:ascii="宋体" w:hAnsi="宋体"/>
                <w:b/>
                <w:sz w:val="22"/>
              </w:rPr>
            </w:pPr>
            <w:r>
              <w:rPr>
                <w:rFonts w:hint="eastAsia" w:ascii="宋体" w:hAnsi="宋体"/>
                <w:b/>
                <w:sz w:val="22"/>
              </w:rPr>
              <w:t>（1）“电子加密投标文件”是指通过“政采云电子交易客户端”完成投标文件编制后生成并加密的数据电文形式的投标文件。</w:t>
            </w:r>
          </w:p>
          <w:p w14:paraId="2F643585">
            <w:pPr>
              <w:adjustRightInd w:val="0"/>
              <w:snapToGrid w:val="0"/>
              <w:spacing w:line="300" w:lineRule="exact"/>
              <w:rPr>
                <w:rFonts w:ascii="宋体" w:hAnsi="宋体"/>
                <w:b/>
                <w:color w:val="000000"/>
                <w:sz w:val="22"/>
                <w:szCs w:val="22"/>
              </w:rPr>
            </w:pPr>
            <w:r>
              <w:rPr>
                <w:rFonts w:hint="eastAsia" w:ascii="宋体" w:hAnsi="宋体"/>
                <w:b/>
                <w:sz w:val="22"/>
              </w:rPr>
              <w:t>（2）“备份投标文件”是指与“电子加密投标文件”同时生成的数据电文形式的电子文件（备份标书），其他方式编制的备份投标文件视为无效备份投标文件。</w:t>
            </w:r>
          </w:p>
        </w:tc>
      </w:tr>
      <w:tr w14:paraId="5F5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23" w:type="dxa"/>
            <w:tcBorders>
              <w:left w:val="double" w:color="auto" w:sz="4" w:space="0"/>
            </w:tcBorders>
            <w:vAlign w:val="center"/>
          </w:tcPr>
          <w:p w14:paraId="0D9D931D">
            <w:pPr>
              <w:adjustRightInd w:val="0"/>
              <w:snapToGrid w:val="0"/>
              <w:spacing w:line="300" w:lineRule="exact"/>
              <w:rPr>
                <w:rFonts w:ascii="宋体" w:hAnsi="宋体"/>
                <w:sz w:val="22"/>
                <w:szCs w:val="22"/>
              </w:rPr>
            </w:pPr>
            <w:r>
              <w:rPr>
                <w:rFonts w:hint="eastAsia" w:ascii="宋体" w:hAnsi="宋体"/>
                <w:sz w:val="22"/>
                <w:szCs w:val="22"/>
              </w:rPr>
              <w:t>投标保证金</w:t>
            </w:r>
          </w:p>
        </w:tc>
        <w:tc>
          <w:tcPr>
            <w:tcW w:w="7708" w:type="dxa"/>
            <w:tcBorders>
              <w:right w:val="double" w:color="auto" w:sz="4" w:space="0"/>
            </w:tcBorders>
            <w:vAlign w:val="center"/>
          </w:tcPr>
          <w:p w14:paraId="17CC665C">
            <w:pPr>
              <w:adjustRightInd w:val="0"/>
              <w:snapToGrid w:val="0"/>
              <w:spacing w:line="320" w:lineRule="exact"/>
              <w:rPr>
                <w:rFonts w:ascii="宋体" w:hAnsi="宋体"/>
                <w:color w:val="000000"/>
                <w:sz w:val="22"/>
                <w:szCs w:val="22"/>
              </w:rPr>
            </w:pPr>
            <w:r>
              <w:rPr>
                <w:rFonts w:hint="eastAsia" w:ascii="宋体"/>
                <w:b/>
                <w:sz w:val="22"/>
                <w:szCs w:val="22"/>
                <w:u w:val="single"/>
              </w:rPr>
              <w:t>按照《浙江省财政厅关于明确政府采购保证金管理工作的通知》浙财采监〔2019〕5号文件规定，投标人无需缴纳投标保证金。</w:t>
            </w:r>
          </w:p>
        </w:tc>
      </w:tr>
      <w:tr w14:paraId="75BA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3" w:type="dxa"/>
            <w:tcBorders>
              <w:left w:val="double" w:color="auto" w:sz="4" w:space="0"/>
            </w:tcBorders>
            <w:vAlign w:val="center"/>
          </w:tcPr>
          <w:p w14:paraId="733632DE">
            <w:pPr>
              <w:adjustRightInd w:val="0"/>
              <w:snapToGrid w:val="0"/>
              <w:spacing w:line="300" w:lineRule="exact"/>
              <w:rPr>
                <w:rFonts w:ascii="宋体" w:hAnsi="宋体"/>
                <w:bCs/>
                <w:sz w:val="22"/>
                <w:szCs w:val="22"/>
              </w:rPr>
            </w:pPr>
            <w:r>
              <w:rPr>
                <w:rFonts w:hint="eastAsia" w:ascii="宋体" w:hAnsi="宋体"/>
                <w:bCs/>
                <w:sz w:val="22"/>
                <w:szCs w:val="22"/>
              </w:rPr>
              <w:t>投标截止与开标时间</w:t>
            </w:r>
          </w:p>
        </w:tc>
        <w:tc>
          <w:tcPr>
            <w:tcW w:w="7708" w:type="dxa"/>
            <w:tcBorders>
              <w:right w:val="double" w:color="auto" w:sz="4" w:space="0"/>
            </w:tcBorders>
            <w:vAlign w:val="center"/>
          </w:tcPr>
          <w:p w14:paraId="79C37016">
            <w:pPr>
              <w:adjustRightInd w:val="0"/>
              <w:snapToGrid w:val="0"/>
              <w:spacing w:line="300" w:lineRule="exact"/>
              <w:rPr>
                <w:rFonts w:hint="eastAsia" w:ascii="宋体" w:hAnsi="宋体" w:eastAsia="宋体"/>
                <w:sz w:val="22"/>
                <w:szCs w:val="22"/>
                <w:lang w:eastAsia="zh-CN"/>
              </w:rPr>
            </w:pPr>
            <w:r>
              <w:rPr>
                <w:rFonts w:hint="eastAsia" w:ascii="宋体" w:hAnsi="宋体"/>
                <w:sz w:val="22"/>
                <w:szCs w:val="22"/>
                <w:lang w:eastAsia="zh-CN"/>
              </w:rPr>
              <w:t>2026</w:t>
            </w:r>
            <w:r>
              <w:rPr>
                <w:rFonts w:hint="eastAsia" w:ascii="宋体" w:hAnsi="宋体"/>
                <w:sz w:val="22"/>
                <w:szCs w:val="22"/>
              </w:rPr>
              <w:t>年</w:t>
            </w:r>
            <w:r>
              <w:rPr>
                <w:rFonts w:hint="eastAsia" w:ascii="宋体" w:hAnsi="宋体"/>
                <w:sz w:val="22"/>
                <w:szCs w:val="22"/>
                <w:lang w:val="en-US" w:eastAsia="zh-CN"/>
              </w:rPr>
              <w:t>6月25日09:30</w:t>
            </w:r>
          </w:p>
        </w:tc>
      </w:tr>
      <w:tr w14:paraId="0B4F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3" w:type="dxa"/>
            <w:tcBorders>
              <w:left w:val="double" w:color="auto" w:sz="4" w:space="0"/>
            </w:tcBorders>
            <w:vAlign w:val="center"/>
          </w:tcPr>
          <w:p w14:paraId="7914C328">
            <w:pPr>
              <w:adjustRightInd w:val="0"/>
              <w:snapToGrid w:val="0"/>
              <w:spacing w:line="300" w:lineRule="exact"/>
              <w:rPr>
                <w:rFonts w:ascii="宋体" w:hAnsi="宋体"/>
                <w:sz w:val="22"/>
                <w:szCs w:val="22"/>
              </w:rPr>
            </w:pPr>
            <w:r>
              <w:rPr>
                <w:rFonts w:hint="eastAsia" w:ascii="宋体" w:hAnsi="宋体"/>
                <w:sz w:val="22"/>
                <w:szCs w:val="22"/>
              </w:rPr>
              <w:t>投标开标地点</w:t>
            </w:r>
          </w:p>
        </w:tc>
        <w:tc>
          <w:tcPr>
            <w:tcW w:w="7708" w:type="dxa"/>
            <w:tcBorders>
              <w:right w:val="double" w:color="auto" w:sz="4" w:space="0"/>
            </w:tcBorders>
            <w:vAlign w:val="center"/>
          </w:tcPr>
          <w:p w14:paraId="7B9B6911">
            <w:pPr>
              <w:adjustRightInd w:val="0"/>
              <w:snapToGrid w:val="0"/>
              <w:spacing w:line="300" w:lineRule="exact"/>
              <w:rPr>
                <w:rFonts w:ascii="宋体" w:hAnsi="宋体"/>
                <w:color w:val="000000"/>
                <w:sz w:val="22"/>
                <w:szCs w:val="22"/>
              </w:rPr>
            </w:pPr>
            <w:r>
              <w:rPr>
                <w:rFonts w:hint="eastAsia" w:ascii="宋体" w:hAnsi="宋体"/>
                <w:sz w:val="22"/>
              </w:rPr>
              <w:t>1、代理机构于苍南县公共资源交易中心（苍南县灵溪镇春晖路公投大厦裙楼）进行开评标活动；2、投标人通过“政府采购云平台（www.zcygov.cn）”实行在线投标响应（在投标截止时间止，供应商须准时登录“政府采购云平台（www.zcygov.cn）”在线响应投标）；</w:t>
            </w:r>
          </w:p>
        </w:tc>
      </w:tr>
      <w:tr w14:paraId="0741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23" w:type="dxa"/>
            <w:tcBorders>
              <w:left w:val="double" w:color="auto" w:sz="4" w:space="0"/>
            </w:tcBorders>
            <w:vAlign w:val="center"/>
          </w:tcPr>
          <w:p w14:paraId="2A4A500A">
            <w:pPr>
              <w:jc w:val="center"/>
              <w:rPr>
                <w:rFonts w:ascii="宋体" w:hAnsi="宋体"/>
                <w:color w:val="000000"/>
                <w:sz w:val="22"/>
              </w:rPr>
            </w:pPr>
            <w:r>
              <w:rPr>
                <w:rFonts w:hint="eastAsia" w:ascii="宋体" w:hAnsi="宋体"/>
                <w:color w:val="000000"/>
                <w:sz w:val="22"/>
              </w:rPr>
              <w:t>质疑受理联系方式</w:t>
            </w:r>
          </w:p>
        </w:tc>
        <w:tc>
          <w:tcPr>
            <w:tcW w:w="7708" w:type="dxa"/>
            <w:tcBorders>
              <w:right w:val="double" w:color="auto" w:sz="4" w:space="0"/>
            </w:tcBorders>
            <w:vAlign w:val="center"/>
          </w:tcPr>
          <w:p w14:paraId="4A2C39B9">
            <w:pPr>
              <w:widowControl/>
              <w:snapToGrid w:val="0"/>
              <w:spacing w:line="320" w:lineRule="exact"/>
              <w:jc w:val="left"/>
              <w:rPr>
                <w:rFonts w:hint="eastAsia" w:ascii="宋体" w:hAnsi="宋体" w:eastAsia="宋体"/>
                <w:color w:val="000000"/>
                <w:sz w:val="22"/>
                <w:lang w:eastAsia="zh-CN"/>
              </w:rPr>
            </w:pPr>
            <w:r>
              <w:rPr>
                <w:rFonts w:ascii="宋体" w:hAnsi="宋体"/>
                <w:color w:val="000000"/>
                <w:sz w:val="22"/>
              </w:rPr>
              <w:t>代理机构名称：</w:t>
            </w:r>
            <w:r>
              <w:rPr>
                <w:rFonts w:hint="eastAsia" w:ascii="宋体" w:hAnsi="宋体" w:cs="宋体"/>
                <w:kern w:val="0"/>
                <w:sz w:val="22"/>
                <w:lang w:eastAsia="zh-CN"/>
              </w:rPr>
              <w:t>浙江明业项目管理有限公司</w:t>
            </w:r>
          </w:p>
          <w:p w14:paraId="75217005">
            <w:pPr>
              <w:widowControl/>
              <w:snapToGrid w:val="0"/>
              <w:spacing w:line="320" w:lineRule="exact"/>
              <w:jc w:val="left"/>
              <w:rPr>
                <w:rFonts w:hint="eastAsia" w:ascii="宋体" w:hAnsi="宋体" w:eastAsia="宋体" w:cs="宋体"/>
                <w:kern w:val="0"/>
                <w:sz w:val="22"/>
                <w:lang w:eastAsia="zh-CN"/>
              </w:rPr>
            </w:pPr>
            <w:r>
              <w:rPr>
                <w:rFonts w:ascii="宋体" w:hAnsi="宋体"/>
                <w:color w:val="000000"/>
                <w:sz w:val="22"/>
              </w:rPr>
              <w:t>机构地点：</w:t>
            </w:r>
            <w:r>
              <w:rPr>
                <w:rFonts w:hint="eastAsia" w:ascii="宋体" w:hAnsi="宋体"/>
                <w:color w:val="000000"/>
                <w:sz w:val="22"/>
                <w:lang w:eastAsia="zh-CN"/>
              </w:rPr>
              <w:t>苍南县灵溪镇东方景园二号商务楼四楼403-404</w:t>
            </w:r>
          </w:p>
          <w:p w14:paraId="228D2DDE">
            <w:pPr>
              <w:widowControl/>
              <w:snapToGrid w:val="0"/>
              <w:spacing w:line="320" w:lineRule="exact"/>
              <w:jc w:val="left"/>
              <w:rPr>
                <w:rFonts w:hint="eastAsia" w:ascii="宋体" w:hAnsi="宋体" w:eastAsia="宋体"/>
                <w:color w:val="000000"/>
                <w:sz w:val="22"/>
                <w:lang w:eastAsia="zh-CN"/>
              </w:rPr>
            </w:pPr>
            <w:r>
              <w:rPr>
                <w:rFonts w:ascii="宋体" w:hAnsi="宋体"/>
                <w:color w:val="000000"/>
                <w:sz w:val="22"/>
              </w:rPr>
              <w:t>联系人：</w:t>
            </w:r>
            <w:r>
              <w:rPr>
                <w:rFonts w:hint="eastAsia" w:ascii="宋体" w:hAnsi="宋体"/>
                <w:color w:val="000000"/>
                <w:sz w:val="22"/>
                <w:lang w:eastAsia="zh-CN"/>
              </w:rPr>
              <w:t>陈先生</w:t>
            </w:r>
          </w:p>
          <w:p w14:paraId="5C1D0CD8">
            <w:pPr>
              <w:widowControl/>
              <w:snapToGrid w:val="0"/>
              <w:spacing w:line="320" w:lineRule="exact"/>
              <w:jc w:val="left"/>
              <w:rPr>
                <w:rFonts w:hint="eastAsia" w:ascii="宋体" w:hAnsi="宋体" w:eastAsia="宋体"/>
                <w:sz w:val="22"/>
                <w:lang w:eastAsia="zh-CN"/>
              </w:rPr>
            </w:pPr>
            <w:r>
              <w:rPr>
                <w:rFonts w:ascii="宋体" w:hAnsi="宋体"/>
                <w:color w:val="000000"/>
                <w:sz w:val="22"/>
              </w:rPr>
              <w:t>联系电话：</w:t>
            </w:r>
            <w:r>
              <w:rPr>
                <w:rFonts w:hint="eastAsia" w:ascii="宋体" w:hAnsi="宋体" w:cs="宋体"/>
                <w:kern w:val="0"/>
                <w:sz w:val="22"/>
                <w:lang w:eastAsia="zh-CN"/>
              </w:rPr>
              <w:t>0577-59957530、15805772042</w:t>
            </w:r>
          </w:p>
        </w:tc>
      </w:tr>
      <w:tr w14:paraId="7D52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23" w:type="dxa"/>
            <w:tcBorders>
              <w:left w:val="double" w:color="auto" w:sz="4" w:space="0"/>
            </w:tcBorders>
            <w:vAlign w:val="center"/>
          </w:tcPr>
          <w:p w14:paraId="3EA0C34B">
            <w:pPr>
              <w:jc w:val="center"/>
              <w:rPr>
                <w:rFonts w:ascii="宋体" w:hAnsi="宋体"/>
                <w:color w:val="000000"/>
                <w:sz w:val="22"/>
              </w:rPr>
            </w:pPr>
            <w:r>
              <w:rPr>
                <w:rFonts w:hint="eastAsia" w:ascii="宋体" w:hAnsi="宋体"/>
                <w:color w:val="000000"/>
                <w:sz w:val="22"/>
              </w:rPr>
              <w:t>投诉受理联系方式</w:t>
            </w:r>
          </w:p>
        </w:tc>
        <w:tc>
          <w:tcPr>
            <w:tcW w:w="7708" w:type="dxa"/>
            <w:tcBorders>
              <w:right w:val="double" w:color="auto" w:sz="4" w:space="0"/>
            </w:tcBorders>
            <w:vAlign w:val="center"/>
          </w:tcPr>
          <w:p w14:paraId="0760C320">
            <w:pPr>
              <w:widowControl/>
              <w:snapToGrid w:val="0"/>
              <w:spacing w:line="320" w:lineRule="exact"/>
              <w:jc w:val="left"/>
              <w:rPr>
                <w:rFonts w:hint="eastAsia" w:ascii="宋体" w:hAnsi="宋体" w:eastAsia="宋体"/>
                <w:color w:val="000000"/>
                <w:sz w:val="22"/>
                <w:lang w:eastAsia="zh-CN"/>
              </w:rPr>
            </w:pPr>
            <w:r>
              <w:rPr>
                <w:rFonts w:hint="eastAsia" w:ascii="宋体" w:hAnsi="宋体"/>
                <w:color w:val="000000"/>
                <w:sz w:val="22"/>
                <w:lang w:eastAsia="zh-CN"/>
              </w:rPr>
              <w:t>苍南县财政局（浙江省政府采购行政裁决服务中心（温州））</w:t>
            </w:r>
          </w:p>
          <w:p w14:paraId="149C14C5">
            <w:pPr>
              <w:widowControl/>
              <w:snapToGrid w:val="0"/>
              <w:spacing w:line="320" w:lineRule="exact"/>
              <w:jc w:val="left"/>
              <w:rPr>
                <w:rFonts w:hint="eastAsia" w:ascii="宋体" w:hAnsi="宋体" w:eastAsia="宋体"/>
                <w:color w:val="000000"/>
                <w:sz w:val="22"/>
                <w:lang w:eastAsia="zh-CN"/>
              </w:rPr>
            </w:pPr>
            <w:r>
              <w:rPr>
                <w:rFonts w:hint="eastAsia" w:ascii="宋体" w:hAnsi="宋体"/>
                <w:color w:val="000000"/>
                <w:sz w:val="22"/>
              </w:rPr>
              <w:t>联系人：</w:t>
            </w:r>
            <w:r>
              <w:rPr>
                <w:rFonts w:hint="eastAsia" w:ascii="宋体" w:hAnsi="宋体"/>
                <w:color w:val="000000"/>
                <w:sz w:val="22"/>
                <w:lang w:eastAsia="zh-CN"/>
              </w:rPr>
              <w:t>李老师、王老师</w:t>
            </w:r>
          </w:p>
          <w:p w14:paraId="363E07E5">
            <w:pPr>
              <w:widowControl/>
              <w:snapToGrid w:val="0"/>
              <w:spacing w:line="320" w:lineRule="exact"/>
              <w:jc w:val="left"/>
              <w:rPr>
                <w:rFonts w:ascii="宋体" w:hAnsi="宋体"/>
                <w:color w:val="000000"/>
                <w:sz w:val="22"/>
              </w:rPr>
            </w:pPr>
            <w:r>
              <w:rPr>
                <w:rFonts w:hint="eastAsia" w:ascii="宋体" w:hAnsi="宋体"/>
                <w:color w:val="000000"/>
                <w:sz w:val="22"/>
              </w:rPr>
              <w:t>监督投诉电话：</w:t>
            </w:r>
            <w:r>
              <w:rPr>
                <w:rFonts w:hint="eastAsia" w:ascii="宋体" w:hAnsi="宋体"/>
                <w:color w:val="000000"/>
                <w:sz w:val="22"/>
                <w:lang w:eastAsia="zh-CN"/>
              </w:rPr>
              <w:t>0577-85501561，0577-85501562</w:t>
            </w:r>
            <w:r>
              <w:rPr>
                <w:rFonts w:hint="eastAsia" w:ascii="宋体" w:hAnsi="宋体"/>
                <w:color w:val="000000"/>
                <w:sz w:val="22"/>
              </w:rPr>
              <w:t xml:space="preserve"> </w:t>
            </w:r>
          </w:p>
          <w:p w14:paraId="0ED62C6F">
            <w:pPr>
              <w:widowControl/>
              <w:snapToGrid w:val="0"/>
              <w:spacing w:line="320" w:lineRule="exact"/>
              <w:jc w:val="left"/>
              <w:rPr>
                <w:rFonts w:hint="eastAsia" w:ascii="宋体" w:hAnsi="宋体" w:eastAsia="宋体"/>
                <w:color w:val="000000"/>
                <w:sz w:val="22"/>
                <w:lang w:eastAsia="zh-CN"/>
              </w:rPr>
            </w:pPr>
            <w:r>
              <w:rPr>
                <w:rFonts w:hint="eastAsia" w:ascii="宋体" w:hAnsi="宋体"/>
                <w:color w:val="000000"/>
                <w:sz w:val="22"/>
              </w:rPr>
              <w:t>联系传真：</w:t>
            </w:r>
            <w:r>
              <w:rPr>
                <w:rFonts w:hint="eastAsia" w:ascii="宋体" w:hAnsi="宋体"/>
                <w:color w:val="000000"/>
                <w:sz w:val="22"/>
                <w:lang w:val="en-US" w:eastAsia="zh-CN"/>
              </w:rPr>
              <w:t>/</w:t>
            </w:r>
          </w:p>
          <w:p w14:paraId="1552D339">
            <w:pPr>
              <w:widowControl/>
              <w:snapToGrid w:val="0"/>
              <w:spacing w:line="320" w:lineRule="exact"/>
              <w:jc w:val="left"/>
              <w:rPr>
                <w:rFonts w:hint="eastAsia" w:eastAsia="宋体"/>
                <w:lang w:eastAsia="zh-CN"/>
              </w:rPr>
            </w:pPr>
            <w:r>
              <w:rPr>
                <w:rFonts w:hint="eastAsia" w:ascii="宋体" w:hAnsi="宋体"/>
                <w:color w:val="000000"/>
                <w:sz w:val="22"/>
              </w:rPr>
              <w:t>地址：</w:t>
            </w:r>
            <w:r>
              <w:rPr>
                <w:rFonts w:hint="eastAsia" w:ascii="宋体" w:hAnsi="宋体"/>
                <w:color w:val="000000"/>
                <w:sz w:val="22"/>
                <w:lang w:eastAsia="zh-CN"/>
              </w:rPr>
              <w:t>温州市鹿城区滨江街道瓯江路展银大厦1606室</w:t>
            </w:r>
          </w:p>
        </w:tc>
      </w:tr>
      <w:tr w14:paraId="65E0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14:paraId="59938C04">
            <w:pPr>
              <w:adjustRightInd w:val="0"/>
              <w:snapToGrid w:val="0"/>
              <w:rPr>
                <w:rFonts w:ascii="宋体"/>
                <w:b/>
                <w:sz w:val="22"/>
              </w:rPr>
            </w:pPr>
            <w:r>
              <w:rPr>
                <w:rFonts w:hint="eastAsia" w:ascii="宋体"/>
                <w:b/>
                <w:bCs/>
                <w:sz w:val="22"/>
              </w:rPr>
              <w:t>信用记录甄别</w:t>
            </w:r>
          </w:p>
        </w:tc>
        <w:tc>
          <w:tcPr>
            <w:tcW w:w="7708" w:type="dxa"/>
            <w:tcBorders>
              <w:right w:val="double" w:color="auto" w:sz="4" w:space="0"/>
            </w:tcBorders>
            <w:vAlign w:val="center"/>
          </w:tcPr>
          <w:p w14:paraId="268F7791">
            <w:pPr>
              <w:adjustRightInd w:val="0"/>
              <w:snapToGrid w:val="0"/>
              <w:spacing w:line="320" w:lineRule="exact"/>
              <w:rPr>
                <w:rFonts w:ascii="宋体"/>
                <w:b/>
                <w:sz w:val="22"/>
              </w:rPr>
            </w:pPr>
            <w:r>
              <w:rPr>
                <w:rFonts w:hint="eastAsia" w:ascii="宋体" w:hAnsi="宋体"/>
                <w:b/>
                <w:color w:val="000000"/>
                <w:sz w:val="22"/>
                <w:szCs w:val="22"/>
              </w:rPr>
              <w:t>根据《财政部关于在政府采购活动中查询及使用信用记录的通知》（财库【2016】125号）文件相关规定，评审时采购组织机构将统一通过“信用中国”网站（www.creditchina.gov.cn)和中国政府采购网（www.ccgp.gov.cn)查询投标供应商信用记录，对投标供应商信用记录进行甄别。凡是列入失信被执行人、重大税收违法案件当事人名单、政府采购严重违法失信行为记录名单及其他不符合《中华人民共和国政府采购法》第二十二条规定条件的投标供应商，将拒绝其参加本次政府采购活动。</w:t>
            </w:r>
          </w:p>
        </w:tc>
      </w:tr>
      <w:tr w14:paraId="07FF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14:paraId="02E4229C">
            <w:pPr>
              <w:pStyle w:val="16"/>
              <w:adjustRightInd w:val="0"/>
              <w:snapToGrid w:val="0"/>
              <w:spacing w:before="0" w:line="300" w:lineRule="exact"/>
              <w:jc w:val="center"/>
              <w:rPr>
                <w:rFonts w:ascii="宋体"/>
                <w:b/>
                <w:bCs/>
                <w:sz w:val="22"/>
              </w:rPr>
            </w:pPr>
            <w:r>
              <w:rPr>
                <w:rFonts w:hint="eastAsia" w:ascii="宋体" w:hAnsi="宋体" w:cs="Times New Roman"/>
                <w:sz w:val="22"/>
                <w:szCs w:val="22"/>
              </w:rPr>
              <w:t>小型、微型企业</w:t>
            </w:r>
            <w:r>
              <w:rPr>
                <w:rFonts w:hint="eastAsia" w:ascii="宋体" w:hAnsi="宋体" w:cs="Times New Roman"/>
                <w:sz w:val="22"/>
                <w:szCs w:val="22"/>
                <w:lang w:eastAsia="zh-CN"/>
              </w:rPr>
              <w:t>扶持</w:t>
            </w:r>
            <w:r>
              <w:rPr>
                <w:rFonts w:hint="eastAsia" w:ascii="宋体" w:hAnsi="宋体" w:cs="Times New Roman"/>
                <w:sz w:val="22"/>
                <w:szCs w:val="22"/>
              </w:rPr>
              <w:t>政策</w:t>
            </w:r>
          </w:p>
        </w:tc>
        <w:tc>
          <w:tcPr>
            <w:tcW w:w="7708" w:type="dxa"/>
            <w:tcBorders>
              <w:right w:val="double" w:color="auto" w:sz="4" w:space="0"/>
            </w:tcBorders>
            <w:vAlign w:val="center"/>
          </w:tcPr>
          <w:p w14:paraId="1D18BCBA">
            <w:pPr>
              <w:pStyle w:val="16"/>
              <w:snapToGrid w:val="0"/>
              <w:spacing w:before="0" w:line="400" w:lineRule="atLeast"/>
              <w:rPr>
                <w:rFonts w:ascii="宋体" w:hAnsi="宋体"/>
                <w:b/>
                <w:sz w:val="22"/>
              </w:rPr>
            </w:pPr>
            <w:r>
              <w:rPr>
                <w:rFonts w:hint="eastAsia" w:ascii="宋体" w:hAnsi="宋体"/>
                <w:b/>
                <w:sz w:val="22"/>
              </w:rPr>
              <w:t>☑ 专门面向中小企业/小微企业采购项目</w:t>
            </w:r>
          </w:p>
          <w:p w14:paraId="3BC49C74">
            <w:pPr>
              <w:pStyle w:val="16"/>
              <w:snapToGrid w:val="0"/>
              <w:spacing w:before="0" w:line="400" w:lineRule="atLeast"/>
              <w:rPr>
                <w:rFonts w:ascii="宋体" w:hAnsi="宋体"/>
                <w:b/>
                <w:sz w:val="22"/>
              </w:rPr>
            </w:pPr>
            <w:r>
              <w:rPr>
                <w:rFonts w:hint="eastAsia" w:ascii="宋体" w:hAnsi="宋体"/>
                <w:b/>
                <w:sz w:val="22"/>
              </w:rPr>
              <w:t>根据《政府采购促进中小企业发展管理办法》（财库﹝2020﹞46 号）的规定本次政府采购，本项目专门面向中小企业/小微企业（监狱企业，残疾人福利性单位视同小型、微型企业），大型企业不得参与。</w:t>
            </w:r>
          </w:p>
          <w:p w14:paraId="1D0F754D">
            <w:pPr>
              <w:adjustRightInd w:val="0"/>
              <w:snapToGrid w:val="0"/>
              <w:spacing w:line="320" w:lineRule="exact"/>
            </w:pPr>
            <w:r>
              <w:rPr>
                <w:rFonts w:hint="eastAsia" w:ascii="宋体" w:hAnsi="宋体"/>
                <w:b/>
                <w:sz w:val="22"/>
              </w:rPr>
              <w:t>注：项目的服务全部</w:t>
            </w:r>
            <w:r>
              <w:rPr>
                <w:rFonts w:ascii="宋体" w:hAnsi="宋体"/>
                <w:b/>
                <w:sz w:val="22"/>
              </w:rPr>
              <w:t>由符合政策要求的中小企业</w:t>
            </w:r>
            <w:r>
              <w:rPr>
                <w:rFonts w:hint="eastAsia" w:ascii="宋体" w:hAnsi="宋体"/>
                <w:b/>
                <w:sz w:val="22"/>
              </w:rPr>
              <w:t>/小微企业</w:t>
            </w:r>
            <w:r>
              <w:rPr>
                <w:rFonts w:ascii="宋体" w:hAnsi="宋体"/>
                <w:b/>
                <w:sz w:val="22"/>
              </w:rPr>
              <w:t>（监狱企业，残疾人福利性单位视同小型、微型企业）承担，否则不得参加本项目投标。</w:t>
            </w:r>
            <w:r>
              <w:rPr>
                <w:rFonts w:hint="eastAsia" w:ascii="宋体" w:hAnsi="宋体"/>
                <w:b/>
                <w:sz w:val="22"/>
              </w:rPr>
              <w:t>（详见第六部分评审方法）</w:t>
            </w:r>
          </w:p>
        </w:tc>
      </w:tr>
      <w:tr w14:paraId="22B3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14:paraId="4A806DE7">
            <w:pPr>
              <w:pStyle w:val="16"/>
              <w:spacing w:before="0"/>
              <w:jc w:val="center"/>
              <w:rPr>
                <w:rFonts w:ascii="宋体" w:hAnsi="宋体"/>
                <w:color w:val="000000"/>
                <w:sz w:val="22"/>
              </w:rPr>
            </w:pPr>
            <w:r>
              <w:rPr>
                <w:rFonts w:hint="eastAsia" w:ascii="宋体" w:hAnsi="宋体"/>
                <w:color w:val="000000"/>
                <w:sz w:val="22"/>
              </w:rPr>
              <w:t>线上电子招标相关要求</w:t>
            </w:r>
          </w:p>
        </w:tc>
        <w:tc>
          <w:tcPr>
            <w:tcW w:w="7708" w:type="dxa"/>
            <w:tcBorders>
              <w:right w:val="double" w:color="auto" w:sz="4" w:space="0"/>
            </w:tcBorders>
            <w:vAlign w:val="center"/>
          </w:tcPr>
          <w:p w14:paraId="59D40D0D">
            <w:pPr>
              <w:snapToGrid w:val="0"/>
              <w:rPr>
                <w:rFonts w:ascii="宋体" w:hAnsi="宋体"/>
                <w:sz w:val="22"/>
              </w:rPr>
            </w:pPr>
            <w:r>
              <w:rPr>
                <w:rFonts w:hint="eastAsia" w:ascii="宋体" w:hAnsi="宋体"/>
                <w:b/>
                <w:sz w:val="22"/>
              </w:rPr>
              <w:t>1、投标文件的编制：</w:t>
            </w:r>
            <w:r>
              <w:rPr>
                <w:rFonts w:hint="eastAsia" w:ascii="宋体" w:hAnsi="宋体"/>
                <w:sz w:val="22"/>
              </w:rPr>
              <w:t>供应商应先安装“政采云电子交易客户端”，并按照本招标文件和“政府采购云平台”的要求，通过“政采云电子交易客户端”编制并加密投标文件。</w:t>
            </w:r>
          </w:p>
          <w:p w14:paraId="627C7283">
            <w:pPr>
              <w:snapToGrid w:val="0"/>
              <w:rPr>
                <w:rFonts w:ascii="宋体" w:hAnsi="宋体"/>
                <w:sz w:val="22"/>
              </w:rPr>
            </w:pPr>
            <w:r>
              <w:rPr>
                <w:rFonts w:hint="eastAsia" w:ascii="宋体" w:hAnsi="宋体"/>
                <w:b/>
                <w:sz w:val="22"/>
              </w:rPr>
              <w:t>2、投标文件的签章：</w:t>
            </w:r>
            <w:r>
              <w:rPr>
                <w:rFonts w:hint="eastAsia" w:ascii="宋体" w:hAnsi="宋体"/>
                <w:sz w:val="22"/>
              </w:rPr>
              <w:t>电子签章。</w:t>
            </w:r>
            <w:r>
              <w:rPr>
                <w:rFonts w:hint="eastAsia" w:ascii="宋体" w:hAnsi="宋体"/>
                <w:color w:val="000000"/>
                <w:sz w:val="22"/>
              </w:rPr>
              <w:t>采购文件所指的加盖单位公章为电子签章。投标响应文件须按采购文件格式要求，由供应商加盖单位公章和法定代表人或其授权代表印章（或签字）。</w:t>
            </w:r>
            <w:r>
              <w:rPr>
                <w:rFonts w:hint="eastAsia" w:ascii="宋体" w:hAnsi="宋体"/>
                <w:color w:val="000000"/>
                <w:sz w:val="22"/>
                <w:lang w:val="en-US" w:eastAsia="zh-CN"/>
              </w:rPr>
              <w:t>如无法使用电子签章时，供应商需将响应文件打印出再盖上公章、签字后再扫描至客户端按要求继续进行编制。</w:t>
            </w:r>
          </w:p>
          <w:p w14:paraId="59AB6B57">
            <w:pPr>
              <w:snapToGrid w:val="0"/>
              <w:rPr>
                <w:rFonts w:ascii="宋体" w:hAnsi="宋体" w:cs="宋体"/>
                <w:b/>
                <w:bCs/>
                <w:color w:val="000000"/>
                <w:sz w:val="22"/>
                <w:lang w:bidi="ar"/>
              </w:rPr>
            </w:pPr>
            <w:r>
              <w:rPr>
                <w:rFonts w:hint="eastAsia" w:ascii="宋体" w:hAnsi="宋体"/>
                <w:b/>
                <w:sz w:val="22"/>
              </w:rPr>
              <w:t>3、</w:t>
            </w:r>
            <w:r>
              <w:rPr>
                <w:rFonts w:hint="eastAsia" w:ascii="宋体" w:hAnsi="宋体" w:cs="宋体"/>
                <w:b/>
                <w:bCs/>
                <w:color w:val="000000"/>
                <w:sz w:val="22"/>
                <w:lang w:bidi="ar"/>
              </w:rPr>
              <w:t>投标文件的上传和递交：</w:t>
            </w:r>
          </w:p>
          <w:p w14:paraId="456D1747">
            <w:pPr>
              <w:snapToGrid w:val="0"/>
              <w:rPr>
                <w:rFonts w:ascii="宋体" w:hAnsi="宋体"/>
                <w:sz w:val="22"/>
              </w:rPr>
            </w:pPr>
            <w:r>
              <w:rPr>
                <w:rFonts w:hint="eastAsia" w:ascii="宋体" w:hAnsi="宋体"/>
                <w:sz w:val="22"/>
              </w:rPr>
              <w:t>（1）“电子加密投标文件”的上传、递交：</w:t>
            </w:r>
          </w:p>
          <w:p w14:paraId="7F0345EF">
            <w:pPr>
              <w:snapToGrid w:val="0"/>
              <w:rPr>
                <w:rFonts w:ascii="宋体" w:hAnsi="宋体"/>
                <w:sz w:val="22"/>
              </w:rPr>
            </w:pPr>
            <w:r>
              <w:rPr>
                <w:rFonts w:hint="eastAsia" w:ascii="宋体" w:hAnsi="宋体"/>
                <w:sz w:val="22"/>
              </w:rPr>
              <w:t>a.投标供应商应在投标截止时间前将“电子加密投标文件”成功上传递交至“政府采购云平台”，否则投标无效。</w:t>
            </w:r>
          </w:p>
          <w:p w14:paraId="0DC2F726">
            <w:pPr>
              <w:snapToGrid w:val="0"/>
              <w:rPr>
                <w:rFonts w:ascii="宋体" w:hAnsi="宋体"/>
                <w:sz w:val="22"/>
              </w:rPr>
            </w:pPr>
            <w:r>
              <w:rPr>
                <w:rFonts w:hint="eastAsia" w:ascii="宋体" w:hAnsi="宋体"/>
                <w:sz w:val="22"/>
              </w:rPr>
              <w:t>b.“电子加密投标文件”成功上传递交后，供应商可自行打印投标文件接收回执。</w:t>
            </w:r>
          </w:p>
          <w:p w14:paraId="58140CFB">
            <w:pPr>
              <w:snapToGrid w:val="0"/>
              <w:rPr>
                <w:rFonts w:ascii="宋体" w:hAnsi="宋体"/>
                <w:sz w:val="22"/>
              </w:rPr>
            </w:pPr>
            <w:r>
              <w:rPr>
                <w:rFonts w:hint="eastAsia" w:ascii="宋体" w:hAnsi="宋体"/>
                <w:sz w:val="22"/>
              </w:rPr>
              <w:t>（2）“备份投标文件”的密封包装、递交：</w:t>
            </w:r>
          </w:p>
          <w:p w14:paraId="4EB54334">
            <w:pPr>
              <w:snapToGrid w:val="0"/>
              <w:rPr>
                <w:rFonts w:ascii="宋体" w:hAnsi="宋体"/>
                <w:sz w:val="22"/>
              </w:rPr>
            </w:pPr>
            <w:r>
              <w:rPr>
                <w:rFonts w:hint="eastAsia" w:ascii="宋体" w:hAnsi="宋体"/>
                <w:sz w:val="22"/>
              </w:rPr>
              <w:t>a.投标供应商在“政府采购云平台”完成“电子加密投标文件”的上传递交后，还可以（</w:t>
            </w:r>
            <w:r>
              <w:rPr>
                <w:rFonts w:hint="eastAsia" w:ascii="宋体" w:hAnsi="宋体"/>
                <w:sz w:val="22"/>
                <w:szCs w:val="22"/>
              </w:rPr>
              <w:t>当面送达由代理单位签收或采用邮寄形式由代理单位签收</w:t>
            </w:r>
            <w:r>
              <w:rPr>
                <w:rFonts w:hint="eastAsia" w:ascii="宋体" w:hAnsi="宋体"/>
                <w:sz w:val="22"/>
              </w:rPr>
              <w:t>）在投标截止时间前递交以介质（U盘）存储的 “备份投标文件”（一份）；</w:t>
            </w:r>
          </w:p>
          <w:p w14:paraId="4349105C">
            <w:pPr>
              <w:snapToGrid w:val="0"/>
              <w:rPr>
                <w:rFonts w:ascii="宋体" w:hAnsi="宋体"/>
                <w:sz w:val="22"/>
              </w:rPr>
            </w:pPr>
            <w:r>
              <w:rPr>
                <w:rFonts w:hint="eastAsia" w:ascii="宋体" w:hAnsi="宋体"/>
                <w:sz w:val="22"/>
              </w:rPr>
              <w:t>b.“备份投标文件”应当密封包装，并在包装上标注投标项目名称、投标单位名称并加盖公章。没有密封包装或者逾期送达至投标地点的“备份投标文件”将不予接收；</w:t>
            </w:r>
          </w:p>
          <w:p w14:paraId="03A7B01C">
            <w:pPr>
              <w:snapToGrid w:val="0"/>
              <w:rPr>
                <w:rFonts w:ascii="宋体" w:hAnsi="宋体"/>
                <w:sz w:val="22"/>
              </w:rPr>
            </w:pPr>
            <w:r>
              <w:rPr>
                <w:rFonts w:hint="eastAsia" w:ascii="宋体" w:hAnsi="宋体"/>
                <w:sz w:val="22"/>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0F7284D9">
            <w:pPr>
              <w:pStyle w:val="48"/>
              <w:rPr>
                <w:rFonts w:ascii="宋体" w:hAnsi="宋体" w:cs="宋体"/>
                <w:b/>
                <w:bCs/>
                <w:color w:val="000000"/>
                <w:sz w:val="22"/>
                <w:lang w:bidi="ar"/>
              </w:rPr>
            </w:pPr>
            <w:r>
              <w:rPr>
                <w:rFonts w:hint="eastAsia" w:ascii="宋体" w:hAnsi="宋体"/>
                <w:b/>
                <w:sz w:val="22"/>
              </w:rPr>
              <w:t>4、</w:t>
            </w:r>
            <w:r>
              <w:rPr>
                <w:rFonts w:hint="eastAsia" w:ascii="宋体" w:hAnsi="宋体" w:cs="宋体"/>
                <w:b/>
                <w:bCs/>
                <w:color w:val="000000"/>
                <w:sz w:val="22"/>
                <w:lang w:bidi="ar"/>
              </w:rPr>
              <w:t>电子加密投标文件的解密和异常情况处理：</w:t>
            </w:r>
          </w:p>
          <w:p w14:paraId="65ECE468">
            <w:pPr>
              <w:snapToGrid w:val="0"/>
              <w:rPr>
                <w:rFonts w:ascii="宋体" w:hAnsi="宋体"/>
                <w:sz w:val="22"/>
              </w:rPr>
            </w:pPr>
            <w:r>
              <w:rPr>
                <w:rFonts w:hint="eastAsia" w:ascii="宋体" w:hAnsi="宋体"/>
                <w:sz w:val="22"/>
              </w:rPr>
              <w:t>（1）开标后，采购组织机构将向各投标供应商发出“电子加密投标文件”的解密通知，各投标供应商代表应当在接到解密通知后30分钟内自行完成“电子加密投标文件”的在线解密。</w:t>
            </w:r>
          </w:p>
          <w:p w14:paraId="5F058CF7">
            <w:pPr>
              <w:snapToGrid w:val="0"/>
              <w:rPr>
                <w:rFonts w:ascii="宋体" w:hAnsi="宋体"/>
                <w:sz w:val="22"/>
              </w:rPr>
            </w:pPr>
            <w:r>
              <w:rPr>
                <w:rFonts w:hint="eastAsia" w:ascii="宋体" w:hAnsi="宋体"/>
                <w:sz w:val="22"/>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5DACD8D5">
            <w:pPr>
              <w:snapToGrid w:val="0"/>
              <w:rPr>
                <w:rFonts w:ascii="宋体"/>
                <w:sz w:val="18"/>
                <w:szCs w:val="18"/>
                <w:lang w:bidi="ar"/>
              </w:rPr>
            </w:pPr>
            <w:r>
              <w:rPr>
                <w:rFonts w:hint="eastAsia" w:ascii="宋体" w:hAnsi="宋体"/>
                <w:sz w:val="22"/>
              </w:rPr>
              <w:t>（3）投标截止时间前，投标供应商仅递交了“备份投标文件”而未将电子加密投标文件上传至“政府采购云平台”的，投标无效。</w:t>
            </w:r>
          </w:p>
        </w:tc>
      </w:tr>
      <w:tr w14:paraId="775F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823" w:type="dxa"/>
            <w:tcBorders>
              <w:left w:val="double" w:color="auto" w:sz="4" w:space="0"/>
              <w:bottom w:val="double" w:color="auto" w:sz="4" w:space="0"/>
            </w:tcBorders>
            <w:vAlign w:val="center"/>
          </w:tcPr>
          <w:p w14:paraId="3AB4064D">
            <w:pPr>
              <w:pStyle w:val="16"/>
              <w:adjustRightInd w:val="0"/>
              <w:snapToGrid w:val="0"/>
              <w:spacing w:before="0" w:line="300" w:lineRule="exact"/>
              <w:rPr>
                <w:rFonts w:ascii="宋体" w:hAnsi="宋体" w:cs="Times New Roman"/>
                <w:sz w:val="22"/>
                <w:szCs w:val="22"/>
              </w:rPr>
            </w:pPr>
            <w:r>
              <w:rPr>
                <w:rFonts w:hint="eastAsia" w:ascii="宋体" w:hAnsi="宋体" w:cs="Times New Roman"/>
                <w:sz w:val="22"/>
                <w:szCs w:val="22"/>
              </w:rPr>
              <w:t>备注</w:t>
            </w:r>
          </w:p>
        </w:tc>
        <w:tc>
          <w:tcPr>
            <w:tcW w:w="7708" w:type="dxa"/>
            <w:tcBorders>
              <w:bottom w:val="double" w:color="auto" w:sz="4" w:space="0"/>
              <w:right w:val="double" w:color="auto" w:sz="4" w:space="0"/>
            </w:tcBorders>
            <w:vAlign w:val="center"/>
          </w:tcPr>
          <w:p w14:paraId="054A281E">
            <w:pPr>
              <w:adjustRightInd w:val="0"/>
              <w:snapToGrid w:val="0"/>
              <w:spacing w:line="320" w:lineRule="exact"/>
              <w:ind w:firstLine="440" w:firstLineChars="200"/>
              <w:rPr>
                <w:rFonts w:ascii="宋体" w:hAnsi="宋体"/>
                <w:color w:val="000000"/>
                <w:sz w:val="22"/>
                <w:szCs w:val="22"/>
              </w:rPr>
            </w:pPr>
            <w:r>
              <w:rPr>
                <w:rFonts w:hint="eastAsia" w:ascii="宋体" w:hAnsi="宋体"/>
                <w:color w:val="000000"/>
                <w:sz w:val="22"/>
                <w:szCs w:val="22"/>
              </w:rPr>
              <w:t>如发现招标文件及其评标办法中存在含糊不清、相互矛盾、多种含义以及歧视性不公正条款或违法违规等内容时，请在规定的招标质疑截止时间前以书面形式向采购人和采购代理机构一次性提出针对同一采购程序环节的质疑，逾期不得再对招标文件的条款提出质疑。招标文件解释权归采购人及招标代理公司所有。</w:t>
            </w:r>
          </w:p>
        </w:tc>
      </w:tr>
    </w:tbl>
    <w:p w14:paraId="119BB96D">
      <w:pPr>
        <w:autoSpaceDE w:val="0"/>
        <w:autoSpaceDN w:val="0"/>
        <w:spacing w:line="440" w:lineRule="atLeast"/>
        <w:jc w:val="center"/>
        <w:textAlignment w:val="bottom"/>
        <w:outlineLvl w:val="0"/>
        <w:rPr>
          <w:rFonts w:ascii="宋体" w:hAnsi="宋体"/>
          <w:sz w:val="36"/>
        </w:rPr>
      </w:pPr>
      <w:r>
        <w:rPr>
          <w:rFonts w:hint="eastAsia" w:ascii="宋体" w:hAnsi="宋体"/>
          <w:sz w:val="36"/>
        </w:rPr>
        <w:br w:type="page"/>
      </w:r>
      <w:r>
        <w:rPr>
          <w:rFonts w:hint="eastAsia" w:ascii="宋体" w:hAnsi="宋体"/>
          <w:sz w:val="36"/>
        </w:rPr>
        <w:t>采购文件目录</w:t>
      </w:r>
    </w:p>
    <w:p w14:paraId="68C781A6">
      <w:pPr>
        <w:autoSpaceDE w:val="0"/>
        <w:autoSpaceDN w:val="0"/>
        <w:snapToGrid w:val="0"/>
        <w:spacing w:line="440" w:lineRule="atLeast"/>
        <w:textAlignment w:val="bottom"/>
        <w:rPr>
          <w:rFonts w:ascii="宋体" w:hAnsi="宋体"/>
          <w:sz w:val="28"/>
        </w:rPr>
      </w:pPr>
      <w:r>
        <w:rPr>
          <w:rFonts w:hint="eastAsia" w:ascii="宋体" w:hAnsi="宋体"/>
          <w:sz w:val="28"/>
        </w:rPr>
        <w:t xml:space="preserve"> </w:t>
      </w:r>
    </w:p>
    <w:p w14:paraId="062B412C">
      <w:pPr>
        <w:autoSpaceDE w:val="0"/>
        <w:autoSpaceDN w:val="0"/>
        <w:spacing w:line="440" w:lineRule="atLeast"/>
        <w:ind w:left="0" w:leftChars="0" w:firstLine="378" w:firstLineChars="172"/>
        <w:textAlignment w:val="bottom"/>
        <w:rPr>
          <w:rFonts w:hint="eastAsia"/>
          <w:color w:val="auto"/>
          <w:sz w:val="36"/>
          <w:highlight w:val="none"/>
        </w:rPr>
      </w:pPr>
      <w:r>
        <w:rPr>
          <w:rFonts w:hint="eastAsia"/>
          <w:color w:val="auto"/>
          <w:sz w:val="22"/>
          <w:szCs w:val="22"/>
          <w:highlight w:val="none"/>
        </w:rPr>
        <w:t>第一部分、项目简介</w:t>
      </w:r>
    </w:p>
    <w:p w14:paraId="226EDE12">
      <w:pPr>
        <w:autoSpaceDE w:val="0"/>
        <w:autoSpaceDN w:val="0"/>
        <w:snapToGrid w:val="0"/>
        <w:spacing w:line="440" w:lineRule="atLeast"/>
        <w:ind w:left="0" w:leftChars="0" w:firstLine="378" w:firstLineChars="172"/>
        <w:textAlignment w:val="bottom"/>
        <w:rPr>
          <w:rFonts w:hint="eastAsia"/>
          <w:color w:val="auto"/>
          <w:sz w:val="22"/>
          <w:szCs w:val="22"/>
          <w:highlight w:val="none"/>
        </w:rPr>
      </w:pPr>
      <w:r>
        <w:rPr>
          <w:rFonts w:hint="eastAsia"/>
          <w:color w:val="auto"/>
          <w:sz w:val="22"/>
          <w:szCs w:val="22"/>
          <w:highlight w:val="none"/>
        </w:rPr>
        <w:t>第二部分、招标内容及要求</w:t>
      </w:r>
    </w:p>
    <w:p w14:paraId="129CC944">
      <w:pPr>
        <w:autoSpaceDE w:val="0"/>
        <w:autoSpaceDN w:val="0"/>
        <w:snapToGrid w:val="0"/>
        <w:spacing w:line="440" w:lineRule="atLeast"/>
        <w:ind w:left="0" w:leftChars="0" w:firstLine="378" w:firstLineChars="172"/>
        <w:textAlignment w:val="bottom"/>
        <w:rPr>
          <w:rFonts w:hint="eastAsia"/>
          <w:color w:val="auto"/>
          <w:sz w:val="22"/>
          <w:szCs w:val="22"/>
          <w:highlight w:val="none"/>
        </w:rPr>
      </w:pPr>
      <w:r>
        <w:rPr>
          <w:rFonts w:hint="eastAsia"/>
          <w:color w:val="auto"/>
          <w:sz w:val="22"/>
          <w:szCs w:val="22"/>
          <w:highlight w:val="none"/>
        </w:rPr>
        <w:t>第三部分、供应商须知</w:t>
      </w:r>
    </w:p>
    <w:p w14:paraId="73552081">
      <w:pPr>
        <w:autoSpaceDE w:val="0"/>
        <w:autoSpaceDN w:val="0"/>
        <w:snapToGrid w:val="0"/>
        <w:spacing w:line="440" w:lineRule="atLeast"/>
        <w:ind w:left="0" w:leftChars="0" w:firstLine="378" w:firstLineChars="172"/>
        <w:textAlignment w:val="bottom"/>
        <w:rPr>
          <w:rFonts w:hint="eastAsia"/>
          <w:color w:val="auto"/>
          <w:sz w:val="22"/>
          <w:szCs w:val="22"/>
          <w:highlight w:val="none"/>
        </w:rPr>
      </w:pPr>
      <w:r>
        <w:rPr>
          <w:rFonts w:hint="eastAsia"/>
          <w:color w:val="auto"/>
          <w:sz w:val="22"/>
          <w:szCs w:val="22"/>
          <w:highlight w:val="none"/>
        </w:rPr>
        <w:t>第四部分、合同主要条款</w:t>
      </w:r>
    </w:p>
    <w:p w14:paraId="4ECF9FDE">
      <w:pPr>
        <w:autoSpaceDE w:val="0"/>
        <w:autoSpaceDN w:val="0"/>
        <w:snapToGrid w:val="0"/>
        <w:spacing w:line="440" w:lineRule="atLeast"/>
        <w:ind w:left="0" w:leftChars="0" w:firstLine="378" w:firstLineChars="172"/>
        <w:textAlignment w:val="bottom"/>
        <w:rPr>
          <w:rFonts w:hint="eastAsia" w:eastAsia="宋体"/>
          <w:color w:val="auto"/>
          <w:sz w:val="22"/>
          <w:szCs w:val="22"/>
          <w:highlight w:val="none"/>
          <w:lang w:eastAsia="zh-CN"/>
        </w:rPr>
      </w:pPr>
      <w:r>
        <w:rPr>
          <w:rFonts w:hint="eastAsia"/>
          <w:color w:val="auto"/>
          <w:sz w:val="22"/>
          <w:szCs w:val="22"/>
          <w:highlight w:val="none"/>
        </w:rPr>
        <w:t>第五部分、投标文件格式</w:t>
      </w:r>
    </w:p>
    <w:p w14:paraId="7953EF5C">
      <w:pPr>
        <w:autoSpaceDE w:val="0"/>
        <w:autoSpaceDN w:val="0"/>
        <w:snapToGrid w:val="0"/>
        <w:spacing w:line="440" w:lineRule="atLeast"/>
        <w:ind w:left="0" w:leftChars="0" w:firstLine="378" w:firstLineChars="172"/>
        <w:textAlignment w:val="bottom"/>
        <w:rPr>
          <w:rFonts w:hint="eastAsia"/>
          <w:color w:val="auto"/>
          <w:sz w:val="22"/>
          <w:szCs w:val="22"/>
          <w:highlight w:val="none"/>
        </w:rPr>
      </w:pPr>
      <w:r>
        <w:rPr>
          <w:rFonts w:hint="eastAsia"/>
          <w:color w:val="auto"/>
          <w:sz w:val="22"/>
          <w:szCs w:val="22"/>
          <w:highlight w:val="none"/>
        </w:rPr>
        <w:t>第六部分、评标办法</w:t>
      </w:r>
    </w:p>
    <w:p w14:paraId="29BA989E">
      <w:pPr>
        <w:autoSpaceDE w:val="0"/>
        <w:autoSpaceDN w:val="0"/>
        <w:snapToGrid w:val="0"/>
        <w:spacing w:line="440" w:lineRule="atLeast"/>
        <w:ind w:firstLine="440" w:firstLineChars="200"/>
        <w:textAlignment w:val="bottom"/>
        <w:rPr>
          <w:rFonts w:ascii="宋体" w:hAnsi="宋体"/>
          <w:color w:val="FF0000"/>
          <w:sz w:val="22"/>
          <w:szCs w:val="22"/>
        </w:rPr>
      </w:pPr>
      <w:r>
        <w:rPr>
          <w:rFonts w:hint="eastAsia" w:ascii="宋体" w:hAnsi="宋体"/>
          <w:color w:val="FF0000"/>
          <w:sz w:val="22"/>
          <w:szCs w:val="22"/>
        </w:rPr>
        <w:t xml:space="preserve"> </w:t>
      </w:r>
    </w:p>
    <w:p w14:paraId="0A4CF23B">
      <w:pPr>
        <w:autoSpaceDE w:val="0"/>
        <w:autoSpaceDN w:val="0"/>
        <w:snapToGrid w:val="0"/>
        <w:spacing w:line="440" w:lineRule="atLeast"/>
        <w:textAlignment w:val="bottom"/>
        <w:rPr>
          <w:rFonts w:ascii="宋体" w:hAnsi="宋体"/>
          <w:sz w:val="22"/>
          <w:szCs w:val="22"/>
        </w:rPr>
      </w:pPr>
    </w:p>
    <w:p w14:paraId="62725727">
      <w:pPr>
        <w:autoSpaceDE w:val="0"/>
        <w:autoSpaceDN w:val="0"/>
        <w:snapToGrid w:val="0"/>
        <w:spacing w:line="440" w:lineRule="atLeast"/>
        <w:ind w:firstLine="440" w:firstLineChars="200"/>
        <w:textAlignment w:val="bottom"/>
        <w:rPr>
          <w:rFonts w:ascii="宋体" w:hAnsi="宋体"/>
          <w:sz w:val="22"/>
          <w:szCs w:val="22"/>
          <w:u w:val="single"/>
        </w:rPr>
      </w:pPr>
      <w:r>
        <w:rPr>
          <w:rFonts w:hint="eastAsia" w:ascii="宋体" w:hAnsi="宋体"/>
          <w:sz w:val="22"/>
          <w:szCs w:val="22"/>
          <w:u w:val="single"/>
        </w:rPr>
        <w:t>注：采购文件中有的条款及要求以加粗、加下划线或符号★、▲的形式强调，这些特别强调的条款及内容有些是重要条款，供应商对重要条款的响应程度将作为评审工作的主要依据之一。</w:t>
      </w:r>
    </w:p>
    <w:p w14:paraId="2B684FF0">
      <w:pPr>
        <w:autoSpaceDE w:val="0"/>
        <w:autoSpaceDN w:val="0"/>
        <w:snapToGrid w:val="0"/>
        <w:spacing w:line="440" w:lineRule="atLeast"/>
        <w:ind w:firstLine="1665"/>
        <w:textAlignment w:val="bottom"/>
        <w:rPr>
          <w:rFonts w:ascii="宋体" w:hAnsi="宋体"/>
          <w:sz w:val="22"/>
          <w:szCs w:val="22"/>
        </w:rPr>
      </w:pPr>
    </w:p>
    <w:p w14:paraId="6D04CFB1">
      <w:pPr>
        <w:autoSpaceDE w:val="0"/>
        <w:autoSpaceDN w:val="0"/>
        <w:adjustRightInd w:val="0"/>
        <w:snapToGrid w:val="0"/>
        <w:spacing w:line="460" w:lineRule="exact"/>
        <w:jc w:val="center"/>
        <w:textAlignment w:val="bottom"/>
        <w:outlineLvl w:val="0"/>
        <w:rPr>
          <w:rFonts w:ascii="宋体" w:hAnsi="宋体"/>
          <w:b/>
          <w:sz w:val="36"/>
        </w:rPr>
      </w:pPr>
      <w:r>
        <w:rPr>
          <w:rFonts w:ascii="宋体" w:hAnsi="宋体"/>
          <w:b/>
          <w:sz w:val="36"/>
        </w:rPr>
        <w:br w:type="page"/>
      </w:r>
      <w:r>
        <w:rPr>
          <w:rFonts w:hint="eastAsia" w:ascii="宋体" w:hAnsi="宋体"/>
          <w:b/>
          <w:sz w:val="36"/>
        </w:rPr>
        <w:t>第一部分   项目简介</w:t>
      </w:r>
    </w:p>
    <w:p w14:paraId="06962A07">
      <w:pPr>
        <w:snapToGrid w:val="0"/>
        <w:spacing w:line="400" w:lineRule="exact"/>
        <w:ind w:firstLine="541" w:firstLineChars="246"/>
        <w:rPr>
          <w:rFonts w:ascii="宋体" w:hAnsi="宋体"/>
          <w:color w:val="000000"/>
          <w:sz w:val="22"/>
          <w:szCs w:val="22"/>
        </w:rPr>
      </w:pPr>
      <w:r>
        <w:rPr>
          <w:rFonts w:hint="eastAsia" w:ascii="宋体" w:hAnsi="宋体"/>
          <w:color w:val="000000"/>
          <w:sz w:val="22"/>
          <w:szCs w:val="22"/>
          <w:lang w:eastAsia="zh-CN"/>
        </w:rPr>
        <w:t>浙江明业项目管理有限公司</w:t>
      </w:r>
      <w:r>
        <w:rPr>
          <w:rFonts w:hint="eastAsia" w:ascii="宋体" w:hAnsi="宋体"/>
          <w:color w:val="000000"/>
          <w:sz w:val="22"/>
          <w:szCs w:val="22"/>
        </w:rPr>
        <w:t>受苍南县灵溪镇人民政府委托，对</w:t>
      </w:r>
      <w:r>
        <w:rPr>
          <w:rFonts w:hint="eastAsia" w:ascii="宋体" w:hAnsi="宋体"/>
          <w:b/>
          <w:bCs/>
          <w:color w:val="000000"/>
          <w:sz w:val="22"/>
          <w:szCs w:val="22"/>
          <w:lang w:eastAsia="zh-CN"/>
        </w:rPr>
        <w:t>苍南县灵溪镇2026年度除四害消杀服务采购项目</w:t>
      </w:r>
      <w:r>
        <w:rPr>
          <w:rFonts w:hint="eastAsia" w:ascii="宋体" w:hAnsi="宋体"/>
          <w:color w:val="000000"/>
          <w:sz w:val="22"/>
          <w:szCs w:val="22"/>
        </w:rPr>
        <w:t>进行公开招标采购，本次招标的资金已经落实。</w:t>
      </w:r>
      <w:r>
        <w:rPr>
          <w:rFonts w:hint="eastAsia" w:ascii="宋体" w:hAnsi="宋体"/>
          <w:sz w:val="22"/>
          <w:szCs w:val="22"/>
        </w:rPr>
        <w:t>欢迎有资格及能力的供应商参与投标</w:t>
      </w:r>
      <w:r>
        <w:rPr>
          <w:rFonts w:hint="eastAsia" w:ascii="宋体" w:hAnsi="宋体"/>
          <w:color w:val="000000"/>
          <w:sz w:val="22"/>
          <w:szCs w:val="22"/>
        </w:rPr>
        <w:t>。</w:t>
      </w:r>
    </w:p>
    <w:p w14:paraId="42D147F4">
      <w:pPr>
        <w:pStyle w:val="35"/>
        <w:rPr>
          <w:b/>
          <w:color w:val="000000"/>
        </w:rPr>
      </w:pPr>
      <w:bookmarkStart w:id="3" w:name="_Toc462304127"/>
      <w:r>
        <w:rPr>
          <w:rFonts w:hint="eastAsia"/>
          <w:b/>
          <w:color w:val="000000"/>
        </w:rPr>
        <w:t xml:space="preserve">第二部分 </w:t>
      </w:r>
      <w:r>
        <w:rPr>
          <w:rFonts w:hint="eastAsia"/>
          <w:b/>
          <w:color w:val="000000"/>
          <w:lang w:val="en-US" w:eastAsia="zh-CN"/>
        </w:rPr>
        <w:t xml:space="preserve">  </w:t>
      </w:r>
      <w:r>
        <w:rPr>
          <w:rFonts w:hint="eastAsia"/>
          <w:b/>
          <w:color w:val="000000"/>
        </w:rPr>
        <w:t>招标内容及要求</w:t>
      </w:r>
      <w:bookmarkEnd w:id="3"/>
    </w:p>
    <w:p w14:paraId="424F8A03">
      <w:pPr>
        <w:autoSpaceDE w:val="0"/>
        <w:autoSpaceDN w:val="0"/>
        <w:adjustRightInd w:val="0"/>
        <w:snapToGrid w:val="0"/>
        <w:spacing w:line="360" w:lineRule="auto"/>
        <w:textAlignment w:val="bottom"/>
        <w:outlineLvl w:val="1"/>
        <w:rPr>
          <w:rFonts w:ascii="宋体" w:hAnsi="宋体" w:cs="仿宋"/>
          <w:b/>
          <w:sz w:val="22"/>
          <w:szCs w:val="21"/>
        </w:rPr>
      </w:pPr>
      <w:r>
        <w:rPr>
          <w:rFonts w:hint="eastAsia" w:ascii="宋体" w:hAnsi="宋体" w:cs="仿宋"/>
          <w:b/>
          <w:sz w:val="22"/>
          <w:szCs w:val="21"/>
        </w:rPr>
        <w:t>一、总述</w:t>
      </w:r>
    </w:p>
    <w:p w14:paraId="3EE995C2">
      <w:pPr>
        <w:spacing w:line="480" w:lineRule="auto"/>
        <w:ind w:firstLine="389" w:firstLineChars="177"/>
        <w:rPr>
          <w:rFonts w:ascii="宋体" w:hAnsi="宋体" w:cs="仿宋"/>
          <w:sz w:val="22"/>
          <w:szCs w:val="21"/>
        </w:rPr>
      </w:pPr>
      <w:r>
        <w:rPr>
          <w:rFonts w:hint="eastAsia" w:ascii="宋体" w:hAnsi="宋体" w:cs="仿宋"/>
          <w:sz w:val="22"/>
          <w:szCs w:val="21"/>
        </w:rPr>
        <w:t>1、现场勘察：各标段投标人于投标截止时间前自行进行现场踏勘等活动，以获取本次投标所需的现场资料及数据，投标人若未到现场踏勘，引起的一切后果均由其自行负责，由此造成投标价的偏差均不予调整。现场踏勘费用自理。</w:t>
      </w:r>
    </w:p>
    <w:p w14:paraId="02A81C10">
      <w:pPr>
        <w:spacing w:line="480" w:lineRule="auto"/>
        <w:ind w:firstLine="389" w:firstLineChars="177"/>
        <w:rPr>
          <w:rFonts w:ascii="宋体" w:hAnsi="宋体" w:cs="仿宋"/>
          <w:sz w:val="22"/>
          <w:szCs w:val="21"/>
        </w:rPr>
      </w:pPr>
      <w:r>
        <w:rPr>
          <w:rFonts w:hint="eastAsia" w:ascii="宋体" w:hAnsi="宋体" w:cs="仿宋"/>
          <w:sz w:val="22"/>
          <w:szCs w:val="21"/>
        </w:rPr>
        <w:t>2、投标供应商必须根据自己的综合优势对此项目的全部内容进行投标，不得只投其中一部分内容。</w:t>
      </w:r>
    </w:p>
    <w:p w14:paraId="7392BE82">
      <w:pPr>
        <w:spacing w:line="480" w:lineRule="auto"/>
        <w:ind w:firstLine="389" w:firstLineChars="177"/>
        <w:rPr>
          <w:rFonts w:ascii="宋体" w:hAnsi="宋体" w:cs="仿宋"/>
          <w:sz w:val="22"/>
          <w:szCs w:val="21"/>
        </w:rPr>
      </w:pPr>
      <w:r>
        <w:rPr>
          <w:rFonts w:hint="eastAsia" w:ascii="宋体" w:hAnsi="宋体" w:cs="仿宋"/>
          <w:sz w:val="22"/>
          <w:szCs w:val="21"/>
        </w:rPr>
        <w:t>3、本次项目服务的标准、规范，应符合国家有关条例及规范。</w:t>
      </w:r>
    </w:p>
    <w:p w14:paraId="0D098D2E">
      <w:pPr>
        <w:spacing w:line="480" w:lineRule="auto"/>
        <w:ind w:firstLine="389" w:firstLineChars="177"/>
        <w:rPr>
          <w:rFonts w:ascii="宋体" w:hAnsi="宋体" w:cs="仿宋"/>
          <w:sz w:val="22"/>
          <w:szCs w:val="21"/>
        </w:rPr>
      </w:pPr>
      <w:r>
        <w:rPr>
          <w:rFonts w:hint="eastAsia" w:ascii="宋体" w:hAnsi="宋体" w:cs="仿宋"/>
          <w:sz w:val="22"/>
          <w:szCs w:val="21"/>
        </w:rPr>
        <w:t>4、在投标之前，投标供应商须仔细阅读招标文件，如发现有任何疑问、冲突或问题，投标供应商须在答疑截止时间前以书面形式向采购机构提出。逾期采购机构不再作答复，有关风险及责任由投标供应商自行承担。</w:t>
      </w:r>
    </w:p>
    <w:p w14:paraId="7339A441">
      <w:pPr>
        <w:spacing w:line="360" w:lineRule="auto"/>
        <w:ind w:firstLine="221" w:firstLineChars="100"/>
        <w:outlineLvl w:val="1"/>
        <w:rPr>
          <w:rFonts w:ascii="宋体" w:hAnsi="宋体" w:cs="宋体"/>
          <w:b/>
          <w:color w:val="000000"/>
          <w:sz w:val="22"/>
          <w:szCs w:val="22"/>
        </w:rPr>
      </w:pPr>
      <w:r>
        <w:rPr>
          <w:rFonts w:hint="eastAsia" w:ascii="宋体" w:hAnsi="宋体" w:cs="宋体"/>
          <w:b/>
          <w:color w:val="000000"/>
          <w:sz w:val="22"/>
          <w:szCs w:val="22"/>
        </w:rPr>
        <w:t>二、采购内容及要求</w:t>
      </w:r>
    </w:p>
    <w:p w14:paraId="239C8E24">
      <w:pPr>
        <w:spacing w:line="360" w:lineRule="auto"/>
        <w:ind w:firstLine="221" w:firstLineChars="100"/>
        <w:outlineLvl w:val="2"/>
        <w:rPr>
          <w:rFonts w:ascii="宋体" w:hAnsi="宋体" w:cs="宋体"/>
          <w:b/>
          <w:bCs/>
          <w:sz w:val="22"/>
          <w:szCs w:val="22"/>
        </w:rPr>
      </w:pPr>
      <w:r>
        <w:rPr>
          <w:rFonts w:hint="eastAsia" w:ascii="宋体" w:hAnsi="宋体" w:cs="宋体"/>
          <w:b/>
          <w:bCs/>
          <w:sz w:val="22"/>
          <w:szCs w:val="22"/>
        </w:rPr>
        <w:t>1、四害防制范围</w:t>
      </w:r>
      <w:r>
        <w:rPr>
          <w:rFonts w:hint="eastAsia" w:ascii="宋体" w:hAnsi="宋体" w:cs="宋体"/>
          <w:b/>
          <w:bCs/>
          <w:sz w:val="22"/>
          <w:szCs w:val="22"/>
          <w:lang w:eastAsia="zh-CN"/>
        </w:rPr>
        <w:t>、任务</w:t>
      </w:r>
      <w:r>
        <w:rPr>
          <w:rFonts w:hint="eastAsia" w:ascii="宋体" w:hAnsi="宋体" w:cs="宋体"/>
          <w:b/>
          <w:bCs/>
          <w:sz w:val="22"/>
          <w:szCs w:val="22"/>
        </w:rPr>
        <w:t>及场所</w:t>
      </w:r>
    </w:p>
    <w:p w14:paraId="00E0B1B3">
      <w:pPr>
        <w:spacing w:line="360" w:lineRule="auto"/>
        <w:ind w:firstLine="431" w:firstLineChars="196"/>
        <w:rPr>
          <w:rFonts w:hint="eastAsia"/>
          <w:lang w:eastAsia="zh-CN"/>
        </w:rPr>
      </w:pPr>
      <w:r>
        <w:rPr>
          <w:rFonts w:hint="eastAsia" w:ascii="宋体" w:hAnsi="宋体" w:cs="宋体"/>
          <w:sz w:val="22"/>
          <w:szCs w:val="22"/>
        </w:rPr>
        <w:t>“四害”消杀范围为苍南县灵溪镇建成区</w:t>
      </w:r>
      <w:r>
        <w:rPr>
          <w:rFonts w:hint="eastAsia" w:ascii="宋体" w:hAnsi="宋体" w:cs="宋体"/>
          <w:sz w:val="22"/>
          <w:szCs w:val="22"/>
          <w:lang w:eastAsia="zh-CN"/>
        </w:rPr>
        <w:t>西到水产市场（包括坝头村）</w:t>
      </w:r>
      <w:r>
        <w:rPr>
          <w:rFonts w:hint="eastAsia" w:ascii="宋体" w:hAnsi="宋体" w:cs="宋体"/>
          <w:sz w:val="22"/>
          <w:szCs w:val="22"/>
        </w:rPr>
        <w:t>、东到苍南大道、南到横阳支江(包括岩头村、垟贡村）、北到通福路（包括双益村、动车站、参茸市场）及外延500米区域</w:t>
      </w:r>
      <w:r>
        <w:rPr>
          <w:rFonts w:hint="eastAsia" w:ascii="宋体" w:hAnsi="宋体" w:cs="宋体"/>
          <w:sz w:val="22"/>
          <w:szCs w:val="22"/>
          <w:lang w:eastAsia="zh-CN"/>
        </w:rPr>
        <w:t>。包括</w:t>
      </w:r>
      <w:r>
        <w:rPr>
          <w:rFonts w:hint="eastAsia" w:ascii="宋体" w:hAnsi="宋体" w:cs="宋体"/>
          <w:sz w:val="22"/>
          <w:szCs w:val="22"/>
        </w:rPr>
        <w:t>江南新区（包括：灵溪镇文体中心、龙溪公园等）、余桥社区、2个除四害村（具体村以上级文件为准）</w:t>
      </w:r>
      <w:r>
        <w:rPr>
          <w:rFonts w:hint="eastAsia" w:ascii="宋体" w:hAnsi="宋体" w:cs="宋体"/>
          <w:sz w:val="22"/>
          <w:szCs w:val="22"/>
          <w:lang w:eastAsia="zh-CN"/>
        </w:rPr>
        <w:t>。无偿提供登革热等疫情突发时的消杀服务（不超过</w:t>
      </w:r>
      <w:r>
        <w:rPr>
          <w:rFonts w:hint="eastAsia" w:ascii="宋体" w:hAnsi="宋体" w:cs="宋体"/>
          <w:sz w:val="22"/>
          <w:szCs w:val="22"/>
          <w:lang w:val="en-US" w:eastAsia="zh-CN"/>
        </w:rPr>
        <w:t>15次</w:t>
      </w:r>
      <w:r>
        <w:rPr>
          <w:rFonts w:hint="eastAsia" w:ascii="宋体" w:hAnsi="宋体" w:cs="宋体"/>
          <w:sz w:val="22"/>
          <w:szCs w:val="22"/>
          <w:lang w:eastAsia="zh-CN"/>
        </w:rPr>
        <w:t>），免费提供卫生月活动四害药品。</w:t>
      </w:r>
    </w:p>
    <w:p w14:paraId="0E43B9E6">
      <w:pPr>
        <w:spacing w:line="360" w:lineRule="auto"/>
        <w:ind w:firstLine="440" w:firstLineChars="200"/>
        <w:rPr>
          <w:rFonts w:ascii="宋体" w:hAnsi="宋体" w:cs="宋体"/>
          <w:color w:val="FF0000"/>
          <w:sz w:val="22"/>
          <w:szCs w:val="22"/>
        </w:rPr>
      </w:pPr>
      <w:r>
        <w:rPr>
          <w:rFonts w:hint="eastAsia" w:ascii="宋体" w:hAnsi="宋体" w:cs="宋体"/>
          <w:sz w:val="22"/>
          <w:szCs w:val="22"/>
        </w:rPr>
        <w:t>包括：上述区域的公共外环境，包括居民房前屋后、公园、下水道、绿化带、水沟、闲置地、垃圾点、河道、阴明沟渠等；以及上述区域的各大农贸市场、五小行业、</w:t>
      </w:r>
      <w:r>
        <w:rPr>
          <w:rFonts w:hint="eastAsia" w:ascii="宋体" w:hAnsi="宋体" w:cs="宋体"/>
          <w:sz w:val="22"/>
          <w:szCs w:val="22"/>
          <w:lang w:val="en-US" w:eastAsia="zh-CN"/>
        </w:rPr>
        <w:t>4</w:t>
      </w:r>
      <w:r>
        <w:rPr>
          <w:rFonts w:hint="eastAsia" w:ascii="宋体" w:hAnsi="宋体" w:cs="宋体"/>
          <w:sz w:val="22"/>
          <w:szCs w:val="22"/>
        </w:rPr>
        <w:t>00家重点单位、垃圾中转站、公厕</w:t>
      </w:r>
      <w:r>
        <w:rPr>
          <w:rFonts w:hint="eastAsia" w:ascii="宋体" w:hAnsi="宋体" w:cs="宋体"/>
          <w:sz w:val="22"/>
          <w:szCs w:val="22"/>
          <w:lang w:eastAsia="zh-CN"/>
        </w:rPr>
        <w:t>等</w:t>
      </w:r>
      <w:r>
        <w:rPr>
          <w:rFonts w:hint="eastAsia" w:ascii="宋体" w:hAnsi="宋体" w:cs="宋体"/>
          <w:sz w:val="22"/>
          <w:szCs w:val="22"/>
        </w:rPr>
        <w:t>各种孳生“四害”的场所。</w:t>
      </w:r>
    </w:p>
    <w:p w14:paraId="4B9FC142">
      <w:pPr>
        <w:spacing w:line="360" w:lineRule="auto"/>
        <w:ind w:firstLine="221" w:firstLineChars="100"/>
        <w:outlineLvl w:val="2"/>
        <w:rPr>
          <w:rFonts w:ascii="宋体" w:hAnsi="宋体" w:cs="宋体"/>
          <w:b/>
          <w:bCs/>
          <w:sz w:val="22"/>
          <w:szCs w:val="22"/>
        </w:rPr>
      </w:pPr>
      <w:r>
        <w:rPr>
          <w:rFonts w:hint="eastAsia" w:ascii="宋体" w:hAnsi="宋体" w:cs="宋体"/>
          <w:b/>
          <w:bCs/>
          <w:sz w:val="22"/>
          <w:szCs w:val="22"/>
        </w:rPr>
        <w:t>2、四害防制标准及技术要求</w:t>
      </w:r>
      <w:bookmarkStart w:id="4" w:name="_Toc301419421"/>
    </w:p>
    <w:p w14:paraId="43F871C7">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规范开展病媒生物防制，落实各项措施，收到预期效果，提升国家卫生县城水平。</w:t>
      </w:r>
    </w:p>
    <w:p w14:paraId="0B4D4D65">
      <w:pPr>
        <w:spacing w:line="360" w:lineRule="auto"/>
        <w:outlineLvl w:val="3"/>
        <w:rPr>
          <w:rFonts w:ascii="宋体" w:hAnsi="宋体" w:cs="宋体"/>
          <w:sz w:val="22"/>
          <w:szCs w:val="22"/>
        </w:rPr>
      </w:pPr>
      <w:r>
        <w:rPr>
          <w:rFonts w:hint="eastAsia" w:ascii="宋体" w:hAnsi="宋体" w:cs="宋体"/>
          <w:sz w:val="22"/>
          <w:szCs w:val="22"/>
        </w:rPr>
        <w:t>（一）防制原则</w:t>
      </w:r>
    </w:p>
    <w:p w14:paraId="3FD53DED">
      <w:pPr>
        <w:spacing w:line="360" w:lineRule="auto"/>
        <w:ind w:firstLine="440" w:firstLineChars="200"/>
        <w:rPr>
          <w:rFonts w:ascii="宋体" w:hAnsi="宋体" w:cs="宋体"/>
          <w:sz w:val="22"/>
          <w:szCs w:val="22"/>
        </w:rPr>
      </w:pPr>
      <w:r>
        <w:rPr>
          <w:rFonts w:hint="eastAsia" w:ascii="宋体" w:hAnsi="宋体" w:cs="宋体"/>
          <w:sz w:val="22"/>
          <w:szCs w:val="22"/>
        </w:rPr>
        <w:t>采取以环境治理为主、化学杀灭为辅的综合防制措施。切实做好环境治理，设置防范设施，针对具体环境、具体害情实施药物杀灭，同时要利用四害在防制中的许多共性，把各项防制措施有机地结合起来，消除和控制四害的危害，达到求实高效的目的。</w:t>
      </w:r>
    </w:p>
    <w:p w14:paraId="09F8222F">
      <w:pPr>
        <w:spacing w:line="360" w:lineRule="auto"/>
        <w:outlineLvl w:val="3"/>
        <w:rPr>
          <w:rFonts w:ascii="宋体" w:hAnsi="宋体" w:cs="宋体"/>
          <w:sz w:val="22"/>
          <w:szCs w:val="22"/>
        </w:rPr>
      </w:pPr>
      <w:r>
        <w:rPr>
          <w:rFonts w:hint="eastAsia" w:ascii="宋体" w:hAnsi="宋体" w:cs="宋体"/>
          <w:sz w:val="22"/>
          <w:szCs w:val="22"/>
        </w:rPr>
        <w:t>（二）防制标准</w:t>
      </w:r>
    </w:p>
    <w:p w14:paraId="73159A8B">
      <w:pPr>
        <w:spacing w:line="360" w:lineRule="auto"/>
        <w:ind w:firstLine="440" w:firstLineChars="200"/>
        <w:rPr>
          <w:rFonts w:ascii="宋体" w:hAnsi="宋体" w:cs="宋体"/>
          <w:color w:val="0000FF"/>
          <w:sz w:val="22"/>
          <w:szCs w:val="22"/>
        </w:rPr>
      </w:pPr>
      <w:r>
        <w:rPr>
          <w:rFonts w:hint="eastAsia" w:ascii="宋体" w:hAnsi="宋体" w:cs="宋体"/>
          <w:color w:val="0000FF"/>
          <w:sz w:val="22"/>
          <w:szCs w:val="22"/>
        </w:rPr>
        <w:t>按照全爱卫发[2021]6号文件全国爱卫会关于印发《国家卫生镇评审管理办法》和《国家卫生城市和国家卫生县标准》《国家卫生乡镇标准》的通知及相关标准执行，四害密度控制水平达到国家C级以上标准。</w:t>
      </w:r>
    </w:p>
    <w:p w14:paraId="0A6BF5DF">
      <w:pPr>
        <w:spacing w:line="360" w:lineRule="auto"/>
        <w:outlineLvl w:val="3"/>
        <w:rPr>
          <w:rFonts w:ascii="宋体" w:hAnsi="宋体" w:cs="宋体"/>
          <w:sz w:val="22"/>
          <w:szCs w:val="22"/>
        </w:rPr>
      </w:pPr>
      <w:r>
        <w:rPr>
          <w:rFonts w:hint="eastAsia" w:ascii="宋体" w:hAnsi="宋体" w:cs="宋体"/>
          <w:sz w:val="22"/>
          <w:szCs w:val="22"/>
        </w:rPr>
        <w:t>（三）综合技术要求</w:t>
      </w:r>
    </w:p>
    <w:p w14:paraId="5F00C0F3">
      <w:pPr>
        <w:spacing w:line="360" w:lineRule="auto"/>
        <w:ind w:firstLine="220" w:firstLineChars="100"/>
        <w:rPr>
          <w:rFonts w:ascii="宋体" w:hAnsi="宋体" w:cs="宋体"/>
          <w:sz w:val="22"/>
          <w:szCs w:val="22"/>
        </w:rPr>
      </w:pPr>
      <w:r>
        <w:rPr>
          <w:rFonts w:hint="eastAsia" w:ascii="宋体" w:hAnsi="宋体" w:cs="宋体"/>
          <w:sz w:val="22"/>
          <w:szCs w:val="22"/>
        </w:rPr>
        <w:t>1、鼠类防制</w:t>
      </w:r>
    </w:p>
    <w:p w14:paraId="71D5F0DC">
      <w:pPr>
        <w:spacing w:line="360" w:lineRule="auto"/>
        <w:ind w:firstLine="440" w:firstLineChars="200"/>
        <w:rPr>
          <w:rFonts w:ascii="宋体" w:hAnsi="宋体" w:cs="宋体"/>
          <w:sz w:val="22"/>
          <w:szCs w:val="22"/>
        </w:rPr>
      </w:pPr>
      <w:r>
        <w:rPr>
          <w:rFonts w:hint="eastAsia" w:ascii="宋体" w:hAnsi="宋体" w:cs="宋体"/>
          <w:sz w:val="22"/>
          <w:szCs w:val="22"/>
        </w:rPr>
        <w:t>（1）鼠类孳生地治理</w:t>
      </w:r>
    </w:p>
    <w:p w14:paraId="3020C0F6">
      <w:pPr>
        <w:spacing w:line="360" w:lineRule="auto"/>
        <w:ind w:firstLine="440" w:firstLineChars="200"/>
        <w:rPr>
          <w:rFonts w:ascii="宋体" w:hAnsi="宋体" w:cs="宋体"/>
          <w:sz w:val="22"/>
          <w:szCs w:val="22"/>
        </w:rPr>
      </w:pPr>
      <w:r>
        <w:rPr>
          <w:rFonts w:hint="eastAsia" w:ascii="宋体" w:hAnsi="宋体" w:cs="宋体"/>
          <w:sz w:val="22"/>
          <w:szCs w:val="22"/>
        </w:rPr>
        <w:t>治理环境，减少食源、消除栖息场所，控制鼠类孳生。</w:t>
      </w:r>
    </w:p>
    <w:p w14:paraId="7449F371">
      <w:pPr>
        <w:spacing w:line="360" w:lineRule="auto"/>
        <w:ind w:firstLine="440" w:firstLineChars="200"/>
        <w:rPr>
          <w:rFonts w:ascii="宋体" w:hAnsi="宋体" w:cs="宋体"/>
          <w:sz w:val="22"/>
          <w:szCs w:val="22"/>
        </w:rPr>
      </w:pPr>
      <w:r>
        <w:rPr>
          <w:rFonts w:hint="eastAsia" w:ascii="宋体" w:hAnsi="宋体" w:cs="宋体"/>
          <w:sz w:val="22"/>
          <w:szCs w:val="22"/>
        </w:rPr>
        <w:t>（2）指导各相关单位完善防鼠设施完善防鼠设施</w:t>
      </w:r>
    </w:p>
    <w:p w14:paraId="232E5A73">
      <w:pPr>
        <w:spacing w:line="360" w:lineRule="auto"/>
        <w:ind w:firstLine="550" w:firstLineChars="250"/>
        <w:rPr>
          <w:rFonts w:ascii="宋体" w:hAnsi="宋体" w:cs="宋体"/>
          <w:sz w:val="22"/>
          <w:szCs w:val="22"/>
        </w:rPr>
      </w:pPr>
      <w:r>
        <w:rPr>
          <w:rFonts w:hint="eastAsia" w:ascii="宋体" w:hAnsi="宋体" w:cs="宋体"/>
          <w:sz w:val="22"/>
          <w:szCs w:val="22"/>
        </w:rPr>
        <w:t>①下水道、排水沟、通风口及通向室内的各种管道要加阀门和金属防鼠网（栏栅）、挡鼠板，网眼(栏栅条间距)小于0.6×0.6厘米，栏栅与下水道口边缝小于1.0厘米。</w:t>
      </w:r>
    </w:p>
    <w:p w14:paraId="5DEBD306">
      <w:pPr>
        <w:spacing w:line="360" w:lineRule="auto"/>
        <w:ind w:firstLine="550" w:firstLineChars="250"/>
        <w:rPr>
          <w:rFonts w:ascii="宋体" w:hAnsi="宋体" w:cs="宋体"/>
          <w:sz w:val="22"/>
          <w:szCs w:val="22"/>
        </w:rPr>
      </w:pPr>
      <w:r>
        <w:rPr>
          <w:rFonts w:hint="eastAsia" w:ascii="宋体" w:hAnsi="宋体" w:cs="宋体"/>
          <w:sz w:val="22"/>
          <w:szCs w:val="22"/>
        </w:rPr>
        <w:t>②门、窗：关闭良好，门缝小于0.6厘米；木质门外侧下方由地面起要镶嵌30厘米高的金属片；大型食品、粮食仓库的门应同时用光滑金属板安装60厘米高防鼠闸板。</w:t>
      </w:r>
    </w:p>
    <w:p w14:paraId="4F289363">
      <w:pPr>
        <w:spacing w:line="360" w:lineRule="auto"/>
        <w:ind w:firstLine="550" w:firstLineChars="250"/>
        <w:rPr>
          <w:rFonts w:ascii="宋体" w:hAnsi="宋体" w:cs="宋体"/>
          <w:sz w:val="22"/>
          <w:szCs w:val="22"/>
        </w:rPr>
      </w:pPr>
      <w:r>
        <w:rPr>
          <w:rFonts w:hint="eastAsia" w:ascii="宋体" w:hAnsi="宋体" w:cs="宋体"/>
          <w:sz w:val="22"/>
          <w:szCs w:val="22"/>
        </w:rPr>
        <w:t>③进出建筑物的煤气、电线、空调等的墙上孔洞（管道井）要用水泥堵塞密闭。</w:t>
      </w:r>
    </w:p>
    <w:p w14:paraId="2AA83698">
      <w:pPr>
        <w:spacing w:line="360" w:lineRule="auto"/>
        <w:ind w:firstLine="550" w:firstLineChars="250"/>
        <w:rPr>
          <w:rFonts w:ascii="宋体" w:hAnsi="宋体" w:cs="宋体"/>
          <w:sz w:val="22"/>
          <w:szCs w:val="22"/>
        </w:rPr>
      </w:pPr>
      <w:r>
        <w:rPr>
          <w:rFonts w:hint="eastAsia" w:ascii="宋体" w:hAnsi="宋体" w:cs="宋体"/>
          <w:sz w:val="22"/>
          <w:szCs w:val="22"/>
        </w:rPr>
        <w:t>④发现鼠情，使用粘鼠板、捕鼠笼、鼠夹等物理方法进行灭鼠。</w:t>
      </w:r>
    </w:p>
    <w:p w14:paraId="6DBBD0FC">
      <w:pPr>
        <w:spacing w:line="360" w:lineRule="auto"/>
        <w:ind w:firstLine="440" w:firstLineChars="200"/>
        <w:rPr>
          <w:rFonts w:ascii="宋体" w:hAnsi="宋体" w:cs="宋体"/>
          <w:sz w:val="22"/>
          <w:szCs w:val="22"/>
        </w:rPr>
      </w:pPr>
      <w:r>
        <w:rPr>
          <w:rFonts w:hint="eastAsia" w:ascii="宋体" w:hAnsi="宋体" w:cs="宋体"/>
          <w:sz w:val="22"/>
          <w:szCs w:val="22"/>
        </w:rPr>
        <w:t>（3）药物统一灭鼠</w:t>
      </w:r>
    </w:p>
    <w:p w14:paraId="4D354713">
      <w:pPr>
        <w:spacing w:line="360" w:lineRule="auto"/>
        <w:ind w:firstLine="550" w:firstLineChars="250"/>
        <w:rPr>
          <w:rFonts w:ascii="宋体" w:hAnsi="宋体" w:cs="宋体"/>
          <w:sz w:val="22"/>
          <w:szCs w:val="22"/>
        </w:rPr>
      </w:pPr>
      <w:r>
        <w:rPr>
          <w:rFonts w:hint="eastAsia" w:ascii="宋体" w:hAnsi="宋体" w:cs="宋体"/>
          <w:sz w:val="22"/>
          <w:szCs w:val="22"/>
        </w:rPr>
        <w:t>① 统一灭鼠季节</w:t>
      </w:r>
    </w:p>
    <w:p w14:paraId="6E4C4C7B">
      <w:pPr>
        <w:spacing w:line="360" w:lineRule="auto"/>
        <w:ind w:firstLine="550" w:firstLineChars="250"/>
        <w:rPr>
          <w:rFonts w:ascii="宋体" w:hAnsi="宋体" w:cs="宋体"/>
          <w:sz w:val="22"/>
          <w:szCs w:val="22"/>
        </w:rPr>
      </w:pPr>
      <w:r>
        <w:rPr>
          <w:rFonts w:hint="eastAsia" w:ascii="宋体" w:hAnsi="宋体" w:cs="宋体"/>
          <w:sz w:val="22"/>
          <w:szCs w:val="22"/>
        </w:rPr>
        <w:t>全镇统一灭鼠时间，根据市、县相关文件要求。</w:t>
      </w:r>
    </w:p>
    <w:p w14:paraId="20FC7256">
      <w:pPr>
        <w:spacing w:line="360" w:lineRule="auto"/>
        <w:ind w:firstLine="550" w:firstLineChars="250"/>
        <w:rPr>
          <w:rFonts w:ascii="宋体" w:hAnsi="宋体" w:cs="宋体"/>
          <w:sz w:val="22"/>
          <w:szCs w:val="22"/>
        </w:rPr>
      </w:pPr>
      <w:r>
        <w:rPr>
          <w:rFonts w:hint="eastAsia" w:ascii="宋体" w:hAnsi="宋体" w:cs="宋体"/>
          <w:sz w:val="22"/>
          <w:szCs w:val="22"/>
        </w:rPr>
        <w:t>② 鼠药</w:t>
      </w:r>
    </w:p>
    <w:p w14:paraId="1F0B55D0">
      <w:pPr>
        <w:spacing w:line="360" w:lineRule="auto"/>
        <w:ind w:firstLine="550" w:firstLineChars="250"/>
        <w:rPr>
          <w:rFonts w:ascii="宋体" w:hAnsi="宋体" w:cs="宋体"/>
          <w:sz w:val="22"/>
          <w:szCs w:val="22"/>
        </w:rPr>
      </w:pPr>
      <w:r>
        <w:rPr>
          <w:rFonts w:hint="eastAsia" w:ascii="宋体" w:hAnsi="宋体" w:cs="宋体"/>
          <w:sz w:val="22"/>
          <w:szCs w:val="22"/>
        </w:rPr>
        <w:t>品种和用途：</w:t>
      </w:r>
    </w:p>
    <w:p w14:paraId="448A5186">
      <w:pPr>
        <w:spacing w:line="360" w:lineRule="auto"/>
        <w:ind w:firstLine="550" w:firstLineChars="250"/>
        <w:rPr>
          <w:rFonts w:ascii="宋体" w:hAnsi="宋体" w:cs="宋体"/>
          <w:sz w:val="22"/>
          <w:szCs w:val="22"/>
        </w:rPr>
      </w:pPr>
      <w:r>
        <w:rPr>
          <w:rFonts w:hint="eastAsia" w:ascii="宋体" w:hAnsi="宋体" w:cs="宋体"/>
          <w:sz w:val="22"/>
          <w:szCs w:val="22"/>
        </w:rPr>
        <w:t>A、灭鼠饵剂：颗粒状，用于居民区、单位及外环境的毒鼠屋。</w:t>
      </w:r>
    </w:p>
    <w:p w14:paraId="39E6FDF3">
      <w:pPr>
        <w:spacing w:line="360" w:lineRule="auto"/>
        <w:ind w:firstLine="550" w:firstLineChars="250"/>
        <w:rPr>
          <w:rFonts w:ascii="宋体" w:hAnsi="宋体" w:cs="宋体"/>
          <w:sz w:val="22"/>
          <w:szCs w:val="22"/>
        </w:rPr>
      </w:pPr>
      <w:r>
        <w:rPr>
          <w:rFonts w:hint="eastAsia" w:ascii="宋体" w:hAnsi="宋体" w:cs="宋体"/>
          <w:sz w:val="22"/>
          <w:szCs w:val="22"/>
        </w:rPr>
        <w:t>B、灭鼠蜡块：块状，主要用于下水系统及易被雨水打湿的外环境，城乡结合部的防护带。</w:t>
      </w:r>
    </w:p>
    <w:p w14:paraId="3E67A526">
      <w:pPr>
        <w:spacing w:line="360" w:lineRule="auto"/>
        <w:ind w:firstLine="550" w:firstLineChars="250"/>
        <w:rPr>
          <w:rFonts w:hint="eastAsia" w:ascii="宋体" w:hAnsi="宋体" w:cs="宋体"/>
          <w:sz w:val="22"/>
          <w:szCs w:val="22"/>
        </w:rPr>
      </w:pPr>
      <w:r>
        <w:rPr>
          <w:rFonts w:hint="eastAsia" w:ascii="宋体" w:hAnsi="宋体" w:cs="宋体"/>
          <w:sz w:val="22"/>
          <w:szCs w:val="22"/>
        </w:rPr>
        <w:t>C、特殊场所在专业人员指导下，配</w:t>
      </w:r>
      <w:r>
        <w:rPr>
          <w:rFonts w:hint="eastAsia" w:ascii="宋体" w:hAnsi="宋体" w:cs="宋体"/>
          <w:sz w:val="22"/>
          <w:szCs w:val="22"/>
          <w:lang w:eastAsia="zh-CN"/>
        </w:rPr>
        <w:t>制</w:t>
      </w:r>
      <w:r>
        <w:rPr>
          <w:rFonts w:hint="eastAsia" w:ascii="宋体" w:hAnsi="宋体" w:cs="宋体"/>
          <w:sz w:val="22"/>
          <w:szCs w:val="22"/>
        </w:rPr>
        <w:t>毒水、新鲜水果毒饵等。</w:t>
      </w:r>
    </w:p>
    <w:p w14:paraId="550DA4D1">
      <w:pPr>
        <w:spacing w:line="360" w:lineRule="auto"/>
        <w:ind w:firstLine="550" w:firstLineChars="250"/>
        <w:rPr>
          <w:rFonts w:ascii="宋体" w:hAnsi="宋体" w:cs="宋体"/>
          <w:sz w:val="22"/>
          <w:szCs w:val="22"/>
        </w:rPr>
      </w:pPr>
      <w:r>
        <w:rPr>
          <w:rFonts w:hint="eastAsia" w:ascii="宋体" w:hAnsi="宋体" w:cs="宋体"/>
          <w:sz w:val="22"/>
          <w:szCs w:val="22"/>
        </w:rPr>
        <w:t>D、投放方法</w:t>
      </w:r>
    </w:p>
    <w:p w14:paraId="469A279D">
      <w:pPr>
        <w:spacing w:line="360" w:lineRule="auto"/>
        <w:ind w:firstLine="550" w:firstLineChars="250"/>
        <w:rPr>
          <w:rFonts w:ascii="宋体" w:hAnsi="宋体" w:cs="宋体"/>
          <w:sz w:val="22"/>
          <w:szCs w:val="22"/>
        </w:rPr>
      </w:pPr>
      <w:r>
        <w:rPr>
          <w:rFonts w:hint="eastAsia" w:ascii="宋体" w:hAnsi="宋体" w:cs="宋体"/>
          <w:sz w:val="22"/>
          <w:szCs w:val="22"/>
        </w:rPr>
        <w:t>颗粒毒饵延墙投放，投放点应干爽、隐蔽、容易被鼠觅食，做到全面、连续、足量投药，投药后连续三天查看盗食情况，对被盗食的，加倍补投。</w:t>
      </w:r>
    </w:p>
    <w:p w14:paraId="2AFCE512">
      <w:pPr>
        <w:spacing w:line="360" w:lineRule="auto"/>
        <w:ind w:firstLine="550" w:firstLineChars="250"/>
        <w:rPr>
          <w:rFonts w:ascii="宋体" w:hAnsi="宋体" w:cs="宋体"/>
          <w:sz w:val="22"/>
          <w:szCs w:val="22"/>
        </w:rPr>
      </w:pPr>
      <w:r>
        <w:rPr>
          <w:rFonts w:hint="eastAsia" w:ascii="宋体" w:hAnsi="宋体" w:cs="宋体"/>
          <w:sz w:val="22"/>
          <w:szCs w:val="22"/>
        </w:rPr>
        <w:t>③物理灭鼠</w:t>
      </w:r>
    </w:p>
    <w:p w14:paraId="61201599">
      <w:pPr>
        <w:spacing w:line="360" w:lineRule="auto"/>
        <w:ind w:firstLine="550" w:firstLineChars="250"/>
        <w:rPr>
          <w:rFonts w:ascii="宋体" w:hAnsi="宋体" w:cs="宋体"/>
          <w:sz w:val="22"/>
          <w:szCs w:val="22"/>
        </w:rPr>
      </w:pPr>
      <w:r>
        <w:rPr>
          <w:rFonts w:hint="eastAsia" w:ascii="宋体" w:hAnsi="宋体" w:cs="宋体"/>
          <w:sz w:val="22"/>
          <w:szCs w:val="22"/>
        </w:rPr>
        <w:t>不宜使用药物灭鼠的部位，如农贸市场等处，用粘鼠板物理方法灭鼠。</w:t>
      </w:r>
    </w:p>
    <w:p w14:paraId="1362E2BF">
      <w:pPr>
        <w:spacing w:line="360" w:lineRule="auto"/>
        <w:ind w:firstLine="220" w:firstLineChars="100"/>
        <w:rPr>
          <w:rFonts w:ascii="宋体" w:hAnsi="宋体" w:cs="宋体"/>
          <w:sz w:val="22"/>
          <w:szCs w:val="22"/>
        </w:rPr>
      </w:pPr>
      <w:r>
        <w:rPr>
          <w:rFonts w:hint="eastAsia" w:ascii="宋体" w:hAnsi="宋体" w:cs="宋体"/>
          <w:sz w:val="22"/>
          <w:szCs w:val="22"/>
        </w:rPr>
        <w:t>2、蚊类防制</w:t>
      </w:r>
    </w:p>
    <w:p w14:paraId="421D67BC">
      <w:pPr>
        <w:spacing w:line="360" w:lineRule="auto"/>
        <w:ind w:firstLine="550" w:firstLineChars="250"/>
        <w:rPr>
          <w:rFonts w:ascii="宋体" w:hAnsi="宋体" w:cs="宋体"/>
          <w:sz w:val="22"/>
          <w:szCs w:val="22"/>
        </w:rPr>
      </w:pPr>
      <w:r>
        <w:rPr>
          <w:rFonts w:hint="eastAsia" w:ascii="宋体" w:hAnsi="宋体" w:cs="宋体"/>
          <w:sz w:val="22"/>
          <w:szCs w:val="22"/>
        </w:rPr>
        <w:t>以治本清源、辅以防蚊灭蚊为原则。以环境治理为主，改变或消除蚊幼的孳生场所是最为有效和经济的蚊类长效控制方法。</w:t>
      </w:r>
    </w:p>
    <w:p w14:paraId="5F7EDD72">
      <w:pPr>
        <w:spacing w:line="360" w:lineRule="auto"/>
        <w:ind w:firstLine="440" w:firstLineChars="200"/>
        <w:rPr>
          <w:rFonts w:ascii="宋体" w:hAnsi="宋体" w:cs="宋体"/>
          <w:sz w:val="22"/>
          <w:szCs w:val="22"/>
        </w:rPr>
      </w:pPr>
      <w:r>
        <w:rPr>
          <w:rFonts w:hint="eastAsia" w:ascii="宋体" w:hAnsi="宋体" w:cs="宋体"/>
          <w:sz w:val="22"/>
          <w:szCs w:val="22"/>
        </w:rPr>
        <w:t>（1）环境治理</w:t>
      </w:r>
    </w:p>
    <w:p w14:paraId="1DF2DAFA">
      <w:pPr>
        <w:spacing w:line="360" w:lineRule="auto"/>
        <w:ind w:firstLine="550" w:firstLineChars="250"/>
        <w:rPr>
          <w:rFonts w:ascii="宋体" w:hAnsi="宋体" w:cs="宋体"/>
          <w:sz w:val="22"/>
          <w:szCs w:val="22"/>
        </w:rPr>
      </w:pPr>
      <w:r>
        <w:rPr>
          <w:rFonts w:hint="eastAsia" w:ascii="宋体" w:hAnsi="宋体" w:cs="宋体"/>
          <w:sz w:val="22"/>
          <w:szCs w:val="22"/>
        </w:rPr>
        <w:t>①早春协助街道政府组织人员，检查污水沟、污水塘、废水塘、洼地积水，登记孳生地,填平并硬化大街小巷路面坑洼。</w:t>
      </w:r>
    </w:p>
    <w:p w14:paraId="167B898F">
      <w:pPr>
        <w:spacing w:line="360" w:lineRule="auto"/>
        <w:ind w:firstLine="550" w:firstLineChars="250"/>
        <w:rPr>
          <w:rFonts w:ascii="宋体" w:hAnsi="宋体" w:cs="宋体"/>
          <w:sz w:val="22"/>
          <w:szCs w:val="22"/>
        </w:rPr>
      </w:pPr>
      <w:r>
        <w:rPr>
          <w:rFonts w:hint="eastAsia" w:ascii="宋体" w:hAnsi="宋体" w:cs="宋体"/>
          <w:sz w:val="22"/>
          <w:szCs w:val="22"/>
        </w:rPr>
        <w:t>②勘察并建议有关部门密封各种地下沟(井),采取其他措施防止蚊虫孳生。</w:t>
      </w:r>
    </w:p>
    <w:p w14:paraId="3C668A7D">
      <w:pPr>
        <w:spacing w:line="360" w:lineRule="auto"/>
        <w:ind w:firstLine="550" w:firstLineChars="250"/>
        <w:rPr>
          <w:rFonts w:ascii="宋体" w:hAnsi="宋体" w:cs="宋体"/>
          <w:sz w:val="22"/>
          <w:szCs w:val="22"/>
        </w:rPr>
      </w:pPr>
      <w:r>
        <w:rPr>
          <w:rFonts w:hint="eastAsia" w:ascii="宋体" w:hAnsi="宋体" w:cs="宋体"/>
          <w:sz w:val="22"/>
          <w:szCs w:val="22"/>
        </w:rPr>
        <w:t>③巡查并发动在作业区域内翻盆倒罐，清除各类小积水。</w:t>
      </w:r>
    </w:p>
    <w:p w14:paraId="244580EF">
      <w:pPr>
        <w:spacing w:line="360" w:lineRule="auto"/>
        <w:ind w:firstLine="550" w:firstLineChars="250"/>
        <w:rPr>
          <w:rFonts w:ascii="宋体" w:hAnsi="宋体" w:cs="宋体"/>
          <w:sz w:val="22"/>
          <w:szCs w:val="22"/>
        </w:rPr>
      </w:pPr>
      <w:r>
        <w:rPr>
          <w:rFonts w:hint="eastAsia" w:ascii="宋体" w:hAnsi="宋体" w:cs="宋体"/>
          <w:sz w:val="22"/>
          <w:szCs w:val="22"/>
        </w:rPr>
        <w:t>④宣传并协助加强孳生地管理，控制蚊幼虫：对不能清除的各类型积水，可采用加盖密封、5-7天换水一次，或放养鱼类、杀虫剂控制等方法。</w:t>
      </w:r>
    </w:p>
    <w:p w14:paraId="39FACFCA">
      <w:pPr>
        <w:spacing w:line="360" w:lineRule="auto"/>
        <w:ind w:firstLine="440" w:firstLineChars="200"/>
        <w:rPr>
          <w:rFonts w:ascii="宋体" w:hAnsi="宋体" w:cs="宋体"/>
          <w:sz w:val="22"/>
          <w:szCs w:val="22"/>
        </w:rPr>
      </w:pPr>
      <w:r>
        <w:rPr>
          <w:rFonts w:hint="eastAsia" w:ascii="宋体" w:hAnsi="宋体" w:cs="宋体"/>
          <w:sz w:val="22"/>
          <w:szCs w:val="22"/>
        </w:rPr>
        <w:t>（2）化学防制</w:t>
      </w:r>
    </w:p>
    <w:p w14:paraId="78548360">
      <w:pPr>
        <w:spacing w:line="360" w:lineRule="auto"/>
        <w:ind w:firstLine="550" w:firstLineChars="250"/>
        <w:rPr>
          <w:rFonts w:ascii="宋体" w:hAnsi="宋体" w:cs="宋体"/>
          <w:sz w:val="22"/>
          <w:szCs w:val="22"/>
        </w:rPr>
      </w:pPr>
      <w:r>
        <w:rPr>
          <w:rFonts w:hint="eastAsia" w:ascii="宋体" w:hAnsi="宋体" w:cs="宋体"/>
          <w:sz w:val="22"/>
          <w:szCs w:val="22"/>
        </w:rPr>
        <w:t>①化学杀虫剂杀灭蚊幼及蛹：</w:t>
      </w:r>
    </w:p>
    <w:p w14:paraId="0B08CE44">
      <w:pPr>
        <w:spacing w:line="360" w:lineRule="auto"/>
        <w:ind w:firstLine="550" w:firstLineChars="250"/>
        <w:rPr>
          <w:rFonts w:ascii="宋体" w:hAnsi="宋体" w:cs="宋体"/>
          <w:sz w:val="22"/>
          <w:szCs w:val="22"/>
        </w:rPr>
      </w:pPr>
      <w:r>
        <w:rPr>
          <w:rFonts w:hint="eastAsia" w:ascii="宋体" w:hAnsi="宋体" w:cs="宋体"/>
          <w:sz w:val="22"/>
          <w:szCs w:val="22"/>
        </w:rPr>
        <w:t>河道、池塘、雨水井窨井、下水道、建筑工地的积水、地下室抽水井等水体无法排除的，定期投放灭蚊蚴缓释剂。</w:t>
      </w:r>
    </w:p>
    <w:p w14:paraId="377D606B">
      <w:pPr>
        <w:spacing w:line="360" w:lineRule="auto"/>
        <w:ind w:firstLine="550" w:firstLineChars="250"/>
        <w:rPr>
          <w:rFonts w:ascii="宋体" w:hAnsi="宋体" w:cs="宋体"/>
          <w:sz w:val="22"/>
          <w:szCs w:val="22"/>
        </w:rPr>
      </w:pPr>
      <w:r>
        <w:rPr>
          <w:rFonts w:hint="eastAsia" w:ascii="宋体" w:hAnsi="宋体" w:cs="宋体"/>
          <w:sz w:val="22"/>
          <w:szCs w:val="22"/>
        </w:rPr>
        <w:t>②化学杀虫剂灭成蚊</w:t>
      </w:r>
    </w:p>
    <w:p w14:paraId="50DC999C">
      <w:pPr>
        <w:spacing w:line="360" w:lineRule="auto"/>
        <w:ind w:firstLine="550" w:firstLineChars="250"/>
        <w:rPr>
          <w:rFonts w:ascii="宋体" w:hAnsi="宋体" w:cs="宋体"/>
          <w:sz w:val="22"/>
          <w:szCs w:val="22"/>
        </w:rPr>
      </w:pPr>
      <w:r>
        <w:rPr>
          <w:rFonts w:hint="eastAsia" w:ascii="宋体" w:hAnsi="宋体" w:cs="宋体"/>
          <w:sz w:val="22"/>
          <w:szCs w:val="22"/>
        </w:rPr>
        <w:t>公共绿化带，河道，窨井，垃圾中转站，垃圾亭，垃圾桶，果壳箱，公厕，居民区楼道的公共环境的蚊虫，采用拟除虫菊酯类或有机磷类卫生杀虫剂进行喷杀。</w:t>
      </w:r>
    </w:p>
    <w:p w14:paraId="6AAEE431">
      <w:pPr>
        <w:spacing w:line="360" w:lineRule="auto"/>
        <w:ind w:firstLine="220" w:firstLineChars="100"/>
        <w:rPr>
          <w:rFonts w:ascii="宋体" w:hAnsi="宋体" w:cs="宋体"/>
          <w:sz w:val="22"/>
          <w:szCs w:val="22"/>
        </w:rPr>
      </w:pPr>
      <w:r>
        <w:rPr>
          <w:rFonts w:hint="eastAsia" w:ascii="宋体" w:hAnsi="宋体" w:cs="宋体"/>
          <w:sz w:val="22"/>
          <w:szCs w:val="22"/>
        </w:rPr>
        <w:t>3、蝇类防制</w:t>
      </w:r>
    </w:p>
    <w:p w14:paraId="7A36C5F0">
      <w:pPr>
        <w:spacing w:line="360" w:lineRule="auto"/>
        <w:ind w:firstLine="539" w:firstLineChars="245"/>
        <w:rPr>
          <w:rFonts w:ascii="宋体" w:hAnsi="宋体" w:cs="宋体"/>
          <w:sz w:val="22"/>
          <w:szCs w:val="22"/>
        </w:rPr>
      </w:pPr>
      <w:r>
        <w:rPr>
          <w:rFonts w:hint="eastAsia" w:ascii="宋体" w:hAnsi="宋体" w:cs="宋体"/>
          <w:sz w:val="22"/>
          <w:szCs w:val="22"/>
        </w:rPr>
        <w:t xml:space="preserve">（1）物理防制 </w:t>
      </w:r>
    </w:p>
    <w:p w14:paraId="6126BFBD">
      <w:pPr>
        <w:spacing w:line="360" w:lineRule="auto"/>
        <w:ind w:firstLine="550" w:firstLineChars="250"/>
        <w:rPr>
          <w:rFonts w:ascii="宋体" w:hAnsi="宋体" w:cs="宋体"/>
          <w:sz w:val="22"/>
          <w:szCs w:val="22"/>
        </w:rPr>
      </w:pPr>
      <w:r>
        <w:rPr>
          <w:rFonts w:hint="eastAsia" w:ascii="宋体" w:hAnsi="宋体" w:cs="宋体"/>
          <w:sz w:val="22"/>
          <w:szCs w:val="22"/>
        </w:rPr>
        <w:t>①农贸市场、垃圾中转站、公厕等重点场所使用诱蝇笼、粘蝇条诱杀苍蝇。</w:t>
      </w:r>
    </w:p>
    <w:p w14:paraId="2A8E8D4E">
      <w:pPr>
        <w:spacing w:line="360" w:lineRule="auto"/>
        <w:ind w:firstLine="550" w:firstLineChars="250"/>
        <w:rPr>
          <w:rFonts w:ascii="宋体" w:hAnsi="宋体" w:cs="宋体"/>
          <w:sz w:val="22"/>
          <w:szCs w:val="22"/>
        </w:rPr>
      </w:pPr>
      <w:r>
        <w:rPr>
          <w:rFonts w:hint="eastAsia" w:ascii="宋体" w:hAnsi="宋体" w:cs="宋体"/>
          <w:sz w:val="22"/>
          <w:szCs w:val="22"/>
        </w:rPr>
        <w:t>②五小行业规范安装、使用防制设施。指导食品生产经营单位餐饮单位 要按规定应有防蝇设施的场所，应完善防蝇设施；居民可在有食源的室内安装纱窗、纱门、纱罩，以防苍蝇进入。</w:t>
      </w:r>
    </w:p>
    <w:p w14:paraId="71C15CDF">
      <w:pPr>
        <w:spacing w:line="360" w:lineRule="auto"/>
        <w:ind w:firstLine="550" w:firstLineChars="250"/>
        <w:rPr>
          <w:rFonts w:ascii="宋体" w:hAnsi="宋体" w:cs="宋体"/>
          <w:sz w:val="22"/>
          <w:szCs w:val="22"/>
        </w:rPr>
      </w:pPr>
      <w:r>
        <w:rPr>
          <w:rFonts w:hint="eastAsia" w:ascii="宋体" w:hAnsi="宋体" w:cs="宋体"/>
          <w:sz w:val="22"/>
          <w:szCs w:val="22"/>
        </w:rPr>
        <w:t>（2）化学防制</w:t>
      </w:r>
    </w:p>
    <w:p w14:paraId="56331D52">
      <w:pPr>
        <w:spacing w:line="360" w:lineRule="auto"/>
        <w:ind w:firstLine="550" w:firstLineChars="250"/>
        <w:rPr>
          <w:rFonts w:ascii="宋体" w:hAnsi="宋体" w:cs="宋体"/>
          <w:sz w:val="22"/>
          <w:szCs w:val="22"/>
        </w:rPr>
      </w:pPr>
      <w:r>
        <w:rPr>
          <w:rFonts w:hint="eastAsia" w:ascii="宋体" w:hAnsi="宋体" w:cs="宋体"/>
          <w:sz w:val="22"/>
          <w:szCs w:val="22"/>
        </w:rPr>
        <w:t>提倡在室外菜场、垃圾收集点等特殊场所用毒饵灭蝇</w:t>
      </w:r>
    </w:p>
    <w:p w14:paraId="57580E89">
      <w:pPr>
        <w:spacing w:line="360" w:lineRule="auto"/>
        <w:ind w:firstLine="550" w:firstLineChars="250"/>
        <w:rPr>
          <w:rFonts w:ascii="宋体" w:hAnsi="宋体" w:cs="宋体"/>
          <w:sz w:val="22"/>
          <w:szCs w:val="22"/>
        </w:rPr>
      </w:pPr>
      <w:r>
        <w:rPr>
          <w:rFonts w:hint="eastAsia" w:ascii="宋体" w:hAnsi="宋体" w:cs="宋体"/>
          <w:sz w:val="22"/>
          <w:szCs w:val="22"/>
        </w:rPr>
        <w:t>①孳生场所管理：定期检查区域内可能孳生苍蝇的场所，发现蝇幼虫或蝇蛹，立即清理或施药毒杀。</w:t>
      </w:r>
    </w:p>
    <w:p w14:paraId="321FF5E2">
      <w:pPr>
        <w:spacing w:line="360" w:lineRule="auto"/>
        <w:ind w:firstLine="550" w:firstLineChars="250"/>
        <w:rPr>
          <w:rFonts w:ascii="宋体" w:hAnsi="宋体" w:cs="宋体"/>
          <w:sz w:val="22"/>
          <w:szCs w:val="22"/>
        </w:rPr>
      </w:pPr>
      <w:r>
        <w:rPr>
          <w:rFonts w:hint="eastAsia" w:ascii="宋体" w:hAnsi="宋体" w:cs="宋体"/>
          <w:sz w:val="22"/>
          <w:szCs w:val="22"/>
        </w:rPr>
        <w:t>②杀灭成蝇：室外灭蝇用有机磷杀虫剂和除虫菊及其复配液效果好；室内采用由多种高效低毒杀虫剂。</w:t>
      </w:r>
    </w:p>
    <w:p w14:paraId="233FCC60">
      <w:pPr>
        <w:spacing w:line="360" w:lineRule="auto"/>
        <w:ind w:firstLine="550" w:firstLineChars="250"/>
        <w:rPr>
          <w:rFonts w:ascii="宋体" w:hAnsi="宋体" w:cs="宋体"/>
          <w:sz w:val="22"/>
          <w:szCs w:val="22"/>
        </w:rPr>
      </w:pPr>
      <w:r>
        <w:rPr>
          <w:rFonts w:hint="eastAsia" w:ascii="宋体" w:hAnsi="宋体" w:cs="宋体"/>
          <w:sz w:val="22"/>
          <w:szCs w:val="22"/>
        </w:rPr>
        <w:t>（3）物理防制</w:t>
      </w:r>
    </w:p>
    <w:p w14:paraId="601D0A05">
      <w:pPr>
        <w:spacing w:line="360" w:lineRule="auto"/>
        <w:ind w:firstLine="550" w:firstLineChars="250"/>
        <w:rPr>
          <w:rFonts w:ascii="宋体" w:hAnsi="宋体" w:cs="宋体"/>
          <w:sz w:val="22"/>
          <w:szCs w:val="22"/>
        </w:rPr>
      </w:pPr>
      <w:r>
        <w:rPr>
          <w:rFonts w:hint="eastAsia" w:ascii="宋体" w:hAnsi="宋体" w:cs="宋体"/>
          <w:sz w:val="22"/>
          <w:szCs w:val="22"/>
        </w:rPr>
        <w:t>在饮食、食品加工、公共场所、居民住宅、垃圾收集点采用粘蝇条、诱蝇笼诱杀成蝇。</w:t>
      </w:r>
    </w:p>
    <w:p w14:paraId="40CA9BFB">
      <w:pPr>
        <w:spacing w:line="360" w:lineRule="auto"/>
        <w:ind w:firstLine="220" w:firstLineChars="100"/>
        <w:rPr>
          <w:rFonts w:ascii="宋体" w:hAnsi="宋体" w:cs="宋体"/>
          <w:sz w:val="22"/>
          <w:szCs w:val="22"/>
        </w:rPr>
      </w:pPr>
      <w:r>
        <w:rPr>
          <w:rFonts w:hint="eastAsia" w:ascii="宋体" w:hAnsi="宋体" w:cs="宋体"/>
          <w:sz w:val="22"/>
          <w:szCs w:val="22"/>
        </w:rPr>
        <w:t>4、蟑螂防制</w:t>
      </w:r>
    </w:p>
    <w:p w14:paraId="2B3D2441">
      <w:pPr>
        <w:spacing w:line="360" w:lineRule="auto"/>
        <w:ind w:firstLine="550" w:firstLineChars="250"/>
        <w:rPr>
          <w:rFonts w:ascii="宋体" w:hAnsi="宋体" w:cs="宋体"/>
          <w:sz w:val="22"/>
          <w:szCs w:val="22"/>
        </w:rPr>
      </w:pPr>
      <w:r>
        <w:rPr>
          <w:rFonts w:hint="eastAsia" w:ascii="宋体" w:hAnsi="宋体" w:cs="宋体"/>
          <w:sz w:val="22"/>
          <w:szCs w:val="22"/>
        </w:rPr>
        <w:t>（1）化学防制</w:t>
      </w:r>
    </w:p>
    <w:p w14:paraId="2FEBA9D8">
      <w:pPr>
        <w:spacing w:line="360" w:lineRule="auto"/>
        <w:ind w:firstLine="550" w:firstLineChars="250"/>
        <w:rPr>
          <w:rFonts w:ascii="宋体" w:hAnsi="宋体" w:cs="宋体"/>
          <w:sz w:val="22"/>
          <w:szCs w:val="22"/>
        </w:rPr>
      </w:pPr>
      <w:r>
        <w:rPr>
          <w:rFonts w:hint="eastAsia" w:ascii="宋体" w:hAnsi="宋体" w:cs="宋体"/>
          <w:sz w:val="22"/>
          <w:szCs w:val="22"/>
        </w:rPr>
        <w:t>①居民区、重点单位、一般单位、农贸市场等室内环境宜用乙酰甲胺磷、吡虫啉等为主要成份的灭蟑毒饵（颗粒剂、粉剂、胶剂）进行杀灭。</w:t>
      </w:r>
    </w:p>
    <w:p w14:paraId="4CA13DC9">
      <w:pPr>
        <w:spacing w:line="360" w:lineRule="auto"/>
        <w:ind w:firstLine="550" w:firstLineChars="250"/>
        <w:rPr>
          <w:rFonts w:ascii="宋体" w:hAnsi="宋体" w:cs="宋体"/>
          <w:sz w:val="22"/>
          <w:szCs w:val="22"/>
        </w:rPr>
      </w:pPr>
      <w:r>
        <w:rPr>
          <w:rFonts w:hint="eastAsia" w:ascii="宋体" w:hAnsi="宋体" w:cs="宋体"/>
          <w:sz w:val="22"/>
          <w:szCs w:val="22"/>
        </w:rPr>
        <w:t>②烟雾熏杀：密度高时可采用，要密闭主要用于仓库、垃圾箱、化粪池等场所。烟雾熏杀要特别注意安全操作，做好防火、防爆炸、防人中毒。</w:t>
      </w:r>
    </w:p>
    <w:p w14:paraId="298E6ABF">
      <w:pPr>
        <w:spacing w:line="360" w:lineRule="auto"/>
        <w:ind w:firstLine="550" w:firstLineChars="250"/>
        <w:rPr>
          <w:rFonts w:ascii="宋体" w:hAnsi="宋体" w:cs="宋体"/>
          <w:sz w:val="22"/>
          <w:szCs w:val="22"/>
        </w:rPr>
      </w:pPr>
      <w:r>
        <w:rPr>
          <w:rFonts w:hint="eastAsia" w:ascii="宋体" w:hAnsi="宋体" w:cs="宋体"/>
          <w:sz w:val="22"/>
          <w:szCs w:val="22"/>
        </w:rPr>
        <w:t>③ 社区周边、饭店宾馆周边的下水道、化粪池、垃圾通道等处使用热烟雾喷杀大蠊。</w:t>
      </w:r>
    </w:p>
    <w:p w14:paraId="59FF4F47">
      <w:pPr>
        <w:spacing w:line="360" w:lineRule="auto"/>
        <w:ind w:firstLine="550" w:firstLineChars="250"/>
        <w:rPr>
          <w:rFonts w:ascii="宋体" w:hAnsi="宋体" w:cs="宋体"/>
          <w:sz w:val="22"/>
          <w:szCs w:val="22"/>
        </w:rPr>
      </w:pPr>
      <w:r>
        <w:rPr>
          <w:rFonts w:hint="eastAsia" w:ascii="宋体" w:hAnsi="宋体" w:cs="宋体"/>
          <w:sz w:val="22"/>
          <w:szCs w:val="22"/>
        </w:rPr>
        <w:t>（2）物理防制</w:t>
      </w:r>
    </w:p>
    <w:p w14:paraId="02C043FD">
      <w:pPr>
        <w:spacing w:line="360" w:lineRule="auto"/>
        <w:ind w:firstLine="550" w:firstLineChars="250"/>
        <w:rPr>
          <w:rFonts w:ascii="宋体" w:hAnsi="宋体" w:cs="宋体"/>
          <w:sz w:val="22"/>
          <w:szCs w:val="22"/>
        </w:rPr>
      </w:pPr>
      <w:r>
        <w:rPr>
          <w:rFonts w:hint="eastAsia" w:ascii="宋体" w:hAnsi="宋体" w:cs="宋体"/>
          <w:sz w:val="22"/>
          <w:szCs w:val="22"/>
        </w:rPr>
        <w:t>用捕蟑盒、烫杀等方法杀灭蟑螂。密度高的可用吸尘器吸杀后，再用其它方法。</w:t>
      </w:r>
    </w:p>
    <w:p w14:paraId="31FD48C0">
      <w:pPr>
        <w:spacing w:line="360" w:lineRule="auto"/>
        <w:ind w:firstLine="420"/>
        <w:outlineLvl w:val="3"/>
        <w:rPr>
          <w:rFonts w:ascii="宋体" w:hAnsi="宋体" w:cs="宋体"/>
          <w:sz w:val="22"/>
          <w:szCs w:val="22"/>
        </w:rPr>
      </w:pPr>
      <w:r>
        <w:rPr>
          <w:rFonts w:hint="eastAsia" w:ascii="宋体" w:hAnsi="宋体" w:cs="宋体"/>
          <w:sz w:val="22"/>
          <w:szCs w:val="22"/>
        </w:rPr>
        <w:t>（四）技术要求</w:t>
      </w:r>
    </w:p>
    <w:p w14:paraId="760CF26D">
      <w:pPr>
        <w:spacing w:line="360" w:lineRule="auto"/>
        <w:ind w:firstLine="550" w:firstLineChars="250"/>
        <w:rPr>
          <w:rFonts w:ascii="宋体" w:hAnsi="宋体" w:cs="宋体"/>
          <w:sz w:val="22"/>
          <w:szCs w:val="22"/>
        </w:rPr>
      </w:pPr>
      <w:r>
        <w:rPr>
          <w:rFonts w:hint="eastAsia" w:ascii="宋体" w:hAnsi="宋体" w:cs="宋体"/>
          <w:sz w:val="22"/>
          <w:szCs w:val="22"/>
        </w:rPr>
        <w:t>1、坚持标本兼治、治本为主以及科学、有效、简便、安全、环保的原则，确保人和动物、植物的安全。</w:t>
      </w:r>
    </w:p>
    <w:p w14:paraId="65050C19">
      <w:pPr>
        <w:spacing w:line="360" w:lineRule="auto"/>
        <w:ind w:firstLine="550" w:firstLineChars="250"/>
        <w:rPr>
          <w:rFonts w:ascii="宋体" w:hAnsi="宋体" w:cs="宋体"/>
          <w:sz w:val="22"/>
          <w:szCs w:val="22"/>
        </w:rPr>
      </w:pPr>
      <w:r>
        <w:rPr>
          <w:rFonts w:hint="eastAsia" w:ascii="宋体" w:hAnsi="宋体" w:cs="宋体"/>
          <w:sz w:val="22"/>
          <w:szCs w:val="22"/>
        </w:rPr>
        <w:t>2、积极配合街道开展环境综合治理，坚持化学药物和环境治理、生物防制、物理防制相结合的综合防制措施。</w:t>
      </w:r>
    </w:p>
    <w:p w14:paraId="7AC4FF3E">
      <w:pPr>
        <w:spacing w:line="360" w:lineRule="auto"/>
        <w:ind w:firstLine="550" w:firstLineChars="250"/>
        <w:rPr>
          <w:rFonts w:ascii="宋体" w:hAnsi="宋体" w:cs="宋体"/>
          <w:sz w:val="22"/>
          <w:szCs w:val="22"/>
        </w:rPr>
      </w:pPr>
      <w:r>
        <w:rPr>
          <w:rFonts w:hint="eastAsia" w:ascii="宋体" w:hAnsi="宋体" w:cs="宋体"/>
          <w:sz w:val="22"/>
          <w:szCs w:val="22"/>
        </w:rPr>
        <w:t>3、防制工作制度化、操作规范化，坚持常年除害，重点突出。根据四害的季节消长和现场环境特点，因时、因地制宜，在高峰季节、重点场所强化防制的措施，把防制对象常年控制在标准要求之内。</w:t>
      </w:r>
    </w:p>
    <w:p w14:paraId="00113D62">
      <w:pPr>
        <w:spacing w:line="360" w:lineRule="auto"/>
        <w:ind w:firstLine="550" w:firstLineChars="250"/>
        <w:rPr>
          <w:rFonts w:ascii="宋体" w:hAnsi="宋体" w:cs="宋体"/>
          <w:sz w:val="22"/>
          <w:szCs w:val="22"/>
        </w:rPr>
      </w:pPr>
      <w:r>
        <w:rPr>
          <w:rFonts w:hint="eastAsia" w:ascii="宋体" w:hAnsi="宋体" w:cs="宋体"/>
          <w:sz w:val="22"/>
          <w:szCs w:val="22"/>
        </w:rPr>
        <w:t>4、在杀灭药物的选择上，坚持安全、环保、有效的原则，杜绝使用“三无”和违禁药物。</w:t>
      </w:r>
    </w:p>
    <w:p w14:paraId="27891C79">
      <w:pPr>
        <w:snapToGrid w:val="0"/>
        <w:spacing w:line="360" w:lineRule="auto"/>
        <w:outlineLvl w:val="1"/>
        <w:rPr>
          <w:rFonts w:ascii="宋体" w:hAnsi="宋体" w:cs="宋体"/>
          <w:b/>
          <w:bCs/>
          <w:sz w:val="22"/>
          <w:szCs w:val="22"/>
        </w:rPr>
      </w:pPr>
      <w:r>
        <w:rPr>
          <w:rFonts w:hint="eastAsia" w:ascii="宋体" w:hAnsi="宋体" w:cs="宋体"/>
          <w:b/>
          <w:bCs/>
          <w:sz w:val="22"/>
          <w:szCs w:val="22"/>
        </w:rPr>
        <w:t>三、商务条款</w:t>
      </w:r>
      <w:bookmarkEnd w:id="4"/>
    </w:p>
    <w:p w14:paraId="1291BB70">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▲3.1服务期从</w:t>
      </w:r>
      <w:r>
        <w:rPr>
          <w:rFonts w:hint="eastAsia" w:ascii="宋体" w:hAnsi="宋体" w:cs="宋体"/>
          <w:sz w:val="22"/>
          <w:szCs w:val="22"/>
          <w:lang w:eastAsia="zh-CN"/>
        </w:rPr>
        <w:t>合同</w:t>
      </w:r>
      <w:r>
        <w:rPr>
          <w:rFonts w:hint="eastAsia" w:ascii="宋体" w:hAnsi="宋体" w:cs="宋体"/>
          <w:sz w:val="22"/>
          <w:szCs w:val="22"/>
        </w:rPr>
        <w:t>签订之日起计算一年，之后定期开展维保至合同期满。</w:t>
      </w:r>
    </w:p>
    <w:p w14:paraId="36610F66">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3.2投标价格采用方式：固定总价承包。投标供应商的固定总价在合同执行期间固定不变，成交单位不得以任何理由予以变更，除非采购人提出的服务变更。</w:t>
      </w:r>
    </w:p>
    <w:p w14:paraId="752B473A">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3.3投标供应商根据采购人提供的采购货物数量、服务内容作出报价。</w:t>
      </w:r>
    </w:p>
    <w:p w14:paraId="45958A50">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3.4投标供应商的报价应为承包完成本次投标需完成全部工作所发生的所有费用，并承担一切风险责任。投标报价指到工地价，应包含：①货物费（含税）；②包装费、运输的损耗、运杂费、装卸费、保险费；③病媒防制设施的安装及维护费；④消杀服务和售后服务费用；⑤税金等。</w:t>
      </w:r>
    </w:p>
    <w:p w14:paraId="7EA534E5">
      <w:pPr>
        <w:tabs>
          <w:tab w:val="left" w:pos="284"/>
        </w:tabs>
        <w:spacing w:line="360" w:lineRule="auto"/>
        <w:ind w:firstLine="440" w:firstLineChars="200"/>
        <w:rPr>
          <w:rFonts w:ascii="宋体" w:hAnsi="宋体" w:cs="宋体"/>
          <w:color w:val="0000FF"/>
          <w:sz w:val="22"/>
          <w:szCs w:val="22"/>
        </w:rPr>
      </w:pPr>
      <w:r>
        <w:rPr>
          <w:rFonts w:hint="eastAsia" w:ascii="宋体" w:hAnsi="宋体" w:cs="宋体"/>
          <w:sz w:val="22"/>
          <w:szCs w:val="22"/>
        </w:rPr>
        <w:t>3.5</w:t>
      </w:r>
      <w:r>
        <w:rPr>
          <w:rFonts w:hint="eastAsia" w:ascii="宋体" w:hAnsi="宋体" w:cs="宋体"/>
          <w:color w:val="0000FF"/>
          <w:sz w:val="22"/>
          <w:szCs w:val="22"/>
        </w:rPr>
        <w:t>在满足性能技术要求的前提下，采购人可以根据实际情况和要求，对采购货物数量作适当的调整。引起承包总价变化，最终以中标</w:t>
      </w:r>
      <w:r>
        <w:rPr>
          <w:rFonts w:hint="eastAsia" w:ascii="宋体" w:hAnsi="宋体" w:cs="宋体"/>
          <w:color w:val="0000FF"/>
          <w:sz w:val="22"/>
          <w:szCs w:val="22"/>
          <w:lang w:val="en-US" w:eastAsia="zh-CN"/>
        </w:rPr>
        <w:t>供应商</w:t>
      </w:r>
      <w:r>
        <w:rPr>
          <w:rFonts w:hint="eastAsia" w:ascii="宋体" w:hAnsi="宋体" w:cs="宋体"/>
          <w:color w:val="0000FF"/>
          <w:sz w:val="22"/>
          <w:szCs w:val="22"/>
        </w:rPr>
        <w:t>实际供货数量并依据成交单价按实结算。</w:t>
      </w:r>
    </w:p>
    <w:p w14:paraId="74943740">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3.6第三方验收费用不计入报价中，费用由采购人支付给第三方验收单位。</w:t>
      </w:r>
    </w:p>
    <w:p w14:paraId="68BB81FC">
      <w:pPr>
        <w:tabs>
          <w:tab w:val="left" w:pos="9135"/>
        </w:tabs>
        <w:spacing w:line="360" w:lineRule="auto"/>
        <w:ind w:firstLine="440" w:firstLineChars="200"/>
        <w:rPr>
          <w:rFonts w:hint="eastAsia" w:ascii="宋体" w:hAnsi="宋体" w:cs="宋体"/>
          <w:b/>
          <w:bCs w:val="0"/>
          <w:sz w:val="22"/>
          <w:szCs w:val="22"/>
        </w:rPr>
      </w:pPr>
      <w:r>
        <w:rPr>
          <w:rFonts w:hint="eastAsia" w:ascii="宋体" w:hAnsi="宋体" w:cs="宋体"/>
          <w:sz w:val="22"/>
          <w:szCs w:val="22"/>
        </w:rPr>
        <w:t>▲</w:t>
      </w:r>
      <w:r>
        <w:rPr>
          <w:rFonts w:hint="eastAsia" w:ascii="宋体" w:hAnsi="宋体" w:cs="宋体"/>
          <w:b/>
          <w:bCs w:val="0"/>
          <w:sz w:val="22"/>
          <w:szCs w:val="22"/>
        </w:rPr>
        <w:t>3.7付款结算方式</w:t>
      </w:r>
    </w:p>
    <w:p w14:paraId="011722D3">
      <w:pPr>
        <w:spacing w:line="360" w:lineRule="auto"/>
        <w:ind w:firstLine="442" w:firstLineChars="200"/>
        <w:rPr>
          <w:rFonts w:ascii="宋体" w:hAnsi="宋体" w:cs="宋体"/>
          <w:b/>
          <w:sz w:val="22"/>
          <w:szCs w:val="22"/>
        </w:rPr>
      </w:pPr>
      <w:r>
        <w:rPr>
          <w:rFonts w:hint="eastAsia" w:ascii="宋体" w:hAnsi="宋体" w:cs="宋体"/>
          <w:b/>
          <w:sz w:val="22"/>
          <w:szCs w:val="22"/>
        </w:rPr>
        <w:t>1</w:t>
      </w:r>
      <w:r>
        <w:rPr>
          <w:rFonts w:hint="eastAsia" w:ascii="宋体" w:hAnsi="宋体" w:cs="宋体"/>
          <w:b/>
          <w:sz w:val="22"/>
          <w:szCs w:val="22"/>
          <w:lang w:val="en-US" w:eastAsia="zh-CN"/>
        </w:rPr>
        <w:t>.</w:t>
      </w:r>
      <w:r>
        <w:rPr>
          <w:rFonts w:hint="eastAsia" w:ascii="宋体" w:hAnsi="宋体" w:cs="宋体"/>
          <w:b/>
          <w:sz w:val="22"/>
          <w:szCs w:val="22"/>
          <w:lang w:eastAsia="zh-CN"/>
        </w:rPr>
        <w:t>合同签订以及具备实施条件后7个工作日内</w:t>
      </w:r>
      <w:r>
        <w:rPr>
          <w:rFonts w:hint="eastAsia" w:ascii="宋体" w:hAnsi="宋体" w:cs="宋体"/>
          <w:b/>
          <w:sz w:val="22"/>
          <w:szCs w:val="22"/>
        </w:rPr>
        <w:t>，</w:t>
      </w:r>
      <w:r>
        <w:rPr>
          <w:rFonts w:hint="eastAsia" w:ascii="宋体" w:hAnsi="宋体" w:cs="宋体"/>
          <w:b/>
          <w:sz w:val="22"/>
          <w:szCs w:val="22"/>
          <w:lang w:eastAsia="zh-CN"/>
        </w:rPr>
        <w:t>采购</w:t>
      </w:r>
      <w:r>
        <w:rPr>
          <w:rFonts w:hint="eastAsia" w:ascii="宋体" w:hAnsi="宋体" w:cs="宋体"/>
          <w:b/>
          <w:sz w:val="22"/>
          <w:szCs w:val="22"/>
          <w:lang w:val="en-US" w:eastAsia="zh-CN"/>
        </w:rPr>
        <w:t>人</w:t>
      </w:r>
      <w:r>
        <w:rPr>
          <w:rFonts w:hint="eastAsia" w:ascii="宋体" w:hAnsi="宋体" w:cs="宋体"/>
          <w:b/>
          <w:sz w:val="22"/>
          <w:szCs w:val="22"/>
          <w:lang w:eastAsia="zh-CN"/>
        </w:rPr>
        <w:t>支付合同价45%的预付款</w:t>
      </w:r>
      <w:r>
        <w:rPr>
          <w:rFonts w:hint="eastAsia" w:ascii="宋体" w:hAnsi="宋体" w:cs="宋体"/>
          <w:b/>
          <w:sz w:val="22"/>
          <w:szCs w:val="22"/>
        </w:rPr>
        <w:t>；</w:t>
      </w:r>
    </w:p>
    <w:p w14:paraId="7A6BC7B9">
      <w:pPr>
        <w:spacing w:line="360" w:lineRule="auto"/>
        <w:ind w:firstLine="442" w:firstLineChars="200"/>
        <w:rPr>
          <w:rFonts w:ascii="宋体" w:hAnsi="宋体" w:cs="宋体"/>
          <w:b/>
          <w:sz w:val="22"/>
          <w:szCs w:val="22"/>
        </w:rPr>
      </w:pPr>
      <w:r>
        <w:rPr>
          <w:rFonts w:hint="eastAsia" w:ascii="宋体" w:hAnsi="宋体" w:cs="宋体"/>
          <w:b/>
          <w:sz w:val="22"/>
          <w:szCs w:val="22"/>
        </w:rPr>
        <w:t>2</w:t>
      </w:r>
      <w:r>
        <w:rPr>
          <w:rFonts w:hint="eastAsia" w:ascii="宋体" w:hAnsi="宋体" w:cs="宋体"/>
          <w:b/>
          <w:sz w:val="22"/>
          <w:szCs w:val="22"/>
          <w:lang w:val="en-US" w:eastAsia="zh-CN"/>
        </w:rPr>
        <w:t>.</w:t>
      </w:r>
      <w:r>
        <w:rPr>
          <w:rFonts w:hint="eastAsia" w:ascii="宋体" w:hAnsi="宋体" w:cs="宋体"/>
          <w:b/>
          <w:sz w:val="22"/>
          <w:szCs w:val="22"/>
          <w:lang w:eastAsia="zh-CN"/>
        </w:rPr>
        <w:t>在合同签订并服务满</w:t>
      </w:r>
      <w:r>
        <w:rPr>
          <w:rFonts w:hint="eastAsia" w:ascii="宋体" w:hAnsi="宋体" w:cs="宋体"/>
          <w:b/>
          <w:sz w:val="22"/>
          <w:szCs w:val="22"/>
          <w:lang w:val="en-US" w:eastAsia="zh-CN"/>
        </w:rPr>
        <w:t>3个月后，其服务质量</w:t>
      </w:r>
      <w:r>
        <w:rPr>
          <w:rFonts w:hint="eastAsia" w:ascii="宋体" w:hAnsi="宋体" w:cs="宋体"/>
          <w:b/>
          <w:sz w:val="22"/>
          <w:szCs w:val="22"/>
        </w:rPr>
        <w:t>通过了第三方评估机构出具的合格报告</w:t>
      </w:r>
      <w:r>
        <w:rPr>
          <w:rFonts w:hint="eastAsia" w:ascii="宋体" w:hAnsi="宋体" w:cs="宋体"/>
          <w:b/>
          <w:sz w:val="22"/>
          <w:szCs w:val="22"/>
          <w:lang w:eastAsia="zh-CN"/>
        </w:rPr>
        <w:t>且获得</w:t>
      </w:r>
      <w:r>
        <w:rPr>
          <w:rFonts w:hint="eastAsia" w:ascii="宋体" w:hAnsi="宋体" w:cs="宋体"/>
          <w:b/>
          <w:sz w:val="22"/>
          <w:szCs w:val="22"/>
          <w:lang w:val="en-US" w:eastAsia="zh-CN"/>
        </w:rPr>
        <w:t>采购人</w:t>
      </w:r>
      <w:r>
        <w:rPr>
          <w:rFonts w:hint="eastAsia" w:ascii="宋体" w:hAnsi="宋体" w:cs="宋体"/>
          <w:b/>
          <w:sz w:val="22"/>
          <w:szCs w:val="22"/>
          <w:lang w:eastAsia="zh-CN"/>
        </w:rPr>
        <w:t>同意</w:t>
      </w:r>
      <w:r>
        <w:rPr>
          <w:rFonts w:hint="eastAsia" w:ascii="宋体" w:hAnsi="宋体" w:cs="宋体"/>
          <w:b/>
          <w:sz w:val="22"/>
          <w:szCs w:val="22"/>
        </w:rPr>
        <w:t>后，</w:t>
      </w:r>
      <w:r>
        <w:rPr>
          <w:rFonts w:hint="eastAsia" w:ascii="宋体" w:hAnsi="宋体" w:cs="宋体"/>
          <w:b/>
          <w:sz w:val="22"/>
          <w:szCs w:val="22"/>
          <w:lang w:val="en-US" w:eastAsia="zh-CN"/>
        </w:rPr>
        <w:t>采购人</w:t>
      </w:r>
      <w:r>
        <w:rPr>
          <w:rFonts w:hint="eastAsia" w:ascii="宋体" w:hAnsi="宋体" w:cs="宋体"/>
          <w:b/>
          <w:sz w:val="22"/>
          <w:szCs w:val="22"/>
        </w:rPr>
        <w:t>支付合同</w:t>
      </w:r>
      <w:r>
        <w:rPr>
          <w:rFonts w:hint="eastAsia" w:ascii="宋体" w:hAnsi="宋体" w:cs="宋体"/>
          <w:b/>
          <w:sz w:val="22"/>
          <w:szCs w:val="22"/>
          <w:lang w:eastAsia="zh-CN"/>
        </w:rPr>
        <w:t>总</w:t>
      </w:r>
      <w:r>
        <w:rPr>
          <w:rFonts w:hint="eastAsia" w:ascii="宋体" w:hAnsi="宋体" w:cs="宋体"/>
          <w:b/>
          <w:sz w:val="22"/>
          <w:szCs w:val="22"/>
        </w:rPr>
        <w:t>价</w:t>
      </w:r>
      <w:r>
        <w:rPr>
          <w:rFonts w:hint="eastAsia" w:ascii="宋体" w:hAnsi="宋体" w:cs="宋体"/>
          <w:b/>
          <w:sz w:val="22"/>
          <w:szCs w:val="22"/>
          <w:lang w:eastAsia="zh-CN"/>
        </w:rPr>
        <w:t>的</w:t>
      </w:r>
      <w:r>
        <w:rPr>
          <w:rFonts w:hint="eastAsia" w:ascii="宋体" w:hAnsi="宋体" w:cs="宋体"/>
          <w:b/>
          <w:sz w:val="22"/>
          <w:szCs w:val="22"/>
        </w:rPr>
        <w:t>15%款项；</w:t>
      </w:r>
    </w:p>
    <w:p w14:paraId="3115CC96">
      <w:pPr>
        <w:spacing w:line="360" w:lineRule="auto"/>
        <w:ind w:firstLine="442" w:firstLineChars="200"/>
        <w:rPr>
          <w:rFonts w:ascii="宋体" w:hAnsi="宋体" w:cs="宋体"/>
          <w:b/>
          <w:sz w:val="22"/>
          <w:szCs w:val="22"/>
        </w:rPr>
      </w:pPr>
      <w:r>
        <w:rPr>
          <w:rFonts w:hint="eastAsia" w:ascii="宋体" w:hAnsi="宋体" w:cs="宋体"/>
          <w:b/>
          <w:sz w:val="22"/>
          <w:szCs w:val="22"/>
        </w:rPr>
        <w:t>3</w:t>
      </w:r>
      <w:r>
        <w:rPr>
          <w:rFonts w:hint="eastAsia" w:ascii="宋体" w:hAnsi="宋体" w:cs="宋体"/>
          <w:b/>
          <w:sz w:val="22"/>
          <w:szCs w:val="22"/>
          <w:lang w:val="en-US" w:eastAsia="zh-CN"/>
        </w:rPr>
        <w:t>.</w:t>
      </w:r>
      <w:r>
        <w:rPr>
          <w:rFonts w:hint="eastAsia" w:ascii="宋体" w:hAnsi="宋体" w:cs="宋体"/>
          <w:b/>
          <w:sz w:val="22"/>
          <w:szCs w:val="22"/>
        </w:rPr>
        <w:t>在服务</w:t>
      </w:r>
      <w:r>
        <w:rPr>
          <w:rFonts w:hint="eastAsia" w:ascii="宋体" w:hAnsi="宋体" w:cs="宋体"/>
          <w:b/>
          <w:sz w:val="22"/>
          <w:szCs w:val="22"/>
          <w:lang w:eastAsia="zh-CN"/>
        </w:rPr>
        <w:t>第</w:t>
      </w:r>
      <w:r>
        <w:rPr>
          <w:rFonts w:hint="eastAsia" w:ascii="宋体" w:hAnsi="宋体" w:cs="宋体"/>
          <w:b/>
          <w:sz w:val="22"/>
          <w:szCs w:val="22"/>
          <w:lang w:val="en-US" w:eastAsia="zh-CN"/>
        </w:rPr>
        <w:t>4个月开始至服务期满后</w:t>
      </w:r>
      <w:r>
        <w:rPr>
          <w:rFonts w:hint="eastAsia" w:ascii="宋体" w:hAnsi="宋体" w:cs="宋体"/>
          <w:b/>
          <w:sz w:val="22"/>
          <w:szCs w:val="22"/>
          <w:lang w:eastAsia="zh-CN"/>
        </w:rPr>
        <w:t>，</w:t>
      </w:r>
      <w:r>
        <w:rPr>
          <w:rFonts w:hint="eastAsia" w:ascii="宋体" w:hAnsi="宋体" w:cs="宋体"/>
          <w:b/>
          <w:sz w:val="22"/>
          <w:szCs w:val="22"/>
          <w:lang w:val="en-US" w:eastAsia="zh-CN"/>
        </w:rPr>
        <w:t>其服务质量</w:t>
      </w:r>
      <w:r>
        <w:rPr>
          <w:rFonts w:hint="eastAsia" w:ascii="宋体" w:hAnsi="宋体" w:cs="宋体"/>
          <w:b/>
          <w:sz w:val="22"/>
          <w:szCs w:val="22"/>
        </w:rPr>
        <w:t>通过了第三方评估机构出具的合格报告</w:t>
      </w:r>
      <w:r>
        <w:rPr>
          <w:rFonts w:hint="eastAsia" w:ascii="宋体" w:hAnsi="宋体" w:cs="宋体"/>
          <w:b/>
          <w:sz w:val="22"/>
          <w:szCs w:val="22"/>
          <w:lang w:eastAsia="zh-CN"/>
        </w:rPr>
        <w:t>且获得</w:t>
      </w:r>
      <w:r>
        <w:rPr>
          <w:rFonts w:hint="eastAsia" w:ascii="宋体" w:hAnsi="宋体" w:cs="宋体"/>
          <w:b/>
          <w:sz w:val="22"/>
          <w:szCs w:val="22"/>
          <w:lang w:val="en-US" w:eastAsia="zh-CN"/>
        </w:rPr>
        <w:t>采购人</w:t>
      </w:r>
      <w:r>
        <w:rPr>
          <w:rFonts w:hint="eastAsia" w:ascii="宋体" w:hAnsi="宋体" w:cs="宋体"/>
          <w:b/>
          <w:sz w:val="22"/>
          <w:szCs w:val="22"/>
          <w:lang w:eastAsia="zh-CN"/>
        </w:rPr>
        <w:t>同意</w:t>
      </w:r>
      <w:r>
        <w:rPr>
          <w:rFonts w:hint="eastAsia" w:ascii="宋体" w:hAnsi="宋体" w:cs="宋体"/>
          <w:b/>
          <w:sz w:val="22"/>
          <w:szCs w:val="22"/>
        </w:rPr>
        <w:t>后，</w:t>
      </w:r>
      <w:r>
        <w:rPr>
          <w:rFonts w:hint="eastAsia" w:ascii="宋体" w:hAnsi="宋体" w:cs="宋体"/>
          <w:b/>
          <w:sz w:val="22"/>
          <w:szCs w:val="22"/>
          <w:lang w:val="en-US" w:eastAsia="zh-CN"/>
        </w:rPr>
        <w:t>采购人</w:t>
      </w:r>
      <w:r>
        <w:rPr>
          <w:rFonts w:hint="eastAsia" w:ascii="宋体" w:hAnsi="宋体" w:cs="宋体"/>
          <w:b/>
          <w:sz w:val="22"/>
          <w:szCs w:val="22"/>
        </w:rPr>
        <w:t>支付合同</w:t>
      </w:r>
      <w:r>
        <w:rPr>
          <w:rFonts w:hint="eastAsia" w:ascii="宋体" w:hAnsi="宋体" w:cs="宋体"/>
          <w:b/>
          <w:sz w:val="22"/>
          <w:szCs w:val="22"/>
          <w:lang w:eastAsia="zh-CN"/>
        </w:rPr>
        <w:t>总</w:t>
      </w:r>
      <w:r>
        <w:rPr>
          <w:rFonts w:hint="eastAsia" w:ascii="宋体" w:hAnsi="宋体" w:cs="宋体"/>
          <w:b/>
          <w:sz w:val="22"/>
          <w:szCs w:val="22"/>
        </w:rPr>
        <w:t>价40%款项。</w:t>
      </w:r>
    </w:p>
    <w:p w14:paraId="55028370">
      <w:pPr>
        <w:spacing w:before="120" w:beforeLines="50" w:after="50" w:line="360" w:lineRule="auto"/>
        <w:outlineLvl w:val="1"/>
        <w:rPr>
          <w:rFonts w:ascii="宋体" w:hAnsi="宋体" w:cs="宋体"/>
          <w:b/>
          <w:bCs/>
          <w:sz w:val="22"/>
          <w:szCs w:val="22"/>
        </w:rPr>
      </w:pPr>
      <w:r>
        <w:rPr>
          <w:rFonts w:hint="eastAsia" w:ascii="宋体" w:hAnsi="宋体" w:cs="宋体"/>
          <w:b/>
          <w:bCs/>
          <w:sz w:val="22"/>
          <w:szCs w:val="22"/>
        </w:rPr>
        <w:t>四、其它要求</w:t>
      </w:r>
    </w:p>
    <w:p w14:paraId="3C7BA80D">
      <w:pPr>
        <w:spacing w:line="360" w:lineRule="auto"/>
        <w:ind w:firstLine="440" w:firstLineChars="200"/>
        <w:rPr>
          <w:rFonts w:ascii="宋体" w:hAnsi="宋体" w:cs="宋体"/>
          <w:sz w:val="22"/>
          <w:szCs w:val="22"/>
        </w:rPr>
      </w:pPr>
      <w:r>
        <w:rPr>
          <w:rFonts w:hint="eastAsia" w:ascii="宋体" w:hAnsi="宋体" w:cs="宋体"/>
          <w:sz w:val="22"/>
          <w:szCs w:val="22"/>
        </w:rPr>
        <w:t>注：本年度为国家卫生县城</w:t>
      </w:r>
      <w:r>
        <w:rPr>
          <w:rFonts w:hint="eastAsia" w:ascii="宋体" w:hAnsi="宋体" w:cs="宋体"/>
          <w:sz w:val="22"/>
          <w:szCs w:val="22"/>
          <w:lang w:eastAsia="zh-CN"/>
        </w:rPr>
        <w:t>巩固之</w:t>
      </w:r>
      <w:r>
        <w:rPr>
          <w:rFonts w:hint="eastAsia" w:ascii="宋体" w:hAnsi="宋体" w:cs="宋体"/>
          <w:sz w:val="22"/>
          <w:szCs w:val="22"/>
        </w:rPr>
        <w:t>年，对“四害”消杀防制工作的次数及效果要求不确定，投标人需综合考虑其情况。</w:t>
      </w:r>
    </w:p>
    <w:p w14:paraId="4341538D">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highlight w:val="none"/>
        </w:rPr>
        <w:t>1</w:t>
      </w:r>
      <w:r>
        <w:rPr>
          <w:rFonts w:hint="eastAsia" w:ascii="仿宋" w:hAnsi="仿宋" w:eastAsia="仿宋" w:cs="仿宋"/>
          <w:color w:val="0000FF"/>
          <w:sz w:val="24"/>
          <w:szCs w:val="24"/>
        </w:rPr>
        <w:t>、考核要求：</w:t>
      </w:r>
    </w:p>
    <w:p w14:paraId="5312E7C5">
      <w:pPr>
        <w:pStyle w:val="186"/>
        <w:numPr>
          <w:ilvl w:val="0"/>
          <w:numId w:val="0"/>
        </w:numPr>
        <w:spacing w:line="360" w:lineRule="auto"/>
        <w:ind w:leftChars="0" w:firstLine="480" w:firstLineChars="200"/>
        <w:rPr>
          <w:rFonts w:hint="eastAsia" w:ascii="仿宋" w:hAnsi="仿宋" w:eastAsia="仿宋" w:cs="仿宋"/>
          <w:color w:val="0000FF"/>
          <w:sz w:val="24"/>
          <w:szCs w:val="24"/>
          <w:lang w:val="en-US" w:eastAsia="zh-CN"/>
        </w:rPr>
      </w:pPr>
      <w:r>
        <w:rPr>
          <w:rFonts w:hint="eastAsia" w:ascii="仿宋" w:hAnsi="仿宋" w:eastAsia="仿宋" w:cs="仿宋"/>
          <w:sz w:val="24"/>
          <w:szCs w:val="24"/>
        </w:rPr>
        <w:t>①</w:t>
      </w:r>
      <w:r>
        <w:rPr>
          <w:rFonts w:hint="eastAsia" w:ascii="仿宋" w:hAnsi="仿宋" w:eastAsia="仿宋" w:cs="仿宋"/>
          <w:color w:val="0000FF"/>
          <w:sz w:val="24"/>
          <w:szCs w:val="24"/>
        </w:rPr>
        <w:t>每年</w:t>
      </w:r>
      <w:r>
        <w:rPr>
          <w:rFonts w:hint="eastAsia" w:ascii="仿宋" w:hAnsi="仿宋" w:eastAsia="仿宋" w:cs="仿宋"/>
          <w:color w:val="0000FF"/>
          <w:sz w:val="24"/>
          <w:szCs w:val="24"/>
          <w:lang w:eastAsia="zh-CN"/>
        </w:rPr>
        <w:t>综合评估不少于</w:t>
      </w:r>
      <w:r>
        <w:rPr>
          <w:rFonts w:hint="eastAsia" w:ascii="仿宋" w:hAnsi="仿宋" w:eastAsia="仿宋" w:cs="仿宋"/>
          <w:color w:val="0000FF"/>
          <w:sz w:val="24"/>
          <w:szCs w:val="24"/>
        </w:rPr>
        <w:t>2次，经评估考核，达到85分及以上（含85分）全额支付当期合同服务经费；</w:t>
      </w:r>
      <w:r>
        <w:rPr>
          <w:rFonts w:hint="eastAsia" w:ascii="仿宋" w:hAnsi="仿宋" w:eastAsia="仿宋" w:cs="仿宋"/>
          <w:color w:val="0000FF"/>
          <w:sz w:val="24"/>
          <w:szCs w:val="24"/>
          <w:lang w:val="en-US" w:eastAsia="zh-CN"/>
        </w:rPr>
        <w:t>75</w:t>
      </w:r>
      <w:r>
        <w:rPr>
          <w:rFonts w:hint="eastAsia" w:ascii="仿宋" w:hAnsi="仿宋" w:eastAsia="仿宋" w:cs="仿宋"/>
          <w:color w:val="0000FF"/>
          <w:sz w:val="24"/>
          <w:szCs w:val="24"/>
        </w:rPr>
        <w:t>分（含</w:t>
      </w:r>
      <w:r>
        <w:rPr>
          <w:rFonts w:hint="eastAsia" w:ascii="仿宋" w:hAnsi="仿宋" w:eastAsia="仿宋" w:cs="仿宋"/>
          <w:color w:val="0000FF"/>
          <w:sz w:val="24"/>
          <w:szCs w:val="24"/>
          <w:lang w:val="en-US" w:eastAsia="zh-CN"/>
        </w:rPr>
        <w:t>75</w:t>
      </w:r>
      <w:r>
        <w:rPr>
          <w:rFonts w:hint="eastAsia" w:ascii="仿宋" w:hAnsi="仿宋" w:eastAsia="仿宋" w:cs="仿宋"/>
          <w:color w:val="0000FF"/>
          <w:sz w:val="24"/>
          <w:szCs w:val="24"/>
        </w:rPr>
        <w:t>分）—85分（不含85分），每下降1分</w:t>
      </w:r>
      <w:r>
        <w:rPr>
          <w:rFonts w:hint="eastAsia" w:ascii="仿宋" w:hAnsi="仿宋" w:eastAsia="仿宋" w:cs="仿宋"/>
          <w:color w:val="0000FF"/>
          <w:sz w:val="24"/>
          <w:szCs w:val="24"/>
          <w:lang w:val="en-US" w:eastAsia="zh-CN"/>
        </w:rPr>
        <w:t>采购人</w:t>
      </w:r>
      <w:r>
        <w:rPr>
          <w:rFonts w:hint="eastAsia" w:ascii="仿宋" w:hAnsi="仿宋" w:eastAsia="仿宋" w:cs="仿宋"/>
          <w:color w:val="0000FF"/>
          <w:sz w:val="24"/>
          <w:szCs w:val="24"/>
        </w:rPr>
        <w:t>按</w:t>
      </w:r>
      <w:r>
        <w:rPr>
          <w:rFonts w:hint="eastAsia" w:ascii="仿宋" w:hAnsi="仿宋" w:eastAsia="仿宋" w:cs="仿宋"/>
          <w:color w:val="0000FF"/>
          <w:sz w:val="24"/>
          <w:szCs w:val="24"/>
          <w:lang w:eastAsia="zh-CN"/>
        </w:rPr>
        <w:t>合同总价</w:t>
      </w:r>
      <w:r>
        <w:rPr>
          <w:rFonts w:hint="eastAsia" w:ascii="仿宋" w:hAnsi="仿宋" w:eastAsia="仿宋" w:cs="仿宋"/>
          <w:color w:val="0000FF"/>
          <w:sz w:val="24"/>
          <w:szCs w:val="24"/>
        </w:rPr>
        <w:t>1%比例扣除</w:t>
      </w:r>
      <w:r>
        <w:rPr>
          <w:rFonts w:hint="eastAsia" w:ascii="仿宋" w:hAnsi="仿宋" w:eastAsia="仿宋" w:cs="仿宋"/>
          <w:color w:val="0000FF"/>
          <w:sz w:val="24"/>
          <w:szCs w:val="24"/>
          <w:lang w:val="en-US" w:eastAsia="zh-CN"/>
        </w:rPr>
        <w:t>中标供应商</w:t>
      </w:r>
      <w:r>
        <w:rPr>
          <w:rFonts w:hint="eastAsia" w:ascii="仿宋" w:hAnsi="仿宋" w:eastAsia="仿宋" w:cs="仿宋"/>
          <w:color w:val="0000FF"/>
          <w:sz w:val="24"/>
          <w:szCs w:val="24"/>
        </w:rPr>
        <w:t>服务费；</w:t>
      </w:r>
      <w:r>
        <w:rPr>
          <w:rFonts w:hint="eastAsia" w:ascii="仿宋" w:hAnsi="仿宋" w:eastAsia="仿宋" w:cs="仿宋"/>
          <w:color w:val="0000FF"/>
          <w:sz w:val="24"/>
          <w:szCs w:val="24"/>
          <w:lang w:val="en-US" w:eastAsia="zh-CN"/>
        </w:rPr>
        <w:t>65分（含65分）—75分（不含75分），每下降1分采购人按合同总价2%比例扣除中标供应商服务费；65分以下（不含65分）采购人对中标供应商处予合同总价50%的罚款，采购人终止合同不予支付剩余中标额经费，并且</w:t>
      </w:r>
      <w:r>
        <w:rPr>
          <w:rFonts w:hint="eastAsia" w:ascii="仿宋" w:hAnsi="仿宋" w:eastAsia="仿宋" w:cs="仿宋"/>
          <w:color w:val="0000FF"/>
          <w:sz w:val="24"/>
          <w:szCs w:val="24"/>
          <w:lang w:eastAsia="zh-CN"/>
        </w:rPr>
        <w:t>要求</w:t>
      </w:r>
      <w:r>
        <w:rPr>
          <w:rFonts w:hint="eastAsia" w:ascii="仿宋" w:hAnsi="仿宋" w:eastAsia="仿宋" w:cs="仿宋"/>
          <w:color w:val="0000FF"/>
          <w:sz w:val="24"/>
          <w:szCs w:val="24"/>
          <w:lang w:val="en-US" w:eastAsia="zh-CN"/>
        </w:rPr>
        <w:t>中标供应商</w:t>
      </w:r>
      <w:r>
        <w:rPr>
          <w:rFonts w:hint="eastAsia" w:ascii="仿宋" w:hAnsi="仿宋" w:eastAsia="仿宋" w:cs="仿宋"/>
          <w:color w:val="0000FF"/>
          <w:sz w:val="24"/>
          <w:szCs w:val="24"/>
        </w:rPr>
        <w:t>赔偿50万元。</w:t>
      </w:r>
      <w:r>
        <w:rPr>
          <w:rFonts w:hint="eastAsia" w:ascii="仿宋" w:hAnsi="仿宋" w:eastAsia="仿宋" w:cs="仿宋"/>
          <w:color w:val="0000FF"/>
          <w:sz w:val="24"/>
          <w:szCs w:val="24"/>
          <w:lang w:eastAsia="zh-CN"/>
        </w:rPr>
        <w:t>（考核评</w:t>
      </w:r>
      <w:r>
        <w:rPr>
          <w:rFonts w:hint="eastAsia" w:ascii="仿宋" w:hAnsi="仿宋" w:eastAsia="仿宋" w:cs="仿宋"/>
          <w:color w:val="0000FF"/>
          <w:sz w:val="24"/>
          <w:szCs w:val="24"/>
          <w:lang w:val="en-US" w:eastAsia="zh-CN"/>
        </w:rPr>
        <w:t>分细则附后）</w:t>
      </w:r>
    </w:p>
    <w:p w14:paraId="5D11D5FE">
      <w:pPr>
        <w:pStyle w:val="186"/>
        <w:numPr>
          <w:ilvl w:val="0"/>
          <w:numId w:val="0"/>
        </w:numPr>
        <w:spacing w:line="360" w:lineRule="auto"/>
        <w:ind w:leftChars="0" w:firstLine="480" w:firstLineChars="200"/>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②在县级以上（含县级）重大的检查考核不合格的，经整改后仍不达标的，属于中标供应商丢失责任分的，采购人扣除中标供应商当期消杀服务费，采购人终止合同不予支付剩余中标额经费，并且要求中标供应商赔偿50万元。（85分及以上为合格）</w:t>
      </w:r>
    </w:p>
    <w:p w14:paraId="4D58E4A4">
      <w:pPr>
        <w:pStyle w:val="186"/>
        <w:numPr>
          <w:ilvl w:val="0"/>
          <w:numId w:val="0"/>
        </w:numPr>
        <w:spacing w:line="360" w:lineRule="auto"/>
        <w:ind w:leftChars="0" w:firstLine="480" w:firstLineChars="200"/>
        <w:rPr>
          <w:rFonts w:hint="default"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③在镇级日常检查考核不合格的，经整改后仍不达标的，属于中标供应商丢失责任分的，采购人扣除中标供应商当期消杀服务费的50%；累计两次镇级日常检查考核不合格，经整改后仍不达标的，属于中标供应商丢失责任分的，采购人扣除中标供应商当期消杀服务费，采购人终止合同不予支付剩余中标额经费，并且要求中标供应商赔偿50万元。（85分及以上为合格）</w:t>
      </w:r>
    </w:p>
    <w:p w14:paraId="51E78C26">
      <w:pPr>
        <w:spacing w:line="360" w:lineRule="auto"/>
        <w:ind w:firstLine="440" w:firstLineChars="200"/>
        <w:rPr>
          <w:rFonts w:ascii="宋体" w:hAnsi="宋体" w:cs="宋体"/>
          <w:sz w:val="22"/>
          <w:szCs w:val="22"/>
        </w:rPr>
      </w:pPr>
      <w:r>
        <w:rPr>
          <w:rFonts w:hint="eastAsia" w:ascii="宋体" w:hAnsi="宋体" w:cs="宋体"/>
          <w:sz w:val="22"/>
          <w:szCs w:val="22"/>
        </w:rPr>
        <w:t>2、服务项目以控制蟑螂、老鼠及蚊蝇为主要内容的有害生物防制。</w:t>
      </w:r>
    </w:p>
    <w:p w14:paraId="021E32A9">
      <w:pPr>
        <w:spacing w:line="360" w:lineRule="auto"/>
        <w:ind w:firstLine="440" w:firstLineChars="200"/>
        <w:rPr>
          <w:rFonts w:ascii="宋体" w:hAnsi="宋体" w:cs="宋体"/>
          <w:sz w:val="22"/>
          <w:szCs w:val="22"/>
        </w:rPr>
      </w:pPr>
      <w:r>
        <w:rPr>
          <w:rFonts w:hint="eastAsia" w:ascii="宋体" w:hAnsi="宋体" w:cs="宋体"/>
          <w:sz w:val="22"/>
          <w:szCs w:val="22"/>
        </w:rPr>
        <w:t>3、服务标准及质量：蟑、鼠、蚊蝇密度控制在国家爱卫会规定的标准内，达到国家卫生县城考核标准和市爱卫会达标考核合格要求，并通过由</w:t>
      </w:r>
      <w:r>
        <w:rPr>
          <w:rFonts w:hint="eastAsia" w:ascii="宋体" w:hAnsi="宋体" w:cs="宋体"/>
          <w:sz w:val="22"/>
          <w:szCs w:val="22"/>
          <w:lang w:val="en-US" w:eastAsia="zh-CN"/>
        </w:rPr>
        <w:t>采购人</w:t>
      </w:r>
      <w:r>
        <w:rPr>
          <w:rFonts w:hint="eastAsia" w:ascii="宋体" w:hAnsi="宋体" w:cs="宋体"/>
          <w:sz w:val="22"/>
          <w:szCs w:val="22"/>
        </w:rPr>
        <w:t>组织的灭后综合评估验收，分值达到规定的要求。</w:t>
      </w:r>
    </w:p>
    <w:p w14:paraId="5E0E4ACF">
      <w:pPr>
        <w:spacing w:line="360" w:lineRule="auto"/>
        <w:ind w:firstLine="440" w:firstLineChars="200"/>
        <w:rPr>
          <w:rFonts w:ascii="宋体" w:hAnsi="宋体" w:cs="宋体"/>
          <w:sz w:val="22"/>
          <w:szCs w:val="22"/>
        </w:rPr>
      </w:pPr>
      <w:r>
        <w:rPr>
          <w:rFonts w:hint="eastAsia" w:ascii="宋体" w:hAnsi="宋体" w:cs="宋体"/>
          <w:sz w:val="22"/>
          <w:szCs w:val="22"/>
        </w:rPr>
        <w:t>4、消杀服务期间，消杀人数必须保证不少于10人。采购人将对消杀服务进行不定期抽查，如多次不能达到要求，采购人单方终止合同。</w:t>
      </w:r>
    </w:p>
    <w:p w14:paraId="0A5298D1">
      <w:pPr>
        <w:spacing w:line="360" w:lineRule="auto"/>
        <w:ind w:firstLine="440" w:firstLineChars="200"/>
        <w:rPr>
          <w:rFonts w:ascii="宋体" w:hAnsi="宋体" w:cs="宋体"/>
          <w:sz w:val="22"/>
          <w:szCs w:val="22"/>
        </w:rPr>
      </w:pPr>
      <w:r>
        <w:rPr>
          <w:rFonts w:hint="eastAsia" w:ascii="宋体" w:hAnsi="宋体" w:cs="宋体"/>
          <w:sz w:val="22"/>
          <w:szCs w:val="22"/>
        </w:rPr>
        <w:t>5、消杀服务期间，在公园山广场等公共场所或其它窗口负责开展2次以上病媒生物防制有关宣传活动，并且负责场地租金和宣传资料发放。组织消杀人员业务培训最少2次。具体时间和采购人在合同中约定。</w:t>
      </w:r>
    </w:p>
    <w:p w14:paraId="05E5E6E8">
      <w:pPr>
        <w:spacing w:line="360" w:lineRule="auto"/>
        <w:ind w:firstLine="442" w:firstLineChars="200"/>
        <w:rPr>
          <w:rFonts w:ascii="宋体" w:hAnsi="宋体" w:cs="宋体"/>
          <w:b/>
          <w:bCs/>
          <w:sz w:val="22"/>
          <w:szCs w:val="22"/>
        </w:rPr>
      </w:pPr>
      <w:r>
        <w:rPr>
          <w:rFonts w:hint="eastAsia" w:ascii="宋体" w:hAnsi="宋体" w:cs="宋体"/>
          <w:b/>
          <w:bCs/>
          <w:sz w:val="22"/>
          <w:szCs w:val="22"/>
        </w:rPr>
        <w:t>6、▲本项目主要管理人员必须具有</w:t>
      </w:r>
      <w:r>
        <w:rPr>
          <w:rFonts w:hint="eastAsia" w:ascii="宋体" w:hAnsi="宋体" w:cs="宋体"/>
          <w:b/>
          <w:bCs/>
          <w:sz w:val="22"/>
          <w:szCs w:val="22"/>
          <w:lang w:eastAsia="zh-CN"/>
        </w:rPr>
        <w:t>病媒生物预防控制行业</w:t>
      </w:r>
      <w:r>
        <w:rPr>
          <w:rFonts w:hint="eastAsia" w:ascii="宋体" w:hAnsi="宋体" w:cs="宋体"/>
          <w:b/>
          <w:bCs/>
          <w:sz w:val="22"/>
          <w:szCs w:val="22"/>
        </w:rPr>
        <w:t>相关培训合格证书。</w:t>
      </w:r>
    </w:p>
    <w:p w14:paraId="20B17539">
      <w:pPr>
        <w:spacing w:line="360" w:lineRule="auto"/>
        <w:ind w:firstLine="440" w:firstLineChars="200"/>
        <w:rPr>
          <w:rFonts w:ascii="宋体" w:hAnsi="宋体" w:cs="宋体"/>
          <w:sz w:val="22"/>
          <w:szCs w:val="22"/>
        </w:rPr>
      </w:pPr>
      <w:r>
        <w:rPr>
          <w:rFonts w:hint="eastAsia" w:ascii="宋体" w:hAnsi="宋体" w:cs="宋体"/>
          <w:sz w:val="22"/>
          <w:szCs w:val="22"/>
        </w:rPr>
        <w:t>7、投标供应商</w:t>
      </w:r>
      <w:r>
        <w:rPr>
          <w:rFonts w:hint="eastAsia" w:ascii="宋体" w:hAnsi="宋体" w:cs="宋体"/>
          <w:sz w:val="22"/>
          <w:szCs w:val="22"/>
          <w:lang w:eastAsia="zh-CN"/>
        </w:rPr>
        <w:t>中标后</w:t>
      </w:r>
      <w:r>
        <w:rPr>
          <w:rFonts w:hint="eastAsia" w:ascii="宋体" w:hAnsi="宋体" w:cs="宋体"/>
          <w:sz w:val="22"/>
          <w:szCs w:val="22"/>
        </w:rPr>
        <w:t>必须在浙江省或温州地区卫生部门备案。</w:t>
      </w:r>
    </w:p>
    <w:p w14:paraId="0A5DD866">
      <w:pPr>
        <w:spacing w:line="360" w:lineRule="auto"/>
        <w:ind w:firstLine="440" w:firstLineChars="200"/>
        <w:rPr>
          <w:rFonts w:ascii="宋体" w:hAnsi="宋体" w:cs="宋体"/>
          <w:sz w:val="22"/>
          <w:szCs w:val="22"/>
        </w:rPr>
      </w:pPr>
      <w:r>
        <w:rPr>
          <w:rFonts w:hint="eastAsia" w:ascii="宋体" w:hAnsi="宋体" w:cs="宋体"/>
          <w:sz w:val="22"/>
          <w:szCs w:val="22"/>
        </w:rPr>
        <w:t>8、中标方消杀时每平方公里不得少于1个作业人员；消杀期间应经常与爱卫办保持密切联系，及时汇报工作情况、进行沟通协调，以确保消杀工作能够正常有效地开展；中标方在开展每一期消杀服务工作时，应及时做好各种工作记录，包括出动工作时间、地点、人次以及完成的目标任务，并做好拍照留档等台帐资料；在开展消杀服务时必须告知被服务单位、对象有关联系人，必要时通知被服务单位派人陪同，事后应有被服务单位对象签章证明；每一期消杀服务应有书面工作计划，完成后应有书面工作总结，有关工作计划、总结（数据）；必须提供每期购进的病媒生物控制使用的药品及器械票据和清单的原件与复印件，由</w:t>
      </w:r>
      <w:r>
        <w:rPr>
          <w:rFonts w:hint="eastAsia" w:ascii="宋体" w:hAnsi="宋体" w:cs="宋体"/>
          <w:sz w:val="22"/>
          <w:szCs w:val="22"/>
          <w:lang w:val="en-US" w:eastAsia="zh-CN"/>
        </w:rPr>
        <w:t>采购人</w:t>
      </w:r>
      <w:r>
        <w:rPr>
          <w:rFonts w:hint="eastAsia" w:ascii="宋体" w:hAnsi="宋体" w:cs="宋体"/>
          <w:sz w:val="22"/>
          <w:szCs w:val="22"/>
        </w:rPr>
        <w:t>在复印件上签章认可并留档备案。</w:t>
      </w:r>
    </w:p>
    <w:p w14:paraId="7DA61C27">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9</w:t>
      </w:r>
      <w:r>
        <w:rPr>
          <w:rFonts w:hint="eastAsia" w:ascii="宋体" w:hAnsi="宋体" w:cs="宋体"/>
          <w:sz w:val="22"/>
          <w:szCs w:val="22"/>
        </w:rPr>
        <w:t>、中标</w:t>
      </w:r>
      <w:r>
        <w:rPr>
          <w:rFonts w:hint="eastAsia" w:ascii="宋体" w:hAnsi="宋体" w:cs="宋体"/>
          <w:sz w:val="22"/>
          <w:szCs w:val="22"/>
          <w:lang w:val="en-US" w:eastAsia="zh-CN"/>
        </w:rPr>
        <w:t>供应商</w:t>
      </w:r>
      <w:r>
        <w:rPr>
          <w:rFonts w:hint="eastAsia" w:ascii="宋体" w:hAnsi="宋体" w:cs="宋体"/>
          <w:sz w:val="22"/>
          <w:szCs w:val="22"/>
        </w:rPr>
        <w:t>交付的货物必须是全新的无缺陷的；中标</w:t>
      </w:r>
      <w:r>
        <w:rPr>
          <w:rFonts w:hint="eastAsia" w:ascii="宋体" w:hAnsi="宋体" w:cs="宋体"/>
          <w:sz w:val="22"/>
          <w:szCs w:val="22"/>
          <w:lang w:val="en-US" w:eastAsia="zh-CN"/>
        </w:rPr>
        <w:t>供应商</w:t>
      </w:r>
      <w:r>
        <w:rPr>
          <w:rFonts w:hint="eastAsia" w:ascii="宋体" w:hAnsi="宋体" w:cs="宋体"/>
          <w:sz w:val="22"/>
          <w:szCs w:val="22"/>
        </w:rPr>
        <w:t>应按照采购文件规定的技术要求和范围提供有关货物，并提供产品的质量检验证明文件，并在合同规定的地点负责组织将货物按期运抵委托人的现场，提单日期为交货日期。货物的运输和保险及中国政府根据现行税法向中标</w:t>
      </w:r>
      <w:r>
        <w:rPr>
          <w:rFonts w:hint="eastAsia" w:ascii="宋体" w:hAnsi="宋体" w:cs="宋体"/>
          <w:sz w:val="22"/>
          <w:szCs w:val="22"/>
          <w:lang w:val="en-US" w:eastAsia="zh-CN"/>
        </w:rPr>
        <w:t>供应商</w:t>
      </w:r>
      <w:r>
        <w:rPr>
          <w:rFonts w:hint="eastAsia" w:ascii="宋体" w:hAnsi="宋体" w:cs="宋体"/>
          <w:sz w:val="22"/>
          <w:szCs w:val="22"/>
        </w:rPr>
        <w:t>征收的与履行本合同有关的一切税费均由中标</w:t>
      </w:r>
      <w:r>
        <w:rPr>
          <w:rFonts w:hint="eastAsia" w:ascii="宋体" w:hAnsi="宋体" w:cs="宋体"/>
          <w:sz w:val="22"/>
          <w:szCs w:val="22"/>
          <w:lang w:val="en-US" w:eastAsia="zh-CN"/>
        </w:rPr>
        <w:t>供应商</w:t>
      </w:r>
      <w:r>
        <w:rPr>
          <w:rFonts w:hint="eastAsia" w:ascii="宋体" w:hAnsi="宋体" w:cs="宋体"/>
          <w:sz w:val="22"/>
          <w:szCs w:val="22"/>
        </w:rPr>
        <w:t>承担。</w:t>
      </w:r>
    </w:p>
    <w:p w14:paraId="727DEBB9">
      <w:pPr>
        <w:spacing w:line="360" w:lineRule="auto"/>
        <w:ind w:firstLine="440" w:firstLineChars="200"/>
        <w:rPr>
          <w:rFonts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0</w:t>
      </w:r>
      <w:r>
        <w:rPr>
          <w:rFonts w:hint="eastAsia" w:ascii="宋体" w:hAnsi="宋体" w:cs="宋体"/>
          <w:sz w:val="22"/>
          <w:szCs w:val="22"/>
        </w:rPr>
        <w:t>、货物随箱应附有下列资料：</w:t>
      </w:r>
    </w:p>
    <w:p w14:paraId="57D09D86">
      <w:pPr>
        <w:spacing w:line="360" w:lineRule="auto"/>
        <w:ind w:firstLine="550" w:firstLineChars="250"/>
        <w:rPr>
          <w:rFonts w:ascii="宋体" w:hAnsi="宋体" w:cs="宋体"/>
          <w:sz w:val="22"/>
          <w:szCs w:val="22"/>
        </w:rPr>
      </w:pPr>
      <w:r>
        <w:rPr>
          <w:rFonts w:hint="eastAsia" w:ascii="宋体" w:hAnsi="宋体" w:cs="宋体"/>
          <w:sz w:val="22"/>
          <w:szCs w:val="22"/>
        </w:rPr>
        <w:t>①详细装箱单；</w:t>
      </w:r>
    </w:p>
    <w:p w14:paraId="6A34CF6E">
      <w:pPr>
        <w:spacing w:line="360" w:lineRule="auto"/>
        <w:ind w:firstLine="550" w:firstLineChars="250"/>
        <w:rPr>
          <w:rFonts w:ascii="宋体" w:hAnsi="宋体" w:cs="宋体"/>
          <w:sz w:val="22"/>
          <w:szCs w:val="22"/>
        </w:rPr>
      </w:pPr>
      <w:r>
        <w:rPr>
          <w:rFonts w:hint="eastAsia" w:ascii="宋体" w:hAnsi="宋体" w:cs="宋体"/>
          <w:sz w:val="22"/>
          <w:szCs w:val="22"/>
        </w:rPr>
        <w:t>②产品合格证及检验记录；</w:t>
      </w:r>
    </w:p>
    <w:p w14:paraId="16F1F661">
      <w:pPr>
        <w:spacing w:line="360" w:lineRule="auto"/>
        <w:ind w:firstLine="550" w:firstLineChars="250"/>
        <w:rPr>
          <w:rFonts w:ascii="宋体" w:hAnsi="宋体" w:cs="宋体"/>
          <w:sz w:val="22"/>
          <w:szCs w:val="22"/>
        </w:rPr>
      </w:pPr>
      <w:r>
        <w:rPr>
          <w:rFonts w:hint="eastAsia" w:ascii="宋体" w:hAnsi="宋体" w:cs="宋体"/>
          <w:sz w:val="22"/>
          <w:szCs w:val="22"/>
        </w:rPr>
        <w:t>③其他技术文档。</w:t>
      </w:r>
    </w:p>
    <w:p w14:paraId="3D8C7A9E">
      <w:pPr>
        <w:snapToGrid w:val="0"/>
        <w:spacing w:line="360" w:lineRule="auto"/>
        <w:ind w:firstLine="420"/>
        <w:rPr>
          <w:rFonts w:ascii="宋体" w:hAnsi="宋体" w:cs="宋体"/>
          <w:sz w:val="22"/>
          <w:szCs w:val="22"/>
        </w:rPr>
      </w:pPr>
      <w:r>
        <w:rPr>
          <w:rFonts w:hint="eastAsia" w:ascii="宋体" w:hAnsi="宋体" w:cs="宋体"/>
          <w:sz w:val="22"/>
          <w:szCs w:val="22"/>
          <w:lang w:val="en-US" w:eastAsia="zh-CN"/>
        </w:rPr>
        <w:t>11</w:t>
      </w:r>
      <w:r>
        <w:rPr>
          <w:rFonts w:hint="eastAsia" w:ascii="宋体" w:hAnsi="宋体" w:cs="宋体"/>
          <w:sz w:val="22"/>
          <w:szCs w:val="22"/>
        </w:rPr>
        <w:t>、到货验收：</w:t>
      </w:r>
    </w:p>
    <w:p w14:paraId="7024B962">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11</w:t>
      </w:r>
      <w:r>
        <w:rPr>
          <w:rFonts w:hint="eastAsia" w:ascii="宋体" w:hAnsi="宋体" w:cs="宋体"/>
          <w:sz w:val="22"/>
          <w:szCs w:val="22"/>
        </w:rPr>
        <w:t>.1货物到达采购人指定地点后，采购方按有关标准和要求进行到货验收。验收结果应符合有关要求。</w:t>
      </w:r>
    </w:p>
    <w:p w14:paraId="08BBBD9E">
      <w:pPr>
        <w:spacing w:line="360" w:lineRule="auto"/>
        <w:ind w:firstLine="550" w:firstLineChars="250"/>
        <w:rPr>
          <w:rFonts w:ascii="宋体" w:hAnsi="宋体" w:cs="宋体"/>
          <w:sz w:val="22"/>
          <w:szCs w:val="22"/>
        </w:rPr>
      </w:pPr>
      <w:r>
        <w:rPr>
          <w:rFonts w:hint="eastAsia" w:ascii="宋体" w:hAnsi="宋体" w:cs="宋体"/>
          <w:sz w:val="22"/>
          <w:szCs w:val="22"/>
        </w:rPr>
        <w:t>①在所有合同中规定的货物和资料都已提交。</w:t>
      </w:r>
    </w:p>
    <w:p w14:paraId="60172536">
      <w:pPr>
        <w:spacing w:line="360" w:lineRule="auto"/>
        <w:ind w:firstLine="550" w:firstLineChars="250"/>
        <w:rPr>
          <w:rFonts w:ascii="宋体" w:hAnsi="宋体" w:cs="宋体"/>
          <w:sz w:val="22"/>
          <w:szCs w:val="22"/>
        </w:rPr>
      </w:pPr>
      <w:r>
        <w:rPr>
          <w:rFonts w:hint="eastAsia" w:ascii="宋体" w:hAnsi="宋体" w:cs="宋体"/>
          <w:sz w:val="22"/>
          <w:szCs w:val="22"/>
        </w:rPr>
        <w:t>②在验收过程中若发现有破损、泄露、失效或其他质量问题应在7个日历天内无条件免费更换。</w:t>
      </w:r>
    </w:p>
    <w:p w14:paraId="66005F7C">
      <w:pPr>
        <w:spacing w:line="360" w:lineRule="auto"/>
        <w:ind w:firstLine="550" w:firstLineChars="250"/>
        <w:rPr>
          <w:rFonts w:ascii="宋体" w:hAnsi="宋体" w:cs="宋体"/>
          <w:sz w:val="22"/>
          <w:szCs w:val="22"/>
        </w:rPr>
      </w:pPr>
      <w:r>
        <w:rPr>
          <w:rFonts w:hint="eastAsia" w:ascii="宋体" w:hAnsi="宋体" w:cs="宋体"/>
          <w:sz w:val="22"/>
          <w:szCs w:val="22"/>
        </w:rPr>
        <w:t>③到货验收的结果并不能免除投标人所投货物在今后使用过程中发生质量问题所应承担的责任。</w:t>
      </w:r>
    </w:p>
    <w:p w14:paraId="478F7B1F">
      <w:pPr>
        <w:numPr>
          <w:ilvl w:val="0"/>
          <w:numId w:val="0"/>
        </w:numPr>
        <w:snapToGrid w:val="0"/>
        <w:spacing w:line="360" w:lineRule="auto"/>
        <w:ind w:left="720" w:leftChars="0" w:hanging="360" w:firstLineChars="0"/>
        <w:rPr>
          <w:rFonts w:ascii="宋体" w:hAnsi="宋体" w:cs="宋体"/>
          <w:sz w:val="22"/>
          <w:szCs w:val="22"/>
        </w:rPr>
      </w:pPr>
      <w:r>
        <w:rPr>
          <w:rFonts w:hint="eastAsia" w:ascii="宋体" w:hAnsi="宋体" w:cs="宋体"/>
          <w:kern w:val="2"/>
          <w:sz w:val="22"/>
          <w:szCs w:val="22"/>
          <w:lang w:val="en-US" w:eastAsia="zh-CN" w:bidi="ar-SA"/>
        </w:rPr>
        <w:t>12</w:t>
      </w:r>
      <w:r>
        <w:rPr>
          <w:rFonts w:hint="default" w:ascii="宋体" w:hAnsi="宋体" w:eastAsia="宋体" w:cs="宋体"/>
          <w:kern w:val="2"/>
          <w:sz w:val="22"/>
          <w:szCs w:val="22"/>
          <w:lang w:val="en-US" w:eastAsia="zh-CN" w:bidi="ar-SA"/>
        </w:rPr>
        <w:t>、</w:t>
      </w:r>
      <w:r>
        <w:rPr>
          <w:rFonts w:hint="eastAsia" w:ascii="宋体" w:hAnsi="宋体" w:cs="宋体"/>
          <w:sz w:val="22"/>
          <w:szCs w:val="22"/>
        </w:rPr>
        <w:t>消杀服务技术方案和实施计划</w:t>
      </w:r>
    </w:p>
    <w:p w14:paraId="2B30972F">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12</w:t>
      </w:r>
      <w:r>
        <w:rPr>
          <w:rFonts w:hint="eastAsia" w:ascii="宋体" w:hAnsi="宋体" w:cs="宋体"/>
          <w:sz w:val="22"/>
          <w:szCs w:val="22"/>
        </w:rPr>
        <w:t>.1投标供应商在对现场、周边环境全面了解的情况下提出合理、详细的四害（灭鼠、蟑、蚊、蝇）消杀技术方案和具体的保障措施，并对消杀方法进行说明。</w:t>
      </w:r>
    </w:p>
    <w:p w14:paraId="6C457569">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12</w:t>
      </w:r>
      <w:r>
        <w:rPr>
          <w:rFonts w:hint="eastAsia" w:ascii="宋体" w:hAnsi="宋体" w:cs="宋体"/>
          <w:sz w:val="22"/>
          <w:szCs w:val="22"/>
        </w:rPr>
        <w:t>.2投标供应商应提供具体的实施计划(包括服务人员的配备和培训方案)。</w:t>
      </w:r>
    </w:p>
    <w:p w14:paraId="4B0EE544">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12</w:t>
      </w:r>
      <w:r>
        <w:rPr>
          <w:rFonts w:hint="eastAsia" w:ascii="宋体" w:hAnsi="宋体" w:cs="宋体"/>
          <w:sz w:val="22"/>
          <w:szCs w:val="22"/>
        </w:rPr>
        <w:t>.3投标供应商认为需要补充说明的资料、事宜。</w:t>
      </w:r>
    </w:p>
    <w:p w14:paraId="63A7E37C">
      <w:pPr>
        <w:numPr>
          <w:ilvl w:val="0"/>
          <w:numId w:val="0"/>
        </w:numPr>
        <w:snapToGrid w:val="0"/>
        <w:spacing w:line="360" w:lineRule="auto"/>
        <w:ind w:left="720" w:leftChars="0" w:hanging="360" w:firstLineChars="0"/>
        <w:rPr>
          <w:rFonts w:ascii="宋体" w:hAnsi="宋体" w:cs="宋体"/>
          <w:sz w:val="22"/>
          <w:szCs w:val="22"/>
        </w:rPr>
      </w:pPr>
      <w:r>
        <w:rPr>
          <w:rFonts w:hint="eastAsia" w:ascii="宋体" w:hAnsi="宋体" w:cs="宋体"/>
          <w:kern w:val="2"/>
          <w:sz w:val="22"/>
          <w:szCs w:val="22"/>
          <w:lang w:val="en-US" w:eastAsia="zh-CN" w:bidi="ar-SA"/>
        </w:rPr>
        <w:t>13</w:t>
      </w:r>
      <w:r>
        <w:rPr>
          <w:rFonts w:hint="default" w:ascii="宋体" w:hAnsi="宋体" w:eastAsia="宋体" w:cs="宋体"/>
          <w:kern w:val="2"/>
          <w:sz w:val="22"/>
          <w:szCs w:val="22"/>
          <w:lang w:val="en-US" w:eastAsia="zh-CN" w:bidi="ar-SA"/>
        </w:rPr>
        <w:t>、</w:t>
      </w:r>
      <w:r>
        <w:rPr>
          <w:rFonts w:hint="eastAsia" w:ascii="宋体" w:hAnsi="宋体" w:cs="宋体"/>
          <w:sz w:val="22"/>
          <w:szCs w:val="22"/>
        </w:rPr>
        <w:t xml:space="preserve">技术资料和档案整理： </w:t>
      </w:r>
    </w:p>
    <w:p w14:paraId="059D5FAD">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13</w:t>
      </w:r>
      <w:r>
        <w:rPr>
          <w:rFonts w:hint="eastAsia" w:ascii="宋体" w:hAnsi="宋体" w:cs="宋体"/>
          <w:sz w:val="22"/>
          <w:szCs w:val="22"/>
        </w:rPr>
        <w:t>.1、</w:t>
      </w:r>
      <w:r>
        <w:rPr>
          <w:rFonts w:hint="eastAsia" w:ascii="宋体" w:hAnsi="宋体" w:cs="宋体"/>
          <w:sz w:val="22"/>
          <w:szCs w:val="22"/>
          <w:lang w:eastAsia="zh-CN"/>
        </w:rPr>
        <w:t>2026</w:t>
      </w:r>
      <w:r>
        <w:rPr>
          <w:rFonts w:hint="eastAsia" w:ascii="宋体" w:hAnsi="宋体" w:cs="宋体"/>
          <w:sz w:val="22"/>
          <w:szCs w:val="22"/>
        </w:rPr>
        <w:t>年灵溪镇病媒生物防制相关资料由中标</w:t>
      </w:r>
      <w:r>
        <w:rPr>
          <w:rFonts w:hint="eastAsia" w:ascii="宋体" w:hAnsi="宋体" w:cs="宋体"/>
          <w:sz w:val="22"/>
          <w:szCs w:val="22"/>
          <w:lang w:val="en-US" w:eastAsia="zh-CN"/>
        </w:rPr>
        <w:t>供应商</w:t>
      </w:r>
      <w:r>
        <w:rPr>
          <w:rFonts w:hint="eastAsia" w:ascii="宋体" w:hAnsi="宋体" w:cs="宋体"/>
          <w:sz w:val="22"/>
          <w:szCs w:val="22"/>
        </w:rPr>
        <w:t>提供，并按规范进行整理，经第三方评估机构和</w:t>
      </w:r>
      <w:r>
        <w:rPr>
          <w:rFonts w:hint="eastAsia" w:ascii="宋体" w:hAnsi="宋体" w:cs="宋体"/>
          <w:sz w:val="22"/>
          <w:szCs w:val="22"/>
          <w:lang w:val="en-US" w:eastAsia="zh-CN"/>
        </w:rPr>
        <w:t>采购人</w:t>
      </w:r>
      <w:r>
        <w:rPr>
          <w:rFonts w:hint="eastAsia" w:ascii="宋体" w:hAnsi="宋体" w:cs="宋体"/>
          <w:sz w:val="22"/>
          <w:szCs w:val="22"/>
        </w:rPr>
        <w:t>验收合格以后归档；中标</w:t>
      </w:r>
      <w:r>
        <w:rPr>
          <w:rFonts w:hint="eastAsia" w:ascii="宋体" w:hAnsi="宋体" w:cs="宋体"/>
          <w:sz w:val="22"/>
          <w:szCs w:val="22"/>
          <w:lang w:val="en-US" w:eastAsia="zh-CN"/>
        </w:rPr>
        <w:t>供应商</w:t>
      </w:r>
      <w:r>
        <w:rPr>
          <w:rFonts w:hint="eastAsia" w:ascii="宋体" w:hAnsi="宋体" w:cs="宋体"/>
          <w:sz w:val="22"/>
          <w:szCs w:val="22"/>
        </w:rPr>
        <w:t>每期开展消杀服务前必须向</w:t>
      </w:r>
      <w:r>
        <w:rPr>
          <w:rFonts w:hint="eastAsia" w:ascii="宋体" w:hAnsi="宋体" w:cs="宋体"/>
          <w:sz w:val="22"/>
          <w:szCs w:val="22"/>
          <w:lang w:val="en-US" w:eastAsia="zh-CN"/>
        </w:rPr>
        <w:t>采购人</w:t>
      </w:r>
      <w:r>
        <w:rPr>
          <w:rFonts w:hint="eastAsia" w:ascii="宋体" w:hAnsi="宋体" w:cs="宋体"/>
          <w:sz w:val="22"/>
          <w:szCs w:val="22"/>
        </w:rPr>
        <w:t>提供本次机构药物器械清单原件与复印件，并由</w:t>
      </w:r>
      <w:r>
        <w:rPr>
          <w:rFonts w:hint="eastAsia" w:ascii="宋体" w:hAnsi="宋体" w:cs="宋体"/>
          <w:sz w:val="22"/>
          <w:szCs w:val="22"/>
          <w:lang w:val="en-US" w:eastAsia="zh-CN"/>
        </w:rPr>
        <w:t>采购人</w:t>
      </w:r>
      <w:r>
        <w:rPr>
          <w:rFonts w:hint="eastAsia" w:ascii="宋体" w:hAnsi="宋体" w:cs="宋体"/>
          <w:sz w:val="22"/>
          <w:szCs w:val="22"/>
        </w:rPr>
        <w:t>在复印件上签章认可。</w:t>
      </w:r>
    </w:p>
    <w:p w14:paraId="4DBF089B">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13</w:t>
      </w:r>
      <w:r>
        <w:rPr>
          <w:rFonts w:hint="eastAsia" w:ascii="宋体" w:hAnsi="宋体" w:cs="宋体"/>
          <w:sz w:val="22"/>
          <w:szCs w:val="22"/>
        </w:rPr>
        <w:t>.2、</w:t>
      </w:r>
      <w:r>
        <w:rPr>
          <w:rFonts w:hint="eastAsia" w:ascii="宋体" w:hAnsi="宋体" w:cs="宋体"/>
          <w:sz w:val="22"/>
          <w:szCs w:val="22"/>
          <w:lang w:val="en-US" w:eastAsia="zh-CN"/>
        </w:rPr>
        <w:t>中标供应商</w:t>
      </w:r>
      <w:r>
        <w:rPr>
          <w:rFonts w:hint="eastAsia" w:ascii="宋体" w:hAnsi="宋体" w:cs="宋体"/>
          <w:sz w:val="22"/>
          <w:szCs w:val="22"/>
        </w:rPr>
        <w:t>应向</w:t>
      </w:r>
      <w:r>
        <w:rPr>
          <w:rFonts w:hint="eastAsia" w:ascii="宋体" w:hAnsi="宋体" w:cs="宋体"/>
          <w:sz w:val="22"/>
          <w:szCs w:val="22"/>
          <w:lang w:val="en-US" w:eastAsia="zh-CN"/>
        </w:rPr>
        <w:t>采购人</w:t>
      </w:r>
      <w:r>
        <w:rPr>
          <w:rFonts w:hint="eastAsia" w:ascii="宋体" w:hAnsi="宋体" w:cs="宋体"/>
          <w:sz w:val="22"/>
          <w:szCs w:val="22"/>
        </w:rPr>
        <w:t>提供下列文件：</w:t>
      </w:r>
    </w:p>
    <w:p w14:paraId="3BEBCD60">
      <w:pPr>
        <w:spacing w:line="360" w:lineRule="auto"/>
        <w:ind w:firstLine="440" w:firstLineChars="200"/>
        <w:rPr>
          <w:rFonts w:ascii="宋体" w:hAnsi="宋体" w:cs="宋体"/>
          <w:sz w:val="22"/>
          <w:szCs w:val="22"/>
        </w:rPr>
      </w:pPr>
      <w:r>
        <w:rPr>
          <w:rFonts w:hint="eastAsia" w:ascii="宋体" w:hAnsi="宋体" w:cs="宋体"/>
          <w:sz w:val="22"/>
          <w:szCs w:val="22"/>
        </w:rPr>
        <w:t>①投标书中应附所投货物的样本资料；</w:t>
      </w:r>
    </w:p>
    <w:p w14:paraId="4D6B7A66">
      <w:pPr>
        <w:spacing w:line="360" w:lineRule="auto"/>
        <w:ind w:firstLine="440" w:firstLineChars="200"/>
        <w:rPr>
          <w:rFonts w:ascii="宋体" w:hAnsi="宋体" w:cs="宋体"/>
          <w:sz w:val="22"/>
          <w:szCs w:val="22"/>
        </w:rPr>
      </w:pPr>
      <w:r>
        <w:rPr>
          <w:rFonts w:hint="eastAsia" w:ascii="宋体" w:hAnsi="宋体" w:cs="宋体"/>
          <w:sz w:val="22"/>
          <w:szCs w:val="22"/>
        </w:rPr>
        <w:t>②检验记录，试验报告和质量合格证，以及按国家安全检测规定批准文件等出厂报告；</w:t>
      </w:r>
    </w:p>
    <w:p w14:paraId="3B35ADDF">
      <w:pPr>
        <w:spacing w:line="360" w:lineRule="auto"/>
        <w:ind w:firstLine="440" w:firstLineChars="200"/>
        <w:rPr>
          <w:rFonts w:ascii="宋体" w:hAnsi="宋体" w:cs="宋体"/>
          <w:sz w:val="22"/>
          <w:szCs w:val="22"/>
        </w:rPr>
      </w:pPr>
      <w:r>
        <w:rPr>
          <w:rFonts w:hint="eastAsia" w:ascii="宋体" w:hAnsi="宋体" w:cs="宋体"/>
          <w:sz w:val="22"/>
          <w:szCs w:val="22"/>
        </w:rPr>
        <w:t>③货物发运和装箱的详细清单；</w:t>
      </w:r>
    </w:p>
    <w:p w14:paraId="64386511">
      <w:pPr>
        <w:spacing w:line="360" w:lineRule="auto"/>
        <w:ind w:firstLine="440" w:firstLineChars="200"/>
        <w:rPr>
          <w:rFonts w:ascii="宋体" w:hAnsi="宋体" w:cs="宋体"/>
          <w:sz w:val="22"/>
          <w:szCs w:val="22"/>
        </w:rPr>
      </w:pPr>
      <w:r>
        <w:rPr>
          <w:rFonts w:hint="eastAsia" w:ascii="宋体" w:hAnsi="宋体" w:cs="宋体"/>
          <w:sz w:val="22"/>
          <w:szCs w:val="22"/>
        </w:rPr>
        <w:t>④管理资料文件，包括维护、保管所需的说明书；</w:t>
      </w:r>
    </w:p>
    <w:p w14:paraId="5E7D8335">
      <w:pPr>
        <w:spacing w:line="360" w:lineRule="auto"/>
        <w:ind w:firstLine="440" w:firstLineChars="200"/>
        <w:rPr>
          <w:rFonts w:ascii="宋体" w:hAnsi="宋体" w:cs="宋体"/>
          <w:sz w:val="22"/>
          <w:szCs w:val="22"/>
        </w:rPr>
      </w:pPr>
      <w:r>
        <w:rPr>
          <w:rFonts w:hint="eastAsia" w:ascii="宋体" w:hAnsi="宋体" w:cs="宋体"/>
          <w:sz w:val="22"/>
          <w:szCs w:val="22"/>
        </w:rPr>
        <w:t>⑤按有关标准、规程规定应提交的技术文件、资料。</w:t>
      </w:r>
    </w:p>
    <w:p w14:paraId="2C8F857A">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13</w:t>
      </w:r>
      <w:r>
        <w:rPr>
          <w:rFonts w:hint="eastAsia" w:ascii="宋体" w:hAnsi="宋体" w:cs="宋体"/>
          <w:sz w:val="22"/>
          <w:szCs w:val="22"/>
        </w:rPr>
        <w:t>.3</w:t>
      </w:r>
      <w:r>
        <w:rPr>
          <w:rFonts w:hint="eastAsia" w:ascii="宋体" w:hAnsi="宋体" w:cs="宋体"/>
          <w:sz w:val="22"/>
          <w:szCs w:val="22"/>
          <w:lang w:val="en-US" w:eastAsia="zh-CN"/>
        </w:rPr>
        <w:t>中标供应商</w:t>
      </w:r>
      <w:r>
        <w:rPr>
          <w:rFonts w:hint="eastAsia" w:ascii="宋体" w:hAnsi="宋体" w:cs="宋体"/>
          <w:sz w:val="22"/>
          <w:szCs w:val="22"/>
        </w:rPr>
        <w:t>应将本次消杀服务的资料档案整理归档，达到国卫检查验收标准，由</w:t>
      </w:r>
      <w:r>
        <w:rPr>
          <w:rFonts w:hint="eastAsia" w:ascii="宋体" w:hAnsi="宋体" w:cs="宋体"/>
          <w:sz w:val="22"/>
          <w:szCs w:val="22"/>
          <w:lang w:val="en-US" w:eastAsia="zh-CN"/>
        </w:rPr>
        <w:t>采购人</w:t>
      </w:r>
      <w:r>
        <w:rPr>
          <w:rFonts w:hint="eastAsia" w:ascii="宋体" w:hAnsi="宋体" w:cs="宋体"/>
          <w:sz w:val="22"/>
          <w:szCs w:val="22"/>
        </w:rPr>
        <w:t>把关。</w:t>
      </w:r>
    </w:p>
    <w:p w14:paraId="70EFBE4D">
      <w:pPr>
        <w:snapToGrid w:val="0"/>
        <w:spacing w:line="360" w:lineRule="auto"/>
        <w:ind w:firstLine="420"/>
        <w:rPr>
          <w:rFonts w:ascii="宋体" w:hAnsi="宋体" w:cs="宋体"/>
          <w:sz w:val="22"/>
          <w:szCs w:val="22"/>
        </w:rPr>
      </w:pPr>
      <w:r>
        <w:rPr>
          <w:rFonts w:hint="eastAsia" w:ascii="宋体" w:hAnsi="宋体" w:cs="宋体"/>
          <w:sz w:val="22"/>
          <w:szCs w:val="22"/>
          <w:lang w:val="en-US" w:eastAsia="zh-CN"/>
        </w:rPr>
        <w:t>14</w:t>
      </w:r>
      <w:r>
        <w:rPr>
          <w:rFonts w:hint="eastAsia" w:ascii="宋体" w:hAnsi="宋体" w:cs="宋体"/>
          <w:sz w:val="22"/>
          <w:szCs w:val="22"/>
        </w:rPr>
        <w:t>、质量保证：</w:t>
      </w:r>
    </w:p>
    <w:p w14:paraId="3A0CD2B2">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14</w:t>
      </w:r>
      <w:r>
        <w:rPr>
          <w:rFonts w:hint="eastAsia" w:ascii="宋体" w:hAnsi="宋体" w:cs="宋体"/>
          <w:sz w:val="22"/>
          <w:szCs w:val="22"/>
        </w:rPr>
        <w:t>.1服务质量保证：本次消杀服务应保证灵溪镇</w:t>
      </w:r>
      <w:r>
        <w:rPr>
          <w:rFonts w:hint="eastAsia" w:ascii="宋体" w:hAnsi="宋体" w:cs="宋体"/>
          <w:sz w:val="22"/>
          <w:szCs w:val="22"/>
          <w:lang w:eastAsia="zh-CN"/>
        </w:rPr>
        <w:t>2026</w:t>
      </w:r>
      <w:r>
        <w:rPr>
          <w:rFonts w:hint="eastAsia" w:ascii="宋体" w:hAnsi="宋体" w:cs="宋体"/>
          <w:sz w:val="22"/>
          <w:szCs w:val="22"/>
        </w:rPr>
        <w:t>年“四害”密度达到全国爱卫会除四害标准。</w:t>
      </w:r>
    </w:p>
    <w:p w14:paraId="75B6EAFC">
      <w:pPr>
        <w:spacing w:line="360" w:lineRule="auto"/>
        <w:ind w:firstLine="440" w:firstLineChars="200"/>
        <w:rPr>
          <w:rFonts w:ascii="宋体" w:hAnsi="宋体" w:cs="宋体"/>
          <w:sz w:val="22"/>
          <w:szCs w:val="22"/>
        </w:rPr>
      </w:pPr>
      <w:r>
        <w:rPr>
          <w:rFonts w:hint="eastAsia" w:ascii="宋体" w:hAnsi="宋体" w:cs="宋体"/>
          <w:sz w:val="22"/>
          <w:szCs w:val="22"/>
          <w:lang w:val="en-US" w:eastAsia="zh-CN"/>
        </w:rPr>
        <w:t>14</w:t>
      </w:r>
      <w:bookmarkStart w:id="48" w:name="_GoBack"/>
      <w:bookmarkEnd w:id="48"/>
      <w:r>
        <w:rPr>
          <w:rFonts w:hint="eastAsia" w:ascii="宋体" w:hAnsi="宋体" w:cs="宋体"/>
          <w:sz w:val="22"/>
          <w:szCs w:val="22"/>
        </w:rPr>
        <w:t>.2消杀药物质量保证：</w:t>
      </w:r>
      <w:r>
        <w:rPr>
          <w:rFonts w:hint="eastAsia" w:ascii="宋体" w:hAnsi="宋体" w:cs="宋体"/>
          <w:sz w:val="22"/>
          <w:szCs w:val="22"/>
          <w:lang w:eastAsia="zh-CN"/>
        </w:rPr>
        <w:t>所有</w:t>
      </w:r>
      <w:r>
        <w:rPr>
          <w:rFonts w:hint="eastAsia" w:ascii="宋体" w:hAnsi="宋体" w:cs="宋体"/>
          <w:sz w:val="22"/>
          <w:szCs w:val="22"/>
        </w:rPr>
        <w:t>药物在质量保证期内发现产品如因本身质量原因（非人为）出现质量问题，供应商应在7个日历天内免费予以调换，保证采购人的正常使用。免费是指免材料费、人工费、运杂费、邮寄费等与上门保修服务有关的一切费用。</w:t>
      </w:r>
    </w:p>
    <w:p w14:paraId="3ACC7C10">
      <w:pPr>
        <w:spacing w:before="120" w:beforeLines="50" w:after="50" w:line="360" w:lineRule="auto"/>
        <w:outlineLvl w:val="1"/>
        <w:rPr>
          <w:rFonts w:ascii="宋体" w:hAnsi="宋体" w:cs="宋体"/>
          <w:b/>
          <w:bCs/>
          <w:sz w:val="22"/>
          <w:szCs w:val="22"/>
        </w:rPr>
      </w:pPr>
      <w:r>
        <w:rPr>
          <w:rFonts w:hint="eastAsia" w:ascii="宋体" w:hAnsi="宋体" w:cs="宋体"/>
          <w:b/>
          <w:bCs/>
          <w:sz w:val="22"/>
          <w:szCs w:val="22"/>
        </w:rPr>
        <w:br w:type="page"/>
      </w:r>
      <w:r>
        <w:rPr>
          <w:rFonts w:hint="eastAsia" w:ascii="宋体" w:hAnsi="宋体" w:cs="宋体"/>
          <w:b/>
          <w:bCs/>
          <w:sz w:val="22"/>
          <w:szCs w:val="22"/>
        </w:rPr>
        <w:t>五、药物数量及服务要求参考（至少达到以下数量）</w:t>
      </w:r>
    </w:p>
    <w:tbl>
      <w:tblPr>
        <w:tblStyle w:val="38"/>
        <w:tblW w:w="1003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1"/>
        <w:gridCol w:w="1401"/>
        <w:gridCol w:w="1265"/>
        <w:gridCol w:w="769"/>
        <w:gridCol w:w="783"/>
        <w:gridCol w:w="2322"/>
        <w:gridCol w:w="2820"/>
      </w:tblGrid>
      <w:tr w14:paraId="399461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671" w:type="dxa"/>
            <w:vAlign w:val="center"/>
          </w:tcPr>
          <w:p w14:paraId="4ECC9275">
            <w:pPr>
              <w:widowControl/>
              <w:spacing w:line="360" w:lineRule="auto"/>
              <w:jc w:val="center"/>
              <w:rPr>
                <w:rFonts w:ascii="宋体" w:hAnsi="宋体" w:cs="宋体"/>
                <w:sz w:val="22"/>
                <w:szCs w:val="22"/>
              </w:rPr>
            </w:pPr>
            <w:r>
              <w:rPr>
                <w:rFonts w:hint="eastAsia" w:ascii="宋体" w:hAnsi="宋体" w:cs="宋体"/>
                <w:sz w:val="22"/>
                <w:szCs w:val="22"/>
              </w:rPr>
              <w:t>项目</w:t>
            </w:r>
          </w:p>
        </w:tc>
        <w:tc>
          <w:tcPr>
            <w:tcW w:w="1401" w:type="dxa"/>
            <w:vAlign w:val="center"/>
          </w:tcPr>
          <w:p w14:paraId="5BC8F3C8">
            <w:pPr>
              <w:widowControl/>
              <w:spacing w:line="360" w:lineRule="auto"/>
              <w:jc w:val="center"/>
              <w:rPr>
                <w:rFonts w:ascii="宋体" w:hAnsi="宋体" w:cs="宋体"/>
                <w:sz w:val="22"/>
                <w:szCs w:val="22"/>
              </w:rPr>
            </w:pPr>
            <w:r>
              <w:rPr>
                <w:rFonts w:hint="eastAsia" w:ascii="宋体" w:hAnsi="宋体" w:cs="宋体"/>
                <w:sz w:val="22"/>
                <w:szCs w:val="22"/>
              </w:rPr>
              <w:t>采购内容</w:t>
            </w:r>
          </w:p>
        </w:tc>
        <w:tc>
          <w:tcPr>
            <w:tcW w:w="1265" w:type="dxa"/>
            <w:vAlign w:val="center"/>
          </w:tcPr>
          <w:p w14:paraId="55B89C4E">
            <w:pPr>
              <w:widowControl/>
              <w:spacing w:line="360" w:lineRule="auto"/>
              <w:jc w:val="center"/>
              <w:rPr>
                <w:rFonts w:ascii="宋体" w:hAnsi="宋体" w:cs="宋体"/>
                <w:sz w:val="22"/>
                <w:szCs w:val="22"/>
              </w:rPr>
            </w:pPr>
            <w:r>
              <w:rPr>
                <w:rFonts w:hint="eastAsia" w:ascii="宋体" w:hAnsi="宋体" w:cs="宋体"/>
                <w:sz w:val="22"/>
                <w:szCs w:val="22"/>
              </w:rPr>
              <w:t>型号或规格</w:t>
            </w:r>
          </w:p>
        </w:tc>
        <w:tc>
          <w:tcPr>
            <w:tcW w:w="769" w:type="dxa"/>
            <w:vAlign w:val="center"/>
          </w:tcPr>
          <w:p w14:paraId="3975B52A">
            <w:pPr>
              <w:widowControl/>
              <w:spacing w:line="360" w:lineRule="auto"/>
              <w:jc w:val="center"/>
              <w:rPr>
                <w:rFonts w:ascii="宋体" w:hAnsi="宋体" w:cs="宋体"/>
                <w:sz w:val="22"/>
                <w:szCs w:val="22"/>
              </w:rPr>
            </w:pPr>
            <w:r>
              <w:rPr>
                <w:rFonts w:hint="eastAsia" w:ascii="宋体" w:hAnsi="宋体" w:cs="宋体"/>
                <w:sz w:val="22"/>
                <w:szCs w:val="22"/>
              </w:rPr>
              <w:t>单位</w:t>
            </w:r>
          </w:p>
        </w:tc>
        <w:tc>
          <w:tcPr>
            <w:tcW w:w="783" w:type="dxa"/>
            <w:vAlign w:val="center"/>
          </w:tcPr>
          <w:p w14:paraId="4E03B326">
            <w:pPr>
              <w:widowControl/>
              <w:spacing w:line="360" w:lineRule="auto"/>
              <w:jc w:val="center"/>
              <w:rPr>
                <w:rFonts w:ascii="宋体" w:hAnsi="宋体" w:cs="宋体"/>
                <w:sz w:val="22"/>
                <w:szCs w:val="22"/>
              </w:rPr>
            </w:pPr>
            <w:r>
              <w:rPr>
                <w:rFonts w:hint="eastAsia" w:ascii="宋体" w:hAnsi="宋体" w:cs="宋体"/>
                <w:sz w:val="22"/>
                <w:szCs w:val="22"/>
              </w:rPr>
              <w:t xml:space="preserve">数量  </w:t>
            </w:r>
          </w:p>
        </w:tc>
        <w:tc>
          <w:tcPr>
            <w:tcW w:w="2322" w:type="dxa"/>
            <w:vAlign w:val="center"/>
          </w:tcPr>
          <w:p w14:paraId="3CA4E720">
            <w:pPr>
              <w:widowControl/>
              <w:spacing w:line="360" w:lineRule="auto"/>
              <w:jc w:val="center"/>
              <w:rPr>
                <w:rFonts w:ascii="宋体" w:hAnsi="宋体" w:cs="宋体"/>
                <w:sz w:val="22"/>
                <w:szCs w:val="22"/>
              </w:rPr>
            </w:pPr>
            <w:r>
              <w:rPr>
                <w:rFonts w:hint="eastAsia" w:ascii="宋体" w:hAnsi="宋体" w:cs="宋体"/>
                <w:sz w:val="22"/>
                <w:szCs w:val="22"/>
              </w:rPr>
              <w:t>要  求</w:t>
            </w:r>
          </w:p>
        </w:tc>
        <w:tc>
          <w:tcPr>
            <w:tcW w:w="2820" w:type="dxa"/>
            <w:vAlign w:val="center"/>
          </w:tcPr>
          <w:p w14:paraId="69E3E28C">
            <w:pPr>
              <w:widowControl/>
              <w:spacing w:line="360" w:lineRule="auto"/>
              <w:jc w:val="center"/>
              <w:rPr>
                <w:rFonts w:ascii="宋体" w:hAnsi="宋体" w:cs="宋体"/>
                <w:sz w:val="22"/>
                <w:szCs w:val="22"/>
              </w:rPr>
            </w:pPr>
            <w:r>
              <w:rPr>
                <w:rFonts w:hint="eastAsia" w:ascii="宋体" w:hAnsi="宋体" w:cs="宋体"/>
                <w:sz w:val="22"/>
                <w:szCs w:val="22"/>
              </w:rPr>
              <w:t>备  注</w:t>
            </w:r>
          </w:p>
        </w:tc>
      </w:tr>
      <w:tr w14:paraId="44B253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54" w:hRule="atLeast"/>
          <w:jc w:val="center"/>
        </w:trPr>
        <w:tc>
          <w:tcPr>
            <w:tcW w:w="671" w:type="dxa"/>
            <w:vMerge w:val="restart"/>
            <w:vAlign w:val="center"/>
          </w:tcPr>
          <w:p w14:paraId="5B16C38F">
            <w:pPr>
              <w:widowControl/>
              <w:spacing w:line="360" w:lineRule="auto"/>
              <w:jc w:val="center"/>
              <w:rPr>
                <w:rFonts w:ascii="宋体" w:hAnsi="宋体" w:cs="宋体"/>
                <w:sz w:val="22"/>
                <w:szCs w:val="22"/>
              </w:rPr>
            </w:pPr>
            <w:r>
              <w:rPr>
                <w:rFonts w:hint="eastAsia" w:ascii="宋体" w:hAnsi="宋体" w:cs="宋体"/>
                <w:sz w:val="22"/>
                <w:szCs w:val="22"/>
              </w:rPr>
              <w:t>灭鼠药械</w:t>
            </w:r>
          </w:p>
        </w:tc>
        <w:tc>
          <w:tcPr>
            <w:tcW w:w="1401" w:type="dxa"/>
            <w:vAlign w:val="center"/>
          </w:tcPr>
          <w:p w14:paraId="3E83709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灭鼠饵剂</w:t>
            </w:r>
          </w:p>
        </w:tc>
        <w:tc>
          <w:tcPr>
            <w:tcW w:w="1265" w:type="dxa"/>
            <w:vAlign w:val="center"/>
          </w:tcPr>
          <w:p w14:paraId="7849BC1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100克/包</w:t>
            </w:r>
          </w:p>
        </w:tc>
        <w:tc>
          <w:tcPr>
            <w:tcW w:w="769" w:type="dxa"/>
            <w:vAlign w:val="center"/>
          </w:tcPr>
          <w:p w14:paraId="3F2A6EE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2E18AB55">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8</w:t>
            </w:r>
          </w:p>
        </w:tc>
        <w:tc>
          <w:tcPr>
            <w:tcW w:w="2322" w:type="dxa"/>
            <w:vAlign w:val="center"/>
          </w:tcPr>
          <w:p w14:paraId="51DB297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溴鼠灵或溴敌隆含量≥0.005%,饵料新鲜,含水量不超过6%。</w:t>
            </w:r>
          </w:p>
        </w:tc>
        <w:tc>
          <w:tcPr>
            <w:tcW w:w="2820" w:type="dxa"/>
            <w:vAlign w:val="center"/>
          </w:tcPr>
          <w:p w14:paraId="7FDAFAC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春、秋两季集中灭鼠及日常维护(用于外环境、农贸市场等重点场所投放，五小行业、居民户等发放)</w:t>
            </w:r>
          </w:p>
        </w:tc>
      </w:tr>
      <w:tr w14:paraId="3DE58C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7798983E">
            <w:pPr>
              <w:widowControl/>
              <w:spacing w:line="360" w:lineRule="auto"/>
              <w:jc w:val="center"/>
              <w:rPr>
                <w:rFonts w:ascii="宋体" w:hAnsi="宋体" w:cs="宋体"/>
                <w:sz w:val="22"/>
                <w:szCs w:val="22"/>
              </w:rPr>
            </w:pPr>
          </w:p>
        </w:tc>
        <w:tc>
          <w:tcPr>
            <w:tcW w:w="1401" w:type="dxa"/>
            <w:vAlign w:val="center"/>
          </w:tcPr>
          <w:p w14:paraId="139ADA6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灭鼠蜡丸蜡块</w:t>
            </w:r>
          </w:p>
        </w:tc>
        <w:tc>
          <w:tcPr>
            <w:tcW w:w="1265" w:type="dxa"/>
            <w:vAlign w:val="center"/>
          </w:tcPr>
          <w:p w14:paraId="196E02A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500克/袋</w:t>
            </w:r>
          </w:p>
        </w:tc>
        <w:tc>
          <w:tcPr>
            <w:tcW w:w="769" w:type="dxa"/>
            <w:vAlign w:val="center"/>
          </w:tcPr>
          <w:p w14:paraId="156C2ED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4A3B9D2D">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2</w:t>
            </w:r>
          </w:p>
        </w:tc>
        <w:tc>
          <w:tcPr>
            <w:tcW w:w="2322" w:type="dxa"/>
            <w:vAlign w:val="center"/>
          </w:tcPr>
          <w:p w14:paraId="2A7676EE">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防霉、防蛀，浸泡水中24小时不崩解。</w:t>
            </w:r>
          </w:p>
        </w:tc>
        <w:tc>
          <w:tcPr>
            <w:tcW w:w="2820" w:type="dxa"/>
            <w:vAlign w:val="center"/>
          </w:tcPr>
          <w:p w14:paraId="62BCA6DE">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外环境投放、悬挂窨井、雨水井，专用下水道灭鼠</w:t>
            </w:r>
          </w:p>
        </w:tc>
      </w:tr>
      <w:tr w14:paraId="2909D9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5" w:hRule="atLeast"/>
          <w:jc w:val="center"/>
        </w:trPr>
        <w:tc>
          <w:tcPr>
            <w:tcW w:w="671" w:type="dxa"/>
            <w:vMerge w:val="continue"/>
            <w:vAlign w:val="center"/>
          </w:tcPr>
          <w:p w14:paraId="33978BDE">
            <w:pPr>
              <w:widowControl/>
              <w:spacing w:line="360" w:lineRule="auto"/>
              <w:jc w:val="center"/>
              <w:rPr>
                <w:rFonts w:ascii="宋体" w:hAnsi="宋体" w:cs="宋体"/>
                <w:sz w:val="22"/>
                <w:szCs w:val="22"/>
              </w:rPr>
            </w:pPr>
          </w:p>
        </w:tc>
        <w:tc>
          <w:tcPr>
            <w:tcW w:w="1401" w:type="dxa"/>
            <w:vAlign w:val="center"/>
          </w:tcPr>
          <w:p w14:paraId="2A0088B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粘鼠板</w:t>
            </w:r>
          </w:p>
        </w:tc>
        <w:tc>
          <w:tcPr>
            <w:tcW w:w="1265" w:type="dxa"/>
            <w:vAlign w:val="center"/>
          </w:tcPr>
          <w:p w14:paraId="3C6740A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35×25cm,</w:t>
            </w:r>
          </w:p>
        </w:tc>
        <w:tc>
          <w:tcPr>
            <w:tcW w:w="769" w:type="dxa"/>
            <w:vAlign w:val="center"/>
          </w:tcPr>
          <w:p w14:paraId="76DB416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张</w:t>
            </w:r>
          </w:p>
        </w:tc>
        <w:tc>
          <w:tcPr>
            <w:tcW w:w="783" w:type="dxa"/>
            <w:shd w:val="clear" w:color="auto" w:fill="auto"/>
            <w:vAlign w:val="center"/>
          </w:tcPr>
          <w:p w14:paraId="187C2B89">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10000</w:t>
            </w:r>
          </w:p>
        </w:tc>
        <w:tc>
          <w:tcPr>
            <w:tcW w:w="2322" w:type="dxa"/>
            <w:vAlign w:val="center"/>
          </w:tcPr>
          <w:p w14:paraId="73B35B67">
            <w:pPr>
              <w:widowControl/>
              <w:spacing w:line="360" w:lineRule="auto"/>
              <w:jc w:val="center"/>
              <w:rPr>
                <w:rFonts w:ascii="宋体" w:hAnsi="宋体" w:cs="宋体"/>
                <w:color w:val="auto"/>
                <w:sz w:val="22"/>
                <w:szCs w:val="22"/>
              </w:rPr>
            </w:pPr>
            <w:r>
              <w:rPr>
                <w:rFonts w:hint="eastAsia" w:ascii="宋体" w:hAnsi="宋体" w:cs="宋体"/>
                <w:color w:val="auto"/>
                <w:sz w:val="22"/>
                <w:szCs w:val="22"/>
              </w:rPr>
              <w:t>胶含量≥30克。</w:t>
            </w:r>
          </w:p>
        </w:tc>
        <w:tc>
          <w:tcPr>
            <w:tcW w:w="2820" w:type="dxa"/>
            <w:vAlign w:val="center"/>
          </w:tcPr>
          <w:p w14:paraId="7C86019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发放农贸市场、沿街经营户等</w:t>
            </w:r>
          </w:p>
        </w:tc>
      </w:tr>
      <w:tr w14:paraId="7CF340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306F2F61">
            <w:pPr>
              <w:widowControl/>
              <w:spacing w:line="360" w:lineRule="auto"/>
              <w:jc w:val="center"/>
              <w:rPr>
                <w:rFonts w:ascii="宋体" w:hAnsi="宋体" w:cs="宋体"/>
                <w:sz w:val="22"/>
                <w:szCs w:val="22"/>
              </w:rPr>
            </w:pPr>
          </w:p>
        </w:tc>
        <w:tc>
          <w:tcPr>
            <w:tcW w:w="1401" w:type="dxa"/>
            <w:vAlign w:val="center"/>
          </w:tcPr>
          <w:p w14:paraId="1D97143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毒鼠屋</w:t>
            </w:r>
          </w:p>
        </w:tc>
        <w:tc>
          <w:tcPr>
            <w:tcW w:w="1265" w:type="dxa"/>
            <w:vAlign w:val="center"/>
          </w:tcPr>
          <w:p w14:paraId="69149DF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300×110×110mm</w:t>
            </w:r>
          </w:p>
        </w:tc>
        <w:tc>
          <w:tcPr>
            <w:tcW w:w="769" w:type="dxa"/>
            <w:vAlign w:val="center"/>
          </w:tcPr>
          <w:p w14:paraId="0893ABBE">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只</w:t>
            </w:r>
          </w:p>
        </w:tc>
        <w:tc>
          <w:tcPr>
            <w:tcW w:w="783" w:type="dxa"/>
            <w:shd w:val="clear" w:color="auto" w:fill="auto"/>
            <w:vAlign w:val="center"/>
          </w:tcPr>
          <w:p w14:paraId="46AEC9F0">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3000</w:t>
            </w:r>
          </w:p>
        </w:tc>
        <w:tc>
          <w:tcPr>
            <w:tcW w:w="5142" w:type="dxa"/>
            <w:gridSpan w:val="2"/>
            <w:vAlign w:val="center"/>
          </w:tcPr>
          <w:p w14:paraId="3FE02FF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指定区域安装并做好维护。</w:t>
            </w:r>
          </w:p>
        </w:tc>
      </w:tr>
      <w:tr w14:paraId="23530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restart"/>
            <w:vAlign w:val="center"/>
          </w:tcPr>
          <w:p w14:paraId="23E0583C">
            <w:pPr>
              <w:widowControl/>
              <w:spacing w:line="360" w:lineRule="auto"/>
              <w:jc w:val="center"/>
              <w:rPr>
                <w:rFonts w:ascii="宋体" w:hAnsi="宋体" w:cs="宋体"/>
                <w:sz w:val="22"/>
                <w:szCs w:val="22"/>
              </w:rPr>
            </w:pPr>
            <w:r>
              <w:rPr>
                <w:rFonts w:hint="eastAsia" w:ascii="宋体" w:hAnsi="宋体" w:cs="宋体"/>
                <w:sz w:val="22"/>
                <w:szCs w:val="22"/>
              </w:rPr>
              <w:t>灭蟑药物</w:t>
            </w:r>
          </w:p>
        </w:tc>
        <w:tc>
          <w:tcPr>
            <w:tcW w:w="1401" w:type="dxa"/>
            <w:vAlign w:val="center"/>
          </w:tcPr>
          <w:p w14:paraId="69A3795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灭蟑药水</w:t>
            </w:r>
          </w:p>
        </w:tc>
        <w:tc>
          <w:tcPr>
            <w:tcW w:w="1265" w:type="dxa"/>
            <w:vAlign w:val="center"/>
          </w:tcPr>
          <w:p w14:paraId="3F44560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1000毫升/瓶</w:t>
            </w:r>
          </w:p>
        </w:tc>
        <w:tc>
          <w:tcPr>
            <w:tcW w:w="769" w:type="dxa"/>
            <w:vAlign w:val="center"/>
          </w:tcPr>
          <w:p w14:paraId="3765FE1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435186CE">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1</w:t>
            </w:r>
          </w:p>
        </w:tc>
        <w:tc>
          <w:tcPr>
            <w:tcW w:w="2322" w:type="dxa"/>
            <w:vAlign w:val="center"/>
          </w:tcPr>
          <w:p w14:paraId="71EDCCD5">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氨基甲酸脂类杀虫剂与拟除虫菊酯类杀虫剂复配，含量≥15%</w:t>
            </w:r>
          </w:p>
        </w:tc>
        <w:tc>
          <w:tcPr>
            <w:tcW w:w="2820" w:type="dxa"/>
            <w:vAlign w:val="center"/>
          </w:tcPr>
          <w:p w14:paraId="612963E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重点单位灭蟑滞留喷杀</w:t>
            </w:r>
          </w:p>
        </w:tc>
      </w:tr>
      <w:tr w14:paraId="6C2EA8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66B5EE14">
            <w:pPr>
              <w:widowControl/>
              <w:spacing w:line="360" w:lineRule="auto"/>
              <w:jc w:val="center"/>
              <w:rPr>
                <w:rFonts w:ascii="宋体" w:hAnsi="宋体" w:cs="宋体"/>
                <w:sz w:val="22"/>
                <w:szCs w:val="22"/>
              </w:rPr>
            </w:pPr>
          </w:p>
        </w:tc>
        <w:tc>
          <w:tcPr>
            <w:tcW w:w="1401" w:type="dxa"/>
            <w:vAlign w:val="center"/>
          </w:tcPr>
          <w:p w14:paraId="54B4AD1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灭蟑饵剂</w:t>
            </w:r>
          </w:p>
        </w:tc>
        <w:tc>
          <w:tcPr>
            <w:tcW w:w="1265" w:type="dxa"/>
            <w:vAlign w:val="center"/>
          </w:tcPr>
          <w:p w14:paraId="0157C07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10克/包</w:t>
            </w:r>
          </w:p>
        </w:tc>
        <w:tc>
          <w:tcPr>
            <w:tcW w:w="769" w:type="dxa"/>
            <w:vAlign w:val="center"/>
          </w:tcPr>
          <w:p w14:paraId="569B2678">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包</w:t>
            </w:r>
          </w:p>
        </w:tc>
        <w:tc>
          <w:tcPr>
            <w:tcW w:w="783" w:type="dxa"/>
            <w:shd w:val="clear" w:color="auto" w:fill="auto"/>
            <w:vAlign w:val="center"/>
          </w:tcPr>
          <w:p w14:paraId="0E5E9A0B">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50000</w:t>
            </w:r>
          </w:p>
        </w:tc>
        <w:tc>
          <w:tcPr>
            <w:tcW w:w="2322" w:type="dxa"/>
            <w:vAlign w:val="center"/>
          </w:tcPr>
          <w:p w14:paraId="29D7A75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乙酰甲胺磷含量≥1，低毒、高效。</w:t>
            </w:r>
          </w:p>
        </w:tc>
        <w:tc>
          <w:tcPr>
            <w:tcW w:w="2820" w:type="dxa"/>
            <w:vAlign w:val="center"/>
          </w:tcPr>
          <w:p w14:paraId="036308B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高发季节集中灭蟑及日常维护（居民、农贸市场、沿街商户等发放）</w:t>
            </w:r>
          </w:p>
        </w:tc>
      </w:tr>
      <w:tr w14:paraId="40DDB4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504BFE46">
            <w:pPr>
              <w:widowControl/>
              <w:spacing w:line="360" w:lineRule="auto"/>
              <w:jc w:val="center"/>
              <w:rPr>
                <w:rFonts w:ascii="宋体" w:hAnsi="宋体" w:cs="宋体"/>
                <w:sz w:val="22"/>
                <w:szCs w:val="22"/>
              </w:rPr>
            </w:pPr>
          </w:p>
        </w:tc>
        <w:tc>
          <w:tcPr>
            <w:tcW w:w="1401" w:type="dxa"/>
            <w:vAlign w:val="center"/>
          </w:tcPr>
          <w:p w14:paraId="52580E4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杀蟑胶饵</w:t>
            </w:r>
          </w:p>
        </w:tc>
        <w:tc>
          <w:tcPr>
            <w:tcW w:w="1265" w:type="dxa"/>
            <w:vAlign w:val="center"/>
          </w:tcPr>
          <w:p w14:paraId="10F43C5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10克/支</w:t>
            </w:r>
          </w:p>
        </w:tc>
        <w:tc>
          <w:tcPr>
            <w:tcW w:w="769" w:type="dxa"/>
            <w:vAlign w:val="center"/>
          </w:tcPr>
          <w:p w14:paraId="15FC3E5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支</w:t>
            </w:r>
          </w:p>
        </w:tc>
        <w:tc>
          <w:tcPr>
            <w:tcW w:w="783" w:type="dxa"/>
            <w:shd w:val="clear" w:color="auto" w:fill="auto"/>
            <w:vAlign w:val="center"/>
          </w:tcPr>
          <w:p w14:paraId="0C9ECF0C">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5000</w:t>
            </w:r>
          </w:p>
        </w:tc>
        <w:tc>
          <w:tcPr>
            <w:tcW w:w="2322" w:type="dxa"/>
            <w:vAlign w:val="center"/>
          </w:tcPr>
          <w:p w14:paraId="3AC36FF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吡虫啉、氟虫氰、氟虫胺等杀虫剂，引诱性良好。</w:t>
            </w:r>
          </w:p>
        </w:tc>
        <w:tc>
          <w:tcPr>
            <w:tcW w:w="2820" w:type="dxa"/>
            <w:vAlign w:val="center"/>
          </w:tcPr>
          <w:p w14:paraId="580C258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高发季节集中灭蟑及日常维护（居民、农贸市场、沿街商户等发放）</w:t>
            </w:r>
          </w:p>
        </w:tc>
      </w:tr>
      <w:tr w14:paraId="2D30DC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tcBorders>
              <w:bottom w:val="single" w:color="auto" w:sz="4" w:space="0"/>
            </w:tcBorders>
            <w:vAlign w:val="center"/>
          </w:tcPr>
          <w:p w14:paraId="0AE02651">
            <w:pPr>
              <w:widowControl/>
              <w:spacing w:line="360" w:lineRule="auto"/>
              <w:jc w:val="center"/>
              <w:rPr>
                <w:rFonts w:ascii="宋体" w:hAnsi="宋体" w:cs="宋体"/>
                <w:sz w:val="22"/>
                <w:szCs w:val="22"/>
              </w:rPr>
            </w:pPr>
          </w:p>
        </w:tc>
        <w:tc>
          <w:tcPr>
            <w:tcW w:w="1401" w:type="dxa"/>
            <w:vAlign w:val="center"/>
          </w:tcPr>
          <w:p w14:paraId="740F6E0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杀蟑粉剂</w:t>
            </w:r>
          </w:p>
        </w:tc>
        <w:tc>
          <w:tcPr>
            <w:tcW w:w="1265" w:type="dxa"/>
            <w:vAlign w:val="center"/>
          </w:tcPr>
          <w:p w14:paraId="3335ABC7">
            <w:pPr>
              <w:widowControl/>
              <w:spacing w:line="360" w:lineRule="auto"/>
              <w:jc w:val="center"/>
              <w:rPr>
                <w:rFonts w:ascii="宋体" w:hAnsi="宋体" w:cs="宋体"/>
                <w:color w:val="auto"/>
                <w:sz w:val="22"/>
                <w:szCs w:val="22"/>
              </w:rPr>
            </w:pPr>
            <w:r>
              <w:rPr>
                <w:rFonts w:hint="eastAsia" w:ascii="宋体" w:hAnsi="宋体" w:cs="宋体"/>
                <w:color w:val="auto"/>
                <w:sz w:val="22"/>
                <w:szCs w:val="22"/>
              </w:rPr>
              <w:t>25克/瓶</w:t>
            </w:r>
          </w:p>
        </w:tc>
        <w:tc>
          <w:tcPr>
            <w:tcW w:w="769" w:type="dxa"/>
            <w:vAlign w:val="center"/>
          </w:tcPr>
          <w:p w14:paraId="16245F8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瓶</w:t>
            </w:r>
          </w:p>
        </w:tc>
        <w:tc>
          <w:tcPr>
            <w:tcW w:w="783" w:type="dxa"/>
            <w:shd w:val="clear" w:color="auto" w:fill="auto"/>
            <w:vAlign w:val="center"/>
          </w:tcPr>
          <w:p w14:paraId="568CD796">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7</w:t>
            </w:r>
            <w:r>
              <w:rPr>
                <w:rFonts w:hint="eastAsia" w:ascii="宋体" w:hAnsi="宋体" w:cs="宋体"/>
                <w:color w:val="auto"/>
                <w:sz w:val="22"/>
                <w:szCs w:val="22"/>
              </w:rPr>
              <w:t>000</w:t>
            </w:r>
          </w:p>
        </w:tc>
        <w:tc>
          <w:tcPr>
            <w:tcW w:w="2322" w:type="dxa"/>
            <w:vAlign w:val="center"/>
          </w:tcPr>
          <w:p w14:paraId="67EC123E">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氨基甲酸脂类杀虫剂与拟除虫菊酯类杀虫剂复配，含量≥0.6%</w:t>
            </w:r>
          </w:p>
        </w:tc>
        <w:tc>
          <w:tcPr>
            <w:tcW w:w="2820" w:type="dxa"/>
            <w:vAlign w:val="center"/>
          </w:tcPr>
          <w:p w14:paraId="146617E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居民及单位灭蟑</w:t>
            </w:r>
          </w:p>
        </w:tc>
      </w:tr>
      <w:tr w14:paraId="55E93F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restart"/>
            <w:tcBorders>
              <w:top w:val="single" w:color="auto" w:sz="4" w:space="0"/>
            </w:tcBorders>
            <w:vAlign w:val="center"/>
          </w:tcPr>
          <w:p w14:paraId="22C75FDB">
            <w:pPr>
              <w:widowControl/>
              <w:spacing w:line="360" w:lineRule="auto"/>
              <w:jc w:val="center"/>
              <w:rPr>
                <w:rFonts w:ascii="宋体" w:hAnsi="宋体" w:cs="宋体"/>
                <w:sz w:val="22"/>
                <w:szCs w:val="22"/>
              </w:rPr>
            </w:pPr>
            <w:r>
              <w:rPr>
                <w:rFonts w:hint="eastAsia" w:ascii="宋体" w:hAnsi="宋体" w:cs="宋体"/>
                <w:sz w:val="22"/>
                <w:szCs w:val="22"/>
              </w:rPr>
              <w:t>灭蚊蝇药物</w:t>
            </w:r>
          </w:p>
        </w:tc>
        <w:tc>
          <w:tcPr>
            <w:tcW w:w="1401" w:type="dxa"/>
            <w:vAlign w:val="center"/>
          </w:tcPr>
          <w:p w14:paraId="27D1781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灭蚊蝇液剂</w:t>
            </w:r>
          </w:p>
        </w:tc>
        <w:tc>
          <w:tcPr>
            <w:tcW w:w="1265" w:type="dxa"/>
            <w:vAlign w:val="center"/>
          </w:tcPr>
          <w:p w14:paraId="0820A4AC">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1000毫升/瓶</w:t>
            </w:r>
          </w:p>
        </w:tc>
        <w:tc>
          <w:tcPr>
            <w:tcW w:w="769" w:type="dxa"/>
            <w:vAlign w:val="center"/>
          </w:tcPr>
          <w:p w14:paraId="3D75D33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08D1A7DA">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6</w:t>
            </w:r>
            <w:r>
              <w:rPr>
                <w:rFonts w:hint="eastAsia" w:ascii="宋体" w:hAnsi="宋体" w:cs="宋体"/>
                <w:color w:val="auto"/>
                <w:sz w:val="22"/>
                <w:szCs w:val="22"/>
              </w:rPr>
              <w:t>.5</w:t>
            </w:r>
          </w:p>
        </w:tc>
        <w:tc>
          <w:tcPr>
            <w:tcW w:w="2322" w:type="dxa"/>
            <w:vAlign w:val="center"/>
          </w:tcPr>
          <w:p w14:paraId="6B7DF84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拟除虫菊酯了杀虫剂，有效成份含量≥5%,水乳剂或乳油。</w:t>
            </w:r>
          </w:p>
        </w:tc>
        <w:tc>
          <w:tcPr>
            <w:tcW w:w="2820" w:type="dxa"/>
            <w:vAlign w:val="center"/>
          </w:tcPr>
          <w:p w14:paraId="15387435">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公共外环境消杀，空间喷洒</w:t>
            </w:r>
          </w:p>
        </w:tc>
      </w:tr>
      <w:tr w14:paraId="171791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6C4A04DB">
            <w:pPr>
              <w:widowControl/>
              <w:spacing w:line="360" w:lineRule="auto"/>
              <w:jc w:val="center"/>
              <w:rPr>
                <w:rFonts w:ascii="宋体" w:hAnsi="宋体" w:cs="宋体"/>
                <w:sz w:val="22"/>
                <w:szCs w:val="22"/>
              </w:rPr>
            </w:pPr>
          </w:p>
        </w:tc>
        <w:tc>
          <w:tcPr>
            <w:tcW w:w="1401" w:type="dxa"/>
            <w:vAlign w:val="center"/>
          </w:tcPr>
          <w:p w14:paraId="2642747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金属落地式捕蝇笼</w:t>
            </w:r>
          </w:p>
        </w:tc>
        <w:tc>
          <w:tcPr>
            <w:tcW w:w="1265" w:type="dxa"/>
            <w:vAlign w:val="center"/>
          </w:tcPr>
          <w:p w14:paraId="5BC817D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390*224*920</w:t>
            </w:r>
          </w:p>
        </w:tc>
        <w:tc>
          <w:tcPr>
            <w:tcW w:w="769" w:type="dxa"/>
            <w:vAlign w:val="center"/>
          </w:tcPr>
          <w:p w14:paraId="466D959E">
            <w:pPr>
              <w:widowControl/>
              <w:spacing w:line="360" w:lineRule="auto"/>
              <w:jc w:val="center"/>
              <w:rPr>
                <w:rFonts w:ascii="宋体" w:hAnsi="宋体" w:cs="宋体"/>
                <w:color w:val="auto"/>
                <w:sz w:val="22"/>
                <w:szCs w:val="22"/>
              </w:rPr>
            </w:pPr>
            <w:r>
              <w:rPr>
                <w:rFonts w:hint="eastAsia" w:ascii="宋体" w:hAnsi="宋体" w:cs="宋体"/>
                <w:color w:val="auto"/>
                <w:sz w:val="22"/>
                <w:szCs w:val="22"/>
              </w:rPr>
              <w:t>个</w:t>
            </w:r>
          </w:p>
        </w:tc>
        <w:tc>
          <w:tcPr>
            <w:tcW w:w="783" w:type="dxa"/>
            <w:shd w:val="clear" w:color="auto" w:fill="auto"/>
            <w:vAlign w:val="center"/>
          </w:tcPr>
          <w:p w14:paraId="40C3CB20">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w:t>
            </w:r>
            <w:r>
              <w:rPr>
                <w:rFonts w:hint="eastAsia" w:ascii="宋体" w:hAnsi="宋体" w:cs="宋体"/>
                <w:color w:val="auto"/>
                <w:sz w:val="22"/>
                <w:szCs w:val="22"/>
              </w:rPr>
              <w:t>00</w:t>
            </w:r>
          </w:p>
        </w:tc>
        <w:tc>
          <w:tcPr>
            <w:tcW w:w="2322" w:type="dxa"/>
            <w:vAlign w:val="center"/>
          </w:tcPr>
          <w:p w14:paraId="239840F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金属材质，落地式</w:t>
            </w:r>
          </w:p>
        </w:tc>
        <w:tc>
          <w:tcPr>
            <w:tcW w:w="2820" w:type="dxa"/>
            <w:vAlign w:val="center"/>
          </w:tcPr>
          <w:p w14:paraId="5C4AA23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指定区域安装并做好维护</w:t>
            </w:r>
          </w:p>
        </w:tc>
      </w:tr>
      <w:tr w14:paraId="7DB42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9" w:hRule="atLeast"/>
          <w:jc w:val="center"/>
        </w:trPr>
        <w:tc>
          <w:tcPr>
            <w:tcW w:w="671" w:type="dxa"/>
            <w:vMerge w:val="continue"/>
            <w:vAlign w:val="center"/>
          </w:tcPr>
          <w:p w14:paraId="42373A59">
            <w:pPr>
              <w:widowControl/>
              <w:spacing w:line="360" w:lineRule="auto"/>
              <w:jc w:val="center"/>
              <w:rPr>
                <w:rFonts w:ascii="宋体" w:hAnsi="宋体" w:cs="宋体"/>
                <w:sz w:val="22"/>
                <w:szCs w:val="22"/>
              </w:rPr>
            </w:pPr>
          </w:p>
        </w:tc>
        <w:tc>
          <w:tcPr>
            <w:tcW w:w="1401" w:type="dxa"/>
            <w:vAlign w:val="center"/>
          </w:tcPr>
          <w:p w14:paraId="51603A0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悬挂式捕蝇笼</w:t>
            </w:r>
          </w:p>
        </w:tc>
        <w:tc>
          <w:tcPr>
            <w:tcW w:w="1265" w:type="dxa"/>
            <w:vAlign w:val="center"/>
          </w:tcPr>
          <w:p w14:paraId="0209729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743B45B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个</w:t>
            </w:r>
          </w:p>
        </w:tc>
        <w:tc>
          <w:tcPr>
            <w:tcW w:w="783" w:type="dxa"/>
            <w:shd w:val="clear" w:color="auto" w:fill="auto"/>
            <w:vAlign w:val="center"/>
          </w:tcPr>
          <w:p w14:paraId="12A53FFA">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300</w:t>
            </w:r>
          </w:p>
        </w:tc>
        <w:tc>
          <w:tcPr>
            <w:tcW w:w="2322" w:type="dxa"/>
            <w:vAlign w:val="center"/>
          </w:tcPr>
          <w:p w14:paraId="4F364D6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2820" w:type="dxa"/>
            <w:vAlign w:val="center"/>
          </w:tcPr>
          <w:p w14:paraId="354F2E0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指定区域安装并做好维护</w:t>
            </w:r>
          </w:p>
        </w:tc>
      </w:tr>
      <w:tr w14:paraId="7569EA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7492055A">
            <w:pPr>
              <w:widowControl/>
              <w:spacing w:line="360" w:lineRule="auto"/>
              <w:jc w:val="center"/>
              <w:rPr>
                <w:rFonts w:ascii="宋体" w:hAnsi="宋体" w:cs="宋体"/>
                <w:sz w:val="22"/>
                <w:szCs w:val="22"/>
              </w:rPr>
            </w:pPr>
          </w:p>
        </w:tc>
        <w:tc>
          <w:tcPr>
            <w:tcW w:w="1401" w:type="dxa"/>
            <w:shd w:val="clear" w:color="auto" w:fill="auto"/>
            <w:vAlign w:val="center"/>
          </w:tcPr>
          <w:p w14:paraId="63A6AD7E">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捕蝇笼</w:t>
            </w:r>
            <w:r>
              <w:rPr>
                <w:rFonts w:hint="eastAsia" w:ascii="宋体" w:hAnsi="宋体" w:cs="宋体"/>
                <w:color w:val="auto"/>
                <w:sz w:val="22"/>
                <w:szCs w:val="22"/>
                <w:lang w:eastAsia="zh-CN"/>
              </w:rPr>
              <w:t>饵剂</w:t>
            </w:r>
          </w:p>
        </w:tc>
        <w:tc>
          <w:tcPr>
            <w:tcW w:w="1265" w:type="dxa"/>
            <w:shd w:val="clear" w:color="auto" w:fill="auto"/>
            <w:vAlign w:val="center"/>
          </w:tcPr>
          <w:p w14:paraId="1D74E0C4">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10克/包</w:t>
            </w:r>
          </w:p>
        </w:tc>
        <w:tc>
          <w:tcPr>
            <w:tcW w:w="769" w:type="dxa"/>
            <w:shd w:val="clear" w:color="auto" w:fill="auto"/>
            <w:vAlign w:val="center"/>
          </w:tcPr>
          <w:p w14:paraId="35241A8F">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eastAsia="zh-CN"/>
              </w:rPr>
              <w:t>包</w:t>
            </w:r>
          </w:p>
        </w:tc>
        <w:tc>
          <w:tcPr>
            <w:tcW w:w="783" w:type="dxa"/>
            <w:shd w:val="clear" w:color="auto" w:fill="auto"/>
            <w:vAlign w:val="center"/>
          </w:tcPr>
          <w:p w14:paraId="6B12B416">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3000</w:t>
            </w:r>
          </w:p>
        </w:tc>
        <w:tc>
          <w:tcPr>
            <w:tcW w:w="2322" w:type="dxa"/>
            <w:vAlign w:val="center"/>
          </w:tcPr>
          <w:p w14:paraId="2690F0B1">
            <w:pPr>
              <w:widowControl/>
              <w:spacing w:line="360" w:lineRule="auto"/>
              <w:jc w:val="center"/>
              <w:rPr>
                <w:rFonts w:hint="eastAsia" w:ascii="宋体" w:hAnsi="宋体" w:cs="宋体"/>
                <w:color w:val="auto"/>
                <w:sz w:val="22"/>
                <w:szCs w:val="22"/>
              </w:rPr>
            </w:pPr>
          </w:p>
        </w:tc>
        <w:tc>
          <w:tcPr>
            <w:tcW w:w="2820" w:type="dxa"/>
            <w:vAlign w:val="center"/>
          </w:tcPr>
          <w:p w14:paraId="09631557">
            <w:pPr>
              <w:widowControl/>
              <w:spacing w:line="360" w:lineRule="auto"/>
              <w:jc w:val="center"/>
              <w:rPr>
                <w:rFonts w:hint="eastAsia" w:ascii="宋体" w:hAnsi="宋体" w:cs="宋体"/>
                <w:color w:val="auto"/>
                <w:sz w:val="22"/>
                <w:szCs w:val="22"/>
              </w:rPr>
            </w:pPr>
          </w:p>
        </w:tc>
      </w:tr>
      <w:tr w14:paraId="3BAABD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687166FA">
            <w:pPr>
              <w:widowControl/>
              <w:spacing w:line="360" w:lineRule="auto"/>
              <w:jc w:val="center"/>
              <w:rPr>
                <w:rFonts w:ascii="宋体" w:hAnsi="宋体" w:cs="宋体"/>
                <w:sz w:val="22"/>
                <w:szCs w:val="22"/>
              </w:rPr>
            </w:pPr>
          </w:p>
        </w:tc>
        <w:tc>
          <w:tcPr>
            <w:tcW w:w="1401" w:type="dxa"/>
            <w:vAlign w:val="center"/>
          </w:tcPr>
          <w:p w14:paraId="3BC7B6D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杀幼虫缓释颗粒剂</w:t>
            </w:r>
          </w:p>
        </w:tc>
        <w:tc>
          <w:tcPr>
            <w:tcW w:w="1265" w:type="dxa"/>
            <w:vAlign w:val="center"/>
          </w:tcPr>
          <w:p w14:paraId="45EC394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500克×20包</w:t>
            </w:r>
          </w:p>
        </w:tc>
        <w:tc>
          <w:tcPr>
            <w:tcW w:w="769" w:type="dxa"/>
            <w:vAlign w:val="center"/>
          </w:tcPr>
          <w:p w14:paraId="66BE6A8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0B17D398">
            <w:pPr>
              <w:widowControl/>
              <w:spacing w:line="300" w:lineRule="exact"/>
              <w:jc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3.5</w:t>
            </w:r>
          </w:p>
        </w:tc>
        <w:tc>
          <w:tcPr>
            <w:tcW w:w="2322" w:type="dxa"/>
            <w:vAlign w:val="center"/>
          </w:tcPr>
          <w:p w14:paraId="5829563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5%倍硫磷</w:t>
            </w:r>
          </w:p>
        </w:tc>
        <w:tc>
          <w:tcPr>
            <w:tcW w:w="2820" w:type="dxa"/>
            <w:vAlign w:val="center"/>
          </w:tcPr>
          <w:p w14:paraId="720471B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窨井、积水灭蚊幼</w:t>
            </w:r>
          </w:p>
        </w:tc>
      </w:tr>
      <w:tr w14:paraId="7F1207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restart"/>
            <w:vAlign w:val="center"/>
          </w:tcPr>
          <w:p w14:paraId="002ADCBF">
            <w:pPr>
              <w:widowControl/>
              <w:spacing w:line="360" w:lineRule="auto"/>
              <w:jc w:val="center"/>
              <w:rPr>
                <w:rFonts w:ascii="宋体" w:hAnsi="宋体" w:cs="宋体"/>
                <w:sz w:val="22"/>
                <w:szCs w:val="22"/>
              </w:rPr>
            </w:pPr>
            <w:r>
              <w:rPr>
                <w:rFonts w:hint="eastAsia" w:ascii="宋体" w:hAnsi="宋体" w:cs="宋体"/>
                <w:sz w:val="22"/>
                <w:szCs w:val="22"/>
              </w:rPr>
              <w:t>综合防制</w:t>
            </w:r>
          </w:p>
        </w:tc>
        <w:tc>
          <w:tcPr>
            <w:tcW w:w="1401" w:type="dxa"/>
            <w:vAlign w:val="center"/>
          </w:tcPr>
          <w:p w14:paraId="3B98824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农贸市场消杀</w:t>
            </w:r>
          </w:p>
        </w:tc>
        <w:tc>
          <w:tcPr>
            <w:tcW w:w="1265" w:type="dxa"/>
            <w:vAlign w:val="center"/>
          </w:tcPr>
          <w:p w14:paraId="6A3FB92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38980C1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家</w:t>
            </w:r>
          </w:p>
        </w:tc>
        <w:tc>
          <w:tcPr>
            <w:tcW w:w="783" w:type="dxa"/>
            <w:shd w:val="clear" w:color="auto" w:fill="auto"/>
            <w:vAlign w:val="center"/>
          </w:tcPr>
          <w:p w14:paraId="5B93BC6C">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1</w:t>
            </w:r>
            <w:r>
              <w:rPr>
                <w:rFonts w:hint="eastAsia" w:ascii="宋体" w:hAnsi="宋体" w:cs="宋体"/>
                <w:color w:val="auto"/>
                <w:sz w:val="22"/>
                <w:szCs w:val="22"/>
                <w:lang w:val="en-US" w:eastAsia="zh-CN"/>
              </w:rPr>
              <w:t>8</w:t>
            </w:r>
          </w:p>
        </w:tc>
        <w:tc>
          <w:tcPr>
            <w:tcW w:w="5142" w:type="dxa"/>
            <w:gridSpan w:val="2"/>
            <w:vAlign w:val="center"/>
          </w:tcPr>
          <w:p w14:paraId="64048BBC">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每星期全面消杀1次。</w:t>
            </w:r>
          </w:p>
        </w:tc>
      </w:tr>
      <w:tr w14:paraId="50DB6B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39162A9B">
            <w:pPr>
              <w:widowControl/>
              <w:spacing w:line="360" w:lineRule="auto"/>
              <w:jc w:val="center"/>
              <w:rPr>
                <w:rFonts w:ascii="宋体" w:hAnsi="宋体" w:cs="宋体"/>
                <w:sz w:val="22"/>
                <w:szCs w:val="22"/>
              </w:rPr>
            </w:pPr>
          </w:p>
        </w:tc>
        <w:tc>
          <w:tcPr>
            <w:tcW w:w="1401" w:type="dxa"/>
            <w:vAlign w:val="center"/>
          </w:tcPr>
          <w:p w14:paraId="150C0A4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重点单位</w:t>
            </w:r>
          </w:p>
        </w:tc>
        <w:tc>
          <w:tcPr>
            <w:tcW w:w="1265" w:type="dxa"/>
            <w:vAlign w:val="center"/>
          </w:tcPr>
          <w:p w14:paraId="6CC350A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5B743B87">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家</w:t>
            </w:r>
          </w:p>
        </w:tc>
        <w:tc>
          <w:tcPr>
            <w:tcW w:w="783" w:type="dxa"/>
            <w:shd w:val="clear" w:color="auto" w:fill="auto"/>
            <w:vAlign w:val="center"/>
          </w:tcPr>
          <w:p w14:paraId="5FA59014">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4</w:t>
            </w:r>
            <w:r>
              <w:rPr>
                <w:rFonts w:hint="eastAsia" w:ascii="宋体" w:hAnsi="宋体" w:cs="宋体"/>
                <w:color w:val="auto"/>
                <w:sz w:val="22"/>
                <w:szCs w:val="22"/>
              </w:rPr>
              <w:t>00</w:t>
            </w:r>
          </w:p>
        </w:tc>
        <w:tc>
          <w:tcPr>
            <w:tcW w:w="5142" w:type="dxa"/>
            <w:gridSpan w:val="2"/>
            <w:vAlign w:val="center"/>
          </w:tcPr>
          <w:p w14:paraId="4D51E9E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蚊蝇蟑鼠的防制，名单由采购人确定</w:t>
            </w:r>
          </w:p>
        </w:tc>
      </w:tr>
      <w:tr w14:paraId="247958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1CC4EEE8">
            <w:pPr>
              <w:widowControl/>
              <w:spacing w:line="360" w:lineRule="auto"/>
              <w:jc w:val="center"/>
              <w:rPr>
                <w:rFonts w:ascii="宋体" w:hAnsi="宋体" w:cs="宋体"/>
                <w:sz w:val="22"/>
                <w:szCs w:val="22"/>
              </w:rPr>
            </w:pPr>
          </w:p>
        </w:tc>
        <w:tc>
          <w:tcPr>
            <w:tcW w:w="1401" w:type="dxa"/>
            <w:vAlign w:val="center"/>
          </w:tcPr>
          <w:p w14:paraId="2636964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设施维护</w:t>
            </w:r>
          </w:p>
        </w:tc>
        <w:tc>
          <w:tcPr>
            <w:tcW w:w="1265" w:type="dxa"/>
            <w:vAlign w:val="center"/>
          </w:tcPr>
          <w:p w14:paraId="4E982B4C">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3E379E1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83" w:type="dxa"/>
            <w:shd w:val="clear" w:color="auto" w:fill="auto"/>
            <w:vAlign w:val="center"/>
          </w:tcPr>
          <w:p w14:paraId="1830FB13">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w:t>
            </w:r>
          </w:p>
        </w:tc>
        <w:tc>
          <w:tcPr>
            <w:tcW w:w="5142" w:type="dxa"/>
            <w:gridSpan w:val="2"/>
            <w:vAlign w:val="center"/>
          </w:tcPr>
          <w:p w14:paraId="3DFB04F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灭蚊灯蓄电池和灯管维护，及时清理虫尸、树叶等；破坏或丢失的毒饵站及时增补；捕蝇笼自备诱饵，饵料保持新鲜，全年更换不少于12次。</w:t>
            </w:r>
          </w:p>
        </w:tc>
      </w:tr>
      <w:tr w14:paraId="68FC7D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Align w:val="center"/>
          </w:tcPr>
          <w:p w14:paraId="2353A21C">
            <w:pPr>
              <w:widowControl/>
              <w:spacing w:line="360" w:lineRule="auto"/>
              <w:jc w:val="center"/>
              <w:rPr>
                <w:rFonts w:ascii="宋体" w:hAnsi="宋体" w:cs="宋体"/>
                <w:sz w:val="22"/>
                <w:szCs w:val="22"/>
              </w:rPr>
            </w:pPr>
            <w:r>
              <w:rPr>
                <w:rFonts w:hint="eastAsia" w:ascii="宋体" w:hAnsi="宋体" w:cs="宋体"/>
                <w:sz w:val="22"/>
                <w:szCs w:val="22"/>
              </w:rPr>
              <w:t>劳务技术</w:t>
            </w:r>
          </w:p>
        </w:tc>
        <w:tc>
          <w:tcPr>
            <w:tcW w:w="1401" w:type="dxa"/>
            <w:vAlign w:val="center"/>
          </w:tcPr>
          <w:p w14:paraId="514AE52B">
            <w:pPr>
              <w:widowControl/>
              <w:spacing w:line="360" w:lineRule="auto"/>
              <w:jc w:val="center"/>
              <w:rPr>
                <w:rFonts w:ascii="宋体" w:hAnsi="宋体" w:cs="宋体"/>
                <w:sz w:val="22"/>
                <w:szCs w:val="22"/>
              </w:rPr>
            </w:pPr>
            <w:r>
              <w:rPr>
                <w:rFonts w:hint="eastAsia" w:ascii="宋体" w:hAnsi="宋体" w:cs="宋体"/>
                <w:sz w:val="22"/>
                <w:szCs w:val="22"/>
              </w:rPr>
              <w:t>消杀人工</w:t>
            </w:r>
          </w:p>
        </w:tc>
        <w:tc>
          <w:tcPr>
            <w:tcW w:w="1265" w:type="dxa"/>
            <w:vAlign w:val="center"/>
          </w:tcPr>
          <w:p w14:paraId="4CBF4158">
            <w:pPr>
              <w:widowControl/>
              <w:spacing w:line="360" w:lineRule="auto"/>
              <w:jc w:val="center"/>
              <w:rPr>
                <w:rFonts w:ascii="宋体" w:hAnsi="宋体" w:cs="宋体"/>
                <w:sz w:val="22"/>
                <w:szCs w:val="22"/>
              </w:rPr>
            </w:pPr>
            <w:r>
              <w:rPr>
                <w:rFonts w:hint="eastAsia" w:ascii="宋体" w:hAnsi="宋体" w:cs="宋体"/>
                <w:sz w:val="22"/>
                <w:szCs w:val="22"/>
              </w:rPr>
              <w:t>/</w:t>
            </w:r>
          </w:p>
        </w:tc>
        <w:tc>
          <w:tcPr>
            <w:tcW w:w="769" w:type="dxa"/>
            <w:vAlign w:val="center"/>
          </w:tcPr>
          <w:p w14:paraId="53827AA6">
            <w:pPr>
              <w:widowControl/>
              <w:spacing w:line="360" w:lineRule="auto"/>
              <w:jc w:val="center"/>
              <w:rPr>
                <w:rFonts w:ascii="宋体" w:hAnsi="宋体" w:cs="宋体"/>
                <w:sz w:val="22"/>
                <w:szCs w:val="22"/>
              </w:rPr>
            </w:pPr>
            <w:r>
              <w:rPr>
                <w:rFonts w:hint="eastAsia" w:ascii="宋体" w:hAnsi="宋体" w:cs="宋体"/>
                <w:sz w:val="22"/>
                <w:szCs w:val="22"/>
              </w:rPr>
              <w:t>工</w:t>
            </w:r>
          </w:p>
        </w:tc>
        <w:tc>
          <w:tcPr>
            <w:tcW w:w="783" w:type="dxa"/>
            <w:shd w:val="clear" w:color="auto" w:fill="auto"/>
            <w:vAlign w:val="center"/>
          </w:tcPr>
          <w:p w14:paraId="05621BEC">
            <w:pPr>
              <w:widowControl/>
              <w:spacing w:line="300" w:lineRule="exact"/>
              <w:jc w:val="center"/>
              <w:rPr>
                <w:rFonts w:ascii="宋体" w:hAnsi="宋体" w:eastAsia="宋体" w:cs="宋体"/>
                <w:kern w:val="2"/>
                <w:sz w:val="22"/>
                <w:szCs w:val="22"/>
                <w:lang w:val="en-US" w:eastAsia="zh-CN" w:bidi="ar-SA"/>
              </w:rPr>
            </w:pPr>
            <w:r>
              <w:rPr>
                <w:rFonts w:hint="eastAsia" w:ascii="宋体" w:hAnsi="宋体" w:cs="宋体"/>
                <w:sz w:val="22"/>
                <w:szCs w:val="22"/>
              </w:rPr>
              <w:t>3100</w:t>
            </w:r>
          </w:p>
        </w:tc>
        <w:tc>
          <w:tcPr>
            <w:tcW w:w="5142" w:type="dxa"/>
            <w:gridSpan w:val="2"/>
            <w:vAlign w:val="center"/>
          </w:tcPr>
          <w:p w14:paraId="3C9974C9">
            <w:pPr>
              <w:widowControl/>
              <w:spacing w:line="360" w:lineRule="auto"/>
              <w:jc w:val="center"/>
              <w:rPr>
                <w:rFonts w:ascii="宋体" w:hAnsi="宋体" w:cs="宋体"/>
                <w:sz w:val="22"/>
                <w:szCs w:val="22"/>
              </w:rPr>
            </w:pPr>
            <w:r>
              <w:rPr>
                <w:rFonts w:hint="eastAsia" w:ascii="宋体" w:hAnsi="宋体" w:cs="宋体"/>
                <w:sz w:val="22"/>
                <w:szCs w:val="22"/>
              </w:rPr>
              <w:t>包括建成区范围内公共外环境每月不少于2次轮回消杀、各农贸市场、五小行业、重点单位、孳生地调查、捕蝇笼、灭蚊灯等病媒生物防制。</w:t>
            </w:r>
          </w:p>
        </w:tc>
      </w:tr>
    </w:tbl>
    <w:p w14:paraId="48331186">
      <w:pPr>
        <w:widowControl/>
        <w:autoSpaceDE w:val="0"/>
        <w:autoSpaceDN w:val="0"/>
        <w:adjustRightInd w:val="0"/>
        <w:snapToGrid w:val="0"/>
        <w:spacing w:line="360" w:lineRule="auto"/>
        <w:textAlignment w:val="bottom"/>
        <w:rPr>
          <w:rFonts w:ascii="宋体" w:hAnsi="宋体" w:cs="宋体"/>
          <w:sz w:val="22"/>
          <w:szCs w:val="22"/>
          <w:u w:val="single"/>
        </w:rPr>
      </w:pPr>
      <w:r>
        <w:rPr>
          <w:rFonts w:hint="eastAsia" w:ascii="宋体" w:hAnsi="宋体" w:cs="宋体"/>
          <w:sz w:val="22"/>
          <w:szCs w:val="22"/>
          <w:u w:val="single"/>
        </w:rPr>
        <w:t>备注：1、供应商须制订详细的消杀方案，确保苍南县灵溪镇病媒生物防制工作的顺利开展。需提供详细的方案技术规格和选用标准、理由，并需达到采购人需求，同时在技术偏离表中做出详细说明，否则评标委员会可以判定存在负偏差给予扣分，甚至废标处理。</w:t>
      </w:r>
    </w:p>
    <w:p w14:paraId="32B954EE">
      <w:pPr>
        <w:widowControl/>
        <w:numPr>
          <w:ilvl w:val="0"/>
          <w:numId w:val="2"/>
        </w:numPr>
        <w:autoSpaceDE w:val="0"/>
        <w:autoSpaceDN w:val="0"/>
        <w:adjustRightInd w:val="0"/>
        <w:snapToGrid w:val="0"/>
        <w:spacing w:line="360" w:lineRule="auto"/>
        <w:textAlignment w:val="bottom"/>
        <w:rPr>
          <w:rFonts w:hint="eastAsia" w:ascii="宋体" w:hAnsi="宋体" w:cs="宋体"/>
          <w:sz w:val="22"/>
          <w:szCs w:val="22"/>
          <w:u w:val="single"/>
        </w:rPr>
      </w:pPr>
      <w:r>
        <w:rPr>
          <w:rFonts w:hint="eastAsia" w:ascii="宋体" w:hAnsi="宋体" w:cs="宋体"/>
          <w:sz w:val="22"/>
          <w:szCs w:val="22"/>
          <w:u w:val="single"/>
        </w:rPr>
        <w:t>以上采购药品、器械须全部由中标供应商自行安排仓库，按规范进行保存。</w:t>
      </w:r>
    </w:p>
    <w:p w14:paraId="0A2CBBF7">
      <w:pPr>
        <w:widowControl/>
        <w:numPr>
          <w:ilvl w:val="0"/>
          <w:numId w:val="2"/>
        </w:numPr>
        <w:autoSpaceDE w:val="0"/>
        <w:autoSpaceDN w:val="0"/>
        <w:adjustRightInd w:val="0"/>
        <w:snapToGrid w:val="0"/>
        <w:spacing w:line="360" w:lineRule="auto"/>
        <w:textAlignment w:val="bottom"/>
        <w:rPr>
          <w:rFonts w:ascii="宋体" w:hAnsi="宋体" w:cs="宋体"/>
          <w:sz w:val="22"/>
          <w:szCs w:val="22"/>
          <w:u w:val="single"/>
        </w:rPr>
      </w:pPr>
      <w:r>
        <w:rPr>
          <w:rFonts w:hint="eastAsia" w:hAnsi="宋体" w:cs="宋体"/>
          <w:b/>
          <w:bCs/>
          <w:color w:val="000000"/>
          <w:sz w:val="22"/>
          <w:szCs w:val="22"/>
          <w:u w:val="single"/>
        </w:rPr>
        <w:t>▲投标供应商提供的消杀药品应具有有效的农药登记证或农药临时登记证或农药生产许可证或农药生产批准文件。</w:t>
      </w:r>
    </w:p>
    <w:p w14:paraId="4641D220">
      <w:pPr>
        <w:jc w:val="center"/>
        <w:outlineLvl w:val="1"/>
        <w:rPr>
          <w:rFonts w:hint="eastAsia" w:ascii="仿宋" w:hAnsi="仿宋" w:eastAsia="仿宋" w:cs="仿宋"/>
          <w:b/>
          <w:sz w:val="28"/>
          <w:szCs w:val="28"/>
          <w:lang w:eastAsia="zh-CN"/>
        </w:rPr>
      </w:pPr>
      <w:r>
        <w:rPr>
          <w:rFonts w:hint="eastAsia" w:ascii="宋体" w:hAnsi="宋体" w:cs="宋体"/>
          <w:sz w:val="22"/>
          <w:szCs w:val="22"/>
          <w:u w:val="single"/>
        </w:rPr>
        <w:br w:type="page"/>
      </w:r>
      <w:r>
        <w:rPr>
          <w:rFonts w:hint="eastAsia" w:ascii="仿宋" w:hAnsi="仿宋" w:eastAsia="仿宋" w:cs="仿宋"/>
          <w:b/>
          <w:sz w:val="28"/>
          <w:szCs w:val="28"/>
          <w:lang w:eastAsia="zh-CN"/>
        </w:rPr>
        <w:t>附件：苍南县灵溪镇2026年度除四害消杀服务考核评分细则</w:t>
      </w:r>
    </w:p>
    <w:p w14:paraId="6B4E4686">
      <w:pPr>
        <w:jc w:val="center"/>
        <w:rPr>
          <w:rFonts w:hint="eastAsia" w:ascii="仿宋" w:hAnsi="仿宋" w:eastAsia="仿宋" w:cs="仿宋"/>
          <w:b/>
          <w:sz w:val="28"/>
          <w:szCs w:val="28"/>
        </w:rPr>
      </w:pPr>
    </w:p>
    <w:p w14:paraId="563F9E4E">
      <w:pPr>
        <w:rPr>
          <w:rFonts w:hint="eastAsia" w:ascii="仿宋" w:hAnsi="仿宋" w:eastAsia="仿宋" w:cs="仿宋"/>
          <w:sz w:val="24"/>
          <w:szCs w:val="24"/>
        </w:rPr>
      </w:pPr>
    </w:p>
    <w:tbl>
      <w:tblPr>
        <w:tblStyle w:val="38"/>
        <w:tblW w:w="9559" w:type="dxa"/>
        <w:tblInd w:w="0" w:type="dxa"/>
        <w:tblLayout w:type="fixed"/>
        <w:tblCellMar>
          <w:top w:w="0" w:type="dxa"/>
          <w:left w:w="108" w:type="dxa"/>
          <w:bottom w:w="0" w:type="dxa"/>
          <w:right w:w="108" w:type="dxa"/>
        </w:tblCellMar>
      </w:tblPr>
      <w:tblGrid>
        <w:gridCol w:w="902"/>
        <w:gridCol w:w="686"/>
        <w:gridCol w:w="5946"/>
        <w:gridCol w:w="675"/>
        <w:gridCol w:w="643"/>
        <w:gridCol w:w="707"/>
      </w:tblGrid>
      <w:tr w14:paraId="70C0C493">
        <w:tblPrEx>
          <w:tblCellMar>
            <w:top w:w="0" w:type="dxa"/>
            <w:left w:w="108" w:type="dxa"/>
            <w:bottom w:w="0" w:type="dxa"/>
            <w:right w:w="108" w:type="dxa"/>
          </w:tblCellMar>
        </w:tblPrEx>
        <w:trPr>
          <w:trHeight w:val="496" w:hRule="atLeast"/>
        </w:trPr>
        <w:tc>
          <w:tcPr>
            <w:tcW w:w="902" w:type="dxa"/>
            <w:tcBorders>
              <w:top w:val="single" w:color="000000" w:sz="4" w:space="0"/>
              <w:left w:val="single" w:color="000000" w:sz="4" w:space="0"/>
              <w:bottom w:val="single" w:color="000000" w:sz="4" w:space="0"/>
              <w:right w:val="single" w:color="000000" w:sz="4" w:space="0"/>
            </w:tcBorders>
            <w:noWrap w:val="0"/>
            <w:vAlign w:val="top"/>
          </w:tcPr>
          <w:p w14:paraId="3E8EB2A3">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项目</w:t>
            </w:r>
          </w:p>
        </w:tc>
        <w:tc>
          <w:tcPr>
            <w:tcW w:w="6632" w:type="dxa"/>
            <w:gridSpan w:val="2"/>
            <w:tcBorders>
              <w:top w:val="single" w:color="000000" w:sz="4" w:space="0"/>
              <w:left w:val="nil"/>
              <w:bottom w:val="single" w:color="000000" w:sz="4" w:space="0"/>
              <w:right w:val="single" w:color="000000" w:sz="4" w:space="0"/>
            </w:tcBorders>
            <w:noWrap w:val="0"/>
            <w:vAlign w:val="top"/>
          </w:tcPr>
          <w:p w14:paraId="216DE697">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内容</w:t>
            </w:r>
          </w:p>
        </w:tc>
        <w:tc>
          <w:tcPr>
            <w:tcW w:w="675" w:type="dxa"/>
            <w:tcBorders>
              <w:top w:val="single" w:color="000000" w:sz="4" w:space="0"/>
              <w:left w:val="nil"/>
              <w:bottom w:val="single" w:color="000000" w:sz="4" w:space="0"/>
              <w:right w:val="single" w:color="000000" w:sz="4" w:space="0"/>
            </w:tcBorders>
            <w:noWrap w:val="0"/>
            <w:vAlign w:val="top"/>
          </w:tcPr>
          <w:p w14:paraId="038E6B2E">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分值</w:t>
            </w:r>
          </w:p>
        </w:tc>
        <w:tc>
          <w:tcPr>
            <w:tcW w:w="643" w:type="dxa"/>
            <w:tcBorders>
              <w:top w:val="single" w:color="000000" w:sz="4" w:space="0"/>
              <w:left w:val="nil"/>
              <w:bottom w:val="single" w:color="000000" w:sz="4" w:space="0"/>
              <w:right w:val="single" w:color="000000" w:sz="4" w:space="0"/>
            </w:tcBorders>
            <w:noWrap w:val="0"/>
            <w:vAlign w:val="top"/>
          </w:tcPr>
          <w:p w14:paraId="28C4B6CD">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得分</w:t>
            </w:r>
          </w:p>
        </w:tc>
        <w:tc>
          <w:tcPr>
            <w:tcW w:w="707" w:type="dxa"/>
            <w:tcBorders>
              <w:top w:val="single" w:color="000000" w:sz="4" w:space="0"/>
              <w:left w:val="nil"/>
              <w:bottom w:val="single" w:color="000000" w:sz="4" w:space="0"/>
              <w:right w:val="single" w:color="000000" w:sz="4" w:space="0"/>
            </w:tcBorders>
            <w:noWrap w:val="0"/>
            <w:vAlign w:val="top"/>
          </w:tcPr>
          <w:p w14:paraId="3B0486CB">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说明</w:t>
            </w:r>
          </w:p>
        </w:tc>
      </w:tr>
      <w:tr w14:paraId="1A2AA442">
        <w:tblPrEx>
          <w:tblCellMar>
            <w:top w:w="0" w:type="dxa"/>
            <w:left w:w="108" w:type="dxa"/>
            <w:bottom w:w="0" w:type="dxa"/>
            <w:right w:w="108" w:type="dxa"/>
          </w:tblCellMar>
        </w:tblPrEx>
        <w:trPr>
          <w:cantSplit/>
          <w:trHeight w:val="90" w:hRule="atLeast"/>
        </w:trPr>
        <w:tc>
          <w:tcPr>
            <w:tcW w:w="902" w:type="dxa"/>
            <w:vMerge w:val="restart"/>
            <w:tcBorders>
              <w:top w:val="nil"/>
              <w:left w:val="single" w:color="000000" w:sz="4" w:space="0"/>
              <w:bottom w:val="single" w:color="000000" w:sz="4" w:space="0"/>
              <w:right w:val="single" w:color="000000" w:sz="4" w:space="0"/>
            </w:tcBorders>
            <w:noWrap w:val="0"/>
            <w:vAlign w:val="center"/>
          </w:tcPr>
          <w:p w14:paraId="4B2469F1">
            <w:pPr>
              <w:rPr>
                <w:rFonts w:ascii="新宋体" w:hAnsi="新宋体" w:eastAsia="新宋体" w:cs="新宋体"/>
                <w:color w:val="auto"/>
                <w:highlight w:val="none"/>
              </w:rPr>
            </w:pPr>
            <w:r>
              <w:rPr>
                <w:rFonts w:hint="eastAsia" w:ascii="新宋体" w:hAnsi="新宋体" w:eastAsia="新宋体" w:cs="新宋体"/>
                <w:b/>
                <w:color w:val="auto"/>
                <w:highlight w:val="none"/>
              </w:rPr>
              <w:t>一、人员1</w:t>
            </w:r>
            <w:r>
              <w:rPr>
                <w:rFonts w:hint="eastAsia" w:ascii="新宋体" w:hAnsi="新宋体" w:eastAsia="新宋体" w:cs="新宋体"/>
                <w:b/>
                <w:color w:val="auto"/>
                <w:highlight w:val="none"/>
                <w:lang w:val="en-US" w:eastAsia="zh-CN"/>
              </w:rPr>
              <w:t>5</w:t>
            </w:r>
            <w:r>
              <w:rPr>
                <w:rFonts w:hint="eastAsia" w:ascii="新宋体" w:hAnsi="新宋体" w:eastAsia="新宋体" w:cs="新宋体"/>
                <w:b/>
                <w:color w:val="auto"/>
                <w:highlight w:val="none"/>
              </w:rPr>
              <w:t>分）</w:t>
            </w:r>
          </w:p>
        </w:tc>
        <w:tc>
          <w:tcPr>
            <w:tcW w:w="6632" w:type="dxa"/>
            <w:gridSpan w:val="2"/>
            <w:tcBorders>
              <w:top w:val="single" w:color="000000" w:sz="4" w:space="0"/>
              <w:left w:val="nil"/>
              <w:bottom w:val="single" w:color="000000" w:sz="4" w:space="0"/>
              <w:right w:val="single" w:color="000000" w:sz="4" w:space="0"/>
            </w:tcBorders>
            <w:noWrap w:val="0"/>
            <w:vAlign w:val="top"/>
          </w:tcPr>
          <w:p w14:paraId="48858BD7">
            <w:pPr>
              <w:rPr>
                <w:rFonts w:hint="eastAsia"/>
              </w:rPr>
            </w:pPr>
            <w:r>
              <w:rPr>
                <w:rFonts w:hint="eastAsia"/>
              </w:rPr>
              <w:t>日常消杀期间，每次保证不少于</w:t>
            </w:r>
            <w:r>
              <w:rPr>
                <w:rFonts w:hint="eastAsia"/>
                <w:lang w:val="en-US" w:eastAsia="zh-CN"/>
              </w:rPr>
              <w:t>10</w:t>
            </w:r>
            <w:r>
              <w:rPr>
                <w:rFonts w:hint="eastAsia"/>
              </w:rPr>
              <w:t>人</w:t>
            </w:r>
            <w:r>
              <w:rPr>
                <w:rFonts w:hint="eastAsia"/>
                <w:lang w:eastAsia="zh-CN"/>
              </w:rPr>
              <w:t>，</w:t>
            </w:r>
            <w:r>
              <w:rPr>
                <w:rFonts w:hint="eastAsia"/>
              </w:rPr>
              <w:t>应急或迎检期间消杀时适当增加消杀作业人员。不定期进行抽查，每少一人次扣</w:t>
            </w:r>
            <w:r>
              <w:rPr>
                <w:rFonts w:hint="eastAsia"/>
                <w:lang w:val="en-US" w:eastAsia="zh-CN"/>
              </w:rPr>
              <w:t>2</w:t>
            </w:r>
            <w:r>
              <w:rPr>
                <w:rFonts w:hint="eastAsia"/>
              </w:rPr>
              <w:t>分，扣完为止。</w:t>
            </w:r>
          </w:p>
        </w:tc>
        <w:tc>
          <w:tcPr>
            <w:tcW w:w="675" w:type="dxa"/>
            <w:tcBorders>
              <w:top w:val="single" w:color="000000" w:sz="4" w:space="0"/>
              <w:left w:val="nil"/>
              <w:bottom w:val="single" w:color="000000" w:sz="4" w:space="0"/>
              <w:right w:val="single" w:color="000000" w:sz="4" w:space="0"/>
            </w:tcBorders>
            <w:noWrap w:val="0"/>
            <w:vAlign w:val="top"/>
          </w:tcPr>
          <w:p w14:paraId="30851375">
            <w:pPr>
              <w:rPr>
                <w:rFonts w:hint="default"/>
                <w:lang w:val="en-US" w:eastAsia="zh-CN"/>
              </w:rPr>
            </w:pPr>
            <w:r>
              <w:rPr>
                <w:rFonts w:hint="eastAsia"/>
                <w:lang w:val="en-US" w:eastAsia="zh-CN"/>
              </w:rPr>
              <w:t>10</w:t>
            </w:r>
          </w:p>
        </w:tc>
        <w:tc>
          <w:tcPr>
            <w:tcW w:w="643" w:type="dxa"/>
            <w:tcBorders>
              <w:top w:val="single" w:color="000000" w:sz="4" w:space="0"/>
              <w:left w:val="nil"/>
              <w:bottom w:val="single" w:color="000000" w:sz="4" w:space="0"/>
              <w:right w:val="single" w:color="000000" w:sz="4" w:space="0"/>
            </w:tcBorders>
            <w:noWrap w:val="0"/>
            <w:vAlign w:val="top"/>
          </w:tcPr>
          <w:p w14:paraId="6C522196">
            <w:pPr>
              <w:spacing w:line="360" w:lineRule="auto"/>
              <w:rPr>
                <w:rFonts w:hint="eastAsia" w:ascii="新宋体" w:hAnsi="新宋体" w:eastAsia="新宋体" w:cs="新宋体"/>
                <w:color w:val="FF0000"/>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252982E">
            <w:pPr>
              <w:spacing w:line="360" w:lineRule="auto"/>
              <w:rPr>
                <w:rFonts w:hint="default" w:ascii="新宋体" w:hAnsi="新宋体" w:eastAsia="新宋体" w:cs="新宋体"/>
                <w:color w:val="FF0000"/>
                <w:sz w:val="18"/>
                <w:szCs w:val="18"/>
                <w:highlight w:val="none"/>
                <w:lang w:val="en-US" w:eastAsia="zh-CN"/>
              </w:rPr>
            </w:pPr>
          </w:p>
        </w:tc>
      </w:tr>
      <w:tr w14:paraId="2B8CF90B">
        <w:tblPrEx>
          <w:tblCellMar>
            <w:top w:w="0" w:type="dxa"/>
            <w:left w:w="108" w:type="dxa"/>
            <w:bottom w:w="0" w:type="dxa"/>
            <w:right w:w="108" w:type="dxa"/>
          </w:tblCellMar>
        </w:tblPrEx>
        <w:trPr>
          <w:cantSplit/>
          <w:trHeight w:val="90"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36A39057">
            <w:pPr>
              <w:rPr>
                <w:rFonts w:ascii="新宋体" w:hAnsi="新宋体" w:eastAsia="新宋体" w:cs="新宋体"/>
                <w:color w:val="auto"/>
                <w:highlight w:val="none"/>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015E690E">
            <w:pPr>
              <w:spacing w:line="360" w:lineRule="auto"/>
              <w:rPr>
                <w:rFonts w:hint="eastAsia" w:ascii="新宋体" w:hAnsi="新宋体" w:eastAsia="新宋体" w:cs="新宋体"/>
                <w:color w:val="auto"/>
                <w:highlight w:val="none"/>
              </w:rPr>
            </w:pPr>
            <w:r>
              <w:rPr>
                <w:rFonts w:hint="eastAsia" w:ascii="新宋体" w:hAnsi="新宋体" w:eastAsia="新宋体" w:cs="新宋体"/>
                <w:color w:val="auto"/>
                <w:highlight w:val="none"/>
              </w:rPr>
              <w:t>操作人员持有</w:t>
            </w:r>
            <w:r>
              <w:rPr>
                <w:rFonts w:hint="eastAsia" w:ascii="新宋体" w:hAnsi="新宋体" w:eastAsia="新宋体" w:cs="新宋体"/>
                <w:color w:val="auto"/>
                <w:highlight w:val="none"/>
                <w:lang w:eastAsia="zh-CN"/>
              </w:rPr>
              <w:t>合同</w:t>
            </w:r>
            <w:r>
              <w:rPr>
                <w:rFonts w:hint="eastAsia" w:ascii="新宋体" w:hAnsi="新宋体" w:eastAsia="新宋体" w:cs="新宋体"/>
                <w:color w:val="auto"/>
                <w:highlight w:val="none"/>
              </w:rPr>
              <w:t>规定的相关机构颁发的病媒生物防制服务培训合格证明或职业资格证书，无培训合格证每人扣0.5分，扣完为止。</w:t>
            </w:r>
          </w:p>
        </w:tc>
        <w:tc>
          <w:tcPr>
            <w:tcW w:w="675" w:type="dxa"/>
            <w:tcBorders>
              <w:top w:val="single" w:color="000000" w:sz="4" w:space="0"/>
              <w:left w:val="nil"/>
              <w:bottom w:val="single" w:color="000000" w:sz="4" w:space="0"/>
              <w:right w:val="single" w:color="000000" w:sz="4" w:space="0"/>
            </w:tcBorders>
            <w:noWrap w:val="0"/>
            <w:vAlign w:val="top"/>
          </w:tcPr>
          <w:p w14:paraId="5CB3DD5D">
            <w:pPr>
              <w:spacing w:line="360" w:lineRule="auto"/>
              <w:rPr>
                <w:rFonts w:hint="eastAsia" w:ascii="新宋体" w:hAnsi="新宋体" w:eastAsia="新宋体" w:cs="新宋体"/>
                <w:color w:val="auto"/>
                <w:highlight w:val="none"/>
                <w:lang w:eastAsia="en-US"/>
              </w:rPr>
            </w:pPr>
            <w:r>
              <w:rPr>
                <w:rFonts w:hint="eastAsia" w:ascii="新宋体" w:hAnsi="新宋体" w:eastAsia="新宋体" w:cs="新宋体"/>
                <w:color w:val="auto"/>
                <w:highlight w:val="none"/>
              </w:rPr>
              <w:t>5</w:t>
            </w:r>
          </w:p>
        </w:tc>
        <w:tc>
          <w:tcPr>
            <w:tcW w:w="643" w:type="dxa"/>
            <w:tcBorders>
              <w:top w:val="single" w:color="000000" w:sz="4" w:space="0"/>
              <w:left w:val="nil"/>
              <w:bottom w:val="single" w:color="000000" w:sz="4" w:space="0"/>
              <w:right w:val="single" w:color="000000" w:sz="4" w:space="0"/>
            </w:tcBorders>
            <w:noWrap w:val="0"/>
            <w:vAlign w:val="top"/>
          </w:tcPr>
          <w:p w14:paraId="1C14F3CD">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09C38D9">
            <w:pPr>
              <w:spacing w:line="360" w:lineRule="auto"/>
              <w:rPr>
                <w:rFonts w:hint="eastAsia" w:ascii="新宋体" w:hAnsi="新宋体" w:eastAsia="新宋体" w:cs="新宋体"/>
                <w:color w:val="auto"/>
                <w:sz w:val="18"/>
                <w:szCs w:val="18"/>
                <w:highlight w:val="none"/>
                <w:lang w:val="en-US" w:eastAsia="zh-CN"/>
              </w:rPr>
            </w:pPr>
          </w:p>
        </w:tc>
      </w:tr>
      <w:tr w14:paraId="42C1BE70">
        <w:tblPrEx>
          <w:tblCellMar>
            <w:top w:w="0" w:type="dxa"/>
            <w:left w:w="108" w:type="dxa"/>
            <w:bottom w:w="0" w:type="dxa"/>
            <w:right w:w="108" w:type="dxa"/>
          </w:tblCellMar>
        </w:tblPrEx>
        <w:trPr>
          <w:cantSplit/>
        </w:trPr>
        <w:tc>
          <w:tcPr>
            <w:tcW w:w="902" w:type="dxa"/>
            <w:vMerge w:val="restart"/>
            <w:tcBorders>
              <w:top w:val="nil"/>
              <w:left w:val="single" w:color="000000" w:sz="4" w:space="0"/>
              <w:bottom w:val="single" w:color="000000" w:sz="4" w:space="0"/>
              <w:right w:val="single" w:color="000000" w:sz="4" w:space="0"/>
            </w:tcBorders>
            <w:noWrap w:val="0"/>
            <w:vAlign w:val="center"/>
          </w:tcPr>
          <w:p w14:paraId="3A083E0E">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二、设备</w:t>
            </w:r>
          </w:p>
          <w:p w14:paraId="76CD1DB0">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5分）</w:t>
            </w:r>
          </w:p>
        </w:tc>
        <w:tc>
          <w:tcPr>
            <w:tcW w:w="6632" w:type="dxa"/>
            <w:gridSpan w:val="2"/>
            <w:tcBorders>
              <w:top w:val="single" w:color="000000" w:sz="4" w:space="0"/>
              <w:left w:val="nil"/>
              <w:bottom w:val="single" w:color="000000" w:sz="4" w:space="0"/>
              <w:right w:val="single" w:color="000000" w:sz="4" w:space="0"/>
            </w:tcBorders>
            <w:noWrap w:val="0"/>
            <w:vAlign w:val="top"/>
          </w:tcPr>
          <w:p w14:paraId="0BA63231">
            <w:pPr>
              <w:spacing w:line="360" w:lineRule="auto"/>
              <w:rPr>
                <w:rFonts w:hint="eastAsia" w:ascii="新宋体" w:hAnsi="新宋体" w:eastAsia="新宋体" w:cs="新宋体"/>
                <w:color w:val="auto"/>
              </w:rPr>
            </w:pPr>
            <w:r>
              <w:rPr>
                <w:rFonts w:hint="eastAsia" w:ascii="新宋体" w:hAnsi="新宋体" w:eastAsia="新宋体" w:cs="新宋体"/>
                <w:color w:val="auto"/>
              </w:rPr>
              <w:t>工程作业车至少</w:t>
            </w:r>
            <w:r>
              <w:rPr>
                <w:rFonts w:hint="eastAsia" w:ascii="新宋体" w:hAnsi="新宋体" w:eastAsia="新宋体" w:cs="新宋体"/>
                <w:color w:val="auto"/>
                <w:lang w:val="en-US" w:eastAsia="zh-CN"/>
              </w:rPr>
              <w:t>1</w:t>
            </w:r>
            <w:r>
              <w:rPr>
                <w:rFonts w:hint="eastAsia" w:ascii="新宋体" w:hAnsi="新宋体" w:eastAsia="新宋体" w:cs="新宋体"/>
                <w:color w:val="auto"/>
              </w:rPr>
              <w:t>辆，</w:t>
            </w:r>
            <w:r>
              <w:rPr>
                <w:rFonts w:hint="eastAsia" w:ascii="新宋体" w:hAnsi="新宋体" w:eastAsia="新宋体" w:cs="新宋体"/>
                <w:color w:val="auto"/>
                <w:lang w:eastAsia="zh-CN"/>
              </w:rPr>
              <w:t>没有不得分</w:t>
            </w:r>
            <w:r>
              <w:rPr>
                <w:rFonts w:hint="eastAsia" w:ascii="新宋体" w:hAnsi="新宋体" w:eastAsia="新宋体" w:cs="新宋体"/>
                <w:color w:val="auto"/>
              </w:rPr>
              <w:t>。</w:t>
            </w:r>
          </w:p>
        </w:tc>
        <w:tc>
          <w:tcPr>
            <w:tcW w:w="675" w:type="dxa"/>
            <w:tcBorders>
              <w:top w:val="single" w:color="000000" w:sz="4" w:space="0"/>
              <w:left w:val="nil"/>
              <w:bottom w:val="single" w:color="000000" w:sz="4" w:space="0"/>
              <w:right w:val="single" w:color="000000" w:sz="4" w:space="0"/>
            </w:tcBorders>
            <w:noWrap w:val="0"/>
            <w:vAlign w:val="top"/>
          </w:tcPr>
          <w:p w14:paraId="7E1F7D15">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1</w:t>
            </w:r>
          </w:p>
        </w:tc>
        <w:tc>
          <w:tcPr>
            <w:tcW w:w="643" w:type="dxa"/>
            <w:tcBorders>
              <w:top w:val="single" w:color="000000" w:sz="4" w:space="0"/>
              <w:left w:val="nil"/>
              <w:bottom w:val="single" w:color="000000" w:sz="4" w:space="0"/>
              <w:right w:val="single" w:color="000000" w:sz="4" w:space="0"/>
            </w:tcBorders>
            <w:noWrap w:val="0"/>
            <w:vAlign w:val="top"/>
          </w:tcPr>
          <w:p w14:paraId="4B2B8A17">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02BFC08B">
            <w:pPr>
              <w:spacing w:line="360" w:lineRule="auto"/>
              <w:rPr>
                <w:rFonts w:hint="eastAsia" w:ascii="新宋体" w:hAnsi="新宋体" w:eastAsia="新宋体" w:cs="新宋体"/>
                <w:color w:val="auto"/>
                <w:lang w:eastAsia="en-US"/>
              </w:rPr>
            </w:pPr>
          </w:p>
        </w:tc>
      </w:tr>
      <w:tr w14:paraId="2E56FA6C">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732D9ED0">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557FD2A2">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rPr>
              <w:t>背负式或手提式常量喷雾器</w:t>
            </w:r>
            <w:r>
              <w:rPr>
                <w:rFonts w:hint="eastAsia" w:ascii="宋体" w:hAnsi="宋体" w:cs="宋体"/>
                <w:color w:val="auto"/>
              </w:rPr>
              <w:t>≧</w:t>
            </w:r>
            <w:r>
              <w:rPr>
                <w:rFonts w:hint="eastAsia" w:ascii="新宋体" w:hAnsi="新宋体" w:eastAsia="新宋体" w:cs="新宋体"/>
                <w:color w:val="auto"/>
                <w:lang w:val="en-US" w:eastAsia="zh-CN"/>
              </w:rPr>
              <w:t>10</w:t>
            </w:r>
            <w:r>
              <w:rPr>
                <w:rFonts w:hint="eastAsia" w:ascii="新宋体" w:hAnsi="新宋体" w:eastAsia="新宋体" w:cs="新宋体"/>
                <w:color w:val="auto"/>
              </w:rPr>
              <w:t>台，少1台扣0.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r>
              <w:rPr>
                <w:rFonts w:hint="eastAsia" w:ascii="新宋体" w:hAnsi="新宋体" w:eastAsia="新宋体" w:cs="新宋体"/>
                <w:color w:val="auto"/>
                <w:lang w:eastAsia="zh-CN"/>
              </w:rPr>
              <w:t>，</w:t>
            </w:r>
            <w:r>
              <w:rPr>
                <w:rFonts w:hint="eastAsia" w:ascii="新宋体" w:hAnsi="新宋体" w:eastAsia="新宋体" w:cs="新宋体"/>
                <w:color w:val="auto"/>
                <w:highlight w:val="none"/>
              </w:rPr>
              <w:t>扣完为止</w:t>
            </w:r>
            <w:r>
              <w:rPr>
                <w:rFonts w:hint="eastAsia" w:ascii="新宋体" w:hAnsi="新宋体" w:eastAsia="新宋体" w:cs="新宋体"/>
                <w:color w:val="auto"/>
                <w:highlight w:val="none"/>
                <w:lang w:eastAsia="zh-CN"/>
              </w:rPr>
              <w:t>。</w:t>
            </w:r>
          </w:p>
        </w:tc>
        <w:tc>
          <w:tcPr>
            <w:tcW w:w="675" w:type="dxa"/>
            <w:tcBorders>
              <w:top w:val="single" w:color="000000" w:sz="4" w:space="0"/>
              <w:left w:val="nil"/>
              <w:bottom w:val="single" w:color="000000" w:sz="4" w:space="0"/>
              <w:right w:val="single" w:color="000000" w:sz="4" w:space="0"/>
            </w:tcBorders>
            <w:noWrap w:val="0"/>
            <w:vAlign w:val="top"/>
          </w:tcPr>
          <w:p w14:paraId="1FB6F4DF">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2</w:t>
            </w:r>
          </w:p>
        </w:tc>
        <w:tc>
          <w:tcPr>
            <w:tcW w:w="643" w:type="dxa"/>
            <w:tcBorders>
              <w:top w:val="single" w:color="000000" w:sz="4" w:space="0"/>
              <w:left w:val="nil"/>
              <w:bottom w:val="single" w:color="000000" w:sz="4" w:space="0"/>
              <w:right w:val="single" w:color="000000" w:sz="4" w:space="0"/>
            </w:tcBorders>
            <w:noWrap w:val="0"/>
            <w:vAlign w:val="top"/>
          </w:tcPr>
          <w:p w14:paraId="2CBA9B34">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082B3C6F">
            <w:pPr>
              <w:spacing w:line="360" w:lineRule="auto"/>
              <w:rPr>
                <w:rFonts w:ascii="新宋体" w:hAnsi="新宋体" w:eastAsia="新宋体" w:cs="新宋体"/>
                <w:color w:val="auto"/>
                <w:lang w:eastAsia="en-US"/>
              </w:rPr>
            </w:pPr>
          </w:p>
        </w:tc>
      </w:tr>
      <w:tr w14:paraId="085FE0E5">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15250665">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0FE7D074">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rPr>
              <w:t>超低容量或热烟雾机喷雾器</w:t>
            </w:r>
            <w:r>
              <w:rPr>
                <w:rFonts w:hint="eastAsia" w:ascii="宋体" w:hAnsi="宋体" w:cs="宋体"/>
                <w:color w:val="auto"/>
              </w:rPr>
              <w:t>≧</w:t>
            </w:r>
            <w:r>
              <w:rPr>
                <w:rFonts w:hint="eastAsia" w:ascii="新宋体" w:hAnsi="新宋体" w:eastAsia="新宋体" w:cs="新宋体"/>
                <w:color w:val="auto"/>
                <w:lang w:val="en-US" w:eastAsia="zh-CN"/>
              </w:rPr>
              <w:t>5</w:t>
            </w:r>
            <w:r>
              <w:rPr>
                <w:rFonts w:hint="eastAsia" w:ascii="新宋体" w:hAnsi="新宋体" w:eastAsia="新宋体" w:cs="新宋体"/>
                <w:color w:val="auto"/>
              </w:rPr>
              <w:t>台，少1台扣0.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r>
              <w:rPr>
                <w:rFonts w:hint="eastAsia" w:ascii="新宋体" w:hAnsi="新宋体" w:eastAsia="新宋体" w:cs="新宋体"/>
                <w:color w:val="auto"/>
                <w:lang w:eastAsia="zh-CN"/>
              </w:rPr>
              <w:t>，</w:t>
            </w:r>
            <w:r>
              <w:rPr>
                <w:rFonts w:hint="eastAsia" w:ascii="新宋体" w:hAnsi="新宋体" w:eastAsia="新宋体" w:cs="新宋体"/>
                <w:color w:val="auto"/>
                <w:highlight w:val="none"/>
              </w:rPr>
              <w:t>扣完为止</w:t>
            </w:r>
            <w:r>
              <w:rPr>
                <w:rFonts w:hint="eastAsia" w:ascii="新宋体" w:hAnsi="新宋体" w:eastAsia="新宋体" w:cs="新宋体"/>
                <w:color w:val="auto"/>
                <w:highlight w:val="none"/>
                <w:lang w:eastAsia="zh-CN"/>
              </w:rPr>
              <w:t>。</w:t>
            </w:r>
          </w:p>
        </w:tc>
        <w:tc>
          <w:tcPr>
            <w:tcW w:w="675" w:type="dxa"/>
            <w:tcBorders>
              <w:top w:val="single" w:color="000000" w:sz="4" w:space="0"/>
              <w:left w:val="nil"/>
              <w:bottom w:val="single" w:color="000000" w:sz="4" w:space="0"/>
              <w:right w:val="single" w:color="000000" w:sz="4" w:space="0"/>
            </w:tcBorders>
            <w:noWrap w:val="0"/>
            <w:vAlign w:val="top"/>
          </w:tcPr>
          <w:p w14:paraId="139AE5BC">
            <w:pPr>
              <w:spacing w:line="360" w:lineRule="auto"/>
              <w:rPr>
                <w:rFonts w:ascii="新宋体" w:hAnsi="新宋体" w:eastAsia="新宋体" w:cs="新宋体"/>
                <w:color w:val="auto"/>
              </w:rPr>
            </w:pPr>
            <w:r>
              <w:rPr>
                <w:rFonts w:hint="eastAsia" w:ascii="新宋体" w:hAnsi="新宋体" w:eastAsia="新宋体" w:cs="新宋体"/>
                <w:color w:val="auto"/>
              </w:rPr>
              <w:t>1</w:t>
            </w:r>
          </w:p>
        </w:tc>
        <w:tc>
          <w:tcPr>
            <w:tcW w:w="643" w:type="dxa"/>
            <w:tcBorders>
              <w:top w:val="single" w:color="000000" w:sz="4" w:space="0"/>
              <w:left w:val="nil"/>
              <w:bottom w:val="single" w:color="000000" w:sz="4" w:space="0"/>
              <w:right w:val="single" w:color="000000" w:sz="4" w:space="0"/>
            </w:tcBorders>
            <w:noWrap w:val="0"/>
            <w:vAlign w:val="top"/>
          </w:tcPr>
          <w:p w14:paraId="42DDE4DC">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5C45FAA4">
            <w:pPr>
              <w:spacing w:line="360" w:lineRule="auto"/>
              <w:rPr>
                <w:rFonts w:ascii="新宋体" w:hAnsi="新宋体" w:eastAsia="新宋体" w:cs="新宋体"/>
                <w:color w:val="auto"/>
                <w:lang w:eastAsia="en-US"/>
              </w:rPr>
            </w:pPr>
          </w:p>
        </w:tc>
      </w:tr>
      <w:tr w14:paraId="63530739">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4014BD83">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5509D2B8">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rPr>
              <w:t>病媒生物防制专用检查工具</w:t>
            </w:r>
            <w:r>
              <w:rPr>
                <w:rFonts w:hint="eastAsia" w:ascii="新宋体" w:hAnsi="新宋体" w:eastAsia="新宋体" w:cs="新宋体"/>
                <w:color w:val="auto"/>
                <w:lang w:val="en-US" w:eastAsia="zh-CN"/>
              </w:rPr>
              <w:t>5</w:t>
            </w:r>
            <w:r>
              <w:rPr>
                <w:rFonts w:hint="eastAsia" w:ascii="新宋体" w:hAnsi="新宋体" w:eastAsia="新宋体" w:cs="新宋体"/>
                <w:color w:val="auto"/>
              </w:rPr>
              <w:t>套以上，少1套扣0.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r>
              <w:rPr>
                <w:rFonts w:hint="eastAsia" w:ascii="新宋体" w:hAnsi="新宋体" w:eastAsia="新宋体" w:cs="新宋体"/>
                <w:color w:val="auto"/>
                <w:lang w:eastAsia="zh-CN"/>
              </w:rPr>
              <w:t>，</w:t>
            </w:r>
            <w:r>
              <w:rPr>
                <w:rFonts w:hint="eastAsia" w:ascii="新宋体" w:hAnsi="新宋体" w:eastAsia="新宋体" w:cs="新宋体"/>
                <w:color w:val="auto"/>
                <w:highlight w:val="none"/>
              </w:rPr>
              <w:t>扣完为止</w:t>
            </w:r>
            <w:r>
              <w:rPr>
                <w:rFonts w:hint="eastAsia" w:ascii="新宋体" w:hAnsi="新宋体" w:eastAsia="新宋体" w:cs="新宋体"/>
                <w:color w:val="auto"/>
                <w:highlight w:val="none"/>
                <w:lang w:eastAsia="zh-CN"/>
              </w:rPr>
              <w:t>。</w:t>
            </w:r>
          </w:p>
        </w:tc>
        <w:tc>
          <w:tcPr>
            <w:tcW w:w="675" w:type="dxa"/>
            <w:tcBorders>
              <w:top w:val="single" w:color="000000" w:sz="4" w:space="0"/>
              <w:left w:val="nil"/>
              <w:bottom w:val="single" w:color="000000" w:sz="4" w:space="0"/>
              <w:right w:val="single" w:color="000000" w:sz="4" w:space="0"/>
            </w:tcBorders>
            <w:noWrap w:val="0"/>
            <w:vAlign w:val="top"/>
          </w:tcPr>
          <w:p w14:paraId="2A3AEDCE">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1</w:t>
            </w:r>
          </w:p>
        </w:tc>
        <w:tc>
          <w:tcPr>
            <w:tcW w:w="643" w:type="dxa"/>
            <w:tcBorders>
              <w:top w:val="single" w:color="000000" w:sz="4" w:space="0"/>
              <w:left w:val="nil"/>
              <w:bottom w:val="single" w:color="000000" w:sz="4" w:space="0"/>
              <w:right w:val="single" w:color="000000" w:sz="4" w:space="0"/>
            </w:tcBorders>
            <w:noWrap w:val="0"/>
            <w:vAlign w:val="top"/>
          </w:tcPr>
          <w:p w14:paraId="7A52AC41">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7C2AA13">
            <w:pPr>
              <w:spacing w:line="360" w:lineRule="auto"/>
              <w:rPr>
                <w:rFonts w:ascii="新宋体" w:hAnsi="新宋体" w:eastAsia="新宋体" w:cs="新宋体"/>
                <w:color w:val="auto"/>
                <w:lang w:eastAsia="en-US"/>
              </w:rPr>
            </w:pPr>
          </w:p>
        </w:tc>
      </w:tr>
      <w:tr w14:paraId="3B8CA3E7">
        <w:tblPrEx>
          <w:tblCellMar>
            <w:top w:w="0" w:type="dxa"/>
            <w:left w:w="108" w:type="dxa"/>
            <w:bottom w:w="0" w:type="dxa"/>
            <w:right w:w="108" w:type="dxa"/>
          </w:tblCellMar>
        </w:tblPrEx>
        <w:trPr>
          <w:cantSplit/>
        </w:trPr>
        <w:tc>
          <w:tcPr>
            <w:tcW w:w="902" w:type="dxa"/>
            <w:vMerge w:val="restart"/>
            <w:tcBorders>
              <w:top w:val="nil"/>
              <w:left w:val="single" w:color="000000" w:sz="4" w:space="0"/>
              <w:bottom w:val="single" w:color="000000" w:sz="4" w:space="0"/>
              <w:right w:val="single" w:color="000000" w:sz="4" w:space="0"/>
            </w:tcBorders>
            <w:noWrap w:val="0"/>
            <w:vAlign w:val="center"/>
          </w:tcPr>
          <w:p w14:paraId="1662B76E">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三、药品使用</w:t>
            </w:r>
          </w:p>
          <w:p w14:paraId="79B252F7">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w:t>
            </w:r>
            <w:r>
              <w:rPr>
                <w:rFonts w:hint="eastAsia" w:ascii="新宋体" w:hAnsi="新宋体" w:eastAsia="新宋体" w:cs="新宋体"/>
                <w:b/>
                <w:color w:val="auto"/>
                <w:lang w:val="en-US" w:eastAsia="zh-CN"/>
              </w:rPr>
              <w:t>8</w:t>
            </w:r>
            <w:r>
              <w:rPr>
                <w:rFonts w:hint="eastAsia" w:ascii="新宋体" w:hAnsi="新宋体" w:eastAsia="新宋体" w:cs="新宋体"/>
                <w:b/>
                <w:color w:val="auto"/>
              </w:rPr>
              <w:t>分）</w:t>
            </w:r>
          </w:p>
        </w:tc>
        <w:tc>
          <w:tcPr>
            <w:tcW w:w="6632" w:type="dxa"/>
            <w:gridSpan w:val="2"/>
            <w:tcBorders>
              <w:top w:val="single" w:color="000000" w:sz="4" w:space="0"/>
              <w:left w:val="nil"/>
              <w:bottom w:val="single" w:color="000000" w:sz="4" w:space="0"/>
              <w:right w:val="single" w:color="000000" w:sz="4" w:space="0"/>
            </w:tcBorders>
            <w:noWrap w:val="0"/>
            <w:vAlign w:val="top"/>
          </w:tcPr>
          <w:p w14:paraId="2D0B6780">
            <w:pPr>
              <w:spacing w:line="360" w:lineRule="auto"/>
              <w:rPr>
                <w:rFonts w:ascii="新宋体" w:hAnsi="新宋体" w:eastAsia="新宋体" w:cs="新宋体"/>
                <w:color w:val="auto"/>
              </w:rPr>
            </w:pPr>
            <w:r>
              <w:rPr>
                <w:rFonts w:hint="eastAsia" w:ascii="新宋体" w:hAnsi="新宋体" w:eastAsia="新宋体" w:cs="新宋体"/>
                <w:color w:val="auto"/>
              </w:rPr>
              <w:t>杀虫灭鼠药物“三证”齐全，不齐全不得分。</w:t>
            </w:r>
          </w:p>
        </w:tc>
        <w:tc>
          <w:tcPr>
            <w:tcW w:w="675" w:type="dxa"/>
            <w:tcBorders>
              <w:top w:val="single" w:color="000000" w:sz="4" w:space="0"/>
              <w:left w:val="nil"/>
              <w:bottom w:val="single" w:color="000000" w:sz="4" w:space="0"/>
              <w:right w:val="single" w:color="000000" w:sz="4" w:space="0"/>
            </w:tcBorders>
            <w:noWrap w:val="0"/>
            <w:vAlign w:val="top"/>
          </w:tcPr>
          <w:p w14:paraId="287AA3A2">
            <w:pPr>
              <w:spacing w:line="360" w:lineRule="auto"/>
              <w:rPr>
                <w:rFonts w:ascii="新宋体" w:hAnsi="新宋体" w:eastAsia="新宋体" w:cs="新宋体"/>
                <w:color w:val="auto"/>
                <w:lang w:eastAsia="en-US"/>
              </w:rPr>
            </w:pPr>
            <w:r>
              <w:rPr>
                <w:rFonts w:hint="eastAsia" w:ascii="新宋体" w:hAnsi="新宋体" w:eastAsia="新宋体" w:cs="新宋体"/>
                <w:color w:val="auto"/>
              </w:rPr>
              <w:t>1</w:t>
            </w:r>
          </w:p>
        </w:tc>
        <w:tc>
          <w:tcPr>
            <w:tcW w:w="643" w:type="dxa"/>
            <w:tcBorders>
              <w:top w:val="single" w:color="000000" w:sz="4" w:space="0"/>
              <w:left w:val="nil"/>
              <w:bottom w:val="single" w:color="000000" w:sz="4" w:space="0"/>
              <w:right w:val="single" w:color="000000" w:sz="4" w:space="0"/>
            </w:tcBorders>
            <w:noWrap w:val="0"/>
            <w:vAlign w:val="top"/>
          </w:tcPr>
          <w:p w14:paraId="329DFC7A">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7E9B431">
            <w:pPr>
              <w:spacing w:line="360" w:lineRule="auto"/>
              <w:rPr>
                <w:rFonts w:ascii="新宋体" w:hAnsi="新宋体" w:eastAsia="新宋体" w:cs="新宋体"/>
                <w:color w:val="auto"/>
                <w:lang w:eastAsia="en-US"/>
              </w:rPr>
            </w:pPr>
          </w:p>
        </w:tc>
      </w:tr>
      <w:tr w14:paraId="22A6F399">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7160185A">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41F45C7C">
            <w:pPr>
              <w:spacing w:line="360" w:lineRule="auto"/>
              <w:rPr>
                <w:rFonts w:ascii="新宋体" w:hAnsi="新宋体" w:eastAsia="新宋体" w:cs="新宋体"/>
                <w:color w:val="auto"/>
              </w:rPr>
            </w:pPr>
            <w:r>
              <w:rPr>
                <w:rFonts w:hint="eastAsia" w:ascii="新宋体" w:hAnsi="新宋体" w:eastAsia="新宋体" w:cs="新宋体"/>
                <w:color w:val="auto"/>
              </w:rPr>
              <w:t>不使用违禁药品，用药品种和方法符合或优于招投标文件要求。每发现1种不符合</w:t>
            </w:r>
            <w:r>
              <w:rPr>
                <w:rFonts w:hint="eastAsia" w:ascii="新宋体" w:hAnsi="新宋体" w:eastAsia="新宋体" w:cs="新宋体"/>
                <w:color w:val="auto"/>
                <w:lang w:eastAsia="zh-CN"/>
              </w:rPr>
              <w:t>合同</w:t>
            </w:r>
            <w:r>
              <w:rPr>
                <w:rFonts w:hint="eastAsia" w:ascii="新宋体" w:hAnsi="新宋体" w:eastAsia="新宋体" w:cs="新宋体"/>
                <w:color w:val="auto"/>
              </w:rPr>
              <w:t>要求扣0.5分；发现使用违禁药品，则该项不得分。</w:t>
            </w:r>
          </w:p>
        </w:tc>
        <w:tc>
          <w:tcPr>
            <w:tcW w:w="675" w:type="dxa"/>
            <w:tcBorders>
              <w:top w:val="single" w:color="000000" w:sz="4" w:space="0"/>
              <w:left w:val="nil"/>
              <w:bottom w:val="single" w:color="000000" w:sz="4" w:space="0"/>
              <w:right w:val="single" w:color="000000" w:sz="4" w:space="0"/>
            </w:tcBorders>
            <w:noWrap w:val="0"/>
            <w:vAlign w:val="top"/>
          </w:tcPr>
          <w:p w14:paraId="1CB233C2">
            <w:pPr>
              <w:spacing w:line="360" w:lineRule="auto"/>
              <w:rPr>
                <w:rFonts w:ascii="新宋体" w:hAnsi="新宋体" w:eastAsia="新宋体" w:cs="新宋体"/>
                <w:color w:val="auto"/>
                <w:lang w:eastAsia="en-US"/>
              </w:rPr>
            </w:pPr>
            <w:r>
              <w:rPr>
                <w:rFonts w:hint="eastAsia" w:ascii="新宋体" w:hAnsi="新宋体" w:eastAsia="新宋体" w:cs="新宋体"/>
                <w:color w:val="auto"/>
              </w:rPr>
              <w:t>2</w:t>
            </w:r>
          </w:p>
        </w:tc>
        <w:tc>
          <w:tcPr>
            <w:tcW w:w="643" w:type="dxa"/>
            <w:tcBorders>
              <w:top w:val="single" w:color="000000" w:sz="4" w:space="0"/>
              <w:left w:val="nil"/>
              <w:bottom w:val="single" w:color="000000" w:sz="4" w:space="0"/>
              <w:right w:val="single" w:color="000000" w:sz="4" w:space="0"/>
            </w:tcBorders>
            <w:noWrap w:val="0"/>
            <w:vAlign w:val="top"/>
          </w:tcPr>
          <w:p w14:paraId="39EC438B">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62B68F84">
            <w:pPr>
              <w:spacing w:line="360" w:lineRule="auto"/>
              <w:rPr>
                <w:rFonts w:ascii="新宋体" w:hAnsi="新宋体" w:eastAsia="新宋体" w:cs="新宋体"/>
                <w:color w:val="auto"/>
                <w:lang w:eastAsia="en-US"/>
              </w:rPr>
            </w:pPr>
          </w:p>
        </w:tc>
      </w:tr>
      <w:tr w14:paraId="49B198FA">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1F655E6B">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5EA5AAD2">
            <w:pPr>
              <w:spacing w:line="360" w:lineRule="auto"/>
              <w:rPr>
                <w:rFonts w:ascii="新宋体" w:hAnsi="新宋体" w:eastAsia="新宋体" w:cs="新宋体"/>
                <w:color w:val="auto"/>
              </w:rPr>
            </w:pPr>
            <w:r>
              <w:rPr>
                <w:rFonts w:hint="eastAsia" w:ascii="新宋体" w:hAnsi="新宋体" w:eastAsia="新宋体" w:cs="新宋体"/>
                <w:color w:val="auto"/>
              </w:rPr>
              <w:t>供货及时，票据齐全</w:t>
            </w:r>
            <w:r>
              <w:rPr>
                <w:rFonts w:hint="eastAsia" w:ascii="新宋体" w:hAnsi="新宋体" w:eastAsia="新宋体" w:cs="新宋体"/>
                <w:color w:val="auto"/>
                <w:lang w:eastAsia="zh-CN"/>
              </w:rPr>
              <w:t>（须备注为本区域使用）</w:t>
            </w:r>
            <w:r>
              <w:rPr>
                <w:rFonts w:hint="eastAsia" w:ascii="新宋体" w:hAnsi="新宋体" w:eastAsia="新宋体" w:cs="新宋体"/>
                <w:color w:val="auto"/>
              </w:rPr>
              <w:t>，进出库记录齐全，每发现1处不符合要求扣0.5分，扣完为止。</w:t>
            </w:r>
          </w:p>
        </w:tc>
        <w:tc>
          <w:tcPr>
            <w:tcW w:w="675" w:type="dxa"/>
            <w:tcBorders>
              <w:top w:val="single" w:color="000000" w:sz="4" w:space="0"/>
              <w:left w:val="nil"/>
              <w:bottom w:val="single" w:color="000000" w:sz="4" w:space="0"/>
              <w:right w:val="single" w:color="000000" w:sz="4" w:space="0"/>
            </w:tcBorders>
            <w:noWrap w:val="0"/>
            <w:vAlign w:val="top"/>
          </w:tcPr>
          <w:p w14:paraId="24AFF6DA">
            <w:pPr>
              <w:spacing w:line="360" w:lineRule="auto"/>
              <w:rPr>
                <w:rFonts w:ascii="新宋体" w:hAnsi="新宋体" w:eastAsia="新宋体" w:cs="新宋体"/>
                <w:color w:val="auto"/>
                <w:lang w:eastAsia="en-US"/>
              </w:rPr>
            </w:pPr>
            <w:r>
              <w:rPr>
                <w:rFonts w:hint="eastAsia" w:ascii="新宋体" w:hAnsi="新宋体" w:eastAsia="新宋体" w:cs="新宋体"/>
                <w:color w:val="auto"/>
              </w:rPr>
              <w:t>3</w:t>
            </w:r>
          </w:p>
        </w:tc>
        <w:tc>
          <w:tcPr>
            <w:tcW w:w="643" w:type="dxa"/>
            <w:tcBorders>
              <w:top w:val="single" w:color="000000" w:sz="4" w:space="0"/>
              <w:left w:val="nil"/>
              <w:bottom w:val="single" w:color="000000" w:sz="4" w:space="0"/>
              <w:right w:val="single" w:color="000000" w:sz="4" w:space="0"/>
            </w:tcBorders>
            <w:noWrap w:val="0"/>
            <w:vAlign w:val="top"/>
          </w:tcPr>
          <w:p w14:paraId="66FC7DA5">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3E6D466A">
            <w:pPr>
              <w:spacing w:line="360" w:lineRule="auto"/>
              <w:rPr>
                <w:rFonts w:ascii="新宋体" w:hAnsi="新宋体" w:eastAsia="新宋体" w:cs="新宋体"/>
                <w:color w:val="auto"/>
                <w:lang w:eastAsia="en-US"/>
              </w:rPr>
            </w:pPr>
          </w:p>
        </w:tc>
      </w:tr>
      <w:tr w14:paraId="62FFD420">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066C50E9">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3CFAC4E0">
            <w:pPr>
              <w:spacing w:line="360" w:lineRule="auto"/>
              <w:rPr>
                <w:rFonts w:ascii="新宋体" w:hAnsi="新宋体" w:eastAsia="新宋体" w:cs="新宋体"/>
                <w:color w:val="auto"/>
              </w:rPr>
            </w:pPr>
            <w:r>
              <w:rPr>
                <w:rFonts w:hint="eastAsia" w:ascii="新宋体" w:hAnsi="新宋体" w:eastAsia="新宋体" w:cs="新宋体"/>
                <w:color w:val="auto"/>
              </w:rPr>
              <w:t>现场检查药物使用方法正确，符合规范。每发现1处错误扣0.5分，扣完为止。</w:t>
            </w:r>
          </w:p>
        </w:tc>
        <w:tc>
          <w:tcPr>
            <w:tcW w:w="675" w:type="dxa"/>
            <w:tcBorders>
              <w:top w:val="single" w:color="000000" w:sz="4" w:space="0"/>
              <w:left w:val="nil"/>
              <w:bottom w:val="single" w:color="000000" w:sz="4" w:space="0"/>
              <w:right w:val="single" w:color="000000" w:sz="4" w:space="0"/>
            </w:tcBorders>
            <w:noWrap w:val="0"/>
            <w:vAlign w:val="top"/>
          </w:tcPr>
          <w:p w14:paraId="309F7BBB">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2</w:t>
            </w:r>
          </w:p>
        </w:tc>
        <w:tc>
          <w:tcPr>
            <w:tcW w:w="643" w:type="dxa"/>
            <w:tcBorders>
              <w:top w:val="single" w:color="000000" w:sz="4" w:space="0"/>
              <w:left w:val="nil"/>
              <w:bottom w:val="single" w:color="000000" w:sz="4" w:space="0"/>
              <w:right w:val="single" w:color="000000" w:sz="4" w:space="0"/>
            </w:tcBorders>
            <w:noWrap w:val="0"/>
            <w:vAlign w:val="top"/>
          </w:tcPr>
          <w:p w14:paraId="3391CE86">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683A50E4">
            <w:pPr>
              <w:spacing w:line="360" w:lineRule="auto"/>
              <w:rPr>
                <w:rFonts w:ascii="新宋体" w:hAnsi="新宋体" w:eastAsia="新宋体" w:cs="新宋体"/>
                <w:color w:val="auto"/>
                <w:lang w:eastAsia="en-US"/>
              </w:rPr>
            </w:pPr>
          </w:p>
        </w:tc>
      </w:tr>
      <w:tr w14:paraId="15D38666">
        <w:tblPrEx>
          <w:tblCellMar>
            <w:top w:w="0" w:type="dxa"/>
            <w:left w:w="108" w:type="dxa"/>
            <w:bottom w:w="0" w:type="dxa"/>
            <w:right w:w="108" w:type="dxa"/>
          </w:tblCellMar>
        </w:tblPrEx>
        <w:trPr>
          <w:cantSplit/>
          <w:trHeight w:val="726" w:hRule="atLeast"/>
        </w:trPr>
        <w:tc>
          <w:tcPr>
            <w:tcW w:w="902" w:type="dxa"/>
            <w:vMerge w:val="restart"/>
            <w:tcBorders>
              <w:top w:val="nil"/>
              <w:left w:val="single" w:color="000000" w:sz="4" w:space="0"/>
              <w:bottom w:val="single" w:color="000000" w:sz="4" w:space="0"/>
              <w:right w:val="single" w:color="000000" w:sz="4" w:space="0"/>
            </w:tcBorders>
            <w:noWrap w:val="0"/>
            <w:vAlign w:val="center"/>
          </w:tcPr>
          <w:p w14:paraId="41DCD562">
            <w:pPr>
              <w:spacing w:line="360" w:lineRule="auto"/>
              <w:rPr>
                <w:rFonts w:ascii="新宋体" w:hAnsi="新宋体" w:eastAsia="新宋体" w:cs="新宋体"/>
                <w:b/>
                <w:color w:val="auto"/>
              </w:rPr>
            </w:pPr>
            <w:r>
              <w:rPr>
                <w:rFonts w:hint="eastAsia" w:ascii="新宋体" w:hAnsi="新宋体" w:eastAsia="新宋体" w:cs="新宋体"/>
                <w:b/>
                <w:color w:val="auto"/>
              </w:rPr>
              <w:t>四、施工计划与进度</w:t>
            </w:r>
          </w:p>
          <w:p w14:paraId="1C9881B7">
            <w:pPr>
              <w:spacing w:line="360" w:lineRule="auto"/>
              <w:rPr>
                <w:rFonts w:ascii="新宋体" w:hAnsi="新宋体" w:eastAsia="新宋体" w:cs="新宋体"/>
                <w:b/>
                <w:color w:val="auto"/>
              </w:rPr>
            </w:pPr>
            <w:r>
              <w:rPr>
                <w:rFonts w:hint="eastAsia" w:ascii="新宋体" w:hAnsi="新宋体" w:eastAsia="新宋体" w:cs="新宋体"/>
                <w:b/>
                <w:color w:val="auto"/>
              </w:rPr>
              <w:t>（</w:t>
            </w:r>
            <w:r>
              <w:rPr>
                <w:rFonts w:hint="eastAsia" w:ascii="新宋体" w:hAnsi="新宋体" w:eastAsia="新宋体" w:cs="新宋体"/>
                <w:b/>
                <w:color w:val="auto"/>
                <w:lang w:val="en-US" w:eastAsia="zh-CN"/>
              </w:rPr>
              <w:t>22</w:t>
            </w:r>
            <w:r>
              <w:rPr>
                <w:rFonts w:hint="eastAsia" w:ascii="新宋体" w:hAnsi="新宋体" w:eastAsia="新宋体" w:cs="新宋体"/>
                <w:b/>
                <w:color w:val="auto"/>
              </w:rPr>
              <w:t>分）</w:t>
            </w:r>
          </w:p>
        </w:tc>
        <w:tc>
          <w:tcPr>
            <w:tcW w:w="6632" w:type="dxa"/>
            <w:gridSpan w:val="2"/>
            <w:tcBorders>
              <w:top w:val="single" w:color="000000" w:sz="4" w:space="0"/>
              <w:left w:val="nil"/>
              <w:bottom w:val="single" w:color="000000" w:sz="4" w:space="0"/>
              <w:right w:val="single" w:color="000000" w:sz="4" w:space="0"/>
            </w:tcBorders>
            <w:noWrap w:val="0"/>
            <w:vAlign w:val="top"/>
          </w:tcPr>
          <w:p w14:paraId="3EB65970">
            <w:pPr>
              <w:spacing w:line="360" w:lineRule="auto"/>
              <w:rPr>
                <w:rFonts w:ascii="新宋体" w:hAnsi="新宋体" w:eastAsia="新宋体" w:cs="新宋体"/>
                <w:color w:val="auto"/>
              </w:rPr>
            </w:pPr>
            <w:r>
              <w:rPr>
                <w:rFonts w:hint="eastAsia" w:ascii="新宋体" w:hAnsi="新宋体" w:eastAsia="新宋体" w:cs="新宋体"/>
                <w:color w:val="auto"/>
              </w:rPr>
              <w:t>有总体施工计划，并按计划组织实施，发现1次未按照计划实施并不能说明客观原因的扣0.5分，扣完为止。。</w:t>
            </w:r>
          </w:p>
        </w:tc>
        <w:tc>
          <w:tcPr>
            <w:tcW w:w="675" w:type="dxa"/>
            <w:tcBorders>
              <w:top w:val="single" w:color="000000" w:sz="4" w:space="0"/>
              <w:left w:val="nil"/>
              <w:bottom w:val="single" w:color="000000" w:sz="4" w:space="0"/>
              <w:right w:val="single" w:color="000000" w:sz="4" w:space="0"/>
            </w:tcBorders>
            <w:noWrap w:val="0"/>
            <w:vAlign w:val="top"/>
          </w:tcPr>
          <w:p w14:paraId="3E329896">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2</w:t>
            </w:r>
          </w:p>
        </w:tc>
        <w:tc>
          <w:tcPr>
            <w:tcW w:w="643" w:type="dxa"/>
            <w:tcBorders>
              <w:top w:val="single" w:color="000000" w:sz="4" w:space="0"/>
              <w:left w:val="nil"/>
              <w:bottom w:val="single" w:color="000000" w:sz="4" w:space="0"/>
              <w:right w:val="single" w:color="000000" w:sz="4" w:space="0"/>
            </w:tcBorders>
            <w:noWrap w:val="0"/>
            <w:vAlign w:val="top"/>
          </w:tcPr>
          <w:p w14:paraId="573840EE">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768A74D5">
            <w:pPr>
              <w:spacing w:line="360" w:lineRule="auto"/>
              <w:rPr>
                <w:rFonts w:hint="eastAsia" w:ascii="新宋体" w:hAnsi="新宋体" w:eastAsia="新宋体" w:cs="新宋体"/>
                <w:color w:val="auto"/>
                <w:sz w:val="18"/>
                <w:szCs w:val="18"/>
                <w:highlight w:val="none"/>
                <w:lang w:val="en-US" w:eastAsia="zh-CN"/>
              </w:rPr>
            </w:pPr>
          </w:p>
        </w:tc>
      </w:tr>
      <w:tr w14:paraId="31B3C352">
        <w:tblPrEx>
          <w:tblCellMar>
            <w:top w:w="0" w:type="dxa"/>
            <w:left w:w="108" w:type="dxa"/>
            <w:bottom w:w="0" w:type="dxa"/>
            <w:right w:w="108" w:type="dxa"/>
          </w:tblCellMar>
        </w:tblPrEx>
        <w:trPr>
          <w:cantSplit/>
          <w:trHeight w:val="868"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2C4D4ADC">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2724AAB2">
            <w:pPr>
              <w:spacing w:line="360" w:lineRule="auto"/>
              <w:rPr>
                <w:rFonts w:ascii="新宋体" w:hAnsi="新宋体" w:eastAsia="新宋体" w:cs="新宋体"/>
                <w:color w:val="auto"/>
              </w:rPr>
            </w:pPr>
            <w:r>
              <w:rPr>
                <w:rFonts w:hint="eastAsia" w:ascii="新宋体" w:hAnsi="新宋体" w:eastAsia="新宋体" w:cs="新宋体"/>
                <w:color w:val="auto"/>
              </w:rPr>
              <w:t>毒饵站、捕蝇笼等设施</w:t>
            </w:r>
            <w:r>
              <w:rPr>
                <w:rFonts w:hint="eastAsia" w:ascii="新宋体" w:hAnsi="新宋体" w:eastAsia="新宋体" w:cs="新宋体"/>
                <w:color w:val="auto"/>
                <w:lang w:eastAsia="zh-CN"/>
              </w:rPr>
              <w:t>未</w:t>
            </w:r>
            <w:r>
              <w:rPr>
                <w:rFonts w:hint="eastAsia" w:ascii="新宋体" w:hAnsi="新宋体" w:eastAsia="新宋体" w:cs="新宋体"/>
                <w:color w:val="auto"/>
              </w:rPr>
              <w:t>按规定维护，发现1处不到位扣0.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分，扣完为止。</w:t>
            </w:r>
          </w:p>
        </w:tc>
        <w:tc>
          <w:tcPr>
            <w:tcW w:w="675" w:type="dxa"/>
            <w:tcBorders>
              <w:top w:val="single" w:color="000000" w:sz="4" w:space="0"/>
              <w:left w:val="nil"/>
              <w:bottom w:val="single" w:color="000000" w:sz="4" w:space="0"/>
              <w:right w:val="single" w:color="000000" w:sz="4" w:space="0"/>
            </w:tcBorders>
            <w:noWrap w:val="0"/>
            <w:vAlign w:val="top"/>
          </w:tcPr>
          <w:p w14:paraId="0D7E59BF">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5</w:t>
            </w:r>
          </w:p>
        </w:tc>
        <w:tc>
          <w:tcPr>
            <w:tcW w:w="643" w:type="dxa"/>
            <w:tcBorders>
              <w:top w:val="single" w:color="000000" w:sz="4" w:space="0"/>
              <w:left w:val="nil"/>
              <w:bottom w:val="single" w:color="000000" w:sz="4" w:space="0"/>
              <w:right w:val="single" w:color="000000" w:sz="4" w:space="0"/>
            </w:tcBorders>
            <w:noWrap w:val="0"/>
            <w:vAlign w:val="top"/>
          </w:tcPr>
          <w:p w14:paraId="21C98B89">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4FB17626">
            <w:pPr>
              <w:spacing w:line="360" w:lineRule="auto"/>
              <w:rPr>
                <w:rFonts w:hint="default" w:ascii="新宋体" w:hAnsi="新宋体" w:eastAsia="新宋体" w:cs="新宋体"/>
                <w:color w:val="auto"/>
                <w:sz w:val="18"/>
                <w:szCs w:val="18"/>
                <w:highlight w:val="none"/>
                <w:lang w:val="en-US" w:eastAsia="zh-CN"/>
              </w:rPr>
            </w:pPr>
          </w:p>
        </w:tc>
      </w:tr>
      <w:tr w14:paraId="63C16D7B">
        <w:tblPrEx>
          <w:tblCellMar>
            <w:top w:w="0" w:type="dxa"/>
            <w:left w:w="108" w:type="dxa"/>
            <w:bottom w:w="0" w:type="dxa"/>
            <w:right w:w="108" w:type="dxa"/>
          </w:tblCellMar>
        </w:tblPrEx>
        <w:trPr>
          <w:cantSplit/>
          <w:trHeight w:val="510"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53A4013E">
            <w:pPr>
              <w:rPr>
                <w:rFonts w:ascii="新宋体" w:hAnsi="新宋体" w:eastAsia="新宋体" w:cs="新宋体"/>
                <w:color w:val="auto"/>
              </w:rPr>
            </w:pPr>
          </w:p>
        </w:tc>
        <w:tc>
          <w:tcPr>
            <w:tcW w:w="6632" w:type="dxa"/>
            <w:gridSpan w:val="2"/>
            <w:tcBorders>
              <w:top w:val="single" w:color="auto" w:sz="4" w:space="0"/>
              <w:left w:val="nil"/>
              <w:bottom w:val="single" w:color="000000" w:sz="4" w:space="0"/>
              <w:right w:val="single" w:color="000000" w:sz="4" w:space="0"/>
            </w:tcBorders>
            <w:noWrap w:val="0"/>
            <w:vAlign w:val="top"/>
          </w:tcPr>
          <w:p w14:paraId="00FD5720">
            <w:pPr>
              <w:spacing w:line="360" w:lineRule="auto"/>
              <w:rPr>
                <w:rFonts w:ascii="新宋体" w:hAnsi="新宋体" w:eastAsia="新宋体" w:cs="新宋体"/>
                <w:color w:val="auto"/>
              </w:rPr>
            </w:pPr>
            <w:r>
              <w:rPr>
                <w:rFonts w:hint="eastAsia" w:ascii="新宋体" w:hAnsi="新宋体" w:eastAsia="新宋体" w:cs="新宋体"/>
                <w:color w:val="auto"/>
              </w:rPr>
              <w:t>日常服务期间确保重点单位、重点场所周边灭鼠药物投放到位，春秋灭鼠期间确保全区域内外环境灭鼠药物投放到位，检查发现1处有鼠活动痕迹</w:t>
            </w:r>
            <w:r>
              <w:rPr>
                <w:rFonts w:hint="eastAsia" w:ascii="新宋体" w:hAnsi="新宋体" w:eastAsia="新宋体" w:cs="新宋体"/>
                <w:color w:val="auto"/>
                <w:lang w:eastAsia="zh-CN"/>
              </w:rPr>
              <w:t>而区域</w:t>
            </w:r>
            <w:r>
              <w:rPr>
                <w:rFonts w:hint="eastAsia" w:ascii="新宋体" w:hAnsi="新宋体" w:eastAsia="新宋体" w:cs="新宋体"/>
                <w:color w:val="auto"/>
              </w:rPr>
              <w:t>周边未投放灭鼠药的扣0.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p>
        </w:tc>
        <w:tc>
          <w:tcPr>
            <w:tcW w:w="675" w:type="dxa"/>
            <w:tcBorders>
              <w:top w:val="single" w:color="auto" w:sz="4" w:space="0"/>
              <w:left w:val="nil"/>
              <w:bottom w:val="single" w:color="000000" w:sz="4" w:space="0"/>
              <w:right w:val="single" w:color="000000" w:sz="4" w:space="0"/>
            </w:tcBorders>
            <w:noWrap w:val="0"/>
            <w:vAlign w:val="top"/>
          </w:tcPr>
          <w:p w14:paraId="6B7B3E04">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6</w:t>
            </w:r>
          </w:p>
        </w:tc>
        <w:tc>
          <w:tcPr>
            <w:tcW w:w="643" w:type="dxa"/>
            <w:tcBorders>
              <w:top w:val="single" w:color="auto" w:sz="4" w:space="0"/>
              <w:left w:val="nil"/>
              <w:bottom w:val="single" w:color="000000" w:sz="4" w:space="0"/>
              <w:right w:val="single" w:color="000000" w:sz="4" w:space="0"/>
            </w:tcBorders>
            <w:noWrap w:val="0"/>
            <w:vAlign w:val="top"/>
          </w:tcPr>
          <w:p w14:paraId="7DC7288F">
            <w:pPr>
              <w:spacing w:line="360" w:lineRule="auto"/>
              <w:rPr>
                <w:rFonts w:hint="default" w:ascii="新宋体" w:hAnsi="新宋体" w:eastAsia="新宋体" w:cs="新宋体"/>
                <w:color w:val="auto"/>
                <w:highlight w:val="none"/>
                <w:lang w:val="en-US" w:eastAsia="zh-CN"/>
              </w:rPr>
            </w:pPr>
          </w:p>
        </w:tc>
        <w:tc>
          <w:tcPr>
            <w:tcW w:w="707" w:type="dxa"/>
            <w:tcBorders>
              <w:top w:val="single" w:color="auto" w:sz="4" w:space="0"/>
              <w:left w:val="nil"/>
              <w:bottom w:val="single" w:color="000000" w:sz="4" w:space="0"/>
              <w:right w:val="single" w:color="000000" w:sz="4" w:space="0"/>
            </w:tcBorders>
            <w:noWrap w:val="0"/>
            <w:vAlign w:val="top"/>
          </w:tcPr>
          <w:p w14:paraId="7286CA31">
            <w:pPr>
              <w:spacing w:line="360" w:lineRule="auto"/>
              <w:rPr>
                <w:rFonts w:hint="eastAsia" w:ascii="新宋体" w:hAnsi="新宋体" w:eastAsia="新宋体" w:cs="新宋体"/>
                <w:color w:val="auto"/>
                <w:sz w:val="18"/>
                <w:szCs w:val="18"/>
                <w:lang w:eastAsia="zh-CN"/>
              </w:rPr>
            </w:pPr>
          </w:p>
        </w:tc>
      </w:tr>
      <w:tr w14:paraId="60E0816B">
        <w:tblPrEx>
          <w:tblCellMar>
            <w:top w:w="0" w:type="dxa"/>
            <w:left w:w="108" w:type="dxa"/>
            <w:bottom w:w="0" w:type="dxa"/>
            <w:right w:w="108" w:type="dxa"/>
          </w:tblCellMar>
        </w:tblPrEx>
        <w:trPr>
          <w:cantSplit/>
          <w:trHeight w:val="720"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0A994173">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7C686780">
            <w:pPr>
              <w:spacing w:line="360" w:lineRule="auto"/>
              <w:rPr>
                <w:rFonts w:ascii="新宋体" w:hAnsi="新宋体" w:eastAsia="新宋体" w:cs="新宋体"/>
                <w:color w:val="auto"/>
              </w:rPr>
            </w:pPr>
            <w:r>
              <w:rPr>
                <w:rFonts w:hint="eastAsia" w:ascii="新宋体" w:hAnsi="新宋体" w:eastAsia="新宋体" w:cs="新宋体"/>
                <w:color w:val="auto"/>
              </w:rPr>
              <w:t>集中灭鼠灭蟑期间开展小餐饮集中场所及下水道灭蟑、灭鼠，</w:t>
            </w:r>
            <w:r>
              <w:rPr>
                <w:rFonts w:hint="eastAsia" w:ascii="新宋体" w:hAnsi="新宋体" w:eastAsia="新宋体" w:cs="新宋体"/>
                <w:color w:val="auto"/>
                <w:lang w:eastAsia="zh-CN"/>
              </w:rPr>
              <w:t>确保</w:t>
            </w:r>
            <w:r>
              <w:rPr>
                <w:rFonts w:hint="eastAsia" w:ascii="新宋体" w:hAnsi="新宋体" w:eastAsia="新宋体" w:cs="新宋体"/>
                <w:color w:val="auto"/>
              </w:rPr>
              <w:t>开展到位，每发现1处不到位扣0.5分，扣完为止。</w:t>
            </w:r>
          </w:p>
        </w:tc>
        <w:tc>
          <w:tcPr>
            <w:tcW w:w="675" w:type="dxa"/>
            <w:tcBorders>
              <w:top w:val="single" w:color="000000" w:sz="4" w:space="0"/>
              <w:left w:val="nil"/>
              <w:bottom w:val="single" w:color="000000" w:sz="4" w:space="0"/>
              <w:right w:val="single" w:color="000000" w:sz="4" w:space="0"/>
            </w:tcBorders>
            <w:noWrap w:val="0"/>
            <w:vAlign w:val="top"/>
          </w:tcPr>
          <w:p w14:paraId="1FFB55D5">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132277B1">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66C2A855">
            <w:pPr>
              <w:spacing w:line="360" w:lineRule="auto"/>
              <w:rPr>
                <w:rFonts w:hint="eastAsia" w:ascii="新宋体" w:hAnsi="新宋体" w:eastAsia="新宋体" w:cs="新宋体"/>
                <w:color w:val="auto"/>
                <w:sz w:val="18"/>
                <w:szCs w:val="18"/>
                <w:lang w:val="en-US" w:eastAsia="zh-CN"/>
              </w:rPr>
            </w:pPr>
          </w:p>
        </w:tc>
      </w:tr>
      <w:tr w14:paraId="751B9EF4">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1521FB14">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6B4BC8B4">
            <w:pPr>
              <w:spacing w:line="360" w:lineRule="auto"/>
              <w:rPr>
                <w:rFonts w:ascii="新宋体" w:hAnsi="新宋体" w:eastAsia="新宋体" w:cs="新宋体"/>
                <w:color w:val="auto"/>
              </w:rPr>
            </w:pPr>
            <w:r>
              <w:rPr>
                <w:rFonts w:hint="eastAsia" w:ascii="新宋体" w:hAnsi="新宋体" w:eastAsia="新宋体" w:cs="新宋体"/>
                <w:color w:val="auto"/>
              </w:rPr>
              <w:t>根据四害密度变化，重点区域增加适当的消杀次数</w:t>
            </w:r>
            <w:r>
              <w:rPr>
                <w:rFonts w:hint="eastAsia" w:ascii="新宋体" w:hAnsi="新宋体" w:eastAsia="新宋体" w:cs="新宋体"/>
                <w:color w:val="auto"/>
                <w:lang w:eastAsia="zh-CN"/>
              </w:rPr>
              <w:t>，如密度较高且未加强消杀的，每发现</w:t>
            </w:r>
            <w:r>
              <w:rPr>
                <w:rFonts w:hint="eastAsia" w:ascii="新宋体" w:hAnsi="新宋体" w:eastAsia="新宋体" w:cs="新宋体"/>
                <w:color w:val="auto"/>
                <w:lang w:val="en-US" w:eastAsia="zh-CN"/>
              </w:rPr>
              <w:t>1处扣0.5分</w:t>
            </w:r>
            <w:r>
              <w:rPr>
                <w:rFonts w:hint="eastAsia" w:ascii="新宋体" w:hAnsi="新宋体" w:eastAsia="新宋体" w:cs="新宋体"/>
                <w:color w:val="auto"/>
              </w:rPr>
              <w:t>。</w:t>
            </w:r>
          </w:p>
        </w:tc>
        <w:tc>
          <w:tcPr>
            <w:tcW w:w="675" w:type="dxa"/>
            <w:tcBorders>
              <w:top w:val="single" w:color="000000" w:sz="4" w:space="0"/>
              <w:left w:val="nil"/>
              <w:bottom w:val="single" w:color="000000" w:sz="4" w:space="0"/>
              <w:right w:val="single" w:color="000000" w:sz="4" w:space="0"/>
            </w:tcBorders>
            <w:noWrap w:val="0"/>
            <w:vAlign w:val="top"/>
          </w:tcPr>
          <w:p w14:paraId="7FB6701F">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34DFDE74">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AB86939">
            <w:pPr>
              <w:spacing w:line="360" w:lineRule="auto"/>
              <w:rPr>
                <w:rFonts w:ascii="新宋体" w:hAnsi="新宋体" w:eastAsia="新宋体" w:cs="新宋体"/>
                <w:color w:val="auto"/>
                <w:sz w:val="18"/>
                <w:szCs w:val="18"/>
                <w:lang w:eastAsia="en-US"/>
              </w:rPr>
            </w:pPr>
          </w:p>
        </w:tc>
      </w:tr>
      <w:tr w14:paraId="15BD83A7">
        <w:tblPrEx>
          <w:tblCellMar>
            <w:top w:w="0" w:type="dxa"/>
            <w:left w:w="108" w:type="dxa"/>
            <w:bottom w:w="0" w:type="dxa"/>
            <w:right w:w="108" w:type="dxa"/>
          </w:tblCellMar>
        </w:tblPrEx>
        <w:trPr>
          <w:cantSplit/>
          <w:trHeight w:val="922"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799BFDB8">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6390F32F">
            <w:pPr>
              <w:spacing w:line="360" w:lineRule="auto"/>
              <w:rPr>
                <w:rFonts w:ascii="新宋体" w:hAnsi="新宋体" w:eastAsia="新宋体" w:cs="新宋体"/>
                <w:color w:val="auto"/>
              </w:rPr>
            </w:pPr>
            <w:r>
              <w:rPr>
                <w:rFonts w:hint="eastAsia" w:ascii="新宋体" w:hAnsi="新宋体" w:eastAsia="新宋体" w:cs="新宋体"/>
                <w:color w:val="auto"/>
              </w:rPr>
              <w:t>及时上报除四害器械布置登记等资料，做到社区村合理设置、规范，器械布放客观真实,现场发现一处不真实或不规范的扣0.5分，扣完为止。</w:t>
            </w:r>
          </w:p>
        </w:tc>
        <w:tc>
          <w:tcPr>
            <w:tcW w:w="675" w:type="dxa"/>
            <w:tcBorders>
              <w:top w:val="single" w:color="000000" w:sz="4" w:space="0"/>
              <w:left w:val="nil"/>
              <w:bottom w:val="single" w:color="000000" w:sz="4" w:space="0"/>
              <w:right w:val="single" w:color="000000" w:sz="4" w:space="0"/>
            </w:tcBorders>
            <w:noWrap w:val="0"/>
            <w:vAlign w:val="top"/>
          </w:tcPr>
          <w:p w14:paraId="6B9CAE7C">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6EC55498">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07D89653">
            <w:pPr>
              <w:spacing w:line="360" w:lineRule="auto"/>
              <w:rPr>
                <w:rFonts w:hint="eastAsia" w:ascii="新宋体" w:hAnsi="新宋体" w:eastAsia="新宋体" w:cs="新宋体"/>
                <w:color w:val="auto"/>
                <w:sz w:val="18"/>
                <w:szCs w:val="18"/>
                <w:lang w:val="en-US" w:eastAsia="zh-CN"/>
              </w:rPr>
            </w:pPr>
          </w:p>
        </w:tc>
      </w:tr>
      <w:tr w14:paraId="2CCE5CAF">
        <w:tblPrEx>
          <w:tblCellMar>
            <w:top w:w="0" w:type="dxa"/>
            <w:left w:w="108" w:type="dxa"/>
            <w:bottom w:w="0" w:type="dxa"/>
            <w:right w:w="108" w:type="dxa"/>
          </w:tblCellMar>
        </w:tblPrEx>
        <w:trPr>
          <w:cantSplit/>
          <w:trHeight w:val="883" w:hRule="atLeast"/>
        </w:trPr>
        <w:tc>
          <w:tcPr>
            <w:tcW w:w="9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B83C7">
            <w:pPr>
              <w:spacing w:line="360" w:lineRule="auto"/>
              <w:rPr>
                <w:rFonts w:ascii="新宋体" w:hAnsi="新宋体" w:eastAsia="新宋体" w:cs="新宋体"/>
                <w:b/>
                <w:color w:val="auto"/>
              </w:rPr>
            </w:pPr>
            <w:r>
              <w:rPr>
                <w:rFonts w:hint="eastAsia" w:ascii="新宋体" w:hAnsi="新宋体" w:eastAsia="新宋体" w:cs="新宋体"/>
                <w:b/>
                <w:color w:val="auto"/>
              </w:rPr>
              <w:t>五、服务范围现场效果</w:t>
            </w:r>
          </w:p>
          <w:p w14:paraId="7A69268B">
            <w:pPr>
              <w:spacing w:line="360" w:lineRule="auto"/>
              <w:rPr>
                <w:rFonts w:ascii="新宋体" w:hAnsi="新宋体" w:eastAsia="新宋体" w:cs="新宋体"/>
                <w:b/>
                <w:color w:val="auto"/>
              </w:rPr>
            </w:pPr>
            <w:r>
              <w:rPr>
                <w:rFonts w:hint="eastAsia" w:ascii="新宋体" w:hAnsi="新宋体" w:eastAsia="新宋体" w:cs="新宋体"/>
                <w:b/>
                <w:color w:val="auto"/>
              </w:rPr>
              <w:t>（3</w:t>
            </w:r>
            <w:r>
              <w:rPr>
                <w:rFonts w:hint="eastAsia" w:ascii="新宋体" w:hAnsi="新宋体" w:eastAsia="新宋体" w:cs="新宋体"/>
                <w:b/>
                <w:color w:val="auto"/>
                <w:lang w:val="en-US" w:eastAsia="zh-CN"/>
              </w:rPr>
              <w:t>0</w:t>
            </w:r>
            <w:r>
              <w:rPr>
                <w:rFonts w:hint="eastAsia" w:ascii="新宋体" w:hAnsi="新宋体" w:eastAsia="新宋体" w:cs="新宋体"/>
                <w:b/>
                <w:color w:val="auto"/>
              </w:rPr>
              <w:t>分）</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top"/>
          </w:tcPr>
          <w:p w14:paraId="0568B2CE">
            <w:pPr>
              <w:wordWrap w:val="0"/>
              <w:spacing w:line="360" w:lineRule="auto"/>
              <w:rPr>
                <w:rFonts w:ascii="新宋体" w:hAnsi="新宋体" w:eastAsia="新宋体" w:cs="新宋体"/>
                <w:color w:val="auto"/>
              </w:rPr>
            </w:pPr>
          </w:p>
          <w:p w14:paraId="1B1C68BF">
            <w:pPr>
              <w:wordWrap w:val="0"/>
              <w:spacing w:line="360" w:lineRule="auto"/>
              <w:rPr>
                <w:rFonts w:hint="eastAsia" w:ascii="新宋体" w:hAnsi="新宋体" w:eastAsia="新宋体" w:cs="新宋体"/>
                <w:color w:val="auto"/>
              </w:rPr>
            </w:pPr>
          </w:p>
          <w:p w14:paraId="1D50A605">
            <w:pPr>
              <w:wordWrap w:val="0"/>
              <w:spacing w:line="360" w:lineRule="auto"/>
              <w:rPr>
                <w:rFonts w:hint="eastAsia" w:ascii="新宋体" w:hAnsi="新宋体" w:eastAsia="新宋体" w:cs="新宋体"/>
                <w:color w:val="auto"/>
              </w:rPr>
            </w:pPr>
          </w:p>
          <w:p w14:paraId="3FDB44A5">
            <w:pPr>
              <w:wordWrap w:val="0"/>
              <w:spacing w:line="360" w:lineRule="auto"/>
              <w:rPr>
                <w:rFonts w:ascii="新宋体" w:hAnsi="新宋体" w:eastAsia="新宋体" w:cs="新宋体"/>
                <w:color w:val="auto"/>
              </w:rPr>
            </w:pPr>
            <w:r>
              <w:rPr>
                <w:rFonts w:hint="eastAsia" w:ascii="新宋体" w:hAnsi="新宋体" w:eastAsia="新宋体" w:cs="新宋体"/>
                <w:color w:val="auto"/>
              </w:rPr>
              <w:t>现场评估</w:t>
            </w:r>
          </w:p>
          <w:p w14:paraId="4362F694">
            <w:pPr>
              <w:wordWrap w:val="0"/>
              <w:spacing w:line="360" w:lineRule="auto"/>
              <w:rPr>
                <w:rFonts w:ascii="新宋体" w:hAnsi="新宋体" w:eastAsia="新宋体" w:cs="新宋体"/>
                <w:color w:val="auto"/>
              </w:rPr>
            </w:pPr>
          </w:p>
        </w:tc>
        <w:tc>
          <w:tcPr>
            <w:tcW w:w="5946" w:type="dxa"/>
            <w:tcBorders>
              <w:top w:val="single" w:color="000000" w:sz="4" w:space="0"/>
              <w:left w:val="single" w:color="000000" w:sz="4" w:space="0"/>
              <w:bottom w:val="single" w:color="000000" w:sz="4" w:space="0"/>
              <w:right w:val="single" w:color="000000" w:sz="4" w:space="0"/>
            </w:tcBorders>
            <w:noWrap w:val="0"/>
            <w:vAlign w:val="top"/>
          </w:tcPr>
          <w:p w14:paraId="30934992">
            <w:pPr>
              <w:wordWrap w:val="0"/>
              <w:spacing w:line="360" w:lineRule="auto"/>
              <w:rPr>
                <w:rFonts w:ascii="新宋体" w:hAnsi="新宋体" w:eastAsia="新宋体" w:cs="新宋体"/>
                <w:color w:val="auto"/>
              </w:rPr>
            </w:pPr>
            <w:r>
              <w:rPr>
                <w:rFonts w:hint="eastAsia" w:ascii="新宋体" w:hAnsi="新宋体" w:eastAsia="新宋体" w:cs="新宋体"/>
                <w:color w:val="auto"/>
              </w:rPr>
              <w:t>鼠：要求达到C级标准，任一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000000" w:sz="4" w:space="0"/>
              <w:left w:val="single" w:color="000000" w:sz="4" w:space="0"/>
              <w:bottom w:val="single" w:color="000000" w:sz="4" w:space="0"/>
              <w:right w:val="single" w:color="000000" w:sz="4" w:space="0"/>
            </w:tcBorders>
            <w:noWrap w:val="0"/>
            <w:vAlign w:val="top"/>
          </w:tcPr>
          <w:p w14:paraId="0E8C8120">
            <w:pPr>
              <w:spacing w:line="360" w:lineRule="auto"/>
              <w:rPr>
                <w:rFonts w:ascii="新宋体" w:hAnsi="新宋体" w:eastAsia="新宋体" w:cs="新宋体"/>
                <w:color w:val="auto"/>
              </w:rPr>
            </w:pPr>
            <w:r>
              <w:rPr>
                <w:rFonts w:hint="eastAsia" w:ascii="新宋体" w:hAnsi="新宋体" w:eastAsia="新宋体" w:cs="新宋体"/>
                <w:color w:val="auto"/>
              </w:rPr>
              <w:t>6</w:t>
            </w:r>
          </w:p>
        </w:tc>
        <w:tc>
          <w:tcPr>
            <w:tcW w:w="643" w:type="dxa"/>
            <w:tcBorders>
              <w:top w:val="single" w:color="000000" w:sz="4" w:space="0"/>
              <w:left w:val="single" w:color="000000" w:sz="4" w:space="0"/>
              <w:bottom w:val="single" w:color="000000" w:sz="4" w:space="0"/>
              <w:right w:val="single" w:color="000000" w:sz="4" w:space="0"/>
            </w:tcBorders>
            <w:noWrap w:val="0"/>
            <w:vAlign w:val="top"/>
          </w:tcPr>
          <w:p w14:paraId="66F7A493">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single" w:color="000000" w:sz="4" w:space="0"/>
              <w:bottom w:val="single" w:color="000000" w:sz="4" w:space="0"/>
              <w:right w:val="single" w:color="000000" w:sz="4" w:space="0"/>
            </w:tcBorders>
            <w:noWrap w:val="0"/>
            <w:vAlign w:val="top"/>
          </w:tcPr>
          <w:p w14:paraId="54C7515E">
            <w:pPr>
              <w:spacing w:line="360" w:lineRule="auto"/>
              <w:rPr>
                <w:rFonts w:hint="eastAsia" w:ascii="新宋体" w:hAnsi="新宋体" w:eastAsia="新宋体" w:cs="新宋体"/>
                <w:color w:val="auto"/>
                <w:lang w:eastAsia="zh-CN"/>
              </w:rPr>
            </w:pPr>
          </w:p>
        </w:tc>
      </w:tr>
      <w:tr w14:paraId="4A10128F">
        <w:tblPrEx>
          <w:tblCellMar>
            <w:top w:w="0" w:type="dxa"/>
            <w:left w:w="108" w:type="dxa"/>
            <w:bottom w:w="0" w:type="dxa"/>
            <w:right w:w="108" w:type="dxa"/>
          </w:tblCellMar>
        </w:tblPrEx>
        <w:trPr>
          <w:cantSplit/>
          <w:trHeight w:val="563" w:hRule="atLeast"/>
        </w:trPr>
        <w:tc>
          <w:tcPr>
            <w:tcW w:w="902" w:type="dxa"/>
            <w:vMerge w:val="continue"/>
            <w:tcBorders>
              <w:top w:val="single" w:color="000000" w:sz="4" w:space="0"/>
              <w:left w:val="single" w:color="000000" w:sz="4" w:space="0"/>
              <w:bottom w:val="single" w:color="auto" w:sz="4" w:space="0"/>
              <w:right w:val="single" w:color="000000" w:sz="4" w:space="0"/>
            </w:tcBorders>
            <w:noWrap w:val="0"/>
            <w:vAlign w:val="center"/>
          </w:tcPr>
          <w:p w14:paraId="09608DA9">
            <w:pPr>
              <w:rPr>
                <w:rFonts w:ascii="新宋体" w:hAnsi="新宋体" w:eastAsia="新宋体" w:cs="新宋体"/>
                <w:color w:val="auto"/>
              </w:rPr>
            </w:pPr>
          </w:p>
        </w:tc>
        <w:tc>
          <w:tcPr>
            <w:tcW w:w="686" w:type="dxa"/>
            <w:vMerge w:val="continue"/>
            <w:tcBorders>
              <w:top w:val="single" w:color="000000" w:sz="4" w:space="0"/>
              <w:left w:val="nil"/>
              <w:right w:val="single" w:color="auto" w:sz="4" w:space="0"/>
            </w:tcBorders>
            <w:noWrap w:val="0"/>
            <w:vAlign w:val="top"/>
          </w:tcPr>
          <w:p w14:paraId="36A62360">
            <w:pPr>
              <w:wordWrap w:val="0"/>
              <w:spacing w:line="360" w:lineRule="auto"/>
              <w:rPr>
                <w:rFonts w:ascii="新宋体" w:hAnsi="新宋体" w:eastAsia="新宋体" w:cs="新宋体"/>
                <w:color w:val="auto"/>
              </w:rPr>
            </w:pPr>
          </w:p>
        </w:tc>
        <w:tc>
          <w:tcPr>
            <w:tcW w:w="5946" w:type="dxa"/>
            <w:tcBorders>
              <w:top w:val="single" w:color="000000" w:sz="4" w:space="0"/>
              <w:left w:val="single" w:color="auto" w:sz="4" w:space="0"/>
              <w:bottom w:val="single" w:color="auto" w:sz="4" w:space="0"/>
              <w:right w:val="single" w:color="000000" w:sz="4" w:space="0"/>
            </w:tcBorders>
            <w:noWrap w:val="0"/>
            <w:vAlign w:val="top"/>
          </w:tcPr>
          <w:p w14:paraId="103ECC4B">
            <w:pPr>
              <w:wordWrap w:val="0"/>
              <w:spacing w:line="360" w:lineRule="auto"/>
              <w:rPr>
                <w:rFonts w:ascii="新宋体" w:hAnsi="新宋体" w:eastAsia="新宋体" w:cs="新宋体"/>
                <w:color w:val="auto"/>
              </w:rPr>
            </w:pPr>
            <w:r>
              <w:rPr>
                <w:rFonts w:hint="eastAsia" w:ascii="新宋体" w:hAnsi="新宋体" w:eastAsia="新宋体" w:cs="新宋体"/>
                <w:color w:val="auto"/>
              </w:rPr>
              <w:t>蚊：要求达到C级标准，任一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000000" w:sz="4" w:space="0"/>
              <w:left w:val="nil"/>
              <w:bottom w:val="single" w:color="auto" w:sz="4" w:space="0"/>
              <w:right w:val="single" w:color="000000" w:sz="4" w:space="0"/>
            </w:tcBorders>
            <w:noWrap w:val="0"/>
            <w:vAlign w:val="top"/>
          </w:tcPr>
          <w:p w14:paraId="2DBE5A25">
            <w:pPr>
              <w:spacing w:line="360" w:lineRule="auto"/>
              <w:rPr>
                <w:rFonts w:ascii="新宋体" w:hAnsi="新宋体" w:eastAsia="新宋体" w:cs="新宋体"/>
                <w:color w:val="auto"/>
              </w:rPr>
            </w:pPr>
            <w:r>
              <w:rPr>
                <w:rFonts w:hint="eastAsia" w:ascii="新宋体" w:hAnsi="新宋体" w:eastAsia="新宋体" w:cs="新宋体"/>
                <w:color w:val="auto"/>
              </w:rPr>
              <w:t>6</w:t>
            </w:r>
          </w:p>
        </w:tc>
        <w:tc>
          <w:tcPr>
            <w:tcW w:w="643" w:type="dxa"/>
            <w:tcBorders>
              <w:top w:val="single" w:color="000000" w:sz="4" w:space="0"/>
              <w:left w:val="nil"/>
              <w:bottom w:val="single" w:color="auto" w:sz="4" w:space="0"/>
              <w:right w:val="single" w:color="000000" w:sz="4" w:space="0"/>
            </w:tcBorders>
            <w:noWrap w:val="0"/>
            <w:vAlign w:val="top"/>
          </w:tcPr>
          <w:p w14:paraId="5200D607">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nil"/>
              <w:bottom w:val="single" w:color="auto" w:sz="4" w:space="0"/>
              <w:right w:val="single" w:color="000000" w:sz="4" w:space="0"/>
            </w:tcBorders>
            <w:noWrap w:val="0"/>
            <w:vAlign w:val="top"/>
          </w:tcPr>
          <w:p w14:paraId="2CDF1056">
            <w:pPr>
              <w:spacing w:line="360" w:lineRule="auto"/>
              <w:rPr>
                <w:rFonts w:ascii="新宋体" w:hAnsi="新宋体" w:eastAsia="新宋体" w:cs="新宋体"/>
                <w:color w:val="auto"/>
                <w:lang w:eastAsia="en-US"/>
              </w:rPr>
            </w:pPr>
          </w:p>
        </w:tc>
      </w:tr>
      <w:tr w14:paraId="5D88EBF8">
        <w:tblPrEx>
          <w:tblCellMar>
            <w:top w:w="0" w:type="dxa"/>
            <w:left w:w="108" w:type="dxa"/>
            <w:bottom w:w="0" w:type="dxa"/>
            <w:right w:w="108" w:type="dxa"/>
          </w:tblCellMar>
        </w:tblPrEx>
        <w:trPr>
          <w:cantSplit/>
          <w:trHeight w:val="613" w:hRule="atLeast"/>
        </w:trPr>
        <w:tc>
          <w:tcPr>
            <w:tcW w:w="902" w:type="dxa"/>
            <w:vMerge w:val="continue"/>
            <w:tcBorders>
              <w:left w:val="single" w:color="000000" w:sz="4" w:space="0"/>
              <w:bottom w:val="single" w:color="auto" w:sz="4" w:space="0"/>
              <w:right w:val="single" w:color="000000" w:sz="4" w:space="0"/>
            </w:tcBorders>
            <w:noWrap w:val="0"/>
            <w:vAlign w:val="center"/>
          </w:tcPr>
          <w:p w14:paraId="277662B3">
            <w:pPr>
              <w:rPr>
                <w:rFonts w:ascii="新宋体" w:hAnsi="新宋体" w:eastAsia="新宋体" w:cs="新宋体"/>
                <w:color w:val="auto"/>
              </w:rPr>
            </w:pPr>
          </w:p>
        </w:tc>
        <w:tc>
          <w:tcPr>
            <w:tcW w:w="686" w:type="dxa"/>
            <w:vMerge w:val="continue"/>
            <w:tcBorders>
              <w:left w:val="nil"/>
              <w:right w:val="single" w:color="auto" w:sz="4" w:space="0"/>
            </w:tcBorders>
            <w:noWrap w:val="0"/>
            <w:vAlign w:val="top"/>
          </w:tcPr>
          <w:p w14:paraId="770154A9">
            <w:pPr>
              <w:wordWrap w:val="0"/>
              <w:spacing w:line="360" w:lineRule="auto"/>
              <w:rPr>
                <w:rFonts w:ascii="新宋体" w:hAnsi="新宋体" w:eastAsia="新宋体" w:cs="新宋体"/>
                <w:color w:val="auto"/>
              </w:rPr>
            </w:pPr>
          </w:p>
        </w:tc>
        <w:tc>
          <w:tcPr>
            <w:tcW w:w="5946" w:type="dxa"/>
            <w:tcBorders>
              <w:top w:val="single" w:color="auto" w:sz="4" w:space="0"/>
              <w:left w:val="single" w:color="auto" w:sz="4" w:space="0"/>
              <w:bottom w:val="single" w:color="auto" w:sz="4" w:space="0"/>
              <w:right w:val="single" w:color="000000" w:sz="4" w:space="0"/>
            </w:tcBorders>
            <w:noWrap w:val="0"/>
            <w:vAlign w:val="top"/>
          </w:tcPr>
          <w:p w14:paraId="04D164A5">
            <w:pPr>
              <w:wordWrap w:val="0"/>
              <w:spacing w:line="360" w:lineRule="auto"/>
              <w:rPr>
                <w:rFonts w:ascii="新宋体" w:hAnsi="新宋体" w:eastAsia="新宋体" w:cs="新宋体"/>
                <w:color w:val="auto"/>
              </w:rPr>
            </w:pPr>
            <w:r>
              <w:rPr>
                <w:rFonts w:hint="eastAsia" w:ascii="新宋体" w:hAnsi="新宋体" w:eastAsia="新宋体" w:cs="新宋体"/>
                <w:color w:val="auto"/>
              </w:rPr>
              <w:t>蝇：要求达到C级标准，任一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auto" w:sz="4" w:space="0"/>
              <w:left w:val="nil"/>
              <w:bottom w:val="single" w:color="auto" w:sz="4" w:space="0"/>
              <w:right w:val="single" w:color="000000" w:sz="4" w:space="0"/>
            </w:tcBorders>
            <w:noWrap w:val="0"/>
            <w:vAlign w:val="top"/>
          </w:tcPr>
          <w:p w14:paraId="75E27608">
            <w:pPr>
              <w:spacing w:line="360" w:lineRule="auto"/>
              <w:rPr>
                <w:rFonts w:ascii="新宋体" w:hAnsi="新宋体" w:eastAsia="新宋体" w:cs="新宋体"/>
                <w:color w:val="auto"/>
              </w:rPr>
            </w:pPr>
            <w:r>
              <w:rPr>
                <w:rFonts w:hint="eastAsia" w:ascii="新宋体" w:hAnsi="新宋体" w:eastAsia="新宋体" w:cs="新宋体"/>
                <w:color w:val="auto"/>
              </w:rPr>
              <w:t>6</w:t>
            </w:r>
          </w:p>
        </w:tc>
        <w:tc>
          <w:tcPr>
            <w:tcW w:w="643" w:type="dxa"/>
            <w:tcBorders>
              <w:top w:val="single" w:color="auto" w:sz="4" w:space="0"/>
              <w:left w:val="nil"/>
              <w:bottom w:val="single" w:color="auto" w:sz="4" w:space="0"/>
              <w:right w:val="single" w:color="000000" w:sz="4" w:space="0"/>
            </w:tcBorders>
            <w:noWrap w:val="0"/>
            <w:vAlign w:val="top"/>
          </w:tcPr>
          <w:p w14:paraId="1D78F8E7">
            <w:pPr>
              <w:spacing w:line="360" w:lineRule="auto"/>
              <w:rPr>
                <w:rFonts w:hint="eastAsia" w:ascii="新宋体" w:hAnsi="新宋体" w:eastAsia="新宋体" w:cs="新宋体"/>
                <w:color w:val="auto"/>
                <w:lang w:val="en-US" w:eastAsia="zh-CN"/>
              </w:rPr>
            </w:pPr>
          </w:p>
        </w:tc>
        <w:tc>
          <w:tcPr>
            <w:tcW w:w="707" w:type="dxa"/>
            <w:tcBorders>
              <w:top w:val="single" w:color="auto" w:sz="4" w:space="0"/>
              <w:left w:val="nil"/>
              <w:bottom w:val="single" w:color="auto" w:sz="4" w:space="0"/>
              <w:right w:val="single" w:color="000000" w:sz="4" w:space="0"/>
            </w:tcBorders>
            <w:noWrap w:val="0"/>
            <w:vAlign w:val="top"/>
          </w:tcPr>
          <w:p w14:paraId="14852541">
            <w:pPr>
              <w:spacing w:line="360" w:lineRule="auto"/>
              <w:rPr>
                <w:rFonts w:ascii="新宋体" w:hAnsi="新宋体" w:eastAsia="新宋体" w:cs="新宋体"/>
                <w:color w:val="auto"/>
                <w:lang w:eastAsia="en-US"/>
              </w:rPr>
            </w:pPr>
          </w:p>
        </w:tc>
      </w:tr>
      <w:tr w14:paraId="1A86A3E3">
        <w:tblPrEx>
          <w:tblCellMar>
            <w:top w:w="0" w:type="dxa"/>
            <w:left w:w="108" w:type="dxa"/>
            <w:bottom w:w="0" w:type="dxa"/>
            <w:right w:w="108" w:type="dxa"/>
          </w:tblCellMar>
        </w:tblPrEx>
        <w:trPr>
          <w:cantSplit/>
          <w:trHeight w:val="743" w:hRule="atLeast"/>
        </w:trPr>
        <w:tc>
          <w:tcPr>
            <w:tcW w:w="902" w:type="dxa"/>
            <w:vMerge w:val="continue"/>
            <w:tcBorders>
              <w:left w:val="single" w:color="000000" w:sz="4" w:space="0"/>
              <w:bottom w:val="single" w:color="auto" w:sz="4" w:space="0"/>
              <w:right w:val="single" w:color="000000" w:sz="4" w:space="0"/>
            </w:tcBorders>
            <w:noWrap w:val="0"/>
            <w:vAlign w:val="center"/>
          </w:tcPr>
          <w:p w14:paraId="17B84E05">
            <w:pPr>
              <w:rPr>
                <w:rFonts w:ascii="新宋体" w:hAnsi="新宋体" w:eastAsia="新宋体" w:cs="新宋体"/>
                <w:color w:val="auto"/>
              </w:rPr>
            </w:pPr>
          </w:p>
        </w:tc>
        <w:tc>
          <w:tcPr>
            <w:tcW w:w="686" w:type="dxa"/>
            <w:vMerge w:val="continue"/>
            <w:tcBorders>
              <w:left w:val="nil"/>
              <w:bottom w:val="single" w:color="000000" w:sz="4" w:space="0"/>
              <w:right w:val="single" w:color="auto" w:sz="4" w:space="0"/>
            </w:tcBorders>
            <w:noWrap w:val="0"/>
            <w:vAlign w:val="top"/>
          </w:tcPr>
          <w:p w14:paraId="6885038C">
            <w:pPr>
              <w:wordWrap w:val="0"/>
              <w:spacing w:line="360" w:lineRule="auto"/>
              <w:rPr>
                <w:rFonts w:ascii="新宋体" w:hAnsi="新宋体" w:eastAsia="新宋体" w:cs="新宋体"/>
                <w:color w:val="auto"/>
              </w:rPr>
            </w:pPr>
          </w:p>
        </w:tc>
        <w:tc>
          <w:tcPr>
            <w:tcW w:w="5946" w:type="dxa"/>
            <w:tcBorders>
              <w:top w:val="single" w:color="auto" w:sz="4" w:space="0"/>
              <w:left w:val="single" w:color="auto" w:sz="4" w:space="0"/>
              <w:bottom w:val="single" w:color="000000" w:sz="4" w:space="0"/>
              <w:right w:val="single" w:color="000000" w:sz="4" w:space="0"/>
            </w:tcBorders>
            <w:noWrap w:val="0"/>
            <w:vAlign w:val="top"/>
          </w:tcPr>
          <w:p w14:paraId="2A50CBFA">
            <w:pPr>
              <w:wordWrap w:val="0"/>
              <w:spacing w:line="360" w:lineRule="auto"/>
              <w:rPr>
                <w:rFonts w:ascii="新宋体" w:hAnsi="新宋体" w:eastAsia="新宋体" w:cs="新宋体"/>
                <w:color w:val="auto"/>
              </w:rPr>
            </w:pPr>
            <w:r>
              <w:rPr>
                <w:rFonts w:hint="eastAsia" w:ascii="新宋体" w:hAnsi="新宋体" w:eastAsia="新宋体" w:cs="新宋体"/>
                <w:color w:val="auto"/>
              </w:rPr>
              <w:t>蟑：要求达到C级标准，任一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auto" w:sz="4" w:space="0"/>
              <w:left w:val="nil"/>
              <w:bottom w:val="single" w:color="000000" w:sz="4" w:space="0"/>
              <w:right w:val="single" w:color="000000" w:sz="4" w:space="0"/>
            </w:tcBorders>
            <w:noWrap w:val="0"/>
            <w:vAlign w:val="top"/>
          </w:tcPr>
          <w:p w14:paraId="7D303C18">
            <w:pPr>
              <w:spacing w:line="360" w:lineRule="auto"/>
              <w:rPr>
                <w:rFonts w:ascii="新宋体" w:hAnsi="新宋体" w:eastAsia="新宋体" w:cs="新宋体"/>
                <w:color w:val="auto"/>
                <w:lang w:eastAsia="en-US"/>
              </w:rPr>
            </w:pPr>
            <w:r>
              <w:rPr>
                <w:rFonts w:hint="eastAsia" w:ascii="新宋体" w:hAnsi="新宋体" w:eastAsia="新宋体" w:cs="新宋体"/>
                <w:color w:val="auto"/>
              </w:rPr>
              <w:t>6</w:t>
            </w:r>
          </w:p>
        </w:tc>
        <w:tc>
          <w:tcPr>
            <w:tcW w:w="643" w:type="dxa"/>
            <w:tcBorders>
              <w:top w:val="single" w:color="auto" w:sz="4" w:space="0"/>
              <w:left w:val="nil"/>
              <w:bottom w:val="single" w:color="000000" w:sz="4" w:space="0"/>
              <w:right w:val="single" w:color="000000" w:sz="4" w:space="0"/>
            </w:tcBorders>
            <w:noWrap w:val="0"/>
            <w:vAlign w:val="top"/>
          </w:tcPr>
          <w:p w14:paraId="661BF32E">
            <w:pPr>
              <w:spacing w:line="360" w:lineRule="auto"/>
              <w:rPr>
                <w:rFonts w:hint="eastAsia" w:ascii="新宋体" w:hAnsi="新宋体" w:eastAsia="新宋体" w:cs="新宋体"/>
                <w:color w:val="auto"/>
                <w:lang w:val="en-US" w:eastAsia="zh-CN"/>
              </w:rPr>
            </w:pPr>
          </w:p>
        </w:tc>
        <w:tc>
          <w:tcPr>
            <w:tcW w:w="707" w:type="dxa"/>
            <w:tcBorders>
              <w:top w:val="single" w:color="auto" w:sz="4" w:space="0"/>
              <w:left w:val="nil"/>
              <w:bottom w:val="single" w:color="000000" w:sz="4" w:space="0"/>
              <w:right w:val="single" w:color="000000" w:sz="4" w:space="0"/>
            </w:tcBorders>
            <w:noWrap w:val="0"/>
            <w:vAlign w:val="top"/>
          </w:tcPr>
          <w:p w14:paraId="112487E5">
            <w:pPr>
              <w:spacing w:line="360" w:lineRule="auto"/>
              <w:rPr>
                <w:rFonts w:ascii="新宋体" w:hAnsi="新宋体" w:eastAsia="新宋体" w:cs="新宋体"/>
                <w:color w:val="auto"/>
                <w:lang w:eastAsia="en-US"/>
              </w:rPr>
            </w:pPr>
          </w:p>
        </w:tc>
      </w:tr>
      <w:tr w14:paraId="327A9B9F">
        <w:tblPrEx>
          <w:tblCellMar>
            <w:top w:w="0" w:type="dxa"/>
            <w:left w:w="108" w:type="dxa"/>
            <w:bottom w:w="0" w:type="dxa"/>
            <w:right w:w="108" w:type="dxa"/>
          </w:tblCellMar>
        </w:tblPrEx>
        <w:trPr>
          <w:cantSplit/>
          <w:trHeight w:val="1102" w:hRule="atLeast"/>
        </w:trPr>
        <w:tc>
          <w:tcPr>
            <w:tcW w:w="902" w:type="dxa"/>
            <w:vMerge w:val="continue"/>
            <w:tcBorders>
              <w:left w:val="single" w:color="000000" w:sz="4" w:space="0"/>
              <w:bottom w:val="single" w:color="auto" w:sz="4" w:space="0"/>
              <w:right w:val="single" w:color="000000" w:sz="4" w:space="0"/>
            </w:tcBorders>
            <w:noWrap w:val="0"/>
            <w:vAlign w:val="center"/>
          </w:tcPr>
          <w:p w14:paraId="705A41B6">
            <w:pPr>
              <w:rPr>
                <w:rFonts w:ascii="新宋体" w:hAnsi="新宋体" w:eastAsia="新宋体" w:cs="新宋体"/>
                <w:color w:val="auto"/>
              </w:rPr>
            </w:pPr>
          </w:p>
        </w:tc>
        <w:tc>
          <w:tcPr>
            <w:tcW w:w="686" w:type="dxa"/>
            <w:tcBorders>
              <w:left w:val="nil"/>
              <w:right w:val="single" w:color="auto" w:sz="4" w:space="0"/>
            </w:tcBorders>
            <w:noWrap w:val="0"/>
            <w:vAlign w:val="top"/>
          </w:tcPr>
          <w:p w14:paraId="7455EE1C">
            <w:pPr>
              <w:wordWrap w:val="0"/>
              <w:spacing w:line="360" w:lineRule="auto"/>
              <w:rPr>
                <w:rFonts w:ascii="新宋体" w:hAnsi="新宋体" w:eastAsia="新宋体" w:cs="新宋体"/>
                <w:color w:val="auto"/>
              </w:rPr>
            </w:pPr>
            <w:r>
              <w:rPr>
                <w:rFonts w:hint="eastAsia" w:ascii="新宋体" w:hAnsi="新宋体" w:eastAsia="新宋体" w:cs="新宋体"/>
                <w:color w:val="auto"/>
              </w:rPr>
              <w:t>落实整改</w:t>
            </w:r>
          </w:p>
        </w:tc>
        <w:tc>
          <w:tcPr>
            <w:tcW w:w="5946" w:type="dxa"/>
            <w:tcBorders>
              <w:top w:val="single" w:color="auto" w:sz="4" w:space="0"/>
              <w:left w:val="single" w:color="auto" w:sz="4" w:space="0"/>
              <w:right w:val="single" w:color="000000" w:sz="4" w:space="0"/>
            </w:tcBorders>
            <w:noWrap w:val="0"/>
            <w:vAlign w:val="top"/>
          </w:tcPr>
          <w:p w14:paraId="63F41D1C">
            <w:pPr>
              <w:wordWrap w:val="0"/>
              <w:spacing w:line="360" w:lineRule="auto"/>
              <w:rPr>
                <w:rFonts w:ascii="新宋体" w:hAnsi="新宋体" w:eastAsia="新宋体" w:cs="新宋体"/>
                <w:color w:val="auto"/>
              </w:rPr>
            </w:pPr>
            <w:r>
              <w:rPr>
                <w:rFonts w:hint="eastAsia" w:ascii="新宋体" w:hAnsi="新宋体" w:eastAsia="新宋体" w:cs="新宋体"/>
                <w:color w:val="auto"/>
              </w:rPr>
              <w:t>每期评估后，</w:t>
            </w:r>
            <w:r>
              <w:rPr>
                <w:rFonts w:hint="eastAsia" w:ascii="新宋体" w:hAnsi="新宋体" w:eastAsia="新宋体" w:cs="新宋体"/>
                <w:color w:val="auto"/>
                <w:lang w:eastAsia="zh-CN"/>
              </w:rPr>
              <w:t>如首次</w:t>
            </w:r>
            <w:r>
              <w:rPr>
                <w:rFonts w:hint="eastAsia" w:ascii="新宋体" w:hAnsi="新宋体" w:eastAsia="新宋体" w:cs="新宋体"/>
                <w:color w:val="auto"/>
              </w:rPr>
              <w:t>都能达</w:t>
            </w:r>
            <w:r>
              <w:rPr>
                <w:rFonts w:hint="eastAsia" w:ascii="新宋体" w:hAnsi="新宋体" w:eastAsia="新宋体" w:cs="新宋体"/>
                <w:color w:val="auto"/>
                <w:lang w:eastAsia="zh-CN"/>
              </w:rPr>
              <w:t>到</w:t>
            </w:r>
            <w:r>
              <w:rPr>
                <w:rFonts w:hint="eastAsia" w:ascii="新宋体" w:hAnsi="新宋体" w:eastAsia="新宋体" w:cs="新宋体"/>
                <w:color w:val="auto"/>
                <w:lang w:val="en-US" w:eastAsia="zh-CN"/>
              </w:rPr>
              <w:t>C级标准本项</w:t>
            </w:r>
            <w:r>
              <w:rPr>
                <w:rFonts w:hint="eastAsia" w:ascii="新宋体" w:hAnsi="新宋体" w:eastAsia="新宋体" w:cs="新宋体"/>
                <w:color w:val="auto"/>
                <w:lang w:eastAsia="zh-CN"/>
              </w:rPr>
              <w:t>不扣分，出现</w:t>
            </w:r>
            <w:r>
              <w:rPr>
                <w:rFonts w:hint="eastAsia" w:ascii="新宋体" w:hAnsi="新宋体" w:eastAsia="新宋体" w:cs="新宋体"/>
                <w:color w:val="auto"/>
                <w:lang w:val="en-US" w:eastAsia="zh-CN"/>
              </w:rPr>
              <w:t>不达标项扣3分，给予一次整改机会，整改后仍不能达到C级标准的再加扣3分，扣完为止。</w:t>
            </w:r>
          </w:p>
        </w:tc>
        <w:tc>
          <w:tcPr>
            <w:tcW w:w="675" w:type="dxa"/>
            <w:tcBorders>
              <w:top w:val="single" w:color="auto" w:sz="4" w:space="0"/>
              <w:left w:val="nil"/>
              <w:right w:val="single" w:color="000000" w:sz="4" w:space="0"/>
            </w:tcBorders>
            <w:noWrap w:val="0"/>
            <w:vAlign w:val="top"/>
          </w:tcPr>
          <w:p w14:paraId="0148750A">
            <w:pPr>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6</w:t>
            </w:r>
          </w:p>
          <w:p w14:paraId="316DA854">
            <w:pPr>
              <w:spacing w:line="360" w:lineRule="auto"/>
              <w:rPr>
                <w:rFonts w:hint="eastAsia" w:ascii="新宋体" w:hAnsi="新宋体" w:eastAsia="新宋体" w:cs="新宋体"/>
                <w:color w:val="auto"/>
              </w:rPr>
            </w:pPr>
          </w:p>
        </w:tc>
        <w:tc>
          <w:tcPr>
            <w:tcW w:w="643" w:type="dxa"/>
            <w:tcBorders>
              <w:top w:val="single" w:color="auto" w:sz="4" w:space="0"/>
              <w:left w:val="nil"/>
              <w:right w:val="single" w:color="000000" w:sz="4" w:space="0"/>
            </w:tcBorders>
            <w:noWrap w:val="0"/>
            <w:vAlign w:val="top"/>
          </w:tcPr>
          <w:p w14:paraId="5A3B9E7A">
            <w:pPr>
              <w:spacing w:line="360" w:lineRule="auto"/>
              <w:rPr>
                <w:rFonts w:hint="eastAsia" w:ascii="新宋体" w:hAnsi="新宋体" w:eastAsia="新宋体" w:cs="新宋体"/>
                <w:color w:val="auto"/>
                <w:lang w:val="en-US" w:eastAsia="zh-CN"/>
              </w:rPr>
            </w:pPr>
          </w:p>
        </w:tc>
        <w:tc>
          <w:tcPr>
            <w:tcW w:w="707" w:type="dxa"/>
            <w:tcBorders>
              <w:top w:val="single" w:color="auto" w:sz="4" w:space="0"/>
              <w:left w:val="nil"/>
              <w:right w:val="single" w:color="000000" w:sz="4" w:space="0"/>
            </w:tcBorders>
            <w:noWrap w:val="0"/>
            <w:vAlign w:val="top"/>
          </w:tcPr>
          <w:p w14:paraId="220896FA">
            <w:pPr>
              <w:spacing w:line="360" w:lineRule="auto"/>
              <w:rPr>
                <w:rFonts w:ascii="新宋体" w:hAnsi="新宋体" w:eastAsia="新宋体" w:cs="新宋体"/>
                <w:color w:val="auto"/>
                <w:lang w:eastAsia="en-US"/>
              </w:rPr>
            </w:pPr>
          </w:p>
        </w:tc>
      </w:tr>
      <w:tr w14:paraId="57815A00">
        <w:tblPrEx>
          <w:tblCellMar>
            <w:top w:w="0" w:type="dxa"/>
            <w:left w:w="108" w:type="dxa"/>
            <w:bottom w:w="0" w:type="dxa"/>
            <w:right w:w="108" w:type="dxa"/>
          </w:tblCellMar>
        </w:tblPrEx>
        <w:trPr>
          <w:cantSplit/>
        </w:trPr>
        <w:tc>
          <w:tcPr>
            <w:tcW w:w="902" w:type="dxa"/>
            <w:vMerge w:val="restart"/>
            <w:tcBorders>
              <w:top w:val="nil"/>
              <w:left w:val="single" w:color="000000" w:sz="4" w:space="0"/>
              <w:bottom w:val="single" w:color="auto" w:sz="4" w:space="0"/>
              <w:right w:val="single" w:color="000000" w:sz="4" w:space="0"/>
            </w:tcBorders>
            <w:noWrap w:val="0"/>
            <w:vAlign w:val="center"/>
          </w:tcPr>
          <w:p w14:paraId="0446DDA4">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六、应急服务</w:t>
            </w:r>
          </w:p>
          <w:p w14:paraId="10DE5F3D">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（5分）</w:t>
            </w:r>
          </w:p>
        </w:tc>
        <w:tc>
          <w:tcPr>
            <w:tcW w:w="6632" w:type="dxa"/>
            <w:gridSpan w:val="2"/>
            <w:tcBorders>
              <w:top w:val="single" w:color="000000" w:sz="4" w:space="0"/>
              <w:left w:val="nil"/>
              <w:bottom w:val="single" w:color="000000" w:sz="4" w:space="0"/>
              <w:right w:val="single" w:color="000000" w:sz="4" w:space="0"/>
            </w:tcBorders>
            <w:noWrap w:val="0"/>
            <w:vAlign w:val="top"/>
          </w:tcPr>
          <w:p w14:paraId="02AF2716">
            <w:pPr>
              <w:spacing w:line="360" w:lineRule="auto"/>
              <w:rPr>
                <w:rFonts w:ascii="新宋体" w:hAnsi="新宋体" w:eastAsia="新宋体" w:cs="新宋体"/>
                <w:color w:val="auto"/>
              </w:rPr>
            </w:pPr>
            <w:r>
              <w:rPr>
                <w:rFonts w:hint="eastAsia" w:ascii="新宋体" w:hAnsi="新宋体" w:eastAsia="新宋体" w:cs="新宋体"/>
                <w:color w:val="auto"/>
              </w:rPr>
              <w:t>根据工作需要，及时制定上级除四害的明查暗访方案，较好完成工作。</w:t>
            </w:r>
          </w:p>
        </w:tc>
        <w:tc>
          <w:tcPr>
            <w:tcW w:w="675" w:type="dxa"/>
            <w:tcBorders>
              <w:top w:val="single" w:color="000000" w:sz="4" w:space="0"/>
              <w:left w:val="nil"/>
              <w:bottom w:val="single" w:color="000000" w:sz="4" w:space="0"/>
              <w:right w:val="single" w:color="000000" w:sz="4" w:space="0"/>
            </w:tcBorders>
            <w:noWrap w:val="0"/>
            <w:vAlign w:val="top"/>
          </w:tcPr>
          <w:p w14:paraId="79BE8568">
            <w:pPr>
              <w:spacing w:line="360" w:lineRule="auto"/>
              <w:rPr>
                <w:rFonts w:ascii="新宋体" w:hAnsi="新宋体" w:eastAsia="新宋体" w:cs="新宋体"/>
                <w:color w:val="auto"/>
                <w:lang w:eastAsia="en-US"/>
              </w:rPr>
            </w:pPr>
            <w:r>
              <w:rPr>
                <w:rFonts w:hint="eastAsia" w:ascii="新宋体" w:hAnsi="新宋体" w:eastAsia="新宋体" w:cs="新宋体"/>
                <w:color w:val="auto"/>
              </w:rPr>
              <w:t>2</w:t>
            </w:r>
          </w:p>
        </w:tc>
        <w:tc>
          <w:tcPr>
            <w:tcW w:w="643" w:type="dxa"/>
            <w:tcBorders>
              <w:top w:val="single" w:color="000000" w:sz="4" w:space="0"/>
              <w:left w:val="nil"/>
              <w:bottom w:val="single" w:color="000000" w:sz="4" w:space="0"/>
              <w:right w:val="single" w:color="000000" w:sz="4" w:space="0"/>
            </w:tcBorders>
            <w:noWrap w:val="0"/>
            <w:vAlign w:val="top"/>
          </w:tcPr>
          <w:p w14:paraId="3A23FBE8">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53C5504C">
            <w:pPr>
              <w:spacing w:line="360" w:lineRule="auto"/>
              <w:rPr>
                <w:rFonts w:ascii="新宋体" w:hAnsi="新宋体" w:eastAsia="新宋体" w:cs="新宋体"/>
                <w:color w:val="auto"/>
                <w:lang w:eastAsia="en-US"/>
              </w:rPr>
            </w:pPr>
          </w:p>
        </w:tc>
      </w:tr>
      <w:tr w14:paraId="66BB5120">
        <w:tblPrEx>
          <w:tblCellMar>
            <w:top w:w="0" w:type="dxa"/>
            <w:left w:w="108" w:type="dxa"/>
            <w:bottom w:w="0" w:type="dxa"/>
            <w:right w:w="108" w:type="dxa"/>
          </w:tblCellMar>
        </w:tblPrEx>
        <w:trPr>
          <w:cantSplit/>
          <w:trHeight w:val="1179" w:hRule="atLeast"/>
        </w:trPr>
        <w:tc>
          <w:tcPr>
            <w:tcW w:w="902" w:type="dxa"/>
            <w:vMerge w:val="continue"/>
            <w:tcBorders>
              <w:top w:val="nil"/>
              <w:left w:val="single" w:color="000000" w:sz="4" w:space="0"/>
              <w:bottom w:val="single" w:color="auto" w:sz="4" w:space="0"/>
              <w:right w:val="single" w:color="000000" w:sz="4" w:space="0"/>
            </w:tcBorders>
            <w:noWrap w:val="0"/>
            <w:vAlign w:val="center"/>
          </w:tcPr>
          <w:p w14:paraId="5DB6FAF5">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42853ABF">
            <w:pPr>
              <w:spacing w:line="360" w:lineRule="auto"/>
              <w:rPr>
                <w:rFonts w:ascii="新宋体" w:hAnsi="新宋体" w:eastAsia="新宋体" w:cs="新宋体"/>
                <w:color w:val="auto"/>
              </w:rPr>
            </w:pPr>
            <w:r>
              <w:rPr>
                <w:rFonts w:hint="eastAsia" w:ascii="新宋体" w:hAnsi="新宋体" w:eastAsia="新宋体" w:cs="新宋体"/>
                <w:color w:val="auto"/>
              </w:rPr>
              <w:t>应急：应急事件发生时，接到电话通知后，及时到指定地点进行处置，并达到</w:t>
            </w:r>
            <w:r>
              <w:rPr>
                <w:rFonts w:hint="eastAsia" w:ascii="新宋体" w:hAnsi="新宋体" w:eastAsia="新宋体" w:cs="新宋体"/>
                <w:color w:val="auto"/>
                <w:lang w:eastAsia="zh-CN"/>
              </w:rPr>
              <w:t>合同</w:t>
            </w:r>
            <w:r>
              <w:rPr>
                <w:rFonts w:hint="eastAsia" w:ascii="新宋体" w:hAnsi="新宋体" w:eastAsia="新宋体" w:cs="新宋体"/>
                <w:color w:val="auto"/>
              </w:rPr>
              <w:t>规定标准；发生小孩、宠物误食时，消杀单位应积极配合被误食的小孩或宠物做好救治工作。否则不得分。</w:t>
            </w:r>
          </w:p>
        </w:tc>
        <w:tc>
          <w:tcPr>
            <w:tcW w:w="675" w:type="dxa"/>
            <w:tcBorders>
              <w:top w:val="single" w:color="000000" w:sz="4" w:space="0"/>
              <w:left w:val="nil"/>
              <w:bottom w:val="single" w:color="000000" w:sz="4" w:space="0"/>
              <w:right w:val="single" w:color="000000" w:sz="4" w:space="0"/>
            </w:tcBorders>
            <w:noWrap w:val="0"/>
            <w:vAlign w:val="top"/>
          </w:tcPr>
          <w:p w14:paraId="34264280">
            <w:pPr>
              <w:spacing w:line="360" w:lineRule="auto"/>
              <w:rPr>
                <w:rFonts w:ascii="新宋体" w:hAnsi="新宋体" w:eastAsia="新宋体" w:cs="新宋体"/>
                <w:color w:val="auto"/>
                <w:lang w:eastAsia="en-US"/>
              </w:rPr>
            </w:pPr>
            <w:r>
              <w:rPr>
                <w:rFonts w:hint="eastAsia" w:ascii="新宋体" w:hAnsi="新宋体" w:eastAsia="新宋体" w:cs="新宋体"/>
                <w:color w:val="auto"/>
              </w:rPr>
              <w:t>3</w:t>
            </w:r>
          </w:p>
        </w:tc>
        <w:tc>
          <w:tcPr>
            <w:tcW w:w="643" w:type="dxa"/>
            <w:tcBorders>
              <w:top w:val="single" w:color="000000" w:sz="4" w:space="0"/>
              <w:left w:val="nil"/>
              <w:bottom w:val="single" w:color="000000" w:sz="4" w:space="0"/>
              <w:right w:val="single" w:color="000000" w:sz="4" w:space="0"/>
            </w:tcBorders>
            <w:noWrap w:val="0"/>
            <w:vAlign w:val="top"/>
          </w:tcPr>
          <w:p w14:paraId="70471A1F">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299B2B81">
            <w:pPr>
              <w:spacing w:line="360" w:lineRule="auto"/>
              <w:rPr>
                <w:rFonts w:ascii="新宋体" w:hAnsi="新宋体" w:eastAsia="新宋体" w:cs="新宋体"/>
                <w:color w:val="auto"/>
                <w:lang w:eastAsia="en-US"/>
              </w:rPr>
            </w:pPr>
          </w:p>
        </w:tc>
      </w:tr>
      <w:tr w14:paraId="127CC414">
        <w:tblPrEx>
          <w:tblCellMar>
            <w:top w:w="0" w:type="dxa"/>
            <w:left w:w="108" w:type="dxa"/>
            <w:bottom w:w="0" w:type="dxa"/>
            <w:right w:w="108" w:type="dxa"/>
          </w:tblCellMar>
        </w:tblPrEx>
        <w:trPr>
          <w:cantSplit/>
          <w:trHeight w:val="471" w:hRule="atLeast"/>
        </w:trPr>
        <w:tc>
          <w:tcPr>
            <w:tcW w:w="902" w:type="dxa"/>
            <w:tcBorders>
              <w:top w:val="single" w:color="auto" w:sz="4" w:space="0"/>
              <w:left w:val="single" w:color="000000" w:sz="4" w:space="0"/>
              <w:bottom w:val="single" w:color="auto" w:sz="4" w:space="0"/>
              <w:right w:val="single" w:color="000000" w:sz="4" w:space="0"/>
            </w:tcBorders>
            <w:noWrap w:val="0"/>
            <w:vAlign w:val="center"/>
          </w:tcPr>
          <w:p w14:paraId="4EC5A4E0">
            <w:pPr>
              <w:spacing w:line="360" w:lineRule="auto"/>
              <w:rPr>
                <w:rFonts w:hint="eastAsia" w:ascii="新宋体" w:hAnsi="新宋体" w:eastAsia="新宋体" w:cs="新宋体"/>
                <w:color w:val="auto"/>
                <w:lang w:val="en-US" w:eastAsia="zh-CN"/>
              </w:rPr>
            </w:pPr>
            <w:r>
              <w:rPr>
                <w:rFonts w:hint="eastAsia" w:ascii="新宋体" w:hAnsi="新宋体" w:eastAsia="新宋体" w:cs="新宋体"/>
                <w:b/>
                <w:color w:val="auto"/>
              </w:rPr>
              <w:t>七、资料台账(5分）</w:t>
            </w:r>
          </w:p>
        </w:tc>
        <w:tc>
          <w:tcPr>
            <w:tcW w:w="6632" w:type="dxa"/>
            <w:gridSpan w:val="2"/>
            <w:tcBorders>
              <w:top w:val="single" w:color="000000" w:sz="4" w:space="0"/>
              <w:left w:val="nil"/>
              <w:bottom w:val="single" w:color="auto" w:sz="4" w:space="0"/>
              <w:right w:val="single" w:color="000000" w:sz="4" w:space="0"/>
            </w:tcBorders>
            <w:noWrap w:val="0"/>
            <w:vAlign w:val="top"/>
          </w:tcPr>
          <w:p w14:paraId="2B19CE51">
            <w:pPr>
              <w:spacing w:line="360" w:lineRule="auto"/>
              <w:rPr>
                <w:rFonts w:hint="eastAsia" w:ascii="新宋体" w:hAnsi="新宋体" w:eastAsia="新宋体" w:cs="新宋体"/>
                <w:color w:val="auto"/>
              </w:rPr>
            </w:pPr>
            <w:r>
              <w:rPr>
                <w:rFonts w:hint="eastAsia" w:ascii="新宋体" w:hAnsi="新宋体" w:eastAsia="新宋体" w:cs="新宋体"/>
                <w:color w:val="auto"/>
              </w:rPr>
              <w:t>做好消杀区域每月的蚊、蝇、蟑螂、鼠控制杀灭现场服务报告及汇总资料收集等工作，资料基本齐全；每发现1项不按时上交或弄虚作假的扣1分，发现1处不规范扣0.5分，扣完为止。</w:t>
            </w:r>
          </w:p>
        </w:tc>
        <w:tc>
          <w:tcPr>
            <w:tcW w:w="675" w:type="dxa"/>
            <w:tcBorders>
              <w:top w:val="single" w:color="000000" w:sz="4" w:space="0"/>
              <w:left w:val="nil"/>
              <w:bottom w:val="single" w:color="auto" w:sz="4" w:space="0"/>
              <w:right w:val="single" w:color="000000" w:sz="4" w:space="0"/>
            </w:tcBorders>
            <w:noWrap w:val="0"/>
            <w:vAlign w:val="top"/>
          </w:tcPr>
          <w:p w14:paraId="196E84F9">
            <w:pPr>
              <w:spacing w:line="360" w:lineRule="auto"/>
              <w:rPr>
                <w:rFonts w:hint="eastAsia" w:ascii="新宋体" w:hAnsi="新宋体" w:eastAsia="新宋体" w:cs="新宋体"/>
                <w:color w:val="auto"/>
              </w:rPr>
            </w:pPr>
            <w:r>
              <w:rPr>
                <w:rFonts w:hint="eastAsia" w:ascii="新宋体" w:hAnsi="新宋体" w:eastAsia="新宋体" w:cs="新宋体"/>
                <w:color w:val="auto"/>
              </w:rPr>
              <w:t>5</w:t>
            </w:r>
          </w:p>
        </w:tc>
        <w:tc>
          <w:tcPr>
            <w:tcW w:w="643" w:type="dxa"/>
            <w:tcBorders>
              <w:top w:val="single" w:color="000000" w:sz="4" w:space="0"/>
              <w:left w:val="nil"/>
              <w:bottom w:val="single" w:color="auto" w:sz="4" w:space="0"/>
              <w:right w:val="single" w:color="000000" w:sz="4" w:space="0"/>
            </w:tcBorders>
            <w:noWrap w:val="0"/>
            <w:vAlign w:val="top"/>
          </w:tcPr>
          <w:p w14:paraId="5BABF800">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auto" w:sz="4" w:space="0"/>
              <w:right w:val="single" w:color="000000" w:sz="4" w:space="0"/>
            </w:tcBorders>
            <w:noWrap w:val="0"/>
            <w:vAlign w:val="top"/>
          </w:tcPr>
          <w:p w14:paraId="57ED6FCC">
            <w:pPr>
              <w:spacing w:line="360" w:lineRule="auto"/>
              <w:rPr>
                <w:rFonts w:ascii="新宋体" w:hAnsi="新宋体" w:eastAsia="新宋体" w:cs="新宋体"/>
                <w:color w:val="auto"/>
                <w:lang w:eastAsia="en-US"/>
              </w:rPr>
            </w:pPr>
          </w:p>
        </w:tc>
      </w:tr>
      <w:tr w14:paraId="0B4B1614">
        <w:tblPrEx>
          <w:tblCellMar>
            <w:top w:w="0" w:type="dxa"/>
            <w:left w:w="108" w:type="dxa"/>
            <w:bottom w:w="0" w:type="dxa"/>
            <w:right w:w="108" w:type="dxa"/>
          </w:tblCellMar>
        </w:tblPrEx>
        <w:trPr>
          <w:cantSplit/>
        </w:trPr>
        <w:tc>
          <w:tcPr>
            <w:tcW w:w="902" w:type="dxa"/>
            <w:vMerge w:val="restart"/>
            <w:tcBorders>
              <w:top w:val="nil"/>
              <w:left w:val="single" w:color="000000" w:sz="4" w:space="0"/>
              <w:right w:val="single" w:color="000000" w:sz="4" w:space="0"/>
            </w:tcBorders>
            <w:noWrap w:val="0"/>
            <w:vAlign w:val="center"/>
          </w:tcPr>
          <w:p w14:paraId="55D31A94">
            <w:pPr>
              <w:tabs>
                <w:tab w:val="left" w:pos="720"/>
              </w:tabs>
              <w:spacing w:line="360" w:lineRule="auto"/>
              <w:rPr>
                <w:rFonts w:ascii="新宋体" w:hAnsi="新宋体" w:eastAsia="新宋体" w:cs="新宋体"/>
                <w:b/>
                <w:color w:val="auto"/>
              </w:rPr>
            </w:pPr>
            <w:r>
              <w:rPr>
                <w:rFonts w:hint="eastAsia" w:ascii="新宋体" w:hAnsi="新宋体" w:eastAsia="新宋体" w:cs="新宋体"/>
                <w:b/>
                <w:color w:val="auto"/>
              </w:rPr>
              <w:t>八、满意度</w:t>
            </w:r>
          </w:p>
          <w:p w14:paraId="6FD18C3A">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（10分）</w:t>
            </w:r>
          </w:p>
        </w:tc>
        <w:tc>
          <w:tcPr>
            <w:tcW w:w="6632" w:type="dxa"/>
            <w:gridSpan w:val="2"/>
            <w:tcBorders>
              <w:top w:val="single" w:color="000000" w:sz="4" w:space="0"/>
              <w:left w:val="nil"/>
              <w:bottom w:val="single" w:color="000000" w:sz="4" w:space="0"/>
              <w:right w:val="single" w:color="000000" w:sz="4" w:space="0"/>
            </w:tcBorders>
            <w:noWrap w:val="0"/>
            <w:vAlign w:val="top"/>
          </w:tcPr>
          <w:p w14:paraId="1EE8E1ED">
            <w:pPr>
              <w:spacing w:line="360" w:lineRule="auto"/>
              <w:rPr>
                <w:rFonts w:ascii="新宋体" w:hAnsi="新宋体" w:eastAsia="新宋体" w:cs="新宋体"/>
                <w:color w:val="auto"/>
              </w:rPr>
            </w:pPr>
            <w:r>
              <w:rPr>
                <w:rFonts w:hint="eastAsia" w:ascii="新宋体" w:hAnsi="新宋体" w:eastAsia="新宋体" w:cs="新宋体"/>
                <w:color w:val="auto"/>
              </w:rPr>
              <w:t xml:space="preserve">无生产安全事故；无相关传染病暴发或流行。 </w:t>
            </w:r>
          </w:p>
        </w:tc>
        <w:tc>
          <w:tcPr>
            <w:tcW w:w="675" w:type="dxa"/>
            <w:tcBorders>
              <w:top w:val="single" w:color="000000" w:sz="4" w:space="0"/>
              <w:left w:val="nil"/>
              <w:bottom w:val="single" w:color="000000" w:sz="4" w:space="0"/>
              <w:right w:val="single" w:color="000000" w:sz="4" w:space="0"/>
            </w:tcBorders>
            <w:noWrap w:val="0"/>
            <w:vAlign w:val="top"/>
          </w:tcPr>
          <w:p w14:paraId="7B629F73">
            <w:pPr>
              <w:spacing w:line="360" w:lineRule="auto"/>
              <w:rPr>
                <w:rFonts w:ascii="新宋体" w:hAnsi="新宋体" w:eastAsia="新宋体" w:cs="新宋体"/>
                <w:color w:val="auto"/>
                <w:lang w:eastAsia="en-US"/>
              </w:rPr>
            </w:pPr>
            <w:r>
              <w:rPr>
                <w:rFonts w:hint="eastAsia" w:ascii="新宋体" w:hAnsi="新宋体" w:eastAsia="新宋体" w:cs="新宋体"/>
                <w:color w:val="auto"/>
              </w:rPr>
              <w:t>1</w:t>
            </w:r>
          </w:p>
        </w:tc>
        <w:tc>
          <w:tcPr>
            <w:tcW w:w="643" w:type="dxa"/>
            <w:tcBorders>
              <w:top w:val="single" w:color="000000" w:sz="4" w:space="0"/>
              <w:left w:val="nil"/>
              <w:bottom w:val="single" w:color="000000" w:sz="4" w:space="0"/>
              <w:right w:val="single" w:color="000000" w:sz="4" w:space="0"/>
            </w:tcBorders>
            <w:noWrap w:val="0"/>
            <w:vAlign w:val="top"/>
          </w:tcPr>
          <w:p w14:paraId="5ACDC123">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324E72FF">
            <w:pPr>
              <w:spacing w:line="360" w:lineRule="auto"/>
              <w:rPr>
                <w:rFonts w:ascii="新宋体" w:hAnsi="新宋体" w:eastAsia="新宋体" w:cs="新宋体"/>
                <w:color w:val="auto"/>
                <w:lang w:eastAsia="en-US"/>
              </w:rPr>
            </w:pPr>
          </w:p>
        </w:tc>
      </w:tr>
      <w:tr w14:paraId="403AE117">
        <w:tblPrEx>
          <w:tblCellMar>
            <w:top w:w="0" w:type="dxa"/>
            <w:left w:w="108" w:type="dxa"/>
            <w:bottom w:w="0" w:type="dxa"/>
            <w:right w:w="108" w:type="dxa"/>
          </w:tblCellMar>
        </w:tblPrEx>
        <w:trPr>
          <w:cantSplit/>
        </w:trPr>
        <w:tc>
          <w:tcPr>
            <w:tcW w:w="902" w:type="dxa"/>
            <w:vMerge w:val="continue"/>
            <w:tcBorders>
              <w:left w:val="single" w:color="000000" w:sz="4" w:space="0"/>
              <w:right w:val="single" w:color="000000" w:sz="4" w:space="0"/>
            </w:tcBorders>
            <w:noWrap w:val="0"/>
            <w:vAlign w:val="center"/>
          </w:tcPr>
          <w:p w14:paraId="4E2406D8">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6864B4FF">
            <w:pPr>
              <w:spacing w:line="360" w:lineRule="auto"/>
              <w:rPr>
                <w:rFonts w:hint="default" w:ascii="新宋体" w:hAnsi="新宋体" w:eastAsia="新宋体" w:cs="新宋体"/>
                <w:color w:val="auto"/>
                <w:lang w:val="en-US" w:eastAsia="zh-CN"/>
              </w:rPr>
            </w:pPr>
            <w:r>
              <w:rPr>
                <w:rFonts w:hint="eastAsia" w:ascii="新宋体" w:hAnsi="新宋体" w:eastAsia="新宋体" w:cs="新宋体"/>
                <w:color w:val="auto"/>
              </w:rPr>
              <w:t>每发现问题，通知整改，</w:t>
            </w:r>
            <w:r>
              <w:rPr>
                <w:rFonts w:hint="eastAsia" w:ascii="新宋体" w:hAnsi="新宋体" w:eastAsia="新宋体" w:cs="新宋体"/>
                <w:color w:val="auto"/>
                <w:lang w:eastAsia="zh-CN"/>
              </w:rPr>
              <w:t>要</w:t>
            </w:r>
            <w:r>
              <w:rPr>
                <w:rFonts w:hint="eastAsia" w:ascii="新宋体" w:hAnsi="新宋体" w:eastAsia="新宋体" w:cs="新宋体"/>
                <w:color w:val="auto"/>
              </w:rPr>
              <w:t>按照要求及时落实整改，效果满意。</w:t>
            </w:r>
            <w:r>
              <w:rPr>
                <w:rFonts w:hint="eastAsia" w:ascii="新宋体" w:hAnsi="新宋体" w:eastAsia="新宋体" w:cs="新宋体"/>
                <w:color w:val="auto"/>
                <w:lang w:eastAsia="zh-CN"/>
              </w:rPr>
              <w:t>未</w:t>
            </w:r>
            <w:r>
              <w:rPr>
                <w:rFonts w:hint="eastAsia" w:ascii="新宋体" w:hAnsi="新宋体" w:eastAsia="新宋体" w:cs="新宋体"/>
                <w:color w:val="auto"/>
              </w:rPr>
              <w:t>及时落实整改</w:t>
            </w:r>
            <w:r>
              <w:rPr>
                <w:rFonts w:hint="eastAsia" w:ascii="新宋体" w:hAnsi="新宋体" w:eastAsia="新宋体" w:cs="新宋体"/>
                <w:color w:val="auto"/>
                <w:lang w:eastAsia="zh-CN"/>
              </w:rPr>
              <w:t>或</w:t>
            </w:r>
            <w:r>
              <w:rPr>
                <w:rFonts w:hint="eastAsia" w:ascii="新宋体" w:hAnsi="新宋体" w:eastAsia="新宋体" w:cs="新宋体"/>
                <w:color w:val="auto"/>
              </w:rPr>
              <w:t>效果</w:t>
            </w:r>
            <w:r>
              <w:rPr>
                <w:rFonts w:hint="eastAsia" w:ascii="新宋体" w:hAnsi="新宋体" w:eastAsia="新宋体" w:cs="新宋体"/>
                <w:color w:val="auto"/>
                <w:lang w:eastAsia="zh-CN"/>
              </w:rPr>
              <w:t>不</w:t>
            </w:r>
            <w:r>
              <w:rPr>
                <w:rFonts w:hint="eastAsia" w:ascii="新宋体" w:hAnsi="新宋体" w:eastAsia="新宋体" w:cs="新宋体"/>
                <w:color w:val="auto"/>
              </w:rPr>
              <w:t>满意</w:t>
            </w:r>
            <w:r>
              <w:rPr>
                <w:rFonts w:hint="eastAsia" w:ascii="新宋体" w:hAnsi="新宋体" w:eastAsia="新宋体" w:cs="新宋体"/>
                <w:color w:val="auto"/>
                <w:lang w:eastAsia="zh-CN"/>
              </w:rPr>
              <w:t>，扣</w:t>
            </w:r>
            <w:r>
              <w:rPr>
                <w:rFonts w:hint="eastAsia" w:ascii="新宋体" w:hAnsi="新宋体" w:eastAsia="新宋体" w:cs="新宋体"/>
                <w:color w:val="auto"/>
                <w:lang w:val="en-US" w:eastAsia="zh-CN"/>
              </w:rPr>
              <w:t>3分。</w:t>
            </w:r>
          </w:p>
        </w:tc>
        <w:tc>
          <w:tcPr>
            <w:tcW w:w="675" w:type="dxa"/>
            <w:tcBorders>
              <w:top w:val="single" w:color="000000" w:sz="4" w:space="0"/>
              <w:left w:val="nil"/>
              <w:bottom w:val="single" w:color="000000" w:sz="4" w:space="0"/>
              <w:right w:val="single" w:color="000000" w:sz="4" w:space="0"/>
            </w:tcBorders>
            <w:noWrap w:val="0"/>
            <w:vAlign w:val="top"/>
          </w:tcPr>
          <w:p w14:paraId="6A59C4B8">
            <w:pPr>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765D6E9A">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6B44009B">
            <w:pPr>
              <w:spacing w:line="360" w:lineRule="auto"/>
              <w:rPr>
                <w:rFonts w:ascii="新宋体" w:hAnsi="新宋体" w:eastAsia="新宋体" w:cs="新宋体"/>
                <w:color w:val="auto"/>
                <w:lang w:eastAsia="en-US"/>
              </w:rPr>
            </w:pPr>
          </w:p>
        </w:tc>
      </w:tr>
      <w:tr w14:paraId="4E9C00D6">
        <w:tblPrEx>
          <w:tblCellMar>
            <w:top w:w="0" w:type="dxa"/>
            <w:left w:w="108" w:type="dxa"/>
            <w:bottom w:w="0" w:type="dxa"/>
            <w:right w:w="108" w:type="dxa"/>
          </w:tblCellMar>
        </w:tblPrEx>
        <w:trPr>
          <w:cantSplit/>
        </w:trPr>
        <w:tc>
          <w:tcPr>
            <w:tcW w:w="902" w:type="dxa"/>
            <w:vMerge w:val="continue"/>
            <w:tcBorders>
              <w:left w:val="single" w:color="000000" w:sz="4" w:space="0"/>
              <w:right w:val="single" w:color="000000" w:sz="4" w:space="0"/>
            </w:tcBorders>
            <w:noWrap w:val="0"/>
            <w:vAlign w:val="center"/>
          </w:tcPr>
          <w:p w14:paraId="2C3C4037">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6F4C8B86">
            <w:pPr>
              <w:spacing w:line="360" w:lineRule="auto"/>
              <w:rPr>
                <w:rFonts w:ascii="新宋体" w:hAnsi="新宋体" w:eastAsia="新宋体" w:cs="新宋体"/>
                <w:color w:val="auto"/>
              </w:rPr>
            </w:pPr>
            <w:r>
              <w:rPr>
                <w:rFonts w:hint="eastAsia" w:ascii="新宋体" w:hAnsi="新宋体" w:eastAsia="新宋体" w:cs="新宋体"/>
                <w:color w:val="auto"/>
              </w:rPr>
              <w:t>确保无投诉，无媒体曝光，无</w:t>
            </w:r>
            <w:r>
              <w:rPr>
                <w:rFonts w:hint="eastAsia" w:ascii="新宋体" w:hAnsi="新宋体" w:eastAsia="新宋体" w:cs="新宋体"/>
                <w:color w:val="auto"/>
                <w:lang w:eastAsia="zh-CN"/>
              </w:rPr>
              <w:t>县</w:t>
            </w:r>
            <w:r>
              <w:rPr>
                <w:rFonts w:hint="eastAsia" w:ascii="新宋体" w:hAnsi="新宋体" w:eastAsia="新宋体" w:cs="新宋体"/>
                <w:color w:val="auto"/>
              </w:rPr>
              <w:t>级以上部门通报批评。每</w:t>
            </w:r>
            <w:r>
              <w:rPr>
                <w:rFonts w:hint="eastAsia" w:ascii="新宋体" w:hAnsi="新宋体" w:eastAsia="新宋体" w:cs="新宋体"/>
                <w:color w:val="auto"/>
                <w:lang w:eastAsia="zh-CN"/>
              </w:rPr>
              <w:t>出现</w:t>
            </w:r>
            <w:r>
              <w:rPr>
                <w:rFonts w:hint="eastAsia" w:ascii="新宋体" w:hAnsi="新宋体" w:eastAsia="新宋体" w:cs="新宋体"/>
                <w:color w:val="auto"/>
              </w:rPr>
              <w:t>投诉</w:t>
            </w:r>
            <w:r>
              <w:rPr>
                <w:rFonts w:hint="eastAsia" w:ascii="新宋体" w:hAnsi="新宋体" w:eastAsia="新宋体" w:cs="新宋体"/>
                <w:color w:val="auto"/>
                <w:lang w:eastAsia="zh-CN"/>
              </w:rPr>
              <w:t>、</w:t>
            </w:r>
            <w:r>
              <w:rPr>
                <w:rFonts w:hint="eastAsia" w:ascii="新宋体" w:hAnsi="新宋体" w:eastAsia="新宋体" w:cs="新宋体"/>
                <w:color w:val="auto"/>
              </w:rPr>
              <w:t>媒体曝光</w:t>
            </w:r>
            <w:r>
              <w:rPr>
                <w:rFonts w:hint="eastAsia" w:ascii="新宋体" w:hAnsi="新宋体" w:eastAsia="新宋体" w:cs="新宋体"/>
                <w:color w:val="auto"/>
                <w:lang w:eastAsia="zh-CN"/>
              </w:rPr>
              <w:t>、</w:t>
            </w:r>
            <w:r>
              <w:rPr>
                <w:rFonts w:hint="eastAsia" w:ascii="新宋体" w:hAnsi="新宋体" w:eastAsia="新宋体" w:cs="新宋体"/>
                <w:color w:val="auto"/>
              </w:rPr>
              <w:t>通报</w:t>
            </w:r>
            <w:r>
              <w:rPr>
                <w:rFonts w:hint="eastAsia" w:ascii="新宋体" w:hAnsi="新宋体" w:eastAsia="新宋体" w:cs="新宋体"/>
                <w:color w:val="auto"/>
                <w:lang w:eastAsia="zh-CN"/>
              </w:rPr>
              <w:t>，属于消杀公司责任的，</w:t>
            </w:r>
            <w:r>
              <w:rPr>
                <w:rFonts w:hint="eastAsia" w:ascii="新宋体" w:hAnsi="新宋体" w:eastAsia="新宋体" w:cs="新宋体"/>
                <w:color w:val="auto"/>
              </w:rPr>
              <w:t>一次扣1分，扣完为止。</w:t>
            </w:r>
          </w:p>
        </w:tc>
        <w:tc>
          <w:tcPr>
            <w:tcW w:w="675" w:type="dxa"/>
            <w:tcBorders>
              <w:top w:val="single" w:color="000000" w:sz="4" w:space="0"/>
              <w:left w:val="nil"/>
              <w:bottom w:val="single" w:color="000000" w:sz="4" w:space="0"/>
              <w:right w:val="single" w:color="000000" w:sz="4" w:space="0"/>
            </w:tcBorders>
            <w:noWrap w:val="0"/>
            <w:vAlign w:val="top"/>
          </w:tcPr>
          <w:p w14:paraId="0CDFB228">
            <w:pPr>
              <w:spacing w:line="360" w:lineRule="auto"/>
              <w:rPr>
                <w:rFonts w:ascii="新宋体" w:hAnsi="新宋体" w:eastAsia="新宋体" w:cs="新宋体"/>
                <w:color w:val="auto"/>
                <w:lang w:eastAsia="en-US"/>
              </w:rPr>
            </w:pPr>
            <w:r>
              <w:rPr>
                <w:rFonts w:hint="eastAsia" w:ascii="新宋体" w:hAnsi="新宋体" w:eastAsia="新宋体" w:cs="新宋体"/>
                <w:color w:val="auto"/>
              </w:rPr>
              <w:t>3</w:t>
            </w:r>
          </w:p>
        </w:tc>
        <w:tc>
          <w:tcPr>
            <w:tcW w:w="643" w:type="dxa"/>
            <w:tcBorders>
              <w:top w:val="single" w:color="000000" w:sz="4" w:space="0"/>
              <w:left w:val="nil"/>
              <w:bottom w:val="single" w:color="000000" w:sz="4" w:space="0"/>
              <w:right w:val="single" w:color="000000" w:sz="4" w:space="0"/>
            </w:tcBorders>
            <w:noWrap w:val="0"/>
            <w:vAlign w:val="top"/>
          </w:tcPr>
          <w:p w14:paraId="2169A2CF">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36E36D1">
            <w:pPr>
              <w:spacing w:line="360" w:lineRule="auto"/>
              <w:rPr>
                <w:rFonts w:ascii="新宋体" w:hAnsi="新宋体" w:eastAsia="新宋体" w:cs="新宋体"/>
                <w:color w:val="auto"/>
                <w:lang w:eastAsia="en-US"/>
              </w:rPr>
            </w:pPr>
          </w:p>
        </w:tc>
      </w:tr>
      <w:tr w14:paraId="2144FEE9">
        <w:tblPrEx>
          <w:tblCellMar>
            <w:top w:w="0" w:type="dxa"/>
            <w:left w:w="108" w:type="dxa"/>
            <w:bottom w:w="0" w:type="dxa"/>
            <w:right w:w="108" w:type="dxa"/>
          </w:tblCellMar>
        </w:tblPrEx>
        <w:trPr>
          <w:cantSplit/>
        </w:trPr>
        <w:tc>
          <w:tcPr>
            <w:tcW w:w="902" w:type="dxa"/>
            <w:vMerge w:val="continue"/>
            <w:tcBorders>
              <w:left w:val="single" w:color="000000" w:sz="4" w:space="0"/>
              <w:bottom w:val="single" w:color="auto" w:sz="4" w:space="0"/>
              <w:right w:val="single" w:color="000000" w:sz="4" w:space="0"/>
            </w:tcBorders>
            <w:noWrap w:val="0"/>
            <w:vAlign w:val="center"/>
          </w:tcPr>
          <w:p w14:paraId="1919C299">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6C661E8A">
            <w:pPr>
              <w:spacing w:line="360" w:lineRule="auto"/>
              <w:rPr>
                <w:rFonts w:ascii="新宋体" w:hAnsi="新宋体" w:eastAsia="新宋体" w:cs="新宋体"/>
                <w:color w:val="auto"/>
              </w:rPr>
            </w:pPr>
            <w:r>
              <w:rPr>
                <w:rFonts w:hint="eastAsia" w:ascii="新宋体" w:hAnsi="新宋体" w:eastAsia="新宋体" w:cs="新宋体"/>
                <w:color w:val="auto"/>
              </w:rPr>
              <w:t>服务区域群众满意率达到85%及以上，满意率未达到85%时，每下降1%扣0.5分</w:t>
            </w:r>
            <w:r>
              <w:rPr>
                <w:rFonts w:hint="eastAsia" w:ascii="新宋体" w:hAnsi="新宋体" w:eastAsia="新宋体" w:cs="新宋体"/>
                <w:color w:val="auto"/>
                <w:lang w:eastAsia="zh-CN"/>
              </w:rPr>
              <w:t>，</w:t>
            </w:r>
            <w:r>
              <w:rPr>
                <w:rFonts w:hint="eastAsia" w:ascii="新宋体" w:hAnsi="新宋体" w:eastAsia="新宋体" w:cs="新宋体"/>
                <w:color w:val="auto"/>
              </w:rPr>
              <w:t>扣完为止。</w:t>
            </w:r>
          </w:p>
        </w:tc>
        <w:tc>
          <w:tcPr>
            <w:tcW w:w="675" w:type="dxa"/>
            <w:tcBorders>
              <w:top w:val="single" w:color="000000" w:sz="4" w:space="0"/>
              <w:left w:val="nil"/>
              <w:bottom w:val="single" w:color="000000" w:sz="4" w:space="0"/>
              <w:right w:val="single" w:color="000000" w:sz="4" w:space="0"/>
            </w:tcBorders>
            <w:noWrap w:val="0"/>
            <w:vAlign w:val="top"/>
          </w:tcPr>
          <w:p w14:paraId="71911760">
            <w:pPr>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5634CEA5">
            <w:pPr>
              <w:spacing w:line="360" w:lineRule="auto"/>
              <w:rPr>
                <w:rFonts w:hint="default" w:ascii="新宋体" w:hAnsi="新宋体" w:eastAsia="新宋体" w:cs="新宋体"/>
                <w:color w:val="auto"/>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03D124F2">
            <w:pPr>
              <w:spacing w:line="360" w:lineRule="auto"/>
              <w:rPr>
                <w:rFonts w:ascii="新宋体" w:hAnsi="新宋体" w:eastAsia="新宋体" w:cs="新宋体"/>
                <w:color w:val="auto"/>
                <w:lang w:eastAsia="en-US"/>
              </w:rPr>
            </w:pPr>
          </w:p>
        </w:tc>
      </w:tr>
      <w:tr w14:paraId="4520B575">
        <w:tblPrEx>
          <w:tblCellMar>
            <w:top w:w="0" w:type="dxa"/>
            <w:left w:w="108" w:type="dxa"/>
            <w:bottom w:w="0" w:type="dxa"/>
            <w:right w:w="108" w:type="dxa"/>
          </w:tblCellMar>
        </w:tblPrEx>
        <w:trPr>
          <w:cantSplit/>
        </w:trPr>
        <w:tc>
          <w:tcPr>
            <w:tcW w:w="902" w:type="dxa"/>
            <w:tcBorders>
              <w:top w:val="single" w:color="auto" w:sz="4" w:space="0"/>
              <w:left w:val="single" w:color="000000" w:sz="4" w:space="0"/>
              <w:bottom w:val="single" w:color="auto" w:sz="4" w:space="0"/>
              <w:right w:val="single" w:color="000000" w:sz="4" w:space="0"/>
            </w:tcBorders>
            <w:noWrap w:val="0"/>
            <w:vAlign w:val="center"/>
          </w:tcPr>
          <w:p w14:paraId="13DF9EAE">
            <w:pPr>
              <w:rPr>
                <w:rFonts w:hint="eastAsia" w:ascii="新宋体" w:hAnsi="新宋体" w:eastAsia="新宋体" w:cs="新宋体"/>
                <w:color w:val="auto"/>
                <w:lang w:eastAsia="zh-CN"/>
              </w:rPr>
            </w:pPr>
            <w:r>
              <w:rPr>
                <w:rFonts w:hint="eastAsia" w:ascii="新宋体" w:hAnsi="新宋体" w:eastAsia="新宋体" w:cs="新宋体"/>
                <w:b/>
                <w:bCs/>
                <w:color w:val="auto"/>
                <w:lang w:eastAsia="zh-CN"/>
              </w:rPr>
              <w:t>合计</w:t>
            </w:r>
          </w:p>
        </w:tc>
        <w:tc>
          <w:tcPr>
            <w:tcW w:w="6632" w:type="dxa"/>
            <w:gridSpan w:val="2"/>
            <w:tcBorders>
              <w:top w:val="single" w:color="000000" w:sz="4" w:space="0"/>
              <w:left w:val="nil"/>
              <w:bottom w:val="single" w:color="000000" w:sz="4" w:space="0"/>
              <w:right w:val="single" w:color="000000" w:sz="4" w:space="0"/>
            </w:tcBorders>
            <w:noWrap w:val="0"/>
            <w:vAlign w:val="top"/>
          </w:tcPr>
          <w:p w14:paraId="63311F98">
            <w:pPr>
              <w:spacing w:line="360" w:lineRule="auto"/>
              <w:rPr>
                <w:rFonts w:hint="eastAsia" w:ascii="新宋体" w:hAnsi="新宋体" w:eastAsia="新宋体" w:cs="新宋体"/>
                <w:color w:val="auto"/>
              </w:rPr>
            </w:pPr>
          </w:p>
        </w:tc>
        <w:tc>
          <w:tcPr>
            <w:tcW w:w="675" w:type="dxa"/>
            <w:tcBorders>
              <w:top w:val="single" w:color="000000" w:sz="4" w:space="0"/>
              <w:left w:val="nil"/>
              <w:bottom w:val="single" w:color="000000" w:sz="4" w:space="0"/>
              <w:right w:val="single" w:color="000000" w:sz="4" w:space="0"/>
            </w:tcBorders>
            <w:noWrap w:val="0"/>
            <w:vAlign w:val="top"/>
          </w:tcPr>
          <w:p w14:paraId="24E26CC9">
            <w:pPr>
              <w:spacing w:line="360" w:lineRule="auto"/>
              <w:rPr>
                <w:rFonts w:hint="default" w:ascii="新宋体" w:hAnsi="新宋体" w:eastAsia="新宋体" w:cs="新宋体"/>
                <w:color w:val="auto"/>
                <w:lang w:val="en-US" w:eastAsia="zh-CN"/>
              </w:rPr>
            </w:pPr>
            <w:r>
              <w:rPr>
                <w:rFonts w:hint="eastAsia" w:ascii="新宋体" w:hAnsi="新宋体" w:eastAsia="新宋体" w:cs="新宋体"/>
                <w:color w:val="auto"/>
                <w:lang w:val="en-US" w:eastAsia="zh-CN"/>
              </w:rPr>
              <w:t>100</w:t>
            </w:r>
          </w:p>
        </w:tc>
        <w:tc>
          <w:tcPr>
            <w:tcW w:w="643" w:type="dxa"/>
            <w:tcBorders>
              <w:top w:val="single" w:color="000000" w:sz="4" w:space="0"/>
              <w:left w:val="nil"/>
              <w:bottom w:val="single" w:color="000000" w:sz="4" w:space="0"/>
              <w:right w:val="single" w:color="000000" w:sz="4" w:space="0"/>
            </w:tcBorders>
            <w:noWrap w:val="0"/>
            <w:vAlign w:val="top"/>
          </w:tcPr>
          <w:p w14:paraId="2670951B">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4B95661A">
            <w:pPr>
              <w:spacing w:line="360" w:lineRule="auto"/>
              <w:rPr>
                <w:rFonts w:ascii="新宋体" w:hAnsi="新宋体" w:eastAsia="新宋体" w:cs="新宋体"/>
                <w:color w:val="auto"/>
                <w:lang w:eastAsia="en-US"/>
              </w:rPr>
            </w:pPr>
          </w:p>
        </w:tc>
      </w:tr>
    </w:tbl>
    <w:p w14:paraId="28B205E6"/>
    <w:p w14:paraId="57CE0175">
      <w:pPr>
        <w:rPr>
          <w:rFonts w:ascii="宋体" w:hAnsi="宋体"/>
          <w:b/>
          <w:sz w:val="36"/>
        </w:rPr>
      </w:pPr>
      <w:r>
        <w:rPr>
          <w:rFonts w:hint="eastAsia" w:ascii="宋体" w:hAnsi="宋体"/>
          <w:b/>
          <w:sz w:val="36"/>
        </w:rPr>
        <w:br w:type="page"/>
      </w:r>
    </w:p>
    <w:p w14:paraId="498701B3">
      <w:pPr>
        <w:autoSpaceDE w:val="0"/>
        <w:autoSpaceDN w:val="0"/>
        <w:adjustRightInd w:val="0"/>
        <w:snapToGrid w:val="0"/>
        <w:spacing w:line="460" w:lineRule="exact"/>
        <w:jc w:val="center"/>
        <w:textAlignment w:val="bottom"/>
        <w:outlineLvl w:val="0"/>
        <w:rPr>
          <w:rFonts w:ascii="宋体" w:hAnsi="宋体"/>
          <w:b/>
          <w:sz w:val="36"/>
        </w:rPr>
      </w:pPr>
      <w:r>
        <w:rPr>
          <w:rFonts w:hint="eastAsia" w:ascii="宋体" w:hAnsi="宋体"/>
          <w:b/>
          <w:sz w:val="36"/>
        </w:rPr>
        <w:t>第三部分   供应商须知</w:t>
      </w:r>
    </w:p>
    <w:p w14:paraId="3EA7CDA3">
      <w:pPr>
        <w:autoSpaceDE w:val="0"/>
        <w:autoSpaceDN w:val="0"/>
        <w:adjustRightInd w:val="0"/>
        <w:snapToGrid w:val="0"/>
        <w:spacing w:line="400" w:lineRule="exact"/>
        <w:textAlignment w:val="bottom"/>
        <w:outlineLvl w:val="1"/>
        <w:rPr>
          <w:rFonts w:ascii="宋体" w:hAnsi="宋体"/>
          <w:b/>
          <w:sz w:val="22"/>
          <w:szCs w:val="22"/>
        </w:rPr>
      </w:pPr>
      <w:r>
        <w:rPr>
          <w:rFonts w:hint="eastAsia" w:ascii="宋体" w:hAnsi="宋体"/>
          <w:b/>
          <w:sz w:val="22"/>
          <w:szCs w:val="22"/>
        </w:rPr>
        <w:t>一、说明</w:t>
      </w:r>
    </w:p>
    <w:p w14:paraId="0FBD572D">
      <w:pPr>
        <w:autoSpaceDE w:val="0"/>
        <w:autoSpaceDN w:val="0"/>
        <w:adjustRightInd w:val="0"/>
        <w:snapToGrid w:val="0"/>
        <w:spacing w:line="360" w:lineRule="auto"/>
        <w:ind w:firstLine="431" w:firstLineChars="196"/>
        <w:textAlignment w:val="bottom"/>
        <w:rPr>
          <w:rFonts w:ascii="宋体" w:hAnsi="宋体"/>
          <w:sz w:val="22"/>
          <w:szCs w:val="22"/>
        </w:rPr>
      </w:pPr>
      <w:r>
        <w:rPr>
          <w:rFonts w:hint="eastAsia" w:ascii="宋体" w:hAnsi="宋体"/>
          <w:sz w:val="22"/>
          <w:szCs w:val="22"/>
        </w:rPr>
        <w:t>1、本次招标工作是按照《中华人民共和国政府采购法》及相关法律法规规章组织和实施。</w:t>
      </w:r>
    </w:p>
    <w:p w14:paraId="794245AD">
      <w:pPr>
        <w:widowControl/>
        <w:snapToGrid w:val="0"/>
        <w:spacing w:line="360" w:lineRule="auto"/>
        <w:ind w:firstLine="431" w:firstLineChars="196"/>
        <w:jc w:val="left"/>
        <w:rPr>
          <w:rFonts w:ascii="宋体" w:hAnsi="宋体"/>
          <w:sz w:val="22"/>
          <w:szCs w:val="22"/>
        </w:rPr>
      </w:pPr>
      <w:r>
        <w:rPr>
          <w:rFonts w:hint="eastAsia" w:ascii="宋体" w:hAnsi="宋体" w:cs="’Times New Roman’"/>
          <w:sz w:val="22"/>
          <w:szCs w:val="22"/>
        </w:rPr>
        <w:t>2、</w:t>
      </w:r>
      <w:r>
        <w:rPr>
          <w:rFonts w:hint="eastAsia" w:ascii="宋体" w:hAnsi="宋体"/>
          <w:sz w:val="22"/>
          <w:szCs w:val="22"/>
        </w:rPr>
        <w:t>无论投标过程中的作法和结果如何，供应商自行承担投标活动中所发生的全部费用。</w:t>
      </w:r>
    </w:p>
    <w:p w14:paraId="07F9DB37">
      <w:pPr>
        <w:autoSpaceDE w:val="0"/>
        <w:autoSpaceDN w:val="0"/>
        <w:adjustRightInd w:val="0"/>
        <w:snapToGrid w:val="0"/>
        <w:spacing w:line="360" w:lineRule="auto"/>
        <w:ind w:firstLine="431" w:firstLineChars="196"/>
        <w:jc w:val="left"/>
        <w:textAlignment w:val="bottom"/>
        <w:rPr>
          <w:rFonts w:ascii="宋体"/>
          <w:b/>
          <w:sz w:val="22"/>
          <w:szCs w:val="22"/>
          <w:u w:val="single"/>
        </w:rPr>
      </w:pPr>
      <w:r>
        <w:rPr>
          <w:rFonts w:hint="eastAsia" w:ascii="宋体" w:hAnsi="宋体"/>
          <w:sz w:val="22"/>
          <w:szCs w:val="22"/>
        </w:rPr>
        <w:t>3、</w:t>
      </w:r>
      <w:r>
        <w:rPr>
          <w:rFonts w:hint="eastAsia" w:ascii="宋体"/>
          <w:b/>
          <w:sz w:val="22"/>
          <w:szCs w:val="22"/>
          <w:u w:val="single"/>
        </w:rPr>
        <w:t>供应商必须对全部内容进行报价，只对部分内容进行报价的供应商将按无效投标处理。</w:t>
      </w:r>
    </w:p>
    <w:p w14:paraId="28CB19C8">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4、本次采购，招标文件及投标文件都以中文为准。报价统一采用人民币报价。</w:t>
      </w:r>
    </w:p>
    <w:p w14:paraId="2C7B7192">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5、知识产权</w:t>
      </w:r>
    </w:p>
    <w:p w14:paraId="32FE8120">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5.1供应商应保证，采购人在中华人民共和国使用货物和服务的任何一部分时，免受第三方提出侵犯其专利权、商标权或其它知识产权的起诉。</w:t>
      </w:r>
    </w:p>
    <w:p w14:paraId="62A3F9C0">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5.2投标供应商应对采购人在使用该产品时所涉及到的专利权负责，不损害采购人的利益。</w:t>
      </w:r>
    </w:p>
    <w:p w14:paraId="7DBD6ABD">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5.3投标报价应包括所有应支付的对专利权和版权、设计或其他知识产权而需要向其他方支付的版税。</w:t>
      </w:r>
    </w:p>
    <w:p w14:paraId="1C7F3515">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5.4投标供应商提供的货物中如使用其他公司的相关专利，应在标书中出示相关授权，如未出示但使用了其他公司的专利，导致供应商中标而引起相关诉讼，由投标供应商承担。</w:t>
      </w:r>
    </w:p>
    <w:p w14:paraId="437582B7">
      <w:pPr>
        <w:spacing w:line="360" w:lineRule="auto"/>
        <w:ind w:firstLine="434"/>
        <w:rPr>
          <w:rFonts w:ascii="宋体" w:hAnsi="宋体" w:cs="宋体"/>
          <w:color w:val="000000"/>
          <w:kern w:val="0"/>
          <w:sz w:val="22"/>
        </w:rPr>
      </w:pPr>
      <w:r>
        <w:rPr>
          <w:rFonts w:hint="eastAsia" w:ascii="宋体" w:hAnsi="宋体"/>
          <w:color w:val="000000"/>
          <w:sz w:val="22"/>
        </w:rPr>
        <w:t>6、如本次采购货物涉及国家强制性要求的，供应商应确保能满足其要求。</w:t>
      </w:r>
    </w:p>
    <w:p w14:paraId="7E1127FB">
      <w:pPr>
        <w:autoSpaceDE w:val="0"/>
        <w:autoSpaceDN w:val="0"/>
        <w:adjustRightInd w:val="0"/>
        <w:snapToGrid w:val="0"/>
        <w:spacing w:line="360" w:lineRule="auto"/>
        <w:ind w:firstLine="446" w:firstLineChars="203"/>
        <w:textAlignment w:val="bottom"/>
        <w:rPr>
          <w:rFonts w:ascii="宋体"/>
          <w:sz w:val="22"/>
        </w:rPr>
      </w:pPr>
      <w:r>
        <w:rPr>
          <w:rFonts w:hint="eastAsia" w:ascii="宋体"/>
          <w:sz w:val="22"/>
        </w:rPr>
        <w:t>7、本次采购“资格文件”、“商务技术文件”和“报价文件”分别评审，评标委员会首先评审供应商“资格文件”</w:t>
      </w:r>
      <w:r>
        <w:rPr>
          <w:rFonts w:hint="eastAsia" w:ascii="宋体"/>
          <w:sz w:val="22"/>
          <w:lang w:eastAsia="zh-CN"/>
        </w:rPr>
        <w:t>，</w:t>
      </w:r>
      <w:r>
        <w:rPr>
          <w:rFonts w:hint="eastAsia" w:ascii="宋体"/>
          <w:sz w:val="22"/>
        </w:rPr>
        <w:t>再评审“商务技术文件”，</w:t>
      </w:r>
      <w:r>
        <w:rPr>
          <w:rFonts w:hint="eastAsia" w:ascii="宋体"/>
          <w:sz w:val="22"/>
          <w:lang w:eastAsia="zh-CN"/>
        </w:rPr>
        <w:t>最后</w:t>
      </w:r>
      <w:r>
        <w:rPr>
          <w:rFonts w:hint="eastAsia" w:ascii="宋体"/>
          <w:sz w:val="22"/>
        </w:rPr>
        <w:t>评审报价文件；</w:t>
      </w:r>
      <w:r>
        <w:rPr>
          <w:rFonts w:hint="eastAsia" w:ascii="宋体"/>
          <w:sz w:val="22"/>
          <w:lang w:eastAsia="zh-CN"/>
        </w:rPr>
        <w:t>资格评审</w:t>
      </w:r>
      <w:r>
        <w:rPr>
          <w:rFonts w:hint="eastAsia" w:ascii="宋体"/>
          <w:sz w:val="22"/>
        </w:rPr>
        <w:t>、商务技术</w:t>
      </w:r>
      <w:r>
        <w:rPr>
          <w:rFonts w:hint="eastAsia" w:ascii="宋体"/>
          <w:sz w:val="22"/>
          <w:lang w:eastAsia="zh-CN"/>
        </w:rPr>
        <w:t>评审</w:t>
      </w:r>
      <w:r>
        <w:rPr>
          <w:rFonts w:hint="eastAsia" w:ascii="宋体"/>
          <w:sz w:val="22"/>
        </w:rPr>
        <w:t>无效的供应商不进入报价评审。</w:t>
      </w:r>
      <w:r>
        <w:rPr>
          <w:rFonts w:hint="eastAsia" w:ascii="宋体"/>
          <w:b/>
          <w:sz w:val="22"/>
          <w:u w:val="single"/>
        </w:rPr>
        <w:t>要求供应商“资格文件”、“商务技术文件”部分的投标文件中不得含产品报价，否则做无效投标处理。</w:t>
      </w:r>
    </w:p>
    <w:p w14:paraId="657CCB1F">
      <w:pPr>
        <w:autoSpaceDE w:val="0"/>
        <w:autoSpaceDN w:val="0"/>
        <w:adjustRightInd w:val="0"/>
        <w:snapToGrid w:val="0"/>
        <w:spacing w:line="360" w:lineRule="auto"/>
        <w:ind w:firstLine="420" w:firstLineChars="190"/>
        <w:textAlignment w:val="bottom"/>
        <w:rPr>
          <w:rFonts w:ascii="宋体"/>
          <w:b/>
          <w:sz w:val="22"/>
          <w:szCs w:val="22"/>
        </w:rPr>
      </w:pPr>
      <w:r>
        <w:rPr>
          <w:rFonts w:hint="eastAsia" w:ascii="宋体"/>
          <w:b/>
          <w:sz w:val="22"/>
          <w:szCs w:val="22"/>
        </w:rPr>
        <w:t>8、供应商须自行现场勘察，以求得准确的报价依据。供应商须自行考虑投标报价的风险。</w:t>
      </w:r>
    </w:p>
    <w:p w14:paraId="28F85820">
      <w:pPr>
        <w:autoSpaceDE w:val="0"/>
        <w:autoSpaceDN w:val="0"/>
        <w:adjustRightInd w:val="0"/>
        <w:snapToGrid w:val="0"/>
        <w:spacing w:line="360" w:lineRule="auto"/>
        <w:ind w:firstLine="420"/>
        <w:textAlignment w:val="bottom"/>
        <w:rPr>
          <w:rFonts w:ascii="宋体" w:hAnsi="宋体"/>
          <w:kern w:val="0"/>
          <w:sz w:val="22"/>
        </w:rPr>
      </w:pPr>
      <w:r>
        <w:rPr>
          <w:rFonts w:hint="eastAsia" w:ascii="宋体" w:hAnsi="宋体"/>
          <w:kern w:val="0"/>
          <w:sz w:val="22"/>
        </w:rPr>
        <w:t>9、本次项目按《财政部关于在政府采购活动中查询及使用信用记录的通知》（财库〔2016〕125号）相关规定，评标时通过“信用中国”网站（www.creditchina.gov.cn）、中国政府采购网（www.ccgp.gov.cn）查询相关主体信用记录对供应商进行信用甄别，对列入失信被执行人、重大税收违法案件当事人名单、政府采购严重违法失信行为记录名单及其他不符合《中华人民共和国政府采购法》第二十二条规定条件的供应商，拒绝其参与本次政府采购活动，其投标文件（响应文件）按无效标处理。</w:t>
      </w:r>
    </w:p>
    <w:p w14:paraId="28F46085">
      <w:pPr>
        <w:autoSpaceDE w:val="0"/>
        <w:autoSpaceDN w:val="0"/>
        <w:adjustRightInd w:val="0"/>
        <w:snapToGrid w:val="0"/>
        <w:spacing w:line="360" w:lineRule="auto"/>
        <w:ind w:firstLine="420"/>
        <w:textAlignment w:val="bottom"/>
        <w:rPr>
          <w:rFonts w:ascii="宋体" w:hAnsi="宋体" w:cs="宋体"/>
          <w:b/>
          <w:sz w:val="22"/>
          <w:szCs w:val="22"/>
          <w:u w:val="single"/>
        </w:rPr>
      </w:pPr>
      <w:r>
        <w:rPr>
          <w:rFonts w:hint="eastAsia" w:ascii="宋体" w:hAnsi="宋体" w:cs="宋体"/>
          <w:b/>
          <w:sz w:val="22"/>
          <w:szCs w:val="22"/>
          <w:u w:val="single"/>
        </w:rPr>
        <w:t>10、供应商企业为事业法人或负责人制的，其负责人等同于法定代表人，供应商企业不是独立法人的，按浙财采监[2013]24号文件执行，招标文件以下类同。</w:t>
      </w:r>
    </w:p>
    <w:p w14:paraId="4C022C9C">
      <w:pPr>
        <w:autoSpaceDE w:val="0"/>
        <w:autoSpaceDN w:val="0"/>
        <w:adjustRightInd w:val="0"/>
        <w:snapToGrid w:val="0"/>
        <w:spacing w:line="360" w:lineRule="auto"/>
        <w:ind w:firstLine="420"/>
        <w:textAlignment w:val="bottom"/>
        <w:rPr>
          <w:rFonts w:ascii="宋体" w:hAnsi="宋体" w:cs="宋体"/>
          <w:b/>
          <w:sz w:val="22"/>
          <w:szCs w:val="22"/>
        </w:rPr>
      </w:pPr>
      <w:r>
        <w:rPr>
          <w:rFonts w:hint="eastAsia" w:ascii="宋体" w:hAnsi="宋体" w:cs="宋体"/>
          <w:b/>
          <w:sz w:val="22"/>
          <w:szCs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50B24E68">
      <w:pPr>
        <w:spacing w:line="360" w:lineRule="auto"/>
        <w:ind w:firstLine="434"/>
        <w:rPr>
          <w:rFonts w:ascii="宋体" w:hAnsi="宋体"/>
          <w:b/>
          <w:color w:val="000000"/>
          <w:kern w:val="0"/>
          <w:sz w:val="22"/>
        </w:rPr>
      </w:pPr>
      <w:r>
        <w:rPr>
          <w:rFonts w:hint="eastAsia" w:ascii="宋体" w:hAnsi="宋体"/>
          <w:b/>
          <w:color w:val="000000"/>
          <w:kern w:val="0"/>
          <w:sz w:val="22"/>
        </w:rPr>
        <w:t>11、供</w:t>
      </w:r>
      <w:r>
        <w:rPr>
          <w:rFonts w:ascii="宋体" w:hAnsi="宋体"/>
          <w:b/>
          <w:color w:val="000000"/>
          <w:kern w:val="0"/>
          <w:sz w:val="22"/>
        </w:rPr>
        <w:t>应商在合同执行</w:t>
      </w:r>
      <w:r>
        <w:rPr>
          <w:rFonts w:hint="eastAsia" w:ascii="宋体" w:hAnsi="宋体"/>
          <w:b/>
          <w:color w:val="000000"/>
          <w:kern w:val="0"/>
          <w:sz w:val="22"/>
        </w:rPr>
        <w:t>期</w:t>
      </w:r>
      <w:r>
        <w:rPr>
          <w:rFonts w:ascii="宋体" w:hAnsi="宋体"/>
          <w:b/>
          <w:color w:val="000000"/>
          <w:kern w:val="0"/>
          <w:sz w:val="22"/>
        </w:rPr>
        <w:t>间内若发生</w:t>
      </w:r>
      <w:r>
        <w:rPr>
          <w:rFonts w:hint="eastAsia" w:ascii="宋体" w:hAnsi="宋体"/>
          <w:b/>
          <w:color w:val="000000"/>
          <w:kern w:val="0"/>
          <w:sz w:val="22"/>
        </w:rPr>
        <w:t>员</w:t>
      </w:r>
      <w:r>
        <w:rPr>
          <w:rFonts w:ascii="宋体" w:hAnsi="宋体"/>
          <w:b/>
          <w:color w:val="000000"/>
          <w:kern w:val="0"/>
          <w:sz w:val="22"/>
        </w:rPr>
        <w:t>工安全事故造成生</w:t>
      </w:r>
      <w:r>
        <w:rPr>
          <w:rFonts w:hint="eastAsia" w:ascii="宋体" w:hAnsi="宋体"/>
          <w:b/>
          <w:color w:val="000000"/>
          <w:kern w:val="0"/>
          <w:sz w:val="22"/>
        </w:rPr>
        <w:t>命</w:t>
      </w:r>
      <w:r>
        <w:rPr>
          <w:rFonts w:ascii="宋体" w:hAnsi="宋体"/>
          <w:b/>
          <w:color w:val="000000"/>
          <w:kern w:val="0"/>
          <w:sz w:val="22"/>
        </w:rPr>
        <w:t>财产</w:t>
      </w:r>
      <w:r>
        <w:rPr>
          <w:rFonts w:hint="eastAsia" w:ascii="宋体" w:hAnsi="宋体"/>
          <w:b/>
          <w:color w:val="000000"/>
          <w:kern w:val="0"/>
          <w:sz w:val="22"/>
        </w:rPr>
        <w:t>损</w:t>
      </w:r>
      <w:r>
        <w:rPr>
          <w:rFonts w:ascii="宋体" w:hAnsi="宋体"/>
          <w:b/>
          <w:color w:val="000000"/>
          <w:kern w:val="0"/>
          <w:sz w:val="22"/>
        </w:rPr>
        <w:t>伤的</w:t>
      </w:r>
      <w:r>
        <w:rPr>
          <w:rFonts w:hint="eastAsia" w:ascii="宋体" w:hAnsi="宋体"/>
          <w:b/>
          <w:color w:val="000000"/>
          <w:kern w:val="0"/>
          <w:sz w:val="22"/>
        </w:rPr>
        <w:t>，由</w:t>
      </w:r>
      <w:r>
        <w:rPr>
          <w:rFonts w:ascii="宋体" w:hAnsi="宋体"/>
          <w:b/>
          <w:color w:val="000000"/>
          <w:kern w:val="0"/>
          <w:sz w:val="22"/>
        </w:rPr>
        <w:t>供应商负</w:t>
      </w:r>
      <w:r>
        <w:rPr>
          <w:rFonts w:hint="eastAsia" w:ascii="宋体" w:hAnsi="宋体"/>
          <w:b/>
          <w:color w:val="000000"/>
          <w:kern w:val="0"/>
          <w:sz w:val="22"/>
        </w:rPr>
        <w:t>责，与</w:t>
      </w:r>
      <w:r>
        <w:rPr>
          <w:rFonts w:ascii="宋体" w:hAnsi="宋体"/>
          <w:b/>
          <w:color w:val="000000"/>
          <w:kern w:val="0"/>
          <w:sz w:val="22"/>
        </w:rPr>
        <w:t>采购</w:t>
      </w:r>
      <w:r>
        <w:rPr>
          <w:rFonts w:hint="eastAsia" w:ascii="宋体" w:hAnsi="宋体"/>
          <w:b/>
          <w:color w:val="000000"/>
          <w:kern w:val="0"/>
          <w:sz w:val="22"/>
        </w:rPr>
        <w:t>单位</w:t>
      </w:r>
      <w:r>
        <w:rPr>
          <w:rFonts w:ascii="宋体" w:hAnsi="宋体"/>
          <w:b/>
          <w:color w:val="000000"/>
          <w:kern w:val="0"/>
          <w:sz w:val="22"/>
        </w:rPr>
        <w:t>无关</w:t>
      </w:r>
      <w:r>
        <w:rPr>
          <w:rFonts w:hint="eastAsia" w:ascii="宋体" w:hAnsi="宋体"/>
          <w:b/>
          <w:color w:val="000000"/>
          <w:kern w:val="0"/>
          <w:sz w:val="22"/>
        </w:rPr>
        <w:t>。</w:t>
      </w:r>
    </w:p>
    <w:p w14:paraId="1F3829E2">
      <w:pPr>
        <w:pStyle w:val="10"/>
        <w:adjustRightInd w:val="0"/>
        <w:snapToGrid w:val="0"/>
        <w:spacing w:line="360" w:lineRule="auto"/>
        <w:ind w:firstLine="442"/>
        <w:rPr>
          <w:rFonts w:ascii="宋体" w:hAnsi="宋体"/>
          <w:b/>
          <w:bCs/>
          <w:sz w:val="22"/>
          <w:u w:val="single"/>
        </w:rPr>
      </w:pPr>
      <w:r>
        <w:rPr>
          <w:rFonts w:hint="eastAsia" w:ascii="宋体" w:hAnsi="宋体"/>
          <w:b/>
          <w:sz w:val="22"/>
          <w:szCs w:val="22"/>
        </w:rPr>
        <w:t>▲12、</w:t>
      </w:r>
      <w:r>
        <w:rPr>
          <w:rFonts w:hint="eastAsia" w:ascii="宋体" w:hAnsi="宋体"/>
          <w:b/>
          <w:bCs/>
          <w:sz w:val="22"/>
          <w:u w:val="single"/>
        </w:rPr>
        <w:t>本项目采购预算及最高限价为</w:t>
      </w:r>
      <w:r>
        <w:rPr>
          <w:rFonts w:hint="eastAsia" w:ascii="宋体" w:hAnsi="宋体"/>
          <w:b/>
          <w:bCs/>
          <w:sz w:val="22"/>
          <w:u w:val="single"/>
          <w:lang w:eastAsia="zh-CN"/>
        </w:rPr>
        <w:t>1089410元</w:t>
      </w:r>
      <w:r>
        <w:rPr>
          <w:rFonts w:hint="eastAsia" w:ascii="宋体" w:hAnsi="宋体"/>
          <w:b/>
          <w:bCs/>
          <w:sz w:val="22"/>
          <w:u w:val="single"/>
        </w:rPr>
        <w:t>。</w:t>
      </w:r>
      <w:r>
        <w:rPr>
          <w:rFonts w:ascii="宋体" w:hAnsi="宋体"/>
          <w:b/>
          <w:bCs/>
          <w:sz w:val="22"/>
          <w:u w:val="single"/>
        </w:rPr>
        <w:t>某些（个）供应商投标报价超出</w:t>
      </w:r>
      <w:r>
        <w:rPr>
          <w:rFonts w:hint="eastAsia" w:ascii="宋体" w:hAnsi="宋体"/>
          <w:b/>
          <w:bCs/>
          <w:sz w:val="22"/>
          <w:u w:val="single"/>
        </w:rPr>
        <w:t>最高限价</w:t>
      </w:r>
      <w:r>
        <w:rPr>
          <w:rFonts w:ascii="宋体" w:hAnsi="宋体"/>
          <w:b/>
          <w:bCs/>
          <w:sz w:val="22"/>
          <w:u w:val="single"/>
        </w:rPr>
        <w:t>的，则拒绝接受其该标段投标报价，该标段供应商投标按无效投标处理。</w:t>
      </w:r>
    </w:p>
    <w:p w14:paraId="24C814F4">
      <w:pPr>
        <w:widowControl/>
        <w:autoSpaceDE w:val="0"/>
        <w:autoSpaceDN w:val="0"/>
        <w:snapToGrid w:val="0"/>
        <w:spacing w:line="360" w:lineRule="auto"/>
        <w:ind w:firstLine="433"/>
        <w:jc w:val="left"/>
        <w:rPr>
          <w:rFonts w:ascii="宋体" w:hAnsi="宋体"/>
          <w:b/>
          <w:bCs/>
          <w:sz w:val="22"/>
          <w:u w:val="single"/>
        </w:rPr>
      </w:pPr>
      <w:r>
        <w:rPr>
          <w:rFonts w:hint="eastAsia" w:ascii="宋体" w:hAnsi="宋体"/>
          <w:b/>
          <w:bCs/>
          <w:sz w:val="22"/>
          <w:u w:val="single"/>
        </w:rPr>
        <w:t>13、</w:t>
      </w:r>
      <w:r>
        <w:rPr>
          <w:rFonts w:ascii="宋体" w:hAnsi="宋体"/>
          <w:b/>
          <w:bCs/>
          <w:sz w:val="22"/>
          <w:u w:val="single"/>
        </w:rPr>
        <w:t>供应商进行电子</w:t>
      </w:r>
      <w:r>
        <w:rPr>
          <w:rFonts w:hint="eastAsia" w:ascii="宋体" w:hAnsi="宋体"/>
          <w:b/>
          <w:bCs/>
          <w:sz w:val="22"/>
          <w:u w:val="single"/>
        </w:rPr>
        <w:t>响应</w:t>
      </w:r>
      <w:r>
        <w:rPr>
          <w:rFonts w:ascii="宋体" w:hAnsi="宋体"/>
          <w:b/>
          <w:bCs/>
          <w:sz w:val="22"/>
          <w:u w:val="single"/>
        </w:rPr>
        <w:t>应安装客户端软件，并按照采购文件和电子交易平台的要求编制并加密</w:t>
      </w:r>
      <w:r>
        <w:rPr>
          <w:rFonts w:hint="eastAsia" w:ascii="宋体" w:hAnsi="宋体"/>
          <w:b/>
          <w:bCs/>
          <w:sz w:val="22"/>
          <w:u w:val="single"/>
        </w:rPr>
        <w:t>投标</w:t>
      </w:r>
      <w:r>
        <w:rPr>
          <w:rFonts w:ascii="宋体" w:hAnsi="宋体"/>
          <w:b/>
          <w:bCs/>
          <w:sz w:val="22"/>
          <w:u w:val="single"/>
        </w:rPr>
        <w:t>文件。供应商未按规定加密的投标文件，电子交易平台拒收并提示。</w:t>
      </w:r>
    </w:p>
    <w:p w14:paraId="48BD7CAF">
      <w:pPr>
        <w:widowControl/>
        <w:autoSpaceDE w:val="0"/>
        <w:autoSpaceDN w:val="0"/>
        <w:snapToGrid w:val="0"/>
        <w:spacing w:line="360" w:lineRule="auto"/>
        <w:ind w:firstLine="433"/>
        <w:jc w:val="left"/>
        <w:rPr>
          <w:rFonts w:hAnsi="宋体"/>
          <w:b/>
          <w:bCs/>
          <w:sz w:val="22"/>
          <w:szCs w:val="22"/>
          <w:u w:val="single"/>
        </w:rPr>
      </w:pPr>
      <w:r>
        <w:rPr>
          <w:rFonts w:hint="eastAsia" w:ascii="宋体" w:hAnsi="宋体"/>
          <w:b/>
          <w:bCs/>
          <w:sz w:val="22"/>
          <w:u w:val="single"/>
        </w:rPr>
        <w:t>14</w:t>
      </w:r>
      <w:r>
        <w:rPr>
          <w:rFonts w:ascii="宋体" w:hAnsi="宋体"/>
          <w:b/>
          <w:bCs/>
          <w:sz w:val="22"/>
          <w:u w:val="single"/>
        </w:rPr>
        <w:t>、为保证供应商顺利投标，供应商须在投标截止前自行登录浙江省政府采购网站（http://www.zjzfcg.gov.cn），查看是否有补充更正公告文件。如供应商未按补充更正公告文件进行投标的，责任自负。</w:t>
      </w:r>
    </w:p>
    <w:p w14:paraId="0B196899">
      <w:pPr>
        <w:autoSpaceDE w:val="0"/>
        <w:autoSpaceDN w:val="0"/>
        <w:adjustRightInd w:val="0"/>
        <w:snapToGrid w:val="0"/>
        <w:spacing w:line="420" w:lineRule="exact"/>
        <w:textAlignment w:val="bottom"/>
        <w:outlineLvl w:val="1"/>
        <w:rPr>
          <w:rFonts w:ascii="宋体" w:hAnsi="宋体"/>
          <w:b/>
          <w:sz w:val="22"/>
          <w:szCs w:val="22"/>
        </w:rPr>
      </w:pPr>
      <w:r>
        <w:rPr>
          <w:rFonts w:hint="eastAsia" w:ascii="宋体" w:hAnsi="宋体"/>
          <w:b/>
          <w:sz w:val="22"/>
          <w:szCs w:val="22"/>
        </w:rPr>
        <w:t>二、供应商资格要求</w:t>
      </w:r>
    </w:p>
    <w:p w14:paraId="0C58B4BC">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按招标公告要求</w:t>
      </w:r>
    </w:p>
    <w:p w14:paraId="3A963E49">
      <w:pPr>
        <w:autoSpaceDE w:val="0"/>
        <w:autoSpaceDN w:val="0"/>
        <w:adjustRightInd w:val="0"/>
        <w:snapToGrid w:val="0"/>
        <w:spacing w:line="420" w:lineRule="exact"/>
        <w:textAlignment w:val="bottom"/>
        <w:outlineLvl w:val="1"/>
        <w:rPr>
          <w:rFonts w:ascii="宋体" w:hAnsi="宋体"/>
          <w:b/>
          <w:sz w:val="22"/>
          <w:szCs w:val="22"/>
        </w:rPr>
      </w:pPr>
      <w:r>
        <w:rPr>
          <w:rFonts w:hint="eastAsia" w:ascii="宋体" w:hAnsi="宋体"/>
          <w:b/>
          <w:sz w:val="22"/>
          <w:szCs w:val="22"/>
        </w:rPr>
        <w:t>三、招标文件</w:t>
      </w:r>
    </w:p>
    <w:p w14:paraId="246E1CFB">
      <w:pPr>
        <w:autoSpaceDE w:val="0"/>
        <w:autoSpaceDN w:val="0"/>
        <w:adjustRightInd w:val="0"/>
        <w:snapToGrid w:val="0"/>
        <w:spacing w:line="360" w:lineRule="auto"/>
        <w:ind w:firstLine="431" w:firstLineChars="196"/>
        <w:textAlignment w:val="bottom"/>
        <w:rPr>
          <w:rFonts w:ascii="宋体" w:hAnsi="宋体"/>
          <w:sz w:val="22"/>
          <w:szCs w:val="22"/>
        </w:rPr>
      </w:pPr>
      <w:r>
        <w:rPr>
          <w:rFonts w:hint="eastAsia" w:ascii="宋体" w:hAnsi="宋体"/>
          <w:sz w:val="22"/>
          <w:szCs w:val="22"/>
        </w:rPr>
        <w:t>1、招标文件</w:t>
      </w:r>
    </w:p>
    <w:p w14:paraId="512B8826">
      <w:pPr>
        <w:autoSpaceDE w:val="0"/>
        <w:autoSpaceDN w:val="0"/>
        <w:adjustRightInd w:val="0"/>
        <w:snapToGrid w:val="0"/>
        <w:spacing w:line="360" w:lineRule="auto"/>
        <w:ind w:firstLine="431" w:firstLineChars="196"/>
        <w:textAlignment w:val="bottom"/>
        <w:rPr>
          <w:rFonts w:ascii="宋体" w:hAnsi="宋体"/>
          <w:sz w:val="22"/>
        </w:rPr>
      </w:pPr>
      <w:r>
        <w:rPr>
          <w:rFonts w:hint="eastAsia" w:ascii="宋体" w:hAnsi="宋体"/>
          <w:sz w:val="22"/>
        </w:rPr>
        <w:t>1.1招标文件的获取</w:t>
      </w:r>
    </w:p>
    <w:p w14:paraId="736F7A3F">
      <w:pPr>
        <w:autoSpaceDE w:val="0"/>
        <w:autoSpaceDN w:val="0"/>
        <w:adjustRightInd w:val="0"/>
        <w:snapToGrid w:val="0"/>
        <w:spacing w:line="360" w:lineRule="auto"/>
        <w:ind w:firstLine="431" w:firstLineChars="196"/>
        <w:textAlignment w:val="bottom"/>
        <w:rPr>
          <w:rFonts w:ascii="宋体" w:hAnsi="宋体"/>
          <w:sz w:val="22"/>
        </w:rPr>
      </w:pPr>
      <w:r>
        <w:rPr>
          <w:rFonts w:hint="eastAsia" w:ascii="宋体" w:hAnsi="宋体"/>
          <w:sz w:val="22"/>
          <w:u w:val="single"/>
        </w:rPr>
        <w:t>本项目招标文件实行“浙江政府采购网或温州市公共资源交易网苍南县分网”在线获取，不提供招标文件纸质版。供应商获取招标文件前应先完成“政府采购云平台”的账号注册。</w:t>
      </w:r>
      <w:r>
        <w:rPr>
          <w:rFonts w:ascii="宋体" w:hAnsi="宋体"/>
          <w:sz w:val="22"/>
        </w:rPr>
        <w:t xml:space="preserve"> </w:t>
      </w:r>
    </w:p>
    <w:p w14:paraId="1C2A62AD">
      <w:pPr>
        <w:autoSpaceDE w:val="0"/>
        <w:autoSpaceDN w:val="0"/>
        <w:adjustRightInd w:val="0"/>
        <w:snapToGrid w:val="0"/>
        <w:spacing w:line="360" w:lineRule="auto"/>
        <w:ind w:firstLine="431" w:firstLineChars="196"/>
        <w:textAlignment w:val="bottom"/>
        <w:rPr>
          <w:rFonts w:ascii="宋体" w:hAnsi="宋体"/>
          <w:color w:val="000000"/>
          <w:sz w:val="22"/>
          <w:szCs w:val="22"/>
        </w:rPr>
      </w:pPr>
      <w:r>
        <w:rPr>
          <w:rFonts w:hint="eastAsia" w:ascii="宋体" w:hAnsi="宋体"/>
          <w:color w:val="000000"/>
          <w:sz w:val="22"/>
          <w:szCs w:val="22"/>
        </w:rPr>
        <w:t>1.2招标文件约束力</w:t>
      </w:r>
    </w:p>
    <w:p w14:paraId="5282D24B">
      <w:pPr>
        <w:autoSpaceDE w:val="0"/>
        <w:autoSpaceDN w:val="0"/>
        <w:adjustRightInd w:val="0"/>
        <w:snapToGrid w:val="0"/>
        <w:spacing w:line="360" w:lineRule="auto"/>
        <w:ind w:right="-160" w:rightChars="-76" w:firstLine="431" w:firstLineChars="196"/>
        <w:textAlignment w:val="bottom"/>
        <w:rPr>
          <w:rFonts w:ascii="宋体" w:hAnsi="宋体"/>
          <w:color w:val="000000"/>
          <w:sz w:val="22"/>
          <w:szCs w:val="22"/>
          <w:u w:val="single"/>
        </w:rPr>
      </w:pPr>
      <w:r>
        <w:rPr>
          <w:rFonts w:hint="eastAsia" w:ascii="宋体" w:hAnsi="宋体"/>
          <w:sz w:val="22"/>
          <w:szCs w:val="22"/>
        </w:rPr>
        <w:t>▲</w:t>
      </w:r>
      <w:r>
        <w:rPr>
          <w:rFonts w:hint="eastAsia" w:ascii="宋体" w:hAnsi="宋体"/>
          <w:color w:val="000000"/>
          <w:sz w:val="22"/>
          <w:szCs w:val="22"/>
          <w:u w:val="single"/>
        </w:rPr>
        <w:t>供应商一旦获取了本招标文件并参加投标，即被认为接受了本招标文件中所有条款和规定。</w:t>
      </w:r>
    </w:p>
    <w:p w14:paraId="3A9A834B">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1.3招标文件的组成</w:t>
      </w:r>
    </w:p>
    <w:p w14:paraId="127CEE00">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招标文件由招标文件总目录所列内容及补充资料等组成。</w:t>
      </w:r>
    </w:p>
    <w:p w14:paraId="33F8A628">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2、招标文件的澄清</w:t>
      </w:r>
    </w:p>
    <w:p w14:paraId="648329EF">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供应商对招标文件如有疑点要求澄清，或认为有必要与采购人进行技术交流，可用书面形式（包括信函、传真，下同）通知</w:t>
      </w:r>
      <w:r>
        <w:rPr>
          <w:rFonts w:hint="eastAsia" w:ascii="宋体" w:hAnsi="宋体"/>
          <w:sz w:val="22"/>
          <w:szCs w:val="22"/>
          <w:u w:val="single"/>
        </w:rPr>
        <w:t>招标代理机构</w:t>
      </w:r>
      <w:r>
        <w:rPr>
          <w:rFonts w:hint="eastAsia" w:ascii="宋体" w:hAnsi="宋体"/>
          <w:sz w:val="22"/>
          <w:szCs w:val="22"/>
        </w:rPr>
        <w:t>，但通知不得迟于规定的质疑时间前使招标代理机构收到，招标代理机构将采用书面形式予以答复。如有必要，可将不说明来源的答复发给各有关供应商。</w:t>
      </w:r>
    </w:p>
    <w:p w14:paraId="20BE2216">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3、招标文件的修改</w:t>
      </w:r>
    </w:p>
    <w:p w14:paraId="154ED2D5">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3.1 在投标截止时间前，招标人或代理机构修改招标文件，</w:t>
      </w:r>
      <w:r>
        <w:rPr>
          <w:rFonts w:hint="eastAsia" w:ascii="宋体" w:hAnsi="宋体"/>
          <w:sz w:val="22"/>
        </w:rPr>
        <w:t>并以更正公告形式通知供应商。</w:t>
      </w:r>
      <w:r>
        <w:rPr>
          <w:rFonts w:hint="eastAsia" w:ascii="宋体" w:hAnsi="宋体"/>
          <w:sz w:val="22"/>
          <w:szCs w:val="22"/>
        </w:rPr>
        <w:t>补充文件作为招标文件的补充和组成部分，对所有供应商均有约束力。</w:t>
      </w:r>
    </w:p>
    <w:p w14:paraId="17DFD742">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 xml:space="preserve">3.2 为使供应商有足够的时间按招标文件要求修正投标文件，招标人可酌情推迟投标截止时间和开标时间，并将此变更通知供应商。 </w:t>
      </w:r>
    </w:p>
    <w:p w14:paraId="065055F7">
      <w:pPr>
        <w:autoSpaceDE w:val="0"/>
        <w:autoSpaceDN w:val="0"/>
        <w:adjustRightInd w:val="0"/>
        <w:snapToGrid w:val="0"/>
        <w:spacing w:line="420" w:lineRule="exact"/>
        <w:textAlignment w:val="bottom"/>
        <w:outlineLvl w:val="1"/>
        <w:rPr>
          <w:rFonts w:ascii="宋体" w:hAnsi="宋体"/>
          <w:b/>
          <w:sz w:val="22"/>
          <w:szCs w:val="22"/>
        </w:rPr>
      </w:pPr>
      <w:r>
        <w:rPr>
          <w:rFonts w:hint="eastAsia" w:ascii="宋体" w:hAnsi="宋体"/>
          <w:b/>
          <w:sz w:val="22"/>
          <w:szCs w:val="22"/>
        </w:rPr>
        <w:t>四、投标文件</w:t>
      </w:r>
    </w:p>
    <w:p w14:paraId="64764514">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1、投标文件</w:t>
      </w:r>
    </w:p>
    <w:p w14:paraId="35B6234F">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1.1投标人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服务在基本满足招标要求的前提下出现的微小差异。</w:t>
      </w:r>
    </w:p>
    <w:p w14:paraId="180335C7">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1.2投标人必须按招标文件的要求提供相关资料，包括采用的计量单位，并保证投标文件的正确性和真实性。投标文件全部内容应保持一致，否则可能导致不利于其投标的评定甚至被拒绝。技术和商务如有偏离均应填写偏离表。</w:t>
      </w:r>
    </w:p>
    <w:p w14:paraId="0A79A984">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1.3投标人应仔细阅读招标文件中的所有内容，按照招标文件要求，详细编制投标文件，所有文件资料必须是针对本次投标。不按招标文件的要求提供的投标文件可能导致被拒绝。</w:t>
      </w:r>
    </w:p>
    <w:p w14:paraId="0D076020">
      <w:pPr>
        <w:autoSpaceDE w:val="0"/>
        <w:autoSpaceDN w:val="0"/>
        <w:adjustRightInd w:val="0"/>
        <w:snapToGrid w:val="0"/>
        <w:spacing w:line="360" w:lineRule="auto"/>
        <w:ind w:firstLine="442" w:firstLineChars="200"/>
        <w:rPr>
          <w:rFonts w:ascii="宋体" w:hAnsi="宋体" w:cs="Arial"/>
          <w:b/>
          <w:bCs/>
          <w:sz w:val="22"/>
          <w:u w:val="single"/>
        </w:rPr>
      </w:pPr>
      <w:r>
        <w:rPr>
          <w:rFonts w:hint="eastAsia" w:ascii="宋体"/>
          <w:b/>
          <w:sz w:val="22"/>
          <w:szCs w:val="22"/>
        </w:rPr>
        <w:t>2</w:t>
      </w:r>
      <w:r>
        <w:rPr>
          <w:rFonts w:hint="eastAsia" w:ascii="宋体"/>
          <w:b/>
          <w:sz w:val="22"/>
          <w:szCs w:val="22"/>
          <w:lang w:val="zh-CN"/>
        </w:rPr>
        <w:t>、</w:t>
      </w:r>
      <w:r>
        <w:rPr>
          <w:rFonts w:hint="eastAsia" w:ascii="宋体" w:hAnsi="宋体" w:cs="Arial"/>
          <w:b/>
          <w:bCs/>
          <w:sz w:val="22"/>
          <w:u w:val="single"/>
        </w:rPr>
        <w:t>本项目通过“政府采购云平台（</w:t>
      </w:r>
      <w:r>
        <w:rPr>
          <w:rFonts w:ascii="宋体" w:hAnsi="宋体" w:cs="Arial"/>
          <w:b/>
          <w:bCs/>
          <w:sz w:val="22"/>
          <w:u w:val="single"/>
        </w:rPr>
        <w:t>www.</w:t>
      </w:r>
      <w:r>
        <w:rPr>
          <w:rFonts w:hint="eastAsia" w:ascii="宋体" w:hAnsi="宋体" w:cs="Arial"/>
          <w:b/>
          <w:bCs/>
          <w:sz w:val="22"/>
          <w:u w:val="single"/>
        </w:rPr>
        <w:t>zcy</w:t>
      </w:r>
      <w:r>
        <w:rPr>
          <w:rFonts w:ascii="宋体" w:hAnsi="宋体" w:cs="Arial"/>
          <w:b/>
          <w:bCs/>
          <w:sz w:val="22"/>
          <w:u w:val="single"/>
        </w:rPr>
        <w:t>gov.cn</w:t>
      </w:r>
      <w:r>
        <w:rPr>
          <w:rFonts w:hint="eastAsia" w:ascii="宋体" w:hAnsi="宋体" w:cs="Arial"/>
          <w:b/>
          <w:bCs/>
          <w:sz w:val="22"/>
          <w:u w:val="single"/>
        </w:rPr>
        <w:t>）”实行在线投标响应（电子投标）。供应商应通过“政采云电子交易客户端”，并按照本招标文件和“政府采购云平台”的要求编制并加密投标文件。</w:t>
      </w:r>
    </w:p>
    <w:p w14:paraId="4F8199E3">
      <w:pPr>
        <w:widowControl/>
        <w:autoSpaceDE w:val="0"/>
        <w:autoSpaceDN w:val="0"/>
        <w:snapToGrid w:val="0"/>
        <w:spacing w:line="420" w:lineRule="exact"/>
        <w:ind w:firstLine="431"/>
        <w:jc w:val="left"/>
        <w:rPr>
          <w:color w:val="000000"/>
          <w:sz w:val="22"/>
        </w:rPr>
      </w:pPr>
      <w:r>
        <w:rPr>
          <w:rFonts w:hint="eastAsia"/>
          <w:color w:val="000000"/>
          <w:sz w:val="22"/>
        </w:rPr>
        <w:t>2.1 投标</w:t>
      </w:r>
      <w:r>
        <w:rPr>
          <w:color w:val="000000"/>
          <w:sz w:val="22"/>
        </w:rPr>
        <w:t>文件的组成</w:t>
      </w:r>
    </w:p>
    <w:p w14:paraId="24602426">
      <w:pPr>
        <w:widowControl/>
        <w:autoSpaceDE w:val="0"/>
        <w:autoSpaceDN w:val="0"/>
        <w:snapToGrid w:val="0"/>
        <w:spacing w:line="420" w:lineRule="exact"/>
        <w:ind w:firstLine="431"/>
        <w:jc w:val="left"/>
        <w:rPr>
          <w:color w:val="000000"/>
          <w:sz w:val="22"/>
        </w:rPr>
      </w:pPr>
      <w:r>
        <w:rPr>
          <w:rFonts w:hint="eastAsia"/>
          <w:color w:val="000000"/>
          <w:sz w:val="22"/>
        </w:rPr>
        <w:t>2.1.1</w:t>
      </w:r>
      <w:r>
        <w:rPr>
          <w:color w:val="000000"/>
          <w:sz w:val="22"/>
        </w:rPr>
        <w:t>完整的</w:t>
      </w:r>
      <w:r>
        <w:rPr>
          <w:rFonts w:hint="eastAsia"/>
          <w:color w:val="000000"/>
          <w:sz w:val="22"/>
        </w:rPr>
        <w:t>投标</w:t>
      </w:r>
      <w:r>
        <w:rPr>
          <w:color w:val="000000"/>
          <w:sz w:val="22"/>
        </w:rPr>
        <w:t>文件由</w:t>
      </w:r>
      <w:r>
        <w:rPr>
          <w:rFonts w:hint="eastAsia"/>
          <w:color w:val="000000"/>
          <w:sz w:val="22"/>
        </w:rPr>
        <w:t>《资格文件》、《商务技术文件》和《报价文件》三</w:t>
      </w:r>
      <w:r>
        <w:rPr>
          <w:color w:val="000000"/>
          <w:sz w:val="22"/>
        </w:rPr>
        <w:t>个部分组成</w:t>
      </w:r>
      <w:r>
        <w:rPr>
          <w:rFonts w:hint="eastAsia"/>
          <w:color w:val="000000"/>
          <w:sz w:val="22"/>
        </w:rPr>
        <w:t>（以下统称“投标文件”）。</w:t>
      </w:r>
    </w:p>
    <w:p w14:paraId="1CBA9542">
      <w:pPr>
        <w:widowControl/>
        <w:autoSpaceDE w:val="0"/>
        <w:autoSpaceDN w:val="0"/>
        <w:snapToGrid w:val="0"/>
        <w:spacing w:line="420" w:lineRule="exact"/>
        <w:ind w:firstLine="431"/>
        <w:jc w:val="left"/>
        <w:rPr>
          <w:color w:val="000000"/>
          <w:sz w:val="22"/>
        </w:rPr>
      </w:pPr>
      <w:r>
        <w:rPr>
          <w:rFonts w:hint="eastAsia"/>
          <w:color w:val="000000"/>
          <w:sz w:val="22"/>
        </w:rPr>
        <w:t>2.1.2投标文件内容组成表（投标供应商应按以下清单提供相关资料，否则一切风险和责任由供应商自行承担）：</w:t>
      </w:r>
    </w:p>
    <w:tbl>
      <w:tblPr>
        <w:tblStyle w:val="38"/>
        <w:tblW w:w="907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793"/>
        <w:gridCol w:w="1476"/>
      </w:tblGrid>
      <w:tr w14:paraId="4EB066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blHeader/>
          <w:jc w:val="center"/>
        </w:trPr>
        <w:tc>
          <w:tcPr>
            <w:tcW w:w="802" w:type="dxa"/>
            <w:tcBorders>
              <w:bottom w:val="single" w:color="auto" w:sz="6" w:space="0"/>
            </w:tcBorders>
            <w:shd w:val="clear" w:color="auto" w:fill="DAEEF3"/>
            <w:noWrap w:val="0"/>
            <w:vAlign w:val="center"/>
          </w:tcPr>
          <w:p w14:paraId="1C465D30">
            <w:pPr>
              <w:spacing w:line="276" w:lineRule="auto"/>
              <w:jc w:val="center"/>
              <w:rPr>
                <w:rFonts w:hint="eastAsia" w:ascii="宋体" w:cs="宋体"/>
                <w:b/>
                <w:color w:val="auto"/>
                <w:szCs w:val="21"/>
              </w:rPr>
            </w:pPr>
            <w:r>
              <w:rPr>
                <w:rFonts w:hint="eastAsia" w:ascii="宋体" w:cs="宋体"/>
                <w:b/>
                <w:color w:val="auto"/>
                <w:szCs w:val="21"/>
              </w:rPr>
              <w:t>序号</w:t>
            </w:r>
          </w:p>
        </w:tc>
        <w:tc>
          <w:tcPr>
            <w:tcW w:w="6793" w:type="dxa"/>
            <w:tcBorders>
              <w:bottom w:val="single" w:color="auto" w:sz="6" w:space="0"/>
            </w:tcBorders>
            <w:shd w:val="clear" w:color="auto" w:fill="DAEEF3"/>
            <w:noWrap w:val="0"/>
            <w:vAlign w:val="center"/>
          </w:tcPr>
          <w:p w14:paraId="7593EB23">
            <w:pPr>
              <w:spacing w:line="276" w:lineRule="auto"/>
              <w:jc w:val="center"/>
              <w:rPr>
                <w:rFonts w:hint="eastAsia" w:ascii="宋体" w:cs="宋体"/>
                <w:b/>
                <w:color w:val="auto"/>
                <w:szCs w:val="21"/>
              </w:rPr>
            </w:pPr>
            <w:r>
              <w:rPr>
                <w:rFonts w:hint="eastAsia" w:ascii="宋体" w:cs="宋体"/>
                <w:b/>
                <w:color w:val="auto"/>
                <w:szCs w:val="21"/>
              </w:rPr>
              <w:t>响应文件组成内容</w:t>
            </w:r>
          </w:p>
        </w:tc>
        <w:tc>
          <w:tcPr>
            <w:tcW w:w="1476" w:type="dxa"/>
            <w:tcBorders>
              <w:bottom w:val="single" w:color="auto" w:sz="6" w:space="0"/>
            </w:tcBorders>
            <w:shd w:val="clear" w:color="auto" w:fill="DAEEF3"/>
            <w:noWrap w:val="0"/>
            <w:vAlign w:val="center"/>
          </w:tcPr>
          <w:p w14:paraId="1735AABD">
            <w:pPr>
              <w:spacing w:line="276" w:lineRule="auto"/>
              <w:jc w:val="center"/>
              <w:rPr>
                <w:rFonts w:hint="eastAsia" w:ascii="宋体" w:cs="宋体"/>
                <w:b/>
                <w:color w:val="auto"/>
                <w:szCs w:val="21"/>
              </w:rPr>
            </w:pPr>
            <w:r>
              <w:rPr>
                <w:rFonts w:hint="eastAsia" w:ascii="宋体" w:cs="宋体"/>
                <w:b/>
                <w:color w:val="auto"/>
                <w:szCs w:val="21"/>
              </w:rPr>
              <w:t>投标</w:t>
            </w:r>
          </w:p>
          <w:p w14:paraId="1E52A9D3">
            <w:pPr>
              <w:spacing w:line="276" w:lineRule="auto"/>
              <w:jc w:val="center"/>
              <w:rPr>
                <w:rFonts w:hint="eastAsia" w:ascii="宋体" w:cs="宋体"/>
                <w:b/>
                <w:color w:val="auto"/>
                <w:szCs w:val="21"/>
              </w:rPr>
            </w:pPr>
            <w:r>
              <w:rPr>
                <w:rFonts w:hint="eastAsia" w:ascii="宋体" w:cs="宋体"/>
                <w:b/>
                <w:color w:val="auto"/>
                <w:szCs w:val="21"/>
              </w:rPr>
              <w:t>格式</w:t>
            </w:r>
          </w:p>
        </w:tc>
      </w:tr>
      <w:tr w14:paraId="674AF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9071" w:type="dxa"/>
            <w:gridSpan w:val="3"/>
            <w:tcBorders>
              <w:top w:val="single" w:color="auto" w:sz="6" w:space="0"/>
              <w:bottom w:val="single" w:color="auto" w:sz="6" w:space="0"/>
            </w:tcBorders>
            <w:shd w:val="clear" w:color="auto" w:fill="FDE9D9"/>
            <w:noWrap w:val="0"/>
            <w:vAlign w:val="center"/>
          </w:tcPr>
          <w:p w14:paraId="62CC9154">
            <w:pPr>
              <w:spacing w:line="276" w:lineRule="auto"/>
              <w:jc w:val="left"/>
              <w:rPr>
                <w:rFonts w:hint="eastAsia" w:ascii="宋体" w:cs="宋体"/>
                <w:b/>
                <w:color w:val="auto"/>
                <w:szCs w:val="21"/>
              </w:rPr>
            </w:pPr>
            <w:r>
              <w:rPr>
                <w:rFonts w:hint="eastAsia" w:ascii="宋体" w:cs="宋体"/>
                <w:b/>
                <w:color w:val="auto"/>
                <w:szCs w:val="21"/>
              </w:rPr>
              <w:t>一、《资格文件》组成内容</w:t>
            </w:r>
          </w:p>
        </w:tc>
      </w:tr>
      <w:tr w14:paraId="4C003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tcBorders>
            <w:noWrap w:val="0"/>
            <w:vAlign w:val="center"/>
          </w:tcPr>
          <w:p w14:paraId="528B9861">
            <w:pPr>
              <w:spacing w:line="276" w:lineRule="auto"/>
              <w:jc w:val="center"/>
              <w:rPr>
                <w:rFonts w:hint="eastAsia" w:ascii="宋体" w:hAnsi="Times New Roman" w:eastAsia="宋体" w:cs="宋体"/>
                <w:b/>
                <w:color w:val="auto"/>
                <w:kern w:val="2"/>
                <w:sz w:val="21"/>
                <w:szCs w:val="21"/>
                <w:lang w:val="en-US" w:eastAsia="zh-CN" w:bidi="ar-SA"/>
              </w:rPr>
            </w:pPr>
            <w:r>
              <w:rPr>
                <w:rFonts w:hint="eastAsia" w:ascii="宋体" w:cs="宋体"/>
                <w:color w:val="auto"/>
                <w:szCs w:val="21"/>
                <w:lang w:val="en-US" w:eastAsia="zh-CN"/>
              </w:rPr>
              <w:t>1</w:t>
            </w:r>
          </w:p>
        </w:tc>
        <w:tc>
          <w:tcPr>
            <w:tcW w:w="6793" w:type="dxa"/>
            <w:tcBorders>
              <w:top w:val="single" w:color="auto" w:sz="6" w:space="0"/>
            </w:tcBorders>
            <w:noWrap w:val="0"/>
            <w:vAlign w:val="center"/>
          </w:tcPr>
          <w:p w14:paraId="6CC0E18F">
            <w:pPr>
              <w:widowControl/>
              <w:spacing w:line="380" w:lineRule="exact"/>
              <w:jc w:val="left"/>
              <w:rPr>
                <w:rFonts w:hint="eastAsia" w:ascii="宋体" w:hAnsi="Times New Roman" w:eastAsia="宋体" w:cs="宋体"/>
                <w:b/>
                <w:color w:val="auto"/>
                <w:kern w:val="2"/>
                <w:sz w:val="21"/>
                <w:szCs w:val="21"/>
                <w:lang w:val="en-US" w:eastAsia="zh-CN" w:bidi="ar-SA"/>
              </w:rPr>
            </w:pPr>
            <w:r>
              <w:rPr>
                <w:rFonts w:hint="eastAsia" w:ascii="宋体" w:hAnsi="Times New Roman" w:eastAsia="宋体" w:cs="宋体"/>
                <w:b/>
                <w:color w:val="auto"/>
                <w:kern w:val="2"/>
                <w:sz w:val="21"/>
                <w:szCs w:val="21"/>
                <w:lang w:val="en-US" w:eastAsia="zh-CN" w:bidi="ar-SA"/>
              </w:rPr>
              <w:t>《资格文件》</w:t>
            </w:r>
            <w:r>
              <w:rPr>
                <w:rFonts w:hint="eastAsia" w:ascii="宋体" w:cs="宋体"/>
                <w:b/>
                <w:color w:val="auto"/>
                <w:kern w:val="2"/>
                <w:sz w:val="21"/>
                <w:szCs w:val="21"/>
                <w:lang w:val="en-US" w:eastAsia="zh-CN" w:bidi="ar-SA"/>
              </w:rPr>
              <w:t>封面</w:t>
            </w:r>
          </w:p>
        </w:tc>
        <w:tc>
          <w:tcPr>
            <w:tcW w:w="1476" w:type="dxa"/>
            <w:tcBorders>
              <w:top w:val="single" w:color="auto" w:sz="6" w:space="0"/>
            </w:tcBorders>
            <w:noWrap w:val="0"/>
            <w:vAlign w:val="center"/>
          </w:tcPr>
          <w:p w14:paraId="656DA78A">
            <w:pPr>
              <w:spacing w:line="276" w:lineRule="auto"/>
              <w:jc w:val="center"/>
              <w:rPr>
                <w:rFonts w:hint="eastAsia" w:ascii="宋体" w:hAnsi="Times New Roman" w:eastAsia="宋体" w:cs="宋体"/>
                <w:color w:val="auto"/>
                <w:kern w:val="2"/>
                <w:sz w:val="21"/>
                <w:szCs w:val="21"/>
                <w:lang w:val="en-US" w:eastAsia="zh-CN" w:bidi="ar-SA"/>
              </w:rPr>
            </w:pPr>
            <w:r>
              <w:rPr>
                <w:rFonts w:hint="eastAsia" w:ascii="宋体" w:cs="宋体"/>
                <w:color w:val="auto"/>
                <w:szCs w:val="21"/>
                <w:lang w:eastAsia="zh-CN"/>
              </w:rPr>
              <w:t>有</w:t>
            </w:r>
          </w:p>
        </w:tc>
      </w:tr>
      <w:tr w14:paraId="75AB49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tcBorders>
            <w:noWrap w:val="0"/>
            <w:vAlign w:val="center"/>
          </w:tcPr>
          <w:p w14:paraId="0C67FC26">
            <w:pPr>
              <w:spacing w:line="276" w:lineRule="auto"/>
              <w:jc w:val="center"/>
              <w:rPr>
                <w:rFonts w:hint="eastAsia" w:ascii="宋体" w:hAnsi="Times New Roman" w:eastAsia="宋体" w:cs="宋体"/>
                <w:b/>
                <w:color w:val="auto"/>
                <w:kern w:val="2"/>
                <w:sz w:val="21"/>
                <w:szCs w:val="21"/>
                <w:lang w:val="en-US" w:eastAsia="zh-CN" w:bidi="ar-SA"/>
              </w:rPr>
            </w:pPr>
            <w:r>
              <w:rPr>
                <w:rFonts w:hint="eastAsia" w:ascii="宋体" w:cs="宋体"/>
                <w:color w:val="auto"/>
                <w:szCs w:val="21"/>
                <w:lang w:val="en-US" w:eastAsia="zh-CN"/>
              </w:rPr>
              <w:t>2</w:t>
            </w:r>
          </w:p>
        </w:tc>
        <w:tc>
          <w:tcPr>
            <w:tcW w:w="6793" w:type="dxa"/>
            <w:tcBorders>
              <w:top w:val="single" w:color="auto" w:sz="6" w:space="0"/>
            </w:tcBorders>
            <w:noWrap w:val="0"/>
            <w:vAlign w:val="center"/>
          </w:tcPr>
          <w:p w14:paraId="1D405AC9">
            <w:pPr>
              <w:widowControl/>
              <w:spacing w:line="380" w:lineRule="exact"/>
              <w:jc w:val="left"/>
              <w:rPr>
                <w:rFonts w:hint="eastAsia" w:ascii="宋体" w:hAnsi="Times New Roman" w:eastAsia="宋体" w:cs="宋体"/>
                <w:b/>
                <w:color w:val="auto"/>
                <w:kern w:val="2"/>
                <w:sz w:val="21"/>
                <w:szCs w:val="21"/>
                <w:lang w:val="en-US" w:eastAsia="zh-CN" w:bidi="ar-SA"/>
              </w:rPr>
            </w:pPr>
            <w:r>
              <w:rPr>
                <w:rFonts w:hint="eastAsia" w:ascii="宋体" w:cs="宋体"/>
                <w:color w:val="auto"/>
                <w:szCs w:val="21"/>
              </w:rPr>
              <w:t>提供供应商营业执照扫描件（加盖公章）</w:t>
            </w:r>
          </w:p>
        </w:tc>
        <w:tc>
          <w:tcPr>
            <w:tcW w:w="1476" w:type="dxa"/>
            <w:tcBorders>
              <w:top w:val="single" w:color="auto" w:sz="6" w:space="0"/>
            </w:tcBorders>
            <w:noWrap w:val="0"/>
            <w:vAlign w:val="center"/>
          </w:tcPr>
          <w:p w14:paraId="4F896956">
            <w:pPr>
              <w:spacing w:line="276" w:lineRule="auto"/>
              <w:jc w:val="center"/>
              <w:rPr>
                <w:rFonts w:hint="eastAsia" w:ascii="宋体" w:hAnsi="Times New Roman" w:eastAsia="宋体" w:cs="宋体"/>
                <w:color w:val="auto"/>
                <w:kern w:val="2"/>
                <w:sz w:val="21"/>
                <w:szCs w:val="21"/>
                <w:lang w:val="en-US" w:eastAsia="zh-CN" w:bidi="ar-SA"/>
              </w:rPr>
            </w:pPr>
            <w:r>
              <w:rPr>
                <w:rFonts w:hint="eastAsia" w:ascii="宋体" w:cs="宋体"/>
                <w:color w:val="auto"/>
                <w:szCs w:val="21"/>
              </w:rPr>
              <w:t>无</w:t>
            </w:r>
          </w:p>
        </w:tc>
      </w:tr>
      <w:tr w14:paraId="0B5D2B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802" w:type="dxa"/>
            <w:noWrap w:val="0"/>
            <w:vAlign w:val="center"/>
          </w:tcPr>
          <w:p w14:paraId="44E73FAC">
            <w:pPr>
              <w:spacing w:line="276" w:lineRule="auto"/>
              <w:jc w:val="center"/>
              <w:rPr>
                <w:rFonts w:hint="eastAsia" w:ascii="宋体" w:eastAsia="宋体" w:cs="宋体"/>
                <w:b/>
                <w:color w:val="auto"/>
                <w:szCs w:val="21"/>
                <w:lang w:eastAsia="zh-CN"/>
              </w:rPr>
            </w:pPr>
            <w:r>
              <w:rPr>
                <w:rFonts w:hint="eastAsia" w:ascii="宋体" w:cs="宋体"/>
                <w:color w:val="auto"/>
                <w:szCs w:val="21"/>
                <w:lang w:val="en-US" w:eastAsia="zh-CN"/>
              </w:rPr>
              <w:t>3</w:t>
            </w:r>
          </w:p>
        </w:tc>
        <w:tc>
          <w:tcPr>
            <w:tcW w:w="6793" w:type="dxa"/>
            <w:noWrap w:val="0"/>
            <w:vAlign w:val="center"/>
          </w:tcPr>
          <w:p w14:paraId="73F8BAFC">
            <w:pPr>
              <w:spacing w:line="276" w:lineRule="auto"/>
              <w:jc w:val="left"/>
              <w:rPr>
                <w:rFonts w:hint="eastAsia" w:ascii="宋体" w:cs="宋体"/>
                <w:color w:val="auto"/>
                <w:szCs w:val="21"/>
              </w:rPr>
            </w:pPr>
            <w:r>
              <w:rPr>
                <w:rFonts w:hint="eastAsia" w:ascii="宋体" w:cs="宋体"/>
                <w:bCs/>
                <w:color w:val="auto"/>
                <w:szCs w:val="21"/>
              </w:rPr>
              <w:t>资格</w:t>
            </w:r>
            <w:r>
              <w:rPr>
                <w:rFonts w:hint="eastAsia" w:ascii="宋体" w:cs="宋体"/>
                <w:bCs/>
                <w:color w:val="auto"/>
                <w:kern w:val="0"/>
                <w:szCs w:val="21"/>
              </w:rPr>
              <w:t>承诺函</w:t>
            </w:r>
            <w:r>
              <w:rPr>
                <w:rFonts w:hint="eastAsia" w:ascii="宋体" w:cs="宋体"/>
                <w:color w:val="auto"/>
                <w:szCs w:val="21"/>
              </w:rPr>
              <w:t>（加盖公章）</w:t>
            </w:r>
          </w:p>
        </w:tc>
        <w:tc>
          <w:tcPr>
            <w:tcW w:w="1476" w:type="dxa"/>
            <w:noWrap w:val="0"/>
            <w:vAlign w:val="center"/>
          </w:tcPr>
          <w:p w14:paraId="6AA9DF0C">
            <w:pPr>
              <w:spacing w:line="276" w:lineRule="auto"/>
              <w:jc w:val="center"/>
              <w:rPr>
                <w:rFonts w:hint="eastAsia" w:ascii="宋体" w:cs="宋体"/>
                <w:color w:val="auto"/>
                <w:szCs w:val="21"/>
              </w:rPr>
            </w:pPr>
            <w:r>
              <w:rPr>
                <w:rFonts w:hint="eastAsia" w:ascii="宋体" w:cs="宋体"/>
                <w:color w:val="auto"/>
                <w:szCs w:val="21"/>
              </w:rPr>
              <w:t>有</w:t>
            </w:r>
          </w:p>
        </w:tc>
      </w:tr>
      <w:tr w14:paraId="43D7E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02" w:type="dxa"/>
            <w:noWrap w:val="0"/>
            <w:vAlign w:val="center"/>
          </w:tcPr>
          <w:p w14:paraId="0C049328">
            <w:pPr>
              <w:spacing w:line="276" w:lineRule="auto"/>
              <w:jc w:val="center"/>
              <w:rPr>
                <w:rFonts w:hint="eastAsia" w:ascii="宋体" w:eastAsia="宋体" w:cs="宋体"/>
                <w:b/>
                <w:color w:val="auto"/>
                <w:szCs w:val="21"/>
                <w:lang w:eastAsia="zh-CN"/>
              </w:rPr>
            </w:pPr>
            <w:r>
              <w:rPr>
                <w:rFonts w:hint="eastAsia" w:ascii="宋体" w:cs="宋体"/>
                <w:color w:val="auto"/>
                <w:szCs w:val="21"/>
                <w:lang w:val="en-US" w:eastAsia="zh-CN"/>
              </w:rPr>
              <w:t>4</w:t>
            </w:r>
          </w:p>
        </w:tc>
        <w:tc>
          <w:tcPr>
            <w:tcW w:w="6793" w:type="dxa"/>
            <w:noWrap w:val="0"/>
            <w:vAlign w:val="center"/>
          </w:tcPr>
          <w:p w14:paraId="1E624CE6">
            <w:pPr>
              <w:spacing w:line="276" w:lineRule="auto"/>
              <w:jc w:val="left"/>
              <w:rPr>
                <w:rFonts w:hint="eastAsia" w:ascii="宋体" w:cs="宋体"/>
                <w:color w:val="auto"/>
                <w:szCs w:val="21"/>
              </w:rPr>
            </w:pPr>
            <w:r>
              <w:rPr>
                <w:rFonts w:hint="eastAsia" w:ascii="宋体" w:cs="宋体"/>
                <w:color w:val="auto"/>
                <w:szCs w:val="21"/>
              </w:rPr>
              <w:t>法定代表人授权委托书（加盖公章）</w:t>
            </w:r>
          </w:p>
        </w:tc>
        <w:tc>
          <w:tcPr>
            <w:tcW w:w="1476" w:type="dxa"/>
            <w:noWrap w:val="0"/>
            <w:vAlign w:val="center"/>
          </w:tcPr>
          <w:p w14:paraId="620B3939">
            <w:pPr>
              <w:spacing w:line="276" w:lineRule="auto"/>
              <w:jc w:val="center"/>
              <w:rPr>
                <w:rFonts w:hint="eastAsia" w:ascii="宋体" w:cs="宋体"/>
                <w:color w:val="auto"/>
                <w:szCs w:val="21"/>
              </w:rPr>
            </w:pPr>
            <w:r>
              <w:rPr>
                <w:rFonts w:hint="eastAsia" w:ascii="宋体" w:cs="宋体"/>
                <w:color w:val="auto"/>
                <w:szCs w:val="21"/>
              </w:rPr>
              <w:t>有</w:t>
            </w:r>
          </w:p>
        </w:tc>
      </w:tr>
      <w:tr w14:paraId="35BBD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02" w:type="dxa"/>
            <w:noWrap w:val="0"/>
            <w:vAlign w:val="center"/>
          </w:tcPr>
          <w:p w14:paraId="113D7B75">
            <w:pPr>
              <w:spacing w:line="276" w:lineRule="auto"/>
              <w:jc w:val="center"/>
              <w:rPr>
                <w:rFonts w:hint="eastAsia" w:ascii="宋体" w:eastAsia="宋体" w:cs="宋体"/>
                <w:color w:val="auto"/>
                <w:szCs w:val="21"/>
                <w:lang w:eastAsia="zh-CN"/>
              </w:rPr>
            </w:pPr>
            <w:r>
              <w:rPr>
                <w:rFonts w:hint="eastAsia" w:ascii="宋体" w:cs="宋体"/>
                <w:color w:val="auto"/>
                <w:szCs w:val="21"/>
                <w:lang w:val="en-US" w:eastAsia="zh-CN"/>
              </w:rPr>
              <w:t>5</w:t>
            </w:r>
          </w:p>
        </w:tc>
        <w:tc>
          <w:tcPr>
            <w:tcW w:w="6793" w:type="dxa"/>
            <w:noWrap w:val="0"/>
            <w:vAlign w:val="center"/>
          </w:tcPr>
          <w:p w14:paraId="76F9E834">
            <w:pPr>
              <w:spacing w:line="276" w:lineRule="auto"/>
              <w:jc w:val="left"/>
              <w:rPr>
                <w:rFonts w:hint="eastAsia" w:ascii="宋体" w:cs="宋体"/>
                <w:color w:val="auto"/>
                <w:szCs w:val="21"/>
              </w:rPr>
            </w:pPr>
            <w:r>
              <w:rPr>
                <w:rFonts w:hint="eastAsia" w:ascii="宋体" w:cs="宋体"/>
                <w:color w:val="auto"/>
                <w:szCs w:val="21"/>
              </w:rPr>
              <w:t>分支机构（分公司）投标提供总公司授权委托书并加盖总公司公章  格式自拟  （如是）</w:t>
            </w:r>
          </w:p>
        </w:tc>
        <w:tc>
          <w:tcPr>
            <w:tcW w:w="1476" w:type="dxa"/>
            <w:noWrap w:val="0"/>
            <w:vAlign w:val="center"/>
          </w:tcPr>
          <w:p w14:paraId="3D13A039">
            <w:pPr>
              <w:spacing w:line="276" w:lineRule="auto"/>
              <w:jc w:val="center"/>
              <w:rPr>
                <w:rFonts w:hint="eastAsia" w:ascii="宋体" w:cs="宋体"/>
                <w:color w:val="auto"/>
                <w:szCs w:val="21"/>
              </w:rPr>
            </w:pPr>
            <w:r>
              <w:rPr>
                <w:rFonts w:hint="eastAsia" w:ascii="宋体" w:cs="宋体"/>
                <w:color w:val="auto"/>
                <w:szCs w:val="21"/>
              </w:rPr>
              <w:t>无</w:t>
            </w:r>
          </w:p>
        </w:tc>
      </w:tr>
      <w:tr w14:paraId="70EA1D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02" w:type="dxa"/>
            <w:vMerge w:val="restart"/>
            <w:noWrap w:val="0"/>
            <w:vAlign w:val="center"/>
          </w:tcPr>
          <w:p w14:paraId="46201FFA">
            <w:pPr>
              <w:spacing w:line="276" w:lineRule="auto"/>
              <w:jc w:val="center"/>
              <w:rPr>
                <w:rFonts w:hint="eastAsia" w:ascii="宋体" w:cs="宋体"/>
                <w:b/>
                <w:color w:val="auto"/>
                <w:szCs w:val="21"/>
              </w:rPr>
            </w:pPr>
            <w:r>
              <w:rPr>
                <w:rFonts w:hint="eastAsia" w:ascii="宋体" w:cs="宋体"/>
                <w:b/>
                <w:color w:val="auto"/>
                <w:szCs w:val="21"/>
                <w:lang w:val="en-US" w:eastAsia="zh-CN"/>
              </w:rPr>
              <w:t>6</w:t>
            </w:r>
          </w:p>
        </w:tc>
        <w:tc>
          <w:tcPr>
            <w:tcW w:w="6793" w:type="dxa"/>
            <w:tcBorders>
              <w:bottom w:val="single" w:color="auto" w:sz="4" w:space="0"/>
            </w:tcBorders>
            <w:noWrap w:val="0"/>
            <w:vAlign w:val="center"/>
          </w:tcPr>
          <w:p w14:paraId="2FEF9E65">
            <w:pPr>
              <w:spacing w:line="380" w:lineRule="exact"/>
              <w:jc w:val="left"/>
              <w:rPr>
                <w:rFonts w:hint="eastAsia" w:ascii="宋体"/>
                <w:b/>
                <w:color w:val="auto"/>
                <w:szCs w:val="21"/>
              </w:rPr>
            </w:pPr>
            <w:r>
              <w:rPr>
                <w:rFonts w:hint="eastAsia" w:ascii="宋体"/>
                <w:b/>
                <w:color w:val="auto"/>
                <w:szCs w:val="21"/>
              </w:rPr>
              <w:t>中小企业声明函 (如是)                     （附件</w:t>
            </w:r>
            <w:r>
              <w:rPr>
                <w:rFonts w:hint="eastAsia" w:ascii="宋体"/>
                <w:b/>
                <w:color w:val="auto"/>
                <w:szCs w:val="21"/>
                <w:lang w:val="en-US" w:eastAsia="zh-CN"/>
              </w:rPr>
              <w:t>1.5.1</w:t>
            </w:r>
            <w:r>
              <w:rPr>
                <w:rFonts w:hint="eastAsia" w:ascii="宋体"/>
                <w:b/>
                <w:color w:val="auto"/>
                <w:szCs w:val="21"/>
              </w:rPr>
              <w:t>）</w:t>
            </w:r>
          </w:p>
        </w:tc>
        <w:tc>
          <w:tcPr>
            <w:tcW w:w="1476" w:type="dxa"/>
            <w:tcBorders>
              <w:bottom w:val="single" w:color="auto" w:sz="4" w:space="0"/>
            </w:tcBorders>
            <w:noWrap w:val="0"/>
            <w:vAlign w:val="center"/>
          </w:tcPr>
          <w:p w14:paraId="2BDF5E44">
            <w:pPr>
              <w:spacing w:line="276" w:lineRule="auto"/>
              <w:jc w:val="center"/>
              <w:rPr>
                <w:rFonts w:hint="eastAsia" w:ascii="宋体" w:cs="宋体"/>
                <w:color w:val="auto"/>
                <w:szCs w:val="21"/>
              </w:rPr>
            </w:pPr>
            <w:r>
              <w:rPr>
                <w:rFonts w:hint="eastAsia" w:ascii="宋体" w:cs="宋体"/>
                <w:color w:val="auto"/>
                <w:szCs w:val="21"/>
              </w:rPr>
              <w:t>有</w:t>
            </w:r>
          </w:p>
        </w:tc>
      </w:tr>
      <w:tr w14:paraId="3EDC8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02" w:type="dxa"/>
            <w:vMerge w:val="continue"/>
            <w:noWrap w:val="0"/>
            <w:vAlign w:val="center"/>
          </w:tcPr>
          <w:p w14:paraId="4FC9A900">
            <w:pPr>
              <w:rPr>
                <w:color w:val="auto"/>
              </w:rPr>
            </w:pPr>
          </w:p>
        </w:tc>
        <w:tc>
          <w:tcPr>
            <w:tcW w:w="6793" w:type="dxa"/>
            <w:tcBorders>
              <w:top w:val="single" w:color="auto" w:sz="4" w:space="0"/>
              <w:bottom w:val="single" w:color="auto" w:sz="4" w:space="0"/>
            </w:tcBorders>
            <w:noWrap w:val="0"/>
            <w:vAlign w:val="center"/>
          </w:tcPr>
          <w:p w14:paraId="54DE8F04">
            <w:pPr>
              <w:spacing w:line="380" w:lineRule="exact"/>
              <w:jc w:val="left"/>
              <w:rPr>
                <w:rFonts w:hint="eastAsia" w:ascii="宋体"/>
                <w:b/>
                <w:color w:val="auto"/>
                <w:szCs w:val="21"/>
              </w:rPr>
            </w:pPr>
            <w:r>
              <w:rPr>
                <w:rFonts w:hint="eastAsia" w:ascii="宋体"/>
                <w:b/>
                <w:color w:val="auto"/>
                <w:szCs w:val="21"/>
              </w:rPr>
              <w:t>监狱企业</w:t>
            </w:r>
            <w:r>
              <w:rPr>
                <w:rFonts w:hint="eastAsia" w:ascii="宋体"/>
                <w:b/>
                <w:color w:val="auto"/>
                <w:szCs w:val="21"/>
                <w:lang w:eastAsia="zh-CN"/>
              </w:rPr>
              <w:t>声明函</w:t>
            </w:r>
            <w:r>
              <w:rPr>
                <w:rFonts w:hint="eastAsia" w:ascii="宋体"/>
                <w:b/>
                <w:color w:val="auto"/>
                <w:szCs w:val="21"/>
              </w:rPr>
              <w:t>（如是）</w:t>
            </w:r>
            <w:r>
              <w:rPr>
                <w:rFonts w:hint="eastAsia" w:ascii="宋体"/>
                <w:b/>
                <w:color w:val="auto"/>
                <w:szCs w:val="21"/>
                <w:lang w:val="en-US" w:eastAsia="zh-CN"/>
              </w:rPr>
              <w:t xml:space="preserve">                    </w:t>
            </w:r>
            <w:r>
              <w:rPr>
                <w:rFonts w:hint="eastAsia" w:ascii="宋体"/>
                <w:b/>
                <w:color w:val="auto"/>
                <w:szCs w:val="21"/>
              </w:rPr>
              <w:t>（附件</w:t>
            </w:r>
            <w:r>
              <w:rPr>
                <w:rFonts w:hint="eastAsia" w:ascii="宋体"/>
                <w:b/>
                <w:color w:val="auto"/>
                <w:szCs w:val="21"/>
                <w:lang w:val="en-US" w:eastAsia="zh-CN"/>
              </w:rPr>
              <w:t>1.5.2</w:t>
            </w:r>
            <w:r>
              <w:rPr>
                <w:rFonts w:hint="eastAsia" w:ascii="宋体"/>
                <w:b/>
                <w:color w:val="auto"/>
                <w:szCs w:val="21"/>
              </w:rPr>
              <w:t>）</w:t>
            </w:r>
          </w:p>
        </w:tc>
        <w:tc>
          <w:tcPr>
            <w:tcW w:w="1476" w:type="dxa"/>
            <w:tcBorders>
              <w:top w:val="single" w:color="auto" w:sz="4" w:space="0"/>
              <w:bottom w:val="single" w:color="auto" w:sz="4" w:space="0"/>
            </w:tcBorders>
            <w:noWrap w:val="0"/>
            <w:vAlign w:val="center"/>
          </w:tcPr>
          <w:p w14:paraId="16BB7222">
            <w:pPr>
              <w:spacing w:line="276" w:lineRule="auto"/>
              <w:jc w:val="center"/>
              <w:rPr>
                <w:rFonts w:hint="eastAsia" w:ascii="宋体" w:cs="宋体"/>
                <w:color w:val="auto"/>
                <w:szCs w:val="21"/>
              </w:rPr>
            </w:pPr>
            <w:r>
              <w:rPr>
                <w:rFonts w:hint="eastAsia" w:ascii="宋体" w:cs="宋体"/>
                <w:color w:val="auto"/>
                <w:szCs w:val="21"/>
              </w:rPr>
              <w:t>有</w:t>
            </w:r>
          </w:p>
        </w:tc>
      </w:tr>
      <w:tr w14:paraId="4A432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393670ED">
            <w:pPr>
              <w:rPr>
                <w:color w:val="auto"/>
              </w:rPr>
            </w:pPr>
          </w:p>
        </w:tc>
        <w:tc>
          <w:tcPr>
            <w:tcW w:w="6793" w:type="dxa"/>
            <w:tcBorders>
              <w:top w:val="single" w:color="auto" w:sz="4" w:space="0"/>
            </w:tcBorders>
            <w:noWrap w:val="0"/>
            <w:vAlign w:val="center"/>
          </w:tcPr>
          <w:p w14:paraId="22F18CC7">
            <w:pPr>
              <w:spacing w:line="380" w:lineRule="exact"/>
              <w:jc w:val="left"/>
              <w:rPr>
                <w:rFonts w:hint="eastAsia" w:ascii="宋体"/>
                <w:b/>
                <w:color w:val="auto"/>
                <w:szCs w:val="21"/>
              </w:rPr>
            </w:pPr>
            <w:r>
              <w:rPr>
                <w:rFonts w:hint="eastAsia" w:ascii="宋体"/>
                <w:b/>
                <w:color w:val="auto"/>
                <w:szCs w:val="21"/>
              </w:rPr>
              <w:t>残疾人福利性单位声明函（如是）            （附件</w:t>
            </w:r>
            <w:r>
              <w:rPr>
                <w:rFonts w:hint="eastAsia" w:ascii="宋体"/>
                <w:b/>
                <w:color w:val="auto"/>
                <w:szCs w:val="21"/>
                <w:lang w:val="en-US" w:eastAsia="zh-CN"/>
              </w:rPr>
              <w:t>1.5.3</w:t>
            </w:r>
            <w:r>
              <w:rPr>
                <w:rFonts w:hint="eastAsia" w:ascii="宋体"/>
                <w:b/>
                <w:color w:val="auto"/>
                <w:szCs w:val="21"/>
              </w:rPr>
              <w:t>）</w:t>
            </w:r>
          </w:p>
        </w:tc>
        <w:tc>
          <w:tcPr>
            <w:tcW w:w="1476" w:type="dxa"/>
            <w:tcBorders>
              <w:top w:val="single" w:color="auto" w:sz="4" w:space="0"/>
            </w:tcBorders>
            <w:noWrap w:val="0"/>
            <w:vAlign w:val="center"/>
          </w:tcPr>
          <w:p w14:paraId="4D33E896">
            <w:pPr>
              <w:spacing w:line="276" w:lineRule="auto"/>
              <w:jc w:val="center"/>
              <w:rPr>
                <w:rFonts w:hint="eastAsia" w:ascii="宋体" w:eastAsia="宋体" w:cs="宋体"/>
                <w:color w:val="auto"/>
                <w:szCs w:val="21"/>
                <w:lang w:eastAsia="zh-CN"/>
              </w:rPr>
            </w:pPr>
            <w:r>
              <w:rPr>
                <w:rFonts w:hint="eastAsia" w:ascii="宋体" w:cs="宋体"/>
                <w:color w:val="auto"/>
                <w:szCs w:val="21"/>
                <w:lang w:eastAsia="zh-CN"/>
              </w:rPr>
              <w:t>有</w:t>
            </w:r>
          </w:p>
        </w:tc>
      </w:tr>
      <w:tr w14:paraId="627A7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802" w:type="dxa"/>
            <w:noWrap w:val="0"/>
            <w:vAlign w:val="center"/>
          </w:tcPr>
          <w:p w14:paraId="33F71CBE">
            <w:pPr>
              <w:spacing w:line="276" w:lineRule="auto"/>
              <w:jc w:val="center"/>
              <w:rPr>
                <w:rFonts w:hint="eastAsia" w:ascii="宋体" w:hAnsi="Times New Roman" w:eastAsia="宋体" w:cs="宋体"/>
                <w:b/>
                <w:color w:val="auto"/>
                <w:kern w:val="2"/>
                <w:sz w:val="21"/>
                <w:szCs w:val="21"/>
                <w:lang w:val="en-US" w:eastAsia="zh-CN" w:bidi="ar-SA"/>
              </w:rPr>
            </w:pPr>
            <w:r>
              <w:rPr>
                <w:rFonts w:hint="eastAsia" w:ascii="宋体" w:cs="宋体"/>
                <w:b/>
                <w:color w:val="auto"/>
                <w:szCs w:val="21"/>
                <w:lang w:val="en-US" w:eastAsia="zh-CN"/>
              </w:rPr>
              <w:t>7</w:t>
            </w:r>
          </w:p>
        </w:tc>
        <w:tc>
          <w:tcPr>
            <w:tcW w:w="6793" w:type="dxa"/>
            <w:tcBorders>
              <w:top w:val="single" w:color="auto" w:sz="4" w:space="0"/>
            </w:tcBorders>
            <w:noWrap w:val="0"/>
            <w:vAlign w:val="center"/>
          </w:tcPr>
          <w:p w14:paraId="21B9E1B5">
            <w:pPr>
              <w:widowControl/>
              <w:tabs>
                <w:tab w:val="left" w:pos="824"/>
              </w:tabs>
              <w:spacing w:line="380" w:lineRule="exact"/>
              <w:jc w:val="left"/>
              <w:rPr>
                <w:rFonts w:hint="eastAsia" w:ascii="宋体" w:hAnsi="Times New Roman" w:eastAsia="宋体" w:cs="宋体"/>
                <w:b/>
                <w:color w:val="auto"/>
                <w:kern w:val="2"/>
                <w:sz w:val="21"/>
                <w:szCs w:val="21"/>
                <w:lang w:val="en-US" w:eastAsia="zh-CN" w:bidi="ar-SA"/>
              </w:rPr>
            </w:pPr>
            <w:r>
              <w:rPr>
                <w:rFonts w:hint="eastAsia" w:ascii="宋体" w:cs="宋体"/>
                <w:b/>
                <w:color w:val="auto"/>
                <w:szCs w:val="21"/>
              </w:rPr>
              <w:t>政府采购活动现场确认声明书</w:t>
            </w:r>
            <w:r>
              <w:rPr>
                <w:rFonts w:hint="eastAsia" w:ascii="宋体" w:cs="宋体"/>
                <w:b/>
                <w:color w:val="auto"/>
                <w:sz w:val="22"/>
                <w:szCs w:val="22"/>
              </w:rPr>
              <w:t>（</w:t>
            </w:r>
            <w:r>
              <w:rPr>
                <w:rFonts w:hint="eastAsia" w:ascii="宋体" w:cs="宋体"/>
                <w:b/>
                <w:bCs/>
                <w:color w:val="auto"/>
                <w:szCs w:val="21"/>
              </w:rPr>
              <w:t>附件1），本表格不用在投标文件中提供，投标文件解密完成后将政府采购活动现场确认声明书签字扫描发送至代理机构邮箱，未按时</w:t>
            </w:r>
            <w:r>
              <w:rPr>
                <w:rFonts w:hint="eastAsia" w:ascii="宋体" w:cs="宋体"/>
                <w:b/>
                <w:bCs/>
                <w:color w:val="auto"/>
                <w:szCs w:val="21"/>
                <w:lang w:eastAsia="zh-CN"/>
              </w:rPr>
              <w:t>发送</w:t>
            </w:r>
            <w:r>
              <w:rPr>
                <w:rFonts w:hint="eastAsia" w:ascii="宋体" w:cs="宋体"/>
                <w:b/>
                <w:bCs/>
                <w:color w:val="auto"/>
                <w:szCs w:val="21"/>
              </w:rPr>
              <w:t>视作默认。</w:t>
            </w:r>
          </w:p>
        </w:tc>
        <w:tc>
          <w:tcPr>
            <w:tcW w:w="1476" w:type="dxa"/>
            <w:tcBorders>
              <w:top w:val="single" w:color="auto" w:sz="4" w:space="0"/>
            </w:tcBorders>
            <w:noWrap w:val="0"/>
            <w:vAlign w:val="center"/>
          </w:tcPr>
          <w:p w14:paraId="02652AE4">
            <w:pPr>
              <w:spacing w:line="276" w:lineRule="auto"/>
              <w:jc w:val="center"/>
              <w:rPr>
                <w:rFonts w:hint="eastAsia" w:ascii="宋体" w:hAnsi="Times New Roman" w:eastAsia="宋体" w:cs="宋体"/>
                <w:color w:val="auto"/>
                <w:kern w:val="2"/>
                <w:sz w:val="21"/>
                <w:szCs w:val="21"/>
                <w:lang w:val="en-US" w:eastAsia="zh-CN" w:bidi="ar-SA"/>
              </w:rPr>
            </w:pPr>
            <w:r>
              <w:rPr>
                <w:rFonts w:hint="eastAsia" w:ascii="宋体" w:cs="宋体"/>
                <w:color w:val="auto"/>
                <w:szCs w:val="21"/>
              </w:rPr>
              <w:t>有</w:t>
            </w:r>
          </w:p>
        </w:tc>
      </w:tr>
      <w:tr w14:paraId="10332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9071" w:type="dxa"/>
            <w:gridSpan w:val="3"/>
            <w:tcBorders>
              <w:bottom w:val="single" w:color="auto" w:sz="6" w:space="0"/>
            </w:tcBorders>
            <w:shd w:val="clear" w:color="auto" w:fill="E5DFEC"/>
            <w:noWrap w:val="0"/>
            <w:vAlign w:val="center"/>
          </w:tcPr>
          <w:p w14:paraId="46DB2A6C">
            <w:pPr>
              <w:spacing w:line="276" w:lineRule="auto"/>
              <w:jc w:val="left"/>
              <w:rPr>
                <w:rFonts w:hint="eastAsia" w:ascii="宋体" w:cs="宋体"/>
                <w:color w:val="auto"/>
                <w:szCs w:val="21"/>
              </w:rPr>
            </w:pPr>
            <w:r>
              <w:rPr>
                <w:rFonts w:hint="eastAsia" w:ascii="宋体" w:cs="宋体"/>
                <w:color w:val="auto"/>
                <w:szCs w:val="21"/>
              </w:rPr>
              <w:t>▲</w:t>
            </w:r>
            <w:r>
              <w:rPr>
                <w:rFonts w:hint="eastAsia" w:ascii="宋体" w:cs="宋体"/>
                <w:b/>
                <w:color w:val="auto"/>
                <w:szCs w:val="21"/>
              </w:rPr>
              <w:t>备注：上述资格证明文件未提供或提供的资格证明材料不齐全的，资格审查作不通过处理，不得进入评审程序。</w:t>
            </w:r>
          </w:p>
        </w:tc>
      </w:tr>
      <w:tr w14:paraId="135F5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71" w:type="dxa"/>
            <w:gridSpan w:val="3"/>
            <w:tcBorders>
              <w:top w:val="single" w:color="auto" w:sz="6" w:space="0"/>
              <w:bottom w:val="single" w:color="auto" w:sz="6" w:space="0"/>
            </w:tcBorders>
            <w:shd w:val="clear" w:color="auto" w:fill="FDE9D9"/>
            <w:noWrap w:val="0"/>
            <w:vAlign w:val="center"/>
          </w:tcPr>
          <w:p w14:paraId="02D59AF0">
            <w:pPr>
              <w:spacing w:line="276" w:lineRule="auto"/>
              <w:jc w:val="left"/>
              <w:rPr>
                <w:rFonts w:hint="eastAsia" w:ascii="宋体" w:cs="宋体"/>
                <w:b/>
                <w:color w:val="auto"/>
                <w:szCs w:val="21"/>
              </w:rPr>
            </w:pPr>
            <w:r>
              <w:rPr>
                <w:rFonts w:hint="eastAsia" w:ascii="宋体" w:cs="宋体"/>
                <w:b/>
                <w:color w:val="auto"/>
                <w:szCs w:val="21"/>
              </w:rPr>
              <w:t>二、《商务技术文件》组成内容</w:t>
            </w:r>
          </w:p>
        </w:tc>
      </w:tr>
      <w:tr w14:paraId="6B2D3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tcBorders>
            <w:noWrap w:val="0"/>
            <w:vAlign w:val="center"/>
          </w:tcPr>
          <w:p w14:paraId="0705B49A">
            <w:pPr>
              <w:spacing w:line="276" w:lineRule="auto"/>
              <w:jc w:val="center"/>
              <w:rPr>
                <w:rFonts w:hint="eastAsia" w:ascii="宋体" w:cs="宋体"/>
                <w:b/>
                <w:color w:val="auto"/>
                <w:szCs w:val="21"/>
              </w:rPr>
            </w:pPr>
            <w:r>
              <w:rPr>
                <w:rFonts w:hint="eastAsia" w:ascii="宋体" w:cs="宋体"/>
                <w:b/>
                <w:color w:val="auto"/>
                <w:szCs w:val="21"/>
              </w:rPr>
              <w:t>1</w:t>
            </w:r>
          </w:p>
        </w:tc>
        <w:tc>
          <w:tcPr>
            <w:tcW w:w="6793" w:type="dxa"/>
            <w:tcBorders>
              <w:top w:val="single" w:color="auto" w:sz="6" w:space="0"/>
            </w:tcBorders>
            <w:noWrap w:val="0"/>
            <w:vAlign w:val="center"/>
          </w:tcPr>
          <w:p w14:paraId="75E24E64">
            <w:pPr>
              <w:spacing w:line="276" w:lineRule="auto"/>
              <w:jc w:val="left"/>
              <w:rPr>
                <w:rFonts w:hint="eastAsia" w:ascii="宋体" w:cs="宋体"/>
                <w:b/>
                <w:color w:val="auto"/>
                <w:szCs w:val="21"/>
              </w:rPr>
            </w:pPr>
            <w:r>
              <w:rPr>
                <w:rFonts w:hint="eastAsia" w:ascii="宋体" w:cs="宋体"/>
                <w:b/>
                <w:color w:val="auto"/>
                <w:szCs w:val="21"/>
              </w:rPr>
              <w:t>《商务技术文件》封面</w:t>
            </w:r>
          </w:p>
        </w:tc>
        <w:tc>
          <w:tcPr>
            <w:tcW w:w="1476" w:type="dxa"/>
            <w:tcBorders>
              <w:top w:val="single" w:color="auto" w:sz="6" w:space="0"/>
            </w:tcBorders>
            <w:noWrap w:val="0"/>
            <w:vAlign w:val="center"/>
          </w:tcPr>
          <w:p w14:paraId="19CD8764">
            <w:pPr>
              <w:spacing w:line="276" w:lineRule="auto"/>
              <w:jc w:val="center"/>
              <w:rPr>
                <w:rFonts w:hint="eastAsia" w:ascii="宋体" w:cs="宋体"/>
                <w:color w:val="auto"/>
                <w:szCs w:val="21"/>
              </w:rPr>
            </w:pPr>
            <w:r>
              <w:rPr>
                <w:rFonts w:hint="eastAsia" w:ascii="宋体" w:cs="宋体"/>
                <w:color w:val="auto"/>
                <w:szCs w:val="21"/>
              </w:rPr>
              <w:t>有</w:t>
            </w:r>
          </w:p>
        </w:tc>
      </w:tr>
      <w:tr w14:paraId="554E0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noWrap w:val="0"/>
            <w:vAlign w:val="center"/>
          </w:tcPr>
          <w:p w14:paraId="0B098A9E">
            <w:pPr>
              <w:spacing w:line="276" w:lineRule="auto"/>
              <w:jc w:val="center"/>
              <w:rPr>
                <w:rFonts w:hint="eastAsia" w:ascii="宋体" w:cs="宋体"/>
                <w:b/>
                <w:color w:val="auto"/>
                <w:szCs w:val="21"/>
              </w:rPr>
            </w:pPr>
            <w:r>
              <w:rPr>
                <w:rFonts w:hint="eastAsia" w:ascii="宋体" w:cs="宋体"/>
                <w:b/>
                <w:color w:val="auto"/>
                <w:szCs w:val="21"/>
              </w:rPr>
              <w:t>2</w:t>
            </w:r>
          </w:p>
        </w:tc>
        <w:tc>
          <w:tcPr>
            <w:tcW w:w="6793" w:type="dxa"/>
            <w:noWrap w:val="0"/>
            <w:vAlign w:val="center"/>
          </w:tcPr>
          <w:p w14:paraId="56498E7C">
            <w:pPr>
              <w:spacing w:line="276" w:lineRule="auto"/>
              <w:jc w:val="left"/>
              <w:rPr>
                <w:rFonts w:hint="eastAsia" w:ascii="宋体" w:cs="宋体"/>
                <w:b/>
                <w:color w:val="auto"/>
                <w:szCs w:val="21"/>
              </w:rPr>
            </w:pPr>
            <w:r>
              <w:rPr>
                <w:rFonts w:hint="eastAsia" w:ascii="宋体" w:cs="宋体"/>
                <w:b/>
                <w:color w:val="auto"/>
                <w:szCs w:val="21"/>
              </w:rPr>
              <w:t>《商务技术文件》目录（自拟）</w:t>
            </w:r>
          </w:p>
        </w:tc>
        <w:tc>
          <w:tcPr>
            <w:tcW w:w="1476" w:type="dxa"/>
            <w:noWrap w:val="0"/>
            <w:vAlign w:val="center"/>
          </w:tcPr>
          <w:p w14:paraId="27B7C406">
            <w:pPr>
              <w:spacing w:line="276" w:lineRule="auto"/>
              <w:jc w:val="center"/>
              <w:rPr>
                <w:rFonts w:hint="eastAsia" w:ascii="宋体" w:eastAsia="宋体" w:cs="宋体"/>
                <w:color w:val="auto"/>
                <w:szCs w:val="21"/>
                <w:lang w:eastAsia="zh-CN"/>
              </w:rPr>
            </w:pPr>
            <w:r>
              <w:rPr>
                <w:rFonts w:hint="eastAsia" w:ascii="宋体" w:cs="宋体"/>
                <w:color w:val="auto"/>
                <w:szCs w:val="21"/>
                <w:lang w:eastAsia="zh-CN"/>
              </w:rPr>
              <w:t>无</w:t>
            </w:r>
          </w:p>
        </w:tc>
      </w:tr>
      <w:tr w14:paraId="548FE6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noWrap w:val="0"/>
            <w:vAlign w:val="center"/>
          </w:tcPr>
          <w:p w14:paraId="4708F731">
            <w:pPr>
              <w:spacing w:line="276" w:lineRule="auto"/>
              <w:jc w:val="center"/>
              <w:rPr>
                <w:rFonts w:hint="eastAsia" w:ascii="宋体" w:cs="宋体"/>
                <w:b/>
                <w:color w:val="auto"/>
                <w:szCs w:val="21"/>
              </w:rPr>
            </w:pPr>
            <w:r>
              <w:rPr>
                <w:rFonts w:hint="eastAsia" w:ascii="宋体" w:cs="宋体"/>
                <w:b/>
                <w:color w:val="auto"/>
                <w:szCs w:val="21"/>
              </w:rPr>
              <w:t>3</w:t>
            </w:r>
          </w:p>
        </w:tc>
        <w:tc>
          <w:tcPr>
            <w:tcW w:w="6793" w:type="dxa"/>
            <w:noWrap w:val="0"/>
            <w:vAlign w:val="center"/>
          </w:tcPr>
          <w:p w14:paraId="03A67572">
            <w:pPr>
              <w:spacing w:line="276" w:lineRule="auto"/>
              <w:jc w:val="left"/>
              <w:rPr>
                <w:rFonts w:hint="eastAsia" w:ascii="宋体" w:cs="宋体"/>
                <w:b/>
                <w:color w:val="auto"/>
                <w:szCs w:val="21"/>
              </w:rPr>
            </w:pPr>
            <w:r>
              <w:rPr>
                <w:rFonts w:hint="eastAsia" w:ascii="宋体" w:cs="宋体"/>
                <w:b/>
                <w:color w:val="auto"/>
                <w:szCs w:val="21"/>
              </w:rPr>
              <w:t>供应商自评分指引表(格式见附件也可自拟）</w:t>
            </w:r>
          </w:p>
        </w:tc>
        <w:tc>
          <w:tcPr>
            <w:tcW w:w="1476" w:type="dxa"/>
            <w:noWrap w:val="0"/>
            <w:vAlign w:val="center"/>
          </w:tcPr>
          <w:p w14:paraId="0E7EB933">
            <w:pPr>
              <w:spacing w:line="276" w:lineRule="auto"/>
              <w:jc w:val="center"/>
              <w:rPr>
                <w:rFonts w:hint="eastAsia" w:ascii="宋体" w:eastAsia="宋体" w:cs="宋体"/>
                <w:color w:val="auto"/>
                <w:szCs w:val="21"/>
                <w:lang w:eastAsia="zh-CN"/>
              </w:rPr>
            </w:pPr>
            <w:r>
              <w:rPr>
                <w:rFonts w:hint="eastAsia" w:ascii="宋体" w:cs="宋体"/>
                <w:color w:val="auto"/>
                <w:szCs w:val="21"/>
                <w:lang w:val="en-US" w:eastAsia="zh-CN"/>
              </w:rPr>
              <w:t>有</w:t>
            </w:r>
          </w:p>
        </w:tc>
      </w:tr>
      <w:tr w14:paraId="168553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noWrap w:val="0"/>
            <w:vAlign w:val="center"/>
          </w:tcPr>
          <w:p w14:paraId="4D12506A">
            <w:pPr>
              <w:spacing w:line="276" w:lineRule="auto"/>
              <w:jc w:val="center"/>
              <w:rPr>
                <w:rFonts w:hint="eastAsia" w:ascii="宋体" w:cs="宋体"/>
                <w:b/>
                <w:color w:val="auto"/>
                <w:szCs w:val="21"/>
              </w:rPr>
            </w:pPr>
            <w:r>
              <w:rPr>
                <w:rFonts w:hint="eastAsia" w:ascii="宋体" w:cs="宋体"/>
                <w:b/>
                <w:color w:val="auto"/>
                <w:szCs w:val="21"/>
              </w:rPr>
              <w:t>4</w:t>
            </w:r>
          </w:p>
        </w:tc>
        <w:tc>
          <w:tcPr>
            <w:tcW w:w="6793" w:type="dxa"/>
            <w:noWrap w:val="0"/>
            <w:vAlign w:val="center"/>
          </w:tcPr>
          <w:p w14:paraId="6689099B">
            <w:pPr>
              <w:spacing w:line="276" w:lineRule="auto"/>
              <w:jc w:val="left"/>
              <w:rPr>
                <w:rFonts w:hint="eastAsia" w:ascii="宋体" w:cs="宋体"/>
                <w:b/>
                <w:color w:val="auto"/>
                <w:szCs w:val="21"/>
              </w:rPr>
            </w:pPr>
            <w:r>
              <w:rPr>
                <w:rFonts w:hint="eastAsia" w:ascii="宋体" w:cs="宋体"/>
                <w:color w:val="auto"/>
                <w:szCs w:val="21"/>
              </w:rPr>
              <w:t>▲</w:t>
            </w:r>
            <w:r>
              <w:rPr>
                <w:rFonts w:hint="eastAsia" w:ascii="宋体" w:cs="宋体"/>
                <w:b/>
                <w:color w:val="auto"/>
                <w:szCs w:val="21"/>
                <w:lang w:eastAsia="zh-CN"/>
              </w:rPr>
              <w:t>投标函</w:t>
            </w:r>
          </w:p>
        </w:tc>
        <w:tc>
          <w:tcPr>
            <w:tcW w:w="1476" w:type="dxa"/>
            <w:noWrap w:val="0"/>
            <w:vAlign w:val="center"/>
          </w:tcPr>
          <w:p w14:paraId="08AF8308">
            <w:pPr>
              <w:spacing w:line="276" w:lineRule="auto"/>
              <w:jc w:val="center"/>
              <w:rPr>
                <w:rFonts w:hint="eastAsia" w:ascii="宋体" w:cs="宋体"/>
                <w:color w:val="auto"/>
                <w:szCs w:val="21"/>
              </w:rPr>
            </w:pPr>
            <w:r>
              <w:rPr>
                <w:rFonts w:hint="eastAsia" w:ascii="宋体" w:cs="宋体"/>
                <w:color w:val="auto"/>
                <w:szCs w:val="21"/>
              </w:rPr>
              <w:t>有</w:t>
            </w:r>
          </w:p>
        </w:tc>
      </w:tr>
      <w:tr w14:paraId="525441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noWrap w:val="0"/>
            <w:vAlign w:val="center"/>
          </w:tcPr>
          <w:p w14:paraId="43E2B59F">
            <w:pPr>
              <w:spacing w:line="276" w:lineRule="auto"/>
              <w:jc w:val="center"/>
              <w:rPr>
                <w:rFonts w:hint="eastAsia" w:ascii="宋体" w:cs="宋体"/>
                <w:b/>
                <w:color w:val="auto"/>
                <w:szCs w:val="21"/>
              </w:rPr>
            </w:pPr>
            <w:r>
              <w:rPr>
                <w:rFonts w:hint="eastAsia" w:ascii="宋体" w:cs="宋体"/>
                <w:b/>
                <w:color w:val="auto"/>
                <w:szCs w:val="21"/>
              </w:rPr>
              <w:t>5</w:t>
            </w:r>
          </w:p>
        </w:tc>
        <w:tc>
          <w:tcPr>
            <w:tcW w:w="6793" w:type="dxa"/>
            <w:noWrap w:val="0"/>
            <w:vAlign w:val="center"/>
          </w:tcPr>
          <w:p w14:paraId="2C76DF6B">
            <w:pPr>
              <w:spacing w:line="276" w:lineRule="auto"/>
              <w:jc w:val="left"/>
              <w:rPr>
                <w:rFonts w:hint="eastAsia" w:ascii="宋体" w:cs="宋体"/>
                <w:b/>
                <w:color w:val="auto"/>
                <w:szCs w:val="21"/>
              </w:rPr>
            </w:pPr>
            <w:r>
              <w:rPr>
                <w:rFonts w:hint="eastAsia" w:ascii="宋体" w:cs="宋体"/>
                <w:b/>
                <w:color w:val="auto"/>
                <w:szCs w:val="21"/>
                <w:lang w:eastAsia="zh-CN"/>
              </w:rPr>
              <w:t>投标</w:t>
            </w:r>
            <w:r>
              <w:rPr>
                <w:rFonts w:hint="eastAsia" w:ascii="宋体" w:cs="宋体"/>
                <w:b/>
                <w:color w:val="auto"/>
                <w:szCs w:val="21"/>
              </w:rPr>
              <w:t>供应商情况声明</w:t>
            </w:r>
          </w:p>
        </w:tc>
        <w:tc>
          <w:tcPr>
            <w:tcW w:w="1476" w:type="dxa"/>
            <w:noWrap w:val="0"/>
            <w:vAlign w:val="center"/>
          </w:tcPr>
          <w:p w14:paraId="0DC10B41">
            <w:pPr>
              <w:spacing w:line="276" w:lineRule="auto"/>
              <w:jc w:val="center"/>
              <w:rPr>
                <w:rFonts w:hint="eastAsia" w:ascii="宋体" w:cs="宋体"/>
                <w:color w:val="auto"/>
                <w:szCs w:val="21"/>
              </w:rPr>
            </w:pPr>
            <w:r>
              <w:rPr>
                <w:rFonts w:hint="eastAsia" w:ascii="宋体" w:cs="宋体"/>
                <w:color w:val="auto"/>
                <w:szCs w:val="21"/>
              </w:rPr>
              <w:t>有</w:t>
            </w:r>
          </w:p>
        </w:tc>
      </w:tr>
      <w:tr w14:paraId="1951F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noWrap w:val="0"/>
            <w:vAlign w:val="center"/>
          </w:tcPr>
          <w:p w14:paraId="16B85D39">
            <w:pPr>
              <w:spacing w:line="276" w:lineRule="auto"/>
              <w:jc w:val="center"/>
              <w:rPr>
                <w:rFonts w:hint="eastAsia" w:ascii="宋体" w:cs="宋体"/>
                <w:b/>
                <w:color w:val="auto"/>
                <w:szCs w:val="21"/>
              </w:rPr>
            </w:pPr>
            <w:r>
              <w:rPr>
                <w:rFonts w:hint="eastAsia" w:ascii="宋体" w:cs="宋体"/>
                <w:b/>
                <w:color w:val="auto"/>
                <w:szCs w:val="21"/>
              </w:rPr>
              <w:t>6</w:t>
            </w:r>
          </w:p>
        </w:tc>
        <w:tc>
          <w:tcPr>
            <w:tcW w:w="6793" w:type="dxa"/>
            <w:tcBorders>
              <w:bottom w:val="single" w:color="auto" w:sz="6" w:space="0"/>
            </w:tcBorders>
            <w:noWrap w:val="0"/>
            <w:vAlign w:val="center"/>
          </w:tcPr>
          <w:p w14:paraId="4AE67D6A">
            <w:pPr>
              <w:spacing w:line="276" w:lineRule="auto"/>
              <w:jc w:val="left"/>
              <w:rPr>
                <w:rFonts w:hint="eastAsia" w:ascii="宋体" w:cs="宋体"/>
                <w:color w:val="auto"/>
                <w:szCs w:val="21"/>
              </w:rPr>
            </w:pPr>
            <w:r>
              <w:rPr>
                <w:rFonts w:hint="eastAsia" w:ascii="宋体" w:cs="宋体"/>
                <w:color w:val="auto"/>
                <w:szCs w:val="21"/>
              </w:rPr>
              <w:t>商务偏离表</w:t>
            </w:r>
            <w:r>
              <w:rPr>
                <w:rFonts w:hint="eastAsia" w:ascii="宋体" w:cs="宋体"/>
                <w:color w:val="auto"/>
                <w:szCs w:val="21"/>
                <w:lang w:eastAsia="zh-CN"/>
              </w:rPr>
              <w:t>和</w:t>
            </w:r>
            <w:r>
              <w:rPr>
                <w:rFonts w:hint="eastAsia" w:ascii="宋体" w:cs="宋体"/>
                <w:color w:val="auto"/>
                <w:szCs w:val="21"/>
              </w:rPr>
              <w:t>技术偏离表</w:t>
            </w:r>
          </w:p>
        </w:tc>
        <w:tc>
          <w:tcPr>
            <w:tcW w:w="1476" w:type="dxa"/>
            <w:tcBorders>
              <w:bottom w:val="single" w:color="auto" w:sz="6" w:space="0"/>
            </w:tcBorders>
            <w:noWrap w:val="0"/>
            <w:vAlign w:val="center"/>
          </w:tcPr>
          <w:p w14:paraId="2ED33AD1">
            <w:pPr>
              <w:spacing w:line="276" w:lineRule="auto"/>
              <w:jc w:val="center"/>
              <w:rPr>
                <w:rFonts w:hint="eastAsia" w:ascii="宋体" w:cs="宋体"/>
                <w:color w:val="auto"/>
                <w:szCs w:val="21"/>
              </w:rPr>
            </w:pPr>
            <w:r>
              <w:rPr>
                <w:rFonts w:hint="eastAsia" w:ascii="宋体" w:cs="宋体"/>
                <w:color w:val="auto"/>
                <w:szCs w:val="21"/>
              </w:rPr>
              <w:t>有</w:t>
            </w:r>
          </w:p>
        </w:tc>
      </w:tr>
      <w:tr w14:paraId="46CC58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noWrap w:val="0"/>
            <w:vAlign w:val="center"/>
          </w:tcPr>
          <w:p w14:paraId="4B219716">
            <w:pPr>
              <w:spacing w:line="276" w:lineRule="auto"/>
              <w:jc w:val="center"/>
              <w:rPr>
                <w:rFonts w:hint="default" w:ascii="宋体" w:cs="宋体"/>
                <w:b/>
                <w:color w:val="auto"/>
                <w:szCs w:val="21"/>
                <w:lang w:val="en-US" w:eastAsia="zh-CN"/>
              </w:rPr>
            </w:pPr>
            <w:r>
              <w:rPr>
                <w:rFonts w:hint="eastAsia" w:ascii="宋体" w:cs="宋体"/>
                <w:b/>
                <w:color w:val="auto"/>
                <w:szCs w:val="21"/>
                <w:lang w:val="en-US" w:eastAsia="zh-CN"/>
              </w:rPr>
              <w:t>7</w:t>
            </w:r>
          </w:p>
        </w:tc>
        <w:tc>
          <w:tcPr>
            <w:tcW w:w="6793" w:type="dxa"/>
            <w:tcBorders>
              <w:bottom w:val="single" w:color="auto" w:sz="6" w:space="0"/>
            </w:tcBorders>
            <w:noWrap w:val="0"/>
            <w:vAlign w:val="center"/>
          </w:tcPr>
          <w:p w14:paraId="0131C499">
            <w:pPr>
              <w:spacing w:line="276" w:lineRule="auto"/>
              <w:jc w:val="left"/>
              <w:rPr>
                <w:rFonts w:hint="eastAsia" w:ascii="宋体" w:cs="宋体"/>
                <w:color w:val="auto"/>
                <w:szCs w:val="21"/>
                <w:lang w:val="en-US" w:eastAsia="zh-CN"/>
              </w:rPr>
            </w:pPr>
            <w:r>
              <w:rPr>
                <w:rFonts w:hint="eastAsia" w:ascii="宋体" w:cs="宋体"/>
                <w:color w:val="auto"/>
                <w:szCs w:val="21"/>
              </w:rPr>
              <w:t>项目实施方案</w:t>
            </w:r>
            <w:r>
              <w:rPr>
                <w:rFonts w:hint="eastAsia" w:ascii="宋体" w:cs="宋体"/>
                <w:b/>
                <w:color w:val="auto"/>
                <w:szCs w:val="21"/>
              </w:rPr>
              <w:t>(自拟）</w:t>
            </w:r>
          </w:p>
        </w:tc>
        <w:tc>
          <w:tcPr>
            <w:tcW w:w="1476" w:type="dxa"/>
            <w:tcBorders>
              <w:bottom w:val="single" w:color="auto" w:sz="6" w:space="0"/>
            </w:tcBorders>
            <w:noWrap w:val="0"/>
            <w:vAlign w:val="center"/>
          </w:tcPr>
          <w:p w14:paraId="3B6D4B5F">
            <w:pPr>
              <w:spacing w:line="276" w:lineRule="auto"/>
              <w:jc w:val="center"/>
              <w:rPr>
                <w:rFonts w:hint="default" w:ascii="宋体" w:cs="宋体"/>
                <w:color w:val="auto"/>
                <w:szCs w:val="21"/>
                <w:lang w:val="en-US" w:eastAsia="zh-CN"/>
              </w:rPr>
            </w:pPr>
            <w:r>
              <w:rPr>
                <w:rFonts w:hint="eastAsia" w:ascii="宋体" w:cs="宋体"/>
                <w:color w:val="auto"/>
                <w:szCs w:val="21"/>
                <w:lang w:val="en-US" w:eastAsia="zh-CN"/>
              </w:rPr>
              <w:t>无</w:t>
            </w:r>
          </w:p>
        </w:tc>
      </w:tr>
      <w:tr w14:paraId="1949D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noWrap w:val="0"/>
            <w:vAlign w:val="center"/>
          </w:tcPr>
          <w:p w14:paraId="4DC78A2D">
            <w:pPr>
              <w:spacing w:line="276" w:lineRule="auto"/>
              <w:jc w:val="center"/>
              <w:rPr>
                <w:rFonts w:hint="default" w:ascii="宋体" w:cs="宋体"/>
                <w:b/>
                <w:color w:val="auto"/>
                <w:szCs w:val="21"/>
                <w:lang w:val="en-US" w:eastAsia="zh-CN"/>
              </w:rPr>
            </w:pPr>
            <w:r>
              <w:rPr>
                <w:rFonts w:hint="eastAsia" w:ascii="宋体" w:cs="宋体"/>
                <w:b/>
                <w:color w:val="auto"/>
                <w:szCs w:val="21"/>
                <w:lang w:val="en-US" w:eastAsia="zh-CN"/>
              </w:rPr>
              <w:t>8</w:t>
            </w:r>
          </w:p>
        </w:tc>
        <w:tc>
          <w:tcPr>
            <w:tcW w:w="6793" w:type="dxa"/>
            <w:tcBorders>
              <w:bottom w:val="single" w:color="auto" w:sz="6" w:space="0"/>
            </w:tcBorders>
            <w:noWrap w:val="0"/>
            <w:vAlign w:val="center"/>
          </w:tcPr>
          <w:p w14:paraId="4CD046D8">
            <w:pPr>
              <w:spacing w:line="276" w:lineRule="auto"/>
              <w:jc w:val="left"/>
              <w:rPr>
                <w:rFonts w:hint="eastAsia" w:ascii="宋体" w:eastAsia="宋体" w:cs="宋体"/>
                <w:color w:val="auto"/>
                <w:szCs w:val="21"/>
                <w:lang w:eastAsia="zh-CN"/>
              </w:rPr>
            </w:pPr>
            <w:r>
              <w:rPr>
                <w:rFonts w:hint="eastAsia" w:ascii="宋体" w:cs="宋体"/>
                <w:color w:val="auto"/>
                <w:szCs w:val="21"/>
              </w:rPr>
              <w:t>项目负责人、项目小组人员情况</w:t>
            </w:r>
            <w:r>
              <w:rPr>
                <w:rFonts w:hint="eastAsia" w:ascii="宋体" w:cs="宋体"/>
                <w:color w:val="auto"/>
                <w:szCs w:val="21"/>
                <w:lang w:eastAsia="zh-CN"/>
              </w:rPr>
              <w:t>表</w:t>
            </w:r>
          </w:p>
        </w:tc>
        <w:tc>
          <w:tcPr>
            <w:tcW w:w="1476" w:type="dxa"/>
            <w:tcBorders>
              <w:bottom w:val="single" w:color="auto" w:sz="6" w:space="0"/>
            </w:tcBorders>
            <w:noWrap w:val="0"/>
            <w:vAlign w:val="center"/>
          </w:tcPr>
          <w:p w14:paraId="55F1028B">
            <w:pPr>
              <w:spacing w:line="276" w:lineRule="auto"/>
              <w:jc w:val="center"/>
              <w:rPr>
                <w:rFonts w:hint="default" w:ascii="宋体" w:cs="宋体"/>
                <w:color w:val="auto"/>
                <w:szCs w:val="21"/>
                <w:lang w:val="en-US" w:eastAsia="zh-CN"/>
              </w:rPr>
            </w:pPr>
            <w:r>
              <w:rPr>
                <w:rFonts w:hint="eastAsia" w:ascii="宋体" w:cs="宋体"/>
                <w:color w:val="auto"/>
                <w:szCs w:val="21"/>
                <w:lang w:val="en-US" w:eastAsia="zh-CN"/>
              </w:rPr>
              <w:t>有</w:t>
            </w:r>
          </w:p>
        </w:tc>
      </w:tr>
      <w:tr w14:paraId="7FB20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noWrap w:val="0"/>
            <w:vAlign w:val="center"/>
          </w:tcPr>
          <w:p w14:paraId="3EDC7A99">
            <w:pPr>
              <w:spacing w:line="276" w:lineRule="auto"/>
              <w:jc w:val="center"/>
              <w:rPr>
                <w:rFonts w:hint="default" w:ascii="宋体" w:cs="宋体"/>
                <w:b/>
                <w:color w:val="auto"/>
                <w:szCs w:val="21"/>
                <w:lang w:val="en-US" w:eastAsia="zh-CN"/>
              </w:rPr>
            </w:pPr>
            <w:r>
              <w:rPr>
                <w:rFonts w:hint="eastAsia" w:ascii="宋体" w:cs="宋体"/>
                <w:b/>
                <w:color w:val="auto"/>
                <w:szCs w:val="21"/>
                <w:lang w:val="en-US" w:eastAsia="zh-CN"/>
              </w:rPr>
              <w:t>9</w:t>
            </w:r>
          </w:p>
        </w:tc>
        <w:tc>
          <w:tcPr>
            <w:tcW w:w="6793" w:type="dxa"/>
            <w:tcBorders>
              <w:bottom w:val="single" w:color="auto" w:sz="6" w:space="0"/>
            </w:tcBorders>
            <w:noWrap w:val="0"/>
            <w:vAlign w:val="center"/>
          </w:tcPr>
          <w:p w14:paraId="5BD64435">
            <w:pPr>
              <w:spacing w:line="276" w:lineRule="auto"/>
              <w:jc w:val="left"/>
              <w:rPr>
                <w:rFonts w:hint="eastAsia" w:ascii="宋体" w:cs="宋体"/>
                <w:color w:val="auto"/>
                <w:szCs w:val="21"/>
              </w:rPr>
            </w:pPr>
            <w:r>
              <w:rPr>
                <w:rFonts w:hint="eastAsia" w:ascii="宋体" w:cs="宋体"/>
                <w:color w:val="auto"/>
                <w:szCs w:val="21"/>
                <w:lang w:val="en-US" w:eastAsia="zh-CN"/>
              </w:rPr>
              <w:t>货物清单及详细说明、药械专用工具清单</w:t>
            </w:r>
          </w:p>
        </w:tc>
        <w:tc>
          <w:tcPr>
            <w:tcW w:w="1476" w:type="dxa"/>
            <w:tcBorders>
              <w:bottom w:val="single" w:color="auto" w:sz="6" w:space="0"/>
            </w:tcBorders>
            <w:noWrap w:val="0"/>
            <w:vAlign w:val="center"/>
          </w:tcPr>
          <w:p w14:paraId="3323779C">
            <w:pPr>
              <w:spacing w:line="276" w:lineRule="auto"/>
              <w:jc w:val="center"/>
              <w:rPr>
                <w:rFonts w:hint="eastAsia" w:ascii="宋体" w:cs="宋体"/>
                <w:color w:val="auto"/>
                <w:szCs w:val="21"/>
                <w:lang w:val="en-US" w:eastAsia="zh-CN"/>
              </w:rPr>
            </w:pPr>
            <w:r>
              <w:rPr>
                <w:rFonts w:hint="eastAsia" w:ascii="宋体" w:cs="宋体"/>
                <w:color w:val="auto"/>
                <w:szCs w:val="21"/>
                <w:lang w:val="en-US" w:eastAsia="zh-CN"/>
              </w:rPr>
              <w:t>有</w:t>
            </w:r>
          </w:p>
        </w:tc>
      </w:tr>
      <w:tr w14:paraId="01EA5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noWrap w:val="0"/>
            <w:vAlign w:val="center"/>
          </w:tcPr>
          <w:p w14:paraId="3C23400F">
            <w:pPr>
              <w:spacing w:line="276" w:lineRule="auto"/>
              <w:jc w:val="center"/>
              <w:rPr>
                <w:rFonts w:hint="default" w:ascii="宋体" w:cs="宋体"/>
                <w:b/>
                <w:color w:val="auto"/>
                <w:szCs w:val="21"/>
                <w:lang w:val="en-US" w:eastAsia="zh-CN"/>
              </w:rPr>
            </w:pPr>
            <w:r>
              <w:rPr>
                <w:rFonts w:hint="eastAsia" w:ascii="宋体" w:cs="宋体"/>
                <w:b/>
                <w:color w:val="auto"/>
                <w:szCs w:val="21"/>
                <w:lang w:val="en-US" w:eastAsia="zh-CN"/>
              </w:rPr>
              <w:t>10</w:t>
            </w:r>
          </w:p>
        </w:tc>
        <w:tc>
          <w:tcPr>
            <w:tcW w:w="6793" w:type="dxa"/>
            <w:tcBorders>
              <w:bottom w:val="single" w:color="auto" w:sz="6" w:space="0"/>
            </w:tcBorders>
            <w:noWrap w:val="0"/>
            <w:vAlign w:val="center"/>
          </w:tcPr>
          <w:p w14:paraId="43F8C8C3">
            <w:pPr>
              <w:spacing w:line="276" w:lineRule="auto"/>
              <w:jc w:val="left"/>
              <w:rPr>
                <w:rFonts w:hint="eastAsia" w:ascii="宋体" w:cs="宋体"/>
                <w:color w:val="auto"/>
                <w:szCs w:val="21"/>
              </w:rPr>
            </w:pPr>
            <w:r>
              <w:rPr>
                <w:rFonts w:hint="eastAsia" w:ascii="宋体" w:cs="宋体"/>
                <w:color w:val="auto"/>
                <w:szCs w:val="21"/>
                <w:lang w:val="en-US" w:eastAsia="zh-CN"/>
              </w:rPr>
              <w:t>拟投入使用的设备器械</w:t>
            </w:r>
          </w:p>
        </w:tc>
        <w:tc>
          <w:tcPr>
            <w:tcW w:w="1476" w:type="dxa"/>
            <w:tcBorders>
              <w:bottom w:val="single" w:color="auto" w:sz="6" w:space="0"/>
            </w:tcBorders>
            <w:noWrap w:val="0"/>
            <w:vAlign w:val="center"/>
          </w:tcPr>
          <w:p w14:paraId="67C9FC40">
            <w:pPr>
              <w:spacing w:line="276" w:lineRule="auto"/>
              <w:jc w:val="center"/>
              <w:rPr>
                <w:rFonts w:hint="eastAsia" w:ascii="宋体" w:cs="宋体"/>
                <w:color w:val="auto"/>
                <w:szCs w:val="21"/>
                <w:lang w:val="en-US" w:eastAsia="zh-CN"/>
              </w:rPr>
            </w:pPr>
            <w:r>
              <w:rPr>
                <w:rFonts w:hint="eastAsia" w:ascii="宋体" w:cs="宋体"/>
                <w:color w:val="auto"/>
                <w:szCs w:val="21"/>
                <w:lang w:val="en-US" w:eastAsia="zh-CN"/>
              </w:rPr>
              <w:t>有</w:t>
            </w:r>
          </w:p>
        </w:tc>
      </w:tr>
      <w:tr w14:paraId="325A9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shd w:val="clear" w:color="auto" w:fill="auto"/>
            <w:noWrap w:val="0"/>
            <w:vAlign w:val="center"/>
          </w:tcPr>
          <w:p w14:paraId="64AE1893">
            <w:pPr>
              <w:spacing w:line="276" w:lineRule="auto"/>
              <w:jc w:val="center"/>
              <w:rPr>
                <w:rFonts w:hint="eastAsia" w:ascii="宋体" w:hAnsi="Times New Roman" w:eastAsia="宋体" w:cs="宋体"/>
                <w:b/>
                <w:color w:val="auto"/>
                <w:kern w:val="2"/>
                <w:sz w:val="21"/>
                <w:szCs w:val="21"/>
                <w:lang w:val="en-US" w:eastAsia="zh-CN" w:bidi="ar-SA"/>
              </w:rPr>
            </w:pPr>
            <w:r>
              <w:rPr>
                <w:rFonts w:hint="eastAsia" w:ascii="宋体" w:cs="宋体"/>
                <w:b/>
                <w:color w:val="auto"/>
                <w:szCs w:val="21"/>
                <w:lang w:val="en-US" w:eastAsia="zh-CN"/>
              </w:rPr>
              <w:t>11</w:t>
            </w:r>
          </w:p>
        </w:tc>
        <w:tc>
          <w:tcPr>
            <w:tcW w:w="6793" w:type="dxa"/>
            <w:tcBorders>
              <w:bottom w:val="single" w:color="auto" w:sz="6" w:space="0"/>
            </w:tcBorders>
            <w:noWrap w:val="0"/>
            <w:vAlign w:val="center"/>
          </w:tcPr>
          <w:p w14:paraId="73478656">
            <w:pPr>
              <w:spacing w:line="276" w:lineRule="auto"/>
              <w:jc w:val="left"/>
              <w:rPr>
                <w:rFonts w:hint="eastAsia" w:ascii="宋体" w:cs="宋体"/>
                <w:color w:val="auto"/>
                <w:szCs w:val="21"/>
                <w:lang w:val="en-US" w:eastAsia="zh-CN"/>
              </w:rPr>
            </w:pPr>
            <w:r>
              <w:rPr>
                <w:rFonts w:hint="eastAsia" w:ascii="宋体" w:cs="宋体"/>
                <w:b/>
                <w:color w:val="auto"/>
                <w:szCs w:val="21"/>
              </w:rPr>
              <w:t>投标供应商提供的消杀药品须具有有效的农药登记证或农药临时登记证、农药生产许可证或农药生产批准文件。</w:t>
            </w:r>
            <w:r>
              <w:rPr>
                <w:rFonts w:hint="eastAsia" w:ascii="宋体" w:cs="宋体"/>
                <w:b/>
                <w:color w:val="auto"/>
                <w:szCs w:val="21"/>
                <w:lang w:eastAsia="zh-CN"/>
              </w:rPr>
              <w:t>（提供相关材料并加盖公章）</w:t>
            </w:r>
          </w:p>
        </w:tc>
        <w:tc>
          <w:tcPr>
            <w:tcW w:w="1476" w:type="dxa"/>
            <w:tcBorders>
              <w:bottom w:val="single" w:color="auto" w:sz="6" w:space="0"/>
            </w:tcBorders>
            <w:noWrap w:val="0"/>
            <w:vAlign w:val="center"/>
          </w:tcPr>
          <w:p w14:paraId="0131BE07">
            <w:pPr>
              <w:spacing w:line="276" w:lineRule="auto"/>
              <w:jc w:val="center"/>
              <w:rPr>
                <w:rFonts w:hint="eastAsia" w:ascii="宋体" w:cs="宋体"/>
                <w:color w:val="auto"/>
                <w:szCs w:val="21"/>
                <w:lang w:val="en-US" w:eastAsia="zh-CN"/>
              </w:rPr>
            </w:pPr>
            <w:r>
              <w:rPr>
                <w:rFonts w:hint="eastAsia" w:ascii="宋体" w:cs="宋体"/>
                <w:color w:val="auto"/>
                <w:szCs w:val="21"/>
                <w:lang w:val="en-US" w:eastAsia="zh-CN"/>
              </w:rPr>
              <w:t>无</w:t>
            </w:r>
          </w:p>
        </w:tc>
      </w:tr>
      <w:tr w14:paraId="682B3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shd w:val="clear" w:color="auto" w:fill="auto"/>
            <w:noWrap w:val="0"/>
            <w:vAlign w:val="center"/>
          </w:tcPr>
          <w:p w14:paraId="3515EA1F">
            <w:pPr>
              <w:spacing w:line="276" w:lineRule="auto"/>
              <w:jc w:val="center"/>
              <w:rPr>
                <w:rFonts w:hint="default" w:ascii="宋体" w:hAnsi="Times New Roman" w:eastAsia="宋体" w:cs="宋体"/>
                <w:b/>
                <w:color w:val="auto"/>
                <w:kern w:val="2"/>
                <w:sz w:val="21"/>
                <w:szCs w:val="21"/>
                <w:lang w:val="en-US" w:eastAsia="zh-CN" w:bidi="ar-SA"/>
              </w:rPr>
            </w:pPr>
            <w:r>
              <w:rPr>
                <w:rFonts w:hint="eastAsia" w:ascii="宋体" w:cs="宋体"/>
                <w:b/>
                <w:color w:val="auto"/>
                <w:szCs w:val="21"/>
                <w:lang w:val="en-US" w:eastAsia="zh-CN"/>
              </w:rPr>
              <w:t>12</w:t>
            </w:r>
          </w:p>
        </w:tc>
        <w:tc>
          <w:tcPr>
            <w:tcW w:w="6793" w:type="dxa"/>
            <w:tcBorders>
              <w:bottom w:val="single" w:color="auto" w:sz="6" w:space="0"/>
            </w:tcBorders>
            <w:noWrap w:val="0"/>
            <w:vAlign w:val="center"/>
          </w:tcPr>
          <w:p w14:paraId="79CACDCD">
            <w:pPr>
              <w:spacing w:line="276" w:lineRule="auto"/>
              <w:jc w:val="left"/>
              <w:rPr>
                <w:rFonts w:hint="eastAsia" w:ascii="宋体" w:cs="宋体"/>
                <w:color w:val="auto"/>
                <w:szCs w:val="21"/>
              </w:rPr>
            </w:pPr>
            <w:r>
              <w:rPr>
                <w:rFonts w:hint="eastAsia" w:ascii="宋体" w:cs="宋体"/>
                <w:color w:val="auto"/>
                <w:szCs w:val="21"/>
                <w:lang w:val="en-US" w:eastAsia="zh-CN"/>
              </w:rPr>
              <w:t>供应商类似业绩</w:t>
            </w:r>
          </w:p>
        </w:tc>
        <w:tc>
          <w:tcPr>
            <w:tcW w:w="1476" w:type="dxa"/>
            <w:tcBorders>
              <w:bottom w:val="single" w:color="auto" w:sz="6" w:space="0"/>
            </w:tcBorders>
            <w:noWrap w:val="0"/>
            <w:vAlign w:val="center"/>
          </w:tcPr>
          <w:p w14:paraId="5BFC0BED">
            <w:pPr>
              <w:spacing w:line="276" w:lineRule="auto"/>
              <w:jc w:val="center"/>
              <w:rPr>
                <w:rFonts w:hint="eastAsia" w:ascii="宋体" w:cs="宋体"/>
                <w:color w:val="auto"/>
                <w:szCs w:val="21"/>
                <w:lang w:val="en-US" w:eastAsia="zh-CN"/>
              </w:rPr>
            </w:pPr>
            <w:r>
              <w:rPr>
                <w:rFonts w:hint="eastAsia" w:ascii="宋体" w:cs="宋体"/>
                <w:color w:val="auto"/>
                <w:szCs w:val="21"/>
                <w:lang w:val="en-US" w:eastAsia="zh-CN"/>
              </w:rPr>
              <w:t>有</w:t>
            </w:r>
          </w:p>
        </w:tc>
      </w:tr>
      <w:tr w14:paraId="78BF0E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bottom w:val="single" w:color="auto" w:sz="6" w:space="0"/>
            </w:tcBorders>
            <w:noWrap w:val="0"/>
            <w:vAlign w:val="center"/>
          </w:tcPr>
          <w:p w14:paraId="342532C8">
            <w:pPr>
              <w:spacing w:line="276" w:lineRule="auto"/>
              <w:jc w:val="center"/>
              <w:rPr>
                <w:rFonts w:hint="default" w:ascii="宋体" w:cs="宋体"/>
                <w:b/>
                <w:color w:val="auto"/>
                <w:szCs w:val="21"/>
                <w:lang w:val="en-US" w:eastAsia="zh-CN"/>
              </w:rPr>
            </w:pPr>
            <w:r>
              <w:rPr>
                <w:rFonts w:hint="eastAsia" w:ascii="宋体" w:cs="宋体"/>
                <w:b/>
                <w:color w:val="auto"/>
                <w:szCs w:val="21"/>
                <w:lang w:val="en-US" w:eastAsia="zh-CN"/>
              </w:rPr>
              <w:t>13</w:t>
            </w:r>
          </w:p>
        </w:tc>
        <w:tc>
          <w:tcPr>
            <w:tcW w:w="6793" w:type="dxa"/>
            <w:tcBorders>
              <w:bottom w:val="single" w:color="auto" w:sz="6" w:space="0"/>
            </w:tcBorders>
            <w:noWrap w:val="0"/>
            <w:vAlign w:val="center"/>
          </w:tcPr>
          <w:p w14:paraId="6BD84CCB">
            <w:pPr>
              <w:spacing w:line="276" w:lineRule="auto"/>
              <w:jc w:val="left"/>
              <w:rPr>
                <w:rFonts w:hint="eastAsia" w:ascii="宋体" w:cs="宋体"/>
                <w:color w:val="auto"/>
                <w:szCs w:val="21"/>
                <w:lang w:val="en-US" w:eastAsia="zh-CN"/>
              </w:rPr>
            </w:pPr>
            <w:r>
              <w:rPr>
                <w:rFonts w:hint="eastAsia" w:ascii="宋体" w:cs="宋体"/>
                <w:color w:val="auto"/>
                <w:szCs w:val="21"/>
                <w:lang w:val="en-US" w:eastAsia="zh-CN"/>
              </w:rPr>
              <w:t>供应商认为有必要提供的其他材料或说明（如有）</w:t>
            </w:r>
          </w:p>
        </w:tc>
        <w:tc>
          <w:tcPr>
            <w:tcW w:w="1476" w:type="dxa"/>
            <w:tcBorders>
              <w:bottom w:val="single" w:color="auto" w:sz="6" w:space="0"/>
            </w:tcBorders>
            <w:noWrap w:val="0"/>
            <w:vAlign w:val="center"/>
          </w:tcPr>
          <w:p w14:paraId="24B45E0B">
            <w:pPr>
              <w:spacing w:line="276" w:lineRule="auto"/>
              <w:jc w:val="center"/>
              <w:rPr>
                <w:rFonts w:hint="default" w:ascii="宋体" w:cs="宋体"/>
                <w:color w:val="auto"/>
                <w:szCs w:val="21"/>
                <w:lang w:val="en-US" w:eastAsia="zh-CN"/>
              </w:rPr>
            </w:pPr>
            <w:r>
              <w:rPr>
                <w:rFonts w:hint="eastAsia" w:ascii="宋体" w:cs="宋体"/>
                <w:color w:val="auto"/>
                <w:szCs w:val="21"/>
                <w:lang w:val="en-US" w:eastAsia="zh-CN"/>
              </w:rPr>
              <w:t>无</w:t>
            </w:r>
          </w:p>
        </w:tc>
      </w:tr>
      <w:tr w14:paraId="5B894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9071" w:type="dxa"/>
            <w:gridSpan w:val="3"/>
            <w:tcBorders>
              <w:top w:val="single" w:color="auto" w:sz="6" w:space="0"/>
              <w:bottom w:val="single" w:color="auto" w:sz="6" w:space="0"/>
            </w:tcBorders>
            <w:shd w:val="clear" w:color="auto" w:fill="FDE9D9"/>
            <w:noWrap w:val="0"/>
            <w:vAlign w:val="center"/>
          </w:tcPr>
          <w:p w14:paraId="53D3A030">
            <w:pPr>
              <w:spacing w:line="276" w:lineRule="auto"/>
              <w:jc w:val="left"/>
              <w:rPr>
                <w:rFonts w:hint="eastAsia" w:ascii="宋体" w:cs="宋体"/>
                <w:b/>
                <w:color w:val="auto"/>
                <w:szCs w:val="21"/>
              </w:rPr>
            </w:pPr>
            <w:r>
              <w:rPr>
                <w:rFonts w:hint="eastAsia" w:ascii="宋体" w:cs="宋体"/>
                <w:b/>
                <w:color w:val="auto"/>
                <w:szCs w:val="21"/>
              </w:rPr>
              <w:t>三、《报价文件》组成内容【依序编制】</w:t>
            </w:r>
          </w:p>
        </w:tc>
      </w:tr>
      <w:tr w14:paraId="21107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bottom w:val="single" w:color="auto" w:sz="6" w:space="0"/>
            </w:tcBorders>
            <w:noWrap w:val="0"/>
            <w:vAlign w:val="center"/>
          </w:tcPr>
          <w:p w14:paraId="6FF0BB64">
            <w:pPr>
              <w:spacing w:line="276" w:lineRule="auto"/>
              <w:jc w:val="center"/>
              <w:rPr>
                <w:rFonts w:hint="eastAsia" w:ascii="宋体" w:cs="宋体"/>
                <w:b/>
                <w:color w:val="auto"/>
                <w:szCs w:val="21"/>
              </w:rPr>
            </w:pPr>
            <w:r>
              <w:rPr>
                <w:rFonts w:hint="eastAsia" w:ascii="宋体" w:cs="宋体"/>
                <w:b/>
                <w:color w:val="auto"/>
                <w:szCs w:val="21"/>
              </w:rPr>
              <w:t>1</w:t>
            </w:r>
          </w:p>
        </w:tc>
        <w:tc>
          <w:tcPr>
            <w:tcW w:w="6793" w:type="dxa"/>
            <w:tcBorders>
              <w:top w:val="single" w:color="auto" w:sz="6" w:space="0"/>
              <w:bottom w:val="single" w:color="auto" w:sz="6" w:space="0"/>
            </w:tcBorders>
            <w:noWrap w:val="0"/>
            <w:vAlign w:val="center"/>
          </w:tcPr>
          <w:p w14:paraId="61A3F0DC">
            <w:pPr>
              <w:spacing w:line="276" w:lineRule="auto"/>
              <w:jc w:val="left"/>
              <w:rPr>
                <w:rFonts w:hint="eastAsia" w:ascii="宋体" w:cs="宋体"/>
                <w:b/>
                <w:color w:val="auto"/>
                <w:szCs w:val="21"/>
              </w:rPr>
            </w:pPr>
            <w:r>
              <w:rPr>
                <w:rFonts w:hint="eastAsia" w:ascii="宋体" w:cs="宋体"/>
                <w:b/>
                <w:color w:val="auto"/>
                <w:szCs w:val="21"/>
              </w:rPr>
              <w:t>《报价文件》封面</w:t>
            </w:r>
          </w:p>
        </w:tc>
        <w:tc>
          <w:tcPr>
            <w:tcW w:w="1476" w:type="dxa"/>
            <w:tcBorders>
              <w:top w:val="single" w:color="auto" w:sz="6" w:space="0"/>
              <w:bottom w:val="single" w:color="auto" w:sz="6" w:space="0"/>
            </w:tcBorders>
            <w:noWrap w:val="0"/>
            <w:vAlign w:val="center"/>
          </w:tcPr>
          <w:p w14:paraId="256562EF">
            <w:pPr>
              <w:spacing w:line="276" w:lineRule="auto"/>
              <w:jc w:val="center"/>
              <w:rPr>
                <w:rFonts w:hint="eastAsia" w:ascii="宋体" w:cs="宋体"/>
                <w:color w:val="auto"/>
                <w:szCs w:val="21"/>
              </w:rPr>
            </w:pPr>
            <w:r>
              <w:rPr>
                <w:rFonts w:hint="eastAsia" w:ascii="宋体" w:cs="宋体"/>
                <w:color w:val="auto"/>
                <w:szCs w:val="21"/>
              </w:rPr>
              <w:t>有</w:t>
            </w:r>
          </w:p>
        </w:tc>
      </w:tr>
      <w:tr w14:paraId="34173E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bottom w:val="single" w:color="auto" w:sz="6" w:space="0"/>
            </w:tcBorders>
            <w:noWrap w:val="0"/>
            <w:vAlign w:val="center"/>
          </w:tcPr>
          <w:p w14:paraId="19BFD8E3">
            <w:pPr>
              <w:spacing w:line="276" w:lineRule="auto"/>
              <w:jc w:val="center"/>
              <w:rPr>
                <w:rFonts w:hint="eastAsia" w:ascii="宋体" w:cs="宋体"/>
                <w:b/>
                <w:color w:val="auto"/>
                <w:szCs w:val="21"/>
              </w:rPr>
            </w:pPr>
            <w:r>
              <w:rPr>
                <w:rFonts w:hint="eastAsia" w:ascii="宋体" w:cs="宋体"/>
                <w:b/>
                <w:color w:val="auto"/>
                <w:szCs w:val="21"/>
              </w:rPr>
              <w:t>2</w:t>
            </w:r>
          </w:p>
        </w:tc>
        <w:tc>
          <w:tcPr>
            <w:tcW w:w="6793" w:type="dxa"/>
            <w:tcBorders>
              <w:top w:val="single" w:color="auto" w:sz="6" w:space="0"/>
              <w:bottom w:val="single" w:color="auto" w:sz="6" w:space="0"/>
            </w:tcBorders>
            <w:noWrap w:val="0"/>
            <w:vAlign w:val="center"/>
          </w:tcPr>
          <w:p w14:paraId="5DFE3E70">
            <w:pPr>
              <w:spacing w:line="276" w:lineRule="auto"/>
              <w:jc w:val="left"/>
              <w:rPr>
                <w:rFonts w:hint="eastAsia" w:ascii="宋体" w:cs="宋体"/>
                <w:b/>
                <w:color w:val="auto"/>
                <w:szCs w:val="21"/>
              </w:rPr>
            </w:pPr>
            <w:r>
              <w:rPr>
                <w:rFonts w:hint="eastAsia" w:ascii="宋体" w:cs="宋体"/>
                <w:b/>
                <w:color w:val="auto"/>
                <w:szCs w:val="21"/>
              </w:rPr>
              <w:t>《报价文件》目录</w:t>
            </w:r>
            <w:r>
              <w:rPr>
                <w:rFonts w:hint="eastAsia" w:ascii="宋体" w:cs="宋体"/>
                <w:color w:val="auto"/>
                <w:szCs w:val="21"/>
              </w:rPr>
              <w:t>（格式自拟）</w:t>
            </w:r>
          </w:p>
        </w:tc>
        <w:tc>
          <w:tcPr>
            <w:tcW w:w="1476" w:type="dxa"/>
            <w:tcBorders>
              <w:top w:val="single" w:color="auto" w:sz="6" w:space="0"/>
              <w:bottom w:val="single" w:color="auto" w:sz="6" w:space="0"/>
            </w:tcBorders>
            <w:noWrap w:val="0"/>
            <w:vAlign w:val="center"/>
          </w:tcPr>
          <w:p w14:paraId="541ACEE9">
            <w:pPr>
              <w:spacing w:line="276" w:lineRule="auto"/>
              <w:jc w:val="center"/>
              <w:rPr>
                <w:rFonts w:hint="eastAsia" w:ascii="宋体" w:cs="宋体"/>
                <w:color w:val="auto"/>
                <w:szCs w:val="21"/>
              </w:rPr>
            </w:pPr>
            <w:r>
              <w:rPr>
                <w:rFonts w:hint="eastAsia" w:ascii="宋体" w:cs="宋体"/>
                <w:color w:val="auto"/>
                <w:szCs w:val="21"/>
              </w:rPr>
              <w:t>无</w:t>
            </w:r>
          </w:p>
        </w:tc>
      </w:tr>
      <w:tr w14:paraId="0E1C8C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bottom w:val="single" w:color="auto" w:sz="6" w:space="0"/>
            </w:tcBorders>
            <w:noWrap w:val="0"/>
            <w:vAlign w:val="center"/>
          </w:tcPr>
          <w:p w14:paraId="49075589">
            <w:pPr>
              <w:spacing w:line="276" w:lineRule="auto"/>
              <w:jc w:val="center"/>
              <w:rPr>
                <w:rFonts w:hint="eastAsia" w:ascii="宋体" w:cs="宋体"/>
                <w:b/>
                <w:color w:val="auto"/>
                <w:szCs w:val="21"/>
              </w:rPr>
            </w:pPr>
            <w:r>
              <w:rPr>
                <w:rFonts w:hint="eastAsia" w:ascii="宋体" w:cs="宋体"/>
                <w:b/>
                <w:color w:val="auto"/>
                <w:szCs w:val="21"/>
              </w:rPr>
              <w:t>3</w:t>
            </w:r>
          </w:p>
        </w:tc>
        <w:tc>
          <w:tcPr>
            <w:tcW w:w="6793" w:type="dxa"/>
            <w:tcBorders>
              <w:top w:val="single" w:color="auto" w:sz="6" w:space="0"/>
              <w:bottom w:val="single" w:color="auto" w:sz="6" w:space="0"/>
            </w:tcBorders>
            <w:noWrap w:val="0"/>
            <w:vAlign w:val="center"/>
          </w:tcPr>
          <w:p w14:paraId="46A91094">
            <w:pPr>
              <w:spacing w:line="276" w:lineRule="auto"/>
              <w:jc w:val="left"/>
              <w:rPr>
                <w:rFonts w:hint="eastAsia" w:ascii="宋体" w:cs="宋体"/>
                <w:b/>
                <w:color w:val="auto"/>
                <w:szCs w:val="21"/>
              </w:rPr>
            </w:pPr>
            <w:r>
              <w:rPr>
                <w:rFonts w:hint="eastAsia" w:ascii="宋体" w:cs="宋体"/>
                <w:b/>
                <w:color w:val="auto"/>
                <w:szCs w:val="21"/>
              </w:rPr>
              <w:t>▲</w:t>
            </w:r>
            <w:r>
              <w:rPr>
                <w:rFonts w:hint="eastAsia" w:ascii="宋体" w:cs="宋体"/>
                <w:b/>
                <w:color w:val="auto"/>
                <w:szCs w:val="21"/>
                <w:lang w:eastAsia="zh-CN"/>
              </w:rPr>
              <w:t>开标</w:t>
            </w:r>
            <w:r>
              <w:rPr>
                <w:rFonts w:hint="eastAsia" w:ascii="宋体" w:cs="宋体"/>
                <w:b/>
                <w:color w:val="auto"/>
                <w:szCs w:val="21"/>
              </w:rPr>
              <w:t>一览表</w:t>
            </w:r>
          </w:p>
        </w:tc>
        <w:tc>
          <w:tcPr>
            <w:tcW w:w="1476" w:type="dxa"/>
            <w:tcBorders>
              <w:top w:val="single" w:color="auto" w:sz="6" w:space="0"/>
              <w:bottom w:val="single" w:color="auto" w:sz="6" w:space="0"/>
            </w:tcBorders>
            <w:noWrap w:val="0"/>
            <w:vAlign w:val="center"/>
          </w:tcPr>
          <w:p w14:paraId="635A3468">
            <w:pPr>
              <w:spacing w:line="276" w:lineRule="auto"/>
              <w:jc w:val="center"/>
              <w:rPr>
                <w:rFonts w:hint="eastAsia" w:ascii="宋体" w:cs="宋体"/>
                <w:color w:val="auto"/>
                <w:szCs w:val="21"/>
              </w:rPr>
            </w:pPr>
            <w:r>
              <w:rPr>
                <w:rFonts w:hint="eastAsia" w:ascii="宋体" w:cs="宋体"/>
                <w:color w:val="auto"/>
                <w:szCs w:val="21"/>
              </w:rPr>
              <w:t>有</w:t>
            </w:r>
          </w:p>
        </w:tc>
      </w:tr>
      <w:tr w14:paraId="50999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02" w:type="dxa"/>
            <w:tcBorders>
              <w:top w:val="single" w:color="auto" w:sz="6" w:space="0"/>
              <w:bottom w:val="single" w:color="auto" w:sz="6" w:space="0"/>
            </w:tcBorders>
            <w:noWrap w:val="0"/>
            <w:vAlign w:val="center"/>
          </w:tcPr>
          <w:p w14:paraId="58B7EF35">
            <w:pPr>
              <w:spacing w:line="276" w:lineRule="auto"/>
              <w:jc w:val="center"/>
              <w:rPr>
                <w:rFonts w:hint="eastAsia" w:ascii="宋体" w:cs="宋体"/>
                <w:b/>
                <w:color w:val="auto"/>
                <w:szCs w:val="21"/>
              </w:rPr>
            </w:pPr>
            <w:r>
              <w:rPr>
                <w:rFonts w:hint="eastAsia" w:ascii="宋体" w:hAnsi="宋体"/>
                <w:b/>
                <w:color w:val="000000"/>
                <w:sz w:val="22"/>
              </w:rPr>
              <w:t>4</w:t>
            </w:r>
          </w:p>
        </w:tc>
        <w:tc>
          <w:tcPr>
            <w:tcW w:w="6793" w:type="dxa"/>
            <w:tcBorders>
              <w:top w:val="single" w:color="auto" w:sz="6" w:space="0"/>
              <w:bottom w:val="single" w:color="auto" w:sz="6" w:space="0"/>
            </w:tcBorders>
            <w:noWrap w:val="0"/>
            <w:vAlign w:val="center"/>
          </w:tcPr>
          <w:p w14:paraId="1E2BED7A">
            <w:pPr>
              <w:spacing w:line="276" w:lineRule="auto"/>
              <w:jc w:val="left"/>
              <w:rPr>
                <w:rFonts w:hint="eastAsia" w:ascii="宋体" w:cs="宋体"/>
                <w:b/>
                <w:color w:val="auto"/>
                <w:szCs w:val="21"/>
              </w:rPr>
            </w:pPr>
            <w:r>
              <w:rPr>
                <w:rFonts w:ascii="Arial" w:hAnsi="Arial" w:cs="Arial"/>
                <w:b/>
                <w:color w:val="000000"/>
                <w:sz w:val="22"/>
              </w:rPr>
              <w:t>投标报价明细表</w:t>
            </w:r>
          </w:p>
        </w:tc>
        <w:tc>
          <w:tcPr>
            <w:tcW w:w="1476" w:type="dxa"/>
            <w:tcBorders>
              <w:top w:val="single" w:color="auto" w:sz="6" w:space="0"/>
              <w:bottom w:val="single" w:color="auto" w:sz="6" w:space="0"/>
            </w:tcBorders>
            <w:noWrap w:val="0"/>
            <w:vAlign w:val="center"/>
          </w:tcPr>
          <w:p w14:paraId="7FBD4C44">
            <w:pPr>
              <w:spacing w:line="276" w:lineRule="auto"/>
              <w:jc w:val="center"/>
              <w:rPr>
                <w:rFonts w:hint="eastAsia" w:ascii="宋体" w:cs="宋体"/>
                <w:color w:val="auto"/>
                <w:szCs w:val="21"/>
              </w:rPr>
            </w:pPr>
            <w:r>
              <w:rPr>
                <w:rFonts w:hint="eastAsia" w:ascii="宋体" w:hAnsi="宋体" w:cs="Arial"/>
                <w:color w:val="000000"/>
                <w:sz w:val="22"/>
              </w:rPr>
              <w:t>有</w:t>
            </w:r>
          </w:p>
        </w:tc>
      </w:tr>
      <w:tr w14:paraId="528F66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071" w:type="dxa"/>
            <w:gridSpan w:val="3"/>
            <w:shd w:val="clear" w:color="auto" w:fill="DAEEF3"/>
            <w:noWrap w:val="0"/>
            <w:vAlign w:val="center"/>
          </w:tcPr>
          <w:p w14:paraId="03C8086D">
            <w:pPr>
              <w:spacing w:line="276" w:lineRule="auto"/>
              <w:jc w:val="center"/>
              <w:rPr>
                <w:rFonts w:hint="eastAsia" w:ascii="宋体" w:cs="宋体"/>
                <w:color w:val="auto"/>
                <w:szCs w:val="21"/>
              </w:rPr>
            </w:pPr>
            <w:r>
              <w:rPr>
                <w:rFonts w:hint="eastAsia" w:ascii="宋体" w:cs="宋体"/>
                <w:b/>
                <w:color w:val="auto"/>
                <w:szCs w:val="21"/>
              </w:rPr>
              <w:t>备注说明</w:t>
            </w:r>
          </w:p>
        </w:tc>
      </w:tr>
      <w:tr w14:paraId="32A63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19" w:hRule="atLeast"/>
          <w:jc w:val="center"/>
        </w:trPr>
        <w:tc>
          <w:tcPr>
            <w:tcW w:w="9071" w:type="dxa"/>
            <w:gridSpan w:val="3"/>
            <w:noWrap w:val="0"/>
            <w:vAlign w:val="center"/>
          </w:tcPr>
          <w:p w14:paraId="0C5505B4">
            <w:pPr>
              <w:spacing w:line="276" w:lineRule="auto"/>
              <w:rPr>
                <w:rFonts w:hint="eastAsia" w:ascii="宋体" w:cs="宋体"/>
                <w:b/>
                <w:color w:val="auto"/>
                <w:szCs w:val="21"/>
              </w:rPr>
            </w:pPr>
            <w:r>
              <w:rPr>
                <w:rFonts w:hint="eastAsia" w:ascii="宋体" w:cs="宋体"/>
                <w:b/>
                <w:color w:val="auto"/>
                <w:szCs w:val="21"/>
              </w:rPr>
              <w:t>（1）上述内容本</w:t>
            </w:r>
            <w:r>
              <w:rPr>
                <w:rFonts w:hint="eastAsia" w:ascii="宋体" w:cs="宋体"/>
                <w:b/>
                <w:color w:val="auto"/>
                <w:szCs w:val="21"/>
                <w:lang w:eastAsia="zh-CN"/>
              </w:rPr>
              <w:t>投标</w:t>
            </w:r>
            <w:r>
              <w:rPr>
                <w:rFonts w:hint="eastAsia" w:ascii="宋体" w:cs="宋体"/>
                <w:b/>
                <w:color w:val="auto"/>
                <w:szCs w:val="21"/>
              </w:rPr>
              <w:t>文件《响应文件格式》中有提供格式的，</w:t>
            </w:r>
            <w:r>
              <w:rPr>
                <w:rFonts w:hint="eastAsia" w:ascii="宋体" w:cs="宋体"/>
                <w:b/>
                <w:color w:val="auto"/>
                <w:szCs w:val="21"/>
                <w:lang w:eastAsia="zh-CN"/>
              </w:rPr>
              <w:t>投标</w:t>
            </w:r>
            <w:r>
              <w:rPr>
                <w:rFonts w:hint="eastAsia" w:ascii="宋体" w:cs="宋体"/>
                <w:b/>
                <w:color w:val="auto"/>
                <w:szCs w:val="21"/>
              </w:rPr>
              <w:t>供应商可参照格式进行编制（格式中要求提供相关证明材料的还需后附相关证明材料），并按格式要求在指定位置根据要求进行签章，否则视为未提供；</w:t>
            </w:r>
          </w:p>
          <w:p w14:paraId="3DC63ADA">
            <w:pPr>
              <w:spacing w:line="276" w:lineRule="auto"/>
              <w:rPr>
                <w:rFonts w:hint="eastAsia" w:ascii="宋体" w:cs="宋体"/>
                <w:b/>
                <w:color w:val="auto"/>
                <w:szCs w:val="21"/>
              </w:rPr>
            </w:pPr>
            <w:r>
              <w:rPr>
                <w:rFonts w:hint="eastAsia" w:ascii="宋体" w:cs="宋体"/>
                <w:b/>
                <w:color w:val="auto"/>
                <w:szCs w:val="21"/>
              </w:rPr>
              <w:t>（2）采购文件《响应文件格式》未提供格式的，请各</w:t>
            </w:r>
            <w:r>
              <w:rPr>
                <w:rFonts w:hint="eastAsia" w:ascii="宋体" w:cs="宋体"/>
                <w:b/>
                <w:color w:val="auto"/>
                <w:szCs w:val="21"/>
                <w:lang w:eastAsia="zh-CN"/>
              </w:rPr>
              <w:t>投标</w:t>
            </w:r>
            <w:r>
              <w:rPr>
                <w:rFonts w:hint="eastAsia" w:ascii="宋体" w:cs="宋体"/>
                <w:b/>
                <w:color w:val="auto"/>
                <w:szCs w:val="21"/>
              </w:rPr>
              <w:t>供应商自行拟定格式，并加盖单位公章，否则视为未提供；</w:t>
            </w:r>
          </w:p>
        </w:tc>
      </w:tr>
    </w:tbl>
    <w:p w14:paraId="253F7A2C">
      <w:pPr>
        <w:autoSpaceDE w:val="0"/>
        <w:autoSpaceDN w:val="0"/>
        <w:adjustRightInd w:val="0"/>
        <w:snapToGrid w:val="0"/>
        <w:spacing w:line="360" w:lineRule="auto"/>
        <w:textAlignment w:val="bottom"/>
        <w:rPr>
          <w:rFonts w:ascii="宋体" w:hAnsi="宋体"/>
          <w:sz w:val="22"/>
          <w:szCs w:val="22"/>
        </w:rPr>
      </w:pPr>
    </w:p>
    <w:p w14:paraId="7B2FB926">
      <w:pPr>
        <w:autoSpaceDE w:val="0"/>
        <w:autoSpaceDN w:val="0"/>
        <w:adjustRightInd w:val="0"/>
        <w:snapToGrid w:val="0"/>
        <w:spacing w:line="360" w:lineRule="auto"/>
        <w:textAlignment w:val="bottom"/>
        <w:rPr>
          <w:rFonts w:ascii="宋体" w:hAnsi="宋体"/>
          <w:b/>
          <w:bCs/>
          <w:sz w:val="22"/>
          <w:u w:val="single"/>
        </w:rPr>
      </w:pPr>
      <w:r>
        <w:rPr>
          <w:rFonts w:hint="eastAsia" w:ascii="宋体" w:hAnsi="宋体"/>
          <w:b/>
          <w:bCs/>
          <w:sz w:val="22"/>
        </w:rPr>
        <w:t>2.3、投标文件的签章：</w:t>
      </w:r>
    </w:p>
    <w:p w14:paraId="617F8187">
      <w:pPr>
        <w:spacing w:line="360" w:lineRule="auto"/>
        <w:ind w:firstLine="424" w:firstLineChars="192"/>
        <w:rPr>
          <w:rFonts w:ascii="宋体" w:hAnsi="宋体" w:cs="Arial"/>
          <w:b/>
          <w:kern w:val="0"/>
          <w:sz w:val="22"/>
        </w:rPr>
      </w:pPr>
      <w:r>
        <w:rPr>
          <w:rFonts w:hint="eastAsia" w:ascii="宋体" w:hAnsi="宋体" w:cs="Arial"/>
          <w:b/>
          <w:kern w:val="0"/>
          <w:sz w:val="22"/>
        </w:rPr>
        <w:t>1）</w:t>
      </w:r>
      <w:r>
        <w:rPr>
          <w:rFonts w:hint="eastAsia" w:ascii="宋体" w:hAnsi="宋体"/>
          <w:b/>
          <w:bCs/>
          <w:sz w:val="22"/>
        </w:rPr>
        <w:t>投标文件</w:t>
      </w:r>
      <w:r>
        <w:rPr>
          <w:rFonts w:hint="eastAsia" w:ascii="宋体" w:hAnsi="宋体" w:cs="Arial"/>
          <w:b/>
          <w:kern w:val="0"/>
          <w:sz w:val="22"/>
        </w:rPr>
        <w:t>的签章：</w:t>
      </w:r>
      <w:r>
        <w:rPr>
          <w:rFonts w:hint="eastAsia" w:ascii="宋体" w:hAnsi="宋体"/>
          <w:b/>
          <w:sz w:val="22"/>
        </w:rPr>
        <w:t>见《投标须知前附表》；</w:t>
      </w:r>
    </w:p>
    <w:p w14:paraId="3C936E8C">
      <w:pPr>
        <w:spacing w:line="360" w:lineRule="auto"/>
        <w:ind w:firstLine="389" w:firstLineChars="176"/>
        <w:rPr>
          <w:rFonts w:ascii="宋体" w:hAnsi="宋体" w:cs="Arial"/>
          <w:sz w:val="22"/>
        </w:rPr>
      </w:pPr>
      <w:r>
        <w:rPr>
          <w:rFonts w:hint="eastAsia" w:ascii="宋体" w:hAnsi="宋体" w:cs="Arial"/>
          <w:b/>
          <w:kern w:val="0"/>
          <w:sz w:val="22"/>
        </w:rPr>
        <w:t>2）电子签章操作指南详见</w:t>
      </w:r>
      <w:r>
        <w:rPr>
          <w:rFonts w:hint="eastAsia" w:ascii="宋体" w:hAnsi="宋体" w:cs="Arial"/>
          <w:b/>
          <w:sz w:val="22"/>
        </w:rPr>
        <w:t>《供应商项目采购-电子招投标操作指南》</w:t>
      </w:r>
      <w:r>
        <w:rPr>
          <w:rFonts w:hint="eastAsia" w:ascii="宋体" w:hAnsi="宋体" w:cs="Arial"/>
          <w:sz w:val="22"/>
        </w:rPr>
        <w:t>。</w:t>
      </w:r>
    </w:p>
    <w:p w14:paraId="3FDB3AA9">
      <w:pPr>
        <w:autoSpaceDE w:val="0"/>
        <w:autoSpaceDN w:val="0"/>
        <w:adjustRightInd w:val="0"/>
        <w:snapToGrid w:val="0"/>
        <w:spacing w:line="360" w:lineRule="auto"/>
        <w:ind w:firstLine="440" w:firstLineChars="200"/>
        <w:textAlignment w:val="bottom"/>
        <w:rPr>
          <w:rFonts w:ascii="宋体" w:hAnsi="宋体" w:cs="Arial"/>
          <w:sz w:val="22"/>
          <w:szCs w:val="22"/>
        </w:rPr>
      </w:pPr>
      <w:bookmarkStart w:id="5" w:name="_Toc132123838"/>
      <w:bookmarkStart w:id="6" w:name="_Toc132123881"/>
      <w:bookmarkStart w:id="7" w:name="_Toc132123634"/>
      <w:bookmarkStart w:id="8" w:name="_Toc132125037"/>
      <w:bookmarkStart w:id="9" w:name="_Toc132125574"/>
      <w:bookmarkStart w:id="10" w:name="_Toc132124594"/>
      <w:bookmarkStart w:id="11" w:name="_Toc132122416"/>
      <w:bookmarkStart w:id="12" w:name="_Toc132122119"/>
      <w:bookmarkStart w:id="13" w:name="_Toc132123439"/>
      <w:bookmarkStart w:id="14" w:name="_Toc132125151"/>
      <w:bookmarkStart w:id="15" w:name="_Toc132126154"/>
      <w:bookmarkStart w:id="16" w:name="_Toc132125983"/>
      <w:bookmarkStart w:id="17" w:name="_Toc132123547"/>
      <w:bookmarkStart w:id="18" w:name="_Toc132655776"/>
      <w:bookmarkStart w:id="19" w:name="_Toc132125095"/>
      <w:r>
        <w:rPr>
          <w:rFonts w:hint="eastAsia" w:ascii="宋体" w:hAnsi="宋体" w:cs="Arial"/>
          <w:sz w:val="22"/>
          <w:szCs w:val="22"/>
        </w:rPr>
        <w:t>3、投标内容填写说明</w:t>
      </w:r>
    </w:p>
    <w:p w14:paraId="52E693EC">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3.1、投标文件格式</w:t>
      </w:r>
    </w:p>
    <w:p w14:paraId="1D887875">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供应商应按照第2条所列出的内容及格式</w:t>
      </w:r>
      <w:r>
        <w:rPr>
          <w:rFonts w:hint="eastAsia" w:ascii="宋体" w:hAnsi="宋体" w:cs="Arial"/>
          <w:bCs/>
          <w:sz w:val="22"/>
          <w:szCs w:val="22"/>
          <w:u w:val="thick"/>
        </w:rPr>
        <w:t>逐一按顺序</w:t>
      </w:r>
      <w:r>
        <w:rPr>
          <w:rFonts w:hint="eastAsia" w:ascii="宋体" w:hAnsi="宋体" w:cs="Arial"/>
          <w:sz w:val="22"/>
          <w:szCs w:val="22"/>
        </w:rPr>
        <w:t>组成投标文件。</w:t>
      </w:r>
    </w:p>
    <w:p w14:paraId="5CEFDA59">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3.2、《开标一览表》为商务标开标仪式上唱标的内容，供应商需按格式填写，统一规格，不得自行增减内容。</w:t>
      </w:r>
    </w:p>
    <w:p w14:paraId="3471CBD1">
      <w:pPr>
        <w:autoSpaceDE w:val="0"/>
        <w:autoSpaceDN w:val="0"/>
        <w:adjustRightInd w:val="0"/>
        <w:snapToGrid w:val="0"/>
        <w:spacing w:line="360" w:lineRule="auto"/>
        <w:ind w:firstLine="440" w:firstLineChars="200"/>
        <w:textAlignment w:val="bottom"/>
        <w:rPr>
          <w:rFonts w:hint="eastAsia" w:ascii="宋体" w:hAnsi="宋体" w:eastAsia="宋体" w:cs="Arial"/>
          <w:sz w:val="22"/>
          <w:szCs w:val="22"/>
        </w:rPr>
      </w:pPr>
      <w:bookmarkStart w:id="20" w:name="_Toc132122115"/>
      <w:bookmarkStart w:id="21" w:name="_Toc132122412"/>
      <w:r>
        <w:rPr>
          <w:rFonts w:hint="eastAsia" w:ascii="宋体" w:hAnsi="宋体" w:eastAsia="宋体" w:cs="Arial"/>
          <w:sz w:val="22"/>
          <w:szCs w:val="22"/>
        </w:rPr>
        <w:t>4、投标报价</w:t>
      </w:r>
      <w:bookmarkEnd w:id="20"/>
      <w:bookmarkEnd w:id="21"/>
    </w:p>
    <w:p w14:paraId="5F212B0B">
      <w:pPr>
        <w:autoSpaceDE w:val="0"/>
        <w:autoSpaceDN w:val="0"/>
        <w:adjustRightInd w:val="0"/>
        <w:snapToGrid w:val="0"/>
        <w:spacing w:line="360" w:lineRule="auto"/>
        <w:ind w:firstLine="440" w:firstLineChars="200"/>
        <w:textAlignment w:val="bottom"/>
        <w:rPr>
          <w:rFonts w:hint="eastAsia" w:ascii="宋体" w:hAnsi="宋体" w:eastAsia="宋体" w:cs="Arial"/>
          <w:sz w:val="22"/>
          <w:szCs w:val="22"/>
        </w:rPr>
      </w:pPr>
      <w:r>
        <w:rPr>
          <w:rFonts w:hint="eastAsia" w:ascii="宋体" w:hAnsi="宋体" w:eastAsia="宋体" w:cs="Arial"/>
          <w:sz w:val="22"/>
          <w:szCs w:val="22"/>
        </w:rPr>
        <w:t>4.1、供应商应按招标文件中《开标一览表》填写投标总价。</w:t>
      </w:r>
    </w:p>
    <w:p w14:paraId="14F1E5D1">
      <w:pPr>
        <w:autoSpaceDE w:val="0"/>
        <w:autoSpaceDN w:val="0"/>
        <w:adjustRightInd w:val="0"/>
        <w:snapToGrid w:val="0"/>
        <w:spacing w:line="360" w:lineRule="auto"/>
        <w:ind w:firstLine="440" w:firstLineChars="200"/>
        <w:textAlignment w:val="bottom"/>
        <w:rPr>
          <w:rFonts w:ascii="宋体" w:hAnsi="宋体" w:cs="Arial"/>
          <w:bCs/>
          <w:sz w:val="22"/>
          <w:szCs w:val="22"/>
        </w:rPr>
      </w:pPr>
      <w:r>
        <w:rPr>
          <w:rFonts w:hint="eastAsia" w:ascii="宋体" w:hAnsi="宋体" w:cs="Arial"/>
          <w:bCs/>
          <w:sz w:val="22"/>
          <w:szCs w:val="22"/>
        </w:rPr>
        <w:t>4.2、本次招标只允许有一个报价，有选择的报价将不予接受。</w:t>
      </w:r>
    </w:p>
    <w:p w14:paraId="14451572">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4.3、</w:t>
      </w:r>
      <w:r>
        <w:rPr>
          <w:rFonts w:hint="eastAsia" w:ascii="宋体" w:hAnsi="宋体" w:cs="Arial"/>
          <w:b/>
          <w:sz w:val="22"/>
          <w:szCs w:val="22"/>
          <w:u w:val="single"/>
        </w:rPr>
        <w:t>本次招标只有一次投标报价的机会，投标报价为本次招标所有服务的全部费用。</w:t>
      </w:r>
      <w:r>
        <w:rPr>
          <w:rFonts w:hint="eastAsia" w:ascii="宋体" w:hAnsi="宋体" w:cs="Arial"/>
          <w:sz w:val="22"/>
          <w:szCs w:val="22"/>
        </w:rPr>
        <w:t>供应商应在各自技术和商务占优势的基础上并充分考虑本项目的重要性，提供对采购人最优惠的投标报价。</w:t>
      </w:r>
    </w:p>
    <w:p w14:paraId="41133183">
      <w:pPr>
        <w:autoSpaceDE w:val="0"/>
        <w:autoSpaceDN w:val="0"/>
        <w:adjustRightInd w:val="0"/>
        <w:snapToGrid w:val="0"/>
        <w:spacing w:line="360" w:lineRule="auto"/>
        <w:ind w:firstLine="442" w:firstLineChars="200"/>
        <w:textAlignment w:val="bottom"/>
        <w:rPr>
          <w:rFonts w:ascii="宋体" w:hAnsi="宋体" w:cs="Arial"/>
          <w:b/>
          <w:sz w:val="22"/>
          <w:szCs w:val="22"/>
        </w:rPr>
      </w:pPr>
      <w:r>
        <w:rPr>
          <w:rFonts w:hint="eastAsia" w:ascii="宋体" w:hAnsi="宋体" w:cs="Arial"/>
          <w:b/>
          <w:sz w:val="22"/>
          <w:szCs w:val="22"/>
        </w:rPr>
        <w:t>4.4、投标报价应包含以下费用。</w:t>
      </w:r>
    </w:p>
    <w:p w14:paraId="217CBB77">
      <w:pPr>
        <w:autoSpaceDE w:val="0"/>
        <w:autoSpaceDN w:val="0"/>
        <w:adjustRightInd w:val="0"/>
        <w:snapToGrid w:val="0"/>
        <w:spacing w:line="360" w:lineRule="auto"/>
        <w:ind w:firstLine="431" w:firstLineChars="196"/>
        <w:textAlignment w:val="bottom"/>
        <w:rPr>
          <w:rFonts w:ascii="宋体" w:hAnsi="宋体" w:cs="Arial"/>
          <w:b/>
          <w:sz w:val="22"/>
          <w:szCs w:val="22"/>
          <w:u w:val="single"/>
        </w:rPr>
      </w:pPr>
      <w:r>
        <w:rPr>
          <w:rFonts w:hint="eastAsia" w:ascii="宋体" w:hAnsi="宋体"/>
          <w:sz w:val="22"/>
          <w:szCs w:val="22"/>
        </w:rPr>
        <w:t>▲</w:t>
      </w:r>
      <w:r>
        <w:rPr>
          <w:rFonts w:hint="eastAsia" w:ascii="宋体" w:hAnsi="宋体" w:cs="Arial"/>
          <w:b/>
          <w:sz w:val="22"/>
          <w:szCs w:val="22"/>
          <w:u w:val="single"/>
        </w:rPr>
        <w:t>供应商在投标报价中应充分考虑所有可能发生的费用，否则采购人将视投标总价中已包括所有费用。</w:t>
      </w:r>
    </w:p>
    <w:p w14:paraId="19C5CC4E">
      <w:pPr>
        <w:autoSpaceDE w:val="0"/>
        <w:autoSpaceDN w:val="0"/>
        <w:adjustRightInd w:val="0"/>
        <w:snapToGrid w:val="0"/>
        <w:spacing w:line="360" w:lineRule="auto"/>
        <w:ind w:firstLine="431" w:firstLineChars="196"/>
        <w:textAlignment w:val="bottom"/>
        <w:rPr>
          <w:rFonts w:ascii="宋体" w:hAnsi="宋体" w:cs="Arial"/>
          <w:b/>
          <w:color w:val="FF0000"/>
          <w:sz w:val="22"/>
          <w:szCs w:val="22"/>
          <w:u w:val="single"/>
        </w:rPr>
      </w:pPr>
      <w:r>
        <w:rPr>
          <w:rFonts w:hint="eastAsia" w:ascii="宋体" w:hAnsi="宋体" w:cs="Arial"/>
          <w:sz w:val="22"/>
          <w:szCs w:val="22"/>
          <w:u w:val="single"/>
        </w:rPr>
        <w:t>供应商对在合同执行中，除上述费用及招标文件规定的由中标供应商负责的工作范围以外需要采购人协调或提供便利的工作应当在投标文件中说明。</w:t>
      </w:r>
    </w:p>
    <w:p w14:paraId="39F34CCE">
      <w:pPr>
        <w:autoSpaceDE w:val="0"/>
        <w:autoSpaceDN w:val="0"/>
        <w:adjustRightInd w:val="0"/>
        <w:snapToGrid w:val="0"/>
        <w:spacing w:line="360" w:lineRule="auto"/>
        <w:ind w:firstLine="431" w:firstLineChars="196"/>
        <w:textAlignment w:val="bottom"/>
        <w:rPr>
          <w:rFonts w:hint="eastAsia" w:ascii="宋体" w:hAnsi="宋体" w:cs="Arial"/>
          <w:sz w:val="22"/>
          <w:szCs w:val="22"/>
        </w:rPr>
      </w:pPr>
      <w:r>
        <w:rPr>
          <w:rFonts w:hint="eastAsia" w:ascii="宋体" w:hAnsi="宋体" w:cs="Arial"/>
          <w:bCs/>
          <w:sz w:val="22"/>
          <w:szCs w:val="22"/>
        </w:rPr>
        <w:t>填写报价表格时，各项费用应如实填写。</w:t>
      </w:r>
      <w:r>
        <w:rPr>
          <w:rFonts w:hint="eastAsia" w:ascii="宋体" w:hAnsi="宋体" w:cs="Arial"/>
          <w:sz w:val="22"/>
          <w:szCs w:val="22"/>
        </w:rPr>
        <w:t>采购人要求分类报价是为了方便评标，但在任何情况下不限制采购人以其认为最合适的条款签订合同的权利。</w:t>
      </w:r>
    </w:p>
    <w:p w14:paraId="01199A73">
      <w:pPr>
        <w:pStyle w:val="21"/>
        <w:adjustRightInd w:val="0"/>
        <w:spacing w:line="360" w:lineRule="auto"/>
        <w:ind w:firstLine="442" w:firstLineChars="200"/>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4.5评审中出现下列情形之一的，评审委员会应当启动异常低价投标（响应）审查程序：</w:t>
      </w:r>
    </w:p>
    <w:p w14:paraId="76AB4C31">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1.投标（响应）报价低于全部通过符合性审查供应商投标（响应）报价平均值50%的，即投标（响应）报价&lt;全部通过符合性审查供应商投标（响应）报价平均值×50%；</w:t>
      </w:r>
    </w:p>
    <w:p w14:paraId="0705FBC6">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2.投标（响应）报价低于通过符合性审查的次低报价供应商投标（响应）报价50%的，即投标（响应）报价&lt;通过符合性审查的次低报价供应商投标（响应）报价×50%；</w:t>
      </w:r>
    </w:p>
    <w:p w14:paraId="7C81B659">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3.投标（响应）报价低于采购项目最高限价50%的，即投标（响应）报价&lt;采购项目最高限价×50%；</w:t>
      </w:r>
    </w:p>
    <w:p w14:paraId="14F7EDA9">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4.评审委员会基于专业判断，认为供应商报价过低，有可能影响产品质量或者不能诚信履约的其他情形。</w:t>
      </w:r>
    </w:p>
    <w:p w14:paraId="4DEB24D5">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4.6评审委员会启动异常低价投标（响应）审查后，属于投标报价4.</w:t>
      </w:r>
      <w:r>
        <w:rPr>
          <w:rFonts w:hint="eastAsia" w:hAnsi="宋体" w:cs="宋体"/>
          <w:b w:val="0"/>
          <w:bCs w:val="0"/>
          <w:color w:val="auto"/>
          <w:kern w:val="0"/>
          <w:sz w:val="22"/>
          <w:szCs w:val="22"/>
          <w:highlight w:val="none"/>
          <w:lang w:val="en-US" w:eastAsia="zh-CN" w:bidi="ar-SA"/>
        </w:rPr>
        <w:t>5</w:t>
      </w:r>
      <w:r>
        <w:rPr>
          <w:rFonts w:hint="eastAsia" w:ascii="宋体" w:hAnsi="宋体" w:eastAsia="宋体" w:cs="宋体"/>
          <w:b w:val="0"/>
          <w:bCs w:val="0"/>
          <w:color w:val="auto"/>
          <w:kern w:val="0"/>
          <w:sz w:val="22"/>
          <w:szCs w:val="22"/>
          <w:highlight w:val="none"/>
          <w:lang w:val="en-US" w:eastAsia="zh-CN" w:bidi="ar-SA"/>
        </w:rPr>
        <w:t>第1项至第4项情形的，应当要求相关供应商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120901FF">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13FF3A">
      <w:pPr>
        <w:pStyle w:val="21"/>
        <w:adjustRightInd w:val="0"/>
        <w:spacing w:line="360" w:lineRule="auto"/>
        <w:ind w:firstLine="440"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D697192">
      <w:pPr>
        <w:pStyle w:val="3"/>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lang w:val="zh-CN"/>
        </w:rPr>
      </w:pPr>
      <w:r>
        <w:rPr>
          <w:rFonts w:hint="eastAsia" w:ascii="宋体" w:hAnsi="宋体" w:eastAsia="宋体" w:cs="宋体"/>
          <w:b w:val="0"/>
          <w:bCs w:val="0"/>
          <w:color w:val="auto"/>
          <w:kern w:val="0"/>
          <w:sz w:val="22"/>
          <w:szCs w:val="22"/>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414AE8F7">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ascii="宋体" w:hAnsi="宋体" w:cs="Arial"/>
          <w:sz w:val="22"/>
          <w:szCs w:val="22"/>
        </w:rPr>
      </w:pPr>
      <w:bookmarkStart w:id="22" w:name="_Toc132122413"/>
      <w:bookmarkStart w:id="23" w:name="_Toc132122116"/>
      <w:r>
        <w:rPr>
          <w:rFonts w:hint="eastAsia" w:ascii="宋体" w:hAnsi="宋体" w:cs="Arial"/>
          <w:sz w:val="22"/>
          <w:szCs w:val="22"/>
        </w:rPr>
        <w:t>5、投标保证金</w:t>
      </w:r>
      <w:bookmarkEnd w:id="22"/>
      <w:bookmarkEnd w:id="23"/>
    </w:p>
    <w:p w14:paraId="7D7CDAF6">
      <w:pPr>
        <w:pStyle w:val="21"/>
        <w:adjustRightInd w:val="0"/>
        <w:snapToGrid w:val="0"/>
        <w:spacing w:line="360" w:lineRule="auto"/>
        <w:ind w:firstLine="440" w:firstLineChars="200"/>
        <w:rPr>
          <w:sz w:val="22"/>
          <w:szCs w:val="22"/>
          <w:u w:val="single"/>
        </w:rPr>
      </w:pPr>
      <w:r>
        <w:rPr>
          <w:rFonts w:hint="eastAsia"/>
          <w:sz w:val="22"/>
          <w:szCs w:val="22"/>
          <w:u w:val="single"/>
        </w:rPr>
        <w:t>按照《浙江省财政厅关于明确政府采购保证金管理工作的通知》浙财采监〔2019〕5号文件规定，投标人无需缴纳投标保证金。</w:t>
      </w:r>
    </w:p>
    <w:p w14:paraId="68D1797D">
      <w:pPr>
        <w:pStyle w:val="21"/>
        <w:adjustRightInd w:val="0"/>
        <w:snapToGrid w:val="0"/>
        <w:spacing w:line="360" w:lineRule="auto"/>
        <w:ind w:firstLine="440" w:firstLineChars="200"/>
        <w:rPr>
          <w:rFonts w:hAnsi="宋体" w:cs="Arial"/>
          <w:sz w:val="22"/>
          <w:szCs w:val="22"/>
        </w:rPr>
      </w:pPr>
      <w:bookmarkStart w:id="24" w:name="_Toc132122414"/>
      <w:bookmarkStart w:id="25" w:name="_Toc132122117"/>
      <w:r>
        <w:rPr>
          <w:rFonts w:hint="eastAsia" w:hAnsi="宋体" w:cs="Arial"/>
          <w:sz w:val="22"/>
          <w:szCs w:val="22"/>
        </w:rPr>
        <w:t>6、投标文件的有效期</w:t>
      </w:r>
      <w:bookmarkEnd w:id="24"/>
      <w:bookmarkEnd w:id="25"/>
    </w:p>
    <w:p w14:paraId="0A337709">
      <w:pPr>
        <w:pStyle w:val="21"/>
        <w:adjustRightInd w:val="0"/>
        <w:snapToGrid w:val="0"/>
        <w:spacing w:line="360" w:lineRule="auto"/>
        <w:ind w:right="-160" w:rightChars="-76" w:firstLine="440" w:firstLineChars="200"/>
        <w:rPr>
          <w:rFonts w:hAnsi="宋体" w:cs="Arial"/>
          <w:sz w:val="22"/>
          <w:szCs w:val="22"/>
        </w:rPr>
      </w:pPr>
      <w:r>
        <w:rPr>
          <w:rFonts w:hint="eastAsia" w:hAnsi="宋体" w:cs="Arial"/>
          <w:sz w:val="22"/>
          <w:szCs w:val="22"/>
        </w:rPr>
        <w:t>6.1自开标日起90天内，投标文件应保持有效。有效期短于这个规定期限的投标将被拒绝。</w:t>
      </w:r>
    </w:p>
    <w:p w14:paraId="610534AE">
      <w:pPr>
        <w:pStyle w:val="21"/>
        <w:adjustRightInd w:val="0"/>
        <w:snapToGrid w:val="0"/>
        <w:spacing w:line="360" w:lineRule="auto"/>
        <w:ind w:firstLine="440" w:firstLineChars="200"/>
        <w:rPr>
          <w:rFonts w:hAnsi="宋体" w:cs="Arial"/>
          <w:sz w:val="22"/>
          <w:szCs w:val="22"/>
        </w:rPr>
      </w:pPr>
      <w:r>
        <w:rPr>
          <w:rFonts w:hint="eastAsia" w:hAnsi="宋体" w:cs="Arial"/>
          <w:sz w:val="22"/>
          <w:szCs w:val="22"/>
        </w:rPr>
        <w:t>6.2在特殊情况下，采购人可与供应商协商延长投标文件的有效期，这种要求和答复均应以书面形式进行。</w:t>
      </w:r>
    </w:p>
    <w:p w14:paraId="0D2C3EA5">
      <w:pPr>
        <w:pStyle w:val="21"/>
        <w:adjustRightInd w:val="0"/>
        <w:snapToGrid w:val="0"/>
        <w:spacing w:line="360" w:lineRule="auto"/>
        <w:ind w:firstLine="440" w:firstLineChars="200"/>
        <w:rPr>
          <w:rFonts w:hAnsi="宋体" w:cs="Arial"/>
          <w:sz w:val="22"/>
          <w:szCs w:val="22"/>
        </w:rPr>
      </w:pPr>
      <w:r>
        <w:rPr>
          <w:rFonts w:hint="eastAsia" w:hAnsi="宋体" w:cs="Arial"/>
          <w:sz w:val="22"/>
          <w:szCs w:val="22"/>
        </w:rPr>
        <w:t>6.3供应商可拒绝接受延期要求。同意延长有效期的供应商不能修改投标文件。</w:t>
      </w:r>
    </w:p>
    <w:p w14:paraId="54BDB58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hAnsi="宋体" w:cs="宋体"/>
          <w:b/>
          <w:sz w:val="22"/>
          <w:lang w:bidi="ar"/>
        </w:rPr>
      </w:pPr>
      <w:bookmarkStart w:id="26" w:name="_Toc132122118"/>
      <w:bookmarkStart w:id="27" w:name="_Toc132122415"/>
      <w:r>
        <w:rPr>
          <w:rFonts w:hint="eastAsia" w:ascii="宋体" w:hAnsi="宋体" w:cs="宋体"/>
          <w:b/>
          <w:sz w:val="22"/>
          <w:lang w:bidi="ar"/>
        </w:rPr>
        <w:t>7、投标文件的份数</w:t>
      </w:r>
      <w:bookmarkEnd w:id="26"/>
      <w:bookmarkEnd w:id="27"/>
    </w:p>
    <w:p w14:paraId="67890AA0">
      <w:pPr>
        <w:spacing w:line="360" w:lineRule="auto"/>
        <w:ind w:firstLine="442" w:firstLineChars="200"/>
        <w:rPr>
          <w:rFonts w:ascii="宋体" w:hAnsi="宋体" w:cs="宋体"/>
          <w:b/>
          <w:sz w:val="22"/>
          <w:lang w:bidi="ar"/>
        </w:rPr>
      </w:pPr>
      <w:r>
        <w:rPr>
          <w:rFonts w:hint="eastAsia" w:ascii="宋体" w:hAnsi="宋体" w:cs="宋体"/>
          <w:b/>
          <w:sz w:val="22"/>
          <w:lang w:bidi="ar"/>
        </w:rPr>
        <w:t>（1）“电子加密投标文件”：在线上传递交（一份）。</w:t>
      </w:r>
    </w:p>
    <w:p w14:paraId="329EEF8A">
      <w:pPr>
        <w:pStyle w:val="21"/>
        <w:adjustRightInd w:val="0"/>
        <w:snapToGrid w:val="0"/>
        <w:spacing w:line="360" w:lineRule="auto"/>
        <w:ind w:firstLine="442" w:firstLineChars="200"/>
        <w:outlineLvl w:val="9"/>
        <w:rPr>
          <w:rFonts w:hAnsi="宋体" w:cs="Arial"/>
          <w:bCs/>
          <w:sz w:val="22"/>
          <w:szCs w:val="22"/>
        </w:rPr>
      </w:pPr>
      <w:r>
        <w:rPr>
          <w:rFonts w:hint="eastAsia" w:hAnsi="宋体" w:cs="宋体"/>
          <w:b/>
          <w:sz w:val="22"/>
          <w:lang w:bidi="ar"/>
        </w:rPr>
        <w:t>（2）“备份投标文件”：密封包装后（</w:t>
      </w:r>
      <w:r>
        <w:rPr>
          <w:rFonts w:hint="eastAsia" w:hAnsi="宋体"/>
          <w:b/>
          <w:sz w:val="22"/>
          <w:szCs w:val="24"/>
        </w:rPr>
        <w:t>当面送达由代理单位签收或采用邮寄形式由代理单位签收</w:t>
      </w:r>
      <w:r>
        <w:rPr>
          <w:rFonts w:hint="eastAsia" w:hAnsi="宋体" w:cs="宋体"/>
          <w:b/>
          <w:sz w:val="22"/>
          <w:lang w:bidi="ar"/>
        </w:rPr>
        <w:t>）投标截止时间前递交（一份）（收件地址：</w:t>
      </w:r>
      <w:r>
        <w:rPr>
          <w:rFonts w:hint="eastAsia" w:hAnsi="宋体" w:cs="宋体"/>
          <w:b/>
          <w:sz w:val="22"/>
          <w:lang w:eastAsia="zh-CN" w:bidi="ar"/>
        </w:rPr>
        <w:t>苍南县灵溪镇东方景园二号商务楼四楼403-404</w:t>
      </w:r>
      <w:r>
        <w:rPr>
          <w:rFonts w:hint="eastAsia" w:hAnsi="宋体" w:cs="宋体"/>
          <w:b/>
          <w:sz w:val="22"/>
          <w:lang w:bidi="ar"/>
        </w:rPr>
        <w:t>（</w:t>
      </w:r>
      <w:r>
        <w:rPr>
          <w:rFonts w:hint="eastAsia" w:hAnsi="宋体" w:cs="宋体"/>
          <w:b/>
          <w:sz w:val="22"/>
          <w:lang w:eastAsia="zh-CN" w:bidi="ar"/>
        </w:rPr>
        <w:t>浙江明业项目管理有限公司</w:t>
      </w:r>
      <w:r>
        <w:rPr>
          <w:rFonts w:hint="eastAsia" w:hAnsi="宋体" w:cs="宋体"/>
          <w:b/>
          <w:sz w:val="22"/>
          <w:lang w:bidi="ar"/>
        </w:rPr>
        <w:t xml:space="preserve">  </w:t>
      </w:r>
      <w:r>
        <w:rPr>
          <w:rFonts w:hint="eastAsia" w:hAnsi="宋体" w:cs="宋体"/>
          <w:b/>
          <w:sz w:val="22"/>
          <w:lang w:eastAsia="zh-CN" w:bidi="ar"/>
        </w:rPr>
        <w:t>陈先生</w:t>
      </w:r>
      <w:r>
        <w:rPr>
          <w:rFonts w:hint="eastAsia" w:hAnsi="宋体" w:cs="宋体"/>
          <w:b/>
          <w:sz w:val="22"/>
          <w:lang w:bidi="ar"/>
        </w:rPr>
        <w:t>收 联系电话：</w:t>
      </w:r>
      <w:r>
        <w:rPr>
          <w:rFonts w:hint="eastAsia" w:hAnsi="宋体" w:cs="宋体"/>
          <w:b/>
          <w:sz w:val="22"/>
          <w:lang w:eastAsia="zh-CN" w:bidi="ar"/>
        </w:rPr>
        <w:t>0577-59957530、15805772042</w:t>
      </w:r>
      <w:r>
        <w:rPr>
          <w:rFonts w:hint="eastAsia" w:hAnsi="宋体" w:cs="宋体"/>
          <w:b/>
          <w:sz w:val="22"/>
          <w:lang w:bidi="ar"/>
        </w:rPr>
        <w:t>）。</w:t>
      </w:r>
      <w:r>
        <w:rPr>
          <w:rFonts w:hint="eastAsia" w:hAnsi="宋体" w:cs="Arial"/>
          <w:bCs/>
          <w:sz w:val="22"/>
          <w:szCs w:val="22"/>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499949">
      <w:pPr>
        <w:pStyle w:val="21"/>
        <w:adjustRightInd w:val="0"/>
        <w:snapToGrid w:val="0"/>
        <w:spacing w:line="360" w:lineRule="auto"/>
        <w:ind w:firstLine="442"/>
        <w:outlineLvl w:val="1"/>
        <w:rPr>
          <w:rFonts w:hAnsi="宋体" w:cs="Arial"/>
          <w:b/>
          <w:bCs/>
          <w:sz w:val="22"/>
        </w:rPr>
      </w:pPr>
      <w:r>
        <w:rPr>
          <w:rFonts w:hint="eastAsia" w:hAnsi="宋体" w:cs="Arial"/>
          <w:b/>
          <w:bCs/>
          <w:sz w:val="22"/>
        </w:rPr>
        <w:t>五、投标文件的上传与递交</w:t>
      </w:r>
    </w:p>
    <w:p w14:paraId="0CD2C4E7">
      <w:pPr>
        <w:pStyle w:val="21"/>
        <w:adjustRightInd w:val="0"/>
        <w:snapToGrid w:val="0"/>
        <w:spacing w:line="360" w:lineRule="auto"/>
        <w:ind w:firstLine="442" w:firstLineChars="200"/>
        <w:rPr>
          <w:rFonts w:hAnsi="宋体" w:cs="Arial"/>
          <w:b/>
          <w:sz w:val="22"/>
        </w:rPr>
      </w:pPr>
      <w:r>
        <w:rPr>
          <w:rFonts w:hint="eastAsia" w:hAnsi="宋体" w:cs="Arial"/>
          <w:b/>
          <w:sz w:val="22"/>
        </w:rPr>
        <w:t>1、投标文件的上传与递交</w:t>
      </w:r>
    </w:p>
    <w:p w14:paraId="05DA9EA3">
      <w:pPr>
        <w:spacing w:line="360" w:lineRule="auto"/>
        <w:ind w:firstLine="442" w:firstLineChars="200"/>
        <w:rPr>
          <w:rFonts w:ascii="宋体" w:hAnsi="宋体" w:cs="宋体"/>
          <w:b/>
          <w:sz w:val="22"/>
          <w:lang w:bidi="ar"/>
        </w:rPr>
      </w:pPr>
      <w:r>
        <w:rPr>
          <w:rFonts w:hint="eastAsia" w:ascii="宋体" w:hAnsi="宋体" w:cs="宋体"/>
          <w:b/>
          <w:sz w:val="22"/>
          <w:lang w:bidi="ar"/>
        </w:rPr>
        <w:t>（1）“电子加密投标文件”的上传、递交：</w:t>
      </w:r>
    </w:p>
    <w:p w14:paraId="13DF6EEB">
      <w:pPr>
        <w:spacing w:line="360" w:lineRule="auto"/>
        <w:ind w:firstLine="420"/>
        <w:rPr>
          <w:rFonts w:ascii="宋体" w:hAnsi="宋体" w:cs="宋体"/>
          <w:b/>
          <w:sz w:val="22"/>
          <w:lang w:bidi="ar"/>
        </w:rPr>
      </w:pPr>
      <w:r>
        <w:rPr>
          <w:rFonts w:hint="eastAsia" w:ascii="宋体" w:hAnsi="宋体" w:cs="宋体"/>
          <w:b/>
          <w:sz w:val="22"/>
          <w:lang w:bidi="ar"/>
        </w:rPr>
        <w:t>a.投标供应商应在投标截止时间前将“电子加密投标文件”成功上传递交至“政府采购云平台”，否则投标无效。</w:t>
      </w:r>
    </w:p>
    <w:p w14:paraId="06DBC6AD">
      <w:pPr>
        <w:spacing w:line="360" w:lineRule="auto"/>
        <w:ind w:firstLine="420"/>
        <w:rPr>
          <w:rFonts w:ascii="宋体" w:hAnsi="宋体" w:cs="宋体"/>
          <w:b/>
          <w:sz w:val="22"/>
          <w:lang w:bidi="ar"/>
        </w:rPr>
      </w:pPr>
      <w:r>
        <w:rPr>
          <w:rFonts w:hint="eastAsia" w:ascii="宋体" w:hAnsi="宋体" w:cs="宋体"/>
          <w:b/>
          <w:sz w:val="22"/>
          <w:lang w:bidi="ar"/>
        </w:rPr>
        <w:t>b.“电子加密投标文件”成功上传递交后，供应商可自行打印投标文件接收回执。</w:t>
      </w:r>
    </w:p>
    <w:p w14:paraId="0870B87F">
      <w:pPr>
        <w:spacing w:line="360" w:lineRule="auto"/>
        <w:ind w:firstLine="442" w:firstLineChars="200"/>
        <w:rPr>
          <w:rFonts w:ascii="宋体" w:hAnsi="宋体" w:cs="宋体"/>
          <w:b/>
          <w:sz w:val="22"/>
          <w:lang w:bidi="ar"/>
        </w:rPr>
      </w:pPr>
      <w:r>
        <w:rPr>
          <w:rFonts w:hint="eastAsia" w:ascii="宋体" w:hAnsi="宋体" w:cs="宋体"/>
          <w:b/>
          <w:sz w:val="22"/>
          <w:lang w:bidi="ar"/>
        </w:rPr>
        <w:t>（2）“备份投标文件”的密封包装、递交：</w:t>
      </w:r>
    </w:p>
    <w:p w14:paraId="773AA3E9">
      <w:pPr>
        <w:spacing w:line="360" w:lineRule="auto"/>
        <w:ind w:firstLine="420"/>
        <w:rPr>
          <w:rFonts w:ascii="宋体" w:hAnsi="宋体" w:cs="宋体"/>
          <w:b/>
          <w:sz w:val="22"/>
          <w:lang w:bidi="ar"/>
        </w:rPr>
      </w:pPr>
      <w:r>
        <w:rPr>
          <w:rFonts w:hint="eastAsia" w:ascii="宋体" w:hAnsi="宋体" w:cs="宋体"/>
          <w:b/>
          <w:sz w:val="22"/>
          <w:lang w:bidi="ar"/>
        </w:rPr>
        <w:t>a.投标供应商在“政府采购云平台”完成“电子加密投标文件”的上传递交后，还可以（</w:t>
      </w:r>
      <w:r>
        <w:rPr>
          <w:rFonts w:hint="eastAsia" w:ascii="宋体" w:hAnsi="宋体"/>
          <w:b/>
          <w:sz w:val="22"/>
        </w:rPr>
        <w:t>当面送达由代理单位签收或采用邮寄形式由代理单位签收</w:t>
      </w:r>
      <w:r>
        <w:rPr>
          <w:rFonts w:hint="eastAsia" w:ascii="宋体" w:hAnsi="宋体" w:cs="宋体"/>
          <w:b/>
          <w:sz w:val="22"/>
          <w:lang w:bidi="ar"/>
        </w:rPr>
        <w:t>）在投标截止时间前递交以介质（U盘）存储的 “备份投标文件”（一份）；</w:t>
      </w:r>
    </w:p>
    <w:p w14:paraId="42684551">
      <w:pPr>
        <w:spacing w:line="360" w:lineRule="auto"/>
        <w:ind w:firstLine="420"/>
        <w:rPr>
          <w:rFonts w:ascii="宋体" w:hAnsi="宋体" w:cs="宋体"/>
          <w:b/>
          <w:sz w:val="22"/>
          <w:lang w:bidi="ar"/>
        </w:rPr>
      </w:pPr>
      <w:r>
        <w:rPr>
          <w:rFonts w:hint="eastAsia" w:ascii="宋体" w:hAnsi="宋体" w:cs="宋体"/>
          <w:b/>
          <w:sz w:val="22"/>
          <w:lang w:bidi="ar"/>
        </w:rPr>
        <w:t>b.“备份投标文件”应当密封包装，并在包装上标注投标项目名称、投标单位名称并加盖公章。没有密封包装或者逾期送达至投标地点的“备份投标文件”将不予接收；</w:t>
      </w:r>
    </w:p>
    <w:p w14:paraId="56BF5169">
      <w:pPr>
        <w:spacing w:line="460" w:lineRule="exact"/>
        <w:ind w:firstLine="442" w:firstLineChars="200"/>
        <w:rPr>
          <w:rFonts w:hAnsi="宋体" w:cs="宋体"/>
          <w:b/>
          <w:sz w:val="22"/>
          <w:lang w:bidi="ar"/>
        </w:rPr>
      </w:pPr>
      <w:r>
        <w:rPr>
          <w:rFonts w:hint="eastAsia" w:hAnsi="宋体" w:cs="宋体"/>
          <w:b/>
          <w:sz w:val="22"/>
          <w:lang w:bidi="ar"/>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CEB1299">
      <w:pPr>
        <w:pStyle w:val="21"/>
        <w:adjustRightInd w:val="0"/>
        <w:snapToGrid w:val="0"/>
        <w:spacing w:line="454" w:lineRule="atLeast"/>
        <w:ind w:firstLine="440" w:firstLineChars="200"/>
        <w:rPr>
          <w:rFonts w:hAnsi="宋体" w:cs="Arial"/>
          <w:sz w:val="22"/>
          <w:szCs w:val="22"/>
        </w:rPr>
      </w:pPr>
      <w:r>
        <w:rPr>
          <w:rFonts w:hint="eastAsia" w:hAnsi="宋体" w:cs="Arial"/>
          <w:sz w:val="22"/>
          <w:szCs w:val="22"/>
        </w:rPr>
        <w:t>2、投标截止时间</w:t>
      </w:r>
    </w:p>
    <w:p w14:paraId="6A84DABC">
      <w:pPr>
        <w:pStyle w:val="21"/>
        <w:adjustRightInd w:val="0"/>
        <w:snapToGrid w:val="0"/>
        <w:spacing w:line="440" w:lineRule="atLeast"/>
        <w:rPr>
          <w:rFonts w:hAnsi="宋体" w:cs="Arial"/>
          <w:sz w:val="22"/>
          <w:szCs w:val="22"/>
        </w:rPr>
      </w:pPr>
      <w:r>
        <w:rPr>
          <w:rFonts w:hint="eastAsia" w:hAnsi="宋体" w:cs="Arial"/>
          <w:sz w:val="22"/>
          <w:szCs w:val="22"/>
        </w:rPr>
        <w:t xml:space="preserve">    2.1</w:t>
      </w:r>
      <w:r>
        <w:rPr>
          <w:rFonts w:hint="eastAsia" w:hAnsi="宋体" w:cs="Arial"/>
          <w:sz w:val="22"/>
        </w:rPr>
        <w:t>投标文件必须在投标文件递交截止时间前成功上传递交至“政府采购云平台”，否则投标无效。</w:t>
      </w:r>
    </w:p>
    <w:p w14:paraId="09288EC9">
      <w:pPr>
        <w:pStyle w:val="10"/>
        <w:adjustRightInd w:val="0"/>
        <w:snapToGrid w:val="0"/>
        <w:spacing w:before="120" w:beforeLines="50" w:after="50" w:line="400" w:lineRule="atLeast"/>
        <w:ind w:firstLine="440"/>
        <w:rPr>
          <w:rFonts w:ascii="宋体"/>
          <w:sz w:val="22"/>
          <w:szCs w:val="22"/>
        </w:rPr>
      </w:pPr>
      <w:r>
        <w:rPr>
          <w:rFonts w:hint="eastAsia" w:ascii="宋体"/>
          <w:sz w:val="22"/>
          <w:szCs w:val="22"/>
        </w:rPr>
        <w:t>2.2招标代理机构如因故推迟投标截止时间，应在投标截止日前以更正公告形式通知所有投标人。在这种情况下，投标人的权利和义务将受到新的截止时间的约束。</w:t>
      </w:r>
    </w:p>
    <w:p w14:paraId="6F650A6E">
      <w:pPr>
        <w:pStyle w:val="10"/>
        <w:adjustRightInd w:val="0"/>
        <w:snapToGrid w:val="0"/>
        <w:spacing w:before="120" w:beforeLines="50" w:after="50" w:line="360" w:lineRule="auto"/>
        <w:ind w:firstLine="440"/>
        <w:rPr>
          <w:rFonts w:ascii="宋体"/>
          <w:sz w:val="22"/>
          <w:szCs w:val="22"/>
        </w:rPr>
      </w:pPr>
      <w:r>
        <w:rPr>
          <w:rFonts w:hint="eastAsia" w:ascii="宋体"/>
          <w:sz w:val="22"/>
          <w:szCs w:val="22"/>
        </w:rPr>
        <w:t>3、投标文件的修改和撤回</w:t>
      </w:r>
    </w:p>
    <w:p w14:paraId="50A4DA70">
      <w:pPr>
        <w:pStyle w:val="21"/>
        <w:adjustRightInd w:val="0"/>
        <w:snapToGrid w:val="0"/>
        <w:spacing w:line="360" w:lineRule="auto"/>
        <w:ind w:firstLine="433" w:firstLineChars="196"/>
        <w:rPr>
          <w:rFonts w:hAnsi="宋体" w:cs="Arial"/>
          <w:b/>
          <w:kern w:val="0"/>
          <w:sz w:val="22"/>
        </w:rPr>
      </w:pPr>
      <w:r>
        <w:rPr>
          <w:rFonts w:hint="eastAsia" w:hAnsi="宋体" w:cs="Arial"/>
          <w:b/>
          <w:kern w:val="0"/>
          <w:sz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r>
        <w:rPr>
          <w:rFonts w:hAnsi="宋体" w:cs="Arial"/>
          <w:b/>
          <w:kern w:val="0"/>
          <w:sz w:val="22"/>
        </w:rPr>
        <w:t>投标截止时间后，投标供应商不得撤回、修改投标文件</w:t>
      </w:r>
      <w:r>
        <w:rPr>
          <w:rFonts w:hint="eastAsia" w:hAnsi="宋体" w:cs="Arial"/>
          <w:b/>
          <w:kern w:val="0"/>
          <w:sz w:val="22"/>
        </w:rPr>
        <w:t>。</w:t>
      </w:r>
    </w:p>
    <w:p w14:paraId="6D36DB8F">
      <w:pPr>
        <w:pStyle w:val="21"/>
        <w:adjustRightInd w:val="0"/>
        <w:snapToGrid w:val="0"/>
        <w:spacing w:line="360" w:lineRule="auto"/>
        <w:ind w:firstLine="440"/>
        <w:rPr>
          <w:rFonts w:hAnsi="宋体" w:cs="Arial"/>
          <w:sz w:val="22"/>
        </w:rPr>
      </w:pPr>
      <w:r>
        <w:rPr>
          <w:rFonts w:hint="eastAsia" w:hAnsi="宋体" w:cs="Arial"/>
          <w:sz w:val="22"/>
        </w:rPr>
        <w:t>4、投标文件的备选方案</w:t>
      </w:r>
    </w:p>
    <w:p w14:paraId="000A3B1A">
      <w:pPr>
        <w:pStyle w:val="21"/>
        <w:adjustRightInd w:val="0"/>
        <w:snapToGrid w:val="0"/>
        <w:spacing w:line="360" w:lineRule="auto"/>
        <w:ind w:firstLine="433" w:firstLineChars="196"/>
        <w:outlineLvl w:val="9"/>
        <w:rPr>
          <w:rFonts w:hAnsi="宋体" w:cs="Arial"/>
          <w:b/>
          <w:kern w:val="0"/>
          <w:sz w:val="22"/>
        </w:rPr>
      </w:pPr>
      <w:r>
        <w:rPr>
          <w:rFonts w:hint="eastAsia" w:hAnsi="宋体" w:cs="Arial"/>
          <w:b/>
          <w:kern w:val="0"/>
          <w:sz w:val="22"/>
        </w:rPr>
        <w:t>投标供应商不得递交任何的</w:t>
      </w:r>
      <w:r>
        <w:rPr>
          <w:rFonts w:hAnsi="宋体" w:cs="Arial"/>
          <w:b/>
          <w:kern w:val="0"/>
          <w:sz w:val="22"/>
        </w:rPr>
        <w:t>投标备选（替代）方案</w:t>
      </w:r>
      <w:r>
        <w:rPr>
          <w:rFonts w:hint="eastAsia" w:hAnsi="宋体" w:cs="Arial"/>
          <w:b/>
          <w:kern w:val="0"/>
          <w:sz w:val="22"/>
        </w:rPr>
        <w:t>，否则其投标文件将作无效标处理。与“电子加密投标文件”同时生成的“备份投标文件”不是投标备选（替代）方案。</w:t>
      </w:r>
    </w:p>
    <w:p w14:paraId="4C2C9F5F">
      <w:pPr>
        <w:pStyle w:val="21"/>
        <w:adjustRightInd w:val="0"/>
        <w:snapToGrid w:val="0"/>
        <w:spacing w:line="360" w:lineRule="auto"/>
        <w:ind w:firstLine="435" w:firstLineChars="197"/>
        <w:outlineLvl w:val="1"/>
        <w:rPr>
          <w:rFonts w:hAnsi="宋体"/>
          <w:b/>
          <w:sz w:val="22"/>
          <w:szCs w:val="22"/>
        </w:rPr>
      </w:pPr>
      <w:r>
        <w:rPr>
          <w:rFonts w:hint="eastAsia" w:hAnsi="宋体"/>
          <w:b/>
          <w:sz w:val="22"/>
          <w:szCs w:val="22"/>
        </w:rPr>
        <w:t>六、开标和评标</w:t>
      </w:r>
    </w:p>
    <w:p w14:paraId="5322A589">
      <w:pPr>
        <w:pStyle w:val="21"/>
        <w:adjustRightInd w:val="0"/>
        <w:snapToGrid w:val="0"/>
        <w:spacing w:line="360" w:lineRule="auto"/>
        <w:ind w:firstLine="440"/>
        <w:rPr>
          <w:rFonts w:hAnsi="宋体"/>
          <w:sz w:val="22"/>
        </w:rPr>
      </w:pPr>
      <w:r>
        <w:rPr>
          <w:rFonts w:hint="eastAsia" w:hAnsi="宋体"/>
          <w:sz w:val="22"/>
        </w:rPr>
        <w:t>1、开标形式</w:t>
      </w:r>
    </w:p>
    <w:p w14:paraId="1127414C">
      <w:pPr>
        <w:pStyle w:val="21"/>
        <w:adjustRightInd w:val="0"/>
        <w:snapToGrid w:val="0"/>
        <w:spacing w:line="360" w:lineRule="auto"/>
        <w:ind w:firstLine="442"/>
        <w:rPr>
          <w:rFonts w:hAnsi="宋体"/>
          <w:b/>
          <w:sz w:val="22"/>
        </w:rPr>
      </w:pPr>
      <w:r>
        <w:rPr>
          <w:rFonts w:hint="eastAsia" w:hAnsi="宋体"/>
          <w:b/>
          <w:sz w:val="22"/>
        </w:rPr>
        <w:t>1.1采购组织机构将按照招标文件规定的时间通过“政府采购云平台”组织开标、开启投标文件，所有供应商均应当准时在线参加。</w:t>
      </w:r>
    </w:p>
    <w:p w14:paraId="6FED334A">
      <w:pPr>
        <w:pStyle w:val="21"/>
        <w:adjustRightInd w:val="0"/>
        <w:snapToGrid w:val="0"/>
        <w:spacing w:line="360" w:lineRule="auto"/>
        <w:ind w:firstLine="440"/>
        <w:rPr>
          <w:rFonts w:hAnsi="宋体"/>
          <w:sz w:val="22"/>
        </w:rPr>
      </w:pPr>
      <w:r>
        <w:rPr>
          <w:rFonts w:hint="eastAsia" w:hAnsi="宋体"/>
          <w:sz w:val="22"/>
        </w:rPr>
        <w:t>2、</w:t>
      </w:r>
      <w:r>
        <w:rPr>
          <w:rFonts w:hAnsi="宋体"/>
          <w:sz w:val="22"/>
        </w:rPr>
        <w:t>开标</w:t>
      </w:r>
      <w:r>
        <w:rPr>
          <w:rFonts w:hint="eastAsia" w:hAnsi="宋体"/>
          <w:sz w:val="22"/>
        </w:rPr>
        <w:t>准备</w:t>
      </w:r>
    </w:p>
    <w:p w14:paraId="34F96357">
      <w:pPr>
        <w:pStyle w:val="21"/>
        <w:adjustRightInd w:val="0"/>
        <w:snapToGrid w:val="0"/>
        <w:spacing w:line="360" w:lineRule="auto"/>
        <w:ind w:firstLine="440"/>
        <w:rPr>
          <w:rFonts w:hAnsi="宋体"/>
          <w:sz w:val="22"/>
        </w:rPr>
      </w:pPr>
      <w:r>
        <w:rPr>
          <w:rFonts w:hAnsi="宋体"/>
          <w:sz w:val="22"/>
        </w:rPr>
        <w:t>2</w:t>
      </w:r>
      <w:r>
        <w:rPr>
          <w:rFonts w:hint="eastAsia" w:hAnsi="宋体"/>
          <w:sz w:val="22"/>
        </w:rPr>
        <w:t>.1开标的准备工作由采购组织机构负责落实；</w:t>
      </w:r>
    </w:p>
    <w:p w14:paraId="32F8B3AD">
      <w:pPr>
        <w:pStyle w:val="21"/>
        <w:adjustRightInd w:val="0"/>
        <w:snapToGrid w:val="0"/>
        <w:spacing w:line="360" w:lineRule="auto"/>
        <w:ind w:firstLine="442"/>
        <w:rPr>
          <w:rFonts w:hAnsi="宋体"/>
          <w:b/>
          <w:sz w:val="22"/>
        </w:rPr>
      </w:pPr>
      <w:r>
        <w:rPr>
          <w:rFonts w:hAnsi="宋体"/>
          <w:b/>
          <w:sz w:val="22"/>
        </w:rPr>
        <w:t>2</w:t>
      </w:r>
      <w:r>
        <w:rPr>
          <w:rFonts w:hint="eastAsia" w:hAnsi="宋体"/>
          <w:b/>
          <w:sz w:val="22"/>
        </w:rPr>
        <w:t>.2采购组织机构将按照招标文件规定的时间通过“政府采购云平台”组织开标、开启投标文件，所有供应商均应当准时在线参加。投标供应商</w:t>
      </w:r>
      <w:r>
        <w:rPr>
          <w:rFonts w:hAnsi="宋体"/>
          <w:b/>
          <w:sz w:val="22"/>
        </w:rPr>
        <w:t>如不</w:t>
      </w:r>
      <w:r>
        <w:rPr>
          <w:rFonts w:hint="eastAsia" w:hAnsi="宋体"/>
          <w:b/>
          <w:sz w:val="22"/>
        </w:rPr>
        <w:t>参加</w:t>
      </w:r>
      <w:r>
        <w:rPr>
          <w:rFonts w:hAnsi="宋体"/>
          <w:b/>
          <w:sz w:val="22"/>
        </w:rPr>
        <w:t>开标大会的，</w:t>
      </w:r>
      <w:r>
        <w:rPr>
          <w:rFonts w:hint="eastAsia" w:hAnsi="宋体"/>
          <w:b/>
          <w:sz w:val="22"/>
        </w:rPr>
        <w:t>视同认可开标结果，</w:t>
      </w:r>
      <w:r>
        <w:rPr>
          <w:rFonts w:hAnsi="宋体"/>
          <w:b/>
          <w:sz w:val="22"/>
        </w:rPr>
        <w:t>事后不得对采购相关人员、开标过程和开标结果提出异议</w:t>
      </w:r>
      <w:r>
        <w:rPr>
          <w:rFonts w:hint="eastAsia" w:hAnsi="宋体"/>
          <w:b/>
          <w:sz w:val="22"/>
        </w:rPr>
        <w:t>，同时投标供应商因未在线参加开标而导致投标文件无法按时解密等一切后果由供应商自己承担。</w:t>
      </w:r>
    </w:p>
    <w:p w14:paraId="12DA3A53">
      <w:pPr>
        <w:spacing w:line="360" w:lineRule="auto"/>
        <w:ind w:firstLine="389" w:firstLineChars="177"/>
        <w:jc w:val="left"/>
        <w:rPr>
          <w:rFonts w:ascii="宋体" w:hAnsi="宋体"/>
          <w:sz w:val="22"/>
        </w:rPr>
      </w:pPr>
      <w:r>
        <w:rPr>
          <w:rFonts w:hint="eastAsia" w:ascii="宋体" w:hAnsi="宋体"/>
          <w:sz w:val="22"/>
        </w:rPr>
        <w:t>3、开标流程</w:t>
      </w:r>
    </w:p>
    <w:p w14:paraId="2ADC7D8F">
      <w:pPr>
        <w:spacing w:line="360" w:lineRule="auto"/>
        <w:ind w:firstLine="389" w:firstLineChars="177"/>
        <w:jc w:val="left"/>
        <w:rPr>
          <w:rFonts w:ascii="宋体" w:hAnsi="宋体" w:cs="Arial"/>
          <w:kern w:val="0"/>
          <w:sz w:val="22"/>
        </w:rPr>
      </w:pPr>
      <w:r>
        <w:rPr>
          <w:rFonts w:hint="eastAsia" w:ascii="宋体" w:hAnsi="宋体" w:cs="Arial"/>
          <w:kern w:val="0"/>
          <w:sz w:val="22"/>
        </w:rPr>
        <w:t>（1）投标文件解密结束后，各投标供应商签署《政府采购活动现场确认声明书》（格式详见附件），并在30分钟内以扫描件方式发送至代理机构邮箱（采购组织机构邮箱：297392427@qq.com，下同）否则按投标供应商默认处理；</w:t>
      </w:r>
    </w:p>
    <w:p w14:paraId="1C19EB09">
      <w:pPr>
        <w:spacing w:line="360" w:lineRule="auto"/>
        <w:ind w:firstLine="389" w:firstLineChars="177"/>
        <w:jc w:val="left"/>
        <w:rPr>
          <w:rFonts w:ascii="宋体" w:hAnsi="宋体" w:cs="Arial"/>
          <w:kern w:val="0"/>
          <w:sz w:val="22"/>
        </w:rPr>
      </w:pPr>
      <w:r>
        <w:rPr>
          <w:rFonts w:hint="eastAsia" w:ascii="宋体" w:hAnsi="宋体" w:cs="Arial"/>
          <w:kern w:val="0"/>
          <w:sz w:val="22"/>
        </w:rPr>
        <w:t>（2）向各投标供应商发出电子加密投标文件【开始解密】通知，由供应商在30分钟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22036381">
      <w:pPr>
        <w:spacing w:line="360" w:lineRule="auto"/>
        <w:ind w:firstLine="389" w:firstLineChars="177"/>
        <w:jc w:val="left"/>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）开启投标文件，进入资格审查；</w:t>
      </w:r>
    </w:p>
    <w:p w14:paraId="16E621CF">
      <w:pPr>
        <w:spacing w:line="360" w:lineRule="auto"/>
        <w:ind w:firstLine="389" w:firstLineChars="177"/>
        <w:jc w:val="left"/>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）资格审查未通过的供应商将通过政采云平台告知；资格审查通过的投标供应商进入符合性审查及</w:t>
      </w:r>
      <w:r>
        <w:rPr>
          <w:rFonts w:hint="eastAsia" w:ascii="宋体" w:hAnsi="宋体" w:cs="Arial"/>
          <w:kern w:val="0"/>
          <w:sz w:val="22"/>
          <w:lang w:eastAsia="zh-CN"/>
        </w:rPr>
        <w:t>商务技术</w:t>
      </w:r>
      <w:r>
        <w:rPr>
          <w:rFonts w:hint="eastAsia" w:ascii="宋体" w:hAnsi="宋体" w:cs="Arial"/>
          <w:kern w:val="0"/>
          <w:sz w:val="22"/>
        </w:rPr>
        <w:t>部分评审；</w:t>
      </w:r>
    </w:p>
    <w:p w14:paraId="75F60D26">
      <w:pPr>
        <w:spacing w:line="360" w:lineRule="auto"/>
        <w:ind w:firstLine="389" w:firstLineChars="177"/>
        <w:jc w:val="left"/>
        <w:rPr>
          <w:rFonts w:ascii="宋体" w:hAnsi="宋体" w:cs="Arial"/>
          <w:kern w:val="0"/>
          <w:sz w:val="22"/>
        </w:rPr>
      </w:pPr>
      <w:r>
        <w:rPr>
          <w:rFonts w:hint="eastAsia" w:ascii="宋体" w:hAnsi="宋体" w:cs="Arial"/>
          <w:kern w:val="0"/>
          <w:sz w:val="22"/>
        </w:rPr>
        <w:t>（5）符合性审查及</w:t>
      </w:r>
      <w:r>
        <w:rPr>
          <w:rFonts w:hint="eastAsia" w:ascii="宋体" w:hAnsi="宋体" w:cs="Arial"/>
          <w:kern w:val="0"/>
          <w:sz w:val="22"/>
          <w:lang w:eastAsia="zh-CN"/>
        </w:rPr>
        <w:t>商务技术</w:t>
      </w:r>
      <w:r>
        <w:rPr>
          <w:rFonts w:hint="eastAsia" w:ascii="宋体" w:hAnsi="宋体" w:cs="Arial"/>
          <w:kern w:val="0"/>
          <w:sz w:val="22"/>
        </w:rPr>
        <w:t>部分评审结束后，</w:t>
      </w:r>
      <w:r>
        <w:rPr>
          <w:rFonts w:ascii="宋体" w:hAnsi="宋体" w:cs="Arial"/>
          <w:kern w:val="0"/>
          <w:sz w:val="22"/>
        </w:rPr>
        <w:t>公布经</w:t>
      </w:r>
      <w:r>
        <w:rPr>
          <w:rFonts w:hint="eastAsia" w:ascii="宋体" w:hAnsi="宋体" w:cs="Arial"/>
          <w:kern w:val="0"/>
          <w:sz w:val="22"/>
        </w:rPr>
        <w:t>符合性审查及</w:t>
      </w:r>
      <w:r>
        <w:rPr>
          <w:rFonts w:hint="eastAsia" w:ascii="宋体" w:hAnsi="宋体" w:cs="Arial"/>
          <w:kern w:val="0"/>
          <w:sz w:val="22"/>
          <w:lang w:eastAsia="zh-CN"/>
        </w:rPr>
        <w:t>商务技术</w:t>
      </w:r>
      <w:r>
        <w:rPr>
          <w:rFonts w:hint="eastAsia" w:ascii="宋体" w:hAnsi="宋体" w:cs="Arial"/>
          <w:kern w:val="0"/>
          <w:sz w:val="22"/>
        </w:rPr>
        <w:t>部分</w:t>
      </w:r>
      <w:r>
        <w:rPr>
          <w:rFonts w:ascii="宋体" w:hAnsi="宋体" w:cs="Arial"/>
          <w:kern w:val="0"/>
          <w:sz w:val="22"/>
        </w:rPr>
        <w:t>评审</w:t>
      </w:r>
      <w:r>
        <w:rPr>
          <w:rFonts w:hint="eastAsia" w:ascii="宋体" w:hAnsi="宋体" w:cs="Arial"/>
          <w:kern w:val="0"/>
          <w:sz w:val="22"/>
        </w:rPr>
        <w:t>后有效投标</w:t>
      </w:r>
      <w:r>
        <w:rPr>
          <w:rFonts w:ascii="宋体" w:hAnsi="宋体" w:cs="Arial"/>
          <w:kern w:val="0"/>
          <w:sz w:val="22"/>
        </w:rPr>
        <w:t>供应商</w:t>
      </w:r>
      <w:r>
        <w:rPr>
          <w:rFonts w:hint="eastAsia" w:ascii="宋体" w:hAnsi="宋体" w:cs="Arial"/>
          <w:kern w:val="0"/>
          <w:sz w:val="22"/>
        </w:rPr>
        <w:t>的</w:t>
      </w:r>
      <w:r>
        <w:rPr>
          <w:rFonts w:ascii="宋体" w:hAnsi="宋体" w:cs="Arial"/>
          <w:kern w:val="0"/>
          <w:sz w:val="22"/>
        </w:rPr>
        <w:t>名单，同时公布</w:t>
      </w:r>
      <w:r>
        <w:rPr>
          <w:rFonts w:hint="eastAsia" w:ascii="宋体" w:hAnsi="宋体" w:cs="Arial"/>
          <w:kern w:val="0"/>
          <w:sz w:val="22"/>
        </w:rPr>
        <w:t>其</w:t>
      </w:r>
      <w:r>
        <w:rPr>
          <w:rFonts w:hint="eastAsia" w:ascii="宋体" w:hAnsi="宋体" w:cs="Arial"/>
          <w:kern w:val="0"/>
          <w:sz w:val="22"/>
          <w:lang w:eastAsia="zh-CN"/>
        </w:rPr>
        <w:t>商务技术</w:t>
      </w:r>
      <w:r>
        <w:rPr>
          <w:rFonts w:hint="eastAsia" w:ascii="宋体" w:hAnsi="宋体" w:cs="Arial"/>
          <w:kern w:val="0"/>
          <w:sz w:val="22"/>
        </w:rPr>
        <w:t>部分</w:t>
      </w:r>
      <w:r>
        <w:rPr>
          <w:rFonts w:ascii="宋体" w:hAnsi="宋体" w:cs="Arial"/>
          <w:kern w:val="0"/>
          <w:sz w:val="22"/>
        </w:rPr>
        <w:t>得分情况</w:t>
      </w:r>
      <w:r>
        <w:rPr>
          <w:rFonts w:hint="eastAsia" w:ascii="宋体" w:hAnsi="宋体" w:cs="Arial"/>
          <w:kern w:val="0"/>
          <w:sz w:val="22"/>
        </w:rPr>
        <w:t>。</w:t>
      </w:r>
    </w:p>
    <w:p w14:paraId="3ED7C2AB">
      <w:pPr>
        <w:spacing w:line="360" w:lineRule="auto"/>
        <w:ind w:firstLine="389" w:firstLineChars="177"/>
        <w:jc w:val="left"/>
        <w:rPr>
          <w:rFonts w:ascii="宋体" w:hAnsi="宋体" w:cs="Arial"/>
          <w:kern w:val="0"/>
          <w:sz w:val="22"/>
        </w:rPr>
      </w:pPr>
      <w:r>
        <w:rPr>
          <w:rFonts w:hint="eastAsia" w:ascii="宋体" w:hAnsi="宋体" w:cs="Arial"/>
          <w:kern w:val="0"/>
          <w:sz w:val="22"/>
        </w:rPr>
        <w:t>（6）开启符合性审查、</w:t>
      </w:r>
      <w:r>
        <w:rPr>
          <w:rFonts w:hint="eastAsia" w:ascii="宋体" w:hAnsi="宋体" w:cs="Arial"/>
          <w:kern w:val="0"/>
          <w:sz w:val="22"/>
          <w:lang w:eastAsia="zh-CN"/>
        </w:rPr>
        <w:t>商务技术</w:t>
      </w:r>
      <w:r>
        <w:rPr>
          <w:rFonts w:hint="eastAsia" w:ascii="宋体" w:hAnsi="宋体" w:cs="Arial"/>
          <w:kern w:val="0"/>
          <w:sz w:val="22"/>
        </w:rPr>
        <w:t>部分评审有效投标供应商的《</w:t>
      </w:r>
      <w:r>
        <w:rPr>
          <w:rFonts w:hint="eastAsia" w:ascii="宋体" w:hAnsi="宋体" w:cs="Arial"/>
          <w:kern w:val="0"/>
          <w:sz w:val="22"/>
          <w:lang w:eastAsia="zh-CN"/>
        </w:rPr>
        <w:t>报价文件</w:t>
      </w:r>
      <w:r>
        <w:rPr>
          <w:rFonts w:hint="eastAsia" w:ascii="宋体" w:hAnsi="宋体" w:cs="Arial"/>
          <w:kern w:val="0"/>
          <w:sz w:val="22"/>
        </w:rPr>
        <w:t>》</w:t>
      </w:r>
      <w:r>
        <w:rPr>
          <w:rFonts w:ascii="宋体" w:hAnsi="宋体" w:cs="Arial"/>
          <w:kern w:val="0"/>
          <w:sz w:val="22"/>
        </w:rPr>
        <w:t>。唱标结束后，由评标委员会对报价的合理性、准确性等进行审查核实</w:t>
      </w:r>
      <w:r>
        <w:rPr>
          <w:rFonts w:hint="eastAsia" w:ascii="宋体" w:hAnsi="宋体" w:cs="Arial"/>
          <w:kern w:val="0"/>
          <w:sz w:val="22"/>
        </w:rPr>
        <w:t>。</w:t>
      </w:r>
    </w:p>
    <w:p w14:paraId="7A53763F">
      <w:pPr>
        <w:spacing w:line="360" w:lineRule="auto"/>
        <w:ind w:firstLine="389" w:firstLineChars="177"/>
        <w:jc w:val="left"/>
        <w:rPr>
          <w:rFonts w:ascii="宋体" w:hAnsi="宋体" w:cs="Arial"/>
          <w:kern w:val="0"/>
          <w:sz w:val="22"/>
        </w:rPr>
      </w:pPr>
      <w:r>
        <w:rPr>
          <w:rFonts w:hint="eastAsia" w:ascii="宋体" w:hAnsi="宋体" w:cs="Arial"/>
          <w:kern w:val="0"/>
          <w:sz w:val="22"/>
        </w:rPr>
        <w:t>（7）</w:t>
      </w:r>
      <w:r>
        <w:rPr>
          <w:rFonts w:hint="eastAsia" w:ascii="宋体" w:hAnsi="宋体" w:cs="Arial"/>
          <w:kern w:val="0"/>
          <w:sz w:val="22"/>
          <w:lang w:eastAsia="zh-CN"/>
        </w:rPr>
        <w:t>报价</w:t>
      </w:r>
      <w:r>
        <w:rPr>
          <w:rFonts w:hint="eastAsia" w:ascii="宋体" w:hAnsi="宋体" w:cs="Arial"/>
          <w:kern w:val="0"/>
          <w:sz w:val="22"/>
        </w:rPr>
        <w:t>评审结束后，</w:t>
      </w:r>
      <w:r>
        <w:rPr>
          <w:rFonts w:ascii="宋体" w:hAnsi="宋体" w:cs="Arial"/>
          <w:kern w:val="0"/>
          <w:sz w:val="22"/>
        </w:rPr>
        <w:t>公布经</w:t>
      </w:r>
      <w:r>
        <w:rPr>
          <w:rFonts w:hint="eastAsia" w:ascii="宋体" w:hAnsi="宋体" w:cs="Arial"/>
          <w:kern w:val="0"/>
          <w:sz w:val="22"/>
        </w:rPr>
        <w:t>有效投标</w:t>
      </w:r>
      <w:r>
        <w:rPr>
          <w:rFonts w:ascii="宋体" w:hAnsi="宋体" w:cs="Arial"/>
          <w:kern w:val="0"/>
          <w:sz w:val="22"/>
        </w:rPr>
        <w:t>供应商</w:t>
      </w:r>
      <w:r>
        <w:rPr>
          <w:rFonts w:hint="eastAsia" w:ascii="宋体" w:hAnsi="宋体" w:cs="Arial"/>
          <w:kern w:val="0"/>
          <w:sz w:val="22"/>
        </w:rPr>
        <w:t>的</w:t>
      </w:r>
      <w:r>
        <w:rPr>
          <w:rFonts w:ascii="宋体" w:hAnsi="宋体" w:cs="Arial"/>
          <w:kern w:val="0"/>
          <w:sz w:val="22"/>
        </w:rPr>
        <w:t>名单及各供应商得分情况</w:t>
      </w:r>
      <w:r>
        <w:rPr>
          <w:rFonts w:hint="eastAsia" w:ascii="宋体" w:hAnsi="宋体" w:cs="Arial"/>
          <w:kern w:val="0"/>
          <w:sz w:val="22"/>
        </w:rPr>
        <w:t>。</w:t>
      </w:r>
    </w:p>
    <w:p w14:paraId="0BD040F4">
      <w:pPr>
        <w:spacing w:line="360" w:lineRule="auto"/>
        <w:ind w:firstLine="389" w:firstLineChars="177"/>
        <w:jc w:val="left"/>
        <w:rPr>
          <w:rFonts w:ascii="宋体" w:hAnsi="宋体" w:cs="Arial"/>
          <w:kern w:val="0"/>
          <w:sz w:val="22"/>
        </w:rPr>
      </w:pPr>
      <w:r>
        <w:rPr>
          <w:rFonts w:hint="eastAsia" w:ascii="宋体" w:hAnsi="宋体" w:cs="Arial"/>
          <w:kern w:val="0"/>
          <w:sz w:val="22"/>
        </w:rPr>
        <w:t>（8）评审结束后，通过政采云平台公布中标（成交）候选供应商名单，及采购人最终确定中标或成交供应商名单的时间和公告方式等。</w:t>
      </w:r>
    </w:p>
    <w:p w14:paraId="234885C7">
      <w:pPr>
        <w:pStyle w:val="21"/>
        <w:adjustRightInd w:val="0"/>
        <w:snapToGrid w:val="0"/>
        <w:spacing w:line="360" w:lineRule="auto"/>
        <w:ind w:firstLine="442"/>
        <w:rPr>
          <w:rFonts w:hAnsi="宋体"/>
          <w:sz w:val="22"/>
        </w:rPr>
      </w:pPr>
      <w:r>
        <w:rPr>
          <w:rFonts w:hint="eastAsia" w:hAnsi="宋体" w:cs="Arial"/>
          <w:b/>
          <w:kern w:val="0"/>
          <w:sz w:val="22"/>
        </w:rPr>
        <w:t>特别说明：如遇“政府采购云平台”电子化开标或评审程序调整的，按调整后程序执行。</w:t>
      </w:r>
    </w:p>
    <w:p w14:paraId="7C3671D7">
      <w:pPr>
        <w:spacing w:line="360" w:lineRule="auto"/>
        <w:ind w:firstLine="391" w:firstLineChars="177"/>
        <w:jc w:val="left"/>
        <w:rPr>
          <w:rFonts w:ascii="宋体" w:hAnsi="宋体"/>
          <w:b/>
          <w:sz w:val="22"/>
        </w:rPr>
      </w:pPr>
      <w:r>
        <w:rPr>
          <w:rFonts w:hint="eastAsia" w:ascii="宋体" w:hAnsi="宋体"/>
          <w:b/>
          <w:sz w:val="22"/>
        </w:rPr>
        <w:t>4、投标供应商资格审查</w:t>
      </w:r>
    </w:p>
    <w:p w14:paraId="48134770">
      <w:pPr>
        <w:spacing w:line="360" w:lineRule="auto"/>
        <w:ind w:firstLine="389" w:firstLineChars="177"/>
        <w:jc w:val="left"/>
        <w:rPr>
          <w:rFonts w:ascii="宋体" w:hAnsi="宋体" w:cs="Arial"/>
          <w:kern w:val="0"/>
          <w:sz w:val="22"/>
        </w:rPr>
      </w:pPr>
      <w:r>
        <w:rPr>
          <w:rFonts w:ascii="宋体" w:hAnsi="宋体" w:cs="Arial"/>
          <w:kern w:val="0"/>
          <w:sz w:val="22"/>
        </w:rPr>
        <w:t>4</w:t>
      </w:r>
      <w:r>
        <w:rPr>
          <w:rFonts w:hint="eastAsia" w:ascii="宋体" w:hAnsi="宋体" w:cs="Arial"/>
          <w:kern w:val="0"/>
          <w:sz w:val="22"/>
        </w:rPr>
        <w:t>.1开启投标文件后，采购人或采购代理机构首先依法对各投标供应商的资格进行审查，审查各投标供应商的资格是否满足招标文件的要求。</w:t>
      </w:r>
      <w:r>
        <w:rPr>
          <w:rFonts w:ascii="宋体" w:hAnsi="宋体" w:cs="Arial"/>
          <w:kern w:val="0"/>
          <w:sz w:val="22"/>
        </w:rPr>
        <w:t>采购人或采购代理机构对投标</w:t>
      </w:r>
      <w:r>
        <w:rPr>
          <w:rFonts w:hint="eastAsia" w:ascii="宋体" w:hAnsi="宋体" w:cs="Arial"/>
          <w:kern w:val="0"/>
          <w:sz w:val="22"/>
        </w:rPr>
        <w:t>供应商</w:t>
      </w:r>
      <w:r>
        <w:rPr>
          <w:rFonts w:ascii="宋体" w:hAnsi="宋体" w:cs="Arial"/>
          <w:kern w:val="0"/>
          <w:sz w:val="22"/>
        </w:rPr>
        <w:t>所</w:t>
      </w:r>
      <w:r>
        <w:rPr>
          <w:rFonts w:hint="eastAsia" w:ascii="宋体" w:hAnsi="宋体" w:cs="Arial"/>
          <w:kern w:val="0"/>
          <w:sz w:val="22"/>
        </w:rPr>
        <w:t>提交</w:t>
      </w:r>
      <w:r>
        <w:rPr>
          <w:rFonts w:ascii="宋体" w:hAnsi="宋体" w:cs="Arial"/>
          <w:kern w:val="0"/>
          <w:sz w:val="22"/>
        </w:rPr>
        <w:t>的资格证明材料仅负审核的责任。如发现投标</w:t>
      </w:r>
      <w:r>
        <w:rPr>
          <w:rFonts w:hint="eastAsia" w:ascii="宋体" w:hAnsi="宋体" w:cs="Arial"/>
          <w:kern w:val="0"/>
          <w:sz w:val="22"/>
        </w:rPr>
        <w:t>供应商</w:t>
      </w:r>
      <w:r>
        <w:rPr>
          <w:rFonts w:ascii="宋体" w:hAnsi="宋体" w:cs="Arial"/>
          <w:kern w:val="0"/>
          <w:sz w:val="22"/>
        </w:rPr>
        <w:t>所提</w:t>
      </w:r>
      <w:r>
        <w:rPr>
          <w:rFonts w:hint="eastAsia" w:ascii="宋体" w:hAnsi="宋体" w:cs="Arial"/>
          <w:kern w:val="0"/>
          <w:sz w:val="22"/>
        </w:rPr>
        <w:t>交</w:t>
      </w:r>
      <w:r>
        <w:rPr>
          <w:rFonts w:ascii="宋体" w:hAnsi="宋体" w:cs="Arial"/>
          <w:kern w:val="0"/>
          <w:sz w:val="22"/>
        </w:rPr>
        <w:t>的资格证明材料不合法或</w:t>
      </w:r>
      <w:r>
        <w:rPr>
          <w:rFonts w:hint="eastAsia" w:ascii="宋体" w:hAnsi="宋体" w:cs="Arial"/>
          <w:kern w:val="0"/>
          <w:sz w:val="22"/>
        </w:rPr>
        <w:t>与事实不符</w:t>
      </w:r>
      <w:r>
        <w:rPr>
          <w:rFonts w:ascii="宋体" w:hAnsi="宋体" w:cs="Arial"/>
          <w:kern w:val="0"/>
          <w:sz w:val="22"/>
        </w:rPr>
        <w:t>，采购人可取消</w:t>
      </w:r>
      <w:r>
        <w:rPr>
          <w:rFonts w:hint="eastAsia" w:ascii="宋体" w:hAnsi="宋体" w:cs="Arial"/>
          <w:kern w:val="0"/>
          <w:sz w:val="22"/>
        </w:rPr>
        <w:t>其</w:t>
      </w:r>
      <w:r>
        <w:rPr>
          <w:rFonts w:ascii="宋体" w:hAnsi="宋体" w:cs="Arial"/>
          <w:kern w:val="0"/>
          <w:sz w:val="22"/>
        </w:rPr>
        <w:t>中标资格并追究投标</w:t>
      </w:r>
      <w:r>
        <w:rPr>
          <w:rFonts w:hint="eastAsia" w:ascii="宋体" w:hAnsi="宋体" w:cs="Arial"/>
          <w:kern w:val="0"/>
          <w:sz w:val="22"/>
        </w:rPr>
        <w:t>供应商</w:t>
      </w:r>
      <w:r>
        <w:rPr>
          <w:rFonts w:ascii="宋体" w:hAnsi="宋体" w:cs="Arial"/>
          <w:kern w:val="0"/>
          <w:sz w:val="22"/>
        </w:rPr>
        <w:t>的法律责任。</w:t>
      </w:r>
    </w:p>
    <w:p w14:paraId="4553A14F">
      <w:pPr>
        <w:spacing w:line="360" w:lineRule="auto"/>
        <w:ind w:firstLine="389" w:firstLineChars="177"/>
        <w:jc w:val="left"/>
        <w:rPr>
          <w:rFonts w:ascii="宋体" w:hAnsi="宋体" w:cs="Arial"/>
          <w:kern w:val="0"/>
          <w:sz w:val="22"/>
        </w:rPr>
      </w:pPr>
      <w:r>
        <w:rPr>
          <w:rFonts w:ascii="宋体" w:hAnsi="宋体" w:cs="Arial"/>
          <w:kern w:val="0"/>
          <w:sz w:val="22"/>
        </w:rPr>
        <w:t>4</w:t>
      </w:r>
      <w:r>
        <w:rPr>
          <w:rFonts w:hint="eastAsia" w:ascii="宋体" w:hAnsi="宋体" w:cs="Arial"/>
          <w:kern w:val="0"/>
          <w:sz w:val="22"/>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00DD1026">
      <w:pPr>
        <w:spacing w:line="360" w:lineRule="auto"/>
        <w:ind w:firstLine="389" w:firstLineChars="177"/>
        <w:jc w:val="left"/>
        <w:rPr>
          <w:rFonts w:ascii="宋体" w:hAnsi="宋体" w:cs="Arial"/>
          <w:kern w:val="0"/>
          <w:sz w:val="22"/>
        </w:rPr>
      </w:pPr>
      <w:r>
        <w:rPr>
          <w:rFonts w:ascii="宋体" w:hAnsi="宋体" w:cs="Arial"/>
          <w:kern w:val="0"/>
          <w:sz w:val="22"/>
        </w:rPr>
        <w:t>4</w:t>
      </w:r>
      <w:r>
        <w:rPr>
          <w:rFonts w:hint="eastAsia" w:ascii="宋体" w:hAnsi="宋体" w:cs="Arial"/>
          <w:kern w:val="0"/>
          <w:sz w:val="22"/>
        </w:rPr>
        <w:t>.3单位负责人为同一人或者存在直接控股、管理关系的不同供应商参加同一合同项下的政府采购活动的，相关投标供应商均作资格无效处理。</w:t>
      </w:r>
    </w:p>
    <w:p w14:paraId="39D20902">
      <w:pPr>
        <w:pStyle w:val="21"/>
        <w:adjustRightInd w:val="0"/>
        <w:snapToGrid w:val="0"/>
        <w:spacing w:line="360" w:lineRule="auto"/>
        <w:ind w:firstLine="435" w:firstLineChars="197"/>
        <w:rPr>
          <w:rFonts w:hAnsi="宋体" w:cs="Arial"/>
          <w:b/>
          <w:sz w:val="22"/>
          <w:szCs w:val="22"/>
        </w:rPr>
      </w:pPr>
      <w:r>
        <w:rPr>
          <w:rFonts w:hint="eastAsia" w:hAnsi="宋体" w:cs="Arial"/>
          <w:b/>
          <w:sz w:val="22"/>
          <w:szCs w:val="22"/>
        </w:rPr>
        <w:t>5、评标</w:t>
      </w:r>
    </w:p>
    <w:p w14:paraId="4BA63861">
      <w:pPr>
        <w:pStyle w:val="21"/>
        <w:adjustRightInd w:val="0"/>
        <w:snapToGrid w:val="0"/>
        <w:spacing w:line="360" w:lineRule="auto"/>
        <w:ind w:firstLine="435" w:firstLineChars="197"/>
        <w:rPr>
          <w:rFonts w:hAnsi="宋体" w:cs="Arial"/>
          <w:b/>
          <w:sz w:val="22"/>
          <w:szCs w:val="22"/>
        </w:rPr>
      </w:pPr>
      <w:r>
        <w:rPr>
          <w:rFonts w:hint="eastAsia" w:hAnsi="宋体" w:cs="Arial"/>
          <w:b/>
          <w:sz w:val="22"/>
          <w:szCs w:val="22"/>
        </w:rPr>
        <w:t>5.1评标由招标机构依法组建的评标委员会负责</w:t>
      </w:r>
      <w:r>
        <w:rPr>
          <w:rFonts w:hint="eastAsia" w:hAnsi="宋体"/>
          <w:b/>
          <w:sz w:val="22"/>
          <w:szCs w:val="22"/>
        </w:rPr>
        <w:t>，并独立履行下列职责：</w:t>
      </w:r>
    </w:p>
    <w:p w14:paraId="2557889D">
      <w:pPr>
        <w:snapToGrid w:val="0"/>
        <w:spacing w:line="360" w:lineRule="auto"/>
        <w:ind w:firstLine="433" w:firstLineChars="197"/>
        <w:rPr>
          <w:rFonts w:ascii="宋体"/>
          <w:sz w:val="22"/>
          <w:szCs w:val="22"/>
        </w:rPr>
      </w:pPr>
      <w:r>
        <w:rPr>
          <w:rFonts w:hint="eastAsia" w:ascii="宋体"/>
          <w:sz w:val="22"/>
          <w:szCs w:val="22"/>
        </w:rPr>
        <w:t>1）审查投标文件是否符合招标文件要求，并做出评价；</w:t>
      </w:r>
    </w:p>
    <w:p w14:paraId="3F6FEF5D">
      <w:pPr>
        <w:snapToGrid w:val="0"/>
        <w:spacing w:line="360" w:lineRule="auto"/>
        <w:ind w:firstLine="433" w:firstLineChars="197"/>
        <w:rPr>
          <w:rFonts w:ascii="宋体"/>
          <w:sz w:val="22"/>
          <w:szCs w:val="22"/>
        </w:rPr>
      </w:pPr>
      <w:r>
        <w:rPr>
          <w:rFonts w:hint="eastAsia" w:ascii="宋体"/>
          <w:sz w:val="22"/>
          <w:szCs w:val="22"/>
        </w:rPr>
        <w:t>2）要求投标人对投标文件有关事项做出解释或者澄清；</w:t>
      </w:r>
    </w:p>
    <w:p w14:paraId="36F4FF41">
      <w:pPr>
        <w:snapToGrid w:val="0"/>
        <w:spacing w:line="360" w:lineRule="auto"/>
        <w:ind w:firstLine="433" w:firstLineChars="197"/>
        <w:rPr>
          <w:rFonts w:ascii="宋体"/>
          <w:sz w:val="22"/>
          <w:szCs w:val="22"/>
        </w:rPr>
      </w:pPr>
      <w:r>
        <w:rPr>
          <w:rFonts w:hint="eastAsia" w:ascii="宋体"/>
          <w:sz w:val="22"/>
          <w:szCs w:val="22"/>
        </w:rPr>
        <w:t>3）按照招标文件确定的评标办法推荐综合得分最高的投标人</w:t>
      </w:r>
      <w:r>
        <w:rPr>
          <w:rFonts w:hint="eastAsia" w:ascii="宋体"/>
          <w:sz w:val="22"/>
          <w:szCs w:val="22"/>
          <w:lang w:eastAsia="zh-CN"/>
        </w:rPr>
        <w:t>为</w:t>
      </w:r>
      <w:r>
        <w:rPr>
          <w:rFonts w:hint="eastAsia" w:ascii="宋体"/>
          <w:sz w:val="22"/>
          <w:szCs w:val="22"/>
        </w:rPr>
        <w:t>中标人；</w:t>
      </w:r>
    </w:p>
    <w:p w14:paraId="2C274BCC">
      <w:pPr>
        <w:pStyle w:val="21"/>
        <w:adjustRightInd w:val="0"/>
        <w:snapToGrid w:val="0"/>
        <w:spacing w:line="360" w:lineRule="auto"/>
        <w:ind w:firstLine="433" w:firstLineChars="197"/>
        <w:rPr>
          <w:rFonts w:hAnsi="宋体"/>
          <w:sz w:val="22"/>
          <w:szCs w:val="22"/>
        </w:rPr>
      </w:pPr>
      <w:r>
        <w:rPr>
          <w:rFonts w:hint="eastAsia" w:hAnsi="宋体"/>
          <w:sz w:val="22"/>
          <w:szCs w:val="22"/>
        </w:rPr>
        <w:t>4）向招标人或者有关部门报告非法干预评标工作的行为。</w:t>
      </w:r>
    </w:p>
    <w:p w14:paraId="1327E83D">
      <w:pPr>
        <w:snapToGrid w:val="0"/>
        <w:spacing w:line="360" w:lineRule="auto"/>
        <w:ind w:firstLine="435" w:firstLineChars="197"/>
        <w:rPr>
          <w:rFonts w:ascii="宋体"/>
          <w:b/>
          <w:sz w:val="22"/>
          <w:szCs w:val="22"/>
        </w:rPr>
      </w:pPr>
      <w:r>
        <w:rPr>
          <w:rFonts w:hint="eastAsia" w:ascii="宋体"/>
          <w:b/>
          <w:sz w:val="22"/>
          <w:szCs w:val="22"/>
        </w:rPr>
        <w:t>5.2评标应当遵循下列工作程序：</w:t>
      </w:r>
    </w:p>
    <w:p w14:paraId="25A5B909">
      <w:pPr>
        <w:snapToGrid w:val="0"/>
        <w:spacing w:line="360" w:lineRule="auto"/>
        <w:ind w:firstLine="433" w:firstLineChars="197"/>
        <w:rPr>
          <w:rFonts w:ascii="宋体"/>
          <w:sz w:val="22"/>
          <w:szCs w:val="22"/>
        </w:rPr>
      </w:pPr>
      <w:r>
        <w:rPr>
          <w:rFonts w:hint="eastAsia" w:ascii="宋体"/>
          <w:sz w:val="22"/>
          <w:szCs w:val="22"/>
        </w:rPr>
        <w:t>1）投标文件的初步审查和符合性审查。</w:t>
      </w:r>
    </w:p>
    <w:p w14:paraId="2E838184">
      <w:pPr>
        <w:snapToGrid w:val="0"/>
        <w:spacing w:line="360" w:lineRule="auto"/>
        <w:ind w:firstLine="433" w:firstLineChars="197"/>
        <w:rPr>
          <w:rFonts w:ascii="宋体"/>
          <w:sz w:val="22"/>
          <w:szCs w:val="22"/>
        </w:rPr>
      </w:pPr>
      <w:r>
        <w:rPr>
          <w:rFonts w:hint="eastAsia" w:ascii="宋体"/>
          <w:sz w:val="22"/>
          <w:szCs w:val="22"/>
        </w:rPr>
        <w:t>（1)初步审查。对所有通过资格审查的投标供应商的投标文件进行初步审查，审查、评价投标文件是否符合招标文件的商务、技术、服务等实质性要求。</w:t>
      </w:r>
    </w:p>
    <w:p w14:paraId="675DD612">
      <w:pPr>
        <w:snapToGrid w:val="0"/>
        <w:spacing w:line="360" w:lineRule="auto"/>
        <w:ind w:firstLine="323" w:firstLineChars="147"/>
        <w:rPr>
          <w:rFonts w:ascii="宋体"/>
          <w:sz w:val="22"/>
          <w:szCs w:val="22"/>
        </w:rPr>
      </w:pPr>
      <w:r>
        <w:rPr>
          <w:rFonts w:hint="eastAsia" w:ascii="宋体"/>
          <w:sz w:val="22"/>
          <w:szCs w:val="22"/>
        </w:rPr>
        <w:t>（2)符合性检查。依据招标文件的规定，从投标文件的有效性、完整性和对招标文件的响应程度进行审查，以确定是否对招标文件的实质性要求做出响应。</w:t>
      </w:r>
    </w:p>
    <w:p w14:paraId="50D8FD6C">
      <w:pPr>
        <w:snapToGrid w:val="0"/>
        <w:spacing w:line="360" w:lineRule="auto"/>
        <w:ind w:firstLine="433" w:firstLineChars="197"/>
        <w:rPr>
          <w:rFonts w:ascii="宋体"/>
          <w:sz w:val="22"/>
          <w:szCs w:val="22"/>
        </w:rPr>
      </w:pPr>
      <w:r>
        <w:rPr>
          <w:rFonts w:hint="eastAsia" w:ascii="宋体"/>
          <w:sz w:val="22"/>
          <w:szCs w:val="22"/>
        </w:rPr>
        <w:t>2）澄清有关问题。</w:t>
      </w:r>
      <w:r>
        <w:rPr>
          <w:rFonts w:hint="eastAsia" w:hAnsi="宋体" w:cs="Arial"/>
          <w:b/>
          <w:kern w:val="0"/>
          <w:sz w:val="22"/>
        </w:rPr>
        <w:t>对于投标文件中含义不明确、同类问题表述不一致或者有明显文字和计算错误的内容，评标委员会将以书面形式（或通过“政府采购云平台”在线询标）的形式要求</w:t>
      </w:r>
      <w:r>
        <w:rPr>
          <w:rFonts w:hAnsi="宋体" w:cs="Arial"/>
          <w:b/>
          <w:kern w:val="0"/>
          <w:sz w:val="22"/>
        </w:rPr>
        <w:t>投标供应商</w:t>
      </w:r>
      <w:r>
        <w:rPr>
          <w:rFonts w:hint="eastAsia" w:hAnsi="宋体" w:cs="Arial"/>
          <w:b/>
          <w:kern w:val="0"/>
          <w:sz w:val="22"/>
        </w:rPr>
        <w:t>在规定的时间内作出必要的澄清、说明或者补正，投标供应商澄清、说明或补正时间为30分钟。</w:t>
      </w:r>
      <w:r>
        <w:rPr>
          <w:rFonts w:hAnsi="宋体"/>
          <w:b/>
          <w:bCs/>
          <w:sz w:val="22"/>
        </w:rPr>
        <w:t>投标供应商</w:t>
      </w:r>
      <w:r>
        <w:rPr>
          <w:rFonts w:hint="eastAsia" w:hAnsi="宋体"/>
          <w:b/>
          <w:bCs/>
          <w:sz w:val="22"/>
        </w:rPr>
        <w:t>的澄清、说明或者补正应当采用书面（或通过“政府采购云平台”在线答复）形式提交，并加盖公章，或者由法定代表人或其授权的代表签字。</w:t>
      </w:r>
      <w:r>
        <w:rPr>
          <w:rFonts w:hAnsi="宋体"/>
          <w:b/>
          <w:bCs/>
          <w:sz w:val="22"/>
        </w:rPr>
        <w:t>投标供应商</w:t>
      </w:r>
      <w:r>
        <w:rPr>
          <w:rFonts w:hint="eastAsia" w:hAnsi="宋体"/>
          <w:b/>
          <w:bCs/>
          <w:sz w:val="22"/>
        </w:rPr>
        <w:t>的澄清、说明或者补正不得超出投标文件的范围或者改变投标文件的实质性内容。</w:t>
      </w:r>
    </w:p>
    <w:p w14:paraId="389771ED">
      <w:pPr>
        <w:pStyle w:val="21"/>
        <w:adjustRightInd w:val="0"/>
        <w:snapToGrid w:val="0"/>
        <w:spacing w:line="360" w:lineRule="auto"/>
        <w:ind w:firstLine="433" w:firstLineChars="197"/>
        <w:rPr>
          <w:rFonts w:hAnsi="宋体"/>
          <w:sz w:val="22"/>
          <w:szCs w:val="22"/>
        </w:rPr>
      </w:pPr>
      <w:r>
        <w:rPr>
          <w:rFonts w:hint="eastAsia" w:hAnsi="宋体"/>
          <w:sz w:val="22"/>
          <w:szCs w:val="22"/>
        </w:rPr>
        <w:t>3）比较与评价。按招标文件中规定的评标方法和标准，对资格性检查和符合性检查合格的投标文件进行商务和技术评估，综合比较与评价。</w:t>
      </w:r>
    </w:p>
    <w:p w14:paraId="01482DEA">
      <w:pPr>
        <w:pStyle w:val="21"/>
        <w:adjustRightInd w:val="0"/>
        <w:snapToGrid w:val="0"/>
        <w:spacing w:line="360" w:lineRule="auto"/>
        <w:ind w:firstLine="433" w:firstLineChars="197"/>
        <w:rPr>
          <w:rFonts w:hAnsi="宋体" w:cs="Arial"/>
          <w:sz w:val="22"/>
          <w:szCs w:val="22"/>
        </w:rPr>
      </w:pPr>
      <w:r>
        <w:rPr>
          <w:rFonts w:hint="eastAsia" w:hAnsi="宋体"/>
          <w:sz w:val="22"/>
          <w:szCs w:val="22"/>
        </w:rPr>
        <w:t>4）</w:t>
      </w:r>
      <w:r>
        <w:rPr>
          <w:rFonts w:hint="eastAsia" w:ascii="宋体"/>
          <w:sz w:val="22"/>
          <w:szCs w:val="22"/>
        </w:rPr>
        <w:t>按照招标文件确定的评标办法推荐综合得分最高的投标人</w:t>
      </w:r>
      <w:r>
        <w:rPr>
          <w:rFonts w:hint="eastAsia" w:ascii="宋体"/>
          <w:sz w:val="22"/>
          <w:szCs w:val="22"/>
          <w:lang w:eastAsia="zh-CN"/>
        </w:rPr>
        <w:t>为</w:t>
      </w:r>
      <w:r>
        <w:rPr>
          <w:rFonts w:hint="eastAsia" w:ascii="宋体"/>
          <w:sz w:val="22"/>
          <w:szCs w:val="22"/>
        </w:rPr>
        <w:t>中标人</w:t>
      </w:r>
      <w:r>
        <w:rPr>
          <w:rFonts w:hint="eastAsia" w:hAnsi="宋体"/>
          <w:sz w:val="22"/>
          <w:szCs w:val="22"/>
        </w:rPr>
        <w:t>。</w:t>
      </w:r>
    </w:p>
    <w:p w14:paraId="32026842">
      <w:pPr>
        <w:pStyle w:val="21"/>
        <w:adjustRightInd w:val="0"/>
        <w:snapToGrid w:val="0"/>
        <w:spacing w:line="360" w:lineRule="auto"/>
        <w:ind w:firstLine="435" w:firstLineChars="197"/>
        <w:rPr>
          <w:rFonts w:hAnsi="宋体" w:cs="Arial"/>
          <w:b/>
          <w:sz w:val="22"/>
          <w:szCs w:val="22"/>
        </w:rPr>
      </w:pPr>
      <w:r>
        <w:rPr>
          <w:rFonts w:hint="eastAsia" w:hAnsi="宋体" w:cs="Arial"/>
          <w:b/>
          <w:sz w:val="22"/>
          <w:szCs w:val="22"/>
        </w:rPr>
        <w:t>5.3、</w:t>
      </w:r>
      <w:r>
        <w:rPr>
          <w:rFonts w:hint="eastAsia" w:hAnsi="宋体"/>
          <w:b/>
          <w:sz w:val="22"/>
          <w:szCs w:val="22"/>
        </w:rPr>
        <w:t>本项目按时送达的投标文件应达到三家及三家以上，才可开标。否则应视该招标缺乏有效竞争而依法重新组织招标；</w:t>
      </w:r>
    </w:p>
    <w:p w14:paraId="3270BE3A">
      <w:pPr>
        <w:pStyle w:val="21"/>
        <w:adjustRightInd w:val="0"/>
        <w:snapToGrid w:val="0"/>
        <w:spacing w:line="360" w:lineRule="auto"/>
        <w:ind w:firstLine="435" w:firstLineChars="197"/>
        <w:rPr>
          <w:rFonts w:hAnsi="宋体" w:cs="Arial"/>
          <w:b/>
          <w:sz w:val="22"/>
          <w:szCs w:val="22"/>
          <w:u w:val="single"/>
        </w:rPr>
      </w:pPr>
      <w:r>
        <w:rPr>
          <w:rFonts w:hint="eastAsia" w:hAnsi="宋体" w:cs="Arial"/>
          <w:b/>
          <w:sz w:val="22"/>
          <w:szCs w:val="22"/>
        </w:rPr>
        <w:t>5.4、</w:t>
      </w:r>
      <w:r>
        <w:rPr>
          <w:rFonts w:hint="eastAsia" w:hAnsi="宋体"/>
          <w:b/>
          <w:sz w:val="22"/>
          <w:szCs w:val="22"/>
          <w:u w:val="single"/>
        </w:rPr>
        <w:t>▲</w:t>
      </w:r>
      <w:r>
        <w:rPr>
          <w:rFonts w:hint="eastAsia" w:hAnsi="宋体" w:cs="Arial"/>
          <w:b/>
          <w:sz w:val="22"/>
          <w:szCs w:val="22"/>
          <w:u w:val="single"/>
        </w:rPr>
        <w:t>评标委员会发现投标文件有下列情形之一的属于重大偏差(评标委员会按少数服从多数原则认定),按照无效投标处理：</w:t>
      </w:r>
    </w:p>
    <w:p w14:paraId="54E0147B">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1）未按招标文件要求编制或密封或字迹模糊、辨认不清的投标文件；</w:t>
      </w:r>
    </w:p>
    <w:p w14:paraId="2B346BDD">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2）投标人递交两份或两份以上内容不同的投标文件，未声明哪一份有效的；</w:t>
      </w:r>
    </w:p>
    <w:p w14:paraId="4E0E1E77">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3）投标文件中法定代表人授权书、投标函、开标一览表没有按招标文件格式要求加盖有效公章、无法定代表人（或授权代表）签字（或印章）的；</w:t>
      </w:r>
    </w:p>
    <w:p w14:paraId="7BD0553A">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4）投标人投标文件中付款方式、完工期出现负偏差的；</w:t>
      </w:r>
    </w:p>
    <w:p w14:paraId="489C4758">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5）投标人技术资信部分投标文件中出现商务报价；</w:t>
      </w:r>
    </w:p>
    <w:p w14:paraId="266415CC">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6）明显不符合服务要求的投标文件；</w:t>
      </w:r>
    </w:p>
    <w:p w14:paraId="57512B72">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7）不符合招标文件中规定的实质性要求的投标文件，是否为偏离实质性要求由评标委员会认定。</w:t>
      </w:r>
    </w:p>
    <w:p w14:paraId="7640BCB4">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8）</w:t>
      </w:r>
      <w:r>
        <w:rPr>
          <w:rFonts w:hint="eastAsia" w:hAnsi="宋体" w:cs="Arial"/>
          <w:bCs/>
          <w:sz w:val="22"/>
        </w:rPr>
        <w:t>仅提交“备份投标文件”的；</w:t>
      </w:r>
    </w:p>
    <w:p w14:paraId="1F6FA534">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9）投标人的投标文件中有不明确的问题或其报价明显不合理且又不能合理说明（解释清楚）或者不能提供相关证明材料的；</w:t>
      </w:r>
    </w:p>
    <w:p w14:paraId="65302BF5">
      <w:pPr>
        <w:pStyle w:val="21"/>
        <w:adjustRightInd w:val="0"/>
        <w:snapToGrid w:val="0"/>
        <w:spacing w:line="360" w:lineRule="auto"/>
        <w:ind w:firstLine="433" w:firstLineChars="197"/>
        <w:rPr>
          <w:rFonts w:hint="eastAsia" w:hAnsi="宋体" w:cs="Arial"/>
          <w:sz w:val="22"/>
          <w:szCs w:val="22"/>
        </w:rPr>
      </w:pPr>
      <w:r>
        <w:rPr>
          <w:rFonts w:hint="eastAsia" w:hAnsi="宋体" w:cs="Arial"/>
          <w:sz w:val="22"/>
          <w:szCs w:val="22"/>
        </w:rPr>
        <w:t>10）存在串标、抬标或弄虚作假情况的；</w:t>
      </w:r>
    </w:p>
    <w:p w14:paraId="378D558F">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val="en-US" w:eastAsia="zh-CN"/>
        </w:rPr>
        <w:t>11）</w:t>
      </w:r>
      <w:r>
        <w:rPr>
          <w:rFonts w:hint="eastAsia" w:ascii="宋体" w:hAnsi="宋体" w:eastAsia="宋体" w:cs="Arial"/>
          <w:sz w:val="22"/>
          <w:szCs w:val="22"/>
        </w:rPr>
        <w:t>根据《关于推动解决政府采购异常低价问题的通知财库〔2026〕2号》文件规定</w:t>
      </w:r>
      <w:r>
        <w:rPr>
          <w:rFonts w:hint="eastAsia" w:ascii="宋体" w:hAnsi="宋体" w:eastAsia="宋体" w:cs="Arial"/>
          <w:sz w:val="22"/>
          <w:szCs w:val="22"/>
          <w:lang w:eastAsia="zh-CN"/>
        </w:rPr>
        <w:t>：</w:t>
      </w:r>
    </w:p>
    <w:p w14:paraId="434CDE22">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eastAsia="zh-CN"/>
        </w:rPr>
        <w:t>（一）</w:t>
      </w:r>
      <w:r>
        <w:rPr>
          <w:rFonts w:hint="eastAsia" w:ascii="宋体" w:hAnsi="宋体" w:eastAsia="宋体" w:cs="Arial"/>
          <w:sz w:val="22"/>
          <w:szCs w:val="22"/>
        </w:rPr>
        <w:t>政府采购评审中出现下列情形之一的，评审委员会应当启动异常低价投标(响应)审查程序</w:t>
      </w:r>
      <w:r>
        <w:rPr>
          <w:rFonts w:hint="eastAsia" w:ascii="宋体" w:hAnsi="宋体" w:eastAsia="宋体" w:cs="Arial"/>
          <w:sz w:val="22"/>
          <w:szCs w:val="22"/>
          <w:lang w:eastAsia="zh-CN"/>
        </w:rPr>
        <w:t>：</w:t>
      </w:r>
    </w:p>
    <w:p w14:paraId="19C622DC">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val="en-US" w:eastAsia="zh-CN"/>
        </w:rPr>
        <w:t>1）</w:t>
      </w:r>
      <w:r>
        <w:rPr>
          <w:rFonts w:hint="eastAsia" w:ascii="宋体" w:hAnsi="宋体" w:eastAsia="宋体" w:cs="Arial"/>
          <w:sz w:val="22"/>
          <w:szCs w:val="22"/>
          <w:lang w:eastAsia="zh-CN"/>
        </w:rPr>
        <w:t>投标(响应)报价低于全部通过符合性审查供应商投标(响应)报价平均值50%的，即投标(响应)报价</w:t>
      </w:r>
      <w:r>
        <w:rPr>
          <w:rFonts w:hint="eastAsia" w:ascii="宋体" w:hAnsi="宋体" w:eastAsia="宋体" w:cs="Arial"/>
          <w:sz w:val="22"/>
          <w:szCs w:val="22"/>
          <w:lang w:val="en-US" w:eastAsia="zh-CN"/>
        </w:rPr>
        <w:t>＜</w:t>
      </w:r>
      <w:r>
        <w:rPr>
          <w:rFonts w:hint="eastAsia" w:ascii="宋体" w:hAnsi="宋体" w:eastAsia="宋体" w:cs="Arial"/>
          <w:sz w:val="22"/>
          <w:szCs w:val="22"/>
          <w:lang w:eastAsia="zh-CN"/>
        </w:rPr>
        <w:t>全部通过符合性审查供应商投标(响应)报价平均值</w:t>
      </w:r>
      <w:r>
        <w:rPr>
          <w:rFonts w:hint="eastAsia" w:ascii="宋体" w:hAnsi="宋体" w:eastAsia="宋体" w:cs="Arial"/>
          <w:sz w:val="22"/>
          <w:szCs w:val="22"/>
          <w:lang w:val="en-US" w:eastAsia="zh-CN"/>
        </w:rPr>
        <w:t>×</w:t>
      </w:r>
      <w:r>
        <w:rPr>
          <w:rFonts w:hint="eastAsia" w:ascii="宋体" w:hAnsi="宋体" w:eastAsia="宋体" w:cs="Arial"/>
          <w:sz w:val="22"/>
          <w:szCs w:val="22"/>
          <w:lang w:eastAsia="zh-CN"/>
        </w:rPr>
        <w:t>50%</w:t>
      </w:r>
      <w:r>
        <w:rPr>
          <w:rFonts w:hint="eastAsia" w:ascii="宋体" w:hAnsi="宋体" w:eastAsia="宋体" w:cs="Arial"/>
          <w:sz w:val="22"/>
          <w:szCs w:val="22"/>
          <w:lang w:val="en-US" w:eastAsia="zh-CN"/>
        </w:rPr>
        <w:t>；</w:t>
      </w:r>
    </w:p>
    <w:p w14:paraId="5DFE7846">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val="en-US" w:eastAsia="zh-CN"/>
        </w:rPr>
        <w:t>2）</w:t>
      </w:r>
      <w:r>
        <w:rPr>
          <w:rFonts w:hint="eastAsia" w:ascii="宋体" w:hAnsi="宋体" w:eastAsia="宋体" w:cs="Arial"/>
          <w:sz w:val="22"/>
          <w:szCs w:val="22"/>
          <w:lang w:eastAsia="zh-CN"/>
        </w:rPr>
        <w:t>投标(响应)报价低于通过符合性审查的次低报价供应商投标(响应)报价50%的，即投标(响应)报价</w:t>
      </w:r>
      <w:r>
        <w:rPr>
          <w:rFonts w:hint="eastAsia" w:ascii="宋体" w:hAnsi="宋体" w:eastAsia="宋体" w:cs="Arial"/>
          <w:sz w:val="22"/>
          <w:szCs w:val="22"/>
          <w:lang w:val="en-US" w:eastAsia="zh-CN"/>
        </w:rPr>
        <w:t>＜</w:t>
      </w:r>
      <w:r>
        <w:rPr>
          <w:rFonts w:hint="eastAsia" w:ascii="宋体" w:hAnsi="宋体" w:eastAsia="宋体" w:cs="Arial"/>
          <w:sz w:val="22"/>
          <w:szCs w:val="22"/>
          <w:lang w:eastAsia="zh-CN"/>
        </w:rPr>
        <w:t>通过符合性审查的次低报价供应商投标(响应)报价</w:t>
      </w:r>
      <w:r>
        <w:rPr>
          <w:rFonts w:hint="eastAsia" w:ascii="宋体" w:hAnsi="宋体" w:eastAsia="宋体" w:cs="Arial"/>
          <w:sz w:val="22"/>
          <w:szCs w:val="22"/>
          <w:lang w:val="en-US" w:eastAsia="zh-CN"/>
        </w:rPr>
        <w:t>×</w:t>
      </w:r>
      <w:r>
        <w:rPr>
          <w:rFonts w:hint="eastAsia" w:ascii="宋体" w:hAnsi="宋体" w:eastAsia="宋体" w:cs="Arial"/>
          <w:sz w:val="22"/>
          <w:szCs w:val="22"/>
          <w:lang w:eastAsia="zh-CN"/>
        </w:rPr>
        <w:t>50%</w:t>
      </w:r>
      <w:r>
        <w:rPr>
          <w:rFonts w:hint="eastAsia" w:ascii="宋体" w:hAnsi="宋体" w:eastAsia="宋体" w:cs="Arial"/>
          <w:sz w:val="22"/>
          <w:szCs w:val="22"/>
          <w:lang w:val="en-US" w:eastAsia="zh-CN"/>
        </w:rPr>
        <w:t>；</w:t>
      </w:r>
    </w:p>
    <w:p w14:paraId="1AD37C20">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val="en-US" w:eastAsia="zh-CN"/>
        </w:rPr>
        <w:t>3）</w:t>
      </w:r>
      <w:r>
        <w:rPr>
          <w:rFonts w:hint="eastAsia" w:ascii="宋体" w:hAnsi="宋体" w:eastAsia="宋体" w:cs="Arial"/>
          <w:sz w:val="22"/>
          <w:szCs w:val="22"/>
          <w:lang w:eastAsia="zh-CN"/>
        </w:rPr>
        <w:t>投标(响应)报价低于采购项目最高限价</w:t>
      </w:r>
      <w:r>
        <w:rPr>
          <w:rFonts w:hint="eastAsia" w:ascii="宋体" w:hAnsi="宋体" w:eastAsia="宋体" w:cs="Arial"/>
          <w:sz w:val="22"/>
          <w:szCs w:val="22"/>
          <w:lang w:val="en-US" w:eastAsia="zh-CN"/>
        </w:rPr>
        <w:t>50</w:t>
      </w:r>
      <w:r>
        <w:rPr>
          <w:rFonts w:hint="eastAsia" w:ascii="宋体" w:hAnsi="宋体" w:eastAsia="宋体" w:cs="Arial"/>
          <w:sz w:val="22"/>
          <w:szCs w:val="22"/>
          <w:lang w:eastAsia="zh-CN"/>
        </w:rPr>
        <w:t>%的，即投标(响应)报价</w:t>
      </w:r>
      <w:r>
        <w:rPr>
          <w:rFonts w:hint="eastAsia" w:ascii="宋体" w:hAnsi="宋体" w:eastAsia="宋体" w:cs="Arial"/>
          <w:sz w:val="22"/>
          <w:szCs w:val="22"/>
          <w:lang w:val="en-US" w:eastAsia="zh-CN"/>
        </w:rPr>
        <w:t>＜</w:t>
      </w:r>
      <w:r>
        <w:rPr>
          <w:rFonts w:hint="eastAsia" w:ascii="宋体" w:hAnsi="宋体" w:eastAsia="宋体" w:cs="Arial"/>
          <w:sz w:val="22"/>
          <w:szCs w:val="22"/>
          <w:lang w:eastAsia="zh-CN"/>
        </w:rPr>
        <w:t>采购项目最高限价</w:t>
      </w:r>
      <w:r>
        <w:rPr>
          <w:rFonts w:hint="eastAsia" w:ascii="宋体" w:hAnsi="宋体" w:eastAsia="宋体" w:cs="Arial"/>
          <w:sz w:val="22"/>
          <w:szCs w:val="22"/>
          <w:lang w:val="en-US" w:eastAsia="zh-CN"/>
        </w:rPr>
        <w:t>×50</w:t>
      </w:r>
      <w:r>
        <w:rPr>
          <w:rFonts w:hint="eastAsia" w:ascii="宋体" w:hAnsi="宋体" w:eastAsia="宋体" w:cs="Arial"/>
          <w:sz w:val="22"/>
          <w:szCs w:val="22"/>
          <w:lang w:eastAsia="zh-CN"/>
        </w:rPr>
        <w:t>%</w:t>
      </w:r>
      <w:r>
        <w:rPr>
          <w:rFonts w:hint="eastAsia" w:ascii="宋体" w:hAnsi="宋体" w:eastAsia="宋体" w:cs="Arial"/>
          <w:sz w:val="22"/>
          <w:szCs w:val="22"/>
          <w:lang w:val="en-US" w:eastAsia="zh-CN"/>
        </w:rPr>
        <w:t>；</w:t>
      </w:r>
    </w:p>
    <w:p w14:paraId="3CB1782C">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val="en-US" w:eastAsia="zh-CN"/>
        </w:rPr>
        <w:t>4）</w:t>
      </w:r>
      <w:r>
        <w:rPr>
          <w:rFonts w:hint="eastAsia" w:ascii="宋体" w:hAnsi="宋体" w:eastAsia="宋体" w:cs="Arial"/>
          <w:sz w:val="22"/>
          <w:szCs w:val="22"/>
          <w:lang w:eastAsia="zh-CN"/>
        </w:rPr>
        <w:t>评审委员会基于专业判断，认为供应商报价过低，有可能影响产品质量或者不能诚信履约的其他情形。</w:t>
      </w:r>
    </w:p>
    <w:p w14:paraId="0705AF6A">
      <w:pPr>
        <w:pStyle w:val="21"/>
        <w:adjustRightInd w:val="0"/>
        <w:snapToGrid w:val="0"/>
        <w:spacing w:line="360" w:lineRule="auto"/>
        <w:ind w:firstLine="433" w:firstLineChars="197"/>
        <w:rPr>
          <w:rFonts w:hint="eastAsia" w:ascii="宋体" w:hAnsi="宋体" w:eastAsia="宋体" w:cs="Arial"/>
          <w:sz w:val="22"/>
          <w:szCs w:val="22"/>
          <w:lang w:eastAsia="zh-CN"/>
        </w:rPr>
      </w:pPr>
      <w:r>
        <w:rPr>
          <w:rFonts w:hint="eastAsia" w:ascii="宋体" w:hAnsi="宋体" w:eastAsia="宋体" w:cs="Arial"/>
          <w:sz w:val="22"/>
          <w:szCs w:val="22"/>
          <w:lang w:eastAsia="zh-CN"/>
        </w:rPr>
        <w:t>相关法律法规对供应商报价有规定的，从其规定。</w:t>
      </w:r>
    </w:p>
    <w:p w14:paraId="7E7924FF">
      <w:pPr>
        <w:pStyle w:val="21"/>
        <w:adjustRightInd w:val="0"/>
        <w:snapToGrid w:val="0"/>
        <w:spacing w:line="360" w:lineRule="auto"/>
        <w:ind w:firstLine="433" w:firstLineChars="197"/>
        <w:rPr>
          <w:rFonts w:hint="eastAsia" w:ascii="宋体" w:hAnsi="宋体" w:eastAsia="宋体" w:cs="Arial"/>
          <w:sz w:val="22"/>
          <w:szCs w:val="22"/>
        </w:rPr>
      </w:pPr>
      <w:r>
        <w:rPr>
          <w:rFonts w:hint="eastAsia" w:ascii="宋体" w:hAnsi="宋体" w:eastAsia="宋体" w:cs="Arial"/>
          <w:sz w:val="22"/>
          <w:szCs w:val="22"/>
          <w:lang w:eastAsia="zh-CN"/>
        </w:rPr>
        <w:t>(二)评审委员会启动异常低价投标(响应)审查后，属于前述第1）项至第</w:t>
      </w:r>
      <w:r>
        <w:rPr>
          <w:rFonts w:hint="eastAsia" w:ascii="宋体" w:hAnsi="宋体" w:eastAsia="宋体" w:cs="Arial"/>
          <w:sz w:val="22"/>
          <w:szCs w:val="22"/>
          <w:lang w:val="en-US" w:eastAsia="zh-CN"/>
        </w:rPr>
        <w:t>4）</w:t>
      </w:r>
      <w:r>
        <w:rPr>
          <w:rFonts w:hint="eastAsia" w:ascii="宋体" w:hAnsi="宋体" w:eastAsia="宋体" w:cs="Arial"/>
          <w:sz w:val="22"/>
          <w:szCs w:val="22"/>
          <w:lang w:eastAsia="zh-CN"/>
        </w:rPr>
        <w:t>项情形的，应当要求相关供应商在</w:t>
      </w:r>
      <w:r>
        <w:rPr>
          <w:rFonts w:hint="eastAsia" w:ascii="宋体" w:hAnsi="宋体" w:eastAsia="宋体" w:cs="Arial"/>
          <w:sz w:val="22"/>
          <w:szCs w:val="22"/>
          <w:lang w:val="en-US" w:eastAsia="zh-CN"/>
        </w:rPr>
        <w:t>30分钟</w:t>
      </w:r>
      <w:r>
        <w:rPr>
          <w:rFonts w:hint="eastAsia" w:ascii="宋体" w:hAnsi="宋体" w:eastAsia="宋体" w:cs="Arial"/>
          <w:sz w:val="22"/>
          <w:szCs w:val="22"/>
          <w:lang w:eastAsia="zh-CN"/>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p>
    <w:p w14:paraId="20364680">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1</w:t>
      </w:r>
      <w:r>
        <w:rPr>
          <w:rFonts w:hint="eastAsia" w:hAnsi="宋体" w:cs="Arial"/>
          <w:sz w:val="22"/>
          <w:szCs w:val="22"/>
          <w:lang w:val="en-US" w:eastAsia="zh-CN"/>
        </w:rPr>
        <w:t>2</w:t>
      </w:r>
      <w:r>
        <w:rPr>
          <w:rFonts w:hint="eastAsia" w:hAnsi="宋体" w:cs="Arial"/>
          <w:sz w:val="22"/>
          <w:szCs w:val="22"/>
        </w:rPr>
        <w:t>）对关键条文的偏离、保留或反对，例如关于适用法律、税金等其他内容；</w:t>
      </w:r>
    </w:p>
    <w:p w14:paraId="0465C45C">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1</w:t>
      </w:r>
      <w:r>
        <w:rPr>
          <w:rFonts w:hint="eastAsia" w:hAnsi="宋体" w:cs="Arial"/>
          <w:sz w:val="22"/>
          <w:szCs w:val="22"/>
          <w:lang w:val="en-US" w:eastAsia="zh-CN"/>
        </w:rPr>
        <w:t>3</w:t>
      </w:r>
      <w:r>
        <w:rPr>
          <w:rFonts w:hint="eastAsia" w:hAnsi="宋体" w:cs="Arial"/>
          <w:sz w:val="22"/>
          <w:szCs w:val="22"/>
        </w:rPr>
        <w:t>）其他经评标委员会认定的未能在实质上响应的或违反国家有关规定的投标文件。</w:t>
      </w:r>
    </w:p>
    <w:p w14:paraId="6CC653EC">
      <w:pPr>
        <w:adjustRightInd w:val="0"/>
        <w:snapToGrid w:val="0"/>
        <w:spacing w:line="360" w:lineRule="auto"/>
        <w:ind w:firstLine="433" w:firstLineChars="197"/>
        <w:rPr>
          <w:rFonts w:ascii="宋体" w:cs="Arial"/>
          <w:sz w:val="22"/>
          <w:szCs w:val="22"/>
        </w:rPr>
      </w:pPr>
      <w:r>
        <w:rPr>
          <w:rFonts w:hint="eastAsia" w:ascii="宋体" w:cs="Arial"/>
          <w:sz w:val="22"/>
          <w:szCs w:val="22"/>
        </w:rPr>
        <w:t>5.5、实质上没有响应招标文件要求的投标将被拒绝。投标人不得通过修正或撤消不合要求的偏离从而使其投标成为实质上响应的投标。</w:t>
      </w:r>
    </w:p>
    <w:p w14:paraId="58466844">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5.6、评标委员会对投标文件的判定，只依据投标内容本身，不依靠开标后的任何外来证明。</w:t>
      </w:r>
    </w:p>
    <w:p w14:paraId="75B25487">
      <w:pPr>
        <w:pStyle w:val="21"/>
        <w:adjustRightInd w:val="0"/>
        <w:snapToGrid w:val="0"/>
        <w:spacing w:line="360" w:lineRule="auto"/>
        <w:ind w:firstLine="433" w:firstLineChars="197"/>
        <w:rPr>
          <w:rFonts w:hAnsi="宋体"/>
          <w:sz w:val="22"/>
          <w:szCs w:val="22"/>
        </w:rPr>
      </w:pPr>
      <w:r>
        <w:rPr>
          <w:rFonts w:hint="eastAsia" w:hAnsi="宋体" w:cs="Arial"/>
          <w:sz w:val="22"/>
          <w:szCs w:val="22"/>
        </w:rPr>
        <w:t>5.7、评标委员会</w:t>
      </w:r>
      <w:r>
        <w:rPr>
          <w:rFonts w:hint="eastAsia" w:hAnsi="宋体"/>
          <w:sz w:val="22"/>
          <w:szCs w:val="22"/>
        </w:rPr>
        <w:t>在评标中，不得改变招标文件中规定的评标标准、方法和中标条件。</w:t>
      </w:r>
    </w:p>
    <w:p w14:paraId="0DE5BD08">
      <w:pPr>
        <w:pStyle w:val="21"/>
        <w:adjustRightInd w:val="0"/>
        <w:snapToGrid w:val="0"/>
        <w:spacing w:line="360" w:lineRule="auto"/>
        <w:ind w:firstLine="433" w:firstLineChars="197"/>
        <w:rPr>
          <w:rFonts w:hAnsi="宋体" w:cs="Arial"/>
          <w:sz w:val="22"/>
          <w:szCs w:val="22"/>
        </w:rPr>
      </w:pPr>
      <w:r>
        <w:rPr>
          <w:rFonts w:hint="eastAsia" w:hAnsi="宋体"/>
          <w:sz w:val="22"/>
          <w:szCs w:val="22"/>
        </w:rPr>
        <w:t>5.8、评标时如遇到招标文件未规定的特殊情况，由评标委员会按少数服从多数原则集体决定处理。</w:t>
      </w:r>
    </w:p>
    <w:p w14:paraId="0D3449EC">
      <w:pPr>
        <w:pStyle w:val="21"/>
        <w:adjustRightInd w:val="0"/>
        <w:snapToGrid w:val="0"/>
        <w:spacing w:line="360" w:lineRule="auto"/>
        <w:ind w:firstLine="435" w:firstLineChars="197"/>
        <w:rPr>
          <w:rFonts w:hAnsi="宋体" w:cs="Arial"/>
          <w:b/>
          <w:sz w:val="22"/>
          <w:szCs w:val="22"/>
        </w:rPr>
      </w:pPr>
      <w:r>
        <w:rPr>
          <w:rFonts w:hint="eastAsia" w:hAnsi="宋体" w:cs="Arial"/>
          <w:b/>
          <w:sz w:val="22"/>
          <w:szCs w:val="22"/>
        </w:rPr>
        <w:t>6、投标文件的澄清</w:t>
      </w:r>
    </w:p>
    <w:p w14:paraId="65C738F3">
      <w:pPr>
        <w:adjustRightInd w:val="0"/>
        <w:snapToGrid w:val="0"/>
        <w:spacing w:line="360" w:lineRule="auto"/>
        <w:ind w:firstLine="433" w:firstLineChars="197"/>
        <w:rPr>
          <w:rFonts w:ascii="宋体" w:cs="Arial"/>
          <w:sz w:val="22"/>
          <w:szCs w:val="22"/>
        </w:rPr>
      </w:pPr>
      <w:r>
        <w:rPr>
          <w:rFonts w:hint="eastAsia" w:ascii="宋体" w:cs="Arial"/>
          <w:sz w:val="22"/>
          <w:szCs w:val="22"/>
        </w:rPr>
        <w:t>6.1 为有利于对投标文件的比较和评议，必要时招标人及评标委员会可要求投标人对投标文件及合同条款进行澄清，并做出书面答复。书面答复须有投标授权代表签字并作为投标内容的一部分。</w:t>
      </w:r>
    </w:p>
    <w:p w14:paraId="1CDD38D9">
      <w:pPr>
        <w:adjustRightInd w:val="0"/>
        <w:snapToGrid w:val="0"/>
        <w:spacing w:line="360" w:lineRule="auto"/>
        <w:ind w:firstLine="433" w:firstLineChars="197"/>
        <w:rPr>
          <w:rFonts w:ascii="宋体" w:cs="Arial"/>
          <w:sz w:val="22"/>
          <w:szCs w:val="22"/>
        </w:rPr>
      </w:pPr>
      <w:r>
        <w:rPr>
          <w:rFonts w:hint="eastAsia" w:ascii="宋体" w:cs="Arial"/>
          <w:sz w:val="22"/>
          <w:szCs w:val="22"/>
        </w:rPr>
        <w:t xml:space="preserve">6.2 投标人对投标文件的澄清不得寻求、提供或允许改变投标价格等实质性内容。 </w:t>
      </w:r>
    </w:p>
    <w:p w14:paraId="799931A5">
      <w:pPr>
        <w:pStyle w:val="21"/>
        <w:adjustRightInd w:val="0"/>
        <w:spacing w:line="360" w:lineRule="auto"/>
        <w:ind w:firstLine="477" w:firstLineChars="216"/>
        <w:rPr>
          <w:rFonts w:hAnsi="宋体"/>
          <w:b/>
          <w:bCs/>
          <w:sz w:val="22"/>
        </w:rPr>
      </w:pPr>
      <w:r>
        <w:rPr>
          <w:rFonts w:hint="eastAsia" w:hAnsi="宋体"/>
          <w:b/>
          <w:bCs/>
          <w:sz w:val="22"/>
        </w:rPr>
        <w:t>7、投标文件的错误修正</w:t>
      </w:r>
    </w:p>
    <w:p w14:paraId="08A94622">
      <w:pPr>
        <w:pStyle w:val="21"/>
        <w:adjustRightInd w:val="0"/>
        <w:spacing w:line="360" w:lineRule="auto"/>
        <w:ind w:firstLine="440" w:firstLineChars="200"/>
        <w:rPr>
          <w:rFonts w:hAnsi="宋体" w:cs="Arial"/>
          <w:kern w:val="0"/>
          <w:sz w:val="22"/>
        </w:rPr>
      </w:pPr>
      <w:r>
        <w:rPr>
          <w:rFonts w:hint="eastAsia" w:hAnsi="宋体" w:cs="Arial"/>
          <w:kern w:val="0"/>
          <w:sz w:val="22"/>
        </w:rPr>
        <w:t>7.1投标</w:t>
      </w:r>
      <w:r>
        <w:rPr>
          <w:rFonts w:hAnsi="宋体" w:cs="Arial"/>
          <w:kern w:val="0"/>
          <w:sz w:val="22"/>
        </w:rPr>
        <w:t>文件如果出现计算或表达上的错误，修正错误的原则如下：</w:t>
      </w:r>
    </w:p>
    <w:p w14:paraId="3E182F16">
      <w:pPr>
        <w:pStyle w:val="21"/>
        <w:adjustRightInd w:val="0"/>
        <w:spacing w:line="360" w:lineRule="auto"/>
        <w:ind w:firstLine="440" w:firstLineChars="200"/>
        <w:rPr>
          <w:rFonts w:hAnsi="宋体" w:cs="Arial"/>
          <w:kern w:val="0"/>
          <w:sz w:val="22"/>
        </w:rPr>
      </w:pPr>
      <w:r>
        <w:rPr>
          <w:rFonts w:hAnsi="宋体" w:cs="Arial"/>
          <w:kern w:val="0"/>
          <w:sz w:val="22"/>
        </w:rPr>
        <w:t>（1）</w:t>
      </w:r>
      <w:r>
        <w:rPr>
          <w:rFonts w:hint="eastAsia" w:hAnsi="宋体" w:cs="Arial"/>
          <w:kern w:val="0"/>
          <w:sz w:val="22"/>
        </w:rPr>
        <w:t>投标</w:t>
      </w:r>
      <w:r>
        <w:rPr>
          <w:rFonts w:hAnsi="宋体" w:cs="Arial"/>
          <w:kern w:val="0"/>
          <w:sz w:val="22"/>
        </w:rPr>
        <w:t>文件</w:t>
      </w:r>
      <w:r>
        <w:rPr>
          <w:rFonts w:hint="eastAsia" w:hAnsi="宋体" w:cs="Arial"/>
          <w:kern w:val="0"/>
          <w:sz w:val="22"/>
        </w:rPr>
        <w:t>中</w:t>
      </w:r>
      <w:r>
        <w:rPr>
          <w:rFonts w:hAnsi="宋体" w:cs="Arial"/>
          <w:kern w:val="0"/>
          <w:sz w:val="22"/>
        </w:rPr>
        <w:t>开标一览表</w:t>
      </w:r>
      <w:r>
        <w:rPr>
          <w:rFonts w:hint="eastAsia" w:hAnsi="宋体" w:cs="Arial"/>
          <w:kern w:val="0"/>
          <w:sz w:val="22"/>
        </w:rPr>
        <w:t>（报价表）内容</w:t>
      </w:r>
      <w:r>
        <w:rPr>
          <w:rFonts w:hAnsi="宋体" w:cs="Arial"/>
          <w:kern w:val="0"/>
          <w:sz w:val="22"/>
        </w:rPr>
        <w:t>与</w:t>
      </w:r>
      <w:r>
        <w:rPr>
          <w:rFonts w:hint="eastAsia" w:hAnsi="宋体" w:cs="Arial"/>
          <w:kern w:val="0"/>
          <w:sz w:val="22"/>
        </w:rPr>
        <w:t>投标文件中相应内容不一致的</w:t>
      </w:r>
      <w:r>
        <w:rPr>
          <w:rFonts w:hAnsi="宋体" w:cs="Arial"/>
          <w:kern w:val="0"/>
          <w:sz w:val="22"/>
        </w:rPr>
        <w:t>，以开标一览表</w:t>
      </w:r>
      <w:r>
        <w:rPr>
          <w:rFonts w:hint="eastAsia" w:hAnsi="宋体" w:cs="Arial"/>
          <w:kern w:val="0"/>
          <w:sz w:val="22"/>
        </w:rPr>
        <w:t>（报价表）</w:t>
      </w:r>
      <w:r>
        <w:rPr>
          <w:rFonts w:hAnsi="宋体" w:cs="Arial"/>
          <w:kern w:val="0"/>
          <w:sz w:val="22"/>
        </w:rPr>
        <w:t>为准。</w:t>
      </w:r>
    </w:p>
    <w:p w14:paraId="775DAEA8">
      <w:pPr>
        <w:pStyle w:val="21"/>
        <w:adjustRightInd w:val="0"/>
        <w:spacing w:line="360" w:lineRule="auto"/>
        <w:ind w:firstLine="440" w:firstLineChars="200"/>
        <w:rPr>
          <w:rFonts w:hAnsi="宋体" w:cs="Arial"/>
          <w:kern w:val="0"/>
          <w:sz w:val="22"/>
        </w:rPr>
      </w:pPr>
      <w:r>
        <w:rPr>
          <w:rFonts w:hAnsi="宋体" w:cs="Arial"/>
          <w:kern w:val="0"/>
          <w:sz w:val="22"/>
        </w:rPr>
        <w:t>（2）</w:t>
      </w:r>
      <w:r>
        <w:rPr>
          <w:rFonts w:hint="eastAsia" w:hAnsi="宋体" w:cs="Arial"/>
          <w:kern w:val="0"/>
          <w:sz w:val="22"/>
        </w:rPr>
        <w:t>投标</w:t>
      </w:r>
      <w:r>
        <w:rPr>
          <w:rFonts w:hAnsi="宋体" w:cs="Arial"/>
          <w:kern w:val="0"/>
          <w:sz w:val="22"/>
        </w:rPr>
        <w:t>文件的大写金额和小写金额不一致的，以大写金额为准；</w:t>
      </w:r>
    </w:p>
    <w:p w14:paraId="0E5DB255">
      <w:pPr>
        <w:pStyle w:val="21"/>
        <w:adjustRightInd w:val="0"/>
        <w:spacing w:line="360" w:lineRule="auto"/>
        <w:ind w:firstLine="440" w:firstLineChars="200"/>
        <w:rPr>
          <w:rFonts w:hAnsi="宋体" w:cs="Arial"/>
          <w:kern w:val="0"/>
          <w:sz w:val="22"/>
        </w:rPr>
      </w:pPr>
      <w:r>
        <w:rPr>
          <w:rFonts w:hint="eastAsia" w:hAnsi="宋体" w:cs="Arial"/>
          <w:kern w:val="0"/>
          <w:sz w:val="22"/>
        </w:rPr>
        <w:t>（3）单价金额小数点或者百分比有明显错位的，应以</w:t>
      </w:r>
      <w:r>
        <w:rPr>
          <w:rFonts w:hAnsi="宋体" w:cs="Arial"/>
          <w:kern w:val="0"/>
          <w:sz w:val="22"/>
        </w:rPr>
        <w:t>开标一览表</w:t>
      </w:r>
      <w:r>
        <w:rPr>
          <w:rFonts w:hint="eastAsia" w:hAnsi="宋体" w:cs="Arial"/>
          <w:kern w:val="0"/>
          <w:sz w:val="22"/>
        </w:rPr>
        <w:t>（报价表）的总价为准，并修改单价；</w:t>
      </w:r>
    </w:p>
    <w:p w14:paraId="648D8040">
      <w:pPr>
        <w:pStyle w:val="21"/>
        <w:adjustRightInd w:val="0"/>
        <w:spacing w:line="360" w:lineRule="auto"/>
        <w:ind w:firstLine="440" w:firstLineChars="200"/>
        <w:rPr>
          <w:rFonts w:hAnsi="宋体" w:cs="Arial"/>
          <w:kern w:val="0"/>
          <w:sz w:val="22"/>
        </w:rPr>
      </w:pPr>
      <w:r>
        <w:rPr>
          <w:rFonts w:hAnsi="宋体" w:cs="Arial"/>
          <w:kern w:val="0"/>
          <w:sz w:val="22"/>
        </w:rPr>
        <w:t>（</w:t>
      </w:r>
      <w:r>
        <w:rPr>
          <w:rFonts w:hint="eastAsia" w:hAnsi="宋体" w:cs="Arial"/>
          <w:kern w:val="0"/>
          <w:sz w:val="22"/>
        </w:rPr>
        <w:t>4</w:t>
      </w:r>
      <w:r>
        <w:rPr>
          <w:rFonts w:hAnsi="宋体" w:cs="Arial"/>
          <w:kern w:val="0"/>
          <w:sz w:val="22"/>
        </w:rPr>
        <w:t>）总价金额与按单价汇总金额不一致的，以单价金额计算结果为准</w:t>
      </w:r>
      <w:r>
        <w:rPr>
          <w:rFonts w:hint="eastAsia" w:hAnsi="宋体" w:cs="Arial"/>
          <w:kern w:val="0"/>
          <w:sz w:val="22"/>
        </w:rPr>
        <w:t>。</w:t>
      </w:r>
    </w:p>
    <w:p w14:paraId="071ED5CC">
      <w:pPr>
        <w:pStyle w:val="21"/>
        <w:adjustRightInd w:val="0"/>
        <w:spacing w:line="360" w:lineRule="auto"/>
        <w:ind w:firstLine="440" w:firstLineChars="200"/>
        <w:rPr>
          <w:rFonts w:hAnsi="宋体" w:cs="Arial"/>
          <w:kern w:val="0"/>
          <w:sz w:val="22"/>
        </w:rPr>
      </w:pPr>
      <w:r>
        <w:rPr>
          <w:rFonts w:hint="eastAsia" w:hAnsi="宋体" w:cs="Arial"/>
          <w:kern w:val="0"/>
          <w:sz w:val="22"/>
        </w:rPr>
        <w:t>同时出现两种以上不一致的，按照前款规定的顺序修正。修正后的报价按照投标人的澄清、说明或者补正应当采用通过政采云平台系统在线应答。投标人的澄清、说明或者补正不得超出投标文件的范围或者改变投标文件的实质性内容。经投标人确认后产生约束力，投标人不确认的，其投标无效。</w:t>
      </w:r>
    </w:p>
    <w:p w14:paraId="6CBE0DB0">
      <w:pPr>
        <w:pStyle w:val="21"/>
        <w:adjustRightInd w:val="0"/>
        <w:spacing w:line="360" w:lineRule="auto"/>
        <w:ind w:firstLine="440" w:firstLineChars="200"/>
        <w:rPr>
          <w:rFonts w:hAnsi="宋体" w:cs="Arial"/>
          <w:kern w:val="0"/>
          <w:sz w:val="22"/>
        </w:rPr>
      </w:pPr>
      <w:r>
        <w:rPr>
          <w:rFonts w:hint="eastAsia" w:hAnsi="宋体" w:cs="Arial"/>
          <w:kern w:val="0"/>
          <w:sz w:val="22"/>
        </w:rPr>
        <w:t>7.2</w:t>
      </w:r>
      <w:r>
        <w:rPr>
          <w:rFonts w:hAnsi="宋体" w:cs="Arial"/>
          <w:kern w:val="0"/>
          <w:sz w:val="22"/>
        </w:rPr>
        <w:t>对不同文字文本的解释发生异议的，以中文文本为准。</w:t>
      </w:r>
    </w:p>
    <w:p w14:paraId="3A066DEF">
      <w:pPr>
        <w:pStyle w:val="21"/>
        <w:adjustRightInd w:val="0"/>
        <w:snapToGrid w:val="0"/>
        <w:spacing w:line="360" w:lineRule="auto"/>
        <w:ind w:firstLine="435" w:firstLineChars="197"/>
        <w:rPr>
          <w:rFonts w:hAnsi="宋体" w:cs="Arial"/>
          <w:b/>
          <w:sz w:val="22"/>
          <w:szCs w:val="22"/>
        </w:rPr>
      </w:pPr>
      <w:r>
        <w:rPr>
          <w:rFonts w:hint="eastAsia" w:hAnsi="宋体" w:cs="Arial"/>
          <w:b/>
          <w:sz w:val="22"/>
          <w:szCs w:val="22"/>
        </w:rPr>
        <w:t>8、评标原则</w:t>
      </w:r>
    </w:p>
    <w:p w14:paraId="4C1ABE7D">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8.1评标委员会按照招标文件的要求和条件对投标文件进行商务和技术评估，综合比较与评价。</w:t>
      </w:r>
    </w:p>
    <w:p w14:paraId="553FD0AC">
      <w:pPr>
        <w:pStyle w:val="21"/>
        <w:adjustRightInd w:val="0"/>
        <w:snapToGrid w:val="0"/>
        <w:spacing w:line="360" w:lineRule="auto"/>
        <w:ind w:firstLine="433" w:firstLineChars="197"/>
        <w:rPr>
          <w:rFonts w:hAnsi="宋体" w:cs="Arial"/>
          <w:sz w:val="22"/>
          <w:szCs w:val="22"/>
        </w:rPr>
      </w:pPr>
      <w:r>
        <w:rPr>
          <w:rFonts w:hint="eastAsia" w:hAnsi="宋体" w:cs="Arial"/>
          <w:sz w:val="22"/>
          <w:szCs w:val="22"/>
        </w:rPr>
        <w:t>8.2评标办法具体见本招标文件第六部分。</w:t>
      </w:r>
    </w:p>
    <w:p w14:paraId="47C7141B">
      <w:pPr>
        <w:pStyle w:val="21"/>
        <w:adjustRightInd w:val="0"/>
        <w:spacing w:line="360" w:lineRule="auto"/>
        <w:ind w:firstLine="442" w:firstLineChars="200"/>
        <w:rPr>
          <w:rFonts w:hAnsi="宋体"/>
          <w:b/>
          <w:sz w:val="22"/>
        </w:rPr>
      </w:pPr>
      <w:r>
        <w:rPr>
          <w:rFonts w:hint="eastAsia" w:hAnsi="宋体"/>
          <w:b/>
          <w:sz w:val="22"/>
        </w:rPr>
        <w:t>9、可中止电子交易活动的情形</w:t>
      </w:r>
    </w:p>
    <w:p w14:paraId="2B0F097C">
      <w:pPr>
        <w:spacing w:line="360" w:lineRule="auto"/>
        <w:ind w:firstLine="389" w:firstLineChars="176"/>
        <w:rPr>
          <w:rFonts w:ascii="宋体" w:hAnsi="宋体"/>
          <w:b/>
          <w:sz w:val="22"/>
        </w:rPr>
      </w:pPr>
      <w:r>
        <w:rPr>
          <w:rFonts w:hint="eastAsia" w:ascii="宋体" w:hAnsi="宋体"/>
          <w:b/>
          <w:sz w:val="22"/>
        </w:rPr>
        <w:t>采购过程中出现以下情形，导致电子交易平台无法正常运行，或者无法保证电子交易的公平、公正和安全时，采购组织机构可中止电子交易活动：</w:t>
      </w:r>
    </w:p>
    <w:p w14:paraId="1AC69FB4">
      <w:pPr>
        <w:spacing w:line="360" w:lineRule="auto"/>
        <w:ind w:firstLine="387" w:firstLineChars="176"/>
        <w:rPr>
          <w:rFonts w:ascii="宋体" w:hAnsi="宋体"/>
          <w:sz w:val="22"/>
        </w:rPr>
      </w:pPr>
      <w:r>
        <w:rPr>
          <w:rFonts w:hint="eastAsia" w:ascii="宋体" w:hAnsi="宋体"/>
          <w:sz w:val="22"/>
        </w:rPr>
        <w:t>1、电子交易平台发生故障而无法登录访问的；</w:t>
      </w:r>
    </w:p>
    <w:p w14:paraId="4E21FCCD">
      <w:pPr>
        <w:spacing w:line="360" w:lineRule="auto"/>
        <w:ind w:firstLine="387" w:firstLineChars="176"/>
        <w:rPr>
          <w:rFonts w:ascii="宋体" w:hAnsi="宋体"/>
          <w:sz w:val="22"/>
        </w:rPr>
      </w:pPr>
      <w:r>
        <w:rPr>
          <w:rFonts w:hint="eastAsia" w:ascii="宋体" w:hAnsi="宋体"/>
          <w:sz w:val="22"/>
        </w:rPr>
        <w:t>2、电子交易平台应用或数据库出现错误，不能进行正常操作的；</w:t>
      </w:r>
    </w:p>
    <w:p w14:paraId="4CA2DCE0">
      <w:pPr>
        <w:spacing w:line="360" w:lineRule="auto"/>
        <w:ind w:firstLine="387" w:firstLineChars="176"/>
        <w:rPr>
          <w:rFonts w:ascii="宋体" w:hAnsi="宋体"/>
          <w:sz w:val="22"/>
        </w:rPr>
      </w:pPr>
      <w:r>
        <w:rPr>
          <w:rFonts w:hint="eastAsia" w:ascii="宋体" w:hAnsi="宋体"/>
          <w:sz w:val="22"/>
        </w:rPr>
        <w:t>3、电子交易平台发现严重安全漏洞，有潜在泄密危险的；</w:t>
      </w:r>
    </w:p>
    <w:p w14:paraId="688CA55C">
      <w:pPr>
        <w:spacing w:line="360" w:lineRule="auto"/>
        <w:ind w:firstLine="387" w:firstLineChars="176"/>
        <w:rPr>
          <w:rFonts w:ascii="宋体" w:hAnsi="宋体"/>
          <w:sz w:val="22"/>
        </w:rPr>
      </w:pPr>
      <w:r>
        <w:rPr>
          <w:rFonts w:hint="eastAsia" w:ascii="宋体" w:hAnsi="宋体"/>
          <w:sz w:val="22"/>
        </w:rPr>
        <w:t>4、病毒发作导致不能进行正常操作的；</w:t>
      </w:r>
    </w:p>
    <w:p w14:paraId="181A11C9">
      <w:pPr>
        <w:spacing w:line="360" w:lineRule="auto"/>
        <w:ind w:firstLine="387" w:firstLineChars="176"/>
        <w:rPr>
          <w:rFonts w:ascii="宋体" w:hAnsi="宋体"/>
          <w:sz w:val="22"/>
        </w:rPr>
      </w:pPr>
      <w:r>
        <w:rPr>
          <w:rFonts w:hint="eastAsia" w:ascii="宋体" w:hAnsi="宋体"/>
          <w:sz w:val="22"/>
        </w:rPr>
        <w:t>5、其他无法保证电子交易的公平、公正和安全的情况。</w:t>
      </w:r>
    </w:p>
    <w:p w14:paraId="66029C81">
      <w:pPr>
        <w:spacing w:line="360" w:lineRule="auto"/>
        <w:ind w:firstLine="389" w:firstLineChars="176"/>
        <w:rPr>
          <w:rFonts w:ascii="宋体" w:hAnsi="宋体"/>
          <w:b/>
          <w:sz w:val="22"/>
        </w:rPr>
      </w:pPr>
      <w:r>
        <w:rPr>
          <w:rFonts w:hint="eastAsia" w:ascii="宋体" w:hAnsi="宋体"/>
          <w:b/>
          <w:sz w:val="22"/>
        </w:rPr>
        <w:t>出现前款规定情形，不影响采购公平、公正性的，采购组织机构可以待上述情形消除后继续组织电子交易活动；影响或可能影响采购公平、公正性的，应当重新采购。</w:t>
      </w:r>
    </w:p>
    <w:p w14:paraId="715572C8">
      <w:pPr>
        <w:pStyle w:val="21"/>
        <w:adjustRightInd w:val="0"/>
        <w:snapToGrid w:val="0"/>
        <w:spacing w:line="360" w:lineRule="auto"/>
        <w:ind w:firstLine="435" w:firstLineChars="197"/>
        <w:outlineLvl w:val="1"/>
        <w:rPr>
          <w:rFonts w:hAnsi="宋体"/>
          <w:b/>
          <w:sz w:val="22"/>
          <w:szCs w:val="22"/>
        </w:rPr>
      </w:pPr>
      <w:r>
        <w:rPr>
          <w:rFonts w:hint="eastAsia" w:hAnsi="宋体"/>
          <w:b/>
          <w:sz w:val="22"/>
          <w:szCs w:val="22"/>
        </w:rPr>
        <w:t>七、授予合同</w:t>
      </w:r>
    </w:p>
    <w:p w14:paraId="21EDB982">
      <w:pPr>
        <w:pStyle w:val="21"/>
        <w:adjustRightInd w:val="0"/>
        <w:snapToGrid w:val="0"/>
        <w:spacing w:line="360" w:lineRule="auto"/>
        <w:ind w:firstLine="433" w:firstLineChars="197"/>
        <w:rPr>
          <w:rFonts w:hAnsi="宋体"/>
          <w:sz w:val="22"/>
          <w:szCs w:val="22"/>
        </w:rPr>
      </w:pPr>
      <w:r>
        <w:rPr>
          <w:rFonts w:hint="eastAsia" w:hAnsi="宋体"/>
          <w:sz w:val="22"/>
          <w:szCs w:val="22"/>
        </w:rPr>
        <w:t>1、决标</w:t>
      </w:r>
    </w:p>
    <w:p w14:paraId="4B806B9D">
      <w:pPr>
        <w:pStyle w:val="21"/>
        <w:adjustRightInd w:val="0"/>
        <w:snapToGrid w:val="0"/>
        <w:spacing w:line="360" w:lineRule="auto"/>
        <w:ind w:firstLine="433" w:firstLineChars="197"/>
        <w:rPr>
          <w:rFonts w:hAnsi="宋体"/>
          <w:sz w:val="22"/>
          <w:szCs w:val="22"/>
        </w:rPr>
      </w:pPr>
      <w:r>
        <w:rPr>
          <w:rFonts w:hint="eastAsia" w:hAnsi="宋体"/>
          <w:sz w:val="22"/>
          <w:szCs w:val="22"/>
        </w:rPr>
        <w:t>评标结束后，评标委员会按照招标文件确定的评标办法确定</w:t>
      </w:r>
      <w:r>
        <w:rPr>
          <w:rFonts w:hint="eastAsia" w:ascii="宋体"/>
          <w:sz w:val="22"/>
          <w:szCs w:val="22"/>
        </w:rPr>
        <w:t>中标人</w:t>
      </w:r>
      <w:r>
        <w:rPr>
          <w:rFonts w:hint="eastAsia" w:hAnsi="宋体"/>
          <w:sz w:val="22"/>
          <w:szCs w:val="22"/>
        </w:rPr>
        <w:t>。</w:t>
      </w:r>
    </w:p>
    <w:p w14:paraId="6EF790A9">
      <w:pPr>
        <w:pStyle w:val="21"/>
        <w:adjustRightInd w:val="0"/>
        <w:snapToGrid w:val="0"/>
        <w:spacing w:line="360" w:lineRule="auto"/>
        <w:ind w:firstLine="433" w:firstLineChars="197"/>
        <w:rPr>
          <w:rFonts w:hAnsi="宋体"/>
          <w:sz w:val="22"/>
          <w:szCs w:val="22"/>
        </w:rPr>
      </w:pPr>
      <w:r>
        <w:rPr>
          <w:rFonts w:hint="eastAsia" w:hAnsi="宋体"/>
          <w:sz w:val="22"/>
          <w:szCs w:val="22"/>
        </w:rPr>
        <w:t>2、中标通知书</w:t>
      </w:r>
    </w:p>
    <w:p w14:paraId="22F481BC">
      <w:pPr>
        <w:spacing w:line="360" w:lineRule="auto"/>
        <w:ind w:firstLine="433" w:firstLineChars="197"/>
        <w:rPr>
          <w:rFonts w:ascii="宋体"/>
          <w:sz w:val="22"/>
          <w:szCs w:val="22"/>
        </w:rPr>
      </w:pPr>
      <w:r>
        <w:rPr>
          <w:rFonts w:hint="eastAsia" w:ascii="宋体"/>
          <w:sz w:val="22"/>
          <w:szCs w:val="22"/>
        </w:rPr>
        <w:t>2.1、招标机构在</w:t>
      </w:r>
      <w:r>
        <w:rPr>
          <w:rFonts w:hint="eastAsia" w:hAnsi="宋体"/>
          <w:spacing w:val="10"/>
          <w:sz w:val="22"/>
        </w:rPr>
        <w:t>浙江省政府采购网和温州市公共资源交易网苍南县分网上公示中标结果</w:t>
      </w:r>
      <w:r>
        <w:rPr>
          <w:rFonts w:hint="eastAsia" w:ascii="宋体"/>
          <w:sz w:val="22"/>
          <w:szCs w:val="22"/>
        </w:rPr>
        <w:t>，公示期结束，如无异议，将向</w:t>
      </w:r>
      <w:r>
        <w:rPr>
          <w:rFonts w:hint="eastAsia" w:ascii="宋体"/>
          <w:sz w:val="22"/>
          <w:szCs w:val="22"/>
          <w:lang w:eastAsia="zh-CN"/>
        </w:rPr>
        <w:t>中标人</w:t>
      </w:r>
      <w:r>
        <w:rPr>
          <w:rFonts w:hint="eastAsia" w:ascii="宋体"/>
          <w:sz w:val="22"/>
          <w:szCs w:val="22"/>
        </w:rPr>
        <w:t>发出中标通知书。如发现投标人资格无效，则重新组织招标。</w:t>
      </w:r>
    </w:p>
    <w:p w14:paraId="5594FEAF">
      <w:pPr>
        <w:adjustRightInd w:val="0"/>
        <w:snapToGrid w:val="0"/>
        <w:spacing w:line="360" w:lineRule="auto"/>
        <w:ind w:firstLine="433" w:firstLineChars="197"/>
        <w:rPr>
          <w:rFonts w:ascii="宋体"/>
          <w:sz w:val="22"/>
          <w:szCs w:val="22"/>
        </w:rPr>
      </w:pPr>
      <w:r>
        <w:rPr>
          <w:rFonts w:hint="eastAsia" w:ascii="宋体"/>
          <w:sz w:val="22"/>
          <w:szCs w:val="22"/>
        </w:rPr>
        <w:t>2.2、中标通知书对招标人和中标人具有法律约束力。中标通知书发出后，招标人改变中标结果或者中标人放弃中标的，应当承担法律责任。</w:t>
      </w:r>
    </w:p>
    <w:p w14:paraId="68E69962">
      <w:pPr>
        <w:adjustRightInd w:val="0"/>
        <w:snapToGrid w:val="0"/>
        <w:spacing w:line="360" w:lineRule="auto"/>
        <w:ind w:firstLine="433" w:firstLineChars="197"/>
        <w:rPr>
          <w:rFonts w:ascii="宋体"/>
          <w:sz w:val="22"/>
          <w:szCs w:val="22"/>
        </w:rPr>
      </w:pPr>
      <w:r>
        <w:rPr>
          <w:rFonts w:hint="eastAsia" w:ascii="宋体"/>
          <w:sz w:val="22"/>
          <w:szCs w:val="22"/>
        </w:rPr>
        <w:t>3、评标委员会对未中标的投标人不作解释。</w:t>
      </w:r>
    </w:p>
    <w:p w14:paraId="5AD243A6">
      <w:pPr>
        <w:pStyle w:val="21"/>
        <w:adjustRightInd w:val="0"/>
        <w:snapToGrid w:val="0"/>
        <w:spacing w:line="360" w:lineRule="auto"/>
        <w:ind w:firstLine="433" w:firstLineChars="197"/>
        <w:rPr>
          <w:rFonts w:hAnsi="宋体"/>
          <w:sz w:val="22"/>
          <w:szCs w:val="22"/>
        </w:rPr>
      </w:pPr>
      <w:r>
        <w:rPr>
          <w:rFonts w:hint="eastAsia" w:hAnsi="宋体"/>
          <w:sz w:val="22"/>
          <w:szCs w:val="22"/>
        </w:rPr>
        <w:t>4、签订合同</w:t>
      </w:r>
    </w:p>
    <w:p w14:paraId="24823D95">
      <w:pPr>
        <w:pStyle w:val="21"/>
        <w:adjustRightInd w:val="0"/>
        <w:snapToGrid w:val="0"/>
        <w:spacing w:line="360" w:lineRule="auto"/>
        <w:ind w:firstLine="433" w:firstLineChars="197"/>
        <w:rPr>
          <w:rFonts w:hAnsi="宋体"/>
          <w:sz w:val="22"/>
          <w:szCs w:val="22"/>
        </w:rPr>
      </w:pPr>
      <w:r>
        <w:rPr>
          <w:rFonts w:hint="eastAsia" w:hAnsi="宋体"/>
          <w:sz w:val="22"/>
          <w:szCs w:val="22"/>
        </w:rPr>
        <w:t>4.1、中标人应主动联系招标人领取中标通知书，并在30天内主动与招标人签订合同。中标人未经招标人许可，在规定时间内未到招标人处与招标人签订合同，则视为拒签合同。</w:t>
      </w:r>
    </w:p>
    <w:p w14:paraId="043B1FAC">
      <w:pPr>
        <w:pStyle w:val="21"/>
        <w:adjustRightInd w:val="0"/>
        <w:snapToGrid w:val="0"/>
        <w:spacing w:line="360" w:lineRule="auto"/>
        <w:ind w:firstLine="433" w:firstLineChars="197"/>
        <w:rPr>
          <w:rFonts w:hAnsi="宋体"/>
          <w:sz w:val="22"/>
          <w:szCs w:val="22"/>
        </w:rPr>
      </w:pPr>
      <w:r>
        <w:rPr>
          <w:rFonts w:hint="eastAsia" w:hAnsi="宋体"/>
          <w:sz w:val="22"/>
          <w:szCs w:val="22"/>
        </w:rPr>
        <w:t>4.2、招标文件、中标人的投标文件及投标修改文件、评标过程中有关澄清文件及经双方签字的询标纪要（承诺）和中标通知书均作为合同附件。</w:t>
      </w:r>
    </w:p>
    <w:p w14:paraId="6F35B0EE">
      <w:pPr>
        <w:pStyle w:val="21"/>
        <w:adjustRightInd w:val="0"/>
        <w:snapToGrid w:val="0"/>
        <w:spacing w:line="360" w:lineRule="auto"/>
        <w:ind w:firstLine="433" w:firstLineChars="197"/>
        <w:rPr>
          <w:rFonts w:hAnsi="宋体"/>
          <w:sz w:val="22"/>
          <w:szCs w:val="22"/>
        </w:rPr>
      </w:pPr>
      <w:r>
        <w:rPr>
          <w:rFonts w:hint="eastAsia" w:hAnsi="宋体"/>
          <w:sz w:val="22"/>
          <w:szCs w:val="22"/>
        </w:rPr>
        <w:t>4.3、拒签合同的责任</w:t>
      </w:r>
    </w:p>
    <w:p w14:paraId="2D243FCF">
      <w:pPr>
        <w:pStyle w:val="21"/>
        <w:adjustRightInd w:val="0"/>
        <w:snapToGrid w:val="0"/>
        <w:spacing w:line="360" w:lineRule="auto"/>
        <w:ind w:firstLine="433" w:firstLineChars="197"/>
      </w:pPr>
      <w:r>
        <w:rPr>
          <w:rFonts w:hint="eastAsia" w:hAnsi="宋体"/>
          <w:sz w:val="22"/>
          <w:szCs w:val="22"/>
        </w:rPr>
        <w:t>中标人接到中标通知书后，在规定时间内（30日历天）拒签合同，以投标违约处理，并赔偿招标人由此造成的直接经济损失；招标人重新组织招标的，所需费用由原中标人承担。</w:t>
      </w:r>
    </w:p>
    <w:p w14:paraId="0C50CA8E">
      <w:pPr>
        <w:autoSpaceDE w:val="0"/>
        <w:autoSpaceDN w:val="0"/>
        <w:adjustRightInd w:val="0"/>
        <w:snapToGrid w:val="0"/>
        <w:spacing w:line="360" w:lineRule="auto"/>
        <w:ind w:firstLine="466" w:firstLineChars="212"/>
        <w:textAlignment w:val="bottom"/>
        <w:rPr>
          <w:rFonts w:ascii="宋体" w:hAnsi="宋体"/>
          <w:color w:val="000000"/>
          <w:sz w:val="22"/>
          <w:szCs w:val="22"/>
        </w:rPr>
      </w:pPr>
      <w:r>
        <w:rPr>
          <w:rFonts w:hint="eastAsia" w:ascii="宋体" w:hAnsi="宋体"/>
          <w:color w:val="000000"/>
          <w:sz w:val="22"/>
          <w:szCs w:val="22"/>
        </w:rPr>
        <w:t>5</w:t>
      </w:r>
      <w:r>
        <w:rPr>
          <w:rFonts w:hint="eastAsia" w:ascii="宋体" w:hAnsi="宋体" w:cs="仿宋_GB2312"/>
          <w:color w:val="000000"/>
          <w:sz w:val="22"/>
          <w:szCs w:val="22"/>
          <w:lang w:val="zh-CN"/>
        </w:rPr>
        <w:t>.</w:t>
      </w:r>
      <w:r>
        <w:rPr>
          <w:rFonts w:hint="eastAsia" w:ascii="宋体" w:hAnsi="宋体"/>
          <w:color w:val="000000"/>
          <w:sz w:val="22"/>
          <w:szCs w:val="22"/>
        </w:rPr>
        <w:t>招标代理服务费</w:t>
      </w:r>
    </w:p>
    <w:p w14:paraId="5778CCCA">
      <w:pPr>
        <w:widowControl/>
        <w:spacing w:before="99" w:after="99" w:line="360" w:lineRule="auto"/>
        <w:ind w:right="96" w:firstLine="440" w:firstLineChars="200"/>
        <w:jc w:val="left"/>
        <w:rPr>
          <w:rFonts w:ascii="宋体" w:hAnsi="宋体"/>
          <w:bCs/>
          <w:sz w:val="22"/>
          <w:szCs w:val="22"/>
          <w:u w:val="single"/>
        </w:rPr>
      </w:pPr>
      <w:r>
        <w:rPr>
          <w:rFonts w:hint="eastAsia" w:ascii="宋体" w:hAnsi="宋体"/>
          <w:bCs/>
          <w:sz w:val="22"/>
          <w:szCs w:val="22"/>
          <w:u w:val="single"/>
        </w:rPr>
        <w:t>采购代理服务费向中标供应商收取，由中标供应商在领取中标通知书时一次性支付给代理单位，本项目招标代理费为</w:t>
      </w:r>
      <w:r>
        <w:rPr>
          <w:rFonts w:hint="eastAsia" w:ascii="宋体" w:hAnsi="宋体"/>
          <w:bCs/>
          <w:sz w:val="22"/>
          <w:szCs w:val="22"/>
          <w:u w:val="single"/>
          <w:lang w:val="en-US" w:eastAsia="zh-CN"/>
        </w:rPr>
        <w:t>15700</w:t>
      </w:r>
      <w:r>
        <w:rPr>
          <w:rFonts w:hint="eastAsia" w:ascii="宋体" w:hAnsi="宋体"/>
          <w:bCs/>
          <w:sz w:val="22"/>
          <w:szCs w:val="22"/>
          <w:u w:val="single"/>
        </w:rPr>
        <w:t>元。供应商在报价时须将采购代理服务费综合考虑在内。</w:t>
      </w:r>
    </w:p>
    <w:p w14:paraId="35C2CE02">
      <w:pPr>
        <w:pStyle w:val="5"/>
        <w:spacing w:before="240" w:after="240"/>
        <w:rPr>
          <w:sz w:val="22"/>
          <w:szCs w:val="22"/>
        </w:rPr>
      </w:pPr>
      <w:r>
        <w:rPr>
          <w:b/>
          <w:sz w:val="36"/>
          <w:lang w:val="zh-CN"/>
        </w:rPr>
        <w:br w:type="page"/>
      </w:r>
      <w:bookmarkStart w:id="28" w:name="_Toc9045"/>
      <w:bookmarkStart w:id="29" w:name="_Toc31661"/>
      <w:bookmarkStart w:id="30" w:name="_Toc15325"/>
      <w:bookmarkStart w:id="31" w:name="_Toc8608"/>
      <w:bookmarkStart w:id="32" w:name="_Toc7451"/>
      <w:bookmarkStart w:id="33" w:name="_Toc21083"/>
      <w:r>
        <w:rPr>
          <w:rFonts w:hint="eastAsia" w:ascii="宋体" w:hAnsi="宋体"/>
          <w:b/>
          <w:bCs/>
          <w:sz w:val="36"/>
          <w:szCs w:val="36"/>
        </w:rPr>
        <w:t>第四</w:t>
      </w:r>
      <w:r>
        <w:rPr>
          <w:rFonts w:hint="eastAsia" w:ascii="宋体" w:hAnsi="宋体"/>
          <w:b/>
          <w:bCs/>
          <w:sz w:val="36"/>
          <w:szCs w:val="36"/>
          <w:lang w:eastAsia="zh-CN"/>
        </w:rPr>
        <w:t>部分</w:t>
      </w:r>
      <w:r>
        <w:rPr>
          <w:rFonts w:hint="eastAsia" w:ascii="宋体" w:hAnsi="宋体"/>
          <w:b/>
          <w:bCs/>
          <w:sz w:val="36"/>
          <w:szCs w:val="36"/>
        </w:rPr>
        <w:t xml:space="preserve"> </w:t>
      </w:r>
      <w:r>
        <w:rPr>
          <w:rFonts w:hint="eastAsia" w:ascii="宋体" w:hAnsi="宋体"/>
          <w:b/>
          <w:bCs/>
          <w:sz w:val="36"/>
          <w:szCs w:val="36"/>
          <w:lang w:val="en-US" w:eastAsia="zh-CN"/>
        </w:rPr>
        <w:t xml:space="preserve">  </w:t>
      </w:r>
      <w:r>
        <w:rPr>
          <w:rFonts w:hint="eastAsia" w:ascii="宋体" w:hAnsi="宋体"/>
          <w:b/>
          <w:bCs/>
          <w:sz w:val="36"/>
          <w:szCs w:val="36"/>
        </w:rPr>
        <w:t>合同主要条款</w:t>
      </w:r>
      <w:bookmarkEnd w:id="28"/>
      <w:bookmarkEnd w:id="29"/>
      <w:bookmarkEnd w:id="30"/>
      <w:bookmarkEnd w:id="31"/>
      <w:bookmarkEnd w:id="32"/>
      <w:bookmarkEnd w:id="33"/>
      <w:r>
        <w:rPr>
          <w:rFonts w:hint="eastAsia" w:ascii="宋体" w:hAnsi="宋体"/>
          <w:b/>
          <w:bCs/>
          <w:sz w:val="36"/>
          <w:szCs w:val="36"/>
        </w:rPr>
        <w:t>（参考格式）</w:t>
      </w:r>
    </w:p>
    <w:p w14:paraId="13B25613">
      <w:pPr>
        <w:rPr>
          <w:rStyle w:val="41"/>
          <w:sz w:val="32"/>
        </w:rPr>
      </w:pPr>
    </w:p>
    <w:p w14:paraId="1F4353DA">
      <w:pPr>
        <w:overflowPunct w:val="0"/>
        <w:spacing w:line="360" w:lineRule="auto"/>
        <w:rPr>
          <w:rFonts w:ascii="宋体" w:hAnsi="宋体" w:cs="宋体"/>
          <w:bCs/>
          <w:color w:val="000000"/>
          <w:sz w:val="22"/>
          <w:szCs w:val="22"/>
        </w:rPr>
      </w:pPr>
      <w:r>
        <w:rPr>
          <w:rFonts w:hint="eastAsia" w:ascii="宋体" w:hAnsi="宋体" w:cs="宋体"/>
          <w:bCs/>
          <w:color w:val="000000"/>
          <w:sz w:val="22"/>
          <w:szCs w:val="22"/>
        </w:rPr>
        <w:t>甲方（采购人）：</w:t>
      </w:r>
      <w:r>
        <w:rPr>
          <w:rFonts w:hint="eastAsia" w:ascii="宋体" w:hAnsi="宋体" w:cs="宋体"/>
          <w:bCs/>
          <w:color w:val="000000"/>
          <w:sz w:val="22"/>
          <w:szCs w:val="22"/>
          <w:u w:val="single"/>
        </w:rPr>
        <w:t xml:space="preserve">苍南县灵溪镇人民政府       </w:t>
      </w:r>
    </w:p>
    <w:p w14:paraId="7433A614">
      <w:pPr>
        <w:overflowPunct w:val="0"/>
        <w:spacing w:line="360" w:lineRule="auto"/>
        <w:rPr>
          <w:rFonts w:ascii="宋体" w:hAnsi="宋体" w:cs="宋体"/>
          <w:bCs/>
          <w:color w:val="000000"/>
          <w:sz w:val="22"/>
          <w:szCs w:val="22"/>
          <w:u w:val="single"/>
        </w:rPr>
      </w:pPr>
      <w:r>
        <w:rPr>
          <w:rFonts w:hint="eastAsia" w:ascii="宋体" w:hAnsi="宋体" w:cs="宋体"/>
          <w:bCs/>
          <w:color w:val="000000"/>
          <w:sz w:val="22"/>
          <w:szCs w:val="22"/>
        </w:rPr>
        <w:t>乙方（中标供应商）：</w:t>
      </w:r>
      <w:r>
        <w:rPr>
          <w:rFonts w:hint="eastAsia" w:ascii="宋体" w:hAnsi="宋体" w:cs="宋体"/>
          <w:bCs/>
          <w:color w:val="000000"/>
          <w:sz w:val="22"/>
          <w:szCs w:val="22"/>
          <w:u w:val="single"/>
        </w:rPr>
        <w:t xml:space="preserve">                               </w:t>
      </w:r>
    </w:p>
    <w:p w14:paraId="10082B67">
      <w:pPr>
        <w:snapToGrid w:val="0"/>
        <w:spacing w:line="360" w:lineRule="auto"/>
        <w:ind w:firstLine="420"/>
        <w:rPr>
          <w:rFonts w:ascii="宋体" w:hAnsi="宋体" w:cs="宋体"/>
          <w:b/>
          <w:sz w:val="22"/>
          <w:szCs w:val="22"/>
        </w:rPr>
      </w:pPr>
      <w:r>
        <w:rPr>
          <w:rFonts w:hint="eastAsia" w:ascii="宋体" w:hAnsi="宋体" w:cs="宋体"/>
          <w:sz w:val="22"/>
          <w:szCs w:val="22"/>
        </w:rPr>
        <w:t>根据《中华人民共和国政府采购法》、《中华人民共和国民法典》等有关法律法规精神，甲方经过</w:t>
      </w:r>
      <w:r>
        <w:rPr>
          <w:rFonts w:hint="eastAsia" w:ascii="宋体" w:hAnsi="宋体" w:cs="宋体"/>
          <w:sz w:val="22"/>
          <w:szCs w:val="22"/>
          <w:u w:val="single"/>
        </w:rPr>
        <w:t xml:space="preserve"> 公开招标 </w:t>
      </w:r>
      <w:r>
        <w:rPr>
          <w:rFonts w:hint="eastAsia" w:ascii="宋体" w:hAnsi="宋体" w:cs="宋体"/>
          <w:sz w:val="22"/>
          <w:szCs w:val="22"/>
        </w:rPr>
        <w:t>采购方式确定乙方为</w:t>
      </w:r>
      <w:r>
        <w:rPr>
          <w:rFonts w:hint="eastAsia" w:ascii="宋体" w:hAnsi="宋体" w:cs="宋体"/>
          <w:sz w:val="22"/>
          <w:szCs w:val="22"/>
          <w:lang w:val="en-US" w:eastAsia="zh-CN"/>
        </w:rPr>
        <w:t xml:space="preserve"> </w:t>
      </w:r>
      <w:r>
        <w:rPr>
          <w:rFonts w:hint="eastAsia" w:ascii="宋体" w:hAnsi="宋体" w:cs="宋体"/>
          <w:sz w:val="22"/>
          <w:szCs w:val="22"/>
          <w:u w:val="single"/>
        </w:rPr>
        <w:t>苍南县灵溪镇</w:t>
      </w:r>
      <w:r>
        <w:rPr>
          <w:rFonts w:hint="eastAsia" w:ascii="宋体" w:hAnsi="宋体" w:cs="宋体"/>
          <w:sz w:val="22"/>
          <w:szCs w:val="22"/>
          <w:u w:val="single"/>
          <w:lang w:eastAsia="zh-CN"/>
        </w:rPr>
        <w:t>2026</w:t>
      </w:r>
      <w:r>
        <w:rPr>
          <w:rFonts w:hint="eastAsia" w:ascii="宋体" w:hAnsi="宋体" w:cs="宋体"/>
          <w:sz w:val="22"/>
          <w:szCs w:val="22"/>
          <w:u w:val="single"/>
        </w:rPr>
        <w:t>年度除四害消杀服务采购项目</w:t>
      </w:r>
      <w:r>
        <w:rPr>
          <w:rFonts w:hint="eastAsia" w:ascii="宋体" w:hAnsi="宋体" w:cs="宋体"/>
          <w:sz w:val="22"/>
          <w:szCs w:val="22"/>
        </w:rPr>
        <w:t xml:space="preserve"> 的提供单位，双方经协商达成以下条款：</w:t>
      </w:r>
    </w:p>
    <w:p w14:paraId="0D8F6A66">
      <w:pPr>
        <w:pStyle w:val="186"/>
        <w:spacing w:line="288" w:lineRule="auto"/>
        <w:ind w:firstLine="420"/>
        <w:rPr>
          <w:rFonts w:ascii="宋体" w:hAnsi="宋体" w:cs="宋体"/>
          <w:sz w:val="22"/>
          <w:szCs w:val="22"/>
        </w:rPr>
      </w:pPr>
      <w:r>
        <w:rPr>
          <w:rFonts w:hint="eastAsia" w:ascii="宋体" w:hAnsi="宋体" w:cs="宋体"/>
          <w:sz w:val="22"/>
          <w:szCs w:val="22"/>
        </w:rPr>
        <w:t>为有效控制病媒生物危害，减少媒介疾病传布，巩固与提升国家卫生县城，为居民提供良好的生产、生活环境，</w:t>
      </w:r>
      <w:r>
        <w:rPr>
          <w:rFonts w:hint="eastAsia" w:ascii="宋体" w:hAnsi="宋体" w:cs="宋体"/>
          <w:sz w:val="22"/>
          <w:szCs w:val="22"/>
          <w:lang w:eastAsia="zh-CN"/>
        </w:rPr>
        <w:t>苍南县</w:t>
      </w:r>
      <w:r>
        <w:rPr>
          <w:rFonts w:hint="eastAsia" w:ascii="宋体" w:hAnsi="宋体" w:cs="宋体"/>
          <w:sz w:val="22"/>
          <w:szCs w:val="22"/>
        </w:rPr>
        <w:t>灵溪镇人民政府（甲方）与</w:t>
      </w:r>
      <w:r>
        <w:rPr>
          <w:rFonts w:hint="eastAsia" w:ascii="宋体" w:hAnsi="宋体" w:cs="宋体"/>
          <w:sz w:val="22"/>
          <w:szCs w:val="22"/>
          <w:u w:val="single"/>
        </w:rPr>
        <w:t xml:space="preserve">                   （乙方）</w:t>
      </w:r>
      <w:r>
        <w:rPr>
          <w:rFonts w:hint="eastAsia" w:ascii="宋体" w:hAnsi="宋体" w:cs="宋体"/>
          <w:sz w:val="22"/>
          <w:szCs w:val="22"/>
        </w:rPr>
        <w:t xml:space="preserve">， 根据《病媒生物防制服务项目》 </w:t>
      </w:r>
      <w:r>
        <w:rPr>
          <w:rFonts w:hint="eastAsia" w:ascii="宋体" w:hAnsi="宋体" w:cs="宋体"/>
          <w:sz w:val="22"/>
          <w:szCs w:val="22"/>
          <w:u w:val="single"/>
        </w:rPr>
        <w:t xml:space="preserve">编号：                      </w:t>
      </w:r>
      <w:r>
        <w:rPr>
          <w:rFonts w:hint="eastAsia" w:ascii="宋体" w:hAnsi="宋体" w:cs="宋体"/>
          <w:sz w:val="22"/>
          <w:szCs w:val="22"/>
        </w:rPr>
        <w:t>招标结果，经双方协商一致，签订合同如下：</w:t>
      </w:r>
    </w:p>
    <w:p w14:paraId="003FA488">
      <w:pPr>
        <w:pStyle w:val="186"/>
        <w:numPr>
          <w:ilvl w:val="0"/>
          <w:numId w:val="3"/>
        </w:numPr>
        <w:spacing w:line="288" w:lineRule="auto"/>
        <w:outlineLvl w:val="1"/>
        <w:rPr>
          <w:rFonts w:hint="eastAsia" w:ascii="宋体" w:hAnsi="宋体" w:cs="宋体"/>
          <w:b/>
          <w:sz w:val="22"/>
          <w:szCs w:val="22"/>
        </w:rPr>
      </w:pPr>
      <w:r>
        <w:rPr>
          <w:rFonts w:hint="eastAsia" w:ascii="宋体" w:hAnsi="宋体" w:cs="宋体"/>
          <w:b/>
          <w:sz w:val="22"/>
          <w:szCs w:val="22"/>
        </w:rPr>
        <w:t>合同标的物与价款：</w:t>
      </w:r>
    </w:p>
    <w:tbl>
      <w:tblPr>
        <w:tblStyle w:val="38"/>
        <w:tblW w:w="90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20"/>
        <w:gridCol w:w="1267"/>
        <w:gridCol w:w="1147"/>
        <w:gridCol w:w="707"/>
        <w:gridCol w:w="719"/>
        <w:gridCol w:w="2084"/>
        <w:gridCol w:w="2527"/>
      </w:tblGrid>
      <w:tr w14:paraId="6C9314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671" w:type="dxa"/>
            <w:vAlign w:val="center"/>
          </w:tcPr>
          <w:p w14:paraId="150ACB7D">
            <w:pPr>
              <w:widowControl/>
              <w:spacing w:line="360" w:lineRule="auto"/>
              <w:jc w:val="center"/>
              <w:rPr>
                <w:rFonts w:ascii="宋体" w:hAnsi="宋体" w:cs="宋体"/>
                <w:sz w:val="22"/>
                <w:szCs w:val="22"/>
              </w:rPr>
            </w:pPr>
            <w:r>
              <w:rPr>
                <w:rFonts w:hint="eastAsia" w:ascii="宋体" w:hAnsi="宋体" w:cs="宋体"/>
                <w:sz w:val="22"/>
                <w:szCs w:val="22"/>
              </w:rPr>
              <w:t>项目</w:t>
            </w:r>
          </w:p>
        </w:tc>
        <w:tc>
          <w:tcPr>
            <w:tcW w:w="1401" w:type="dxa"/>
            <w:vAlign w:val="center"/>
          </w:tcPr>
          <w:p w14:paraId="0940DB2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采购内容</w:t>
            </w:r>
          </w:p>
        </w:tc>
        <w:tc>
          <w:tcPr>
            <w:tcW w:w="1265" w:type="dxa"/>
            <w:vAlign w:val="center"/>
          </w:tcPr>
          <w:p w14:paraId="53BF384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型号或规格</w:t>
            </w:r>
          </w:p>
        </w:tc>
        <w:tc>
          <w:tcPr>
            <w:tcW w:w="769" w:type="dxa"/>
            <w:vAlign w:val="center"/>
          </w:tcPr>
          <w:p w14:paraId="12539E4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单位</w:t>
            </w:r>
          </w:p>
        </w:tc>
        <w:tc>
          <w:tcPr>
            <w:tcW w:w="783" w:type="dxa"/>
            <w:vAlign w:val="center"/>
          </w:tcPr>
          <w:p w14:paraId="5653E41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 xml:space="preserve">数量  </w:t>
            </w:r>
          </w:p>
        </w:tc>
        <w:tc>
          <w:tcPr>
            <w:tcW w:w="2322" w:type="dxa"/>
            <w:vAlign w:val="center"/>
          </w:tcPr>
          <w:p w14:paraId="4F6B4688">
            <w:pPr>
              <w:widowControl/>
              <w:spacing w:line="360" w:lineRule="auto"/>
              <w:jc w:val="center"/>
              <w:rPr>
                <w:rFonts w:ascii="宋体" w:hAnsi="宋体" w:cs="宋体"/>
                <w:color w:val="auto"/>
                <w:sz w:val="22"/>
                <w:szCs w:val="22"/>
              </w:rPr>
            </w:pPr>
            <w:r>
              <w:rPr>
                <w:rFonts w:hint="eastAsia" w:ascii="宋体" w:hAnsi="宋体" w:cs="宋体"/>
                <w:color w:val="auto"/>
                <w:sz w:val="22"/>
                <w:szCs w:val="22"/>
              </w:rPr>
              <w:t>要  求</w:t>
            </w:r>
          </w:p>
        </w:tc>
        <w:tc>
          <w:tcPr>
            <w:tcW w:w="2820" w:type="dxa"/>
            <w:vAlign w:val="center"/>
          </w:tcPr>
          <w:p w14:paraId="77A4216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备  注</w:t>
            </w:r>
          </w:p>
        </w:tc>
      </w:tr>
      <w:tr w14:paraId="53B42E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54" w:hRule="atLeast"/>
          <w:jc w:val="center"/>
        </w:trPr>
        <w:tc>
          <w:tcPr>
            <w:tcW w:w="671" w:type="dxa"/>
            <w:vMerge w:val="restart"/>
            <w:vAlign w:val="center"/>
          </w:tcPr>
          <w:p w14:paraId="119DC997">
            <w:pPr>
              <w:widowControl/>
              <w:spacing w:line="360" w:lineRule="auto"/>
              <w:jc w:val="center"/>
              <w:rPr>
                <w:rFonts w:ascii="宋体" w:hAnsi="宋体" w:cs="宋体"/>
                <w:sz w:val="22"/>
                <w:szCs w:val="22"/>
              </w:rPr>
            </w:pPr>
            <w:r>
              <w:rPr>
                <w:rFonts w:hint="eastAsia" w:ascii="宋体" w:hAnsi="宋体" w:cs="宋体"/>
                <w:sz w:val="22"/>
                <w:szCs w:val="22"/>
              </w:rPr>
              <w:t>灭鼠药械</w:t>
            </w:r>
          </w:p>
        </w:tc>
        <w:tc>
          <w:tcPr>
            <w:tcW w:w="1401" w:type="dxa"/>
            <w:vAlign w:val="center"/>
          </w:tcPr>
          <w:p w14:paraId="1D6D0CA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灭鼠饵剂</w:t>
            </w:r>
          </w:p>
        </w:tc>
        <w:tc>
          <w:tcPr>
            <w:tcW w:w="1265" w:type="dxa"/>
            <w:vAlign w:val="center"/>
          </w:tcPr>
          <w:p w14:paraId="3CA51DE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100克/包</w:t>
            </w:r>
          </w:p>
        </w:tc>
        <w:tc>
          <w:tcPr>
            <w:tcW w:w="769" w:type="dxa"/>
            <w:vAlign w:val="center"/>
          </w:tcPr>
          <w:p w14:paraId="3CC3C77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57A309EA">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8</w:t>
            </w:r>
          </w:p>
        </w:tc>
        <w:tc>
          <w:tcPr>
            <w:tcW w:w="2322" w:type="dxa"/>
            <w:vAlign w:val="center"/>
          </w:tcPr>
          <w:p w14:paraId="23AC2F9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溴鼠灵或溴敌隆含量≥0.005%,饵料新鲜,含水量不超过6%。</w:t>
            </w:r>
          </w:p>
        </w:tc>
        <w:tc>
          <w:tcPr>
            <w:tcW w:w="2820" w:type="dxa"/>
            <w:vAlign w:val="center"/>
          </w:tcPr>
          <w:p w14:paraId="2E9F462D">
            <w:pPr>
              <w:widowControl/>
              <w:spacing w:line="360" w:lineRule="auto"/>
              <w:jc w:val="center"/>
              <w:rPr>
                <w:rFonts w:ascii="宋体" w:hAnsi="宋体" w:cs="宋体"/>
                <w:color w:val="auto"/>
                <w:sz w:val="22"/>
                <w:szCs w:val="22"/>
              </w:rPr>
            </w:pPr>
          </w:p>
        </w:tc>
      </w:tr>
      <w:tr w14:paraId="552824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56A890DB">
            <w:pPr>
              <w:widowControl/>
              <w:spacing w:line="360" w:lineRule="auto"/>
              <w:jc w:val="center"/>
              <w:rPr>
                <w:rFonts w:ascii="宋体" w:hAnsi="宋体" w:cs="宋体"/>
                <w:sz w:val="22"/>
                <w:szCs w:val="22"/>
              </w:rPr>
            </w:pPr>
          </w:p>
        </w:tc>
        <w:tc>
          <w:tcPr>
            <w:tcW w:w="1401" w:type="dxa"/>
            <w:vAlign w:val="center"/>
          </w:tcPr>
          <w:p w14:paraId="03DA370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灭鼠蜡丸蜡块</w:t>
            </w:r>
          </w:p>
        </w:tc>
        <w:tc>
          <w:tcPr>
            <w:tcW w:w="1265" w:type="dxa"/>
            <w:vAlign w:val="center"/>
          </w:tcPr>
          <w:p w14:paraId="343C55A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500克/袋</w:t>
            </w:r>
          </w:p>
        </w:tc>
        <w:tc>
          <w:tcPr>
            <w:tcW w:w="769" w:type="dxa"/>
            <w:vAlign w:val="center"/>
          </w:tcPr>
          <w:p w14:paraId="1AA56F7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06646FF8">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2</w:t>
            </w:r>
          </w:p>
        </w:tc>
        <w:tc>
          <w:tcPr>
            <w:tcW w:w="2322" w:type="dxa"/>
            <w:vAlign w:val="center"/>
          </w:tcPr>
          <w:p w14:paraId="09F4CDB7">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防霉、防蛀，浸泡水中24小时不崩解。</w:t>
            </w:r>
          </w:p>
        </w:tc>
        <w:tc>
          <w:tcPr>
            <w:tcW w:w="2820" w:type="dxa"/>
            <w:vAlign w:val="center"/>
          </w:tcPr>
          <w:p w14:paraId="63339267">
            <w:pPr>
              <w:widowControl/>
              <w:spacing w:line="360" w:lineRule="auto"/>
              <w:jc w:val="center"/>
              <w:rPr>
                <w:rFonts w:ascii="宋体" w:hAnsi="宋体" w:cs="宋体"/>
                <w:color w:val="auto"/>
                <w:sz w:val="22"/>
                <w:szCs w:val="22"/>
              </w:rPr>
            </w:pPr>
          </w:p>
        </w:tc>
      </w:tr>
      <w:tr w14:paraId="25F963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5" w:hRule="atLeast"/>
          <w:jc w:val="center"/>
        </w:trPr>
        <w:tc>
          <w:tcPr>
            <w:tcW w:w="671" w:type="dxa"/>
            <w:vMerge w:val="continue"/>
            <w:vAlign w:val="center"/>
          </w:tcPr>
          <w:p w14:paraId="398D9E5B">
            <w:pPr>
              <w:widowControl/>
              <w:spacing w:line="360" w:lineRule="auto"/>
              <w:jc w:val="center"/>
              <w:rPr>
                <w:rFonts w:ascii="宋体" w:hAnsi="宋体" w:cs="宋体"/>
                <w:sz w:val="22"/>
                <w:szCs w:val="22"/>
              </w:rPr>
            </w:pPr>
          </w:p>
        </w:tc>
        <w:tc>
          <w:tcPr>
            <w:tcW w:w="1401" w:type="dxa"/>
            <w:vAlign w:val="center"/>
          </w:tcPr>
          <w:p w14:paraId="12AEADE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粘鼠板</w:t>
            </w:r>
          </w:p>
        </w:tc>
        <w:tc>
          <w:tcPr>
            <w:tcW w:w="1265" w:type="dxa"/>
            <w:vAlign w:val="center"/>
          </w:tcPr>
          <w:p w14:paraId="463E14C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35×25cm,</w:t>
            </w:r>
          </w:p>
        </w:tc>
        <w:tc>
          <w:tcPr>
            <w:tcW w:w="769" w:type="dxa"/>
            <w:vAlign w:val="center"/>
          </w:tcPr>
          <w:p w14:paraId="27AACBA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张</w:t>
            </w:r>
          </w:p>
        </w:tc>
        <w:tc>
          <w:tcPr>
            <w:tcW w:w="783" w:type="dxa"/>
            <w:shd w:val="clear" w:color="auto" w:fill="auto"/>
            <w:vAlign w:val="center"/>
          </w:tcPr>
          <w:p w14:paraId="10AAE2D3">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10000</w:t>
            </w:r>
          </w:p>
        </w:tc>
        <w:tc>
          <w:tcPr>
            <w:tcW w:w="2322" w:type="dxa"/>
            <w:vAlign w:val="center"/>
          </w:tcPr>
          <w:p w14:paraId="484D009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胶含量≥30克。</w:t>
            </w:r>
          </w:p>
        </w:tc>
        <w:tc>
          <w:tcPr>
            <w:tcW w:w="2820" w:type="dxa"/>
            <w:vAlign w:val="center"/>
          </w:tcPr>
          <w:p w14:paraId="275060C7">
            <w:pPr>
              <w:widowControl/>
              <w:spacing w:line="360" w:lineRule="auto"/>
              <w:jc w:val="center"/>
              <w:rPr>
                <w:rFonts w:ascii="宋体" w:hAnsi="宋体" w:cs="宋体"/>
                <w:color w:val="auto"/>
                <w:sz w:val="22"/>
                <w:szCs w:val="22"/>
              </w:rPr>
            </w:pPr>
          </w:p>
        </w:tc>
      </w:tr>
      <w:tr w14:paraId="4E252B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1E8751BA">
            <w:pPr>
              <w:widowControl/>
              <w:spacing w:line="360" w:lineRule="auto"/>
              <w:jc w:val="center"/>
              <w:rPr>
                <w:rFonts w:ascii="宋体" w:hAnsi="宋体" w:cs="宋体"/>
                <w:sz w:val="22"/>
                <w:szCs w:val="22"/>
              </w:rPr>
            </w:pPr>
          </w:p>
        </w:tc>
        <w:tc>
          <w:tcPr>
            <w:tcW w:w="1401" w:type="dxa"/>
            <w:vAlign w:val="center"/>
          </w:tcPr>
          <w:p w14:paraId="07D62DF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毒鼠屋</w:t>
            </w:r>
          </w:p>
        </w:tc>
        <w:tc>
          <w:tcPr>
            <w:tcW w:w="1265" w:type="dxa"/>
            <w:vAlign w:val="center"/>
          </w:tcPr>
          <w:p w14:paraId="7BFF8748">
            <w:pPr>
              <w:widowControl/>
              <w:spacing w:line="360" w:lineRule="auto"/>
              <w:jc w:val="center"/>
              <w:rPr>
                <w:rFonts w:ascii="宋体" w:hAnsi="宋体" w:cs="宋体"/>
                <w:color w:val="auto"/>
                <w:sz w:val="22"/>
                <w:szCs w:val="22"/>
              </w:rPr>
            </w:pPr>
            <w:r>
              <w:rPr>
                <w:rFonts w:hint="eastAsia" w:ascii="宋体" w:hAnsi="宋体" w:cs="宋体"/>
                <w:color w:val="auto"/>
                <w:sz w:val="22"/>
                <w:szCs w:val="22"/>
              </w:rPr>
              <w:t>300×110×110mm</w:t>
            </w:r>
          </w:p>
        </w:tc>
        <w:tc>
          <w:tcPr>
            <w:tcW w:w="769" w:type="dxa"/>
            <w:vAlign w:val="center"/>
          </w:tcPr>
          <w:p w14:paraId="72D9E6F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只</w:t>
            </w:r>
          </w:p>
        </w:tc>
        <w:tc>
          <w:tcPr>
            <w:tcW w:w="783" w:type="dxa"/>
            <w:shd w:val="clear" w:color="auto" w:fill="auto"/>
            <w:vAlign w:val="center"/>
          </w:tcPr>
          <w:p w14:paraId="59F2231F">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3000</w:t>
            </w:r>
          </w:p>
        </w:tc>
        <w:tc>
          <w:tcPr>
            <w:tcW w:w="5142" w:type="dxa"/>
            <w:gridSpan w:val="2"/>
            <w:vAlign w:val="center"/>
          </w:tcPr>
          <w:p w14:paraId="1C29C560">
            <w:pPr>
              <w:widowControl/>
              <w:spacing w:line="360" w:lineRule="auto"/>
              <w:jc w:val="center"/>
              <w:rPr>
                <w:rFonts w:ascii="宋体" w:hAnsi="宋体" w:cs="宋体"/>
                <w:color w:val="auto"/>
                <w:sz w:val="22"/>
                <w:szCs w:val="22"/>
              </w:rPr>
            </w:pPr>
          </w:p>
        </w:tc>
      </w:tr>
      <w:tr w14:paraId="323E91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restart"/>
            <w:vAlign w:val="center"/>
          </w:tcPr>
          <w:p w14:paraId="097DFD16">
            <w:pPr>
              <w:widowControl/>
              <w:spacing w:line="360" w:lineRule="auto"/>
              <w:jc w:val="center"/>
              <w:rPr>
                <w:rFonts w:ascii="宋体" w:hAnsi="宋体" w:cs="宋体"/>
                <w:sz w:val="22"/>
                <w:szCs w:val="22"/>
              </w:rPr>
            </w:pPr>
            <w:r>
              <w:rPr>
                <w:rFonts w:hint="eastAsia" w:ascii="宋体" w:hAnsi="宋体" w:cs="宋体"/>
                <w:sz w:val="22"/>
                <w:szCs w:val="22"/>
              </w:rPr>
              <w:t>灭蟑药物</w:t>
            </w:r>
          </w:p>
        </w:tc>
        <w:tc>
          <w:tcPr>
            <w:tcW w:w="1401" w:type="dxa"/>
            <w:vAlign w:val="center"/>
          </w:tcPr>
          <w:p w14:paraId="30BDDD7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灭蟑药水</w:t>
            </w:r>
          </w:p>
        </w:tc>
        <w:tc>
          <w:tcPr>
            <w:tcW w:w="1265" w:type="dxa"/>
            <w:vAlign w:val="center"/>
          </w:tcPr>
          <w:p w14:paraId="080B7FC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1000毫升/瓶</w:t>
            </w:r>
          </w:p>
        </w:tc>
        <w:tc>
          <w:tcPr>
            <w:tcW w:w="769" w:type="dxa"/>
            <w:vAlign w:val="center"/>
          </w:tcPr>
          <w:p w14:paraId="0B1C704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3684F69B">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1</w:t>
            </w:r>
          </w:p>
        </w:tc>
        <w:tc>
          <w:tcPr>
            <w:tcW w:w="2322" w:type="dxa"/>
            <w:vAlign w:val="center"/>
          </w:tcPr>
          <w:p w14:paraId="11254F4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氨基甲酸脂类杀虫剂与拟除虫菊酯类杀虫剂复配，含量≥15%</w:t>
            </w:r>
          </w:p>
        </w:tc>
        <w:tc>
          <w:tcPr>
            <w:tcW w:w="2820" w:type="dxa"/>
            <w:vAlign w:val="center"/>
          </w:tcPr>
          <w:p w14:paraId="645D8FDB">
            <w:pPr>
              <w:widowControl/>
              <w:spacing w:line="360" w:lineRule="auto"/>
              <w:jc w:val="center"/>
              <w:rPr>
                <w:rFonts w:ascii="宋体" w:hAnsi="宋体" w:cs="宋体"/>
                <w:color w:val="auto"/>
                <w:sz w:val="22"/>
                <w:szCs w:val="22"/>
              </w:rPr>
            </w:pPr>
          </w:p>
        </w:tc>
      </w:tr>
      <w:tr w14:paraId="64CEC3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7B050F3F">
            <w:pPr>
              <w:widowControl/>
              <w:spacing w:line="360" w:lineRule="auto"/>
              <w:jc w:val="center"/>
              <w:rPr>
                <w:rFonts w:ascii="宋体" w:hAnsi="宋体" w:cs="宋体"/>
                <w:sz w:val="22"/>
                <w:szCs w:val="22"/>
              </w:rPr>
            </w:pPr>
          </w:p>
        </w:tc>
        <w:tc>
          <w:tcPr>
            <w:tcW w:w="1401" w:type="dxa"/>
            <w:vAlign w:val="center"/>
          </w:tcPr>
          <w:p w14:paraId="4FDA9D5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灭蟑饵剂</w:t>
            </w:r>
          </w:p>
        </w:tc>
        <w:tc>
          <w:tcPr>
            <w:tcW w:w="1265" w:type="dxa"/>
            <w:vAlign w:val="center"/>
          </w:tcPr>
          <w:p w14:paraId="73D4BF6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10克/包</w:t>
            </w:r>
          </w:p>
        </w:tc>
        <w:tc>
          <w:tcPr>
            <w:tcW w:w="769" w:type="dxa"/>
            <w:vAlign w:val="center"/>
          </w:tcPr>
          <w:p w14:paraId="0F376C1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包</w:t>
            </w:r>
          </w:p>
        </w:tc>
        <w:tc>
          <w:tcPr>
            <w:tcW w:w="783" w:type="dxa"/>
            <w:shd w:val="clear" w:color="auto" w:fill="auto"/>
            <w:vAlign w:val="center"/>
          </w:tcPr>
          <w:p w14:paraId="356D97BA">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50000</w:t>
            </w:r>
          </w:p>
        </w:tc>
        <w:tc>
          <w:tcPr>
            <w:tcW w:w="2322" w:type="dxa"/>
            <w:vAlign w:val="center"/>
          </w:tcPr>
          <w:p w14:paraId="2BAD2F9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乙酰甲胺磷含量≥1，低毒、高效。</w:t>
            </w:r>
          </w:p>
        </w:tc>
        <w:tc>
          <w:tcPr>
            <w:tcW w:w="2820" w:type="dxa"/>
            <w:vAlign w:val="center"/>
          </w:tcPr>
          <w:p w14:paraId="2A7A446F">
            <w:pPr>
              <w:widowControl/>
              <w:spacing w:line="360" w:lineRule="auto"/>
              <w:jc w:val="center"/>
              <w:rPr>
                <w:rFonts w:ascii="宋体" w:hAnsi="宋体" w:cs="宋体"/>
                <w:color w:val="auto"/>
                <w:sz w:val="22"/>
                <w:szCs w:val="22"/>
              </w:rPr>
            </w:pPr>
          </w:p>
        </w:tc>
      </w:tr>
      <w:tr w14:paraId="77621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5D027594">
            <w:pPr>
              <w:widowControl/>
              <w:spacing w:line="360" w:lineRule="auto"/>
              <w:jc w:val="center"/>
              <w:rPr>
                <w:rFonts w:ascii="宋体" w:hAnsi="宋体" w:cs="宋体"/>
                <w:sz w:val="22"/>
                <w:szCs w:val="22"/>
              </w:rPr>
            </w:pPr>
          </w:p>
        </w:tc>
        <w:tc>
          <w:tcPr>
            <w:tcW w:w="1401" w:type="dxa"/>
            <w:vAlign w:val="center"/>
          </w:tcPr>
          <w:p w14:paraId="25C4C11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杀蟑胶饵</w:t>
            </w:r>
          </w:p>
        </w:tc>
        <w:tc>
          <w:tcPr>
            <w:tcW w:w="1265" w:type="dxa"/>
            <w:vAlign w:val="center"/>
          </w:tcPr>
          <w:p w14:paraId="6D0625FE">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10克/支</w:t>
            </w:r>
          </w:p>
        </w:tc>
        <w:tc>
          <w:tcPr>
            <w:tcW w:w="769" w:type="dxa"/>
            <w:vAlign w:val="center"/>
          </w:tcPr>
          <w:p w14:paraId="1430531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支</w:t>
            </w:r>
          </w:p>
        </w:tc>
        <w:tc>
          <w:tcPr>
            <w:tcW w:w="783" w:type="dxa"/>
            <w:shd w:val="clear" w:color="auto" w:fill="auto"/>
            <w:vAlign w:val="center"/>
          </w:tcPr>
          <w:p w14:paraId="59E5211F">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5000</w:t>
            </w:r>
          </w:p>
        </w:tc>
        <w:tc>
          <w:tcPr>
            <w:tcW w:w="2322" w:type="dxa"/>
            <w:vAlign w:val="center"/>
          </w:tcPr>
          <w:p w14:paraId="7B3244EA">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吡虫啉、氟虫氰、氟虫胺等杀虫剂，引诱性良好。</w:t>
            </w:r>
          </w:p>
        </w:tc>
        <w:tc>
          <w:tcPr>
            <w:tcW w:w="2820" w:type="dxa"/>
            <w:vAlign w:val="center"/>
          </w:tcPr>
          <w:p w14:paraId="6DFCEBBA">
            <w:pPr>
              <w:widowControl/>
              <w:spacing w:line="360" w:lineRule="auto"/>
              <w:jc w:val="center"/>
              <w:rPr>
                <w:rFonts w:ascii="宋体" w:hAnsi="宋体" w:cs="宋体"/>
                <w:color w:val="auto"/>
                <w:sz w:val="22"/>
                <w:szCs w:val="22"/>
              </w:rPr>
            </w:pPr>
          </w:p>
        </w:tc>
      </w:tr>
      <w:tr w14:paraId="2B9CF7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tcBorders>
              <w:bottom w:val="single" w:color="auto" w:sz="4" w:space="0"/>
            </w:tcBorders>
            <w:vAlign w:val="center"/>
          </w:tcPr>
          <w:p w14:paraId="171D891D">
            <w:pPr>
              <w:widowControl/>
              <w:spacing w:line="360" w:lineRule="auto"/>
              <w:jc w:val="center"/>
              <w:rPr>
                <w:rFonts w:ascii="宋体" w:hAnsi="宋体" w:cs="宋体"/>
                <w:sz w:val="22"/>
                <w:szCs w:val="22"/>
              </w:rPr>
            </w:pPr>
          </w:p>
        </w:tc>
        <w:tc>
          <w:tcPr>
            <w:tcW w:w="1401" w:type="dxa"/>
            <w:vAlign w:val="center"/>
          </w:tcPr>
          <w:p w14:paraId="30D61AF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杀蟑粉剂</w:t>
            </w:r>
          </w:p>
        </w:tc>
        <w:tc>
          <w:tcPr>
            <w:tcW w:w="1265" w:type="dxa"/>
            <w:vAlign w:val="center"/>
          </w:tcPr>
          <w:p w14:paraId="0E7BCA4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25克/瓶</w:t>
            </w:r>
          </w:p>
        </w:tc>
        <w:tc>
          <w:tcPr>
            <w:tcW w:w="769" w:type="dxa"/>
            <w:vAlign w:val="center"/>
          </w:tcPr>
          <w:p w14:paraId="0B19EB3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瓶</w:t>
            </w:r>
          </w:p>
        </w:tc>
        <w:tc>
          <w:tcPr>
            <w:tcW w:w="783" w:type="dxa"/>
            <w:shd w:val="clear" w:color="auto" w:fill="auto"/>
            <w:vAlign w:val="center"/>
          </w:tcPr>
          <w:p w14:paraId="532C2D12">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7</w:t>
            </w:r>
            <w:r>
              <w:rPr>
                <w:rFonts w:hint="eastAsia" w:ascii="宋体" w:hAnsi="宋体" w:cs="宋体"/>
                <w:color w:val="auto"/>
                <w:sz w:val="22"/>
                <w:szCs w:val="22"/>
              </w:rPr>
              <w:t>000</w:t>
            </w:r>
          </w:p>
        </w:tc>
        <w:tc>
          <w:tcPr>
            <w:tcW w:w="2322" w:type="dxa"/>
            <w:vAlign w:val="center"/>
          </w:tcPr>
          <w:p w14:paraId="4E300A0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氨基甲酸脂类杀虫剂与拟除虫菊酯类杀虫剂复配，含量≥0.6%</w:t>
            </w:r>
          </w:p>
        </w:tc>
        <w:tc>
          <w:tcPr>
            <w:tcW w:w="2820" w:type="dxa"/>
            <w:vAlign w:val="center"/>
          </w:tcPr>
          <w:p w14:paraId="22F0DABC">
            <w:pPr>
              <w:widowControl/>
              <w:spacing w:line="360" w:lineRule="auto"/>
              <w:jc w:val="center"/>
              <w:rPr>
                <w:rFonts w:ascii="宋体" w:hAnsi="宋体" w:cs="宋体"/>
                <w:color w:val="auto"/>
                <w:sz w:val="22"/>
                <w:szCs w:val="22"/>
              </w:rPr>
            </w:pPr>
          </w:p>
        </w:tc>
      </w:tr>
      <w:tr w14:paraId="07837C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restart"/>
            <w:tcBorders>
              <w:top w:val="single" w:color="auto" w:sz="4" w:space="0"/>
            </w:tcBorders>
            <w:vAlign w:val="center"/>
          </w:tcPr>
          <w:p w14:paraId="1609BCF2">
            <w:pPr>
              <w:widowControl/>
              <w:spacing w:line="360" w:lineRule="auto"/>
              <w:jc w:val="center"/>
              <w:rPr>
                <w:rFonts w:ascii="宋体" w:hAnsi="宋体" w:cs="宋体"/>
                <w:sz w:val="22"/>
                <w:szCs w:val="22"/>
              </w:rPr>
            </w:pPr>
            <w:r>
              <w:rPr>
                <w:rFonts w:hint="eastAsia" w:ascii="宋体" w:hAnsi="宋体" w:cs="宋体"/>
                <w:sz w:val="22"/>
                <w:szCs w:val="22"/>
              </w:rPr>
              <w:t>灭蚊蝇药物</w:t>
            </w:r>
          </w:p>
        </w:tc>
        <w:tc>
          <w:tcPr>
            <w:tcW w:w="1401" w:type="dxa"/>
            <w:vAlign w:val="center"/>
          </w:tcPr>
          <w:p w14:paraId="5219A3E5">
            <w:pPr>
              <w:widowControl/>
              <w:spacing w:line="360" w:lineRule="auto"/>
              <w:jc w:val="center"/>
              <w:rPr>
                <w:rFonts w:ascii="宋体" w:hAnsi="宋体" w:cs="宋体"/>
                <w:color w:val="auto"/>
                <w:sz w:val="22"/>
                <w:szCs w:val="22"/>
              </w:rPr>
            </w:pPr>
            <w:r>
              <w:rPr>
                <w:rFonts w:hint="eastAsia" w:ascii="宋体" w:hAnsi="宋体" w:cs="宋体"/>
                <w:color w:val="auto"/>
                <w:sz w:val="22"/>
                <w:szCs w:val="22"/>
              </w:rPr>
              <w:t>灭蚊蝇液剂</w:t>
            </w:r>
          </w:p>
        </w:tc>
        <w:tc>
          <w:tcPr>
            <w:tcW w:w="1265" w:type="dxa"/>
            <w:vAlign w:val="center"/>
          </w:tcPr>
          <w:p w14:paraId="13FA37F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1000毫升/瓶</w:t>
            </w:r>
          </w:p>
        </w:tc>
        <w:tc>
          <w:tcPr>
            <w:tcW w:w="769" w:type="dxa"/>
            <w:vAlign w:val="center"/>
          </w:tcPr>
          <w:p w14:paraId="752AAB1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7B6DA18D">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6</w:t>
            </w:r>
            <w:r>
              <w:rPr>
                <w:rFonts w:hint="eastAsia" w:ascii="宋体" w:hAnsi="宋体" w:cs="宋体"/>
                <w:color w:val="auto"/>
                <w:sz w:val="22"/>
                <w:szCs w:val="22"/>
              </w:rPr>
              <w:t>.5</w:t>
            </w:r>
          </w:p>
        </w:tc>
        <w:tc>
          <w:tcPr>
            <w:tcW w:w="2322" w:type="dxa"/>
            <w:vAlign w:val="center"/>
          </w:tcPr>
          <w:p w14:paraId="4B8D369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拟除虫菊酯了杀虫剂，有效成份含量≥5%,水乳剂或乳油。</w:t>
            </w:r>
          </w:p>
        </w:tc>
        <w:tc>
          <w:tcPr>
            <w:tcW w:w="2820" w:type="dxa"/>
            <w:vAlign w:val="center"/>
          </w:tcPr>
          <w:p w14:paraId="64E4D80B">
            <w:pPr>
              <w:widowControl/>
              <w:spacing w:line="360" w:lineRule="auto"/>
              <w:jc w:val="center"/>
              <w:rPr>
                <w:rFonts w:ascii="宋体" w:hAnsi="宋体" w:cs="宋体"/>
                <w:color w:val="auto"/>
                <w:sz w:val="22"/>
                <w:szCs w:val="22"/>
              </w:rPr>
            </w:pPr>
          </w:p>
        </w:tc>
      </w:tr>
      <w:tr w14:paraId="7DBDD2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4CCA0010">
            <w:pPr>
              <w:widowControl/>
              <w:spacing w:line="360" w:lineRule="auto"/>
              <w:jc w:val="center"/>
              <w:rPr>
                <w:rFonts w:ascii="宋体" w:hAnsi="宋体" w:cs="宋体"/>
                <w:sz w:val="22"/>
                <w:szCs w:val="22"/>
              </w:rPr>
            </w:pPr>
          </w:p>
        </w:tc>
        <w:tc>
          <w:tcPr>
            <w:tcW w:w="1401" w:type="dxa"/>
            <w:vAlign w:val="center"/>
          </w:tcPr>
          <w:p w14:paraId="59437FF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金属落地式捕蝇笼</w:t>
            </w:r>
          </w:p>
        </w:tc>
        <w:tc>
          <w:tcPr>
            <w:tcW w:w="1265" w:type="dxa"/>
            <w:vAlign w:val="center"/>
          </w:tcPr>
          <w:p w14:paraId="519780B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390*224*920</w:t>
            </w:r>
          </w:p>
        </w:tc>
        <w:tc>
          <w:tcPr>
            <w:tcW w:w="769" w:type="dxa"/>
            <w:vAlign w:val="center"/>
          </w:tcPr>
          <w:p w14:paraId="0673C172">
            <w:pPr>
              <w:widowControl/>
              <w:spacing w:line="360" w:lineRule="auto"/>
              <w:jc w:val="center"/>
              <w:rPr>
                <w:rFonts w:ascii="宋体" w:hAnsi="宋体" w:cs="宋体"/>
                <w:color w:val="auto"/>
                <w:sz w:val="22"/>
                <w:szCs w:val="22"/>
              </w:rPr>
            </w:pPr>
            <w:r>
              <w:rPr>
                <w:rFonts w:hint="eastAsia" w:ascii="宋体" w:hAnsi="宋体" w:cs="宋体"/>
                <w:color w:val="auto"/>
                <w:sz w:val="22"/>
                <w:szCs w:val="22"/>
              </w:rPr>
              <w:t>个</w:t>
            </w:r>
          </w:p>
        </w:tc>
        <w:tc>
          <w:tcPr>
            <w:tcW w:w="783" w:type="dxa"/>
            <w:shd w:val="clear" w:color="auto" w:fill="auto"/>
            <w:vAlign w:val="center"/>
          </w:tcPr>
          <w:p w14:paraId="667C8A42">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w:t>
            </w:r>
            <w:r>
              <w:rPr>
                <w:rFonts w:hint="eastAsia" w:ascii="宋体" w:hAnsi="宋体" w:cs="宋体"/>
                <w:color w:val="auto"/>
                <w:sz w:val="22"/>
                <w:szCs w:val="22"/>
              </w:rPr>
              <w:t>00</w:t>
            </w:r>
          </w:p>
        </w:tc>
        <w:tc>
          <w:tcPr>
            <w:tcW w:w="2322" w:type="dxa"/>
            <w:vAlign w:val="center"/>
          </w:tcPr>
          <w:p w14:paraId="51CBAC4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金属材质，落地式</w:t>
            </w:r>
          </w:p>
        </w:tc>
        <w:tc>
          <w:tcPr>
            <w:tcW w:w="2820" w:type="dxa"/>
            <w:vAlign w:val="center"/>
          </w:tcPr>
          <w:p w14:paraId="1E11E1E4">
            <w:pPr>
              <w:widowControl/>
              <w:spacing w:line="360" w:lineRule="auto"/>
              <w:jc w:val="center"/>
              <w:rPr>
                <w:rFonts w:ascii="宋体" w:hAnsi="宋体" w:cs="宋体"/>
                <w:color w:val="auto"/>
                <w:sz w:val="22"/>
                <w:szCs w:val="22"/>
              </w:rPr>
            </w:pPr>
          </w:p>
        </w:tc>
      </w:tr>
      <w:tr w14:paraId="75CB0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9" w:hRule="atLeast"/>
          <w:jc w:val="center"/>
        </w:trPr>
        <w:tc>
          <w:tcPr>
            <w:tcW w:w="671" w:type="dxa"/>
            <w:vMerge w:val="continue"/>
            <w:vAlign w:val="center"/>
          </w:tcPr>
          <w:p w14:paraId="6B2421C0">
            <w:pPr>
              <w:widowControl/>
              <w:spacing w:line="360" w:lineRule="auto"/>
              <w:jc w:val="center"/>
              <w:rPr>
                <w:rFonts w:ascii="宋体" w:hAnsi="宋体" w:cs="宋体"/>
                <w:sz w:val="22"/>
                <w:szCs w:val="22"/>
              </w:rPr>
            </w:pPr>
          </w:p>
        </w:tc>
        <w:tc>
          <w:tcPr>
            <w:tcW w:w="1401" w:type="dxa"/>
            <w:vAlign w:val="center"/>
          </w:tcPr>
          <w:p w14:paraId="432D73A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悬挂式捕蝇笼</w:t>
            </w:r>
          </w:p>
        </w:tc>
        <w:tc>
          <w:tcPr>
            <w:tcW w:w="1265" w:type="dxa"/>
            <w:vAlign w:val="center"/>
          </w:tcPr>
          <w:p w14:paraId="737C0BF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555706A6">
            <w:pPr>
              <w:widowControl/>
              <w:spacing w:line="360" w:lineRule="auto"/>
              <w:jc w:val="center"/>
              <w:rPr>
                <w:rFonts w:ascii="宋体" w:hAnsi="宋体" w:cs="宋体"/>
                <w:color w:val="auto"/>
                <w:sz w:val="22"/>
                <w:szCs w:val="22"/>
              </w:rPr>
            </w:pPr>
            <w:r>
              <w:rPr>
                <w:rFonts w:hint="eastAsia" w:ascii="宋体" w:hAnsi="宋体" w:cs="宋体"/>
                <w:color w:val="auto"/>
                <w:sz w:val="22"/>
                <w:szCs w:val="22"/>
              </w:rPr>
              <w:t>个</w:t>
            </w:r>
          </w:p>
        </w:tc>
        <w:tc>
          <w:tcPr>
            <w:tcW w:w="783" w:type="dxa"/>
            <w:shd w:val="clear" w:color="auto" w:fill="auto"/>
            <w:vAlign w:val="center"/>
          </w:tcPr>
          <w:p w14:paraId="78E9DB10">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300</w:t>
            </w:r>
          </w:p>
        </w:tc>
        <w:tc>
          <w:tcPr>
            <w:tcW w:w="2322" w:type="dxa"/>
            <w:vAlign w:val="center"/>
          </w:tcPr>
          <w:p w14:paraId="659265D8">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2820" w:type="dxa"/>
            <w:vAlign w:val="center"/>
          </w:tcPr>
          <w:p w14:paraId="3BBA2BB7">
            <w:pPr>
              <w:widowControl/>
              <w:spacing w:line="360" w:lineRule="auto"/>
              <w:jc w:val="center"/>
              <w:rPr>
                <w:rFonts w:ascii="宋体" w:hAnsi="宋体" w:cs="宋体"/>
                <w:color w:val="auto"/>
                <w:sz w:val="22"/>
                <w:szCs w:val="22"/>
              </w:rPr>
            </w:pPr>
          </w:p>
        </w:tc>
      </w:tr>
      <w:tr w14:paraId="7F6A24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7205F7E0">
            <w:pPr>
              <w:widowControl/>
              <w:spacing w:line="360" w:lineRule="auto"/>
              <w:jc w:val="center"/>
              <w:rPr>
                <w:rFonts w:ascii="宋体" w:hAnsi="宋体" w:cs="宋体"/>
                <w:sz w:val="22"/>
                <w:szCs w:val="22"/>
              </w:rPr>
            </w:pPr>
          </w:p>
        </w:tc>
        <w:tc>
          <w:tcPr>
            <w:tcW w:w="1401" w:type="dxa"/>
            <w:shd w:val="clear" w:color="auto" w:fill="auto"/>
            <w:vAlign w:val="center"/>
          </w:tcPr>
          <w:p w14:paraId="37C615CA">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捕蝇笼</w:t>
            </w:r>
            <w:r>
              <w:rPr>
                <w:rFonts w:hint="eastAsia" w:ascii="宋体" w:hAnsi="宋体" w:cs="宋体"/>
                <w:color w:val="auto"/>
                <w:sz w:val="22"/>
                <w:szCs w:val="22"/>
                <w:lang w:eastAsia="zh-CN"/>
              </w:rPr>
              <w:t>饵剂</w:t>
            </w:r>
          </w:p>
        </w:tc>
        <w:tc>
          <w:tcPr>
            <w:tcW w:w="1265" w:type="dxa"/>
            <w:shd w:val="clear" w:color="auto" w:fill="auto"/>
            <w:vAlign w:val="center"/>
          </w:tcPr>
          <w:p w14:paraId="2844C0F7">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10克/包</w:t>
            </w:r>
          </w:p>
        </w:tc>
        <w:tc>
          <w:tcPr>
            <w:tcW w:w="769" w:type="dxa"/>
            <w:shd w:val="clear" w:color="auto" w:fill="auto"/>
            <w:vAlign w:val="center"/>
          </w:tcPr>
          <w:p w14:paraId="386AADF6">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eastAsia="zh-CN"/>
              </w:rPr>
              <w:t>包</w:t>
            </w:r>
          </w:p>
        </w:tc>
        <w:tc>
          <w:tcPr>
            <w:tcW w:w="783" w:type="dxa"/>
            <w:shd w:val="clear" w:color="auto" w:fill="auto"/>
            <w:vAlign w:val="center"/>
          </w:tcPr>
          <w:p w14:paraId="535A15EE">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3000</w:t>
            </w:r>
          </w:p>
        </w:tc>
        <w:tc>
          <w:tcPr>
            <w:tcW w:w="2322" w:type="dxa"/>
            <w:vAlign w:val="center"/>
          </w:tcPr>
          <w:p w14:paraId="16F76F37">
            <w:pPr>
              <w:widowControl/>
              <w:spacing w:line="360" w:lineRule="auto"/>
              <w:jc w:val="center"/>
              <w:rPr>
                <w:rFonts w:hint="eastAsia" w:ascii="宋体" w:hAnsi="宋体" w:cs="宋体"/>
                <w:color w:val="auto"/>
                <w:sz w:val="22"/>
                <w:szCs w:val="22"/>
              </w:rPr>
            </w:pPr>
          </w:p>
        </w:tc>
        <w:tc>
          <w:tcPr>
            <w:tcW w:w="2820" w:type="dxa"/>
            <w:vAlign w:val="center"/>
          </w:tcPr>
          <w:p w14:paraId="1B012F23">
            <w:pPr>
              <w:widowControl/>
              <w:spacing w:line="360" w:lineRule="auto"/>
              <w:jc w:val="center"/>
              <w:rPr>
                <w:rFonts w:hint="eastAsia" w:ascii="宋体" w:hAnsi="宋体" w:cs="宋体"/>
                <w:color w:val="auto"/>
                <w:sz w:val="22"/>
                <w:szCs w:val="22"/>
              </w:rPr>
            </w:pPr>
          </w:p>
        </w:tc>
      </w:tr>
      <w:tr w14:paraId="4A7A58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15C20190">
            <w:pPr>
              <w:widowControl/>
              <w:spacing w:line="360" w:lineRule="auto"/>
              <w:jc w:val="center"/>
              <w:rPr>
                <w:rFonts w:ascii="宋体" w:hAnsi="宋体" w:cs="宋体"/>
                <w:sz w:val="22"/>
                <w:szCs w:val="22"/>
              </w:rPr>
            </w:pPr>
          </w:p>
        </w:tc>
        <w:tc>
          <w:tcPr>
            <w:tcW w:w="1401" w:type="dxa"/>
            <w:vAlign w:val="center"/>
          </w:tcPr>
          <w:p w14:paraId="6FC4596D">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杀幼虫缓释颗粒剂</w:t>
            </w:r>
          </w:p>
        </w:tc>
        <w:tc>
          <w:tcPr>
            <w:tcW w:w="1265" w:type="dxa"/>
            <w:vAlign w:val="center"/>
          </w:tcPr>
          <w:p w14:paraId="076A111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500克×20包</w:t>
            </w:r>
          </w:p>
        </w:tc>
        <w:tc>
          <w:tcPr>
            <w:tcW w:w="769" w:type="dxa"/>
            <w:vAlign w:val="center"/>
          </w:tcPr>
          <w:p w14:paraId="3735706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吨</w:t>
            </w:r>
          </w:p>
        </w:tc>
        <w:tc>
          <w:tcPr>
            <w:tcW w:w="783" w:type="dxa"/>
            <w:shd w:val="clear" w:color="auto" w:fill="auto"/>
            <w:vAlign w:val="center"/>
          </w:tcPr>
          <w:p w14:paraId="02D6CE5A">
            <w:pPr>
              <w:widowControl/>
              <w:spacing w:line="300" w:lineRule="exact"/>
              <w:jc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3.5</w:t>
            </w:r>
          </w:p>
        </w:tc>
        <w:tc>
          <w:tcPr>
            <w:tcW w:w="2322" w:type="dxa"/>
            <w:vAlign w:val="center"/>
          </w:tcPr>
          <w:p w14:paraId="030B7351">
            <w:pPr>
              <w:widowControl/>
              <w:spacing w:line="360" w:lineRule="auto"/>
              <w:jc w:val="center"/>
              <w:rPr>
                <w:rFonts w:ascii="宋体" w:hAnsi="宋体" w:cs="宋体"/>
                <w:color w:val="auto"/>
                <w:sz w:val="22"/>
                <w:szCs w:val="22"/>
              </w:rPr>
            </w:pPr>
            <w:r>
              <w:rPr>
                <w:rFonts w:hint="eastAsia" w:ascii="宋体" w:hAnsi="宋体" w:cs="宋体"/>
                <w:color w:val="auto"/>
                <w:sz w:val="22"/>
                <w:szCs w:val="22"/>
              </w:rPr>
              <w:t>5%倍硫磷</w:t>
            </w:r>
          </w:p>
        </w:tc>
        <w:tc>
          <w:tcPr>
            <w:tcW w:w="2820" w:type="dxa"/>
            <w:vAlign w:val="center"/>
          </w:tcPr>
          <w:p w14:paraId="4AE58079">
            <w:pPr>
              <w:widowControl/>
              <w:spacing w:line="360" w:lineRule="auto"/>
              <w:jc w:val="center"/>
              <w:rPr>
                <w:rFonts w:ascii="宋体" w:hAnsi="宋体" w:cs="宋体"/>
                <w:color w:val="auto"/>
                <w:sz w:val="22"/>
                <w:szCs w:val="22"/>
              </w:rPr>
            </w:pPr>
          </w:p>
        </w:tc>
      </w:tr>
      <w:tr w14:paraId="726307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restart"/>
            <w:vAlign w:val="center"/>
          </w:tcPr>
          <w:p w14:paraId="3C895FEB">
            <w:pPr>
              <w:widowControl/>
              <w:spacing w:line="360" w:lineRule="auto"/>
              <w:jc w:val="center"/>
              <w:rPr>
                <w:rFonts w:ascii="宋体" w:hAnsi="宋体" w:cs="宋体"/>
                <w:sz w:val="22"/>
                <w:szCs w:val="22"/>
              </w:rPr>
            </w:pPr>
            <w:r>
              <w:rPr>
                <w:rFonts w:hint="eastAsia" w:ascii="宋体" w:hAnsi="宋体" w:cs="宋体"/>
                <w:sz w:val="22"/>
                <w:szCs w:val="22"/>
              </w:rPr>
              <w:t>综合防制</w:t>
            </w:r>
          </w:p>
        </w:tc>
        <w:tc>
          <w:tcPr>
            <w:tcW w:w="1401" w:type="dxa"/>
            <w:vAlign w:val="center"/>
          </w:tcPr>
          <w:p w14:paraId="05C0F9A8">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农贸市场消杀</w:t>
            </w:r>
          </w:p>
        </w:tc>
        <w:tc>
          <w:tcPr>
            <w:tcW w:w="1265" w:type="dxa"/>
            <w:vAlign w:val="center"/>
          </w:tcPr>
          <w:p w14:paraId="606D90C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6A7961A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家</w:t>
            </w:r>
          </w:p>
        </w:tc>
        <w:tc>
          <w:tcPr>
            <w:tcW w:w="783" w:type="dxa"/>
            <w:shd w:val="clear" w:color="auto" w:fill="auto"/>
            <w:vAlign w:val="center"/>
          </w:tcPr>
          <w:p w14:paraId="723221F0">
            <w:pPr>
              <w:widowControl/>
              <w:spacing w:line="30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1</w:t>
            </w:r>
            <w:r>
              <w:rPr>
                <w:rFonts w:hint="eastAsia" w:ascii="宋体" w:hAnsi="宋体" w:cs="宋体"/>
                <w:color w:val="auto"/>
                <w:sz w:val="22"/>
                <w:szCs w:val="22"/>
                <w:lang w:val="en-US" w:eastAsia="zh-CN"/>
              </w:rPr>
              <w:t>8</w:t>
            </w:r>
          </w:p>
        </w:tc>
        <w:tc>
          <w:tcPr>
            <w:tcW w:w="5142" w:type="dxa"/>
            <w:gridSpan w:val="2"/>
            <w:vAlign w:val="center"/>
          </w:tcPr>
          <w:p w14:paraId="033E5C97">
            <w:pPr>
              <w:widowControl/>
              <w:spacing w:line="360" w:lineRule="auto"/>
              <w:jc w:val="center"/>
              <w:rPr>
                <w:rFonts w:ascii="宋体" w:hAnsi="宋体" w:cs="宋体"/>
                <w:color w:val="auto"/>
                <w:sz w:val="22"/>
                <w:szCs w:val="22"/>
              </w:rPr>
            </w:pPr>
          </w:p>
        </w:tc>
      </w:tr>
      <w:tr w14:paraId="06F6A4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67E16CC7">
            <w:pPr>
              <w:widowControl/>
              <w:spacing w:line="360" w:lineRule="auto"/>
              <w:jc w:val="center"/>
              <w:rPr>
                <w:rFonts w:ascii="宋体" w:hAnsi="宋体" w:cs="宋体"/>
                <w:sz w:val="22"/>
                <w:szCs w:val="22"/>
              </w:rPr>
            </w:pPr>
          </w:p>
        </w:tc>
        <w:tc>
          <w:tcPr>
            <w:tcW w:w="1401" w:type="dxa"/>
            <w:vAlign w:val="center"/>
          </w:tcPr>
          <w:p w14:paraId="088FD0F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重点单位</w:t>
            </w:r>
          </w:p>
        </w:tc>
        <w:tc>
          <w:tcPr>
            <w:tcW w:w="1265" w:type="dxa"/>
            <w:vAlign w:val="center"/>
          </w:tcPr>
          <w:p w14:paraId="6EE97E8F">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682C0084">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家</w:t>
            </w:r>
          </w:p>
        </w:tc>
        <w:tc>
          <w:tcPr>
            <w:tcW w:w="783" w:type="dxa"/>
            <w:shd w:val="clear" w:color="auto" w:fill="auto"/>
            <w:vAlign w:val="center"/>
          </w:tcPr>
          <w:p w14:paraId="36A25B2A">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4</w:t>
            </w:r>
            <w:r>
              <w:rPr>
                <w:rFonts w:hint="eastAsia" w:ascii="宋体" w:hAnsi="宋体" w:cs="宋体"/>
                <w:color w:val="auto"/>
                <w:sz w:val="22"/>
                <w:szCs w:val="22"/>
              </w:rPr>
              <w:t>00</w:t>
            </w:r>
          </w:p>
        </w:tc>
        <w:tc>
          <w:tcPr>
            <w:tcW w:w="5142" w:type="dxa"/>
            <w:gridSpan w:val="2"/>
            <w:vAlign w:val="center"/>
          </w:tcPr>
          <w:p w14:paraId="21F03254">
            <w:pPr>
              <w:widowControl/>
              <w:spacing w:line="360" w:lineRule="auto"/>
              <w:jc w:val="center"/>
              <w:rPr>
                <w:rFonts w:ascii="宋体" w:hAnsi="宋体" w:cs="宋体"/>
                <w:color w:val="auto"/>
                <w:sz w:val="22"/>
                <w:szCs w:val="22"/>
              </w:rPr>
            </w:pPr>
          </w:p>
        </w:tc>
      </w:tr>
      <w:tr w14:paraId="377767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Merge w:val="continue"/>
            <w:vAlign w:val="center"/>
          </w:tcPr>
          <w:p w14:paraId="7F934663">
            <w:pPr>
              <w:widowControl/>
              <w:spacing w:line="360" w:lineRule="auto"/>
              <w:jc w:val="center"/>
              <w:rPr>
                <w:rFonts w:ascii="宋体" w:hAnsi="宋体" w:cs="宋体"/>
                <w:sz w:val="22"/>
                <w:szCs w:val="22"/>
              </w:rPr>
            </w:pPr>
          </w:p>
        </w:tc>
        <w:tc>
          <w:tcPr>
            <w:tcW w:w="1401" w:type="dxa"/>
            <w:vAlign w:val="center"/>
          </w:tcPr>
          <w:p w14:paraId="7F3DE953">
            <w:pPr>
              <w:widowControl/>
              <w:spacing w:line="360" w:lineRule="auto"/>
              <w:jc w:val="center"/>
              <w:rPr>
                <w:rFonts w:ascii="宋体" w:hAnsi="宋体" w:cs="宋体"/>
                <w:color w:val="auto"/>
                <w:sz w:val="22"/>
                <w:szCs w:val="22"/>
              </w:rPr>
            </w:pPr>
            <w:r>
              <w:rPr>
                <w:rFonts w:hint="eastAsia" w:ascii="宋体" w:hAnsi="宋体" w:cs="宋体"/>
                <w:color w:val="auto"/>
                <w:sz w:val="22"/>
                <w:szCs w:val="22"/>
              </w:rPr>
              <w:t>设施维护</w:t>
            </w:r>
          </w:p>
        </w:tc>
        <w:tc>
          <w:tcPr>
            <w:tcW w:w="1265" w:type="dxa"/>
            <w:vAlign w:val="center"/>
          </w:tcPr>
          <w:p w14:paraId="756776E8">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420C22AC">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83" w:type="dxa"/>
            <w:shd w:val="clear" w:color="auto" w:fill="auto"/>
            <w:vAlign w:val="center"/>
          </w:tcPr>
          <w:p w14:paraId="139C14B4">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w:t>
            </w:r>
          </w:p>
        </w:tc>
        <w:tc>
          <w:tcPr>
            <w:tcW w:w="5142" w:type="dxa"/>
            <w:gridSpan w:val="2"/>
            <w:vAlign w:val="center"/>
          </w:tcPr>
          <w:p w14:paraId="0423D308">
            <w:pPr>
              <w:widowControl/>
              <w:spacing w:line="360" w:lineRule="auto"/>
              <w:jc w:val="center"/>
              <w:rPr>
                <w:rFonts w:ascii="宋体" w:hAnsi="宋体" w:cs="宋体"/>
                <w:color w:val="auto"/>
                <w:sz w:val="22"/>
                <w:szCs w:val="22"/>
              </w:rPr>
            </w:pPr>
          </w:p>
        </w:tc>
      </w:tr>
      <w:tr w14:paraId="007698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71" w:type="dxa"/>
            <w:vAlign w:val="center"/>
          </w:tcPr>
          <w:p w14:paraId="122C6063">
            <w:pPr>
              <w:widowControl/>
              <w:spacing w:line="360" w:lineRule="auto"/>
              <w:jc w:val="center"/>
              <w:rPr>
                <w:rFonts w:ascii="宋体" w:hAnsi="宋体" w:cs="宋体"/>
                <w:sz w:val="22"/>
                <w:szCs w:val="22"/>
              </w:rPr>
            </w:pPr>
            <w:r>
              <w:rPr>
                <w:rFonts w:hint="eastAsia" w:ascii="宋体" w:hAnsi="宋体" w:cs="宋体"/>
                <w:sz w:val="22"/>
                <w:szCs w:val="22"/>
              </w:rPr>
              <w:t>劳务技术</w:t>
            </w:r>
          </w:p>
        </w:tc>
        <w:tc>
          <w:tcPr>
            <w:tcW w:w="1401" w:type="dxa"/>
            <w:vAlign w:val="center"/>
          </w:tcPr>
          <w:p w14:paraId="1CBE7FD9">
            <w:pPr>
              <w:widowControl/>
              <w:spacing w:line="360" w:lineRule="auto"/>
              <w:jc w:val="center"/>
              <w:rPr>
                <w:rFonts w:ascii="宋体" w:hAnsi="宋体" w:cs="宋体"/>
                <w:color w:val="auto"/>
                <w:sz w:val="22"/>
                <w:szCs w:val="22"/>
              </w:rPr>
            </w:pPr>
            <w:r>
              <w:rPr>
                <w:rFonts w:hint="eastAsia" w:ascii="宋体" w:hAnsi="宋体" w:cs="宋体"/>
                <w:color w:val="auto"/>
                <w:sz w:val="22"/>
                <w:szCs w:val="22"/>
              </w:rPr>
              <w:t>消杀人工</w:t>
            </w:r>
          </w:p>
        </w:tc>
        <w:tc>
          <w:tcPr>
            <w:tcW w:w="1265" w:type="dxa"/>
            <w:vAlign w:val="center"/>
          </w:tcPr>
          <w:p w14:paraId="10BDB31B">
            <w:pPr>
              <w:widowControl/>
              <w:spacing w:line="360" w:lineRule="auto"/>
              <w:jc w:val="center"/>
              <w:rPr>
                <w:rFonts w:ascii="宋体" w:hAnsi="宋体" w:cs="宋体"/>
                <w:color w:val="auto"/>
                <w:sz w:val="22"/>
                <w:szCs w:val="22"/>
              </w:rPr>
            </w:pPr>
            <w:r>
              <w:rPr>
                <w:rFonts w:hint="eastAsia" w:ascii="宋体" w:hAnsi="宋体" w:cs="宋体"/>
                <w:color w:val="auto"/>
                <w:sz w:val="22"/>
                <w:szCs w:val="22"/>
              </w:rPr>
              <w:t>/</w:t>
            </w:r>
          </w:p>
        </w:tc>
        <w:tc>
          <w:tcPr>
            <w:tcW w:w="769" w:type="dxa"/>
            <w:vAlign w:val="center"/>
          </w:tcPr>
          <w:p w14:paraId="6C11B970">
            <w:pPr>
              <w:widowControl/>
              <w:spacing w:line="360" w:lineRule="auto"/>
              <w:jc w:val="center"/>
              <w:rPr>
                <w:rFonts w:ascii="宋体" w:hAnsi="宋体" w:cs="宋体"/>
                <w:color w:val="auto"/>
                <w:sz w:val="22"/>
                <w:szCs w:val="22"/>
              </w:rPr>
            </w:pPr>
            <w:r>
              <w:rPr>
                <w:rFonts w:hint="eastAsia" w:ascii="宋体" w:hAnsi="宋体" w:cs="宋体"/>
                <w:color w:val="auto"/>
                <w:sz w:val="22"/>
                <w:szCs w:val="22"/>
              </w:rPr>
              <w:t>工</w:t>
            </w:r>
          </w:p>
        </w:tc>
        <w:tc>
          <w:tcPr>
            <w:tcW w:w="783" w:type="dxa"/>
            <w:shd w:val="clear" w:color="auto" w:fill="auto"/>
            <w:vAlign w:val="center"/>
          </w:tcPr>
          <w:p w14:paraId="0A2778D0">
            <w:pPr>
              <w:widowControl/>
              <w:spacing w:line="300" w:lineRule="exact"/>
              <w:jc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3100</w:t>
            </w:r>
          </w:p>
        </w:tc>
        <w:tc>
          <w:tcPr>
            <w:tcW w:w="5142" w:type="dxa"/>
            <w:gridSpan w:val="2"/>
            <w:vAlign w:val="center"/>
          </w:tcPr>
          <w:p w14:paraId="69176C4E">
            <w:pPr>
              <w:widowControl/>
              <w:spacing w:line="360" w:lineRule="auto"/>
              <w:jc w:val="center"/>
              <w:rPr>
                <w:rFonts w:ascii="宋体" w:hAnsi="宋体" w:cs="宋体"/>
                <w:color w:val="auto"/>
                <w:sz w:val="22"/>
                <w:szCs w:val="22"/>
              </w:rPr>
            </w:pPr>
          </w:p>
        </w:tc>
      </w:tr>
    </w:tbl>
    <w:p w14:paraId="6B18F13D">
      <w:pPr>
        <w:pStyle w:val="186"/>
        <w:numPr>
          <w:ilvl w:val="0"/>
          <w:numId w:val="0"/>
        </w:numPr>
        <w:spacing w:line="288" w:lineRule="auto"/>
        <w:rPr>
          <w:rFonts w:hint="eastAsia" w:ascii="宋体" w:hAnsi="宋体" w:cs="宋体"/>
          <w:b/>
          <w:sz w:val="22"/>
          <w:szCs w:val="22"/>
        </w:rPr>
      </w:pPr>
    </w:p>
    <w:p w14:paraId="241CC800">
      <w:pPr>
        <w:pStyle w:val="186"/>
        <w:spacing w:line="360" w:lineRule="auto"/>
        <w:outlineLvl w:val="1"/>
        <w:rPr>
          <w:rFonts w:ascii="宋体" w:hAnsi="宋体" w:cs="宋体"/>
          <w:color w:val="FF0000"/>
          <w:sz w:val="22"/>
          <w:szCs w:val="22"/>
        </w:rPr>
      </w:pPr>
      <w:r>
        <w:rPr>
          <w:rFonts w:hint="eastAsia" w:ascii="宋体" w:hAnsi="宋体" w:cs="宋体"/>
          <w:b/>
          <w:sz w:val="22"/>
          <w:szCs w:val="22"/>
        </w:rPr>
        <w:t>二、服务</w:t>
      </w:r>
      <w:r>
        <w:rPr>
          <w:rFonts w:hint="eastAsia" w:ascii="宋体" w:hAnsi="宋体" w:cs="宋体"/>
          <w:b/>
          <w:color w:val="000000"/>
          <w:sz w:val="22"/>
          <w:szCs w:val="22"/>
        </w:rPr>
        <w:t>内容及要求</w:t>
      </w:r>
    </w:p>
    <w:p w14:paraId="7D3752FC">
      <w:pPr>
        <w:spacing w:line="360" w:lineRule="auto"/>
        <w:ind w:firstLine="221" w:firstLineChars="100"/>
        <w:rPr>
          <w:rFonts w:ascii="宋体" w:hAnsi="宋体" w:cs="宋体"/>
          <w:b/>
          <w:bCs/>
          <w:sz w:val="22"/>
          <w:szCs w:val="22"/>
        </w:rPr>
      </w:pPr>
      <w:r>
        <w:rPr>
          <w:rFonts w:hint="eastAsia" w:ascii="宋体" w:hAnsi="宋体" w:cs="宋体"/>
          <w:b/>
          <w:bCs/>
          <w:sz w:val="22"/>
          <w:szCs w:val="22"/>
        </w:rPr>
        <w:t>1、四害防制范围</w:t>
      </w:r>
      <w:r>
        <w:rPr>
          <w:rFonts w:hint="eastAsia" w:ascii="宋体" w:hAnsi="宋体" w:cs="宋体"/>
          <w:b/>
          <w:bCs/>
          <w:sz w:val="22"/>
          <w:szCs w:val="22"/>
          <w:lang w:eastAsia="zh-CN"/>
        </w:rPr>
        <w:t>、任务</w:t>
      </w:r>
      <w:r>
        <w:rPr>
          <w:rFonts w:hint="eastAsia" w:ascii="宋体" w:hAnsi="宋体" w:cs="宋体"/>
          <w:b/>
          <w:bCs/>
          <w:sz w:val="22"/>
          <w:szCs w:val="22"/>
        </w:rPr>
        <w:t>及场所</w:t>
      </w:r>
    </w:p>
    <w:p w14:paraId="7359FBC2">
      <w:pPr>
        <w:spacing w:line="360" w:lineRule="auto"/>
        <w:ind w:firstLine="431" w:firstLineChars="196"/>
        <w:rPr>
          <w:rFonts w:hint="eastAsia"/>
          <w:lang w:eastAsia="zh-CN"/>
        </w:rPr>
      </w:pPr>
      <w:r>
        <w:rPr>
          <w:rFonts w:hint="eastAsia" w:ascii="宋体" w:hAnsi="宋体" w:cs="宋体"/>
          <w:sz w:val="22"/>
          <w:szCs w:val="22"/>
        </w:rPr>
        <w:t>“四害”消杀范围为苍南县灵溪镇建成区</w:t>
      </w:r>
      <w:r>
        <w:rPr>
          <w:rFonts w:hint="eastAsia" w:ascii="宋体" w:hAnsi="宋体" w:cs="宋体"/>
          <w:sz w:val="22"/>
          <w:szCs w:val="22"/>
          <w:lang w:eastAsia="zh-CN"/>
        </w:rPr>
        <w:t>西到水产市场（包括坝头村）</w:t>
      </w:r>
      <w:r>
        <w:rPr>
          <w:rFonts w:hint="eastAsia" w:ascii="宋体" w:hAnsi="宋体" w:cs="宋体"/>
          <w:sz w:val="22"/>
          <w:szCs w:val="22"/>
        </w:rPr>
        <w:t>、东到苍南大道、南到横阳支江(包括岩头村、垟贡村）、北到通福路（包括双益村、动车站、参茸市场）及外延500米区域</w:t>
      </w:r>
      <w:r>
        <w:rPr>
          <w:rFonts w:hint="eastAsia" w:ascii="宋体" w:hAnsi="宋体" w:cs="宋体"/>
          <w:sz w:val="22"/>
          <w:szCs w:val="22"/>
          <w:lang w:eastAsia="zh-CN"/>
        </w:rPr>
        <w:t>。包括</w:t>
      </w:r>
      <w:r>
        <w:rPr>
          <w:rFonts w:hint="eastAsia" w:ascii="宋体" w:hAnsi="宋体" w:cs="宋体"/>
          <w:sz w:val="22"/>
          <w:szCs w:val="22"/>
        </w:rPr>
        <w:t>江南新区（包括：灵溪镇文体中心、龙溪公园等）、余桥社区、2个除四害村（具体村以上级文件为准）</w:t>
      </w:r>
      <w:r>
        <w:rPr>
          <w:rFonts w:hint="eastAsia" w:ascii="宋体" w:hAnsi="宋体" w:cs="宋体"/>
          <w:sz w:val="22"/>
          <w:szCs w:val="22"/>
          <w:lang w:eastAsia="zh-CN"/>
        </w:rPr>
        <w:t>。无偿提供登革热等疫情突发时的消杀服务（不超过</w:t>
      </w:r>
      <w:r>
        <w:rPr>
          <w:rFonts w:hint="eastAsia" w:ascii="宋体" w:hAnsi="宋体" w:cs="宋体"/>
          <w:sz w:val="22"/>
          <w:szCs w:val="22"/>
          <w:lang w:val="en-US" w:eastAsia="zh-CN"/>
        </w:rPr>
        <w:t>15次</w:t>
      </w:r>
      <w:r>
        <w:rPr>
          <w:rFonts w:hint="eastAsia" w:ascii="宋体" w:hAnsi="宋体" w:cs="宋体"/>
          <w:sz w:val="22"/>
          <w:szCs w:val="22"/>
          <w:lang w:eastAsia="zh-CN"/>
        </w:rPr>
        <w:t>），免费提供卫生月活动四害药品。</w:t>
      </w:r>
    </w:p>
    <w:p w14:paraId="15A16B24">
      <w:pPr>
        <w:spacing w:line="360" w:lineRule="auto"/>
        <w:ind w:firstLine="440" w:firstLineChars="200"/>
        <w:rPr>
          <w:rFonts w:ascii="宋体" w:hAnsi="宋体" w:cs="宋体"/>
          <w:color w:val="FF0000"/>
          <w:sz w:val="22"/>
          <w:szCs w:val="22"/>
        </w:rPr>
      </w:pPr>
      <w:r>
        <w:rPr>
          <w:rFonts w:hint="eastAsia" w:ascii="宋体" w:hAnsi="宋体" w:cs="宋体"/>
          <w:sz w:val="22"/>
          <w:szCs w:val="22"/>
        </w:rPr>
        <w:t>包括：上述区域的公共外环境，包括居民房前屋后、公园、下水道、绿化带、水沟、闲置地、垃圾点、河道、阴明沟渠等；以及上述区域的各大农贸市场、五小行业、</w:t>
      </w:r>
      <w:r>
        <w:rPr>
          <w:rFonts w:hint="eastAsia" w:ascii="宋体" w:hAnsi="宋体" w:cs="宋体"/>
          <w:sz w:val="22"/>
          <w:szCs w:val="22"/>
          <w:lang w:val="en-US" w:eastAsia="zh-CN"/>
        </w:rPr>
        <w:t>4</w:t>
      </w:r>
      <w:r>
        <w:rPr>
          <w:rFonts w:hint="eastAsia" w:ascii="宋体" w:hAnsi="宋体" w:cs="宋体"/>
          <w:sz w:val="22"/>
          <w:szCs w:val="22"/>
        </w:rPr>
        <w:t>00家重点单位、垃圾中转站、公厕</w:t>
      </w:r>
      <w:r>
        <w:rPr>
          <w:rFonts w:hint="eastAsia" w:ascii="宋体" w:hAnsi="宋体" w:cs="宋体"/>
          <w:sz w:val="22"/>
          <w:szCs w:val="22"/>
          <w:lang w:eastAsia="zh-CN"/>
        </w:rPr>
        <w:t>等</w:t>
      </w:r>
      <w:r>
        <w:rPr>
          <w:rFonts w:hint="eastAsia" w:ascii="宋体" w:hAnsi="宋体" w:cs="宋体"/>
          <w:sz w:val="22"/>
          <w:szCs w:val="22"/>
        </w:rPr>
        <w:t>各种孳生“四害”的场所。</w:t>
      </w:r>
    </w:p>
    <w:p w14:paraId="5C29797A">
      <w:pPr>
        <w:spacing w:line="360" w:lineRule="auto"/>
        <w:ind w:firstLine="221" w:firstLineChars="100"/>
        <w:rPr>
          <w:rFonts w:ascii="宋体" w:hAnsi="宋体" w:cs="宋体"/>
          <w:b/>
          <w:bCs/>
          <w:sz w:val="22"/>
          <w:szCs w:val="22"/>
        </w:rPr>
      </w:pPr>
      <w:r>
        <w:rPr>
          <w:rFonts w:hint="eastAsia" w:ascii="宋体" w:hAnsi="宋体" w:cs="宋体"/>
          <w:b/>
          <w:bCs/>
          <w:sz w:val="22"/>
          <w:szCs w:val="22"/>
        </w:rPr>
        <w:t>2、四害防制标准及技术要求</w:t>
      </w:r>
    </w:p>
    <w:p w14:paraId="69A66D0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sz w:val="22"/>
          <w:szCs w:val="22"/>
        </w:rPr>
      </w:pPr>
      <w:r>
        <w:rPr>
          <w:rFonts w:hint="eastAsia" w:ascii="宋体" w:hAnsi="宋体" w:cs="宋体"/>
          <w:sz w:val="22"/>
          <w:szCs w:val="22"/>
        </w:rPr>
        <w:t>规范开展病媒生物防制，落实各项措施，收到预期效果，提升国家卫生县城水平。</w:t>
      </w:r>
    </w:p>
    <w:p w14:paraId="5D66C81A">
      <w:pPr>
        <w:spacing w:line="360" w:lineRule="auto"/>
        <w:rPr>
          <w:rFonts w:ascii="宋体" w:hAnsi="宋体" w:cs="宋体"/>
          <w:sz w:val="22"/>
          <w:szCs w:val="22"/>
        </w:rPr>
      </w:pPr>
      <w:r>
        <w:rPr>
          <w:rFonts w:hint="eastAsia" w:ascii="宋体" w:hAnsi="宋体" w:cs="宋体"/>
          <w:sz w:val="22"/>
          <w:szCs w:val="22"/>
        </w:rPr>
        <w:t>（一）防制原则</w:t>
      </w:r>
    </w:p>
    <w:p w14:paraId="11F6E554">
      <w:pPr>
        <w:spacing w:line="360" w:lineRule="auto"/>
        <w:ind w:firstLine="440" w:firstLineChars="200"/>
        <w:rPr>
          <w:rFonts w:ascii="宋体" w:hAnsi="宋体" w:cs="宋体"/>
          <w:sz w:val="22"/>
          <w:szCs w:val="22"/>
        </w:rPr>
      </w:pPr>
      <w:r>
        <w:rPr>
          <w:rFonts w:hint="eastAsia" w:ascii="宋体" w:hAnsi="宋体" w:cs="宋体"/>
          <w:sz w:val="22"/>
          <w:szCs w:val="22"/>
        </w:rPr>
        <w:t>采取以环境治理为主、化学杀灭为辅的综合防制措施。切实做好环境治理，设置防范设施，针对具体环境、具体害情实施药物杀灭，同时要利用四害在防制中的许多共性，把各项防制措施有机地结合起来，消除和控制四害的危害，达到求实高效的目的。</w:t>
      </w:r>
    </w:p>
    <w:p w14:paraId="1481A9EE">
      <w:pPr>
        <w:spacing w:line="360" w:lineRule="auto"/>
        <w:rPr>
          <w:rFonts w:ascii="宋体" w:hAnsi="宋体" w:cs="宋体"/>
          <w:sz w:val="22"/>
          <w:szCs w:val="22"/>
        </w:rPr>
      </w:pPr>
      <w:r>
        <w:rPr>
          <w:rFonts w:hint="eastAsia" w:ascii="宋体" w:hAnsi="宋体" w:cs="宋体"/>
          <w:sz w:val="22"/>
          <w:szCs w:val="22"/>
        </w:rPr>
        <w:t>（二）防制标准</w:t>
      </w:r>
    </w:p>
    <w:p w14:paraId="03BC7845">
      <w:pPr>
        <w:spacing w:line="360" w:lineRule="auto"/>
        <w:ind w:firstLine="440" w:firstLineChars="200"/>
        <w:rPr>
          <w:rFonts w:ascii="宋体" w:hAnsi="宋体" w:cs="宋体"/>
          <w:color w:val="0000FF"/>
          <w:sz w:val="22"/>
          <w:szCs w:val="22"/>
        </w:rPr>
      </w:pPr>
      <w:r>
        <w:rPr>
          <w:rFonts w:hint="eastAsia" w:ascii="宋体" w:hAnsi="宋体" w:cs="宋体"/>
          <w:color w:val="0000FF"/>
          <w:sz w:val="22"/>
          <w:szCs w:val="22"/>
        </w:rPr>
        <w:t>按照全爱卫发[2021]6号文件全国爱卫会关于印发《国家卫生镇评审管理办法》和《国家卫生城市和国家卫生县标准》《国家卫生乡镇标准》的通知及相关标准执行，四害密度控制水平达到国家C级以上标准。</w:t>
      </w:r>
    </w:p>
    <w:p w14:paraId="447C4B8C">
      <w:pPr>
        <w:spacing w:line="360" w:lineRule="auto"/>
        <w:rPr>
          <w:rFonts w:ascii="宋体" w:hAnsi="宋体" w:cs="宋体"/>
          <w:sz w:val="22"/>
          <w:szCs w:val="22"/>
        </w:rPr>
      </w:pPr>
      <w:r>
        <w:rPr>
          <w:rFonts w:hint="eastAsia" w:ascii="宋体" w:hAnsi="宋体" w:cs="宋体"/>
          <w:sz w:val="22"/>
          <w:szCs w:val="22"/>
        </w:rPr>
        <w:t>（三）综合技术要求</w:t>
      </w:r>
    </w:p>
    <w:p w14:paraId="191A5078">
      <w:pPr>
        <w:spacing w:line="360" w:lineRule="auto"/>
        <w:ind w:firstLine="220" w:firstLineChars="100"/>
        <w:rPr>
          <w:rFonts w:ascii="宋体" w:hAnsi="宋体" w:cs="宋体"/>
          <w:sz w:val="22"/>
          <w:szCs w:val="22"/>
        </w:rPr>
      </w:pPr>
      <w:r>
        <w:rPr>
          <w:rFonts w:hint="eastAsia" w:ascii="宋体" w:hAnsi="宋体" w:cs="宋体"/>
          <w:sz w:val="22"/>
          <w:szCs w:val="22"/>
        </w:rPr>
        <w:t>1、鼠类防制</w:t>
      </w:r>
    </w:p>
    <w:p w14:paraId="6AB108D2">
      <w:pPr>
        <w:spacing w:line="360" w:lineRule="auto"/>
        <w:ind w:firstLine="440" w:firstLineChars="200"/>
        <w:rPr>
          <w:rFonts w:ascii="宋体" w:hAnsi="宋体" w:cs="宋体"/>
          <w:sz w:val="22"/>
          <w:szCs w:val="22"/>
        </w:rPr>
      </w:pPr>
      <w:r>
        <w:rPr>
          <w:rFonts w:hint="eastAsia" w:ascii="宋体" w:hAnsi="宋体" w:cs="宋体"/>
          <w:sz w:val="22"/>
          <w:szCs w:val="22"/>
        </w:rPr>
        <w:t>（1）鼠类孳生地治理</w:t>
      </w:r>
    </w:p>
    <w:p w14:paraId="608C33D5">
      <w:pPr>
        <w:spacing w:line="360" w:lineRule="auto"/>
        <w:ind w:firstLine="440" w:firstLineChars="200"/>
        <w:rPr>
          <w:rFonts w:ascii="宋体" w:hAnsi="宋体" w:cs="宋体"/>
          <w:sz w:val="22"/>
          <w:szCs w:val="22"/>
        </w:rPr>
      </w:pPr>
      <w:r>
        <w:rPr>
          <w:rFonts w:hint="eastAsia" w:ascii="宋体" w:hAnsi="宋体" w:cs="宋体"/>
          <w:sz w:val="22"/>
          <w:szCs w:val="22"/>
        </w:rPr>
        <w:t>治理环境，减少食源、消除栖息场所，控制鼠类孳生。</w:t>
      </w:r>
    </w:p>
    <w:p w14:paraId="1A5C8EB5">
      <w:pPr>
        <w:spacing w:line="360" w:lineRule="auto"/>
        <w:ind w:firstLine="440" w:firstLineChars="200"/>
        <w:rPr>
          <w:rFonts w:ascii="宋体" w:hAnsi="宋体" w:cs="宋体"/>
          <w:sz w:val="22"/>
          <w:szCs w:val="22"/>
        </w:rPr>
      </w:pPr>
      <w:r>
        <w:rPr>
          <w:rFonts w:hint="eastAsia" w:ascii="宋体" w:hAnsi="宋体" w:cs="宋体"/>
          <w:sz w:val="22"/>
          <w:szCs w:val="22"/>
        </w:rPr>
        <w:t>（2）指导各相关单位完善防鼠设施完善防鼠设施</w:t>
      </w:r>
    </w:p>
    <w:p w14:paraId="447E33B9">
      <w:pPr>
        <w:spacing w:line="360" w:lineRule="auto"/>
        <w:ind w:firstLine="550" w:firstLineChars="250"/>
        <w:rPr>
          <w:rFonts w:ascii="宋体" w:hAnsi="宋体" w:cs="宋体"/>
          <w:sz w:val="22"/>
          <w:szCs w:val="22"/>
        </w:rPr>
      </w:pPr>
      <w:r>
        <w:rPr>
          <w:rFonts w:hint="eastAsia" w:ascii="宋体" w:hAnsi="宋体" w:cs="宋体"/>
          <w:sz w:val="22"/>
          <w:szCs w:val="22"/>
        </w:rPr>
        <w:t>①下水道、排水沟、通风口及通向室内的各种管道要加阀门和金属防鼠网（栏栅）、挡鼠板，网眼(栏栅条间距)小于0.6×0.6厘米，栏栅与下水道口边缝小于1.0厘米。</w:t>
      </w:r>
    </w:p>
    <w:p w14:paraId="73CEFE63">
      <w:pPr>
        <w:spacing w:line="360" w:lineRule="auto"/>
        <w:ind w:firstLine="550" w:firstLineChars="250"/>
        <w:rPr>
          <w:rFonts w:ascii="宋体" w:hAnsi="宋体" w:cs="宋体"/>
          <w:sz w:val="22"/>
          <w:szCs w:val="22"/>
        </w:rPr>
      </w:pPr>
      <w:r>
        <w:rPr>
          <w:rFonts w:hint="eastAsia" w:ascii="宋体" w:hAnsi="宋体" w:cs="宋体"/>
          <w:sz w:val="22"/>
          <w:szCs w:val="22"/>
        </w:rPr>
        <w:t>②门、窗：关闭良好，门缝小于0.6厘米；木质门外侧下方由地面起要镶嵌30厘米高的金属片；大型食品、粮食仓库的门应同时用光滑金属板安装60厘米高防鼠闸板。</w:t>
      </w:r>
    </w:p>
    <w:p w14:paraId="2CDA4870">
      <w:pPr>
        <w:spacing w:line="360" w:lineRule="auto"/>
        <w:ind w:firstLine="550" w:firstLineChars="250"/>
        <w:rPr>
          <w:rFonts w:ascii="宋体" w:hAnsi="宋体" w:cs="宋体"/>
          <w:sz w:val="22"/>
          <w:szCs w:val="22"/>
        </w:rPr>
      </w:pPr>
      <w:r>
        <w:rPr>
          <w:rFonts w:hint="eastAsia" w:ascii="宋体" w:hAnsi="宋体" w:cs="宋体"/>
          <w:sz w:val="22"/>
          <w:szCs w:val="22"/>
        </w:rPr>
        <w:t>③进出建筑物的煤气、电线、空调等的墙上孔洞（管道井）要用水泥堵塞密闭。</w:t>
      </w:r>
    </w:p>
    <w:p w14:paraId="425E453A">
      <w:pPr>
        <w:spacing w:line="360" w:lineRule="auto"/>
        <w:ind w:firstLine="550" w:firstLineChars="250"/>
        <w:rPr>
          <w:rFonts w:ascii="宋体" w:hAnsi="宋体" w:cs="宋体"/>
          <w:sz w:val="22"/>
          <w:szCs w:val="22"/>
        </w:rPr>
      </w:pPr>
      <w:r>
        <w:rPr>
          <w:rFonts w:hint="eastAsia" w:ascii="宋体" w:hAnsi="宋体" w:cs="宋体"/>
          <w:sz w:val="22"/>
          <w:szCs w:val="22"/>
        </w:rPr>
        <w:t>④发现鼠情，使用粘鼠板、捕鼠笼、鼠夹等物理方法进行灭鼠。</w:t>
      </w:r>
    </w:p>
    <w:p w14:paraId="472B6490">
      <w:pPr>
        <w:spacing w:line="360" w:lineRule="auto"/>
        <w:ind w:firstLine="440" w:firstLineChars="200"/>
        <w:rPr>
          <w:rFonts w:ascii="宋体" w:hAnsi="宋体" w:cs="宋体"/>
          <w:sz w:val="22"/>
          <w:szCs w:val="22"/>
        </w:rPr>
      </w:pPr>
      <w:r>
        <w:rPr>
          <w:rFonts w:hint="eastAsia" w:ascii="宋体" w:hAnsi="宋体" w:cs="宋体"/>
          <w:sz w:val="22"/>
          <w:szCs w:val="22"/>
        </w:rPr>
        <w:t>（3）药物统一灭鼠</w:t>
      </w:r>
    </w:p>
    <w:p w14:paraId="4931E614">
      <w:pPr>
        <w:spacing w:line="360" w:lineRule="auto"/>
        <w:ind w:firstLine="550" w:firstLineChars="250"/>
        <w:rPr>
          <w:rFonts w:ascii="宋体" w:hAnsi="宋体" w:cs="宋体"/>
          <w:sz w:val="22"/>
          <w:szCs w:val="22"/>
        </w:rPr>
      </w:pPr>
      <w:r>
        <w:rPr>
          <w:rFonts w:hint="eastAsia" w:ascii="宋体" w:hAnsi="宋体" w:cs="宋体"/>
          <w:sz w:val="22"/>
          <w:szCs w:val="22"/>
        </w:rPr>
        <w:t>① 统一灭鼠季节</w:t>
      </w:r>
    </w:p>
    <w:p w14:paraId="47BC1D84">
      <w:pPr>
        <w:spacing w:line="360" w:lineRule="auto"/>
        <w:ind w:firstLine="550" w:firstLineChars="250"/>
        <w:rPr>
          <w:rFonts w:ascii="宋体" w:hAnsi="宋体" w:cs="宋体"/>
          <w:sz w:val="22"/>
          <w:szCs w:val="22"/>
        </w:rPr>
      </w:pPr>
      <w:r>
        <w:rPr>
          <w:rFonts w:hint="eastAsia" w:ascii="宋体" w:hAnsi="宋体" w:cs="宋体"/>
          <w:sz w:val="22"/>
          <w:szCs w:val="22"/>
        </w:rPr>
        <w:t>全镇统一灭鼠时间，根据市、县相关文件要求。</w:t>
      </w:r>
    </w:p>
    <w:p w14:paraId="206A1D21">
      <w:pPr>
        <w:spacing w:line="360" w:lineRule="auto"/>
        <w:ind w:firstLine="550" w:firstLineChars="250"/>
        <w:rPr>
          <w:rFonts w:ascii="宋体" w:hAnsi="宋体" w:cs="宋体"/>
          <w:sz w:val="22"/>
          <w:szCs w:val="22"/>
        </w:rPr>
      </w:pPr>
      <w:r>
        <w:rPr>
          <w:rFonts w:hint="eastAsia" w:ascii="宋体" w:hAnsi="宋体" w:cs="宋体"/>
          <w:sz w:val="22"/>
          <w:szCs w:val="22"/>
        </w:rPr>
        <w:t>② 鼠药</w:t>
      </w:r>
    </w:p>
    <w:p w14:paraId="31778A06">
      <w:pPr>
        <w:spacing w:line="360" w:lineRule="auto"/>
        <w:ind w:firstLine="550" w:firstLineChars="250"/>
        <w:rPr>
          <w:rFonts w:ascii="宋体" w:hAnsi="宋体" w:cs="宋体"/>
          <w:sz w:val="22"/>
          <w:szCs w:val="22"/>
        </w:rPr>
      </w:pPr>
      <w:r>
        <w:rPr>
          <w:rFonts w:hint="eastAsia" w:ascii="宋体" w:hAnsi="宋体" w:cs="宋体"/>
          <w:sz w:val="22"/>
          <w:szCs w:val="22"/>
        </w:rPr>
        <w:t>品种和用途：</w:t>
      </w:r>
    </w:p>
    <w:p w14:paraId="6B2AC882">
      <w:pPr>
        <w:spacing w:line="360" w:lineRule="auto"/>
        <w:ind w:firstLine="550" w:firstLineChars="250"/>
        <w:rPr>
          <w:rFonts w:ascii="宋体" w:hAnsi="宋体" w:cs="宋体"/>
          <w:sz w:val="22"/>
          <w:szCs w:val="22"/>
        </w:rPr>
      </w:pPr>
      <w:r>
        <w:rPr>
          <w:rFonts w:hint="eastAsia" w:ascii="宋体" w:hAnsi="宋体" w:cs="宋体"/>
          <w:sz w:val="22"/>
          <w:szCs w:val="22"/>
        </w:rPr>
        <w:t>A、灭鼠饵剂：颗粒状，用于居民区、单位及外环境的毒鼠屋。</w:t>
      </w:r>
    </w:p>
    <w:p w14:paraId="3461FC5F">
      <w:pPr>
        <w:spacing w:line="360" w:lineRule="auto"/>
        <w:ind w:firstLine="550" w:firstLineChars="250"/>
        <w:rPr>
          <w:rFonts w:ascii="宋体" w:hAnsi="宋体" w:cs="宋体"/>
          <w:sz w:val="22"/>
          <w:szCs w:val="22"/>
        </w:rPr>
      </w:pPr>
      <w:r>
        <w:rPr>
          <w:rFonts w:hint="eastAsia" w:ascii="宋体" w:hAnsi="宋体" w:cs="宋体"/>
          <w:sz w:val="22"/>
          <w:szCs w:val="22"/>
        </w:rPr>
        <w:t>B、灭鼠蜡块：块状，主要用于下水系统及易被雨水打湿的外环境，城乡结合部的防护带。</w:t>
      </w:r>
    </w:p>
    <w:p w14:paraId="11975D8F">
      <w:pPr>
        <w:spacing w:line="360" w:lineRule="auto"/>
        <w:ind w:firstLine="550" w:firstLineChars="250"/>
        <w:rPr>
          <w:rFonts w:hint="eastAsia" w:ascii="宋体" w:hAnsi="宋体" w:cs="宋体"/>
          <w:sz w:val="22"/>
          <w:szCs w:val="22"/>
        </w:rPr>
      </w:pPr>
      <w:r>
        <w:rPr>
          <w:rFonts w:hint="eastAsia" w:ascii="宋体" w:hAnsi="宋体" w:cs="宋体"/>
          <w:sz w:val="22"/>
          <w:szCs w:val="22"/>
        </w:rPr>
        <w:t>C、特殊场所在专业人员指导下，配</w:t>
      </w:r>
      <w:r>
        <w:rPr>
          <w:rFonts w:hint="eastAsia" w:ascii="宋体" w:hAnsi="宋体" w:cs="宋体"/>
          <w:sz w:val="22"/>
          <w:szCs w:val="22"/>
          <w:lang w:eastAsia="zh-CN"/>
        </w:rPr>
        <w:t>制</w:t>
      </w:r>
      <w:r>
        <w:rPr>
          <w:rFonts w:hint="eastAsia" w:ascii="宋体" w:hAnsi="宋体" w:cs="宋体"/>
          <w:sz w:val="22"/>
          <w:szCs w:val="22"/>
        </w:rPr>
        <w:t>毒水、新鲜水果毒饵等。</w:t>
      </w:r>
    </w:p>
    <w:p w14:paraId="6D2DB199">
      <w:pPr>
        <w:spacing w:line="360" w:lineRule="auto"/>
        <w:ind w:firstLine="550" w:firstLineChars="250"/>
        <w:rPr>
          <w:rFonts w:ascii="宋体" w:hAnsi="宋体" w:cs="宋体"/>
          <w:sz w:val="22"/>
          <w:szCs w:val="22"/>
        </w:rPr>
      </w:pPr>
      <w:r>
        <w:rPr>
          <w:rFonts w:hint="eastAsia" w:ascii="宋体" w:hAnsi="宋体" w:cs="宋体"/>
          <w:sz w:val="22"/>
          <w:szCs w:val="22"/>
        </w:rPr>
        <w:t>D、投放方法</w:t>
      </w:r>
    </w:p>
    <w:p w14:paraId="4FC8E993">
      <w:pPr>
        <w:spacing w:line="360" w:lineRule="auto"/>
        <w:ind w:firstLine="550" w:firstLineChars="250"/>
        <w:rPr>
          <w:rFonts w:ascii="宋体" w:hAnsi="宋体" w:cs="宋体"/>
          <w:sz w:val="22"/>
          <w:szCs w:val="22"/>
        </w:rPr>
      </w:pPr>
      <w:r>
        <w:rPr>
          <w:rFonts w:hint="eastAsia" w:ascii="宋体" w:hAnsi="宋体" w:cs="宋体"/>
          <w:sz w:val="22"/>
          <w:szCs w:val="22"/>
        </w:rPr>
        <w:t>颗粒毒饵延墙投放，投放点应干爽、隐蔽、容易被鼠觅食，做到全面、连续、足量投药，投药后连续三天查看盗食情况，对被盗食的，加倍补投。</w:t>
      </w:r>
    </w:p>
    <w:p w14:paraId="42B1AE94">
      <w:pPr>
        <w:spacing w:line="360" w:lineRule="auto"/>
        <w:ind w:firstLine="550" w:firstLineChars="250"/>
        <w:rPr>
          <w:rFonts w:ascii="宋体" w:hAnsi="宋体" w:cs="宋体"/>
          <w:sz w:val="22"/>
          <w:szCs w:val="22"/>
        </w:rPr>
      </w:pPr>
      <w:r>
        <w:rPr>
          <w:rFonts w:hint="eastAsia" w:ascii="宋体" w:hAnsi="宋体" w:cs="宋体"/>
          <w:sz w:val="22"/>
          <w:szCs w:val="22"/>
        </w:rPr>
        <w:t>③物理灭鼠</w:t>
      </w:r>
    </w:p>
    <w:p w14:paraId="33534728">
      <w:pPr>
        <w:spacing w:line="360" w:lineRule="auto"/>
        <w:ind w:firstLine="550" w:firstLineChars="250"/>
        <w:rPr>
          <w:rFonts w:ascii="宋体" w:hAnsi="宋体" w:cs="宋体"/>
          <w:sz w:val="22"/>
          <w:szCs w:val="22"/>
        </w:rPr>
      </w:pPr>
      <w:r>
        <w:rPr>
          <w:rFonts w:hint="eastAsia" w:ascii="宋体" w:hAnsi="宋体" w:cs="宋体"/>
          <w:sz w:val="22"/>
          <w:szCs w:val="22"/>
        </w:rPr>
        <w:t>不宜使用药物灭鼠的部位，如农贸市场等处，用粘鼠板物理方法灭鼠。</w:t>
      </w:r>
    </w:p>
    <w:p w14:paraId="52E500E7">
      <w:pPr>
        <w:spacing w:line="360" w:lineRule="auto"/>
        <w:ind w:firstLine="220" w:firstLineChars="100"/>
        <w:rPr>
          <w:rFonts w:ascii="宋体" w:hAnsi="宋体" w:cs="宋体"/>
          <w:sz w:val="22"/>
          <w:szCs w:val="22"/>
        </w:rPr>
      </w:pPr>
      <w:r>
        <w:rPr>
          <w:rFonts w:hint="eastAsia" w:ascii="宋体" w:hAnsi="宋体" w:cs="宋体"/>
          <w:sz w:val="22"/>
          <w:szCs w:val="22"/>
        </w:rPr>
        <w:t>2、蚊类防制</w:t>
      </w:r>
    </w:p>
    <w:p w14:paraId="18CCD787">
      <w:pPr>
        <w:spacing w:line="360" w:lineRule="auto"/>
        <w:ind w:firstLine="550" w:firstLineChars="250"/>
        <w:rPr>
          <w:rFonts w:ascii="宋体" w:hAnsi="宋体" w:cs="宋体"/>
          <w:sz w:val="22"/>
          <w:szCs w:val="22"/>
        </w:rPr>
      </w:pPr>
      <w:r>
        <w:rPr>
          <w:rFonts w:hint="eastAsia" w:ascii="宋体" w:hAnsi="宋体" w:cs="宋体"/>
          <w:sz w:val="22"/>
          <w:szCs w:val="22"/>
        </w:rPr>
        <w:t>以治本清源、辅以防蚊灭蚊为原则。以环境治理为主，改变或消除蚊幼的孳生场所是最为有效和经济的蚊类长效控制方法。</w:t>
      </w:r>
    </w:p>
    <w:p w14:paraId="4E5C0D26">
      <w:pPr>
        <w:spacing w:line="360" w:lineRule="auto"/>
        <w:ind w:firstLine="440" w:firstLineChars="200"/>
        <w:rPr>
          <w:rFonts w:ascii="宋体" w:hAnsi="宋体" w:cs="宋体"/>
          <w:sz w:val="22"/>
          <w:szCs w:val="22"/>
        </w:rPr>
      </w:pPr>
      <w:r>
        <w:rPr>
          <w:rFonts w:hint="eastAsia" w:ascii="宋体" w:hAnsi="宋体" w:cs="宋体"/>
          <w:sz w:val="22"/>
          <w:szCs w:val="22"/>
        </w:rPr>
        <w:t>（1）环境治理</w:t>
      </w:r>
    </w:p>
    <w:p w14:paraId="0E801AF6">
      <w:pPr>
        <w:spacing w:line="360" w:lineRule="auto"/>
        <w:ind w:firstLine="550" w:firstLineChars="250"/>
        <w:rPr>
          <w:rFonts w:ascii="宋体" w:hAnsi="宋体" w:cs="宋体"/>
          <w:sz w:val="22"/>
          <w:szCs w:val="22"/>
        </w:rPr>
      </w:pPr>
      <w:r>
        <w:rPr>
          <w:rFonts w:hint="eastAsia" w:ascii="宋体" w:hAnsi="宋体" w:cs="宋体"/>
          <w:sz w:val="22"/>
          <w:szCs w:val="22"/>
        </w:rPr>
        <w:t>①早春协助街道政府组织人员，检查污水沟、污水塘、废水塘、洼地积水，登记孳生地,填平并硬化大街小巷路面坑洼。</w:t>
      </w:r>
    </w:p>
    <w:p w14:paraId="54C2C163">
      <w:pPr>
        <w:spacing w:line="360" w:lineRule="auto"/>
        <w:ind w:firstLine="550" w:firstLineChars="250"/>
        <w:rPr>
          <w:rFonts w:ascii="宋体" w:hAnsi="宋体" w:cs="宋体"/>
          <w:sz w:val="22"/>
          <w:szCs w:val="22"/>
        </w:rPr>
      </w:pPr>
      <w:r>
        <w:rPr>
          <w:rFonts w:hint="eastAsia" w:ascii="宋体" w:hAnsi="宋体" w:cs="宋体"/>
          <w:sz w:val="22"/>
          <w:szCs w:val="22"/>
        </w:rPr>
        <w:t>②勘察并建议有关部门密封各种地下沟(井),采取其他措施防止蚊虫孳生。</w:t>
      </w:r>
    </w:p>
    <w:p w14:paraId="5CD14BA0">
      <w:pPr>
        <w:spacing w:line="360" w:lineRule="auto"/>
        <w:ind w:firstLine="550" w:firstLineChars="250"/>
        <w:rPr>
          <w:rFonts w:ascii="宋体" w:hAnsi="宋体" w:cs="宋体"/>
          <w:sz w:val="22"/>
          <w:szCs w:val="22"/>
        </w:rPr>
      </w:pPr>
      <w:r>
        <w:rPr>
          <w:rFonts w:hint="eastAsia" w:ascii="宋体" w:hAnsi="宋体" w:cs="宋体"/>
          <w:sz w:val="22"/>
          <w:szCs w:val="22"/>
        </w:rPr>
        <w:t>③巡查并发动在作业区域内翻盆倒罐，清除各类小积水。</w:t>
      </w:r>
    </w:p>
    <w:p w14:paraId="18D13B27">
      <w:pPr>
        <w:spacing w:line="360" w:lineRule="auto"/>
        <w:ind w:firstLine="550" w:firstLineChars="250"/>
        <w:rPr>
          <w:rFonts w:ascii="宋体" w:hAnsi="宋体" w:cs="宋体"/>
          <w:sz w:val="22"/>
          <w:szCs w:val="22"/>
        </w:rPr>
      </w:pPr>
      <w:r>
        <w:rPr>
          <w:rFonts w:hint="eastAsia" w:ascii="宋体" w:hAnsi="宋体" w:cs="宋体"/>
          <w:sz w:val="22"/>
          <w:szCs w:val="22"/>
        </w:rPr>
        <w:t>④宣传并协助加强孳生地管理，控制蚊幼虫：对不能清除的各类型积水，可采用加盖密封、5-7天换水一次，或放养鱼类、杀虫剂控制等方法。</w:t>
      </w:r>
    </w:p>
    <w:p w14:paraId="39785CA1">
      <w:pPr>
        <w:spacing w:line="360" w:lineRule="auto"/>
        <w:ind w:firstLine="440" w:firstLineChars="200"/>
        <w:rPr>
          <w:rFonts w:ascii="宋体" w:hAnsi="宋体" w:cs="宋体"/>
          <w:sz w:val="22"/>
          <w:szCs w:val="22"/>
        </w:rPr>
      </w:pPr>
      <w:r>
        <w:rPr>
          <w:rFonts w:hint="eastAsia" w:ascii="宋体" w:hAnsi="宋体" w:cs="宋体"/>
          <w:sz w:val="22"/>
          <w:szCs w:val="22"/>
        </w:rPr>
        <w:t>（2）化学防制</w:t>
      </w:r>
    </w:p>
    <w:p w14:paraId="1E71E0CB">
      <w:pPr>
        <w:spacing w:line="360" w:lineRule="auto"/>
        <w:ind w:firstLine="550" w:firstLineChars="250"/>
        <w:rPr>
          <w:rFonts w:ascii="宋体" w:hAnsi="宋体" w:cs="宋体"/>
          <w:sz w:val="22"/>
          <w:szCs w:val="22"/>
        </w:rPr>
      </w:pPr>
      <w:r>
        <w:rPr>
          <w:rFonts w:hint="eastAsia" w:ascii="宋体" w:hAnsi="宋体" w:cs="宋体"/>
          <w:sz w:val="22"/>
          <w:szCs w:val="22"/>
        </w:rPr>
        <w:t>①化学杀虫剂杀灭蚊幼及蛹：</w:t>
      </w:r>
    </w:p>
    <w:p w14:paraId="0E1FC8B1">
      <w:pPr>
        <w:spacing w:line="360" w:lineRule="auto"/>
        <w:ind w:firstLine="550" w:firstLineChars="250"/>
        <w:rPr>
          <w:rFonts w:ascii="宋体" w:hAnsi="宋体" w:cs="宋体"/>
          <w:sz w:val="22"/>
          <w:szCs w:val="22"/>
        </w:rPr>
      </w:pPr>
      <w:r>
        <w:rPr>
          <w:rFonts w:hint="eastAsia" w:ascii="宋体" w:hAnsi="宋体" w:cs="宋体"/>
          <w:sz w:val="22"/>
          <w:szCs w:val="22"/>
        </w:rPr>
        <w:t>河道、池塘、雨水井窨井、下水道、建筑工地的积水、地下室抽水井等水体无法排除的，定期投放灭蚊蚴缓释剂。</w:t>
      </w:r>
    </w:p>
    <w:p w14:paraId="71AC8C90">
      <w:pPr>
        <w:spacing w:line="360" w:lineRule="auto"/>
        <w:ind w:firstLine="550" w:firstLineChars="250"/>
        <w:rPr>
          <w:rFonts w:ascii="宋体" w:hAnsi="宋体" w:cs="宋体"/>
          <w:sz w:val="22"/>
          <w:szCs w:val="22"/>
        </w:rPr>
      </w:pPr>
      <w:r>
        <w:rPr>
          <w:rFonts w:hint="eastAsia" w:ascii="宋体" w:hAnsi="宋体" w:cs="宋体"/>
          <w:sz w:val="22"/>
          <w:szCs w:val="22"/>
        </w:rPr>
        <w:t>②化学杀虫剂灭成蚊</w:t>
      </w:r>
    </w:p>
    <w:p w14:paraId="502300A2">
      <w:pPr>
        <w:spacing w:line="360" w:lineRule="auto"/>
        <w:ind w:firstLine="550" w:firstLineChars="250"/>
        <w:rPr>
          <w:rFonts w:ascii="宋体" w:hAnsi="宋体" w:cs="宋体"/>
          <w:sz w:val="22"/>
          <w:szCs w:val="22"/>
        </w:rPr>
      </w:pPr>
      <w:r>
        <w:rPr>
          <w:rFonts w:hint="eastAsia" w:ascii="宋体" w:hAnsi="宋体" w:cs="宋体"/>
          <w:sz w:val="22"/>
          <w:szCs w:val="22"/>
        </w:rPr>
        <w:t>公共绿化带，河道，窨井，垃圾中转站，垃圾亭，垃圾桶，果壳箱，公厕，居民区楼道的公共环境的蚊虫，采用拟除虫菊酯类或有机磷类卫生杀虫剂进行喷杀。</w:t>
      </w:r>
    </w:p>
    <w:p w14:paraId="0880E1F3">
      <w:pPr>
        <w:spacing w:line="360" w:lineRule="auto"/>
        <w:ind w:firstLine="220" w:firstLineChars="100"/>
        <w:rPr>
          <w:rFonts w:ascii="宋体" w:hAnsi="宋体" w:cs="宋体"/>
          <w:sz w:val="22"/>
          <w:szCs w:val="22"/>
        </w:rPr>
      </w:pPr>
      <w:r>
        <w:rPr>
          <w:rFonts w:hint="eastAsia" w:ascii="宋体" w:hAnsi="宋体" w:cs="宋体"/>
          <w:sz w:val="22"/>
          <w:szCs w:val="22"/>
        </w:rPr>
        <w:t>3、蝇类防制</w:t>
      </w:r>
    </w:p>
    <w:p w14:paraId="50192920">
      <w:pPr>
        <w:spacing w:line="360" w:lineRule="auto"/>
        <w:ind w:firstLine="539" w:firstLineChars="245"/>
        <w:rPr>
          <w:rFonts w:ascii="宋体" w:hAnsi="宋体" w:cs="宋体"/>
          <w:sz w:val="22"/>
          <w:szCs w:val="22"/>
        </w:rPr>
      </w:pPr>
      <w:r>
        <w:rPr>
          <w:rFonts w:hint="eastAsia" w:ascii="宋体" w:hAnsi="宋体" w:cs="宋体"/>
          <w:sz w:val="22"/>
          <w:szCs w:val="22"/>
        </w:rPr>
        <w:t xml:space="preserve">（1）物理防制 </w:t>
      </w:r>
    </w:p>
    <w:p w14:paraId="3DC3E51E">
      <w:pPr>
        <w:spacing w:line="360" w:lineRule="auto"/>
        <w:ind w:firstLine="550" w:firstLineChars="250"/>
        <w:rPr>
          <w:rFonts w:ascii="宋体" w:hAnsi="宋体" w:cs="宋体"/>
          <w:sz w:val="22"/>
          <w:szCs w:val="22"/>
        </w:rPr>
      </w:pPr>
      <w:r>
        <w:rPr>
          <w:rFonts w:hint="eastAsia" w:ascii="宋体" w:hAnsi="宋体" w:cs="宋体"/>
          <w:sz w:val="22"/>
          <w:szCs w:val="22"/>
        </w:rPr>
        <w:t>①农贸市场、垃圾中转站、公厕等重点场所使用诱蝇笼、粘蝇条诱杀苍蝇。</w:t>
      </w:r>
    </w:p>
    <w:p w14:paraId="03A1CE6A">
      <w:pPr>
        <w:spacing w:line="360" w:lineRule="auto"/>
        <w:ind w:firstLine="550" w:firstLineChars="250"/>
        <w:rPr>
          <w:rFonts w:ascii="宋体" w:hAnsi="宋体" w:cs="宋体"/>
          <w:sz w:val="22"/>
          <w:szCs w:val="22"/>
        </w:rPr>
      </w:pPr>
      <w:r>
        <w:rPr>
          <w:rFonts w:hint="eastAsia" w:ascii="宋体" w:hAnsi="宋体" w:cs="宋体"/>
          <w:sz w:val="22"/>
          <w:szCs w:val="22"/>
        </w:rPr>
        <w:t>②五小行业规范安装、使用防制设施。指导食品生产经营单位餐饮单位 要按规定应有防蝇设施的场所，应完善防蝇设施；居民可在有食源的室内安装纱窗、纱门、纱罩，以防苍蝇进入。</w:t>
      </w:r>
    </w:p>
    <w:p w14:paraId="088D4BEB">
      <w:pPr>
        <w:spacing w:line="360" w:lineRule="auto"/>
        <w:ind w:firstLine="550" w:firstLineChars="250"/>
        <w:rPr>
          <w:rFonts w:ascii="宋体" w:hAnsi="宋体" w:cs="宋体"/>
          <w:sz w:val="22"/>
          <w:szCs w:val="22"/>
        </w:rPr>
      </w:pPr>
      <w:r>
        <w:rPr>
          <w:rFonts w:hint="eastAsia" w:ascii="宋体" w:hAnsi="宋体" w:cs="宋体"/>
          <w:sz w:val="22"/>
          <w:szCs w:val="22"/>
        </w:rPr>
        <w:t>（2）化学防制</w:t>
      </w:r>
    </w:p>
    <w:p w14:paraId="538BC14A">
      <w:pPr>
        <w:spacing w:line="360" w:lineRule="auto"/>
        <w:ind w:firstLine="550" w:firstLineChars="250"/>
        <w:rPr>
          <w:rFonts w:ascii="宋体" w:hAnsi="宋体" w:cs="宋体"/>
          <w:sz w:val="22"/>
          <w:szCs w:val="22"/>
        </w:rPr>
      </w:pPr>
      <w:r>
        <w:rPr>
          <w:rFonts w:hint="eastAsia" w:ascii="宋体" w:hAnsi="宋体" w:cs="宋体"/>
          <w:sz w:val="22"/>
          <w:szCs w:val="22"/>
        </w:rPr>
        <w:t>提倡在室外菜场、垃圾收集点等特殊场所用毒饵灭蝇</w:t>
      </w:r>
    </w:p>
    <w:p w14:paraId="180F605F">
      <w:pPr>
        <w:spacing w:line="360" w:lineRule="auto"/>
        <w:ind w:firstLine="550" w:firstLineChars="250"/>
        <w:rPr>
          <w:rFonts w:ascii="宋体" w:hAnsi="宋体" w:cs="宋体"/>
          <w:sz w:val="22"/>
          <w:szCs w:val="22"/>
        </w:rPr>
      </w:pPr>
      <w:r>
        <w:rPr>
          <w:rFonts w:hint="eastAsia" w:ascii="宋体" w:hAnsi="宋体" w:cs="宋体"/>
          <w:sz w:val="22"/>
          <w:szCs w:val="22"/>
        </w:rPr>
        <w:t>①孳生场所管理：定期检查区域内可能孳生苍蝇的场所，发现蝇幼虫或蝇蛹，立即清理或施药毒杀。</w:t>
      </w:r>
    </w:p>
    <w:p w14:paraId="4C53E261">
      <w:pPr>
        <w:spacing w:line="360" w:lineRule="auto"/>
        <w:ind w:firstLine="550" w:firstLineChars="250"/>
        <w:rPr>
          <w:rFonts w:ascii="宋体" w:hAnsi="宋体" w:cs="宋体"/>
          <w:sz w:val="22"/>
          <w:szCs w:val="22"/>
        </w:rPr>
      </w:pPr>
      <w:r>
        <w:rPr>
          <w:rFonts w:hint="eastAsia" w:ascii="宋体" w:hAnsi="宋体" w:cs="宋体"/>
          <w:sz w:val="22"/>
          <w:szCs w:val="22"/>
        </w:rPr>
        <w:t>②杀灭成蝇：室外灭蝇用有机磷杀虫剂和除虫菊及其复配液效果好；室内采用由多种高效低毒杀虫剂。</w:t>
      </w:r>
    </w:p>
    <w:p w14:paraId="4B1C7222">
      <w:pPr>
        <w:spacing w:line="360" w:lineRule="auto"/>
        <w:ind w:firstLine="550" w:firstLineChars="250"/>
        <w:rPr>
          <w:rFonts w:ascii="宋体" w:hAnsi="宋体" w:cs="宋体"/>
          <w:sz w:val="22"/>
          <w:szCs w:val="22"/>
        </w:rPr>
      </w:pPr>
      <w:r>
        <w:rPr>
          <w:rFonts w:hint="eastAsia" w:ascii="宋体" w:hAnsi="宋体" w:cs="宋体"/>
          <w:sz w:val="22"/>
          <w:szCs w:val="22"/>
        </w:rPr>
        <w:t>（3）物理防制</w:t>
      </w:r>
    </w:p>
    <w:p w14:paraId="05F9D6E7">
      <w:pPr>
        <w:spacing w:line="360" w:lineRule="auto"/>
        <w:ind w:firstLine="550" w:firstLineChars="250"/>
        <w:rPr>
          <w:rFonts w:ascii="宋体" w:hAnsi="宋体" w:cs="宋体"/>
          <w:sz w:val="22"/>
          <w:szCs w:val="22"/>
        </w:rPr>
      </w:pPr>
      <w:r>
        <w:rPr>
          <w:rFonts w:hint="eastAsia" w:ascii="宋体" w:hAnsi="宋体" w:cs="宋体"/>
          <w:sz w:val="22"/>
          <w:szCs w:val="22"/>
        </w:rPr>
        <w:t>在饮食、食品加工、公共场所、居民住宅、垃圾收集点采用粘蝇条、诱蝇笼诱杀成蝇。</w:t>
      </w:r>
    </w:p>
    <w:p w14:paraId="38310B74">
      <w:pPr>
        <w:spacing w:line="360" w:lineRule="auto"/>
        <w:ind w:firstLine="220" w:firstLineChars="100"/>
        <w:rPr>
          <w:rFonts w:ascii="宋体" w:hAnsi="宋体" w:cs="宋体"/>
          <w:sz w:val="22"/>
          <w:szCs w:val="22"/>
        </w:rPr>
      </w:pPr>
      <w:r>
        <w:rPr>
          <w:rFonts w:hint="eastAsia" w:ascii="宋体" w:hAnsi="宋体" w:cs="宋体"/>
          <w:sz w:val="22"/>
          <w:szCs w:val="22"/>
        </w:rPr>
        <w:t>4、蟑螂防制</w:t>
      </w:r>
    </w:p>
    <w:p w14:paraId="7D2C29E1">
      <w:pPr>
        <w:spacing w:line="360" w:lineRule="auto"/>
        <w:ind w:firstLine="550" w:firstLineChars="250"/>
        <w:rPr>
          <w:rFonts w:ascii="宋体" w:hAnsi="宋体" w:cs="宋体"/>
          <w:sz w:val="22"/>
          <w:szCs w:val="22"/>
        </w:rPr>
      </w:pPr>
      <w:r>
        <w:rPr>
          <w:rFonts w:hint="eastAsia" w:ascii="宋体" w:hAnsi="宋体" w:cs="宋体"/>
          <w:sz w:val="22"/>
          <w:szCs w:val="22"/>
        </w:rPr>
        <w:t>（1）化学防制</w:t>
      </w:r>
    </w:p>
    <w:p w14:paraId="0A5B19A8">
      <w:pPr>
        <w:spacing w:line="360" w:lineRule="auto"/>
        <w:ind w:firstLine="550" w:firstLineChars="250"/>
        <w:rPr>
          <w:rFonts w:ascii="宋体" w:hAnsi="宋体" w:cs="宋体"/>
          <w:sz w:val="22"/>
          <w:szCs w:val="22"/>
        </w:rPr>
      </w:pPr>
      <w:r>
        <w:rPr>
          <w:rFonts w:hint="eastAsia" w:ascii="宋体" w:hAnsi="宋体" w:cs="宋体"/>
          <w:sz w:val="22"/>
          <w:szCs w:val="22"/>
        </w:rPr>
        <w:t>①居民区、重点单位、一般单位、农贸市场等室内环境宜用乙酰甲胺磷、吡虫啉等为主要成份的灭蟑毒饵（颗粒剂、粉剂、胶剂）进行杀灭。</w:t>
      </w:r>
    </w:p>
    <w:p w14:paraId="37A69AEB">
      <w:pPr>
        <w:spacing w:line="360" w:lineRule="auto"/>
        <w:ind w:firstLine="550" w:firstLineChars="250"/>
        <w:rPr>
          <w:rFonts w:ascii="宋体" w:hAnsi="宋体" w:cs="宋体"/>
          <w:sz w:val="22"/>
          <w:szCs w:val="22"/>
        </w:rPr>
      </w:pPr>
      <w:r>
        <w:rPr>
          <w:rFonts w:hint="eastAsia" w:ascii="宋体" w:hAnsi="宋体" w:cs="宋体"/>
          <w:sz w:val="22"/>
          <w:szCs w:val="22"/>
        </w:rPr>
        <w:t>②烟雾熏杀：密度高时可采用，要密闭主要用于仓库、垃圾箱、化粪池等场所。烟雾熏杀要特别注意安全操作，做好防火、防爆炸、防人中毒。</w:t>
      </w:r>
    </w:p>
    <w:p w14:paraId="185C6ECE">
      <w:pPr>
        <w:spacing w:line="360" w:lineRule="auto"/>
        <w:ind w:firstLine="550" w:firstLineChars="250"/>
        <w:rPr>
          <w:rFonts w:ascii="宋体" w:hAnsi="宋体" w:cs="宋体"/>
          <w:sz w:val="22"/>
          <w:szCs w:val="22"/>
        </w:rPr>
      </w:pPr>
      <w:r>
        <w:rPr>
          <w:rFonts w:hint="eastAsia" w:ascii="宋体" w:hAnsi="宋体" w:cs="宋体"/>
          <w:sz w:val="22"/>
          <w:szCs w:val="22"/>
        </w:rPr>
        <w:t>③社区周边、饭店宾馆周边的下水道、化粪池、垃圾通道等处使用热烟雾喷杀大蠊。</w:t>
      </w:r>
    </w:p>
    <w:p w14:paraId="2E507E36">
      <w:pPr>
        <w:spacing w:line="360" w:lineRule="auto"/>
        <w:ind w:firstLine="550" w:firstLineChars="250"/>
        <w:rPr>
          <w:rFonts w:ascii="宋体" w:hAnsi="宋体" w:cs="宋体"/>
          <w:sz w:val="22"/>
          <w:szCs w:val="22"/>
        </w:rPr>
      </w:pPr>
      <w:r>
        <w:rPr>
          <w:rFonts w:hint="eastAsia" w:ascii="宋体" w:hAnsi="宋体" w:cs="宋体"/>
          <w:sz w:val="22"/>
          <w:szCs w:val="22"/>
        </w:rPr>
        <w:t>（2）物理防制</w:t>
      </w:r>
    </w:p>
    <w:p w14:paraId="02B1DC54">
      <w:pPr>
        <w:spacing w:line="360" w:lineRule="auto"/>
        <w:ind w:firstLine="550" w:firstLineChars="250"/>
        <w:rPr>
          <w:rFonts w:ascii="宋体" w:hAnsi="宋体" w:cs="宋体"/>
          <w:sz w:val="22"/>
          <w:szCs w:val="22"/>
        </w:rPr>
      </w:pPr>
      <w:r>
        <w:rPr>
          <w:rFonts w:hint="eastAsia" w:ascii="宋体" w:hAnsi="宋体" w:cs="宋体"/>
          <w:sz w:val="22"/>
          <w:szCs w:val="22"/>
        </w:rPr>
        <w:t>用捕蟑盒、烫杀等方法杀灭蟑螂。密度高的可用吸尘器吸杀后，再用其它方法。</w:t>
      </w:r>
    </w:p>
    <w:p w14:paraId="5D47B742">
      <w:pPr>
        <w:spacing w:line="360" w:lineRule="auto"/>
        <w:ind w:firstLine="420"/>
        <w:rPr>
          <w:rFonts w:ascii="宋体" w:hAnsi="宋体" w:cs="宋体"/>
          <w:sz w:val="22"/>
          <w:szCs w:val="22"/>
        </w:rPr>
      </w:pPr>
      <w:r>
        <w:rPr>
          <w:rFonts w:hint="eastAsia" w:ascii="宋体" w:hAnsi="宋体" w:cs="宋体"/>
          <w:sz w:val="22"/>
          <w:szCs w:val="22"/>
        </w:rPr>
        <w:t>（四）技术要求</w:t>
      </w:r>
    </w:p>
    <w:p w14:paraId="0C763F6D">
      <w:pPr>
        <w:spacing w:line="360" w:lineRule="auto"/>
        <w:ind w:firstLine="550" w:firstLineChars="250"/>
        <w:rPr>
          <w:rFonts w:ascii="宋体" w:hAnsi="宋体" w:cs="宋体"/>
          <w:sz w:val="22"/>
          <w:szCs w:val="22"/>
        </w:rPr>
      </w:pPr>
      <w:r>
        <w:rPr>
          <w:rFonts w:hint="eastAsia" w:ascii="宋体" w:hAnsi="宋体" w:cs="宋体"/>
          <w:sz w:val="22"/>
          <w:szCs w:val="22"/>
        </w:rPr>
        <w:t>1、坚持标本兼治、治本为主以及科学、有效、简便、安全、环保的原则，确保人和动物、植物的安全。</w:t>
      </w:r>
    </w:p>
    <w:p w14:paraId="2B940130">
      <w:pPr>
        <w:spacing w:line="360" w:lineRule="auto"/>
        <w:ind w:firstLine="550" w:firstLineChars="250"/>
        <w:rPr>
          <w:rFonts w:ascii="宋体" w:hAnsi="宋体" w:cs="宋体"/>
          <w:sz w:val="22"/>
          <w:szCs w:val="22"/>
        </w:rPr>
      </w:pPr>
      <w:r>
        <w:rPr>
          <w:rFonts w:hint="eastAsia" w:ascii="宋体" w:hAnsi="宋体" w:cs="宋体"/>
          <w:sz w:val="22"/>
          <w:szCs w:val="22"/>
        </w:rPr>
        <w:t>2、积极配合街道开展环境综合治理，坚持化学药物和环境治理、生物防制、物理防制相结合的综合防制措施。</w:t>
      </w:r>
    </w:p>
    <w:p w14:paraId="7524FBB5">
      <w:pPr>
        <w:spacing w:line="360" w:lineRule="auto"/>
        <w:ind w:firstLine="550" w:firstLineChars="250"/>
        <w:rPr>
          <w:rFonts w:ascii="宋体" w:hAnsi="宋体" w:cs="宋体"/>
          <w:sz w:val="22"/>
          <w:szCs w:val="22"/>
        </w:rPr>
      </w:pPr>
      <w:r>
        <w:rPr>
          <w:rFonts w:hint="eastAsia" w:ascii="宋体" w:hAnsi="宋体" w:cs="宋体"/>
          <w:sz w:val="22"/>
          <w:szCs w:val="22"/>
        </w:rPr>
        <w:t>3、防制工作制度化、操作规范化，坚持常年除害，重点突出。根据四害的季节消长和现场环境特点，因时、因地制宜，在高峰季节、重点场所强化防制的措施，把防制对象常年控制在标准要求之内。</w:t>
      </w:r>
    </w:p>
    <w:p w14:paraId="2F0252CC">
      <w:pPr>
        <w:pStyle w:val="186"/>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sz w:val="22"/>
          <w:szCs w:val="22"/>
        </w:rPr>
      </w:pPr>
      <w:r>
        <w:rPr>
          <w:rFonts w:hint="eastAsia" w:ascii="宋体" w:hAnsi="宋体" w:cs="宋体"/>
          <w:sz w:val="22"/>
          <w:szCs w:val="22"/>
        </w:rPr>
        <w:t>4、在杀灭药物的选择上，坚持安全、环保、有效的原则，杜绝使用“三无”和违禁药物。</w:t>
      </w:r>
    </w:p>
    <w:p w14:paraId="599E985F">
      <w:pPr>
        <w:snapToGrid w:val="0"/>
        <w:spacing w:line="360" w:lineRule="auto"/>
        <w:outlineLvl w:val="1"/>
        <w:rPr>
          <w:rFonts w:ascii="宋体" w:hAnsi="宋体" w:cs="宋体"/>
          <w:b/>
          <w:bCs/>
          <w:sz w:val="22"/>
          <w:szCs w:val="22"/>
        </w:rPr>
      </w:pPr>
      <w:r>
        <w:rPr>
          <w:rFonts w:hint="eastAsia" w:ascii="宋体" w:hAnsi="宋体" w:cs="宋体"/>
          <w:b/>
          <w:bCs/>
          <w:sz w:val="22"/>
          <w:szCs w:val="22"/>
        </w:rPr>
        <w:t>三、商务条款</w:t>
      </w:r>
    </w:p>
    <w:p w14:paraId="396BB4D2">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▲3.1服务期从</w:t>
      </w:r>
      <w:r>
        <w:rPr>
          <w:rFonts w:hint="eastAsia" w:ascii="宋体" w:hAnsi="宋体" w:cs="宋体"/>
          <w:sz w:val="22"/>
          <w:szCs w:val="22"/>
          <w:lang w:eastAsia="zh-CN"/>
        </w:rPr>
        <w:t>合同</w:t>
      </w:r>
      <w:r>
        <w:rPr>
          <w:rFonts w:hint="eastAsia" w:ascii="宋体" w:hAnsi="宋体" w:cs="宋体"/>
          <w:sz w:val="22"/>
          <w:szCs w:val="22"/>
        </w:rPr>
        <w:t>签订之日起计算一年，之后定期开展维保至合同期满。</w:t>
      </w:r>
    </w:p>
    <w:p w14:paraId="47000658">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3.2投标价格采用方式：固定总价承包。投标供应商的固定总价在合同执行期间固定不变，成交单位不得以任何理由予以变更，除非采购人提出的服务变更。</w:t>
      </w:r>
    </w:p>
    <w:p w14:paraId="5CC3D9A7">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3.3投标供应商根据采购人提供的采购货物数量、服务内容作出报价。</w:t>
      </w:r>
    </w:p>
    <w:p w14:paraId="3004CEAB">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3.4投标供应商的报价应为承包完成本次投标需完成全部工作所发生的所有费用，并承担一切风险责任。投标报价指到工地价，应包含：①货物费（含税）；②包装费、运输的损耗、运杂费、装卸费、保险费；③病媒防制设施的安装及维护费；④消杀服务和售后服务费用；⑤税金等。</w:t>
      </w:r>
    </w:p>
    <w:p w14:paraId="6BCD1AD7">
      <w:pPr>
        <w:tabs>
          <w:tab w:val="left" w:pos="284"/>
        </w:tabs>
        <w:spacing w:line="360" w:lineRule="auto"/>
        <w:ind w:firstLine="440" w:firstLineChars="200"/>
        <w:rPr>
          <w:rFonts w:ascii="宋体" w:hAnsi="宋体" w:cs="宋体"/>
          <w:color w:val="0000FF"/>
          <w:sz w:val="22"/>
          <w:szCs w:val="22"/>
        </w:rPr>
      </w:pPr>
      <w:r>
        <w:rPr>
          <w:rFonts w:hint="eastAsia" w:ascii="宋体" w:hAnsi="宋体" w:cs="宋体"/>
          <w:sz w:val="22"/>
          <w:szCs w:val="22"/>
        </w:rPr>
        <w:t>3.5</w:t>
      </w:r>
      <w:r>
        <w:rPr>
          <w:rFonts w:hint="eastAsia" w:ascii="宋体" w:hAnsi="宋体" w:cs="宋体"/>
          <w:color w:val="0000FF"/>
          <w:sz w:val="22"/>
          <w:szCs w:val="22"/>
        </w:rPr>
        <w:t>在满足性能技术要求的前提下，采购人可以根据实际情况和要求，对采购货物数量作适当的调整。引起承包总价变化，最终以中标</w:t>
      </w:r>
      <w:r>
        <w:rPr>
          <w:rFonts w:hint="eastAsia" w:ascii="宋体" w:hAnsi="宋体" w:cs="宋体"/>
          <w:color w:val="0000FF"/>
          <w:sz w:val="22"/>
          <w:szCs w:val="22"/>
          <w:lang w:val="en-US" w:eastAsia="zh-CN"/>
        </w:rPr>
        <w:t>供应商</w:t>
      </w:r>
      <w:r>
        <w:rPr>
          <w:rFonts w:hint="eastAsia" w:ascii="宋体" w:hAnsi="宋体" w:cs="宋体"/>
          <w:color w:val="0000FF"/>
          <w:sz w:val="22"/>
          <w:szCs w:val="22"/>
        </w:rPr>
        <w:t>实际供货数量并依据成交单价按实结算。</w:t>
      </w:r>
    </w:p>
    <w:p w14:paraId="0891DD0D">
      <w:pPr>
        <w:tabs>
          <w:tab w:val="left" w:pos="284"/>
        </w:tabs>
        <w:spacing w:line="360" w:lineRule="auto"/>
        <w:ind w:firstLine="440" w:firstLineChars="200"/>
        <w:rPr>
          <w:rFonts w:ascii="宋体" w:hAnsi="宋体" w:cs="宋体"/>
          <w:sz w:val="22"/>
          <w:szCs w:val="22"/>
        </w:rPr>
      </w:pPr>
      <w:r>
        <w:rPr>
          <w:rFonts w:hint="eastAsia" w:ascii="宋体" w:hAnsi="宋体" w:cs="宋体"/>
          <w:sz w:val="22"/>
          <w:szCs w:val="22"/>
        </w:rPr>
        <w:t>3.6第三方验收费用不计入报价中，费用由采购人支付给第三方验收单位。</w:t>
      </w:r>
    </w:p>
    <w:p w14:paraId="138B6BEE">
      <w:pPr>
        <w:tabs>
          <w:tab w:val="left" w:pos="9135"/>
        </w:tabs>
        <w:spacing w:line="360" w:lineRule="auto"/>
        <w:ind w:firstLine="440" w:firstLineChars="200"/>
        <w:rPr>
          <w:rFonts w:hint="eastAsia" w:ascii="宋体" w:hAnsi="宋体" w:cs="宋体"/>
          <w:b/>
          <w:bCs w:val="0"/>
          <w:sz w:val="22"/>
          <w:szCs w:val="22"/>
        </w:rPr>
      </w:pPr>
      <w:r>
        <w:rPr>
          <w:rFonts w:hint="eastAsia" w:ascii="宋体" w:hAnsi="宋体" w:cs="宋体"/>
          <w:sz w:val="22"/>
          <w:szCs w:val="22"/>
        </w:rPr>
        <w:t>▲</w:t>
      </w:r>
      <w:r>
        <w:rPr>
          <w:rFonts w:hint="eastAsia" w:ascii="宋体" w:hAnsi="宋体" w:cs="宋体"/>
          <w:b/>
          <w:bCs w:val="0"/>
          <w:sz w:val="22"/>
          <w:szCs w:val="22"/>
        </w:rPr>
        <w:t>3.7付款结算方式</w:t>
      </w:r>
    </w:p>
    <w:p w14:paraId="5B7707E1">
      <w:pPr>
        <w:spacing w:line="360" w:lineRule="auto"/>
        <w:ind w:firstLine="442" w:firstLineChars="200"/>
        <w:rPr>
          <w:rFonts w:ascii="宋体" w:hAnsi="宋体" w:cs="宋体"/>
          <w:b/>
          <w:sz w:val="22"/>
          <w:szCs w:val="22"/>
        </w:rPr>
      </w:pPr>
      <w:r>
        <w:rPr>
          <w:rFonts w:hint="eastAsia" w:ascii="宋体" w:hAnsi="宋体" w:cs="宋体"/>
          <w:b/>
          <w:sz w:val="22"/>
          <w:szCs w:val="22"/>
        </w:rPr>
        <w:t>1</w:t>
      </w:r>
      <w:r>
        <w:rPr>
          <w:rFonts w:hint="eastAsia" w:ascii="宋体" w:hAnsi="宋体" w:cs="宋体"/>
          <w:b/>
          <w:sz w:val="22"/>
          <w:szCs w:val="22"/>
          <w:lang w:val="en-US" w:eastAsia="zh-CN"/>
        </w:rPr>
        <w:t>.</w:t>
      </w:r>
      <w:r>
        <w:rPr>
          <w:rFonts w:hint="eastAsia" w:ascii="宋体" w:hAnsi="宋体" w:cs="宋体"/>
          <w:b/>
          <w:sz w:val="22"/>
          <w:szCs w:val="22"/>
          <w:lang w:eastAsia="zh-CN"/>
        </w:rPr>
        <w:t>合同签订以及具备实施条件后7个工作日内</w:t>
      </w:r>
      <w:r>
        <w:rPr>
          <w:rFonts w:hint="eastAsia" w:ascii="宋体" w:hAnsi="宋体" w:cs="宋体"/>
          <w:b/>
          <w:sz w:val="22"/>
          <w:szCs w:val="22"/>
        </w:rPr>
        <w:t>，</w:t>
      </w:r>
      <w:r>
        <w:rPr>
          <w:rFonts w:hint="eastAsia" w:ascii="宋体" w:hAnsi="宋体" w:cs="宋体"/>
          <w:b/>
          <w:sz w:val="22"/>
          <w:szCs w:val="22"/>
          <w:lang w:eastAsia="zh-CN"/>
        </w:rPr>
        <w:t>采购</w:t>
      </w:r>
      <w:r>
        <w:rPr>
          <w:rFonts w:hint="eastAsia" w:ascii="宋体" w:hAnsi="宋体" w:cs="宋体"/>
          <w:b/>
          <w:sz w:val="22"/>
          <w:szCs w:val="22"/>
          <w:lang w:val="en-US" w:eastAsia="zh-CN"/>
        </w:rPr>
        <w:t>人</w:t>
      </w:r>
      <w:r>
        <w:rPr>
          <w:rFonts w:hint="eastAsia" w:ascii="宋体" w:hAnsi="宋体" w:cs="宋体"/>
          <w:b/>
          <w:sz w:val="22"/>
          <w:szCs w:val="22"/>
          <w:lang w:eastAsia="zh-CN"/>
        </w:rPr>
        <w:t>支付合同价45%的预付款</w:t>
      </w:r>
      <w:r>
        <w:rPr>
          <w:rFonts w:hint="eastAsia" w:ascii="宋体" w:hAnsi="宋体" w:cs="宋体"/>
          <w:b/>
          <w:sz w:val="22"/>
          <w:szCs w:val="22"/>
        </w:rPr>
        <w:t>；</w:t>
      </w:r>
    </w:p>
    <w:p w14:paraId="4B8415FC">
      <w:pPr>
        <w:spacing w:line="360" w:lineRule="auto"/>
        <w:ind w:firstLine="442" w:firstLineChars="200"/>
        <w:rPr>
          <w:rFonts w:ascii="宋体" w:hAnsi="宋体" w:cs="宋体"/>
          <w:b/>
          <w:sz w:val="22"/>
          <w:szCs w:val="22"/>
        </w:rPr>
      </w:pPr>
      <w:r>
        <w:rPr>
          <w:rFonts w:hint="eastAsia" w:ascii="宋体" w:hAnsi="宋体" w:cs="宋体"/>
          <w:b/>
          <w:sz w:val="22"/>
          <w:szCs w:val="22"/>
        </w:rPr>
        <w:t>2</w:t>
      </w:r>
      <w:r>
        <w:rPr>
          <w:rFonts w:hint="eastAsia" w:ascii="宋体" w:hAnsi="宋体" w:cs="宋体"/>
          <w:b/>
          <w:sz w:val="22"/>
          <w:szCs w:val="22"/>
          <w:lang w:val="en-US" w:eastAsia="zh-CN"/>
        </w:rPr>
        <w:t>.</w:t>
      </w:r>
      <w:r>
        <w:rPr>
          <w:rFonts w:hint="eastAsia" w:ascii="宋体" w:hAnsi="宋体" w:cs="宋体"/>
          <w:b/>
          <w:sz w:val="22"/>
          <w:szCs w:val="22"/>
          <w:lang w:eastAsia="zh-CN"/>
        </w:rPr>
        <w:t>在合同签订并服务满</w:t>
      </w:r>
      <w:r>
        <w:rPr>
          <w:rFonts w:hint="eastAsia" w:ascii="宋体" w:hAnsi="宋体" w:cs="宋体"/>
          <w:b/>
          <w:sz w:val="22"/>
          <w:szCs w:val="22"/>
          <w:lang w:val="en-US" w:eastAsia="zh-CN"/>
        </w:rPr>
        <w:t>3个月后，其服务质量</w:t>
      </w:r>
      <w:r>
        <w:rPr>
          <w:rFonts w:hint="eastAsia" w:ascii="宋体" w:hAnsi="宋体" w:cs="宋体"/>
          <w:b/>
          <w:sz w:val="22"/>
          <w:szCs w:val="22"/>
        </w:rPr>
        <w:t>通过了第三方评估机构出具的合格报告</w:t>
      </w:r>
      <w:r>
        <w:rPr>
          <w:rFonts w:hint="eastAsia" w:ascii="宋体" w:hAnsi="宋体" w:cs="宋体"/>
          <w:b/>
          <w:sz w:val="22"/>
          <w:szCs w:val="22"/>
          <w:lang w:eastAsia="zh-CN"/>
        </w:rPr>
        <w:t>且获得</w:t>
      </w:r>
      <w:r>
        <w:rPr>
          <w:rFonts w:hint="eastAsia" w:ascii="宋体" w:hAnsi="宋体" w:cs="宋体"/>
          <w:b/>
          <w:sz w:val="22"/>
          <w:szCs w:val="22"/>
          <w:lang w:val="en-US" w:eastAsia="zh-CN"/>
        </w:rPr>
        <w:t>采购人</w:t>
      </w:r>
      <w:r>
        <w:rPr>
          <w:rFonts w:hint="eastAsia" w:ascii="宋体" w:hAnsi="宋体" w:cs="宋体"/>
          <w:b/>
          <w:sz w:val="22"/>
          <w:szCs w:val="22"/>
          <w:lang w:eastAsia="zh-CN"/>
        </w:rPr>
        <w:t>同意</w:t>
      </w:r>
      <w:r>
        <w:rPr>
          <w:rFonts w:hint="eastAsia" w:ascii="宋体" w:hAnsi="宋体" w:cs="宋体"/>
          <w:b/>
          <w:sz w:val="22"/>
          <w:szCs w:val="22"/>
        </w:rPr>
        <w:t>后，</w:t>
      </w:r>
      <w:r>
        <w:rPr>
          <w:rFonts w:hint="eastAsia" w:ascii="宋体" w:hAnsi="宋体" w:cs="宋体"/>
          <w:b/>
          <w:sz w:val="22"/>
          <w:szCs w:val="22"/>
          <w:lang w:val="en-US" w:eastAsia="zh-CN"/>
        </w:rPr>
        <w:t>采购人</w:t>
      </w:r>
      <w:r>
        <w:rPr>
          <w:rFonts w:hint="eastAsia" w:ascii="宋体" w:hAnsi="宋体" w:cs="宋体"/>
          <w:b/>
          <w:sz w:val="22"/>
          <w:szCs w:val="22"/>
        </w:rPr>
        <w:t>支付合同</w:t>
      </w:r>
      <w:r>
        <w:rPr>
          <w:rFonts w:hint="eastAsia" w:ascii="宋体" w:hAnsi="宋体" w:cs="宋体"/>
          <w:b/>
          <w:sz w:val="22"/>
          <w:szCs w:val="22"/>
          <w:lang w:eastAsia="zh-CN"/>
        </w:rPr>
        <w:t>总</w:t>
      </w:r>
      <w:r>
        <w:rPr>
          <w:rFonts w:hint="eastAsia" w:ascii="宋体" w:hAnsi="宋体" w:cs="宋体"/>
          <w:b/>
          <w:sz w:val="22"/>
          <w:szCs w:val="22"/>
        </w:rPr>
        <w:t>价</w:t>
      </w:r>
      <w:r>
        <w:rPr>
          <w:rFonts w:hint="eastAsia" w:ascii="宋体" w:hAnsi="宋体" w:cs="宋体"/>
          <w:b/>
          <w:sz w:val="22"/>
          <w:szCs w:val="22"/>
          <w:lang w:eastAsia="zh-CN"/>
        </w:rPr>
        <w:t>的</w:t>
      </w:r>
      <w:r>
        <w:rPr>
          <w:rFonts w:hint="eastAsia" w:ascii="宋体" w:hAnsi="宋体" w:cs="宋体"/>
          <w:b/>
          <w:sz w:val="22"/>
          <w:szCs w:val="22"/>
        </w:rPr>
        <w:t>15%款项；</w:t>
      </w:r>
    </w:p>
    <w:p w14:paraId="370A3E21">
      <w:pPr>
        <w:spacing w:line="360" w:lineRule="auto"/>
        <w:ind w:firstLine="442" w:firstLineChars="200"/>
        <w:rPr>
          <w:rFonts w:ascii="宋体" w:hAnsi="宋体" w:cs="宋体"/>
          <w:b/>
          <w:sz w:val="22"/>
          <w:szCs w:val="22"/>
        </w:rPr>
      </w:pPr>
      <w:r>
        <w:rPr>
          <w:rFonts w:hint="eastAsia" w:ascii="宋体" w:hAnsi="宋体" w:cs="宋体"/>
          <w:b/>
          <w:sz w:val="22"/>
          <w:szCs w:val="22"/>
        </w:rPr>
        <w:t>3</w:t>
      </w:r>
      <w:r>
        <w:rPr>
          <w:rFonts w:hint="eastAsia" w:ascii="宋体" w:hAnsi="宋体" w:cs="宋体"/>
          <w:b/>
          <w:sz w:val="22"/>
          <w:szCs w:val="22"/>
          <w:lang w:val="en-US" w:eastAsia="zh-CN"/>
        </w:rPr>
        <w:t>.</w:t>
      </w:r>
      <w:r>
        <w:rPr>
          <w:rFonts w:hint="eastAsia" w:ascii="宋体" w:hAnsi="宋体" w:cs="宋体"/>
          <w:b/>
          <w:sz w:val="22"/>
          <w:szCs w:val="22"/>
        </w:rPr>
        <w:t>在服务</w:t>
      </w:r>
      <w:r>
        <w:rPr>
          <w:rFonts w:hint="eastAsia" w:ascii="宋体" w:hAnsi="宋体" w:cs="宋体"/>
          <w:b/>
          <w:sz w:val="22"/>
          <w:szCs w:val="22"/>
          <w:lang w:eastAsia="zh-CN"/>
        </w:rPr>
        <w:t>第</w:t>
      </w:r>
      <w:r>
        <w:rPr>
          <w:rFonts w:hint="eastAsia" w:ascii="宋体" w:hAnsi="宋体" w:cs="宋体"/>
          <w:b/>
          <w:sz w:val="22"/>
          <w:szCs w:val="22"/>
          <w:lang w:val="en-US" w:eastAsia="zh-CN"/>
        </w:rPr>
        <w:t>4个月开始至服务期满后</w:t>
      </w:r>
      <w:r>
        <w:rPr>
          <w:rFonts w:hint="eastAsia" w:ascii="宋体" w:hAnsi="宋体" w:cs="宋体"/>
          <w:b/>
          <w:sz w:val="22"/>
          <w:szCs w:val="22"/>
          <w:lang w:eastAsia="zh-CN"/>
        </w:rPr>
        <w:t>，</w:t>
      </w:r>
      <w:r>
        <w:rPr>
          <w:rFonts w:hint="eastAsia" w:ascii="宋体" w:hAnsi="宋体" w:cs="宋体"/>
          <w:b/>
          <w:sz w:val="22"/>
          <w:szCs w:val="22"/>
          <w:lang w:val="en-US" w:eastAsia="zh-CN"/>
        </w:rPr>
        <w:t>其服务质量</w:t>
      </w:r>
      <w:r>
        <w:rPr>
          <w:rFonts w:hint="eastAsia" w:ascii="宋体" w:hAnsi="宋体" w:cs="宋体"/>
          <w:b/>
          <w:sz w:val="22"/>
          <w:szCs w:val="22"/>
        </w:rPr>
        <w:t>通过了第三方评估机构出具的合格报告</w:t>
      </w:r>
      <w:r>
        <w:rPr>
          <w:rFonts w:hint="eastAsia" w:ascii="宋体" w:hAnsi="宋体" w:cs="宋体"/>
          <w:b/>
          <w:sz w:val="22"/>
          <w:szCs w:val="22"/>
          <w:lang w:eastAsia="zh-CN"/>
        </w:rPr>
        <w:t>且获得</w:t>
      </w:r>
      <w:r>
        <w:rPr>
          <w:rFonts w:hint="eastAsia" w:ascii="宋体" w:hAnsi="宋体" w:cs="宋体"/>
          <w:b/>
          <w:sz w:val="22"/>
          <w:szCs w:val="22"/>
          <w:lang w:val="en-US" w:eastAsia="zh-CN"/>
        </w:rPr>
        <w:t>采购人</w:t>
      </w:r>
      <w:r>
        <w:rPr>
          <w:rFonts w:hint="eastAsia" w:ascii="宋体" w:hAnsi="宋体" w:cs="宋体"/>
          <w:b/>
          <w:sz w:val="22"/>
          <w:szCs w:val="22"/>
          <w:lang w:eastAsia="zh-CN"/>
        </w:rPr>
        <w:t>同意</w:t>
      </w:r>
      <w:r>
        <w:rPr>
          <w:rFonts w:hint="eastAsia" w:ascii="宋体" w:hAnsi="宋体" w:cs="宋体"/>
          <w:b/>
          <w:sz w:val="22"/>
          <w:szCs w:val="22"/>
        </w:rPr>
        <w:t>后，</w:t>
      </w:r>
      <w:r>
        <w:rPr>
          <w:rFonts w:hint="eastAsia" w:ascii="宋体" w:hAnsi="宋体" w:cs="宋体"/>
          <w:b/>
          <w:sz w:val="22"/>
          <w:szCs w:val="22"/>
          <w:lang w:val="en-US" w:eastAsia="zh-CN"/>
        </w:rPr>
        <w:t>采购人</w:t>
      </w:r>
      <w:r>
        <w:rPr>
          <w:rFonts w:hint="eastAsia" w:ascii="宋体" w:hAnsi="宋体" w:cs="宋体"/>
          <w:b/>
          <w:sz w:val="22"/>
          <w:szCs w:val="22"/>
        </w:rPr>
        <w:t>支付合同</w:t>
      </w:r>
      <w:r>
        <w:rPr>
          <w:rFonts w:hint="eastAsia" w:ascii="宋体" w:hAnsi="宋体" w:cs="宋体"/>
          <w:b/>
          <w:sz w:val="22"/>
          <w:szCs w:val="22"/>
          <w:lang w:eastAsia="zh-CN"/>
        </w:rPr>
        <w:t>总</w:t>
      </w:r>
      <w:r>
        <w:rPr>
          <w:rFonts w:hint="eastAsia" w:ascii="宋体" w:hAnsi="宋体" w:cs="宋体"/>
          <w:b/>
          <w:sz w:val="22"/>
          <w:szCs w:val="22"/>
        </w:rPr>
        <w:t>价40%款项。</w:t>
      </w:r>
    </w:p>
    <w:p w14:paraId="6585304A">
      <w:pPr>
        <w:spacing w:before="120" w:beforeLines="50" w:after="50" w:line="360" w:lineRule="auto"/>
        <w:outlineLvl w:val="1"/>
        <w:rPr>
          <w:rFonts w:ascii="宋体" w:hAnsi="宋体" w:cs="宋体"/>
          <w:b/>
          <w:bCs/>
          <w:sz w:val="22"/>
          <w:szCs w:val="22"/>
        </w:rPr>
      </w:pPr>
      <w:r>
        <w:rPr>
          <w:rFonts w:hint="eastAsia" w:ascii="宋体" w:hAnsi="宋体" w:cs="宋体"/>
          <w:b/>
          <w:bCs/>
          <w:sz w:val="22"/>
          <w:szCs w:val="22"/>
        </w:rPr>
        <w:t>四、服务质量的验收与效果评估</w:t>
      </w:r>
    </w:p>
    <w:p w14:paraId="287721E0">
      <w:pPr>
        <w:pStyle w:val="186"/>
        <w:spacing w:line="360" w:lineRule="auto"/>
        <w:ind w:firstLine="420"/>
        <w:rPr>
          <w:rFonts w:ascii="宋体" w:hAnsi="宋体" w:cs="宋体"/>
          <w:sz w:val="22"/>
          <w:szCs w:val="22"/>
        </w:rPr>
      </w:pPr>
      <w:r>
        <w:rPr>
          <w:rFonts w:hint="eastAsia" w:ascii="宋体" w:hAnsi="宋体" w:cs="宋体"/>
          <w:sz w:val="22"/>
          <w:szCs w:val="22"/>
        </w:rPr>
        <w:t>1、根据本合同约定区域的病媒生物防制效果评估将由甲方委托合格的评估机构，按照对应范围与标准，进行服务效果评估，评估费用由甲方负责支付。</w:t>
      </w:r>
    </w:p>
    <w:p w14:paraId="15831244">
      <w:pPr>
        <w:pStyle w:val="186"/>
        <w:spacing w:line="360" w:lineRule="auto"/>
        <w:ind w:firstLine="420"/>
        <w:rPr>
          <w:rFonts w:ascii="宋体" w:hAnsi="宋体" w:cs="宋体"/>
          <w:sz w:val="22"/>
          <w:szCs w:val="22"/>
        </w:rPr>
      </w:pPr>
      <w:r>
        <w:rPr>
          <w:rFonts w:hint="eastAsia" w:ascii="宋体" w:hAnsi="宋体" w:cs="宋体"/>
          <w:sz w:val="22"/>
          <w:szCs w:val="22"/>
        </w:rPr>
        <w:t>2、评估内容</w:t>
      </w:r>
    </w:p>
    <w:p w14:paraId="6B7D78D8">
      <w:pPr>
        <w:pStyle w:val="186"/>
        <w:spacing w:line="360" w:lineRule="auto"/>
        <w:ind w:firstLine="420"/>
        <w:rPr>
          <w:rFonts w:ascii="宋体" w:hAnsi="宋体" w:cs="宋体"/>
          <w:sz w:val="22"/>
          <w:szCs w:val="22"/>
        </w:rPr>
      </w:pPr>
      <w:r>
        <w:rPr>
          <w:rFonts w:hint="eastAsia" w:ascii="宋体" w:hAnsi="宋体" w:cs="宋体"/>
          <w:sz w:val="22"/>
          <w:szCs w:val="22"/>
        </w:rPr>
        <w:t>包括硬件设施、人员配备以及防制工作等情况进行综合评价。</w:t>
      </w:r>
    </w:p>
    <w:p w14:paraId="5BE6432E">
      <w:pPr>
        <w:pStyle w:val="186"/>
        <w:spacing w:line="360" w:lineRule="auto"/>
        <w:ind w:firstLine="420"/>
        <w:rPr>
          <w:rFonts w:ascii="宋体" w:hAnsi="宋体" w:cs="宋体"/>
          <w:sz w:val="22"/>
          <w:szCs w:val="22"/>
        </w:rPr>
      </w:pPr>
      <w:r>
        <w:rPr>
          <w:rFonts w:hint="eastAsia" w:ascii="宋体" w:hAnsi="宋体" w:cs="宋体"/>
          <w:sz w:val="22"/>
          <w:szCs w:val="22"/>
        </w:rPr>
        <w:t>3、评估方法</w:t>
      </w:r>
    </w:p>
    <w:p w14:paraId="1E84BC40">
      <w:pPr>
        <w:pStyle w:val="186"/>
        <w:spacing w:line="360" w:lineRule="auto"/>
        <w:ind w:firstLine="420"/>
        <w:rPr>
          <w:rFonts w:ascii="宋体" w:hAnsi="宋体" w:cs="宋体"/>
          <w:sz w:val="22"/>
          <w:szCs w:val="22"/>
        </w:rPr>
      </w:pPr>
      <w:r>
        <w:rPr>
          <w:rFonts w:hint="eastAsia" w:ascii="宋体" w:hAnsi="宋体" w:cs="宋体"/>
          <w:sz w:val="22"/>
          <w:szCs w:val="22"/>
        </w:rPr>
        <w:t>评估由第三方评估公司负责，以第三方评估公司为主，甲方可以派员参加，按甲方与第三方评估公司双方约定开展（具体再商定）。</w:t>
      </w:r>
    </w:p>
    <w:p w14:paraId="5837A108">
      <w:pPr>
        <w:pStyle w:val="186"/>
        <w:tabs>
          <w:tab w:val="left" w:pos="720"/>
        </w:tabs>
        <w:spacing w:line="360" w:lineRule="auto"/>
        <w:ind w:firstLine="420"/>
        <w:rPr>
          <w:rFonts w:ascii="宋体" w:hAnsi="宋体" w:cs="宋体"/>
          <w:sz w:val="22"/>
          <w:szCs w:val="22"/>
        </w:rPr>
      </w:pPr>
      <w:r>
        <w:rPr>
          <w:rFonts w:hint="eastAsia" w:ascii="宋体" w:hAnsi="宋体" w:cs="宋体"/>
          <w:sz w:val="22"/>
          <w:szCs w:val="22"/>
        </w:rPr>
        <w:t>4、考核要求：</w:t>
      </w:r>
    </w:p>
    <w:p w14:paraId="136F48AD">
      <w:pPr>
        <w:pStyle w:val="186"/>
        <w:numPr>
          <w:ilvl w:val="0"/>
          <w:numId w:val="0"/>
        </w:numPr>
        <w:spacing w:line="360" w:lineRule="auto"/>
        <w:ind w:leftChars="0" w:firstLine="480" w:firstLineChars="200"/>
        <w:rPr>
          <w:rFonts w:hint="eastAsia" w:ascii="仿宋" w:hAnsi="仿宋" w:eastAsia="仿宋" w:cs="仿宋"/>
          <w:color w:val="0000FF"/>
          <w:sz w:val="24"/>
          <w:szCs w:val="24"/>
          <w:lang w:val="en-US" w:eastAsia="zh-CN"/>
        </w:rPr>
      </w:pPr>
      <w:r>
        <w:rPr>
          <w:rFonts w:hint="eastAsia" w:ascii="仿宋" w:hAnsi="仿宋" w:eastAsia="仿宋" w:cs="仿宋"/>
          <w:sz w:val="24"/>
          <w:szCs w:val="24"/>
        </w:rPr>
        <w:t>①</w:t>
      </w:r>
      <w:r>
        <w:rPr>
          <w:rFonts w:hint="eastAsia" w:ascii="仿宋" w:hAnsi="仿宋" w:eastAsia="仿宋" w:cs="仿宋"/>
          <w:color w:val="0000FF"/>
          <w:sz w:val="24"/>
          <w:szCs w:val="24"/>
        </w:rPr>
        <w:t>每年</w:t>
      </w:r>
      <w:r>
        <w:rPr>
          <w:rFonts w:hint="eastAsia" w:ascii="仿宋" w:hAnsi="仿宋" w:eastAsia="仿宋" w:cs="仿宋"/>
          <w:color w:val="0000FF"/>
          <w:sz w:val="24"/>
          <w:szCs w:val="24"/>
          <w:lang w:eastAsia="zh-CN"/>
        </w:rPr>
        <w:t>综合评估不少于</w:t>
      </w:r>
      <w:r>
        <w:rPr>
          <w:rFonts w:hint="eastAsia" w:ascii="仿宋" w:hAnsi="仿宋" w:eastAsia="仿宋" w:cs="仿宋"/>
          <w:color w:val="0000FF"/>
          <w:sz w:val="24"/>
          <w:szCs w:val="24"/>
        </w:rPr>
        <w:t>2次，经评估考核，达到85分及以上（含85分）全额支付当期合同服务经费；</w:t>
      </w:r>
      <w:r>
        <w:rPr>
          <w:rFonts w:hint="eastAsia" w:ascii="仿宋" w:hAnsi="仿宋" w:eastAsia="仿宋" w:cs="仿宋"/>
          <w:color w:val="0000FF"/>
          <w:sz w:val="24"/>
          <w:szCs w:val="24"/>
          <w:lang w:val="en-US" w:eastAsia="zh-CN"/>
        </w:rPr>
        <w:t>75</w:t>
      </w:r>
      <w:r>
        <w:rPr>
          <w:rFonts w:hint="eastAsia" w:ascii="仿宋" w:hAnsi="仿宋" w:eastAsia="仿宋" w:cs="仿宋"/>
          <w:color w:val="0000FF"/>
          <w:sz w:val="24"/>
          <w:szCs w:val="24"/>
        </w:rPr>
        <w:t>分（含</w:t>
      </w:r>
      <w:r>
        <w:rPr>
          <w:rFonts w:hint="eastAsia" w:ascii="仿宋" w:hAnsi="仿宋" w:eastAsia="仿宋" w:cs="仿宋"/>
          <w:color w:val="0000FF"/>
          <w:sz w:val="24"/>
          <w:szCs w:val="24"/>
          <w:lang w:val="en-US" w:eastAsia="zh-CN"/>
        </w:rPr>
        <w:t>75</w:t>
      </w:r>
      <w:r>
        <w:rPr>
          <w:rFonts w:hint="eastAsia" w:ascii="仿宋" w:hAnsi="仿宋" w:eastAsia="仿宋" w:cs="仿宋"/>
          <w:color w:val="0000FF"/>
          <w:sz w:val="24"/>
          <w:szCs w:val="24"/>
        </w:rPr>
        <w:t>分）—85分（不含85分），每下降1分</w:t>
      </w:r>
      <w:r>
        <w:rPr>
          <w:rFonts w:hint="eastAsia" w:ascii="仿宋" w:hAnsi="仿宋" w:eastAsia="仿宋" w:cs="仿宋"/>
          <w:color w:val="0000FF"/>
          <w:sz w:val="24"/>
          <w:szCs w:val="24"/>
          <w:lang w:val="en-US" w:eastAsia="zh-CN"/>
        </w:rPr>
        <w:t>采购人</w:t>
      </w:r>
      <w:r>
        <w:rPr>
          <w:rFonts w:hint="eastAsia" w:ascii="仿宋" w:hAnsi="仿宋" w:eastAsia="仿宋" w:cs="仿宋"/>
          <w:color w:val="0000FF"/>
          <w:sz w:val="24"/>
          <w:szCs w:val="24"/>
        </w:rPr>
        <w:t>按</w:t>
      </w:r>
      <w:r>
        <w:rPr>
          <w:rFonts w:hint="eastAsia" w:ascii="仿宋" w:hAnsi="仿宋" w:eastAsia="仿宋" w:cs="仿宋"/>
          <w:color w:val="0000FF"/>
          <w:sz w:val="24"/>
          <w:szCs w:val="24"/>
          <w:lang w:eastAsia="zh-CN"/>
        </w:rPr>
        <w:t>合同总价</w:t>
      </w:r>
      <w:r>
        <w:rPr>
          <w:rFonts w:hint="eastAsia" w:ascii="仿宋" w:hAnsi="仿宋" w:eastAsia="仿宋" w:cs="仿宋"/>
          <w:color w:val="0000FF"/>
          <w:sz w:val="24"/>
          <w:szCs w:val="24"/>
        </w:rPr>
        <w:t>1%比例扣除</w:t>
      </w:r>
      <w:r>
        <w:rPr>
          <w:rFonts w:hint="eastAsia" w:ascii="仿宋" w:hAnsi="仿宋" w:eastAsia="仿宋" w:cs="仿宋"/>
          <w:color w:val="0000FF"/>
          <w:sz w:val="24"/>
          <w:szCs w:val="24"/>
          <w:lang w:val="en-US" w:eastAsia="zh-CN"/>
        </w:rPr>
        <w:t>中标供应商</w:t>
      </w:r>
      <w:r>
        <w:rPr>
          <w:rFonts w:hint="eastAsia" w:ascii="仿宋" w:hAnsi="仿宋" w:eastAsia="仿宋" w:cs="仿宋"/>
          <w:color w:val="0000FF"/>
          <w:sz w:val="24"/>
          <w:szCs w:val="24"/>
        </w:rPr>
        <w:t>服务费；</w:t>
      </w:r>
      <w:r>
        <w:rPr>
          <w:rFonts w:hint="eastAsia" w:ascii="仿宋" w:hAnsi="仿宋" w:eastAsia="仿宋" w:cs="仿宋"/>
          <w:color w:val="0000FF"/>
          <w:sz w:val="24"/>
          <w:szCs w:val="24"/>
          <w:lang w:val="en-US" w:eastAsia="zh-CN"/>
        </w:rPr>
        <w:t>65分（含65分）—75分（不含75分），每下降1分采购人按合同总价2%比例扣除中标供应商服务费；65分以下（不含65分）采购人对中标供应商处予合同总价50%的罚款，采购人终止合同不予支付剩余中标额经费，并且</w:t>
      </w:r>
      <w:r>
        <w:rPr>
          <w:rFonts w:hint="eastAsia" w:ascii="仿宋" w:hAnsi="仿宋" w:eastAsia="仿宋" w:cs="仿宋"/>
          <w:color w:val="0000FF"/>
          <w:sz w:val="24"/>
          <w:szCs w:val="24"/>
          <w:lang w:eastAsia="zh-CN"/>
        </w:rPr>
        <w:t>要求</w:t>
      </w:r>
      <w:r>
        <w:rPr>
          <w:rFonts w:hint="eastAsia" w:ascii="仿宋" w:hAnsi="仿宋" w:eastAsia="仿宋" w:cs="仿宋"/>
          <w:color w:val="0000FF"/>
          <w:sz w:val="24"/>
          <w:szCs w:val="24"/>
          <w:lang w:val="en-US" w:eastAsia="zh-CN"/>
        </w:rPr>
        <w:t>中标供应商</w:t>
      </w:r>
      <w:r>
        <w:rPr>
          <w:rFonts w:hint="eastAsia" w:ascii="仿宋" w:hAnsi="仿宋" w:eastAsia="仿宋" w:cs="仿宋"/>
          <w:color w:val="0000FF"/>
          <w:sz w:val="24"/>
          <w:szCs w:val="24"/>
        </w:rPr>
        <w:t>赔偿50万元。</w:t>
      </w:r>
      <w:r>
        <w:rPr>
          <w:rFonts w:hint="eastAsia" w:ascii="仿宋" w:hAnsi="仿宋" w:eastAsia="仿宋" w:cs="仿宋"/>
          <w:color w:val="0000FF"/>
          <w:sz w:val="24"/>
          <w:szCs w:val="24"/>
          <w:lang w:eastAsia="zh-CN"/>
        </w:rPr>
        <w:t>（考核评</w:t>
      </w:r>
      <w:r>
        <w:rPr>
          <w:rFonts w:hint="eastAsia" w:ascii="仿宋" w:hAnsi="仿宋" w:eastAsia="仿宋" w:cs="仿宋"/>
          <w:color w:val="0000FF"/>
          <w:sz w:val="24"/>
          <w:szCs w:val="24"/>
          <w:lang w:val="en-US" w:eastAsia="zh-CN"/>
        </w:rPr>
        <w:t>分细则附后）</w:t>
      </w:r>
    </w:p>
    <w:p w14:paraId="5F79B834">
      <w:pPr>
        <w:pStyle w:val="186"/>
        <w:numPr>
          <w:ilvl w:val="0"/>
          <w:numId w:val="0"/>
        </w:numPr>
        <w:spacing w:line="360" w:lineRule="auto"/>
        <w:ind w:leftChars="0" w:firstLine="480" w:firstLineChars="200"/>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②在县级以上（含县级）重大的检查考核不合格的，经整改后仍不达标的，属于中标供应商丢失责任分的，采购人扣除中标供应商当期消杀服务费，采购人终止合同不予支付剩余中标额经费，并且要求中标供应商赔偿50万元。（85分及以上为合格）</w:t>
      </w:r>
    </w:p>
    <w:p w14:paraId="49169855">
      <w:pPr>
        <w:pStyle w:val="186"/>
        <w:numPr>
          <w:ilvl w:val="0"/>
          <w:numId w:val="0"/>
        </w:numPr>
        <w:spacing w:line="360" w:lineRule="auto"/>
        <w:ind w:leftChars="0" w:firstLine="480" w:firstLineChars="200"/>
        <w:rPr>
          <w:rFonts w:hint="default"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③在镇级日常检查考核不合格的，经整改后仍不达标的，属于中标供应商丢失责任分的，采购人扣除中标供应商当期消杀服务费的50%；累计两次镇级日常检查考核不合格，经整改后仍不达标的，属于中标供应商丢失责任分的，采购人扣除中标供应商当期消杀服务费，采购人终止合同不予支付剩余中标额经费，并且要求中标供应商赔偿50万元。（85分及以上为合格）</w:t>
      </w:r>
    </w:p>
    <w:p w14:paraId="6A5BB650">
      <w:pPr>
        <w:pStyle w:val="186"/>
        <w:spacing w:line="360" w:lineRule="auto"/>
        <w:ind w:firstLine="480"/>
        <w:outlineLvl w:val="1"/>
        <w:rPr>
          <w:rFonts w:ascii="宋体" w:hAnsi="宋体" w:cs="宋体"/>
          <w:b/>
          <w:sz w:val="22"/>
          <w:szCs w:val="22"/>
        </w:rPr>
      </w:pPr>
      <w:r>
        <w:rPr>
          <w:rFonts w:hint="eastAsia" w:ascii="宋体" w:hAnsi="宋体" w:cs="宋体"/>
          <w:b/>
          <w:sz w:val="22"/>
          <w:szCs w:val="22"/>
          <w:lang w:eastAsia="zh-CN"/>
        </w:rPr>
        <w:t>五</w:t>
      </w:r>
      <w:r>
        <w:rPr>
          <w:rFonts w:hint="eastAsia" w:ascii="宋体" w:hAnsi="宋体" w:cs="宋体"/>
          <w:b/>
          <w:sz w:val="22"/>
          <w:szCs w:val="22"/>
        </w:rPr>
        <w:t>、甲方的权利与义务：</w:t>
      </w:r>
    </w:p>
    <w:p w14:paraId="546B0F37">
      <w:pPr>
        <w:pStyle w:val="186"/>
        <w:spacing w:line="360" w:lineRule="auto"/>
        <w:ind w:firstLine="420"/>
        <w:rPr>
          <w:rFonts w:ascii="宋体" w:hAnsi="宋体" w:cs="宋体"/>
          <w:sz w:val="22"/>
          <w:szCs w:val="22"/>
        </w:rPr>
      </w:pPr>
      <w:r>
        <w:rPr>
          <w:rFonts w:hint="eastAsia" w:ascii="宋体" w:hAnsi="宋体" w:cs="宋体"/>
          <w:sz w:val="22"/>
          <w:szCs w:val="22"/>
        </w:rPr>
        <w:t>1、遇自然灾害或突发公共卫生事件，甲方优先调用乙方技术力量和设备控制疫源地。</w:t>
      </w:r>
    </w:p>
    <w:p w14:paraId="431BFB6E">
      <w:pPr>
        <w:pStyle w:val="186"/>
        <w:spacing w:line="360" w:lineRule="auto"/>
        <w:ind w:firstLine="420"/>
        <w:rPr>
          <w:rFonts w:ascii="宋体" w:hAnsi="宋体" w:cs="宋体"/>
          <w:sz w:val="22"/>
          <w:szCs w:val="22"/>
        </w:rPr>
      </w:pPr>
      <w:r>
        <w:rPr>
          <w:rFonts w:hint="eastAsia" w:ascii="宋体" w:hAnsi="宋体" w:cs="宋体"/>
          <w:sz w:val="22"/>
          <w:szCs w:val="22"/>
        </w:rPr>
        <w:t>2、在服务期内应配合乙方工作，协助乙方开展以街道为单位、组织连片消杀，对消杀过程进行监督协调，并在消杀服务记录单上签名验收。</w:t>
      </w:r>
    </w:p>
    <w:p w14:paraId="0D9CD356">
      <w:pPr>
        <w:pStyle w:val="186"/>
        <w:spacing w:line="360" w:lineRule="auto"/>
        <w:ind w:firstLine="420"/>
        <w:rPr>
          <w:rFonts w:ascii="宋体" w:hAnsi="宋体" w:cs="宋体"/>
          <w:sz w:val="22"/>
          <w:szCs w:val="22"/>
        </w:rPr>
      </w:pPr>
      <w:r>
        <w:rPr>
          <w:rFonts w:hint="eastAsia" w:ascii="宋体" w:hAnsi="宋体" w:cs="宋体"/>
          <w:sz w:val="22"/>
          <w:szCs w:val="22"/>
        </w:rPr>
        <w:t>3、协助乙方督促有关单位或社区搞好环境卫生，消除蟑迹鼠迹，修复与完善防害设施。</w:t>
      </w:r>
    </w:p>
    <w:p w14:paraId="47071649">
      <w:pPr>
        <w:pStyle w:val="186"/>
        <w:spacing w:line="360" w:lineRule="auto"/>
        <w:ind w:firstLine="420"/>
        <w:rPr>
          <w:rFonts w:ascii="宋体" w:hAnsi="宋体" w:cs="宋体"/>
          <w:sz w:val="22"/>
          <w:szCs w:val="22"/>
        </w:rPr>
      </w:pPr>
      <w:r>
        <w:rPr>
          <w:rFonts w:hint="eastAsia" w:ascii="宋体" w:hAnsi="宋体" w:cs="宋体"/>
          <w:sz w:val="22"/>
          <w:szCs w:val="22"/>
        </w:rPr>
        <w:t>4、对于乙方提出的施药防护措施，甲方应配合乙方督促有关单位、社区采取相应安全措施。</w:t>
      </w:r>
    </w:p>
    <w:p w14:paraId="445D227C">
      <w:pPr>
        <w:pStyle w:val="186"/>
        <w:spacing w:line="360" w:lineRule="auto"/>
        <w:ind w:firstLine="420"/>
        <w:rPr>
          <w:rFonts w:ascii="宋体" w:hAnsi="宋体" w:cs="宋体"/>
          <w:sz w:val="22"/>
          <w:szCs w:val="22"/>
        </w:rPr>
      </w:pPr>
      <w:r>
        <w:rPr>
          <w:rFonts w:hint="eastAsia" w:ascii="宋体" w:hAnsi="宋体" w:cs="宋体"/>
          <w:sz w:val="22"/>
          <w:szCs w:val="22"/>
        </w:rPr>
        <w:t>5、协助各社区及有关部门开展宣传发动搞好环境卫生等相关工作。</w:t>
      </w:r>
    </w:p>
    <w:p w14:paraId="452DDE22">
      <w:pPr>
        <w:pStyle w:val="186"/>
        <w:spacing w:line="360" w:lineRule="auto"/>
        <w:ind w:firstLine="420"/>
        <w:rPr>
          <w:rFonts w:ascii="宋体" w:hAnsi="宋体" w:cs="宋体"/>
          <w:sz w:val="22"/>
          <w:szCs w:val="22"/>
        </w:rPr>
      </w:pPr>
      <w:r>
        <w:rPr>
          <w:rFonts w:hint="eastAsia" w:ascii="宋体" w:hAnsi="宋体" w:cs="宋体"/>
          <w:sz w:val="22"/>
          <w:szCs w:val="22"/>
        </w:rPr>
        <w:t>6、协助第三方评估公司对乙方消杀公司开展消杀服务过程监管，并参与灭后综合评估考核工作，对乙方消杀过程及台帐资料提出是否认可意见。</w:t>
      </w:r>
    </w:p>
    <w:p w14:paraId="621FA8F3">
      <w:pPr>
        <w:pStyle w:val="186"/>
        <w:spacing w:line="360" w:lineRule="auto"/>
        <w:ind w:firstLine="420"/>
        <w:rPr>
          <w:rFonts w:ascii="宋体" w:hAnsi="宋体" w:cs="宋体"/>
          <w:sz w:val="22"/>
          <w:szCs w:val="22"/>
        </w:rPr>
      </w:pPr>
      <w:r>
        <w:rPr>
          <w:rFonts w:hint="eastAsia" w:ascii="宋体" w:hAnsi="宋体" w:cs="宋体"/>
          <w:sz w:val="22"/>
          <w:szCs w:val="22"/>
        </w:rPr>
        <w:t>7、甲方对乙方的服务提出监管意见和建议，乙方应及时予以纠正。</w:t>
      </w:r>
    </w:p>
    <w:p w14:paraId="32915CF4">
      <w:pPr>
        <w:pStyle w:val="186"/>
        <w:spacing w:line="360" w:lineRule="auto"/>
        <w:ind w:firstLine="420"/>
        <w:rPr>
          <w:rFonts w:ascii="宋体" w:hAnsi="宋体" w:cs="宋体"/>
          <w:sz w:val="22"/>
          <w:szCs w:val="22"/>
        </w:rPr>
      </w:pPr>
      <w:r>
        <w:rPr>
          <w:rFonts w:hint="eastAsia" w:ascii="宋体" w:hAnsi="宋体" w:cs="宋体"/>
          <w:sz w:val="22"/>
          <w:szCs w:val="22"/>
        </w:rPr>
        <w:t>8、甲方如遇上级指令性、应急性等突发事件，及时布置乙方限期完成。</w:t>
      </w:r>
    </w:p>
    <w:p w14:paraId="4435727F">
      <w:pPr>
        <w:pStyle w:val="186"/>
        <w:spacing w:line="360" w:lineRule="auto"/>
        <w:ind w:firstLine="420"/>
        <w:rPr>
          <w:rFonts w:ascii="宋体" w:hAnsi="宋体" w:cs="宋体"/>
          <w:sz w:val="22"/>
          <w:szCs w:val="22"/>
        </w:rPr>
      </w:pPr>
      <w:r>
        <w:rPr>
          <w:rFonts w:hint="eastAsia" w:ascii="宋体" w:hAnsi="宋体" w:cs="宋体"/>
          <w:sz w:val="22"/>
          <w:szCs w:val="22"/>
        </w:rPr>
        <w:t>9、合同约定的甲方其它权利与义务。</w:t>
      </w:r>
    </w:p>
    <w:p w14:paraId="783710F0">
      <w:pPr>
        <w:pStyle w:val="186"/>
        <w:spacing w:line="360" w:lineRule="auto"/>
        <w:ind w:firstLine="420"/>
        <w:rPr>
          <w:rFonts w:ascii="宋体" w:hAnsi="宋体" w:cs="宋体"/>
          <w:sz w:val="22"/>
          <w:szCs w:val="22"/>
        </w:rPr>
      </w:pPr>
      <w:r>
        <w:rPr>
          <w:rFonts w:hint="eastAsia" w:ascii="宋体" w:hAnsi="宋体" w:cs="宋体"/>
          <w:sz w:val="22"/>
          <w:szCs w:val="22"/>
        </w:rPr>
        <w:t>10、甲方应及时支付合同款。</w:t>
      </w:r>
    </w:p>
    <w:p w14:paraId="73B2E6D1">
      <w:pPr>
        <w:pStyle w:val="186"/>
        <w:spacing w:line="360" w:lineRule="auto"/>
        <w:ind w:firstLine="442" w:firstLineChars="200"/>
        <w:outlineLvl w:val="1"/>
        <w:rPr>
          <w:rFonts w:ascii="宋体" w:hAnsi="宋体" w:cs="宋体"/>
          <w:b/>
          <w:sz w:val="22"/>
          <w:szCs w:val="22"/>
        </w:rPr>
      </w:pPr>
      <w:r>
        <w:rPr>
          <w:rFonts w:hint="eastAsia" w:ascii="宋体" w:hAnsi="宋体" w:cs="宋体"/>
          <w:b/>
          <w:sz w:val="22"/>
          <w:szCs w:val="22"/>
          <w:lang w:eastAsia="zh-CN"/>
        </w:rPr>
        <w:t>六</w:t>
      </w:r>
      <w:r>
        <w:rPr>
          <w:rFonts w:hint="eastAsia" w:ascii="宋体" w:hAnsi="宋体" w:cs="宋体"/>
          <w:b/>
          <w:sz w:val="22"/>
          <w:szCs w:val="22"/>
        </w:rPr>
        <w:t>、乙方的权利与义务：</w:t>
      </w:r>
    </w:p>
    <w:p w14:paraId="33DE5C1C">
      <w:pPr>
        <w:pStyle w:val="186"/>
        <w:spacing w:line="360" w:lineRule="auto"/>
        <w:ind w:firstLine="420"/>
        <w:rPr>
          <w:rFonts w:ascii="宋体" w:hAnsi="宋体" w:cs="宋体"/>
          <w:sz w:val="22"/>
          <w:szCs w:val="22"/>
        </w:rPr>
      </w:pPr>
      <w:r>
        <w:rPr>
          <w:rFonts w:hint="eastAsia" w:ascii="宋体" w:hAnsi="宋体" w:cs="宋体"/>
          <w:sz w:val="22"/>
          <w:szCs w:val="22"/>
        </w:rPr>
        <w:t>1、所服务的项目，应有计划资料与实施过程记录（包括照片），提供给甲方，并按规定完成好各种台帐资料，交甲方验收。</w:t>
      </w:r>
    </w:p>
    <w:p w14:paraId="5B31C2DB">
      <w:pPr>
        <w:pStyle w:val="186"/>
        <w:spacing w:line="360" w:lineRule="auto"/>
        <w:ind w:firstLine="420"/>
        <w:rPr>
          <w:rFonts w:ascii="宋体" w:hAnsi="宋体" w:cs="宋体"/>
          <w:sz w:val="22"/>
          <w:szCs w:val="22"/>
        </w:rPr>
      </w:pPr>
      <w:r>
        <w:rPr>
          <w:rFonts w:hint="eastAsia" w:ascii="宋体" w:hAnsi="宋体" w:cs="宋体"/>
          <w:sz w:val="22"/>
          <w:szCs w:val="22"/>
        </w:rPr>
        <w:t>2、上岗服务人员要严格遵守杀虫灭鼠技术操作规程，文明作业。并填写服务记录卡作为服务的凭据，着统一工作服和佩戴上岗证。</w:t>
      </w:r>
    </w:p>
    <w:p w14:paraId="2905F4A8">
      <w:pPr>
        <w:pStyle w:val="186"/>
        <w:spacing w:line="360" w:lineRule="auto"/>
        <w:ind w:firstLine="420"/>
        <w:rPr>
          <w:rFonts w:ascii="宋体" w:hAnsi="宋体" w:cs="宋体"/>
          <w:sz w:val="22"/>
          <w:szCs w:val="22"/>
        </w:rPr>
      </w:pPr>
      <w:r>
        <w:rPr>
          <w:rFonts w:hint="eastAsia" w:ascii="宋体" w:hAnsi="宋体" w:cs="宋体"/>
          <w:sz w:val="22"/>
          <w:szCs w:val="22"/>
        </w:rPr>
        <w:t>3、每期按规定时间、范围和工作人数开展消杀服务，包括施药与器械布放等工作，乙方必须保质保量及时完成。</w:t>
      </w:r>
    </w:p>
    <w:p w14:paraId="0AEB6C39">
      <w:pPr>
        <w:pStyle w:val="186"/>
        <w:spacing w:line="360" w:lineRule="auto"/>
        <w:ind w:firstLine="420"/>
        <w:rPr>
          <w:rFonts w:ascii="宋体" w:hAnsi="宋体" w:cs="宋体"/>
          <w:sz w:val="22"/>
          <w:szCs w:val="22"/>
        </w:rPr>
      </w:pPr>
      <w:r>
        <w:rPr>
          <w:rFonts w:hint="eastAsia" w:ascii="宋体" w:hAnsi="宋体" w:cs="宋体"/>
          <w:sz w:val="22"/>
          <w:szCs w:val="22"/>
        </w:rPr>
        <w:t>4、每期工作（包括环境消杀、药物发放、器械布放、开展防制宣传等）应有计划与总结数据，同时报甲方备案。</w:t>
      </w:r>
    </w:p>
    <w:p w14:paraId="5886F691">
      <w:pPr>
        <w:pStyle w:val="186"/>
        <w:spacing w:line="360" w:lineRule="auto"/>
        <w:ind w:firstLine="420"/>
        <w:rPr>
          <w:rFonts w:ascii="宋体" w:hAnsi="宋体" w:cs="宋体"/>
          <w:sz w:val="22"/>
          <w:szCs w:val="22"/>
        </w:rPr>
      </w:pPr>
      <w:r>
        <w:rPr>
          <w:rFonts w:hint="eastAsia" w:ascii="宋体" w:hAnsi="宋体" w:cs="宋体"/>
          <w:sz w:val="22"/>
          <w:szCs w:val="22"/>
        </w:rPr>
        <w:t>5、注意药物的使用安全，投(施)药时需要防护的部分，应向甲方或甲方管辖的单位提出采取有效的防护措施。</w:t>
      </w:r>
    </w:p>
    <w:p w14:paraId="1004E185">
      <w:pPr>
        <w:pStyle w:val="186"/>
        <w:spacing w:line="360" w:lineRule="auto"/>
        <w:ind w:firstLine="420"/>
        <w:rPr>
          <w:rFonts w:ascii="宋体" w:hAnsi="宋体" w:cs="宋体"/>
          <w:sz w:val="22"/>
          <w:szCs w:val="22"/>
        </w:rPr>
      </w:pPr>
      <w:r>
        <w:rPr>
          <w:rFonts w:hint="eastAsia" w:ascii="宋体" w:hAnsi="宋体" w:cs="宋体"/>
          <w:sz w:val="22"/>
          <w:szCs w:val="22"/>
        </w:rPr>
        <w:t>6、所使用的杀虫药物应符合国家的有关规定。如药物使用不当引起人畜中毒或其他责任事故的，应承担全部责任。</w:t>
      </w:r>
    </w:p>
    <w:p w14:paraId="4E37D7D8">
      <w:pPr>
        <w:pStyle w:val="186"/>
        <w:spacing w:line="360" w:lineRule="auto"/>
        <w:ind w:firstLine="420"/>
        <w:rPr>
          <w:rFonts w:ascii="宋体" w:hAnsi="宋体" w:cs="宋体"/>
          <w:sz w:val="22"/>
          <w:szCs w:val="22"/>
        </w:rPr>
      </w:pPr>
      <w:r>
        <w:rPr>
          <w:rFonts w:hint="eastAsia" w:ascii="宋体" w:hAnsi="宋体" w:cs="宋体"/>
          <w:sz w:val="22"/>
          <w:szCs w:val="22"/>
        </w:rPr>
        <w:t>7、服务应及时到位，保证服务质量。在各种病媒生物考核中，公共环境的病媒生物不得超标。</w:t>
      </w:r>
    </w:p>
    <w:p w14:paraId="73C53A40">
      <w:pPr>
        <w:pStyle w:val="186"/>
        <w:spacing w:line="360" w:lineRule="auto"/>
        <w:ind w:firstLine="420"/>
        <w:rPr>
          <w:rFonts w:ascii="宋体" w:hAnsi="宋体" w:cs="宋体"/>
          <w:sz w:val="22"/>
          <w:szCs w:val="22"/>
        </w:rPr>
      </w:pPr>
      <w:r>
        <w:rPr>
          <w:rFonts w:hint="eastAsia" w:ascii="宋体" w:hAnsi="宋体" w:cs="宋体"/>
          <w:b/>
          <w:sz w:val="22"/>
          <w:szCs w:val="22"/>
        </w:rPr>
        <w:t>8</w:t>
      </w:r>
      <w:r>
        <w:rPr>
          <w:rFonts w:hint="eastAsia" w:ascii="宋体" w:hAnsi="宋体" w:cs="宋体"/>
          <w:sz w:val="22"/>
          <w:szCs w:val="22"/>
        </w:rPr>
        <w:t>、负责提供技术人员、药物、器械、机油、汽油、交通费、工伤保险费等所有相关支出。</w:t>
      </w:r>
    </w:p>
    <w:p w14:paraId="04F84B6E">
      <w:pPr>
        <w:pStyle w:val="186"/>
        <w:spacing w:line="360" w:lineRule="auto"/>
        <w:ind w:firstLine="420"/>
        <w:rPr>
          <w:rFonts w:ascii="宋体" w:hAnsi="宋体" w:cs="宋体"/>
          <w:sz w:val="22"/>
          <w:szCs w:val="22"/>
        </w:rPr>
      </w:pPr>
      <w:r>
        <w:rPr>
          <w:rFonts w:hint="eastAsia" w:ascii="宋体" w:hAnsi="宋体" w:cs="宋体"/>
          <w:sz w:val="22"/>
          <w:szCs w:val="22"/>
        </w:rPr>
        <w:t>9、对甲方的工作提出合理化的建议与意见。</w:t>
      </w:r>
    </w:p>
    <w:p w14:paraId="53211FFA">
      <w:pPr>
        <w:pStyle w:val="186"/>
        <w:spacing w:line="360" w:lineRule="auto"/>
        <w:ind w:firstLine="420"/>
        <w:rPr>
          <w:rFonts w:ascii="宋体" w:hAnsi="宋体" w:cs="宋体"/>
          <w:sz w:val="22"/>
          <w:szCs w:val="22"/>
        </w:rPr>
      </w:pPr>
      <w:r>
        <w:rPr>
          <w:rFonts w:hint="eastAsia" w:ascii="宋体" w:hAnsi="宋体" w:cs="宋体"/>
          <w:sz w:val="22"/>
          <w:szCs w:val="22"/>
        </w:rPr>
        <w:t>10、搞好病媒生物防制服务工作有关方面的亮点创建工作，配合甲方搞好城市卫生、城镇卫生创建有关工作。</w:t>
      </w:r>
    </w:p>
    <w:p w14:paraId="48B8094E">
      <w:pPr>
        <w:pStyle w:val="186"/>
        <w:spacing w:line="360" w:lineRule="auto"/>
        <w:ind w:firstLine="420"/>
        <w:rPr>
          <w:rFonts w:ascii="宋体" w:hAnsi="宋体" w:cs="宋体"/>
          <w:sz w:val="22"/>
          <w:szCs w:val="22"/>
        </w:rPr>
      </w:pPr>
      <w:r>
        <w:rPr>
          <w:rFonts w:hint="eastAsia" w:ascii="宋体" w:hAnsi="宋体" w:cs="宋体"/>
          <w:sz w:val="22"/>
          <w:szCs w:val="22"/>
        </w:rPr>
        <w:t>11、负责病媒生物防制的指令性应急性突发事件和合同约定及其目标考核要求的其他工作任务。</w:t>
      </w:r>
    </w:p>
    <w:p w14:paraId="4ADC5538">
      <w:pPr>
        <w:pStyle w:val="186"/>
        <w:spacing w:line="360" w:lineRule="auto"/>
        <w:ind w:firstLine="420"/>
        <w:rPr>
          <w:rFonts w:ascii="宋体" w:hAnsi="宋体" w:cs="宋体"/>
          <w:sz w:val="22"/>
          <w:szCs w:val="22"/>
        </w:rPr>
      </w:pPr>
      <w:r>
        <w:rPr>
          <w:rFonts w:hint="eastAsia" w:ascii="宋体" w:hAnsi="宋体" w:cs="宋体"/>
          <w:sz w:val="22"/>
          <w:szCs w:val="22"/>
        </w:rPr>
        <w:t>12、及时结算合同款。</w:t>
      </w:r>
    </w:p>
    <w:p w14:paraId="0488B8FF">
      <w:pPr>
        <w:pStyle w:val="186"/>
        <w:spacing w:line="360" w:lineRule="auto"/>
        <w:outlineLvl w:val="1"/>
        <w:rPr>
          <w:rFonts w:ascii="宋体" w:hAnsi="宋体" w:cs="宋体"/>
          <w:b/>
          <w:sz w:val="22"/>
          <w:szCs w:val="22"/>
        </w:rPr>
      </w:pPr>
      <w:r>
        <w:rPr>
          <w:rFonts w:hint="eastAsia" w:ascii="宋体" w:hAnsi="宋体" w:cs="宋体"/>
          <w:b/>
          <w:sz w:val="22"/>
          <w:szCs w:val="22"/>
          <w:lang w:eastAsia="zh-CN"/>
        </w:rPr>
        <w:t>七</w:t>
      </w:r>
      <w:r>
        <w:rPr>
          <w:rFonts w:hint="eastAsia" w:ascii="宋体" w:hAnsi="宋体" w:cs="宋体"/>
          <w:b/>
          <w:sz w:val="22"/>
          <w:szCs w:val="22"/>
        </w:rPr>
        <w:t>、标准及其他</w:t>
      </w:r>
    </w:p>
    <w:p w14:paraId="60178D2D">
      <w:pPr>
        <w:pStyle w:val="186"/>
        <w:spacing w:line="360" w:lineRule="auto"/>
        <w:ind w:firstLine="420"/>
        <w:rPr>
          <w:rFonts w:ascii="宋体" w:hAnsi="宋体" w:cs="宋体"/>
          <w:sz w:val="22"/>
          <w:szCs w:val="22"/>
        </w:rPr>
      </w:pPr>
      <w:r>
        <w:rPr>
          <w:rFonts w:hint="eastAsia" w:ascii="宋体" w:hAnsi="宋体" w:cs="宋体"/>
          <w:sz w:val="22"/>
          <w:szCs w:val="22"/>
        </w:rPr>
        <w:t>1、“四害”消杀的质量标准：</w:t>
      </w:r>
    </w:p>
    <w:p w14:paraId="525AD0A1">
      <w:pPr>
        <w:pStyle w:val="186"/>
        <w:spacing w:line="360" w:lineRule="auto"/>
        <w:ind w:firstLine="420"/>
        <w:rPr>
          <w:rFonts w:ascii="宋体" w:hAnsi="宋体" w:cs="宋体"/>
          <w:sz w:val="22"/>
          <w:szCs w:val="22"/>
        </w:rPr>
      </w:pPr>
      <w:r>
        <w:rPr>
          <w:rFonts w:hint="eastAsia" w:ascii="宋体" w:hAnsi="宋体" w:cs="宋体"/>
          <w:sz w:val="22"/>
          <w:szCs w:val="22"/>
        </w:rPr>
        <w:t>鼠、蚊、蝇、蟑螂等病媒生物得到有效控制，四害活体密度均达到国家病媒生物密度控制水平（GB/T 27770-2011鼠类、GB/T 27771-2011蚊虫、GB/T 27772-2011蝇类、GB/T 27773-2011蜚蠊）C级以上要求，并通过国家、省、市的病媒生物预防控制单项考核。</w:t>
      </w:r>
    </w:p>
    <w:p w14:paraId="566E57C0">
      <w:pPr>
        <w:pStyle w:val="186"/>
        <w:spacing w:line="360" w:lineRule="auto"/>
        <w:ind w:firstLine="420"/>
        <w:rPr>
          <w:rFonts w:ascii="宋体" w:hAnsi="宋体" w:cs="宋体"/>
          <w:sz w:val="22"/>
          <w:szCs w:val="22"/>
        </w:rPr>
      </w:pPr>
      <w:r>
        <w:rPr>
          <w:rFonts w:hint="eastAsia" w:ascii="宋体" w:hAnsi="宋体" w:cs="宋体"/>
          <w:sz w:val="22"/>
          <w:szCs w:val="22"/>
        </w:rPr>
        <w:t>2、按下例规定和要求所需的费用计入投标报价，一次包干。</w:t>
      </w:r>
    </w:p>
    <w:p w14:paraId="6323FA0C">
      <w:pPr>
        <w:pStyle w:val="186"/>
        <w:spacing w:line="360" w:lineRule="auto"/>
        <w:ind w:firstLine="420"/>
        <w:rPr>
          <w:rFonts w:ascii="宋体" w:hAnsi="宋体" w:cs="宋体"/>
          <w:sz w:val="22"/>
          <w:szCs w:val="22"/>
        </w:rPr>
      </w:pPr>
      <w:r>
        <w:rPr>
          <w:rFonts w:hint="eastAsia" w:ascii="宋体" w:hAnsi="宋体" w:cs="宋体"/>
          <w:sz w:val="22"/>
          <w:szCs w:val="22"/>
        </w:rPr>
        <w:t>（1）采购人对本区域“四害”消杀的情况组织不定期检查，检查标准按国家病媒生物密度控制水平（GB/T 27770-2011鼠类、GB/T 27771-2011蚊虫、GB/T 27772-2011蝇类、GB/T 27773-2011蜚蠊）达到C级标准执行。采购人保留上述标准的修改权。</w:t>
      </w:r>
    </w:p>
    <w:p w14:paraId="2D34D161">
      <w:pPr>
        <w:pStyle w:val="186"/>
        <w:spacing w:line="360" w:lineRule="auto"/>
        <w:ind w:firstLine="420"/>
        <w:rPr>
          <w:rFonts w:ascii="宋体" w:hAnsi="宋体" w:cs="宋体"/>
          <w:sz w:val="22"/>
          <w:szCs w:val="22"/>
        </w:rPr>
      </w:pPr>
      <w:r>
        <w:rPr>
          <w:rFonts w:hint="eastAsia" w:ascii="宋体" w:hAnsi="宋体" w:cs="宋体"/>
          <w:sz w:val="22"/>
          <w:szCs w:val="22"/>
        </w:rPr>
        <w:t>（2）</w:t>
      </w:r>
      <w:r>
        <w:rPr>
          <w:rFonts w:hint="eastAsia" w:ascii="宋体" w:hAnsi="宋体" w:cs="宋体"/>
          <w:sz w:val="22"/>
          <w:szCs w:val="22"/>
          <w:u w:val="single"/>
        </w:rPr>
        <w:t>中标供应商必须随时接受采购人、上级部门以及其他相关部门的监督、检查和指导，必须无条件、无报酬服从采购人组织全民清洁活动、爱卫活动、卫生检查，节假日、台风、水灾、疫情、突发性事件和上级部门要求增加的村居防治消杀任务（不超过5个村）等突击任务，建立突击应急方案。</w:t>
      </w:r>
    </w:p>
    <w:p w14:paraId="46DDB810">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（3）</w:t>
      </w:r>
      <w:r>
        <w:rPr>
          <w:rFonts w:hint="eastAsia" w:ascii="宋体" w:hAnsi="宋体" w:cs="宋体"/>
          <w:sz w:val="22"/>
          <w:szCs w:val="22"/>
          <w:u w:val="single"/>
        </w:rPr>
        <w:t>由于不可抗力（如台风、暴雨导致内涝，发生疫情等）的原因需要中标供应商即时消杀、消毒作业的，中标供应商应在接到采购人通知后1小时内组织人员到达现场进行消杀。</w:t>
      </w:r>
    </w:p>
    <w:p w14:paraId="22193303">
      <w:pPr>
        <w:pStyle w:val="186"/>
        <w:spacing w:line="360" w:lineRule="auto"/>
        <w:ind w:firstLine="420"/>
        <w:rPr>
          <w:rFonts w:ascii="宋体" w:hAnsi="宋体" w:cs="宋体"/>
          <w:sz w:val="22"/>
          <w:szCs w:val="22"/>
        </w:rPr>
      </w:pPr>
      <w:r>
        <w:rPr>
          <w:rFonts w:hint="eastAsia" w:ascii="宋体" w:hAnsi="宋体" w:cs="宋体"/>
          <w:sz w:val="22"/>
          <w:szCs w:val="22"/>
        </w:rPr>
        <w:t>（4）中标供应商必须根据本项目承担的内容，按实际上岗人数自行到有关部门申办有关用工手续、员工劳动保险手续和办理暂住证手续，安排好员工的住宿和教育管理工作。</w:t>
      </w:r>
    </w:p>
    <w:p w14:paraId="0E56A58F">
      <w:pPr>
        <w:pStyle w:val="186"/>
        <w:spacing w:line="360" w:lineRule="auto"/>
        <w:ind w:firstLine="420"/>
        <w:rPr>
          <w:rFonts w:ascii="宋体" w:hAnsi="宋体" w:cs="宋体"/>
          <w:sz w:val="22"/>
          <w:szCs w:val="22"/>
        </w:rPr>
      </w:pPr>
      <w:r>
        <w:rPr>
          <w:rFonts w:hint="eastAsia" w:ascii="宋体" w:hAnsi="宋体" w:cs="宋体"/>
          <w:sz w:val="22"/>
          <w:szCs w:val="22"/>
        </w:rPr>
        <w:t>（5）合同期内，中标供应商必须根据承包合同中的各项条款履行各项职责，如发现中标供应商组织措施不当、计划不落实、管理不严而造成“四害”消杀质量达不到规定标准的，情况严重的，使用单位单方面终止合同。</w:t>
      </w:r>
    </w:p>
    <w:p w14:paraId="1DE1D44B">
      <w:pPr>
        <w:pStyle w:val="186"/>
        <w:spacing w:line="360" w:lineRule="auto"/>
        <w:ind w:firstLine="420"/>
        <w:rPr>
          <w:rFonts w:ascii="宋体" w:hAnsi="宋体" w:cs="宋体"/>
          <w:sz w:val="22"/>
          <w:szCs w:val="22"/>
        </w:rPr>
      </w:pPr>
      <w:r>
        <w:rPr>
          <w:rFonts w:hint="eastAsia" w:ascii="宋体" w:hAnsi="宋体" w:cs="宋体"/>
          <w:sz w:val="22"/>
          <w:szCs w:val="22"/>
        </w:rPr>
        <w:t>（6）中标供应商必须落实安全生产和防中毒措施，加强对员工的 安全意识教育，应按采购人要求为上岗人员配备统一的工作服，佩带统一的工作牌进行上岗作业，要保持作业人员的稳定性。中标供应商必须认真负责并注意安全操作，如发生任何意外，中标供应商负责事故的全部责任和所有费用。</w:t>
      </w:r>
    </w:p>
    <w:p w14:paraId="2D1CE847">
      <w:pPr>
        <w:pStyle w:val="186"/>
        <w:spacing w:line="360" w:lineRule="auto"/>
        <w:ind w:firstLine="420"/>
        <w:rPr>
          <w:rFonts w:ascii="宋体" w:hAnsi="宋体" w:cs="宋体"/>
          <w:sz w:val="22"/>
          <w:szCs w:val="22"/>
        </w:rPr>
      </w:pPr>
      <w:r>
        <w:rPr>
          <w:rFonts w:hint="eastAsia" w:ascii="宋体" w:hAnsi="宋体" w:cs="宋体"/>
          <w:sz w:val="22"/>
          <w:szCs w:val="22"/>
        </w:rPr>
        <w:t>（7）中标供应商应严格遵守国家法律、法规的规定，不得违反国家法律、法规的规定。如中标供应商员工有任何违法乱纪行为，中标供应商承担一切法律责任和经济责任。</w:t>
      </w:r>
    </w:p>
    <w:p w14:paraId="70A8F034">
      <w:pPr>
        <w:pStyle w:val="186"/>
        <w:spacing w:line="360" w:lineRule="auto"/>
        <w:ind w:firstLine="420"/>
        <w:rPr>
          <w:rFonts w:ascii="宋体" w:hAnsi="宋体" w:cs="宋体"/>
          <w:sz w:val="22"/>
          <w:szCs w:val="22"/>
        </w:rPr>
      </w:pPr>
      <w:r>
        <w:rPr>
          <w:rFonts w:hint="eastAsia" w:ascii="宋体" w:hAnsi="宋体" w:cs="宋体"/>
          <w:sz w:val="22"/>
          <w:szCs w:val="22"/>
        </w:rPr>
        <w:t>（8）中标供应商必须积极响应并接受国家、省市、县领导的监督检查。</w:t>
      </w:r>
    </w:p>
    <w:p w14:paraId="0BD6FF48">
      <w:pPr>
        <w:pStyle w:val="186"/>
        <w:spacing w:line="360" w:lineRule="auto"/>
        <w:ind w:firstLine="420"/>
        <w:rPr>
          <w:rFonts w:ascii="宋体" w:hAnsi="宋体" w:cs="宋体"/>
          <w:sz w:val="22"/>
          <w:szCs w:val="22"/>
        </w:rPr>
      </w:pPr>
      <w:r>
        <w:rPr>
          <w:rFonts w:hint="eastAsia" w:ascii="宋体" w:hAnsi="宋体" w:cs="宋体"/>
          <w:sz w:val="22"/>
          <w:szCs w:val="22"/>
        </w:rPr>
        <w:t>（9）作业人员确保作业的质量要求。</w:t>
      </w:r>
    </w:p>
    <w:p w14:paraId="2BC960B1">
      <w:pPr>
        <w:pStyle w:val="186"/>
        <w:spacing w:line="360" w:lineRule="auto"/>
        <w:ind w:firstLine="420"/>
        <w:rPr>
          <w:rFonts w:ascii="宋体" w:hAnsi="宋体" w:cs="宋体"/>
          <w:sz w:val="22"/>
          <w:szCs w:val="22"/>
          <w:u w:val="single"/>
        </w:rPr>
      </w:pPr>
      <w:r>
        <w:rPr>
          <w:rFonts w:hint="eastAsia" w:ascii="宋体" w:hAnsi="宋体" w:cs="宋体"/>
          <w:sz w:val="22"/>
          <w:szCs w:val="22"/>
        </w:rPr>
        <w:t>（10）中标供应商必须随时随地接受广大市民的监督，若受市民投诉，经调查认定情况属实的，应及时整改到位，确保不造成恶劣影响。</w:t>
      </w:r>
    </w:p>
    <w:p w14:paraId="3FD2F71A">
      <w:pPr>
        <w:pStyle w:val="186"/>
        <w:spacing w:line="360" w:lineRule="auto"/>
        <w:ind w:firstLine="420"/>
        <w:rPr>
          <w:rFonts w:ascii="宋体" w:hAnsi="宋体" w:cs="宋体"/>
          <w:sz w:val="22"/>
          <w:szCs w:val="22"/>
        </w:rPr>
      </w:pPr>
      <w:r>
        <w:rPr>
          <w:rFonts w:hint="eastAsia" w:ascii="宋体" w:hAnsi="宋体" w:cs="宋体"/>
          <w:sz w:val="22"/>
          <w:szCs w:val="22"/>
        </w:rPr>
        <w:t>（11）中标供应商必须在工作辖区内设立管理办事机构，便于采购人的管理和联系。</w:t>
      </w:r>
    </w:p>
    <w:p w14:paraId="3F1F3B8B">
      <w:pPr>
        <w:snapToGrid w:val="0"/>
        <w:spacing w:line="360" w:lineRule="auto"/>
        <w:ind w:firstLine="440" w:firstLineChars="200"/>
        <w:rPr>
          <w:rFonts w:ascii="宋体" w:hAnsi="宋体" w:cs="宋体"/>
          <w:sz w:val="22"/>
          <w:szCs w:val="22"/>
        </w:rPr>
      </w:pPr>
      <w:r>
        <w:rPr>
          <w:rFonts w:hint="eastAsia" w:ascii="宋体" w:hAnsi="宋体" w:cs="宋体"/>
          <w:sz w:val="22"/>
          <w:szCs w:val="22"/>
        </w:rPr>
        <w:t>4、补充要求：</w:t>
      </w:r>
    </w:p>
    <w:p w14:paraId="244244A9">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（1）供应商须根据本区域的实际情况和采购人的要求编写《“四害”消杀实施方案》。</w:t>
      </w:r>
    </w:p>
    <w:p w14:paraId="3F9408D2">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（2）供应商须例明“四害”消杀的模式，具备适合的技术、管理队员等，并向采购人提供有关部门人员职责名单及资质证、上岗证复印件，中标供应商于进场作业一星期内提供上述人员证书送采购人核验。</w:t>
      </w:r>
    </w:p>
    <w:p w14:paraId="0F7758DB">
      <w:pPr>
        <w:snapToGrid w:val="0"/>
        <w:spacing w:line="360" w:lineRule="auto"/>
        <w:ind w:firstLine="440" w:firstLineChars="200"/>
        <w:rPr>
          <w:rFonts w:ascii="宋体" w:hAnsi="宋体" w:cs="宋体"/>
          <w:sz w:val="22"/>
          <w:szCs w:val="22"/>
        </w:rPr>
      </w:pPr>
      <w:r>
        <w:rPr>
          <w:rFonts w:hint="eastAsia" w:ascii="宋体" w:hAnsi="宋体" w:cs="宋体"/>
          <w:sz w:val="22"/>
          <w:szCs w:val="22"/>
        </w:rPr>
        <w:t>（3）</w:t>
      </w:r>
      <w:r>
        <w:rPr>
          <w:rFonts w:hint="eastAsia" w:ascii="宋体" w:hAnsi="宋体" w:cs="宋体"/>
          <w:sz w:val="22"/>
          <w:szCs w:val="22"/>
          <w:u w:val="single"/>
        </w:rPr>
        <w:t>供应商投入本项目的药物、机械、工具清单（注明名称、规格、数量），中标供应商投入的药物、机械、工具清单在合同签订后7天内要经采购人查验合格认定。</w:t>
      </w:r>
    </w:p>
    <w:p w14:paraId="628BA730">
      <w:pPr>
        <w:snapToGrid w:val="0"/>
        <w:spacing w:line="360" w:lineRule="auto"/>
        <w:ind w:firstLine="440" w:firstLineChars="200"/>
        <w:rPr>
          <w:rFonts w:ascii="宋体" w:hAnsi="宋体" w:cs="宋体"/>
          <w:sz w:val="22"/>
          <w:szCs w:val="22"/>
        </w:rPr>
      </w:pPr>
      <w:r>
        <w:rPr>
          <w:rFonts w:hint="eastAsia" w:ascii="宋体" w:hAnsi="宋体" w:cs="宋体"/>
          <w:sz w:val="22"/>
          <w:szCs w:val="22"/>
        </w:rPr>
        <w:t>（4）采购人保留对《“四害”消杀实施方案》补充修改权。</w:t>
      </w:r>
    </w:p>
    <w:p w14:paraId="3768505C">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5、其他要求：</w:t>
      </w:r>
    </w:p>
    <w:p w14:paraId="139735F9">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（1）供应商必须就整个项目进行投标。只就其中某类进行投标报价的投标文件无效。</w:t>
      </w:r>
    </w:p>
    <w:p w14:paraId="01236F99">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（2）供应商可先到工地踏勘以充分了解工地位置、情况、道路、储存空间、装卸限制及任何其他足以影响承包价的情况，任何因忽视或误解工地情况而导致的索赔或工期延长申请将不被批准。</w:t>
      </w:r>
    </w:p>
    <w:p w14:paraId="3E6F5FE3">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（3）严禁转包，未经采购人同意不得分包，如发现成交供应商擅自分包或转包，采购人可单方面终止合同。</w:t>
      </w:r>
    </w:p>
    <w:p w14:paraId="1F37B9F6">
      <w:pPr>
        <w:pStyle w:val="186"/>
        <w:spacing w:line="360" w:lineRule="auto"/>
        <w:outlineLvl w:val="1"/>
        <w:rPr>
          <w:rFonts w:ascii="宋体" w:hAnsi="宋体" w:cs="宋体"/>
          <w:b/>
          <w:sz w:val="22"/>
          <w:szCs w:val="22"/>
        </w:rPr>
      </w:pPr>
      <w:r>
        <w:rPr>
          <w:rFonts w:hint="eastAsia" w:ascii="宋体" w:hAnsi="宋体" w:cs="宋体"/>
          <w:b/>
          <w:sz w:val="22"/>
          <w:szCs w:val="22"/>
          <w:lang w:eastAsia="zh-CN"/>
        </w:rPr>
        <w:t>八</w:t>
      </w:r>
      <w:r>
        <w:rPr>
          <w:rFonts w:hint="eastAsia" w:ascii="宋体" w:hAnsi="宋体" w:cs="宋体"/>
          <w:b/>
          <w:sz w:val="22"/>
          <w:szCs w:val="22"/>
        </w:rPr>
        <w:t>、违约责任：</w:t>
      </w:r>
    </w:p>
    <w:p w14:paraId="4EC71C5C">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乙方合同规定的药物器械如果出现进购与发放没有达到规定的数量，乙方必须立即改进补足数额，否则按不足数额加倍扣罚经费。</w:t>
      </w:r>
    </w:p>
    <w:p w14:paraId="774B3088">
      <w:pPr>
        <w:pStyle w:val="186"/>
        <w:spacing w:line="360" w:lineRule="auto"/>
        <w:outlineLvl w:val="1"/>
        <w:rPr>
          <w:rFonts w:ascii="宋体" w:hAnsi="宋体" w:cs="宋体"/>
          <w:b/>
          <w:sz w:val="22"/>
          <w:szCs w:val="22"/>
        </w:rPr>
      </w:pPr>
      <w:r>
        <w:rPr>
          <w:rFonts w:hint="eastAsia" w:ascii="宋体" w:hAnsi="宋体" w:cs="宋体"/>
          <w:b/>
          <w:sz w:val="22"/>
          <w:szCs w:val="22"/>
          <w:lang w:eastAsia="zh-CN"/>
        </w:rPr>
        <w:t>九</w:t>
      </w:r>
      <w:r>
        <w:rPr>
          <w:rFonts w:hint="eastAsia" w:ascii="宋体" w:hAnsi="宋体" w:cs="宋体"/>
          <w:b/>
          <w:sz w:val="22"/>
          <w:szCs w:val="22"/>
        </w:rPr>
        <w:t>、争议处理：</w:t>
      </w:r>
    </w:p>
    <w:p w14:paraId="20D6BF9E">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甲、乙双方因本合同发生争议的，应协商解决，协商不成的，由仲裁委员会裁决。</w:t>
      </w:r>
    </w:p>
    <w:p w14:paraId="74C386D5">
      <w:pPr>
        <w:pStyle w:val="186"/>
        <w:spacing w:line="360" w:lineRule="auto"/>
        <w:outlineLvl w:val="1"/>
        <w:rPr>
          <w:rFonts w:ascii="宋体" w:hAnsi="宋体" w:cs="宋体"/>
          <w:b/>
          <w:sz w:val="22"/>
          <w:szCs w:val="22"/>
        </w:rPr>
      </w:pPr>
      <w:r>
        <w:rPr>
          <w:rFonts w:hint="eastAsia" w:ascii="宋体" w:hAnsi="宋体" w:cs="宋体"/>
          <w:b/>
          <w:sz w:val="22"/>
          <w:szCs w:val="22"/>
        </w:rPr>
        <w:t>十、其他事项：</w:t>
      </w:r>
    </w:p>
    <w:p w14:paraId="727709C4">
      <w:pPr>
        <w:autoSpaceDE w:val="0"/>
        <w:autoSpaceDN w:val="0"/>
        <w:adjustRightInd w:val="0"/>
        <w:spacing w:line="360" w:lineRule="auto"/>
        <w:ind w:firstLine="440" w:firstLineChars="200"/>
        <w:textAlignment w:val="bottom"/>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 本次招、投标文件条款为本合同构成要素，是本合同内容的一部分。</w:t>
      </w:r>
    </w:p>
    <w:p w14:paraId="722407D8">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2．本合同的如有双方签署的附件为本合同的附属条款。</w:t>
      </w:r>
    </w:p>
    <w:p w14:paraId="72257CB3">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3.其他未尽事宜由甲、乙双方另行协商以补充合同形式确定。</w:t>
      </w:r>
    </w:p>
    <w:p w14:paraId="4B69652B">
      <w:pPr>
        <w:pStyle w:val="186"/>
        <w:spacing w:line="360" w:lineRule="auto"/>
        <w:outlineLvl w:val="1"/>
        <w:rPr>
          <w:rFonts w:ascii="宋体" w:hAnsi="宋体" w:cs="宋体"/>
          <w:b/>
          <w:sz w:val="22"/>
          <w:szCs w:val="22"/>
        </w:rPr>
      </w:pPr>
      <w:r>
        <w:rPr>
          <w:rFonts w:hint="eastAsia" w:ascii="宋体" w:hAnsi="宋体" w:cs="宋体"/>
          <w:b/>
          <w:sz w:val="22"/>
          <w:szCs w:val="22"/>
        </w:rPr>
        <w:t>十</w:t>
      </w:r>
      <w:r>
        <w:rPr>
          <w:rFonts w:hint="eastAsia" w:ascii="宋体" w:hAnsi="宋体" w:cs="宋体"/>
          <w:b/>
          <w:sz w:val="22"/>
          <w:szCs w:val="22"/>
          <w:lang w:eastAsia="zh-CN"/>
        </w:rPr>
        <w:t>一</w:t>
      </w:r>
      <w:r>
        <w:rPr>
          <w:rFonts w:hint="eastAsia" w:ascii="宋体" w:hAnsi="宋体" w:cs="宋体"/>
          <w:b/>
          <w:sz w:val="22"/>
          <w:szCs w:val="22"/>
        </w:rPr>
        <w:t>、效力与期限。</w:t>
      </w:r>
    </w:p>
    <w:p w14:paraId="1A08B345">
      <w:pPr>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本合同书一式陆份，甲方执叁份、乙方执叁份，均具相同效力；本合同自从签订之日起生效，履行完毕时终止。</w:t>
      </w:r>
    </w:p>
    <w:p w14:paraId="7C90495A">
      <w:pPr>
        <w:snapToGrid w:val="0"/>
        <w:spacing w:line="360" w:lineRule="auto"/>
        <w:outlineLvl w:val="1"/>
        <w:rPr>
          <w:rFonts w:ascii="宋体" w:hAnsi="宋体" w:cs="宋体"/>
          <w:b/>
          <w:sz w:val="22"/>
          <w:szCs w:val="22"/>
        </w:rPr>
      </w:pPr>
      <w:r>
        <w:rPr>
          <w:rFonts w:hint="eastAsia" w:ascii="宋体" w:hAnsi="宋体" w:cs="宋体"/>
          <w:b/>
          <w:bCs/>
          <w:sz w:val="22"/>
          <w:szCs w:val="22"/>
        </w:rPr>
        <w:t>十</w:t>
      </w:r>
      <w:r>
        <w:rPr>
          <w:rFonts w:hint="eastAsia" w:ascii="宋体" w:hAnsi="宋体" w:cs="宋体"/>
          <w:b/>
          <w:bCs/>
          <w:sz w:val="22"/>
          <w:szCs w:val="22"/>
          <w:lang w:eastAsia="zh-CN"/>
        </w:rPr>
        <w:t>二</w:t>
      </w:r>
      <w:r>
        <w:rPr>
          <w:rFonts w:hint="eastAsia" w:ascii="宋体" w:hAnsi="宋体" w:cs="宋体"/>
          <w:b/>
          <w:sz w:val="22"/>
          <w:szCs w:val="22"/>
        </w:rPr>
        <w:t>、</w:t>
      </w:r>
      <w:r>
        <w:rPr>
          <w:rFonts w:hint="eastAsia" w:ascii="宋体" w:hAnsi="宋体" w:cs="宋体"/>
          <w:b/>
          <w:bCs/>
          <w:sz w:val="22"/>
          <w:szCs w:val="22"/>
        </w:rPr>
        <w:t>合同附件</w:t>
      </w:r>
    </w:p>
    <w:p w14:paraId="1A5E36C8">
      <w:pPr>
        <w:spacing w:line="360" w:lineRule="auto"/>
        <w:ind w:firstLine="420"/>
        <w:rPr>
          <w:rFonts w:ascii="宋体" w:hAnsi="宋体" w:cs="宋体"/>
          <w:sz w:val="22"/>
          <w:szCs w:val="22"/>
        </w:rPr>
      </w:pPr>
      <w:r>
        <w:rPr>
          <w:rFonts w:hint="eastAsia" w:ascii="宋体" w:hAnsi="宋体" w:cs="宋体"/>
          <w:sz w:val="22"/>
          <w:szCs w:val="22"/>
        </w:rPr>
        <w:t>下列文件与本合同具有同等法律效力：</w:t>
      </w:r>
    </w:p>
    <w:p w14:paraId="2AE32FD5">
      <w:pPr>
        <w:spacing w:line="360" w:lineRule="auto"/>
        <w:ind w:firstLine="440" w:firstLineChars="200"/>
        <w:rPr>
          <w:rFonts w:ascii="宋体" w:hAnsi="宋体" w:cs="宋体"/>
          <w:sz w:val="22"/>
          <w:szCs w:val="22"/>
        </w:rPr>
      </w:pPr>
      <w:r>
        <w:rPr>
          <w:rFonts w:hint="eastAsia" w:ascii="宋体" w:hAnsi="宋体" w:cs="宋体"/>
          <w:sz w:val="22"/>
          <w:szCs w:val="22"/>
        </w:rPr>
        <w:t>1、采购人的采购招标文件与采购补充文件；</w:t>
      </w:r>
    </w:p>
    <w:p w14:paraId="279B5B36">
      <w:pPr>
        <w:spacing w:line="360" w:lineRule="auto"/>
        <w:ind w:firstLine="440" w:firstLineChars="200"/>
        <w:rPr>
          <w:rFonts w:ascii="宋体" w:hAnsi="宋体" w:cs="宋体"/>
          <w:sz w:val="22"/>
          <w:szCs w:val="22"/>
        </w:rPr>
      </w:pPr>
      <w:r>
        <w:rPr>
          <w:rFonts w:hint="eastAsia" w:ascii="宋体" w:hAnsi="宋体" w:cs="宋体"/>
          <w:sz w:val="22"/>
          <w:szCs w:val="22"/>
        </w:rPr>
        <w:t>2、成交供应商投标文件；</w:t>
      </w:r>
    </w:p>
    <w:p w14:paraId="712CF1EE">
      <w:pPr>
        <w:spacing w:line="360" w:lineRule="auto"/>
        <w:ind w:firstLine="330" w:firstLineChars="150"/>
        <w:rPr>
          <w:rFonts w:ascii="宋体" w:hAnsi="宋体" w:cs="宋体"/>
          <w:sz w:val="22"/>
          <w:szCs w:val="22"/>
        </w:rPr>
      </w:pPr>
      <w:r>
        <w:rPr>
          <w:rFonts w:hint="eastAsia" w:ascii="宋体" w:hAnsi="宋体" w:cs="宋体"/>
          <w:sz w:val="22"/>
          <w:szCs w:val="22"/>
        </w:rPr>
        <w:t xml:space="preserve"> 3、询标纪要和承诺书；</w:t>
      </w:r>
    </w:p>
    <w:p w14:paraId="4C0FBD36">
      <w:pPr>
        <w:spacing w:line="360" w:lineRule="auto"/>
        <w:ind w:firstLine="440" w:firstLineChars="200"/>
        <w:rPr>
          <w:rFonts w:ascii="宋体" w:hAnsi="宋体" w:cs="宋体"/>
          <w:sz w:val="22"/>
          <w:szCs w:val="22"/>
        </w:rPr>
      </w:pPr>
      <w:r>
        <w:rPr>
          <w:rFonts w:hint="eastAsia" w:ascii="宋体" w:hAnsi="宋体" w:cs="宋体"/>
          <w:sz w:val="22"/>
          <w:szCs w:val="22"/>
        </w:rPr>
        <w:t>4、成交通知书。</w:t>
      </w:r>
    </w:p>
    <w:p w14:paraId="2E1B7C2E">
      <w:pPr>
        <w:spacing w:line="360" w:lineRule="auto"/>
        <w:ind w:left="420"/>
        <w:rPr>
          <w:rFonts w:ascii="宋体" w:hAnsi="宋体" w:cs="宋体"/>
          <w:sz w:val="22"/>
          <w:szCs w:val="22"/>
        </w:rPr>
      </w:pPr>
      <w:r>
        <w:rPr>
          <w:rFonts w:hint="eastAsia" w:ascii="宋体" w:hAnsi="宋体" w:cs="宋体"/>
          <w:sz w:val="22"/>
          <w:szCs w:val="22"/>
        </w:rPr>
        <w:t>甲    方：（印章）                     乙    方：（印章）</w:t>
      </w:r>
    </w:p>
    <w:p w14:paraId="67967C2F">
      <w:pPr>
        <w:spacing w:line="360" w:lineRule="auto"/>
        <w:ind w:left="420"/>
        <w:rPr>
          <w:rFonts w:ascii="宋体" w:hAnsi="宋体" w:cs="宋体"/>
          <w:sz w:val="22"/>
          <w:szCs w:val="22"/>
        </w:rPr>
      </w:pPr>
      <w:r>
        <w:rPr>
          <w:rFonts w:hint="eastAsia" w:ascii="宋体" w:hAnsi="宋体" w:cs="宋体"/>
          <w:sz w:val="22"/>
          <w:szCs w:val="22"/>
        </w:rPr>
        <w:t>法定代表人或                           法定代表人或</w:t>
      </w:r>
    </w:p>
    <w:p w14:paraId="16D135E2">
      <w:pPr>
        <w:spacing w:line="360" w:lineRule="auto"/>
        <w:ind w:left="420"/>
        <w:rPr>
          <w:rFonts w:ascii="宋体" w:hAnsi="宋体" w:cs="宋体"/>
          <w:sz w:val="22"/>
          <w:szCs w:val="22"/>
        </w:rPr>
      </w:pPr>
      <w:r>
        <w:rPr>
          <w:rFonts w:hint="eastAsia" w:ascii="宋体" w:hAnsi="宋体" w:cs="宋体"/>
          <w:sz w:val="22"/>
          <w:szCs w:val="22"/>
        </w:rPr>
        <w:t xml:space="preserve">委托代理人：（签字）                   委托代理人：（签字）                     </w:t>
      </w:r>
    </w:p>
    <w:p w14:paraId="52BC8BDB">
      <w:pPr>
        <w:spacing w:line="360" w:lineRule="auto"/>
        <w:ind w:left="420"/>
        <w:rPr>
          <w:rFonts w:ascii="宋体" w:hAnsi="宋体" w:cs="宋体"/>
          <w:sz w:val="22"/>
          <w:szCs w:val="22"/>
        </w:rPr>
      </w:pPr>
      <w:r>
        <w:rPr>
          <w:rFonts w:hint="eastAsia" w:ascii="宋体" w:hAnsi="宋体" w:cs="宋体"/>
          <w:sz w:val="22"/>
          <w:szCs w:val="22"/>
        </w:rPr>
        <w:t>地    址：                             地    址：</w:t>
      </w:r>
    </w:p>
    <w:p w14:paraId="642EBEF5">
      <w:pPr>
        <w:spacing w:line="360" w:lineRule="auto"/>
        <w:ind w:left="420"/>
        <w:rPr>
          <w:rFonts w:ascii="宋体" w:hAnsi="宋体" w:cs="宋体"/>
          <w:sz w:val="22"/>
          <w:szCs w:val="22"/>
        </w:rPr>
      </w:pPr>
      <w:r>
        <w:rPr>
          <w:rFonts w:hint="eastAsia" w:ascii="宋体" w:hAnsi="宋体" w:cs="宋体"/>
          <w:sz w:val="22"/>
          <w:szCs w:val="22"/>
        </w:rPr>
        <w:t>邮政编码：                             邮政编码：</w:t>
      </w:r>
    </w:p>
    <w:p w14:paraId="0CE31BB1">
      <w:pPr>
        <w:spacing w:line="360" w:lineRule="auto"/>
        <w:ind w:left="420"/>
        <w:rPr>
          <w:rFonts w:ascii="宋体" w:hAnsi="宋体" w:cs="宋体"/>
          <w:sz w:val="22"/>
          <w:szCs w:val="22"/>
        </w:rPr>
      </w:pPr>
      <w:r>
        <w:rPr>
          <w:rFonts w:hint="eastAsia" w:ascii="宋体" w:hAnsi="宋体" w:cs="宋体"/>
          <w:sz w:val="22"/>
          <w:szCs w:val="22"/>
        </w:rPr>
        <w:t>电    话：                             电    话：</w:t>
      </w:r>
    </w:p>
    <w:p w14:paraId="2B2E47AD">
      <w:pPr>
        <w:spacing w:line="360" w:lineRule="auto"/>
        <w:ind w:left="420"/>
        <w:rPr>
          <w:rFonts w:ascii="宋体" w:hAnsi="宋体" w:cs="宋体"/>
          <w:sz w:val="22"/>
          <w:szCs w:val="22"/>
        </w:rPr>
      </w:pPr>
      <w:r>
        <w:rPr>
          <w:rFonts w:hint="eastAsia" w:ascii="宋体" w:hAnsi="宋体" w:cs="宋体"/>
          <w:sz w:val="22"/>
          <w:szCs w:val="22"/>
        </w:rPr>
        <w:t>传    真：                             传    真：</w:t>
      </w:r>
    </w:p>
    <w:p w14:paraId="0616B50A">
      <w:pPr>
        <w:spacing w:line="360" w:lineRule="auto"/>
        <w:ind w:left="420"/>
        <w:rPr>
          <w:rFonts w:ascii="宋体" w:hAnsi="宋体" w:cs="宋体"/>
          <w:sz w:val="22"/>
          <w:szCs w:val="22"/>
        </w:rPr>
      </w:pPr>
      <w:r>
        <w:rPr>
          <w:rFonts w:hint="eastAsia" w:ascii="宋体" w:hAnsi="宋体" w:cs="宋体"/>
          <w:sz w:val="22"/>
          <w:szCs w:val="22"/>
        </w:rPr>
        <w:t>开户银行：                             开户银行：</w:t>
      </w:r>
    </w:p>
    <w:p w14:paraId="023D34F6">
      <w:pPr>
        <w:spacing w:line="360" w:lineRule="auto"/>
        <w:ind w:firstLine="330" w:firstLineChars="150"/>
        <w:rPr>
          <w:rFonts w:ascii="宋体" w:hAnsi="宋体" w:cs="宋体"/>
          <w:sz w:val="22"/>
          <w:szCs w:val="22"/>
        </w:rPr>
      </w:pPr>
      <w:r>
        <w:rPr>
          <w:rFonts w:hint="eastAsia" w:ascii="宋体" w:hAnsi="宋体" w:cs="宋体"/>
          <w:sz w:val="22"/>
          <w:szCs w:val="22"/>
        </w:rPr>
        <w:t xml:space="preserve"> 账    号：                             账    号：</w:t>
      </w:r>
    </w:p>
    <w:p w14:paraId="1BAAADC1">
      <w:pPr>
        <w:spacing w:line="360" w:lineRule="auto"/>
        <w:rPr>
          <w:rFonts w:hint="eastAsia" w:ascii="宋体" w:hAnsi="宋体" w:cs="宋体"/>
          <w:sz w:val="22"/>
          <w:szCs w:val="22"/>
        </w:rPr>
      </w:pPr>
      <w:r>
        <w:rPr>
          <w:rFonts w:hint="eastAsia" w:ascii="宋体" w:hAnsi="宋体" w:cs="宋体"/>
          <w:b/>
          <w:sz w:val="22"/>
          <w:szCs w:val="22"/>
        </w:rPr>
        <w:t>注：本合同作为示范文本，具体以中标供应商与采购人所签订正式合同为准</w:t>
      </w:r>
      <w:r>
        <w:rPr>
          <w:rFonts w:hint="eastAsia" w:ascii="宋体" w:hAnsi="宋体" w:cs="宋体"/>
          <w:sz w:val="22"/>
          <w:szCs w:val="22"/>
        </w:rPr>
        <w:t>。</w:t>
      </w:r>
    </w:p>
    <w:p w14:paraId="6647F974">
      <w:pPr>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14:paraId="2D2798BF">
      <w:pPr>
        <w:jc w:val="center"/>
        <w:outlineLvl w:val="1"/>
        <w:rPr>
          <w:rFonts w:hint="eastAsia" w:ascii="仿宋" w:hAnsi="仿宋" w:eastAsia="仿宋" w:cs="仿宋"/>
          <w:b/>
          <w:sz w:val="28"/>
          <w:szCs w:val="28"/>
          <w:lang w:eastAsia="zh-CN"/>
        </w:rPr>
      </w:pPr>
      <w:r>
        <w:rPr>
          <w:rFonts w:hint="eastAsia" w:ascii="仿宋" w:hAnsi="仿宋" w:eastAsia="仿宋" w:cs="仿宋"/>
          <w:b/>
          <w:sz w:val="28"/>
          <w:szCs w:val="28"/>
          <w:lang w:eastAsia="zh-CN"/>
        </w:rPr>
        <w:t>附件：苍南县灵溪镇2026年度除四害消杀服务考核评分细则</w:t>
      </w:r>
    </w:p>
    <w:p w14:paraId="40EA817F">
      <w:pPr>
        <w:jc w:val="center"/>
        <w:rPr>
          <w:rFonts w:hint="eastAsia" w:ascii="仿宋" w:hAnsi="仿宋" w:eastAsia="仿宋" w:cs="仿宋"/>
          <w:b/>
          <w:sz w:val="28"/>
          <w:szCs w:val="28"/>
        </w:rPr>
      </w:pPr>
    </w:p>
    <w:p w14:paraId="65CE2DF8">
      <w:pPr>
        <w:rPr>
          <w:rFonts w:hint="eastAsia" w:ascii="仿宋" w:hAnsi="仿宋" w:eastAsia="仿宋" w:cs="仿宋"/>
          <w:sz w:val="24"/>
          <w:szCs w:val="24"/>
        </w:rPr>
      </w:pPr>
    </w:p>
    <w:tbl>
      <w:tblPr>
        <w:tblStyle w:val="38"/>
        <w:tblW w:w="9559" w:type="dxa"/>
        <w:tblInd w:w="0" w:type="dxa"/>
        <w:tblLayout w:type="fixed"/>
        <w:tblCellMar>
          <w:top w:w="0" w:type="dxa"/>
          <w:left w:w="108" w:type="dxa"/>
          <w:bottom w:w="0" w:type="dxa"/>
          <w:right w:w="108" w:type="dxa"/>
        </w:tblCellMar>
      </w:tblPr>
      <w:tblGrid>
        <w:gridCol w:w="902"/>
        <w:gridCol w:w="686"/>
        <w:gridCol w:w="5946"/>
        <w:gridCol w:w="675"/>
        <w:gridCol w:w="643"/>
        <w:gridCol w:w="707"/>
      </w:tblGrid>
      <w:tr w14:paraId="48A641EB">
        <w:tblPrEx>
          <w:tblCellMar>
            <w:top w:w="0" w:type="dxa"/>
            <w:left w:w="108" w:type="dxa"/>
            <w:bottom w:w="0" w:type="dxa"/>
            <w:right w:w="108" w:type="dxa"/>
          </w:tblCellMar>
        </w:tblPrEx>
        <w:trPr>
          <w:trHeight w:val="496" w:hRule="atLeast"/>
        </w:trPr>
        <w:tc>
          <w:tcPr>
            <w:tcW w:w="902" w:type="dxa"/>
            <w:tcBorders>
              <w:top w:val="single" w:color="000000" w:sz="4" w:space="0"/>
              <w:left w:val="single" w:color="000000" w:sz="4" w:space="0"/>
              <w:bottom w:val="single" w:color="000000" w:sz="4" w:space="0"/>
              <w:right w:val="single" w:color="000000" w:sz="4" w:space="0"/>
            </w:tcBorders>
            <w:noWrap w:val="0"/>
            <w:vAlign w:val="top"/>
          </w:tcPr>
          <w:p w14:paraId="4A8459CD">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项目</w:t>
            </w:r>
          </w:p>
        </w:tc>
        <w:tc>
          <w:tcPr>
            <w:tcW w:w="6632" w:type="dxa"/>
            <w:gridSpan w:val="2"/>
            <w:tcBorders>
              <w:top w:val="single" w:color="000000" w:sz="4" w:space="0"/>
              <w:left w:val="nil"/>
              <w:bottom w:val="single" w:color="000000" w:sz="4" w:space="0"/>
              <w:right w:val="single" w:color="000000" w:sz="4" w:space="0"/>
            </w:tcBorders>
            <w:noWrap w:val="0"/>
            <w:vAlign w:val="top"/>
          </w:tcPr>
          <w:p w14:paraId="616E0BF0">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内容</w:t>
            </w:r>
          </w:p>
        </w:tc>
        <w:tc>
          <w:tcPr>
            <w:tcW w:w="675" w:type="dxa"/>
            <w:tcBorders>
              <w:top w:val="single" w:color="000000" w:sz="4" w:space="0"/>
              <w:left w:val="nil"/>
              <w:bottom w:val="single" w:color="000000" w:sz="4" w:space="0"/>
              <w:right w:val="single" w:color="000000" w:sz="4" w:space="0"/>
            </w:tcBorders>
            <w:noWrap w:val="0"/>
            <w:vAlign w:val="top"/>
          </w:tcPr>
          <w:p w14:paraId="7D17AC97">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分值</w:t>
            </w:r>
          </w:p>
        </w:tc>
        <w:tc>
          <w:tcPr>
            <w:tcW w:w="643" w:type="dxa"/>
            <w:tcBorders>
              <w:top w:val="single" w:color="000000" w:sz="4" w:space="0"/>
              <w:left w:val="nil"/>
              <w:bottom w:val="single" w:color="000000" w:sz="4" w:space="0"/>
              <w:right w:val="single" w:color="000000" w:sz="4" w:space="0"/>
            </w:tcBorders>
            <w:noWrap w:val="0"/>
            <w:vAlign w:val="top"/>
          </w:tcPr>
          <w:p w14:paraId="66DB5357">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得分</w:t>
            </w:r>
          </w:p>
        </w:tc>
        <w:tc>
          <w:tcPr>
            <w:tcW w:w="707" w:type="dxa"/>
            <w:tcBorders>
              <w:top w:val="single" w:color="000000" w:sz="4" w:space="0"/>
              <w:left w:val="nil"/>
              <w:bottom w:val="single" w:color="000000" w:sz="4" w:space="0"/>
              <w:right w:val="single" w:color="000000" w:sz="4" w:space="0"/>
            </w:tcBorders>
            <w:noWrap w:val="0"/>
            <w:vAlign w:val="top"/>
          </w:tcPr>
          <w:p w14:paraId="62BFA7B6">
            <w:pPr>
              <w:spacing w:line="360" w:lineRule="auto"/>
              <w:rPr>
                <w:rFonts w:ascii="新宋体" w:hAnsi="新宋体" w:eastAsia="新宋体" w:cs="新宋体"/>
                <w:b/>
                <w:color w:val="auto"/>
                <w:highlight w:val="none"/>
                <w:lang w:eastAsia="en-US"/>
              </w:rPr>
            </w:pPr>
            <w:r>
              <w:rPr>
                <w:rFonts w:hint="eastAsia" w:ascii="新宋体" w:hAnsi="新宋体" w:eastAsia="新宋体" w:cs="新宋体"/>
                <w:b/>
                <w:color w:val="auto"/>
                <w:highlight w:val="none"/>
              </w:rPr>
              <w:t>说明</w:t>
            </w:r>
          </w:p>
        </w:tc>
      </w:tr>
      <w:tr w14:paraId="7395CB61">
        <w:tblPrEx>
          <w:tblCellMar>
            <w:top w:w="0" w:type="dxa"/>
            <w:left w:w="108" w:type="dxa"/>
            <w:bottom w:w="0" w:type="dxa"/>
            <w:right w:w="108" w:type="dxa"/>
          </w:tblCellMar>
        </w:tblPrEx>
        <w:trPr>
          <w:cantSplit/>
          <w:trHeight w:val="90" w:hRule="atLeast"/>
        </w:trPr>
        <w:tc>
          <w:tcPr>
            <w:tcW w:w="902" w:type="dxa"/>
            <w:vMerge w:val="restart"/>
            <w:tcBorders>
              <w:top w:val="nil"/>
              <w:left w:val="single" w:color="000000" w:sz="4" w:space="0"/>
              <w:bottom w:val="single" w:color="000000" w:sz="4" w:space="0"/>
              <w:right w:val="single" w:color="000000" w:sz="4" w:space="0"/>
            </w:tcBorders>
            <w:noWrap w:val="0"/>
            <w:vAlign w:val="center"/>
          </w:tcPr>
          <w:p w14:paraId="2CA6FA47">
            <w:pPr>
              <w:rPr>
                <w:rFonts w:ascii="新宋体" w:hAnsi="新宋体" w:eastAsia="新宋体" w:cs="新宋体"/>
                <w:color w:val="auto"/>
                <w:highlight w:val="none"/>
              </w:rPr>
            </w:pPr>
            <w:r>
              <w:rPr>
                <w:rFonts w:hint="eastAsia" w:ascii="新宋体" w:hAnsi="新宋体" w:eastAsia="新宋体" w:cs="新宋体"/>
                <w:b/>
                <w:color w:val="auto"/>
                <w:highlight w:val="none"/>
              </w:rPr>
              <w:t>一、人员1</w:t>
            </w:r>
            <w:r>
              <w:rPr>
                <w:rFonts w:hint="eastAsia" w:ascii="新宋体" w:hAnsi="新宋体" w:eastAsia="新宋体" w:cs="新宋体"/>
                <w:b/>
                <w:color w:val="auto"/>
                <w:highlight w:val="none"/>
                <w:lang w:val="en-US" w:eastAsia="zh-CN"/>
              </w:rPr>
              <w:t>5</w:t>
            </w:r>
            <w:r>
              <w:rPr>
                <w:rFonts w:hint="eastAsia" w:ascii="新宋体" w:hAnsi="新宋体" w:eastAsia="新宋体" w:cs="新宋体"/>
                <w:b/>
                <w:color w:val="auto"/>
                <w:highlight w:val="none"/>
              </w:rPr>
              <w:t>分）</w:t>
            </w:r>
          </w:p>
        </w:tc>
        <w:tc>
          <w:tcPr>
            <w:tcW w:w="6632" w:type="dxa"/>
            <w:gridSpan w:val="2"/>
            <w:tcBorders>
              <w:top w:val="single" w:color="000000" w:sz="4" w:space="0"/>
              <w:left w:val="nil"/>
              <w:bottom w:val="single" w:color="000000" w:sz="4" w:space="0"/>
              <w:right w:val="single" w:color="000000" w:sz="4" w:space="0"/>
            </w:tcBorders>
            <w:noWrap w:val="0"/>
            <w:vAlign w:val="top"/>
          </w:tcPr>
          <w:p w14:paraId="53A6B97F">
            <w:pPr>
              <w:rPr>
                <w:rFonts w:hint="eastAsia"/>
              </w:rPr>
            </w:pPr>
            <w:r>
              <w:rPr>
                <w:rFonts w:hint="eastAsia"/>
              </w:rPr>
              <w:t>日常消杀期间，每次保证不少于</w:t>
            </w:r>
            <w:r>
              <w:rPr>
                <w:rFonts w:hint="eastAsia"/>
                <w:lang w:val="en-US" w:eastAsia="zh-CN"/>
              </w:rPr>
              <w:t>10</w:t>
            </w:r>
            <w:r>
              <w:rPr>
                <w:rFonts w:hint="eastAsia"/>
              </w:rPr>
              <w:t>人</w:t>
            </w:r>
            <w:r>
              <w:rPr>
                <w:rFonts w:hint="eastAsia"/>
                <w:lang w:eastAsia="zh-CN"/>
              </w:rPr>
              <w:t>，</w:t>
            </w:r>
            <w:r>
              <w:rPr>
                <w:rFonts w:hint="eastAsia"/>
              </w:rPr>
              <w:t>应急或迎检期间消杀时适当增加消杀作业人员。不定期进行抽查，每少一人次扣</w:t>
            </w:r>
            <w:r>
              <w:rPr>
                <w:rFonts w:hint="eastAsia"/>
                <w:lang w:val="en-US" w:eastAsia="zh-CN"/>
              </w:rPr>
              <w:t>2</w:t>
            </w:r>
            <w:r>
              <w:rPr>
                <w:rFonts w:hint="eastAsia"/>
              </w:rPr>
              <w:t>分，扣完为止。</w:t>
            </w:r>
          </w:p>
        </w:tc>
        <w:tc>
          <w:tcPr>
            <w:tcW w:w="675" w:type="dxa"/>
            <w:tcBorders>
              <w:top w:val="single" w:color="000000" w:sz="4" w:space="0"/>
              <w:left w:val="nil"/>
              <w:bottom w:val="single" w:color="000000" w:sz="4" w:space="0"/>
              <w:right w:val="single" w:color="000000" w:sz="4" w:space="0"/>
            </w:tcBorders>
            <w:noWrap w:val="0"/>
            <w:vAlign w:val="top"/>
          </w:tcPr>
          <w:p w14:paraId="274FA123">
            <w:pPr>
              <w:rPr>
                <w:rFonts w:hint="default"/>
                <w:lang w:val="en-US" w:eastAsia="zh-CN"/>
              </w:rPr>
            </w:pPr>
            <w:r>
              <w:rPr>
                <w:rFonts w:hint="eastAsia"/>
                <w:lang w:val="en-US" w:eastAsia="zh-CN"/>
              </w:rPr>
              <w:t>10</w:t>
            </w:r>
          </w:p>
        </w:tc>
        <w:tc>
          <w:tcPr>
            <w:tcW w:w="643" w:type="dxa"/>
            <w:tcBorders>
              <w:top w:val="single" w:color="000000" w:sz="4" w:space="0"/>
              <w:left w:val="nil"/>
              <w:bottom w:val="single" w:color="000000" w:sz="4" w:space="0"/>
              <w:right w:val="single" w:color="000000" w:sz="4" w:space="0"/>
            </w:tcBorders>
            <w:noWrap w:val="0"/>
            <w:vAlign w:val="top"/>
          </w:tcPr>
          <w:p w14:paraId="2454DD6A">
            <w:pPr>
              <w:spacing w:line="360" w:lineRule="auto"/>
              <w:rPr>
                <w:rFonts w:hint="eastAsia" w:ascii="新宋体" w:hAnsi="新宋体" w:eastAsia="新宋体" w:cs="新宋体"/>
                <w:color w:val="FF0000"/>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5923684D">
            <w:pPr>
              <w:spacing w:line="360" w:lineRule="auto"/>
              <w:rPr>
                <w:rFonts w:hint="default" w:ascii="新宋体" w:hAnsi="新宋体" w:eastAsia="新宋体" w:cs="新宋体"/>
                <w:color w:val="FF0000"/>
                <w:sz w:val="18"/>
                <w:szCs w:val="18"/>
                <w:highlight w:val="none"/>
                <w:lang w:val="en-US" w:eastAsia="zh-CN"/>
              </w:rPr>
            </w:pPr>
          </w:p>
        </w:tc>
      </w:tr>
      <w:tr w14:paraId="1BFC753D">
        <w:tblPrEx>
          <w:tblCellMar>
            <w:top w:w="0" w:type="dxa"/>
            <w:left w:w="108" w:type="dxa"/>
            <w:bottom w:w="0" w:type="dxa"/>
            <w:right w:w="108" w:type="dxa"/>
          </w:tblCellMar>
        </w:tblPrEx>
        <w:trPr>
          <w:cantSplit/>
          <w:trHeight w:val="90"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6219430A">
            <w:pPr>
              <w:rPr>
                <w:rFonts w:ascii="新宋体" w:hAnsi="新宋体" w:eastAsia="新宋体" w:cs="新宋体"/>
                <w:color w:val="auto"/>
                <w:highlight w:val="none"/>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2AF4CD44">
            <w:pPr>
              <w:spacing w:line="360" w:lineRule="auto"/>
              <w:rPr>
                <w:rFonts w:hint="eastAsia" w:ascii="新宋体" w:hAnsi="新宋体" w:eastAsia="新宋体" w:cs="新宋体"/>
                <w:color w:val="auto"/>
                <w:highlight w:val="none"/>
              </w:rPr>
            </w:pPr>
            <w:r>
              <w:rPr>
                <w:rFonts w:hint="eastAsia" w:ascii="新宋体" w:hAnsi="新宋体" w:eastAsia="新宋体" w:cs="新宋体"/>
                <w:color w:val="auto"/>
                <w:highlight w:val="none"/>
              </w:rPr>
              <w:t>操作人员持有</w:t>
            </w:r>
            <w:r>
              <w:rPr>
                <w:rFonts w:hint="eastAsia" w:ascii="新宋体" w:hAnsi="新宋体" w:eastAsia="新宋体" w:cs="新宋体"/>
                <w:color w:val="auto"/>
                <w:highlight w:val="none"/>
                <w:lang w:eastAsia="zh-CN"/>
              </w:rPr>
              <w:t>合同</w:t>
            </w:r>
            <w:r>
              <w:rPr>
                <w:rFonts w:hint="eastAsia" w:ascii="新宋体" w:hAnsi="新宋体" w:eastAsia="新宋体" w:cs="新宋体"/>
                <w:color w:val="auto"/>
                <w:highlight w:val="none"/>
              </w:rPr>
              <w:t>规定的相关机构颁发的病媒生物防制服务培训合格证明或职业资格证书，无培训合格证每人扣0.5分，扣完为止。</w:t>
            </w:r>
          </w:p>
        </w:tc>
        <w:tc>
          <w:tcPr>
            <w:tcW w:w="675" w:type="dxa"/>
            <w:tcBorders>
              <w:top w:val="single" w:color="000000" w:sz="4" w:space="0"/>
              <w:left w:val="nil"/>
              <w:bottom w:val="single" w:color="000000" w:sz="4" w:space="0"/>
              <w:right w:val="single" w:color="000000" w:sz="4" w:space="0"/>
            </w:tcBorders>
            <w:noWrap w:val="0"/>
            <w:vAlign w:val="top"/>
          </w:tcPr>
          <w:p w14:paraId="6BF28E41">
            <w:pPr>
              <w:spacing w:line="360" w:lineRule="auto"/>
              <w:rPr>
                <w:rFonts w:hint="eastAsia" w:ascii="新宋体" w:hAnsi="新宋体" w:eastAsia="新宋体" w:cs="新宋体"/>
                <w:color w:val="auto"/>
                <w:highlight w:val="none"/>
                <w:lang w:eastAsia="en-US"/>
              </w:rPr>
            </w:pPr>
            <w:r>
              <w:rPr>
                <w:rFonts w:hint="eastAsia" w:ascii="新宋体" w:hAnsi="新宋体" w:eastAsia="新宋体" w:cs="新宋体"/>
                <w:color w:val="auto"/>
                <w:highlight w:val="none"/>
              </w:rPr>
              <w:t>5</w:t>
            </w:r>
          </w:p>
        </w:tc>
        <w:tc>
          <w:tcPr>
            <w:tcW w:w="643" w:type="dxa"/>
            <w:tcBorders>
              <w:top w:val="single" w:color="000000" w:sz="4" w:space="0"/>
              <w:left w:val="nil"/>
              <w:bottom w:val="single" w:color="000000" w:sz="4" w:space="0"/>
              <w:right w:val="single" w:color="000000" w:sz="4" w:space="0"/>
            </w:tcBorders>
            <w:noWrap w:val="0"/>
            <w:vAlign w:val="top"/>
          </w:tcPr>
          <w:p w14:paraId="003B45E1">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244F1C60">
            <w:pPr>
              <w:spacing w:line="360" w:lineRule="auto"/>
              <w:rPr>
                <w:rFonts w:hint="eastAsia" w:ascii="新宋体" w:hAnsi="新宋体" w:eastAsia="新宋体" w:cs="新宋体"/>
                <w:color w:val="auto"/>
                <w:sz w:val="18"/>
                <w:szCs w:val="18"/>
                <w:highlight w:val="none"/>
                <w:lang w:val="en-US" w:eastAsia="zh-CN"/>
              </w:rPr>
            </w:pPr>
          </w:p>
        </w:tc>
      </w:tr>
      <w:tr w14:paraId="2421E918">
        <w:tblPrEx>
          <w:tblCellMar>
            <w:top w:w="0" w:type="dxa"/>
            <w:left w:w="108" w:type="dxa"/>
            <w:bottom w:w="0" w:type="dxa"/>
            <w:right w:w="108" w:type="dxa"/>
          </w:tblCellMar>
        </w:tblPrEx>
        <w:trPr>
          <w:cantSplit/>
        </w:trPr>
        <w:tc>
          <w:tcPr>
            <w:tcW w:w="902" w:type="dxa"/>
            <w:vMerge w:val="restart"/>
            <w:tcBorders>
              <w:top w:val="nil"/>
              <w:left w:val="single" w:color="000000" w:sz="4" w:space="0"/>
              <w:bottom w:val="single" w:color="000000" w:sz="4" w:space="0"/>
              <w:right w:val="single" w:color="000000" w:sz="4" w:space="0"/>
            </w:tcBorders>
            <w:noWrap w:val="0"/>
            <w:vAlign w:val="center"/>
          </w:tcPr>
          <w:p w14:paraId="457629FD">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二、设备</w:t>
            </w:r>
          </w:p>
          <w:p w14:paraId="578CD9B8">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5分）</w:t>
            </w:r>
          </w:p>
        </w:tc>
        <w:tc>
          <w:tcPr>
            <w:tcW w:w="6632" w:type="dxa"/>
            <w:gridSpan w:val="2"/>
            <w:tcBorders>
              <w:top w:val="single" w:color="000000" w:sz="4" w:space="0"/>
              <w:left w:val="nil"/>
              <w:bottom w:val="single" w:color="000000" w:sz="4" w:space="0"/>
              <w:right w:val="single" w:color="000000" w:sz="4" w:space="0"/>
            </w:tcBorders>
            <w:noWrap w:val="0"/>
            <w:vAlign w:val="top"/>
          </w:tcPr>
          <w:p w14:paraId="0D454E49">
            <w:pPr>
              <w:spacing w:line="360" w:lineRule="auto"/>
              <w:rPr>
                <w:rFonts w:hint="eastAsia" w:ascii="新宋体" w:hAnsi="新宋体" w:eastAsia="新宋体" w:cs="新宋体"/>
                <w:color w:val="auto"/>
              </w:rPr>
            </w:pPr>
            <w:r>
              <w:rPr>
                <w:rFonts w:hint="eastAsia" w:ascii="新宋体" w:hAnsi="新宋体" w:eastAsia="新宋体" w:cs="新宋体"/>
                <w:color w:val="auto"/>
              </w:rPr>
              <w:t>工程作业车至少</w:t>
            </w:r>
            <w:r>
              <w:rPr>
                <w:rFonts w:hint="eastAsia" w:ascii="新宋体" w:hAnsi="新宋体" w:eastAsia="新宋体" w:cs="新宋体"/>
                <w:color w:val="auto"/>
                <w:lang w:val="en-US" w:eastAsia="zh-CN"/>
              </w:rPr>
              <w:t>1</w:t>
            </w:r>
            <w:r>
              <w:rPr>
                <w:rFonts w:hint="eastAsia" w:ascii="新宋体" w:hAnsi="新宋体" w:eastAsia="新宋体" w:cs="新宋体"/>
                <w:color w:val="auto"/>
              </w:rPr>
              <w:t>辆，</w:t>
            </w:r>
            <w:r>
              <w:rPr>
                <w:rFonts w:hint="eastAsia" w:ascii="新宋体" w:hAnsi="新宋体" w:eastAsia="新宋体" w:cs="新宋体"/>
                <w:color w:val="auto"/>
                <w:lang w:eastAsia="zh-CN"/>
              </w:rPr>
              <w:t>没有不得分</w:t>
            </w:r>
            <w:r>
              <w:rPr>
                <w:rFonts w:hint="eastAsia" w:ascii="新宋体" w:hAnsi="新宋体" w:eastAsia="新宋体" w:cs="新宋体"/>
                <w:color w:val="auto"/>
              </w:rPr>
              <w:t>。</w:t>
            </w:r>
          </w:p>
        </w:tc>
        <w:tc>
          <w:tcPr>
            <w:tcW w:w="675" w:type="dxa"/>
            <w:tcBorders>
              <w:top w:val="single" w:color="000000" w:sz="4" w:space="0"/>
              <w:left w:val="nil"/>
              <w:bottom w:val="single" w:color="000000" w:sz="4" w:space="0"/>
              <w:right w:val="single" w:color="000000" w:sz="4" w:space="0"/>
            </w:tcBorders>
            <w:noWrap w:val="0"/>
            <w:vAlign w:val="top"/>
          </w:tcPr>
          <w:p w14:paraId="2FC19624">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1</w:t>
            </w:r>
          </w:p>
        </w:tc>
        <w:tc>
          <w:tcPr>
            <w:tcW w:w="643" w:type="dxa"/>
            <w:tcBorders>
              <w:top w:val="single" w:color="000000" w:sz="4" w:space="0"/>
              <w:left w:val="nil"/>
              <w:bottom w:val="single" w:color="000000" w:sz="4" w:space="0"/>
              <w:right w:val="single" w:color="000000" w:sz="4" w:space="0"/>
            </w:tcBorders>
            <w:noWrap w:val="0"/>
            <w:vAlign w:val="top"/>
          </w:tcPr>
          <w:p w14:paraId="49F4D554">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0B356EDC">
            <w:pPr>
              <w:spacing w:line="360" w:lineRule="auto"/>
              <w:rPr>
                <w:rFonts w:hint="eastAsia" w:ascii="新宋体" w:hAnsi="新宋体" w:eastAsia="新宋体" w:cs="新宋体"/>
                <w:color w:val="auto"/>
                <w:lang w:eastAsia="en-US"/>
              </w:rPr>
            </w:pPr>
          </w:p>
        </w:tc>
      </w:tr>
      <w:tr w14:paraId="7D8EB05A">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0F473795">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78B959E7">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rPr>
              <w:t>背负式或手提式常量喷雾器</w:t>
            </w:r>
            <w:r>
              <w:rPr>
                <w:rFonts w:hint="eastAsia" w:ascii="宋体" w:hAnsi="宋体" w:cs="宋体"/>
                <w:color w:val="auto"/>
              </w:rPr>
              <w:t>≧</w:t>
            </w:r>
            <w:r>
              <w:rPr>
                <w:rFonts w:hint="eastAsia" w:ascii="新宋体" w:hAnsi="新宋体" w:eastAsia="新宋体" w:cs="新宋体"/>
                <w:color w:val="auto"/>
                <w:lang w:val="en-US" w:eastAsia="zh-CN"/>
              </w:rPr>
              <w:t>10</w:t>
            </w:r>
            <w:r>
              <w:rPr>
                <w:rFonts w:hint="eastAsia" w:ascii="新宋体" w:hAnsi="新宋体" w:eastAsia="新宋体" w:cs="新宋体"/>
                <w:color w:val="auto"/>
              </w:rPr>
              <w:t>台，少1台扣0.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r>
              <w:rPr>
                <w:rFonts w:hint="eastAsia" w:ascii="新宋体" w:hAnsi="新宋体" w:eastAsia="新宋体" w:cs="新宋体"/>
                <w:color w:val="auto"/>
                <w:lang w:eastAsia="zh-CN"/>
              </w:rPr>
              <w:t>，</w:t>
            </w:r>
            <w:r>
              <w:rPr>
                <w:rFonts w:hint="eastAsia" w:ascii="新宋体" w:hAnsi="新宋体" w:eastAsia="新宋体" w:cs="新宋体"/>
                <w:color w:val="auto"/>
                <w:highlight w:val="none"/>
              </w:rPr>
              <w:t>扣完为止</w:t>
            </w:r>
            <w:r>
              <w:rPr>
                <w:rFonts w:hint="eastAsia" w:ascii="新宋体" w:hAnsi="新宋体" w:eastAsia="新宋体" w:cs="新宋体"/>
                <w:color w:val="auto"/>
                <w:highlight w:val="none"/>
                <w:lang w:eastAsia="zh-CN"/>
              </w:rPr>
              <w:t>。</w:t>
            </w:r>
          </w:p>
        </w:tc>
        <w:tc>
          <w:tcPr>
            <w:tcW w:w="675" w:type="dxa"/>
            <w:tcBorders>
              <w:top w:val="single" w:color="000000" w:sz="4" w:space="0"/>
              <w:left w:val="nil"/>
              <w:bottom w:val="single" w:color="000000" w:sz="4" w:space="0"/>
              <w:right w:val="single" w:color="000000" w:sz="4" w:space="0"/>
            </w:tcBorders>
            <w:noWrap w:val="0"/>
            <w:vAlign w:val="top"/>
          </w:tcPr>
          <w:p w14:paraId="5FF1FED8">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2</w:t>
            </w:r>
          </w:p>
        </w:tc>
        <w:tc>
          <w:tcPr>
            <w:tcW w:w="643" w:type="dxa"/>
            <w:tcBorders>
              <w:top w:val="single" w:color="000000" w:sz="4" w:space="0"/>
              <w:left w:val="nil"/>
              <w:bottom w:val="single" w:color="000000" w:sz="4" w:space="0"/>
              <w:right w:val="single" w:color="000000" w:sz="4" w:space="0"/>
            </w:tcBorders>
            <w:noWrap w:val="0"/>
            <w:vAlign w:val="top"/>
          </w:tcPr>
          <w:p w14:paraId="63180166">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3EB7401">
            <w:pPr>
              <w:spacing w:line="360" w:lineRule="auto"/>
              <w:rPr>
                <w:rFonts w:ascii="新宋体" w:hAnsi="新宋体" w:eastAsia="新宋体" w:cs="新宋体"/>
                <w:color w:val="auto"/>
                <w:lang w:eastAsia="en-US"/>
              </w:rPr>
            </w:pPr>
          </w:p>
        </w:tc>
      </w:tr>
      <w:tr w14:paraId="102F80DC">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587AE462">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33E39C49">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rPr>
              <w:t>超低容量或热烟雾机喷雾器</w:t>
            </w:r>
            <w:r>
              <w:rPr>
                <w:rFonts w:hint="eastAsia" w:ascii="宋体" w:hAnsi="宋体" w:cs="宋体"/>
                <w:color w:val="auto"/>
              </w:rPr>
              <w:t>≧</w:t>
            </w:r>
            <w:r>
              <w:rPr>
                <w:rFonts w:hint="eastAsia" w:ascii="新宋体" w:hAnsi="新宋体" w:eastAsia="新宋体" w:cs="新宋体"/>
                <w:color w:val="auto"/>
                <w:lang w:val="en-US" w:eastAsia="zh-CN"/>
              </w:rPr>
              <w:t>5</w:t>
            </w:r>
            <w:r>
              <w:rPr>
                <w:rFonts w:hint="eastAsia" w:ascii="新宋体" w:hAnsi="新宋体" w:eastAsia="新宋体" w:cs="新宋体"/>
                <w:color w:val="auto"/>
              </w:rPr>
              <w:t>台，少1台扣0.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r>
              <w:rPr>
                <w:rFonts w:hint="eastAsia" w:ascii="新宋体" w:hAnsi="新宋体" w:eastAsia="新宋体" w:cs="新宋体"/>
                <w:color w:val="auto"/>
                <w:lang w:eastAsia="zh-CN"/>
              </w:rPr>
              <w:t>，</w:t>
            </w:r>
            <w:r>
              <w:rPr>
                <w:rFonts w:hint="eastAsia" w:ascii="新宋体" w:hAnsi="新宋体" w:eastAsia="新宋体" w:cs="新宋体"/>
                <w:color w:val="auto"/>
                <w:highlight w:val="none"/>
              </w:rPr>
              <w:t>扣完为止</w:t>
            </w:r>
            <w:r>
              <w:rPr>
                <w:rFonts w:hint="eastAsia" w:ascii="新宋体" w:hAnsi="新宋体" w:eastAsia="新宋体" w:cs="新宋体"/>
                <w:color w:val="auto"/>
                <w:highlight w:val="none"/>
                <w:lang w:eastAsia="zh-CN"/>
              </w:rPr>
              <w:t>。</w:t>
            </w:r>
          </w:p>
        </w:tc>
        <w:tc>
          <w:tcPr>
            <w:tcW w:w="675" w:type="dxa"/>
            <w:tcBorders>
              <w:top w:val="single" w:color="000000" w:sz="4" w:space="0"/>
              <w:left w:val="nil"/>
              <w:bottom w:val="single" w:color="000000" w:sz="4" w:space="0"/>
              <w:right w:val="single" w:color="000000" w:sz="4" w:space="0"/>
            </w:tcBorders>
            <w:noWrap w:val="0"/>
            <w:vAlign w:val="top"/>
          </w:tcPr>
          <w:p w14:paraId="7113D20F">
            <w:pPr>
              <w:spacing w:line="360" w:lineRule="auto"/>
              <w:rPr>
                <w:rFonts w:ascii="新宋体" w:hAnsi="新宋体" w:eastAsia="新宋体" w:cs="新宋体"/>
                <w:color w:val="auto"/>
              </w:rPr>
            </w:pPr>
            <w:r>
              <w:rPr>
                <w:rFonts w:hint="eastAsia" w:ascii="新宋体" w:hAnsi="新宋体" w:eastAsia="新宋体" w:cs="新宋体"/>
                <w:color w:val="auto"/>
              </w:rPr>
              <w:t>1</w:t>
            </w:r>
          </w:p>
        </w:tc>
        <w:tc>
          <w:tcPr>
            <w:tcW w:w="643" w:type="dxa"/>
            <w:tcBorders>
              <w:top w:val="single" w:color="000000" w:sz="4" w:space="0"/>
              <w:left w:val="nil"/>
              <w:bottom w:val="single" w:color="000000" w:sz="4" w:space="0"/>
              <w:right w:val="single" w:color="000000" w:sz="4" w:space="0"/>
            </w:tcBorders>
            <w:noWrap w:val="0"/>
            <w:vAlign w:val="top"/>
          </w:tcPr>
          <w:p w14:paraId="4A17B488">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7B1D78B">
            <w:pPr>
              <w:spacing w:line="360" w:lineRule="auto"/>
              <w:rPr>
                <w:rFonts w:ascii="新宋体" w:hAnsi="新宋体" w:eastAsia="新宋体" w:cs="新宋体"/>
                <w:color w:val="auto"/>
                <w:lang w:eastAsia="en-US"/>
              </w:rPr>
            </w:pPr>
          </w:p>
        </w:tc>
      </w:tr>
      <w:tr w14:paraId="2D3D66B8">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4E2AB122">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2A9AF8A5">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rPr>
              <w:t>病媒生物防制专用检查工具</w:t>
            </w:r>
            <w:r>
              <w:rPr>
                <w:rFonts w:hint="eastAsia" w:ascii="新宋体" w:hAnsi="新宋体" w:eastAsia="新宋体" w:cs="新宋体"/>
                <w:color w:val="auto"/>
                <w:lang w:val="en-US" w:eastAsia="zh-CN"/>
              </w:rPr>
              <w:t>5</w:t>
            </w:r>
            <w:r>
              <w:rPr>
                <w:rFonts w:hint="eastAsia" w:ascii="新宋体" w:hAnsi="新宋体" w:eastAsia="新宋体" w:cs="新宋体"/>
                <w:color w:val="auto"/>
              </w:rPr>
              <w:t>套以上，少1套扣0.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r>
              <w:rPr>
                <w:rFonts w:hint="eastAsia" w:ascii="新宋体" w:hAnsi="新宋体" w:eastAsia="新宋体" w:cs="新宋体"/>
                <w:color w:val="auto"/>
                <w:lang w:eastAsia="zh-CN"/>
              </w:rPr>
              <w:t>，</w:t>
            </w:r>
            <w:r>
              <w:rPr>
                <w:rFonts w:hint="eastAsia" w:ascii="新宋体" w:hAnsi="新宋体" w:eastAsia="新宋体" w:cs="新宋体"/>
                <w:color w:val="auto"/>
                <w:highlight w:val="none"/>
              </w:rPr>
              <w:t>扣完为止</w:t>
            </w:r>
            <w:r>
              <w:rPr>
                <w:rFonts w:hint="eastAsia" w:ascii="新宋体" w:hAnsi="新宋体" w:eastAsia="新宋体" w:cs="新宋体"/>
                <w:color w:val="auto"/>
                <w:highlight w:val="none"/>
                <w:lang w:eastAsia="zh-CN"/>
              </w:rPr>
              <w:t>。</w:t>
            </w:r>
          </w:p>
        </w:tc>
        <w:tc>
          <w:tcPr>
            <w:tcW w:w="675" w:type="dxa"/>
            <w:tcBorders>
              <w:top w:val="single" w:color="000000" w:sz="4" w:space="0"/>
              <w:left w:val="nil"/>
              <w:bottom w:val="single" w:color="000000" w:sz="4" w:space="0"/>
              <w:right w:val="single" w:color="000000" w:sz="4" w:space="0"/>
            </w:tcBorders>
            <w:noWrap w:val="0"/>
            <w:vAlign w:val="top"/>
          </w:tcPr>
          <w:p w14:paraId="589A6261">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1</w:t>
            </w:r>
          </w:p>
        </w:tc>
        <w:tc>
          <w:tcPr>
            <w:tcW w:w="643" w:type="dxa"/>
            <w:tcBorders>
              <w:top w:val="single" w:color="000000" w:sz="4" w:space="0"/>
              <w:left w:val="nil"/>
              <w:bottom w:val="single" w:color="000000" w:sz="4" w:space="0"/>
              <w:right w:val="single" w:color="000000" w:sz="4" w:space="0"/>
            </w:tcBorders>
            <w:noWrap w:val="0"/>
            <w:vAlign w:val="top"/>
          </w:tcPr>
          <w:p w14:paraId="78E8E578">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2CB6D1B7">
            <w:pPr>
              <w:spacing w:line="360" w:lineRule="auto"/>
              <w:rPr>
                <w:rFonts w:ascii="新宋体" w:hAnsi="新宋体" w:eastAsia="新宋体" w:cs="新宋体"/>
                <w:color w:val="auto"/>
                <w:lang w:eastAsia="en-US"/>
              </w:rPr>
            </w:pPr>
          </w:p>
        </w:tc>
      </w:tr>
      <w:tr w14:paraId="7834F248">
        <w:tblPrEx>
          <w:tblCellMar>
            <w:top w:w="0" w:type="dxa"/>
            <w:left w:w="108" w:type="dxa"/>
            <w:bottom w:w="0" w:type="dxa"/>
            <w:right w:w="108" w:type="dxa"/>
          </w:tblCellMar>
        </w:tblPrEx>
        <w:trPr>
          <w:cantSplit/>
        </w:trPr>
        <w:tc>
          <w:tcPr>
            <w:tcW w:w="902" w:type="dxa"/>
            <w:vMerge w:val="restart"/>
            <w:tcBorders>
              <w:top w:val="nil"/>
              <w:left w:val="single" w:color="000000" w:sz="4" w:space="0"/>
              <w:bottom w:val="single" w:color="000000" w:sz="4" w:space="0"/>
              <w:right w:val="single" w:color="000000" w:sz="4" w:space="0"/>
            </w:tcBorders>
            <w:noWrap w:val="0"/>
            <w:vAlign w:val="center"/>
          </w:tcPr>
          <w:p w14:paraId="0CCC42D1">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三、药品使用</w:t>
            </w:r>
          </w:p>
          <w:p w14:paraId="6F802560">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w:t>
            </w:r>
            <w:r>
              <w:rPr>
                <w:rFonts w:hint="eastAsia" w:ascii="新宋体" w:hAnsi="新宋体" w:eastAsia="新宋体" w:cs="新宋体"/>
                <w:b/>
                <w:color w:val="auto"/>
                <w:lang w:val="en-US" w:eastAsia="zh-CN"/>
              </w:rPr>
              <w:t>8</w:t>
            </w:r>
            <w:r>
              <w:rPr>
                <w:rFonts w:hint="eastAsia" w:ascii="新宋体" w:hAnsi="新宋体" w:eastAsia="新宋体" w:cs="新宋体"/>
                <w:b/>
                <w:color w:val="auto"/>
              </w:rPr>
              <w:t>分）</w:t>
            </w:r>
          </w:p>
        </w:tc>
        <w:tc>
          <w:tcPr>
            <w:tcW w:w="6632" w:type="dxa"/>
            <w:gridSpan w:val="2"/>
            <w:tcBorders>
              <w:top w:val="single" w:color="000000" w:sz="4" w:space="0"/>
              <w:left w:val="nil"/>
              <w:bottom w:val="single" w:color="000000" w:sz="4" w:space="0"/>
              <w:right w:val="single" w:color="000000" w:sz="4" w:space="0"/>
            </w:tcBorders>
            <w:noWrap w:val="0"/>
            <w:vAlign w:val="top"/>
          </w:tcPr>
          <w:p w14:paraId="015523E4">
            <w:pPr>
              <w:spacing w:line="360" w:lineRule="auto"/>
              <w:rPr>
                <w:rFonts w:ascii="新宋体" w:hAnsi="新宋体" w:eastAsia="新宋体" w:cs="新宋体"/>
                <w:color w:val="auto"/>
              </w:rPr>
            </w:pPr>
            <w:r>
              <w:rPr>
                <w:rFonts w:hint="eastAsia" w:ascii="新宋体" w:hAnsi="新宋体" w:eastAsia="新宋体" w:cs="新宋体"/>
                <w:color w:val="auto"/>
              </w:rPr>
              <w:t>杀虫灭鼠药物“三证”齐全，不齐全不得分。</w:t>
            </w:r>
          </w:p>
        </w:tc>
        <w:tc>
          <w:tcPr>
            <w:tcW w:w="675" w:type="dxa"/>
            <w:tcBorders>
              <w:top w:val="single" w:color="000000" w:sz="4" w:space="0"/>
              <w:left w:val="nil"/>
              <w:bottom w:val="single" w:color="000000" w:sz="4" w:space="0"/>
              <w:right w:val="single" w:color="000000" w:sz="4" w:space="0"/>
            </w:tcBorders>
            <w:noWrap w:val="0"/>
            <w:vAlign w:val="top"/>
          </w:tcPr>
          <w:p w14:paraId="7930F6A3">
            <w:pPr>
              <w:spacing w:line="360" w:lineRule="auto"/>
              <w:rPr>
                <w:rFonts w:ascii="新宋体" w:hAnsi="新宋体" w:eastAsia="新宋体" w:cs="新宋体"/>
                <w:color w:val="auto"/>
                <w:lang w:eastAsia="en-US"/>
              </w:rPr>
            </w:pPr>
            <w:r>
              <w:rPr>
                <w:rFonts w:hint="eastAsia" w:ascii="新宋体" w:hAnsi="新宋体" w:eastAsia="新宋体" w:cs="新宋体"/>
                <w:color w:val="auto"/>
              </w:rPr>
              <w:t>1</w:t>
            </w:r>
          </w:p>
        </w:tc>
        <w:tc>
          <w:tcPr>
            <w:tcW w:w="643" w:type="dxa"/>
            <w:tcBorders>
              <w:top w:val="single" w:color="000000" w:sz="4" w:space="0"/>
              <w:left w:val="nil"/>
              <w:bottom w:val="single" w:color="000000" w:sz="4" w:space="0"/>
              <w:right w:val="single" w:color="000000" w:sz="4" w:space="0"/>
            </w:tcBorders>
            <w:noWrap w:val="0"/>
            <w:vAlign w:val="top"/>
          </w:tcPr>
          <w:p w14:paraId="3282D83D">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291D6FC">
            <w:pPr>
              <w:spacing w:line="360" w:lineRule="auto"/>
              <w:rPr>
                <w:rFonts w:ascii="新宋体" w:hAnsi="新宋体" w:eastAsia="新宋体" w:cs="新宋体"/>
                <w:color w:val="auto"/>
                <w:lang w:eastAsia="en-US"/>
              </w:rPr>
            </w:pPr>
          </w:p>
        </w:tc>
      </w:tr>
      <w:tr w14:paraId="0C74CDB0">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1B8AEE6D">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491B0A2E">
            <w:pPr>
              <w:spacing w:line="360" w:lineRule="auto"/>
              <w:rPr>
                <w:rFonts w:ascii="新宋体" w:hAnsi="新宋体" w:eastAsia="新宋体" w:cs="新宋体"/>
                <w:color w:val="auto"/>
              </w:rPr>
            </w:pPr>
            <w:r>
              <w:rPr>
                <w:rFonts w:hint="eastAsia" w:ascii="新宋体" w:hAnsi="新宋体" w:eastAsia="新宋体" w:cs="新宋体"/>
                <w:color w:val="auto"/>
              </w:rPr>
              <w:t>不使用违禁药品，用药品种和方法符合或优于招投标文件要求。每发现1种不符合</w:t>
            </w:r>
            <w:r>
              <w:rPr>
                <w:rFonts w:hint="eastAsia" w:ascii="新宋体" w:hAnsi="新宋体" w:eastAsia="新宋体" w:cs="新宋体"/>
                <w:color w:val="auto"/>
                <w:lang w:eastAsia="zh-CN"/>
              </w:rPr>
              <w:t>合同</w:t>
            </w:r>
            <w:r>
              <w:rPr>
                <w:rFonts w:hint="eastAsia" w:ascii="新宋体" w:hAnsi="新宋体" w:eastAsia="新宋体" w:cs="新宋体"/>
                <w:color w:val="auto"/>
              </w:rPr>
              <w:t>要求扣0.5分；发现使用违禁药品，则该项不得分。</w:t>
            </w:r>
          </w:p>
        </w:tc>
        <w:tc>
          <w:tcPr>
            <w:tcW w:w="675" w:type="dxa"/>
            <w:tcBorders>
              <w:top w:val="single" w:color="000000" w:sz="4" w:space="0"/>
              <w:left w:val="nil"/>
              <w:bottom w:val="single" w:color="000000" w:sz="4" w:space="0"/>
              <w:right w:val="single" w:color="000000" w:sz="4" w:space="0"/>
            </w:tcBorders>
            <w:noWrap w:val="0"/>
            <w:vAlign w:val="top"/>
          </w:tcPr>
          <w:p w14:paraId="18DF6FFA">
            <w:pPr>
              <w:spacing w:line="360" w:lineRule="auto"/>
              <w:rPr>
                <w:rFonts w:ascii="新宋体" w:hAnsi="新宋体" w:eastAsia="新宋体" w:cs="新宋体"/>
                <w:color w:val="auto"/>
                <w:lang w:eastAsia="en-US"/>
              </w:rPr>
            </w:pPr>
            <w:r>
              <w:rPr>
                <w:rFonts w:hint="eastAsia" w:ascii="新宋体" w:hAnsi="新宋体" w:eastAsia="新宋体" w:cs="新宋体"/>
                <w:color w:val="auto"/>
              </w:rPr>
              <w:t>2</w:t>
            </w:r>
          </w:p>
        </w:tc>
        <w:tc>
          <w:tcPr>
            <w:tcW w:w="643" w:type="dxa"/>
            <w:tcBorders>
              <w:top w:val="single" w:color="000000" w:sz="4" w:space="0"/>
              <w:left w:val="nil"/>
              <w:bottom w:val="single" w:color="000000" w:sz="4" w:space="0"/>
              <w:right w:val="single" w:color="000000" w:sz="4" w:space="0"/>
            </w:tcBorders>
            <w:noWrap w:val="0"/>
            <w:vAlign w:val="top"/>
          </w:tcPr>
          <w:p w14:paraId="576125A4">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74C1F987">
            <w:pPr>
              <w:spacing w:line="360" w:lineRule="auto"/>
              <w:rPr>
                <w:rFonts w:ascii="新宋体" w:hAnsi="新宋体" w:eastAsia="新宋体" w:cs="新宋体"/>
                <w:color w:val="auto"/>
                <w:lang w:eastAsia="en-US"/>
              </w:rPr>
            </w:pPr>
          </w:p>
        </w:tc>
      </w:tr>
      <w:tr w14:paraId="11B44B17">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47B11CCD">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55F13AFA">
            <w:pPr>
              <w:spacing w:line="360" w:lineRule="auto"/>
              <w:rPr>
                <w:rFonts w:ascii="新宋体" w:hAnsi="新宋体" w:eastAsia="新宋体" w:cs="新宋体"/>
                <w:color w:val="auto"/>
              </w:rPr>
            </w:pPr>
            <w:r>
              <w:rPr>
                <w:rFonts w:hint="eastAsia" w:ascii="新宋体" w:hAnsi="新宋体" w:eastAsia="新宋体" w:cs="新宋体"/>
                <w:color w:val="auto"/>
              </w:rPr>
              <w:t>供货及时，票据齐全</w:t>
            </w:r>
            <w:r>
              <w:rPr>
                <w:rFonts w:hint="eastAsia" w:ascii="新宋体" w:hAnsi="新宋体" w:eastAsia="新宋体" w:cs="新宋体"/>
                <w:color w:val="auto"/>
                <w:lang w:eastAsia="zh-CN"/>
              </w:rPr>
              <w:t>（须备注为本区域使用）</w:t>
            </w:r>
            <w:r>
              <w:rPr>
                <w:rFonts w:hint="eastAsia" w:ascii="新宋体" w:hAnsi="新宋体" w:eastAsia="新宋体" w:cs="新宋体"/>
                <w:color w:val="auto"/>
              </w:rPr>
              <w:t>，进出库记录齐全，每发现1处不符合要求扣0.5分，扣完为止。</w:t>
            </w:r>
          </w:p>
        </w:tc>
        <w:tc>
          <w:tcPr>
            <w:tcW w:w="675" w:type="dxa"/>
            <w:tcBorders>
              <w:top w:val="single" w:color="000000" w:sz="4" w:space="0"/>
              <w:left w:val="nil"/>
              <w:bottom w:val="single" w:color="000000" w:sz="4" w:space="0"/>
              <w:right w:val="single" w:color="000000" w:sz="4" w:space="0"/>
            </w:tcBorders>
            <w:noWrap w:val="0"/>
            <w:vAlign w:val="top"/>
          </w:tcPr>
          <w:p w14:paraId="706C619F">
            <w:pPr>
              <w:spacing w:line="360" w:lineRule="auto"/>
              <w:rPr>
                <w:rFonts w:ascii="新宋体" w:hAnsi="新宋体" w:eastAsia="新宋体" w:cs="新宋体"/>
                <w:color w:val="auto"/>
                <w:lang w:eastAsia="en-US"/>
              </w:rPr>
            </w:pPr>
            <w:r>
              <w:rPr>
                <w:rFonts w:hint="eastAsia" w:ascii="新宋体" w:hAnsi="新宋体" w:eastAsia="新宋体" w:cs="新宋体"/>
                <w:color w:val="auto"/>
              </w:rPr>
              <w:t>3</w:t>
            </w:r>
          </w:p>
        </w:tc>
        <w:tc>
          <w:tcPr>
            <w:tcW w:w="643" w:type="dxa"/>
            <w:tcBorders>
              <w:top w:val="single" w:color="000000" w:sz="4" w:space="0"/>
              <w:left w:val="nil"/>
              <w:bottom w:val="single" w:color="000000" w:sz="4" w:space="0"/>
              <w:right w:val="single" w:color="000000" w:sz="4" w:space="0"/>
            </w:tcBorders>
            <w:noWrap w:val="0"/>
            <w:vAlign w:val="top"/>
          </w:tcPr>
          <w:p w14:paraId="11BAB689">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53386F24">
            <w:pPr>
              <w:spacing w:line="360" w:lineRule="auto"/>
              <w:rPr>
                <w:rFonts w:ascii="新宋体" w:hAnsi="新宋体" w:eastAsia="新宋体" w:cs="新宋体"/>
                <w:color w:val="auto"/>
                <w:lang w:eastAsia="en-US"/>
              </w:rPr>
            </w:pPr>
          </w:p>
        </w:tc>
      </w:tr>
      <w:tr w14:paraId="3333E3DA">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5BBE7DC8">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4C862412">
            <w:pPr>
              <w:spacing w:line="360" w:lineRule="auto"/>
              <w:rPr>
                <w:rFonts w:ascii="新宋体" w:hAnsi="新宋体" w:eastAsia="新宋体" w:cs="新宋体"/>
                <w:color w:val="auto"/>
              </w:rPr>
            </w:pPr>
            <w:r>
              <w:rPr>
                <w:rFonts w:hint="eastAsia" w:ascii="新宋体" w:hAnsi="新宋体" w:eastAsia="新宋体" w:cs="新宋体"/>
                <w:color w:val="auto"/>
              </w:rPr>
              <w:t>现场检查药物使用方法正确，符合规范。每发现1处错误扣0.5分，扣完为止。</w:t>
            </w:r>
          </w:p>
        </w:tc>
        <w:tc>
          <w:tcPr>
            <w:tcW w:w="675" w:type="dxa"/>
            <w:tcBorders>
              <w:top w:val="single" w:color="000000" w:sz="4" w:space="0"/>
              <w:left w:val="nil"/>
              <w:bottom w:val="single" w:color="000000" w:sz="4" w:space="0"/>
              <w:right w:val="single" w:color="000000" w:sz="4" w:space="0"/>
            </w:tcBorders>
            <w:noWrap w:val="0"/>
            <w:vAlign w:val="top"/>
          </w:tcPr>
          <w:p w14:paraId="6053F06D">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2</w:t>
            </w:r>
          </w:p>
        </w:tc>
        <w:tc>
          <w:tcPr>
            <w:tcW w:w="643" w:type="dxa"/>
            <w:tcBorders>
              <w:top w:val="single" w:color="000000" w:sz="4" w:space="0"/>
              <w:left w:val="nil"/>
              <w:bottom w:val="single" w:color="000000" w:sz="4" w:space="0"/>
              <w:right w:val="single" w:color="000000" w:sz="4" w:space="0"/>
            </w:tcBorders>
            <w:noWrap w:val="0"/>
            <w:vAlign w:val="top"/>
          </w:tcPr>
          <w:p w14:paraId="07D1272F">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33A21781">
            <w:pPr>
              <w:spacing w:line="360" w:lineRule="auto"/>
              <w:rPr>
                <w:rFonts w:ascii="新宋体" w:hAnsi="新宋体" w:eastAsia="新宋体" w:cs="新宋体"/>
                <w:color w:val="auto"/>
                <w:lang w:eastAsia="en-US"/>
              </w:rPr>
            </w:pPr>
          </w:p>
        </w:tc>
      </w:tr>
      <w:tr w14:paraId="087504B7">
        <w:tblPrEx>
          <w:tblCellMar>
            <w:top w:w="0" w:type="dxa"/>
            <w:left w:w="108" w:type="dxa"/>
            <w:bottom w:w="0" w:type="dxa"/>
            <w:right w:w="108" w:type="dxa"/>
          </w:tblCellMar>
        </w:tblPrEx>
        <w:trPr>
          <w:cantSplit/>
          <w:trHeight w:val="726" w:hRule="atLeast"/>
        </w:trPr>
        <w:tc>
          <w:tcPr>
            <w:tcW w:w="902" w:type="dxa"/>
            <w:vMerge w:val="restart"/>
            <w:tcBorders>
              <w:top w:val="nil"/>
              <w:left w:val="single" w:color="000000" w:sz="4" w:space="0"/>
              <w:bottom w:val="single" w:color="000000" w:sz="4" w:space="0"/>
              <w:right w:val="single" w:color="000000" w:sz="4" w:space="0"/>
            </w:tcBorders>
            <w:noWrap w:val="0"/>
            <w:vAlign w:val="center"/>
          </w:tcPr>
          <w:p w14:paraId="28555FF2">
            <w:pPr>
              <w:spacing w:line="360" w:lineRule="auto"/>
              <w:rPr>
                <w:rFonts w:ascii="新宋体" w:hAnsi="新宋体" w:eastAsia="新宋体" w:cs="新宋体"/>
                <w:b/>
                <w:color w:val="auto"/>
              </w:rPr>
            </w:pPr>
            <w:r>
              <w:rPr>
                <w:rFonts w:hint="eastAsia" w:ascii="新宋体" w:hAnsi="新宋体" w:eastAsia="新宋体" w:cs="新宋体"/>
                <w:b/>
                <w:color w:val="auto"/>
              </w:rPr>
              <w:t>四、施工计划与进度</w:t>
            </w:r>
          </w:p>
          <w:p w14:paraId="34C62E4B">
            <w:pPr>
              <w:spacing w:line="360" w:lineRule="auto"/>
              <w:rPr>
                <w:rFonts w:ascii="新宋体" w:hAnsi="新宋体" w:eastAsia="新宋体" w:cs="新宋体"/>
                <w:b/>
                <w:color w:val="auto"/>
              </w:rPr>
            </w:pPr>
            <w:r>
              <w:rPr>
                <w:rFonts w:hint="eastAsia" w:ascii="新宋体" w:hAnsi="新宋体" w:eastAsia="新宋体" w:cs="新宋体"/>
                <w:b/>
                <w:color w:val="auto"/>
              </w:rPr>
              <w:t>（</w:t>
            </w:r>
            <w:r>
              <w:rPr>
                <w:rFonts w:hint="eastAsia" w:ascii="新宋体" w:hAnsi="新宋体" w:eastAsia="新宋体" w:cs="新宋体"/>
                <w:b/>
                <w:color w:val="auto"/>
                <w:lang w:val="en-US" w:eastAsia="zh-CN"/>
              </w:rPr>
              <w:t>22</w:t>
            </w:r>
            <w:r>
              <w:rPr>
                <w:rFonts w:hint="eastAsia" w:ascii="新宋体" w:hAnsi="新宋体" w:eastAsia="新宋体" w:cs="新宋体"/>
                <w:b/>
                <w:color w:val="auto"/>
              </w:rPr>
              <w:t>分）</w:t>
            </w:r>
          </w:p>
        </w:tc>
        <w:tc>
          <w:tcPr>
            <w:tcW w:w="6632" w:type="dxa"/>
            <w:gridSpan w:val="2"/>
            <w:tcBorders>
              <w:top w:val="single" w:color="000000" w:sz="4" w:space="0"/>
              <w:left w:val="nil"/>
              <w:bottom w:val="single" w:color="000000" w:sz="4" w:space="0"/>
              <w:right w:val="single" w:color="000000" w:sz="4" w:space="0"/>
            </w:tcBorders>
            <w:noWrap w:val="0"/>
            <w:vAlign w:val="top"/>
          </w:tcPr>
          <w:p w14:paraId="2126978E">
            <w:pPr>
              <w:spacing w:line="360" w:lineRule="auto"/>
              <w:rPr>
                <w:rFonts w:ascii="新宋体" w:hAnsi="新宋体" w:eastAsia="新宋体" w:cs="新宋体"/>
                <w:color w:val="auto"/>
              </w:rPr>
            </w:pPr>
            <w:r>
              <w:rPr>
                <w:rFonts w:hint="eastAsia" w:ascii="新宋体" w:hAnsi="新宋体" w:eastAsia="新宋体" w:cs="新宋体"/>
                <w:color w:val="auto"/>
              </w:rPr>
              <w:t>有总体施工计划，并按计划组织实施，发现1次未按照计划实施并不能说明客观原因的扣0.5分，扣完为止。。</w:t>
            </w:r>
          </w:p>
        </w:tc>
        <w:tc>
          <w:tcPr>
            <w:tcW w:w="675" w:type="dxa"/>
            <w:tcBorders>
              <w:top w:val="single" w:color="000000" w:sz="4" w:space="0"/>
              <w:left w:val="nil"/>
              <w:bottom w:val="single" w:color="000000" w:sz="4" w:space="0"/>
              <w:right w:val="single" w:color="000000" w:sz="4" w:space="0"/>
            </w:tcBorders>
            <w:noWrap w:val="0"/>
            <w:vAlign w:val="top"/>
          </w:tcPr>
          <w:p w14:paraId="085CE8E4">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2</w:t>
            </w:r>
          </w:p>
        </w:tc>
        <w:tc>
          <w:tcPr>
            <w:tcW w:w="643" w:type="dxa"/>
            <w:tcBorders>
              <w:top w:val="single" w:color="000000" w:sz="4" w:space="0"/>
              <w:left w:val="nil"/>
              <w:bottom w:val="single" w:color="000000" w:sz="4" w:space="0"/>
              <w:right w:val="single" w:color="000000" w:sz="4" w:space="0"/>
            </w:tcBorders>
            <w:noWrap w:val="0"/>
            <w:vAlign w:val="top"/>
          </w:tcPr>
          <w:p w14:paraId="59A8E087">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F43367F">
            <w:pPr>
              <w:spacing w:line="360" w:lineRule="auto"/>
              <w:rPr>
                <w:rFonts w:hint="eastAsia" w:ascii="新宋体" w:hAnsi="新宋体" w:eastAsia="新宋体" w:cs="新宋体"/>
                <w:color w:val="auto"/>
                <w:sz w:val="18"/>
                <w:szCs w:val="18"/>
                <w:highlight w:val="none"/>
                <w:lang w:val="en-US" w:eastAsia="zh-CN"/>
              </w:rPr>
            </w:pPr>
          </w:p>
        </w:tc>
      </w:tr>
      <w:tr w14:paraId="6EDD2942">
        <w:tblPrEx>
          <w:tblCellMar>
            <w:top w:w="0" w:type="dxa"/>
            <w:left w:w="108" w:type="dxa"/>
            <w:bottom w:w="0" w:type="dxa"/>
            <w:right w:w="108" w:type="dxa"/>
          </w:tblCellMar>
        </w:tblPrEx>
        <w:trPr>
          <w:cantSplit/>
          <w:trHeight w:val="868"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43B763AB">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40DC6A23">
            <w:pPr>
              <w:spacing w:line="360" w:lineRule="auto"/>
              <w:rPr>
                <w:rFonts w:ascii="新宋体" w:hAnsi="新宋体" w:eastAsia="新宋体" w:cs="新宋体"/>
                <w:color w:val="auto"/>
              </w:rPr>
            </w:pPr>
            <w:r>
              <w:rPr>
                <w:rFonts w:hint="eastAsia" w:ascii="新宋体" w:hAnsi="新宋体" w:eastAsia="新宋体" w:cs="新宋体"/>
                <w:color w:val="auto"/>
              </w:rPr>
              <w:t>毒饵站、捕蝇笼等设施</w:t>
            </w:r>
            <w:r>
              <w:rPr>
                <w:rFonts w:hint="eastAsia" w:ascii="新宋体" w:hAnsi="新宋体" w:eastAsia="新宋体" w:cs="新宋体"/>
                <w:color w:val="auto"/>
                <w:lang w:eastAsia="zh-CN"/>
              </w:rPr>
              <w:t>未</w:t>
            </w:r>
            <w:r>
              <w:rPr>
                <w:rFonts w:hint="eastAsia" w:ascii="新宋体" w:hAnsi="新宋体" w:eastAsia="新宋体" w:cs="新宋体"/>
                <w:color w:val="auto"/>
              </w:rPr>
              <w:t>按规定维护，发现1处不到位扣0.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分，扣完为止。</w:t>
            </w:r>
          </w:p>
        </w:tc>
        <w:tc>
          <w:tcPr>
            <w:tcW w:w="675" w:type="dxa"/>
            <w:tcBorders>
              <w:top w:val="single" w:color="000000" w:sz="4" w:space="0"/>
              <w:left w:val="nil"/>
              <w:bottom w:val="single" w:color="000000" w:sz="4" w:space="0"/>
              <w:right w:val="single" w:color="000000" w:sz="4" w:space="0"/>
            </w:tcBorders>
            <w:noWrap w:val="0"/>
            <w:vAlign w:val="top"/>
          </w:tcPr>
          <w:p w14:paraId="105FCADA">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5</w:t>
            </w:r>
          </w:p>
        </w:tc>
        <w:tc>
          <w:tcPr>
            <w:tcW w:w="643" w:type="dxa"/>
            <w:tcBorders>
              <w:top w:val="single" w:color="000000" w:sz="4" w:space="0"/>
              <w:left w:val="nil"/>
              <w:bottom w:val="single" w:color="000000" w:sz="4" w:space="0"/>
              <w:right w:val="single" w:color="000000" w:sz="4" w:space="0"/>
            </w:tcBorders>
            <w:noWrap w:val="0"/>
            <w:vAlign w:val="top"/>
          </w:tcPr>
          <w:p w14:paraId="55643EF1">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302DABBF">
            <w:pPr>
              <w:spacing w:line="360" w:lineRule="auto"/>
              <w:rPr>
                <w:rFonts w:hint="default" w:ascii="新宋体" w:hAnsi="新宋体" w:eastAsia="新宋体" w:cs="新宋体"/>
                <w:color w:val="auto"/>
                <w:sz w:val="18"/>
                <w:szCs w:val="18"/>
                <w:highlight w:val="none"/>
                <w:lang w:val="en-US" w:eastAsia="zh-CN"/>
              </w:rPr>
            </w:pPr>
          </w:p>
        </w:tc>
      </w:tr>
      <w:tr w14:paraId="63954E52">
        <w:tblPrEx>
          <w:tblCellMar>
            <w:top w:w="0" w:type="dxa"/>
            <w:left w:w="108" w:type="dxa"/>
            <w:bottom w:w="0" w:type="dxa"/>
            <w:right w:w="108" w:type="dxa"/>
          </w:tblCellMar>
        </w:tblPrEx>
        <w:trPr>
          <w:cantSplit/>
          <w:trHeight w:val="510"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5FF3839B">
            <w:pPr>
              <w:rPr>
                <w:rFonts w:ascii="新宋体" w:hAnsi="新宋体" w:eastAsia="新宋体" w:cs="新宋体"/>
                <w:color w:val="auto"/>
              </w:rPr>
            </w:pPr>
          </w:p>
        </w:tc>
        <w:tc>
          <w:tcPr>
            <w:tcW w:w="6632" w:type="dxa"/>
            <w:gridSpan w:val="2"/>
            <w:tcBorders>
              <w:top w:val="single" w:color="auto" w:sz="4" w:space="0"/>
              <w:left w:val="nil"/>
              <w:bottom w:val="single" w:color="000000" w:sz="4" w:space="0"/>
              <w:right w:val="single" w:color="000000" w:sz="4" w:space="0"/>
            </w:tcBorders>
            <w:noWrap w:val="0"/>
            <w:vAlign w:val="top"/>
          </w:tcPr>
          <w:p w14:paraId="028F6B27">
            <w:pPr>
              <w:spacing w:line="360" w:lineRule="auto"/>
              <w:rPr>
                <w:rFonts w:ascii="新宋体" w:hAnsi="新宋体" w:eastAsia="新宋体" w:cs="新宋体"/>
                <w:color w:val="auto"/>
              </w:rPr>
            </w:pPr>
            <w:r>
              <w:rPr>
                <w:rFonts w:hint="eastAsia" w:ascii="新宋体" w:hAnsi="新宋体" w:eastAsia="新宋体" w:cs="新宋体"/>
                <w:color w:val="auto"/>
              </w:rPr>
              <w:t>日常服务期间确保重点单位、重点场所周边灭鼠药物投放到位，春秋灭鼠期间确保全区域内外环境灭鼠药物投放到位，检查发现1处有鼠活动痕迹</w:t>
            </w:r>
            <w:r>
              <w:rPr>
                <w:rFonts w:hint="eastAsia" w:ascii="新宋体" w:hAnsi="新宋体" w:eastAsia="新宋体" w:cs="新宋体"/>
                <w:color w:val="auto"/>
                <w:lang w:eastAsia="zh-CN"/>
              </w:rPr>
              <w:t>而区域</w:t>
            </w:r>
            <w:r>
              <w:rPr>
                <w:rFonts w:hint="eastAsia" w:ascii="新宋体" w:hAnsi="新宋体" w:eastAsia="新宋体" w:cs="新宋体"/>
                <w:color w:val="auto"/>
              </w:rPr>
              <w:t>周边未投放灭鼠药的扣0.</w:t>
            </w:r>
            <w:r>
              <w:rPr>
                <w:rFonts w:hint="eastAsia" w:ascii="新宋体" w:hAnsi="新宋体" w:eastAsia="新宋体" w:cs="新宋体"/>
                <w:color w:val="auto"/>
                <w:lang w:val="en-US" w:eastAsia="zh-CN"/>
              </w:rPr>
              <w:t>2</w:t>
            </w:r>
            <w:r>
              <w:rPr>
                <w:rFonts w:hint="eastAsia" w:ascii="新宋体" w:hAnsi="新宋体" w:eastAsia="新宋体" w:cs="新宋体"/>
                <w:color w:val="auto"/>
              </w:rPr>
              <w:t>分。</w:t>
            </w:r>
          </w:p>
        </w:tc>
        <w:tc>
          <w:tcPr>
            <w:tcW w:w="675" w:type="dxa"/>
            <w:tcBorders>
              <w:top w:val="single" w:color="auto" w:sz="4" w:space="0"/>
              <w:left w:val="nil"/>
              <w:bottom w:val="single" w:color="000000" w:sz="4" w:space="0"/>
              <w:right w:val="single" w:color="000000" w:sz="4" w:space="0"/>
            </w:tcBorders>
            <w:noWrap w:val="0"/>
            <w:vAlign w:val="top"/>
          </w:tcPr>
          <w:p w14:paraId="529C1C9E">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6</w:t>
            </w:r>
          </w:p>
        </w:tc>
        <w:tc>
          <w:tcPr>
            <w:tcW w:w="643" w:type="dxa"/>
            <w:tcBorders>
              <w:top w:val="single" w:color="auto" w:sz="4" w:space="0"/>
              <w:left w:val="nil"/>
              <w:bottom w:val="single" w:color="000000" w:sz="4" w:space="0"/>
              <w:right w:val="single" w:color="000000" w:sz="4" w:space="0"/>
            </w:tcBorders>
            <w:noWrap w:val="0"/>
            <w:vAlign w:val="top"/>
          </w:tcPr>
          <w:p w14:paraId="370A4CED">
            <w:pPr>
              <w:spacing w:line="360" w:lineRule="auto"/>
              <w:rPr>
                <w:rFonts w:hint="default" w:ascii="新宋体" w:hAnsi="新宋体" w:eastAsia="新宋体" w:cs="新宋体"/>
                <w:color w:val="auto"/>
                <w:highlight w:val="none"/>
                <w:lang w:val="en-US" w:eastAsia="zh-CN"/>
              </w:rPr>
            </w:pPr>
          </w:p>
        </w:tc>
        <w:tc>
          <w:tcPr>
            <w:tcW w:w="707" w:type="dxa"/>
            <w:tcBorders>
              <w:top w:val="single" w:color="auto" w:sz="4" w:space="0"/>
              <w:left w:val="nil"/>
              <w:bottom w:val="single" w:color="000000" w:sz="4" w:space="0"/>
              <w:right w:val="single" w:color="000000" w:sz="4" w:space="0"/>
            </w:tcBorders>
            <w:noWrap w:val="0"/>
            <w:vAlign w:val="top"/>
          </w:tcPr>
          <w:p w14:paraId="7E35F8AF">
            <w:pPr>
              <w:spacing w:line="360" w:lineRule="auto"/>
              <w:rPr>
                <w:rFonts w:hint="eastAsia" w:ascii="新宋体" w:hAnsi="新宋体" w:eastAsia="新宋体" w:cs="新宋体"/>
                <w:color w:val="auto"/>
                <w:sz w:val="18"/>
                <w:szCs w:val="18"/>
                <w:lang w:eastAsia="zh-CN"/>
              </w:rPr>
            </w:pPr>
          </w:p>
        </w:tc>
      </w:tr>
      <w:tr w14:paraId="27BD2089">
        <w:tblPrEx>
          <w:tblCellMar>
            <w:top w:w="0" w:type="dxa"/>
            <w:left w:w="108" w:type="dxa"/>
            <w:bottom w:w="0" w:type="dxa"/>
            <w:right w:w="108" w:type="dxa"/>
          </w:tblCellMar>
        </w:tblPrEx>
        <w:trPr>
          <w:cantSplit/>
          <w:trHeight w:val="720"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7B3992C7">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73880620">
            <w:pPr>
              <w:spacing w:line="360" w:lineRule="auto"/>
              <w:rPr>
                <w:rFonts w:ascii="新宋体" w:hAnsi="新宋体" w:eastAsia="新宋体" w:cs="新宋体"/>
                <w:color w:val="auto"/>
              </w:rPr>
            </w:pPr>
            <w:r>
              <w:rPr>
                <w:rFonts w:hint="eastAsia" w:ascii="新宋体" w:hAnsi="新宋体" w:eastAsia="新宋体" w:cs="新宋体"/>
                <w:color w:val="auto"/>
              </w:rPr>
              <w:t>集中灭鼠灭蟑期间开展小餐饮集中场所及下水道灭蟑、灭鼠，</w:t>
            </w:r>
            <w:r>
              <w:rPr>
                <w:rFonts w:hint="eastAsia" w:ascii="新宋体" w:hAnsi="新宋体" w:eastAsia="新宋体" w:cs="新宋体"/>
                <w:color w:val="auto"/>
                <w:lang w:eastAsia="zh-CN"/>
              </w:rPr>
              <w:t>确保</w:t>
            </w:r>
            <w:r>
              <w:rPr>
                <w:rFonts w:hint="eastAsia" w:ascii="新宋体" w:hAnsi="新宋体" w:eastAsia="新宋体" w:cs="新宋体"/>
                <w:color w:val="auto"/>
              </w:rPr>
              <w:t>开展到位，每发现1处不到位扣0.5分，扣完为止。</w:t>
            </w:r>
          </w:p>
        </w:tc>
        <w:tc>
          <w:tcPr>
            <w:tcW w:w="675" w:type="dxa"/>
            <w:tcBorders>
              <w:top w:val="single" w:color="000000" w:sz="4" w:space="0"/>
              <w:left w:val="nil"/>
              <w:bottom w:val="single" w:color="000000" w:sz="4" w:space="0"/>
              <w:right w:val="single" w:color="000000" w:sz="4" w:space="0"/>
            </w:tcBorders>
            <w:noWrap w:val="0"/>
            <w:vAlign w:val="top"/>
          </w:tcPr>
          <w:p w14:paraId="2C75EE12">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63C06676">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1B713DB">
            <w:pPr>
              <w:spacing w:line="360" w:lineRule="auto"/>
              <w:rPr>
                <w:rFonts w:hint="eastAsia" w:ascii="新宋体" w:hAnsi="新宋体" w:eastAsia="新宋体" w:cs="新宋体"/>
                <w:color w:val="auto"/>
                <w:sz w:val="18"/>
                <w:szCs w:val="18"/>
                <w:lang w:val="en-US" w:eastAsia="zh-CN"/>
              </w:rPr>
            </w:pPr>
          </w:p>
        </w:tc>
      </w:tr>
      <w:tr w14:paraId="4D41DEE8">
        <w:tblPrEx>
          <w:tblCellMar>
            <w:top w:w="0" w:type="dxa"/>
            <w:left w:w="108" w:type="dxa"/>
            <w:bottom w:w="0" w:type="dxa"/>
            <w:right w:w="108" w:type="dxa"/>
          </w:tblCellMar>
        </w:tblPrEx>
        <w:trPr>
          <w:cantSplit/>
        </w:trPr>
        <w:tc>
          <w:tcPr>
            <w:tcW w:w="902" w:type="dxa"/>
            <w:vMerge w:val="continue"/>
            <w:tcBorders>
              <w:top w:val="nil"/>
              <w:left w:val="single" w:color="000000" w:sz="4" w:space="0"/>
              <w:bottom w:val="single" w:color="000000" w:sz="4" w:space="0"/>
              <w:right w:val="single" w:color="000000" w:sz="4" w:space="0"/>
            </w:tcBorders>
            <w:noWrap w:val="0"/>
            <w:vAlign w:val="center"/>
          </w:tcPr>
          <w:p w14:paraId="52AF4C37">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593F1407">
            <w:pPr>
              <w:spacing w:line="360" w:lineRule="auto"/>
              <w:rPr>
                <w:rFonts w:ascii="新宋体" w:hAnsi="新宋体" w:eastAsia="新宋体" w:cs="新宋体"/>
                <w:color w:val="auto"/>
              </w:rPr>
            </w:pPr>
            <w:r>
              <w:rPr>
                <w:rFonts w:hint="eastAsia" w:ascii="新宋体" w:hAnsi="新宋体" w:eastAsia="新宋体" w:cs="新宋体"/>
                <w:color w:val="auto"/>
              </w:rPr>
              <w:t>根据四害密度变化，重点区域增加适当的消杀次数</w:t>
            </w:r>
            <w:r>
              <w:rPr>
                <w:rFonts w:hint="eastAsia" w:ascii="新宋体" w:hAnsi="新宋体" w:eastAsia="新宋体" w:cs="新宋体"/>
                <w:color w:val="auto"/>
                <w:lang w:eastAsia="zh-CN"/>
              </w:rPr>
              <w:t>，如密度较高且未加强消杀的，每发现</w:t>
            </w:r>
            <w:r>
              <w:rPr>
                <w:rFonts w:hint="eastAsia" w:ascii="新宋体" w:hAnsi="新宋体" w:eastAsia="新宋体" w:cs="新宋体"/>
                <w:color w:val="auto"/>
                <w:lang w:val="en-US" w:eastAsia="zh-CN"/>
              </w:rPr>
              <w:t>1处扣0.5分</w:t>
            </w:r>
            <w:r>
              <w:rPr>
                <w:rFonts w:hint="eastAsia" w:ascii="新宋体" w:hAnsi="新宋体" w:eastAsia="新宋体" w:cs="新宋体"/>
                <w:color w:val="auto"/>
              </w:rPr>
              <w:t>。</w:t>
            </w:r>
          </w:p>
        </w:tc>
        <w:tc>
          <w:tcPr>
            <w:tcW w:w="675" w:type="dxa"/>
            <w:tcBorders>
              <w:top w:val="single" w:color="000000" w:sz="4" w:space="0"/>
              <w:left w:val="nil"/>
              <w:bottom w:val="single" w:color="000000" w:sz="4" w:space="0"/>
              <w:right w:val="single" w:color="000000" w:sz="4" w:space="0"/>
            </w:tcBorders>
            <w:noWrap w:val="0"/>
            <w:vAlign w:val="top"/>
          </w:tcPr>
          <w:p w14:paraId="3C73FECB">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5055471A">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253A6A22">
            <w:pPr>
              <w:spacing w:line="360" w:lineRule="auto"/>
              <w:rPr>
                <w:rFonts w:ascii="新宋体" w:hAnsi="新宋体" w:eastAsia="新宋体" w:cs="新宋体"/>
                <w:color w:val="auto"/>
                <w:sz w:val="18"/>
                <w:szCs w:val="18"/>
                <w:lang w:eastAsia="en-US"/>
              </w:rPr>
            </w:pPr>
          </w:p>
        </w:tc>
      </w:tr>
      <w:tr w14:paraId="690B4F78">
        <w:tblPrEx>
          <w:tblCellMar>
            <w:top w:w="0" w:type="dxa"/>
            <w:left w:w="108" w:type="dxa"/>
            <w:bottom w:w="0" w:type="dxa"/>
            <w:right w:w="108" w:type="dxa"/>
          </w:tblCellMar>
        </w:tblPrEx>
        <w:trPr>
          <w:cantSplit/>
          <w:trHeight w:val="922" w:hRule="atLeast"/>
        </w:trPr>
        <w:tc>
          <w:tcPr>
            <w:tcW w:w="902" w:type="dxa"/>
            <w:vMerge w:val="continue"/>
            <w:tcBorders>
              <w:top w:val="nil"/>
              <w:left w:val="single" w:color="000000" w:sz="4" w:space="0"/>
              <w:bottom w:val="single" w:color="000000" w:sz="4" w:space="0"/>
              <w:right w:val="single" w:color="000000" w:sz="4" w:space="0"/>
            </w:tcBorders>
            <w:noWrap w:val="0"/>
            <w:vAlign w:val="center"/>
          </w:tcPr>
          <w:p w14:paraId="7CAFDA51">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29472C67">
            <w:pPr>
              <w:spacing w:line="360" w:lineRule="auto"/>
              <w:rPr>
                <w:rFonts w:ascii="新宋体" w:hAnsi="新宋体" w:eastAsia="新宋体" w:cs="新宋体"/>
                <w:color w:val="auto"/>
              </w:rPr>
            </w:pPr>
            <w:r>
              <w:rPr>
                <w:rFonts w:hint="eastAsia" w:ascii="新宋体" w:hAnsi="新宋体" w:eastAsia="新宋体" w:cs="新宋体"/>
                <w:color w:val="auto"/>
              </w:rPr>
              <w:t>及时上报除四害器械布置登记等资料，做到社区村合理设置、规范，器械布放客观真实,现场发现一处不真实或不规范的扣0.5分，扣完为止。</w:t>
            </w:r>
          </w:p>
        </w:tc>
        <w:tc>
          <w:tcPr>
            <w:tcW w:w="675" w:type="dxa"/>
            <w:tcBorders>
              <w:top w:val="single" w:color="000000" w:sz="4" w:space="0"/>
              <w:left w:val="nil"/>
              <w:bottom w:val="single" w:color="000000" w:sz="4" w:space="0"/>
              <w:right w:val="single" w:color="000000" w:sz="4" w:space="0"/>
            </w:tcBorders>
            <w:noWrap w:val="0"/>
            <w:vAlign w:val="top"/>
          </w:tcPr>
          <w:p w14:paraId="2A2A6BE7">
            <w:pPr>
              <w:spacing w:line="360" w:lineRule="auto"/>
              <w:rPr>
                <w:rFonts w:hint="eastAsia" w:ascii="新宋体" w:hAnsi="新宋体" w:eastAsia="新宋体" w:cs="新宋体"/>
                <w:color w:val="auto"/>
                <w:lang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71275882">
            <w:pPr>
              <w:spacing w:line="360" w:lineRule="auto"/>
              <w:rPr>
                <w:rFonts w:hint="default"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4F344939">
            <w:pPr>
              <w:spacing w:line="360" w:lineRule="auto"/>
              <w:rPr>
                <w:rFonts w:hint="eastAsia" w:ascii="新宋体" w:hAnsi="新宋体" w:eastAsia="新宋体" w:cs="新宋体"/>
                <w:color w:val="auto"/>
                <w:sz w:val="18"/>
                <w:szCs w:val="18"/>
                <w:lang w:val="en-US" w:eastAsia="zh-CN"/>
              </w:rPr>
            </w:pPr>
          </w:p>
        </w:tc>
      </w:tr>
      <w:tr w14:paraId="044A76D2">
        <w:tblPrEx>
          <w:tblCellMar>
            <w:top w:w="0" w:type="dxa"/>
            <w:left w:w="108" w:type="dxa"/>
            <w:bottom w:w="0" w:type="dxa"/>
            <w:right w:w="108" w:type="dxa"/>
          </w:tblCellMar>
        </w:tblPrEx>
        <w:trPr>
          <w:cantSplit/>
          <w:trHeight w:val="883" w:hRule="atLeast"/>
        </w:trPr>
        <w:tc>
          <w:tcPr>
            <w:tcW w:w="902" w:type="dxa"/>
            <w:vMerge w:val="restart"/>
            <w:tcBorders>
              <w:top w:val="single" w:color="000000" w:sz="4" w:space="0"/>
              <w:left w:val="single" w:color="000000" w:sz="4" w:space="0"/>
              <w:bottom w:val="single" w:color="auto" w:sz="4" w:space="0"/>
              <w:right w:val="single" w:color="000000" w:sz="4" w:space="0"/>
            </w:tcBorders>
            <w:noWrap w:val="0"/>
            <w:vAlign w:val="center"/>
          </w:tcPr>
          <w:p w14:paraId="23399D6E">
            <w:pPr>
              <w:spacing w:line="360" w:lineRule="auto"/>
              <w:rPr>
                <w:rFonts w:ascii="新宋体" w:hAnsi="新宋体" w:eastAsia="新宋体" w:cs="新宋体"/>
                <w:b/>
                <w:color w:val="auto"/>
              </w:rPr>
            </w:pPr>
            <w:r>
              <w:rPr>
                <w:rFonts w:hint="eastAsia" w:ascii="新宋体" w:hAnsi="新宋体" w:eastAsia="新宋体" w:cs="新宋体"/>
                <w:b/>
                <w:color w:val="auto"/>
              </w:rPr>
              <w:t>五、服务范围现场效果</w:t>
            </w:r>
          </w:p>
          <w:p w14:paraId="767E7B64">
            <w:pPr>
              <w:spacing w:line="360" w:lineRule="auto"/>
              <w:rPr>
                <w:rFonts w:ascii="新宋体" w:hAnsi="新宋体" w:eastAsia="新宋体" w:cs="新宋体"/>
                <w:b/>
                <w:color w:val="auto"/>
              </w:rPr>
            </w:pPr>
            <w:r>
              <w:rPr>
                <w:rFonts w:hint="eastAsia" w:ascii="新宋体" w:hAnsi="新宋体" w:eastAsia="新宋体" w:cs="新宋体"/>
                <w:b/>
                <w:color w:val="auto"/>
              </w:rPr>
              <w:t>（3</w:t>
            </w:r>
            <w:r>
              <w:rPr>
                <w:rFonts w:hint="eastAsia" w:ascii="新宋体" w:hAnsi="新宋体" w:eastAsia="新宋体" w:cs="新宋体"/>
                <w:b/>
                <w:color w:val="auto"/>
                <w:lang w:val="en-US" w:eastAsia="zh-CN"/>
              </w:rPr>
              <w:t>0</w:t>
            </w:r>
            <w:r>
              <w:rPr>
                <w:rFonts w:hint="eastAsia" w:ascii="新宋体" w:hAnsi="新宋体" w:eastAsia="新宋体" w:cs="新宋体"/>
                <w:b/>
                <w:color w:val="auto"/>
              </w:rPr>
              <w:t>分）</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top"/>
          </w:tcPr>
          <w:p w14:paraId="06FB8F85">
            <w:pPr>
              <w:wordWrap w:val="0"/>
              <w:spacing w:line="360" w:lineRule="auto"/>
              <w:rPr>
                <w:rFonts w:ascii="新宋体" w:hAnsi="新宋体" w:eastAsia="新宋体" w:cs="新宋体"/>
                <w:color w:val="auto"/>
              </w:rPr>
            </w:pPr>
          </w:p>
          <w:p w14:paraId="15963BC2">
            <w:pPr>
              <w:wordWrap w:val="0"/>
              <w:spacing w:line="360" w:lineRule="auto"/>
              <w:rPr>
                <w:rFonts w:hint="eastAsia" w:ascii="新宋体" w:hAnsi="新宋体" w:eastAsia="新宋体" w:cs="新宋体"/>
                <w:color w:val="auto"/>
              </w:rPr>
            </w:pPr>
          </w:p>
          <w:p w14:paraId="01E8CC07">
            <w:pPr>
              <w:wordWrap w:val="0"/>
              <w:spacing w:line="360" w:lineRule="auto"/>
              <w:rPr>
                <w:rFonts w:hint="eastAsia" w:ascii="新宋体" w:hAnsi="新宋体" w:eastAsia="新宋体" w:cs="新宋体"/>
                <w:color w:val="auto"/>
              </w:rPr>
            </w:pPr>
          </w:p>
          <w:p w14:paraId="279D19AF">
            <w:pPr>
              <w:wordWrap w:val="0"/>
              <w:spacing w:line="360" w:lineRule="auto"/>
              <w:rPr>
                <w:rFonts w:ascii="新宋体" w:hAnsi="新宋体" w:eastAsia="新宋体" w:cs="新宋体"/>
                <w:color w:val="auto"/>
              </w:rPr>
            </w:pPr>
            <w:r>
              <w:rPr>
                <w:rFonts w:hint="eastAsia" w:ascii="新宋体" w:hAnsi="新宋体" w:eastAsia="新宋体" w:cs="新宋体"/>
                <w:color w:val="auto"/>
              </w:rPr>
              <w:t>现场评估</w:t>
            </w:r>
          </w:p>
          <w:p w14:paraId="333FD21E">
            <w:pPr>
              <w:wordWrap w:val="0"/>
              <w:spacing w:line="360" w:lineRule="auto"/>
              <w:rPr>
                <w:rFonts w:ascii="新宋体" w:hAnsi="新宋体" w:eastAsia="新宋体" w:cs="新宋体"/>
                <w:color w:val="auto"/>
              </w:rPr>
            </w:pPr>
          </w:p>
        </w:tc>
        <w:tc>
          <w:tcPr>
            <w:tcW w:w="5946" w:type="dxa"/>
            <w:tcBorders>
              <w:top w:val="single" w:color="000000" w:sz="4" w:space="0"/>
              <w:left w:val="single" w:color="000000" w:sz="4" w:space="0"/>
              <w:bottom w:val="single" w:color="000000" w:sz="4" w:space="0"/>
              <w:right w:val="single" w:color="000000" w:sz="4" w:space="0"/>
            </w:tcBorders>
            <w:noWrap w:val="0"/>
            <w:vAlign w:val="top"/>
          </w:tcPr>
          <w:p w14:paraId="26E54918">
            <w:pPr>
              <w:wordWrap w:val="0"/>
              <w:spacing w:line="360" w:lineRule="auto"/>
              <w:rPr>
                <w:rFonts w:ascii="新宋体" w:hAnsi="新宋体" w:eastAsia="新宋体" w:cs="新宋体"/>
                <w:color w:val="auto"/>
              </w:rPr>
            </w:pPr>
            <w:r>
              <w:rPr>
                <w:rFonts w:hint="eastAsia" w:ascii="新宋体" w:hAnsi="新宋体" w:eastAsia="新宋体" w:cs="新宋体"/>
                <w:color w:val="auto"/>
              </w:rPr>
              <w:t>鼠：要求达到C级标准，任一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000000" w:sz="4" w:space="0"/>
              <w:left w:val="single" w:color="000000" w:sz="4" w:space="0"/>
              <w:bottom w:val="single" w:color="000000" w:sz="4" w:space="0"/>
              <w:right w:val="single" w:color="000000" w:sz="4" w:space="0"/>
            </w:tcBorders>
            <w:noWrap w:val="0"/>
            <w:vAlign w:val="top"/>
          </w:tcPr>
          <w:p w14:paraId="223520B8">
            <w:pPr>
              <w:spacing w:line="360" w:lineRule="auto"/>
              <w:rPr>
                <w:rFonts w:ascii="新宋体" w:hAnsi="新宋体" w:eastAsia="新宋体" w:cs="新宋体"/>
                <w:color w:val="auto"/>
              </w:rPr>
            </w:pPr>
            <w:r>
              <w:rPr>
                <w:rFonts w:hint="eastAsia" w:ascii="新宋体" w:hAnsi="新宋体" w:eastAsia="新宋体" w:cs="新宋体"/>
                <w:color w:val="auto"/>
              </w:rPr>
              <w:t>6</w:t>
            </w:r>
          </w:p>
        </w:tc>
        <w:tc>
          <w:tcPr>
            <w:tcW w:w="643" w:type="dxa"/>
            <w:tcBorders>
              <w:top w:val="single" w:color="000000" w:sz="4" w:space="0"/>
              <w:left w:val="single" w:color="000000" w:sz="4" w:space="0"/>
              <w:bottom w:val="single" w:color="000000" w:sz="4" w:space="0"/>
              <w:right w:val="single" w:color="000000" w:sz="4" w:space="0"/>
            </w:tcBorders>
            <w:noWrap w:val="0"/>
            <w:vAlign w:val="top"/>
          </w:tcPr>
          <w:p w14:paraId="5E62BFC1">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single" w:color="000000" w:sz="4" w:space="0"/>
              <w:bottom w:val="single" w:color="000000" w:sz="4" w:space="0"/>
              <w:right w:val="single" w:color="000000" w:sz="4" w:space="0"/>
            </w:tcBorders>
            <w:noWrap w:val="0"/>
            <w:vAlign w:val="top"/>
          </w:tcPr>
          <w:p w14:paraId="73F0ABA2">
            <w:pPr>
              <w:spacing w:line="360" w:lineRule="auto"/>
              <w:rPr>
                <w:rFonts w:hint="eastAsia" w:ascii="新宋体" w:hAnsi="新宋体" w:eastAsia="新宋体" w:cs="新宋体"/>
                <w:color w:val="auto"/>
                <w:lang w:eastAsia="zh-CN"/>
              </w:rPr>
            </w:pPr>
          </w:p>
        </w:tc>
      </w:tr>
      <w:tr w14:paraId="7A3071DF">
        <w:tblPrEx>
          <w:tblCellMar>
            <w:top w:w="0" w:type="dxa"/>
            <w:left w:w="108" w:type="dxa"/>
            <w:bottom w:w="0" w:type="dxa"/>
            <w:right w:w="108" w:type="dxa"/>
          </w:tblCellMar>
        </w:tblPrEx>
        <w:trPr>
          <w:cantSplit/>
          <w:trHeight w:val="563" w:hRule="atLeast"/>
        </w:trPr>
        <w:tc>
          <w:tcPr>
            <w:tcW w:w="902" w:type="dxa"/>
            <w:vMerge w:val="continue"/>
            <w:tcBorders>
              <w:left w:val="single" w:color="000000" w:sz="4" w:space="0"/>
              <w:bottom w:val="single" w:color="auto" w:sz="4" w:space="0"/>
              <w:right w:val="single" w:color="000000" w:sz="4" w:space="0"/>
            </w:tcBorders>
            <w:noWrap w:val="0"/>
            <w:vAlign w:val="center"/>
          </w:tcPr>
          <w:p w14:paraId="642320D8">
            <w:pPr>
              <w:rPr>
                <w:rFonts w:ascii="新宋体" w:hAnsi="新宋体" w:eastAsia="新宋体" w:cs="新宋体"/>
                <w:color w:val="auto"/>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top"/>
          </w:tcPr>
          <w:p w14:paraId="631BB587">
            <w:pPr>
              <w:wordWrap w:val="0"/>
              <w:spacing w:line="360" w:lineRule="auto"/>
              <w:rPr>
                <w:rFonts w:ascii="新宋体" w:hAnsi="新宋体" w:eastAsia="新宋体" w:cs="新宋体"/>
                <w:color w:val="auto"/>
              </w:rPr>
            </w:pPr>
          </w:p>
        </w:tc>
        <w:tc>
          <w:tcPr>
            <w:tcW w:w="5946" w:type="dxa"/>
            <w:tcBorders>
              <w:top w:val="single" w:color="000000" w:sz="4" w:space="0"/>
              <w:left w:val="single" w:color="000000" w:sz="4" w:space="0"/>
              <w:bottom w:val="single" w:color="000000" w:sz="4" w:space="0"/>
              <w:right w:val="single" w:color="000000" w:sz="4" w:space="0"/>
            </w:tcBorders>
            <w:noWrap w:val="0"/>
            <w:vAlign w:val="top"/>
          </w:tcPr>
          <w:p w14:paraId="0E55F63F">
            <w:pPr>
              <w:wordWrap w:val="0"/>
              <w:spacing w:line="360" w:lineRule="auto"/>
              <w:rPr>
                <w:rFonts w:ascii="新宋体" w:hAnsi="新宋体" w:eastAsia="新宋体" w:cs="新宋体"/>
                <w:color w:val="auto"/>
              </w:rPr>
            </w:pPr>
            <w:r>
              <w:rPr>
                <w:rFonts w:hint="eastAsia" w:ascii="新宋体" w:hAnsi="新宋体" w:eastAsia="新宋体" w:cs="新宋体"/>
                <w:color w:val="auto"/>
              </w:rPr>
              <w:t>蚊：要求达到C级标准，任一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000000" w:sz="4" w:space="0"/>
              <w:left w:val="single" w:color="000000" w:sz="4" w:space="0"/>
              <w:bottom w:val="single" w:color="000000" w:sz="4" w:space="0"/>
              <w:right w:val="single" w:color="000000" w:sz="4" w:space="0"/>
            </w:tcBorders>
            <w:noWrap w:val="0"/>
            <w:vAlign w:val="top"/>
          </w:tcPr>
          <w:p w14:paraId="04CF6884">
            <w:pPr>
              <w:spacing w:line="360" w:lineRule="auto"/>
              <w:rPr>
                <w:rFonts w:ascii="新宋体" w:hAnsi="新宋体" w:eastAsia="新宋体" w:cs="新宋体"/>
                <w:color w:val="auto"/>
              </w:rPr>
            </w:pPr>
            <w:r>
              <w:rPr>
                <w:rFonts w:hint="eastAsia" w:ascii="新宋体" w:hAnsi="新宋体" w:eastAsia="新宋体" w:cs="新宋体"/>
                <w:color w:val="auto"/>
              </w:rPr>
              <w:t>6</w:t>
            </w:r>
          </w:p>
        </w:tc>
        <w:tc>
          <w:tcPr>
            <w:tcW w:w="643" w:type="dxa"/>
            <w:tcBorders>
              <w:top w:val="single" w:color="000000" w:sz="4" w:space="0"/>
              <w:left w:val="single" w:color="000000" w:sz="4" w:space="0"/>
              <w:bottom w:val="single" w:color="000000" w:sz="4" w:space="0"/>
              <w:right w:val="single" w:color="000000" w:sz="4" w:space="0"/>
            </w:tcBorders>
            <w:noWrap w:val="0"/>
            <w:vAlign w:val="top"/>
          </w:tcPr>
          <w:p w14:paraId="195341E9">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single" w:color="000000" w:sz="4" w:space="0"/>
              <w:bottom w:val="single" w:color="000000" w:sz="4" w:space="0"/>
              <w:right w:val="single" w:color="000000" w:sz="4" w:space="0"/>
            </w:tcBorders>
            <w:noWrap w:val="0"/>
            <w:vAlign w:val="top"/>
          </w:tcPr>
          <w:p w14:paraId="4E303D1F">
            <w:pPr>
              <w:spacing w:line="360" w:lineRule="auto"/>
              <w:rPr>
                <w:rFonts w:ascii="新宋体" w:hAnsi="新宋体" w:eastAsia="新宋体" w:cs="新宋体"/>
                <w:color w:val="auto"/>
                <w:lang w:eastAsia="en-US"/>
              </w:rPr>
            </w:pPr>
          </w:p>
        </w:tc>
      </w:tr>
      <w:tr w14:paraId="63FEA309">
        <w:tblPrEx>
          <w:tblCellMar>
            <w:top w:w="0" w:type="dxa"/>
            <w:left w:w="108" w:type="dxa"/>
            <w:bottom w:w="0" w:type="dxa"/>
            <w:right w:w="108" w:type="dxa"/>
          </w:tblCellMar>
        </w:tblPrEx>
        <w:trPr>
          <w:cantSplit/>
          <w:trHeight w:val="613" w:hRule="atLeast"/>
        </w:trPr>
        <w:tc>
          <w:tcPr>
            <w:tcW w:w="902" w:type="dxa"/>
            <w:vMerge w:val="continue"/>
            <w:tcBorders>
              <w:left w:val="single" w:color="000000" w:sz="4" w:space="0"/>
              <w:bottom w:val="single" w:color="auto" w:sz="4" w:space="0"/>
              <w:right w:val="single" w:color="000000" w:sz="4" w:space="0"/>
            </w:tcBorders>
            <w:noWrap w:val="0"/>
            <w:vAlign w:val="center"/>
          </w:tcPr>
          <w:p w14:paraId="0950ADF8">
            <w:pPr>
              <w:rPr>
                <w:rFonts w:ascii="新宋体" w:hAnsi="新宋体" w:eastAsia="新宋体" w:cs="新宋体"/>
                <w:color w:val="auto"/>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top"/>
          </w:tcPr>
          <w:p w14:paraId="126948DD">
            <w:pPr>
              <w:wordWrap w:val="0"/>
              <w:spacing w:line="360" w:lineRule="auto"/>
              <w:rPr>
                <w:rFonts w:ascii="新宋体" w:hAnsi="新宋体" w:eastAsia="新宋体" w:cs="新宋体"/>
                <w:color w:val="auto"/>
              </w:rPr>
            </w:pPr>
          </w:p>
        </w:tc>
        <w:tc>
          <w:tcPr>
            <w:tcW w:w="5946" w:type="dxa"/>
            <w:tcBorders>
              <w:top w:val="single" w:color="000000" w:sz="4" w:space="0"/>
              <w:left w:val="single" w:color="000000" w:sz="4" w:space="0"/>
              <w:bottom w:val="single" w:color="000000" w:sz="4" w:space="0"/>
              <w:right w:val="single" w:color="000000" w:sz="4" w:space="0"/>
            </w:tcBorders>
            <w:noWrap w:val="0"/>
            <w:vAlign w:val="top"/>
          </w:tcPr>
          <w:p w14:paraId="08360A67">
            <w:pPr>
              <w:wordWrap w:val="0"/>
              <w:spacing w:line="360" w:lineRule="auto"/>
              <w:rPr>
                <w:rFonts w:ascii="新宋体" w:hAnsi="新宋体" w:eastAsia="新宋体" w:cs="新宋体"/>
                <w:color w:val="auto"/>
              </w:rPr>
            </w:pPr>
            <w:r>
              <w:rPr>
                <w:rFonts w:hint="eastAsia" w:ascii="新宋体" w:hAnsi="新宋体" w:eastAsia="新宋体" w:cs="新宋体"/>
                <w:color w:val="auto"/>
              </w:rPr>
              <w:t>蝇：要求达到C级标准，任一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000000" w:sz="4" w:space="0"/>
              <w:left w:val="single" w:color="000000" w:sz="4" w:space="0"/>
              <w:bottom w:val="single" w:color="000000" w:sz="4" w:space="0"/>
              <w:right w:val="single" w:color="000000" w:sz="4" w:space="0"/>
            </w:tcBorders>
            <w:noWrap w:val="0"/>
            <w:vAlign w:val="top"/>
          </w:tcPr>
          <w:p w14:paraId="7DFE51A4">
            <w:pPr>
              <w:spacing w:line="360" w:lineRule="auto"/>
              <w:rPr>
                <w:rFonts w:ascii="新宋体" w:hAnsi="新宋体" w:eastAsia="新宋体" w:cs="新宋体"/>
                <w:color w:val="auto"/>
              </w:rPr>
            </w:pPr>
            <w:r>
              <w:rPr>
                <w:rFonts w:hint="eastAsia" w:ascii="新宋体" w:hAnsi="新宋体" w:eastAsia="新宋体" w:cs="新宋体"/>
                <w:color w:val="auto"/>
              </w:rPr>
              <w:t>6</w:t>
            </w:r>
          </w:p>
        </w:tc>
        <w:tc>
          <w:tcPr>
            <w:tcW w:w="643" w:type="dxa"/>
            <w:tcBorders>
              <w:top w:val="single" w:color="000000" w:sz="4" w:space="0"/>
              <w:left w:val="single" w:color="000000" w:sz="4" w:space="0"/>
              <w:bottom w:val="single" w:color="000000" w:sz="4" w:space="0"/>
              <w:right w:val="single" w:color="000000" w:sz="4" w:space="0"/>
            </w:tcBorders>
            <w:noWrap w:val="0"/>
            <w:vAlign w:val="top"/>
          </w:tcPr>
          <w:p w14:paraId="0E4BC70F">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single" w:color="000000" w:sz="4" w:space="0"/>
              <w:bottom w:val="single" w:color="000000" w:sz="4" w:space="0"/>
              <w:right w:val="single" w:color="000000" w:sz="4" w:space="0"/>
            </w:tcBorders>
            <w:noWrap w:val="0"/>
            <w:vAlign w:val="top"/>
          </w:tcPr>
          <w:p w14:paraId="758874D5">
            <w:pPr>
              <w:spacing w:line="360" w:lineRule="auto"/>
              <w:rPr>
                <w:rFonts w:ascii="新宋体" w:hAnsi="新宋体" w:eastAsia="新宋体" w:cs="新宋体"/>
                <w:color w:val="auto"/>
                <w:lang w:eastAsia="en-US"/>
              </w:rPr>
            </w:pPr>
          </w:p>
        </w:tc>
      </w:tr>
      <w:tr w14:paraId="39CD1DD5">
        <w:tblPrEx>
          <w:tblCellMar>
            <w:top w:w="0" w:type="dxa"/>
            <w:left w:w="108" w:type="dxa"/>
            <w:bottom w:w="0" w:type="dxa"/>
            <w:right w:w="108" w:type="dxa"/>
          </w:tblCellMar>
        </w:tblPrEx>
        <w:trPr>
          <w:cantSplit/>
          <w:trHeight w:val="743" w:hRule="atLeast"/>
        </w:trPr>
        <w:tc>
          <w:tcPr>
            <w:tcW w:w="902" w:type="dxa"/>
            <w:vMerge w:val="continue"/>
            <w:tcBorders>
              <w:left w:val="single" w:color="000000" w:sz="4" w:space="0"/>
              <w:bottom w:val="single" w:color="auto" w:sz="4" w:space="0"/>
              <w:right w:val="single" w:color="000000" w:sz="4" w:space="0"/>
            </w:tcBorders>
            <w:noWrap w:val="0"/>
            <w:vAlign w:val="center"/>
          </w:tcPr>
          <w:p w14:paraId="360302AE">
            <w:pPr>
              <w:rPr>
                <w:rFonts w:ascii="新宋体" w:hAnsi="新宋体" w:eastAsia="新宋体" w:cs="新宋体"/>
                <w:color w:val="auto"/>
              </w:rPr>
            </w:pPr>
          </w:p>
        </w:tc>
        <w:tc>
          <w:tcPr>
            <w:tcW w:w="686" w:type="dxa"/>
            <w:vMerge w:val="continue"/>
            <w:tcBorders>
              <w:top w:val="single" w:color="000000" w:sz="4" w:space="0"/>
              <w:left w:val="single" w:color="000000" w:sz="4" w:space="0"/>
              <w:bottom w:val="single" w:color="000000" w:sz="4" w:space="0"/>
              <w:right w:val="single" w:color="auto" w:sz="4" w:space="0"/>
            </w:tcBorders>
            <w:noWrap w:val="0"/>
            <w:vAlign w:val="top"/>
          </w:tcPr>
          <w:p w14:paraId="70DC52A0">
            <w:pPr>
              <w:wordWrap w:val="0"/>
              <w:spacing w:line="360" w:lineRule="auto"/>
              <w:rPr>
                <w:rFonts w:ascii="新宋体" w:hAnsi="新宋体" w:eastAsia="新宋体" w:cs="新宋体"/>
                <w:color w:val="auto"/>
              </w:rPr>
            </w:pPr>
          </w:p>
        </w:tc>
        <w:tc>
          <w:tcPr>
            <w:tcW w:w="5946" w:type="dxa"/>
            <w:tcBorders>
              <w:top w:val="single" w:color="000000" w:sz="4" w:space="0"/>
              <w:left w:val="single" w:color="auto" w:sz="4" w:space="0"/>
              <w:bottom w:val="single" w:color="000000" w:sz="4" w:space="0"/>
              <w:right w:val="single" w:color="000000" w:sz="4" w:space="0"/>
            </w:tcBorders>
            <w:noWrap w:val="0"/>
            <w:vAlign w:val="top"/>
          </w:tcPr>
          <w:p w14:paraId="7C0E9F4E">
            <w:pPr>
              <w:wordWrap w:val="0"/>
              <w:spacing w:line="360" w:lineRule="auto"/>
              <w:rPr>
                <w:rFonts w:ascii="新宋体" w:hAnsi="新宋体" w:eastAsia="新宋体" w:cs="新宋体"/>
                <w:color w:val="auto"/>
              </w:rPr>
            </w:pPr>
            <w:r>
              <w:rPr>
                <w:rFonts w:hint="eastAsia" w:ascii="新宋体" w:hAnsi="新宋体" w:eastAsia="新宋体" w:cs="新宋体"/>
                <w:color w:val="auto"/>
              </w:rPr>
              <w:t>蟑：要求达到C级标准，任一</w:t>
            </w:r>
            <w:r>
              <w:rPr>
                <w:rFonts w:hint="eastAsia" w:ascii="新宋体" w:hAnsi="新宋体" w:eastAsia="新宋体" w:cs="新宋体"/>
                <w:color w:val="auto"/>
                <w:lang w:eastAsia="zh-CN"/>
              </w:rPr>
              <w:t>小</w:t>
            </w:r>
            <w:r>
              <w:rPr>
                <w:rFonts w:hint="eastAsia" w:ascii="新宋体" w:hAnsi="新宋体" w:eastAsia="新宋体" w:cs="新宋体"/>
                <w:color w:val="auto"/>
              </w:rPr>
              <w:t>项未达到C级标准扣2分，扣完为止。</w:t>
            </w:r>
          </w:p>
        </w:tc>
        <w:tc>
          <w:tcPr>
            <w:tcW w:w="675" w:type="dxa"/>
            <w:tcBorders>
              <w:top w:val="single" w:color="000000" w:sz="4" w:space="0"/>
              <w:left w:val="nil"/>
              <w:bottom w:val="single" w:color="000000" w:sz="4" w:space="0"/>
              <w:right w:val="single" w:color="000000" w:sz="4" w:space="0"/>
            </w:tcBorders>
            <w:noWrap w:val="0"/>
            <w:vAlign w:val="top"/>
          </w:tcPr>
          <w:p w14:paraId="6FD1CC4D">
            <w:pPr>
              <w:spacing w:line="360" w:lineRule="auto"/>
              <w:rPr>
                <w:rFonts w:ascii="新宋体" w:hAnsi="新宋体" w:eastAsia="新宋体" w:cs="新宋体"/>
                <w:color w:val="auto"/>
                <w:lang w:eastAsia="en-US"/>
              </w:rPr>
            </w:pPr>
            <w:r>
              <w:rPr>
                <w:rFonts w:hint="eastAsia" w:ascii="新宋体" w:hAnsi="新宋体" w:eastAsia="新宋体" w:cs="新宋体"/>
                <w:color w:val="auto"/>
              </w:rPr>
              <w:t>6</w:t>
            </w:r>
          </w:p>
        </w:tc>
        <w:tc>
          <w:tcPr>
            <w:tcW w:w="643" w:type="dxa"/>
            <w:tcBorders>
              <w:top w:val="single" w:color="000000" w:sz="4" w:space="0"/>
              <w:left w:val="nil"/>
              <w:bottom w:val="single" w:color="000000" w:sz="4" w:space="0"/>
              <w:right w:val="single" w:color="000000" w:sz="4" w:space="0"/>
            </w:tcBorders>
            <w:noWrap w:val="0"/>
            <w:vAlign w:val="top"/>
          </w:tcPr>
          <w:p w14:paraId="0E0B9D08">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94D8D9F">
            <w:pPr>
              <w:spacing w:line="360" w:lineRule="auto"/>
              <w:rPr>
                <w:rFonts w:ascii="新宋体" w:hAnsi="新宋体" w:eastAsia="新宋体" w:cs="新宋体"/>
                <w:color w:val="auto"/>
                <w:lang w:eastAsia="en-US"/>
              </w:rPr>
            </w:pPr>
          </w:p>
        </w:tc>
      </w:tr>
      <w:tr w14:paraId="216A9BAD">
        <w:tblPrEx>
          <w:tblCellMar>
            <w:top w:w="0" w:type="dxa"/>
            <w:left w:w="108" w:type="dxa"/>
            <w:bottom w:w="0" w:type="dxa"/>
            <w:right w:w="108" w:type="dxa"/>
          </w:tblCellMar>
        </w:tblPrEx>
        <w:trPr>
          <w:cantSplit/>
          <w:trHeight w:val="1102" w:hRule="atLeast"/>
        </w:trPr>
        <w:tc>
          <w:tcPr>
            <w:tcW w:w="902" w:type="dxa"/>
            <w:vMerge w:val="continue"/>
            <w:tcBorders>
              <w:left w:val="single" w:color="000000" w:sz="4" w:space="0"/>
              <w:bottom w:val="single" w:color="auto" w:sz="4" w:space="0"/>
              <w:right w:val="single" w:color="000000" w:sz="4" w:space="0"/>
            </w:tcBorders>
            <w:noWrap w:val="0"/>
            <w:vAlign w:val="center"/>
          </w:tcPr>
          <w:p w14:paraId="53006E9C">
            <w:pPr>
              <w:rPr>
                <w:rFonts w:ascii="新宋体" w:hAnsi="新宋体" w:eastAsia="新宋体" w:cs="新宋体"/>
                <w:color w:val="auto"/>
              </w:rPr>
            </w:pPr>
          </w:p>
        </w:tc>
        <w:tc>
          <w:tcPr>
            <w:tcW w:w="686" w:type="dxa"/>
            <w:tcBorders>
              <w:left w:val="nil"/>
              <w:right w:val="single" w:color="auto" w:sz="4" w:space="0"/>
            </w:tcBorders>
            <w:noWrap w:val="0"/>
            <w:vAlign w:val="top"/>
          </w:tcPr>
          <w:p w14:paraId="401288C3">
            <w:pPr>
              <w:wordWrap w:val="0"/>
              <w:spacing w:line="360" w:lineRule="auto"/>
              <w:rPr>
                <w:rFonts w:ascii="新宋体" w:hAnsi="新宋体" w:eastAsia="新宋体" w:cs="新宋体"/>
                <w:color w:val="auto"/>
              </w:rPr>
            </w:pPr>
            <w:r>
              <w:rPr>
                <w:rFonts w:hint="eastAsia" w:ascii="新宋体" w:hAnsi="新宋体" w:eastAsia="新宋体" w:cs="新宋体"/>
                <w:color w:val="auto"/>
              </w:rPr>
              <w:t>落实整改</w:t>
            </w:r>
          </w:p>
        </w:tc>
        <w:tc>
          <w:tcPr>
            <w:tcW w:w="5946" w:type="dxa"/>
            <w:tcBorders>
              <w:top w:val="single" w:color="auto" w:sz="4" w:space="0"/>
              <w:left w:val="single" w:color="auto" w:sz="4" w:space="0"/>
              <w:right w:val="single" w:color="000000" w:sz="4" w:space="0"/>
            </w:tcBorders>
            <w:noWrap w:val="0"/>
            <w:vAlign w:val="top"/>
          </w:tcPr>
          <w:p w14:paraId="4D70984C">
            <w:pPr>
              <w:wordWrap w:val="0"/>
              <w:spacing w:line="360" w:lineRule="auto"/>
              <w:rPr>
                <w:rFonts w:ascii="新宋体" w:hAnsi="新宋体" w:eastAsia="新宋体" w:cs="新宋体"/>
                <w:color w:val="auto"/>
              </w:rPr>
            </w:pPr>
            <w:r>
              <w:rPr>
                <w:rFonts w:hint="eastAsia" w:ascii="新宋体" w:hAnsi="新宋体" w:eastAsia="新宋体" w:cs="新宋体"/>
                <w:color w:val="auto"/>
              </w:rPr>
              <w:t>每期评估后，</w:t>
            </w:r>
            <w:r>
              <w:rPr>
                <w:rFonts w:hint="eastAsia" w:ascii="新宋体" w:hAnsi="新宋体" w:eastAsia="新宋体" w:cs="新宋体"/>
                <w:color w:val="auto"/>
                <w:lang w:eastAsia="zh-CN"/>
              </w:rPr>
              <w:t>如首次</w:t>
            </w:r>
            <w:r>
              <w:rPr>
                <w:rFonts w:hint="eastAsia" w:ascii="新宋体" w:hAnsi="新宋体" w:eastAsia="新宋体" w:cs="新宋体"/>
                <w:color w:val="auto"/>
              </w:rPr>
              <w:t>都能达</w:t>
            </w:r>
            <w:r>
              <w:rPr>
                <w:rFonts w:hint="eastAsia" w:ascii="新宋体" w:hAnsi="新宋体" w:eastAsia="新宋体" w:cs="新宋体"/>
                <w:color w:val="auto"/>
                <w:lang w:eastAsia="zh-CN"/>
              </w:rPr>
              <w:t>到</w:t>
            </w:r>
            <w:r>
              <w:rPr>
                <w:rFonts w:hint="eastAsia" w:ascii="新宋体" w:hAnsi="新宋体" w:eastAsia="新宋体" w:cs="新宋体"/>
                <w:color w:val="auto"/>
                <w:lang w:val="en-US" w:eastAsia="zh-CN"/>
              </w:rPr>
              <w:t>C级标准本项</w:t>
            </w:r>
            <w:r>
              <w:rPr>
                <w:rFonts w:hint="eastAsia" w:ascii="新宋体" w:hAnsi="新宋体" w:eastAsia="新宋体" w:cs="新宋体"/>
                <w:color w:val="auto"/>
                <w:lang w:eastAsia="zh-CN"/>
              </w:rPr>
              <w:t>不扣分，出现</w:t>
            </w:r>
            <w:r>
              <w:rPr>
                <w:rFonts w:hint="eastAsia" w:ascii="新宋体" w:hAnsi="新宋体" w:eastAsia="新宋体" w:cs="新宋体"/>
                <w:color w:val="auto"/>
                <w:lang w:val="en-US" w:eastAsia="zh-CN"/>
              </w:rPr>
              <w:t>不达标项扣3分，给予一次整改机会，整改后仍不能达到C级标准的再加扣3分，扣完为止。</w:t>
            </w:r>
          </w:p>
        </w:tc>
        <w:tc>
          <w:tcPr>
            <w:tcW w:w="675" w:type="dxa"/>
            <w:tcBorders>
              <w:top w:val="single" w:color="auto" w:sz="4" w:space="0"/>
              <w:left w:val="nil"/>
              <w:right w:val="single" w:color="000000" w:sz="4" w:space="0"/>
            </w:tcBorders>
            <w:noWrap w:val="0"/>
            <w:vAlign w:val="top"/>
          </w:tcPr>
          <w:p w14:paraId="2B85C3F7">
            <w:pPr>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6</w:t>
            </w:r>
          </w:p>
          <w:p w14:paraId="7D81BB3E">
            <w:pPr>
              <w:spacing w:line="360" w:lineRule="auto"/>
              <w:rPr>
                <w:rFonts w:hint="eastAsia" w:ascii="新宋体" w:hAnsi="新宋体" w:eastAsia="新宋体" w:cs="新宋体"/>
                <w:color w:val="auto"/>
              </w:rPr>
            </w:pPr>
          </w:p>
        </w:tc>
        <w:tc>
          <w:tcPr>
            <w:tcW w:w="643" w:type="dxa"/>
            <w:tcBorders>
              <w:top w:val="single" w:color="auto" w:sz="4" w:space="0"/>
              <w:left w:val="nil"/>
              <w:right w:val="single" w:color="000000" w:sz="4" w:space="0"/>
            </w:tcBorders>
            <w:noWrap w:val="0"/>
            <w:vAlign w:val="top"/>
          </w:tcPr>
          <w:p w14:paraId="58848104">
            <w:pPr>
              <w:spacing w:line="360" w:lineRule="auto"/>
              <w:rPr>
                <w:rFonts w:hint="eastAsia" w:ascii="新宋体" w:hAnsi="新宋体" w:eastAsia="新宋体" w:cs="新宋体"/>
                <w:color w:val="auto"/>
                <w:lang w:val="en-US" w:eastAsia="zh-CN"/>
              </w:rPr>
            </w:pPr>
          </w:p>
        </w:tc>
        <w:tc>
          <w:tcPr>
            <w:tcW w:w="707" w:type="dxa"/>
            <w:tcBorders>
              <w:top w:val="single" w:color="auto" w:sz="4" w:space="0"/>
              <w:left w:val="nil"/>
              <w:right w:val="single" w:color="000000" w:sz="4" w:space="0"/>
            </w:tcBorders>
            <w:noWrap w:val="0"/>
            <w:vAlign w:val="top"/>
          </w:tcPr>
          <w:p w14:paraId="458AB44F">
            <w:pPr>
              <w:spacing w:line="360" w:lineRule="auto"/>
              <w:rPr>
                <w:rFonts w:ascii="新宋体" w:hAnsi="新宋体" w:eastAsia="新宋体" w:cs="新宋体"/>
                <w:color w:val="auto"/>
                <w:lang w:eastAsia="en-US"/>
              </w:rPr>
            </w:pPr>
          </w:p>
        </w:tc>
      </w:tr>
      <w:tr w14:paraId="12CBF59A">
        <w:tblPrEx>
          <w:tblCellMar>
            <w:top w:w="0" w:type="dxa"/>
            <w:left w:w="108" w:type="dxa"/>
            <w:bottom w:w="0" w:type="dxa"/>
            <w:right w:w="108" w:type="dxa"/>
          </w:tblCellMar>
        </w:tblPrEx>
        <w:trPr>
          <w:cantSplit/>
        </w:trPr>
        <w:tc>
          <w:tcPr>
            <w:tcW w:w="902" w:type="dxa"/>
            <w:vMerge w:val="restart"/>
            <w:tcBorders>
              <w:top w:val="nil"/>
              <w:left w:val="single" w:color="000000" w:sz="4" w:space="0"/>
              <w:bottom w:val="single" w:color="auto" w:sz="4" w:space="0"/>
              <w:right w:val="single" w:color="000000" w:sz="4" w:space="0"/>
            </w:tcBorders>
            <w:noWrap w:val="0"/>
            <w:vAlign w:val="center"/>
          </w:tcPr>
          <w:p w14:paraId="7799832C">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六、应急服务</w:t>
            </w:r>
          </w:p>
          <w:p w14:paraId="25B3BF51">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（5分）</w:t>
            </w:r>
          </w:p>
        </w:tc>
        <w:tc>
          <w:tcPr>
            <w:tcW w:w="6632" w:type="dxa"/>
            <w:gridSpan w:val="2"/>
            <w:tcBorders>
              <w:top w:val="single" w:color="000000" w:sz="4" w:space="0"/>
              <w:left w:val="nil"/>
              <w:bottom w:val="single" w:color="000000" w:sz="4" w:space="0"/>
              <w:right w:val="single" w:color="000000" w:sz="4" w:space="0"/>
            </w:tcBorders>
            <w:noWrap w:val="0"/>
            <w:vAlign w:val="top"/>
          </w:tcPr>
          <w:p w14:paraId="6B87D055">
            <w:pPr>
              <w:spacing w:line="360" w:lineRule="auto"/>
              <w:rPr>
                <w:rFonts w:ascii="新宋体" w:hAnsi="新宋体" w:eastAsia="新宋体" w:cs="新宋体"/>
                <w:color w:val="auto"/>
              </w:rPr>
            </w:pPr>
            <w:r>
              <w:rPr>
                <w:rFonts w:hint="eastAsia" w:ascii="新宋体" w:hAnsi="新宋体" w:eastAsia="新宋体" w:cs="新宋体"/>
                <w:color w:val="auto"/>
              </w:rPr>
              <w:t>根据工作需要，及时制定上级除四害的明查暗访方案，较好完成工作。</w:t>
            </w:r>
          </w:p>
        </w:tc>
        <w:tc>
          <w:tcPr>
            <w:tcW w:w="675" w:type="dxa"/>
            <w:tcBorders>
              <w:top w:val="single" w:color="000000" w:sz="4" w:space="0"/>
              <w:left w:val="nil"/>
              <w:bottom w:val="single" w:color="000000" w:sz="4" w:space="0"/>
              <w:right w:val="single" w:color="000000" w:sz="4" w:space="0"/>
            </w:tcBorders>
            <w:noWrap w:val="0"/>
            <w:vAlign w:val="top"/>
          </w:tcPr>
          <w:p w14:paraId="5842ED65">
            <w:pPr>
              <w:spacing w:line="360" w:lineRule="auto"/>
              <w:rPr>
                <w:rFonts w:ascii="新宋体" w:hAnsi="新宋体" w:eastAsia="新宋体" w:cs="新宋体"/>
                <w:color w:val="auto"/>
                <w:lang w:eastAsia="en-US"/>
              </w:rPr>
            </w:pPr>
            <w:r>
              <w:rPr>
                <w:rFonts w:hint="eastAsia" w:ascii="新宋体" w:hAnsi="新宋体" w:eastAsia="新宋体" w:cs="新宋体"/>
                <w:color w:val="auto"/>
              </w:rPr>
              <w:t>2</w:t>
            </w:r>
          </w:p>
        </w:tc>
        <w:tc>
          <w:tcPr>
            <w:tcW w:w="643" w:type="dxa"/>
            <w:tcBorders>
              <w:top w:val="single" w:color="000000" w:sz="4" w:space="0"/>
              <w:left w:val="nil"/>
              <w:bottom w:val="single" w:color="000000" w:sz="4" w:space="0"/>
              <w:right w:val="single" w:color="000000" w:sz="4" w:space="0"/>
            </w:tcBorders>
            <w:noWrap w:val="0"/>
            <w:vAlign w:val="top"/>
          </w:tcPr>
          <w:p w14:paraId="26D03B20">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38480288">
            <w:pPr>
              <w:spacing w:line="360" w:lineRule="auto"/>
              <w:rPr>
                <w:rFonts w:ascii="新宋体" w:hAnsi="新宋体" w:eastAsia="新宋体" w:cs="新宋体"/>
                <w:color w:val="auto"/>
                <w:lang w:eastAsia="en-US"/>
              </w:rPr>
            </w:pPr>
          </w:p>
        </w:tc>
      </w:tr>
      <w:tr w14:paraId="46151DD3">
        <w:tblPrEx>
          <w:tblCellMar>
            <w:top w:w="0" w:type="dxa"/>
            <w:left w:w="108" w:type="dxa"/>
            <w:bottom w:w="0" w:type="dxa"/>
            <w:right w:w="108" w:type="dxa"/>
          </w:tblCellMar>
        </w:tblPrEx>
        <w:trPr>
          <w:cantSplit/>
          <w:trHeight w:val="1179" w:hRule="atLeast"/>
        </w:trPr>
        <w:tc>
          <w:tcPr>
            <w:tcW w:w="902" w:type="dxa"/>
            <w:vMerge w:val="continue"/>
            <w:tcBorders>
              <w:top w:val="nil"/>
              <w:left w:val="single" w:color="000000" w:sz="4" w:space="0"/>
              <w:bottom w:val="single" w:color="auto" w:sz="4" w:space="0"/>
              <w:right w:val="single" w:color="000000" w:sz="4" w:space="0"/>
            </w:tcBorders>
            <w:noWrap w:val="0"/>
            <w:vAlign w:val="center"/>
          </w:tcPr>
          <w:p w14:paraId="4EFD307E">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4C3BF32D">
            <w:pPr>
              <w:spacing w:line="360" w:lineRule="auto"/>
              <w:rPr>
                <w:rFonts w:ascii="新宋体" w:hAnsi="新宋体" w:eastAsia="新宋体" w:cs="新宋体"/>
                <w:color w:val="auto"/>
              </w:rPr>
            </w:pPr>
            <w:r>
              <w:rPr>
                <w:rFonts w:hint="eastAsia" w:ascii="新宋体" w:hAnsi="新宋体" w:eastAsia="新宋体" w:cs="新宋体"/>
                <w:color w:val="auto"/>
              </w:rPr>
              <w:t>应急：应急事件发生时，接到电话通知后，及时到指定地点进行处置，并达到</w:t>
            </w:r>
            <w:r>
              <w:rPr>
                <w:rFonts w:hint="eastAsia" w:ascii="新宋体" w:hAnsi="新宋体" w:eastAsia="新宋体" w:cs="新宋体"/>
                <w:color w:val="auto"/>
                <w:lang w:eastAsia="zh-CN"/>
              </w:rPr>
              <w:t>合同</w:t>
            </w:r>
            <w:r>
              <w:rPr>
                <w:rFonts w:hint="eastAsia" w:ascii="新宋体" w:hAnsi="新宋体" w:eastAsia="新宋体" w:cs="新宋体"/>
                <w:color w:val="auto"/>
              </w:rPr>
              <w:t>规定标准；发生小孩、宠物误食时，消杀单位应积极配合被误食的小孩或宠物做好救治工作。否则不得分。</w:t>
            </w:r>
          </w:p>
        </w:tc>
        <w:tc>
          <w:tcPr>
            <w:tcW w:w="675" w:type="dxa"/>
            <w:tcBorders>
              <w:top w:val="single" w:color="000000" w:sz="4" w:space="0"/>
              <w:left w:val="nil"/>
              <w:bottom w:val="single" w:color="000000" w:sz="4" w:space="0"/>
              <w:right w:val="single" w:color="000000" w:sz="4" w:space="0"/>
            </w:tcBorders>
            <w:noWrap w:val="0"/>
            <w:vAlign w:val="top"/>
          </w:tcPr>
          <w:p w14:paraId="59EA7FA1">
            <w:pPr>
              <w:spacing w:line="360" w:lineRule="auto"/>
              <w:rPr>
                <w:rFonts w:ascii="新宋体" w:hAnsi="新宋体" w:eastAsia="新宋体" w:cs="新宋体"/>
                <w:color w:val="auto"/>
                <w:lang w:eastAsia="en-US"/>
              </w:rPr>
            </w:pPr>
            <w:r>
              <w:rPr>
                <w:rFonts w:hint="eastAsia" w:ascii="新宋体" w:hAnsi="新宋体" w:eastAsia="新宋体" w:cs="新宋体"/>
                <w:color w:val="auto"/>
              </w:rPr>
              <w:t>3</w:t>
            </w:r>
          </w:p>
        </w:tc>
        <w:tc>
          <w:tcPr>
            <w:tcW w:w="643" w:type="dxa"/>
            <w:tcBorders>
              <w:top w:val="single" w:color="000000" w:sz="4" w:space="0"/>
              <w:left w:val="nil"/>
              <w:bottom w:val="single" w:color="000000" w:sz="4" w:space="0"/>
              <w:right w:val="single" w:color="000000" w:sz="4" w:space="0"/>
            </w:tcBorders>
            <w:noWrap w:val="0"/>
            <w:vAlign w:val="top"/>
          </w:tcPr>
          <w:p w14:paraId="749B0C33">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6C4A0D33">
            <w:pPr>
              <w:spacing w:line="360" w:lineRule="auto"/>
              <w:rPr>
                <w:rFonts w:ascii="新宋体" w:hAnsi="新宋体" w:eastAsia="新宋体" w:cs="新宋体"/>
                <w:color w:val="auto"/>
                <w:lang w:eastAsia="en-US"/>
              </w:rPr>
            </w:pPr>
          </w:p>
        </w:tc>
      </w:tr>
      <w:tr w14:paraId="09492710">
        <w:tblPrEx>
          <w:tblCellMar>
            <w:top w:w="0" w:type="dxa"/>
            <w:left w:w="108" w:type="dxa"/>
            <w:bottom w:w="0" w:type="dxa"/>
            <w:right w:w="108" w:type="dxa"/>
          </w:tblCellMar>
        </w:tblPrEx>
        <w:trPr>
          <w:cantSplit/>
          <w:trHeight w:val="471" w:hRule="atLeast"/>
        </w:trPr>
        <w:tc>
          <w:tcPr>
            <w:tcW w:w="902" w:type="dxa"/>
            <w:tcBorders>
              <w:top w:val="single" w:color="auto" w:sz="4" w:space="0"/>
              <w:left w:val="single" w:color="000000" w:sz="4" w:space="0"/>
              <w:bottom w:val="single" w:color="auto" w:sz="4" w:space="0"/>
              <w:right w:val="single" w:color="000000" w:sz="4" w:space="0"/>
            </w:tcBorders>
            <w:noWrap w:val="0"/>
            <w:vAlign w:val="center"/>
          </w:tcPr>
          <w:p w14:paraId="16C9E5F8">
            <w:pPr>
              <w:spacing w:line="360" w:lineRule="auto"/>
              <w:rPr>
                <w:rFonts w:hint="eastAsia" w:ascii="新宋体" w:hAnsi="新宋体" w:eastAsia="新宋体" w:cs="新宋体"/>
                <w:color w:val="auto"/>
                <w:lang w:val="en-US" w:eastAsia="zh-CN"/>
              </w:rPr>
            </w:pPr>
            <w:r>
              <w:rPr>
                <w:rFonts w:hint="eastAsia" w:ascii="新宋体" w:hAnsi="新宋体" w:eastAsia="新宋体" w:cs="新宋体"/>
                <w:b/>
                <w:color w:val="auto"/>
              </w:rPr>
              <w:t>七、资料台账(5分）</w:t>
            </w:r>
          </w:p>
        </w:tc>
        <w:tc>
          <w:tcPr>
            <w:tcW w:w="6632" w:type="dxa"/>
            <w:gridSpan w:val="2"/>
            <w:tcBorders>
              <w:top w:val="single" w:color="000000" w:sz="4" w:space="0"/>
              <w:left w:val="nil"/>
              <w:bottom w:val="single" w:color="auto" w:sz="4" w:space="0"/>
              <w:right w:val="single" w:color="000000" w:sz="4" w:space="0"/>
            </w:tcBorders>
            <w:noWrap w:val="0"/>
            <w:vAlign w:val="top"/>
          </w:tcPr>
          <w:p w14:paraId="15B43041">
            <w:pPr>
              <w:spacing w:line="360" w:lineRule="auto"/>
              <w:rPr>
                <w:rFonts w:hint="eastAsia" w:ascii="新宋体" w:hAnsi="新宋体" w:eastAsia="新宋体" w:cs="新宋体"/>
                <w:color w:val="auto"/>
              </w:rPr>
            </w:pPr>
            <w:r>
              <w:rPr>
                <w:rFonts w:hint="eastAsia" w:ascii="新宋体" w:hAnsi="新宋体" w:eastAsia="新宋体" w:cs="新宋体"/>
                <w:color w:val="auto"/>
              </w:rPr>
              <w:t>做好消杀区域每月的蚊、蝇、蟑螂、鼠控制杀灭现场服务报告及汇总资料收集等工作，资料基本齐全；每发现1项不按时上交或弄虚作假的扣1分，发现1处不规范扣0.5分，扣完为止。</w:t>
            </w:r>
          </w:p>
        </w:tc>
        <w:tc>
          <w:tcPr>
            <w:tcW w:w="675" w:type="dxa"/>
            <w:tcBorders>
              <w:top w:val="single" w:color="000000" w:sz="4" w:space="0"/>
              <w:left w:val="nil"/>
              <w:bottom w:val="single" w:color="auto" w:sz="4" w:space="0"/>
              <w:right w:val="single" w:color="000000" w:sz="4" w:space="0"/>
            </w:tcBorders>
            <w:noWrap w:val="0"/>
            <w:vAlign w:val="top"/>
          </w:tcPr>
          <w:p w14:paraId="6EBF11C0">
            <w:pPr>
              <w:spacing w:line="360" w:lineRule="auto"/>
              <w:rPr>
                <w:rFonts w:hint="eastAsia" w:ascii="新宋体" w:hAnsi="新宋体" w:eastAsia="新宋体" w:cs="新宋体"/>
                <w:color w:val="auto"/>
              </w:rPr>
            </w:pPr>
            <w:r>
              <w:rPr>
                <w:rFonts w:hint="eastAsia" w:ascii="新宋体" w:hAnsi="新宋体" w:eastAsia="新宋体" w:cs="新宋体"/>
                <w:color w:val="auto"/>
              </w:rPr>
              <w:t>5</w:t>
            </w:r>
          </w:p>
        </w:tc>
        <w:tc>
          <w:tcPr>
            <w:tcW w:w="643" w:type="dxa"/>
            <w:tcBorders>
              <w:top w:val="single" w:color="000000" w:sz="4" w:space="0"/>
              <w:left w:val="nil"/>
              <w:bottom w:val="single" w:color="auto" w:sz="4" w:space="0"/>
              <w:right w:val="single" w:color="000000" w:sz="4" w:space="0"/>
            </w:tcBorders>
            <w:noWrap w:val="0"/>
            <w:vAlign w:val="top"/>
          </w:tcPr>
          <w:p w14:paraId="126ABCA0">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auto" w:sz="4" w:space="0"/>
              <w:right w:val="single" w:color="000000" w:sz="4" w:space="0"/>
            </w:tcBorders>
            <w:noWrap w:val="0"/>
            <w:vAlign w:val="top"/>
          </w:tcPr>
          <w:p w14:paraId="32150E2E">
            <w:pPr>
              <w:spacing w:line="360" w:lineRule="auto"/>
              <w:rPr>
                <w:rFonts w:ascii="新宋体" w:hAnsi="新宋体" w:eastAsia="新宋体" w:cs="新宋体"/>
                <w:color w:val="auto"/>
                <w:lang w:eastAsia="en-US"/>
              </w:rPr>
            </w:pPr>
          </w:p>
        </w:tc>
      </w:tr>
      <w:tr w14:paraId="336652CD">
        <w:tblPrEx>
          <w:tblCellMar>
            <w:top w:w="0" w:type="dxa"/>
            <w:left w:w="108" w:type="dxa"/>
            <w:bottom w:w="0" w:type="dxa"/>
            <w:right w:w="108" w:type="dxa"/>
          </w:tblCellMar>
        </w:tblPrEx>
        <w:trPr>
          <w:cantSplit/>
        </w:trPr>
        <w:tc>
          <w:tcPr>
            <w:tcW w:w="902" w:type="dxa"/>
            <w:vMerge w:val="restart"/>
            <w:tcBorders>
              <w:top w:val="nil"/>
              <w:left w:val="single" w:color="000000" w:sz="4" w:space="0"/>
              <w:right w:val="single" w:color="000000" w:sz="4" w:space="0"/>
            </w:tcBorders>
            <w:noWrap w:val="0"/>
            <w:vAlign w:val="center"/>
          </w:tcPr>
          <w:p w14:paraId="45DDC4A5">
            <w:pPr>
              <w:tabs>
                <w:tab w:val="left" w:pos="720"/>
              </w:tabs>
              <w:spacing w:line="360" w:lineRule="auto"/>
              <w:rPr>
                <w:rFonts w:ascii="新宋体" w:hAnsi="新宋体" w:eastAsia="新宋体" w:cs="新宋体"/>
                <w:b/>
                <w:color w:val="auto"/>
              </w:rPr>
            </w:pPr>
            <w:r>
              <w:rPr>
                <w:rFonts w:hint="eastAsia" w:ascii="新宋体" w:hAnsi="新宋体" w:eastAsia="新宋体" w:cs="新宋体"/>
                <w:b/>
                <w:color w:val="auto"/>
              </w:rPr>
              <w:t>八、满意度</w:t>
            </w:r>
          </w:p>
          <w:p w14:paraId="14A6A385">
            <w:pPr>
              <w:spacing w:line="360" w:lineRule="auto"/>
              <w:rPr>
                <w:rFonts w:ascii="新宋体" w:hAnsi="新宋体" w:eastAsia="新宋体" w:cs="新宋体"/>
                <w:b/>
                <w:color w:val="auto"/>
                <w:lang w:eastAsia="en-US"/>
              </w:rPr>
            </w:pPr>
            <w:r>
              <w:rPr>
                <w:rFonts w:hint="eastAsia" w:ascii="新宋体" w:hAnsi="新宋体" w:eastAsia="新宋体" w:cs="新宋体"/>
                <w:b/>
                <w:color w:val="auto"/>
              </w:rPr>
              <w:t>（10分）</w:t>
            </w:r>
          </w:p>
        </w:tc>
        <w:tc>
          <w:tcPr>
            <w:tcW w:w="6632" w:type="dxa"/>
            <w:gridSpan w:val="2"/>
            <w:tcBorders>
              <w:top w:val="single" w:color="000000" w:sz="4" w:space="0"/>
              <w:left w:val="nil"/>
              <w:bottom w:val="single" w:color="000000" w:sz="4" w:space="0"/>
              <w:right w:val="single" w:color="000000" w:sz="4" w:space="0"/>
            </w:tcBorders>
            <w:noWrap w:val="0"/>
            <w:vAlign w:val="top"/>
          </w:tcPr>
          <w:p w14:paraId="3195B14D">
            <w:pPr>
              <w:spacing w:line="360" w:lineRule="auto"/>
              <w:rPr>
                <w:rFonts w:ascii="新宋体" w:hAnsi="新宋体" w:eastAsia="新宋体" w:cs="新宋体"/>
                <w:color w:val="auto"/>
              </w:rPr>
            </w:pPr>
            <w:r>
              <w:rPr>
                <w:rFonts w:hint="eastAsia" w:ascii="新宋体" w:hAnsi="新宋体" w:eastAsia="新宋体" w:cs="新宋体"/>
                <w:color w:val="auto"/>
              </w:rPr>
              <w:t xml:space="preserve">无生产安全事故；无相关传染病暴发或流行。 </w:t>
            </w:r>
          </w:p>
        </w:tc>
        <w:tc>
          <w:tcPr>
            <w:tcW w:w="675" w:type="dxa"/>
            <w:tcBorders>
              <w:top w:val="single" w:color="000000" w:sz="4" w:space="0"/>
              <w:left w:val="nil"/>
              <w:bottom w:val="single" w:color="000000" w:sz="4" w:space="0"/>
              <w:right w:val="single" w:color="000000" w:sz="4" w:space="0"/>
            </w:tcBorders>
            <w:noWrap w:val="0"/>
            <w:vAlign w:val="top"/>
          </w:tcPr>
          <w:p w14:paraId="754E57D5">
            <w:pPr>
              <w:spacing w:line="360" w:lineRule="auto"/>
              <w:rPr>
                <w:rFonts w:ascii="新宋体" w:hAnsi="新宋体" w:eastAsia="新宋体" w:cs="新宋体"/>
                <w:color w:val="auto"/>
                <w:lang w:eastAsia="en-US"/>
              </w:rPr>
            </w:pPr>
            <w:r>
              <w:rPr>
                <w:rFonts w:hint="eastAsia" w:ascii="新宋体" w:hAnsi="新宋体" w:eastAsia="新宋体" w:cs="新宋体"/>
                <w:color w:val="auto"/>
              </w:rPr>
              <w:t>1</w:t>
            </w:r>
          </w:p>
        </w:tc>
        <w:tc>
          <w:tcPr>
            <w:tcW w:w="643" w:type="dxa"/>
            <w:tcBorders>
              <w:top w:val="single" w:color="000000" w:sz="4" w:space="0"/>
              <w:left w:val="nil"/>
              <w:bottom w:val="single" w:color="000000" w:sz="4" w:space="0"/>
              <w:right w:val="single" w:color="000000" w:sz="4" w:space="0"/>
            </w:tcBorders>
            <w:noWrap w:val="0"/>
            <w:vAlign w:val="top"/>
          </w:tcPr>
          <w:p w14:paraId="5167A46D">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486D4212">
            <w:pPr>
              <w:spacing w:line="360" w:lineRule="auto"/>
              <w:rPr>
                <w:rFonts w:ascii="新宋体" w:hAnsi="新宋体" w:eastAsia="新宋体" w:cs="新宋体"/>
                <w:color w:val="auto"/>
                <w:lang w:eastAsia="en-US"/>
              </w:rPr>
            </w:pPr>
          </w:p>
        </w:tc>
      </w:tr>
      <w:tr w14:paraId="16F57DFF">
        <w:tblPrEx>
          <w:tblCellMar>
            <w:top w:w="0" w:type="dxa"/>
            <w:left w:w="108" w:type="dxa"/>
            <w:bottom w:w="0" w:type="dxa"/>
            <w:right w:w="108" w:type="dxa"/>
          </w:tblCellMar>
        </w:tblPrEx>
        <w:trPr>
          <w:cantSplit/>
        </w:trPr>
        <w:tc>
          <w:tcPr>
            <w:tcW w:w="902" w:type="dxa"/>
            <w:vMerge w:val="continue"/>
            <w:tcBorders>
              <w:left w:val="single" w:color="000000" w:sz="4" w:space="0"/>
              <w:right w:val="single" w:color="000000" w:sz="4" w:space="0"/>
            </w:tcBorders>
            <w:noWrap w:val="0"/>
            <w:vAlign w:val="center"/>
          </w:tcPr>
          <w:p w14:paraId="4299481B">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23382DE6">
            <w:pPr>
              <w:spacing w:line="360" w:lineRule="auto"/>
              <w:rPr>
                <w:rFonts w:hint="default" w:ascii="新宋体" w:hAnsi="新宋体" w:eastAsia="新宋体" w:cs="新宋体"/>
                <w:color w:val="auto"/>
                <w:lang w:val="en-US" w:eastAsia="zh-CN"/>
              </w:rPr>
            </w:pPr>
            <w:r>
              <w:rPr>
                <w:rFonts w:hint="eastAsia" w:ascii="新宋体" w:hAnsi="新宋体" w:eastAsia="新宋体" w:cs="新宋体"/>
                <w:color w:val="auto"/>
              </w:rPr>
              <w:t>每发现问题，通知整改，</w:t>
            </w:r>
            <w:r>
              <w:rPr>
                <w:rFonts w:hint="eastAsia" w:ascii="新宋体" w:hAnsi="新宋体" w:eastAsia="新宋体" w:cs="新宋体"/>
                <w:color w:val="auto"/>
                <w:lang w:eastAsia="zh-CN"/>
              </w:rPr>
              <w:t>要</w:t>
            </w:r>
            <w:r>
              <w:rPr>
                <w:rFonts w:hint="eastAsia" w:ascii="新宋体" w:hAnsi="新宋体" w:eastAsia="新宋体" w:cs="新宋体"/>
                <w:color w:val="auto"/>
              </w:rPr>
              <w:t>按照要求及时落实整改，效果满意。</w:t>
            </w:r>
            <w:r>
              <w:rPr>
                <w:rFonts w:hint="eastAsia" w:ascii="新宋体" w:hAnsi="新宋体" w:eastAsia="新宋体" w:cs="新宋体"/>
                <w:color w:val="auto"/>
                <w:lang w:eastAsia="zh-CN"/>
              </w:rPr>
              <w:t>未</w:t>
            </w:r>
            <w:r>
              <w:rPr>
                <w:rFonts w:hint="eastAsia" w:ascii="新宋体" w:hAnsi="新宋体" w:eastAsia="新宋体" w:cs="新宋体"/>
                <w:color w:val="auto"/>
              </w:rPr>
              <w:t>及时落实整改</w:t>
            </w:r>
            <w:r>
              <w:rPr>
                <w:rFonts w:hint="eastAsia" w:ascii="新宋体" w:hAnsi="新宋体" w:eastAsia="新宋体" w:cs="新宋体"/>
                <w:color w:val="auto"/>
                <w:lang w:eastAsia="zh-CN"/>
              </w:rPr>
              <w:t>或</w:t>
            </w:r>
            <w:r>
              <w:rPr>
                <w:rFonts w:hint="eastAsia" w:ascii="新宋体" w:hAnsi="新宋体" w:eastAsia="新宋体" w:cs="新宋体"/>
                <w:color w:val="auto"/>
              </w:rPr>
              <w:t>效果</w:t>
            </w:r>
            <w:r>
              <w:rPr>
                <w:rFonts w:hint="eastAsia" w:ascii="新宋体" w:hAnsi="新宋体" w:eastAsia="新宋体" w:cs="新宋体"/>
                <w:color w:val="auto"/>
                <w:lang w:eastAsia="zh-CN"/>
              </w:rPr>
              <w:t>不</w:t>
            </w:r>
            <w:r>
              <w:rPr>
                <w:rFonts w:hint="eastAsia" w:ascii="新宋体" w:hAnsi="新宋体" w:eastAsia="新宋体" w:cs="新宋体"/>
                <w:color w:val="auto"/>
              </w:rPr>
              <w:t>满意</w:t>
            </w:r>
            <w:r>
              <w:rPr>
                <w:rFonts w:hint="eastAsia" w:ascii="新宋体" w:hAnsi="新宋体" w:eastAsia="新宋体" w:cs="新宋体"/>
                <w:color w:val="auto"/>
                <w:lang w:eastAsia="zh-CN"/>
              </w:rPr>
              <w:t>，扣</w:t>
            </w:r>
            <w:r>
              <w:rPr>
                <w:rFonts w:hint="eastAsia" w:ascii="新宋体" w:hAnsi="新宋体" w:eastAsia="新宋体" w:cs="新宋体"/>
                <w:color w:val="auto"/>
                <w:lang w:val="en-US" w:eastAsia="zh-CN"/>
              </w:rPr>
              <w:t>3分。</w:t>
            </w:r>
          </w:p>
        </w:tc>
        <w:tc>
          <w:tcPr>
            <w:tcW w:w="675" w:type="dxa"/>
            <w:tcBorders>
              <w:top w:val="single" w:color="000000" w:sz="4" w:space="0"/>
              <w:left w:val="nil"/>
              <w:bottom w:val="single" w:color="000000" w:sz="4" w:space="0"/>
              <w:right w:val="single" w:color="000000" w:sz="4" w:space="0"/>
            </w:tcBorders>
            <w:noWrap w:val="0"/>
            <w:vAlign w:val="top"/>
          </w:tcPr>
          <w:p w14:paraId="0E22E62C">
            <w:pPr>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5EE75AB9">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F59AFA6">
            <w:pPr>
              <w:spacing w:line="360" w:lineRule="auto"/>
              <w:rPr>
                <w:rFonts w:ascii="新宋体" w:hAnsi="新宋体" w:eastAsia="新宋体" w:cs="新宋体"/>
                <w:color w:val="auto"/>
                <w:lang w:eastAsia="en-US"/>
              </w:rPr>
            </w:pPr>
          </w:p>
        </w:tc>
      </w:tr>
      <w:tr w14:paraId="749427D3">
        <w:tblPrEx>
          <w:tblCellMar>
            <w:top w:w="0" w:type="dxa"/>
            <w:left w:w="108" w:type="dxa"/>
            <w:bottom w:w="0" w:type="dxa"/>
            <w:right w:w="108" w:type="dxa"/>
          </w:tblCellMar>
        </w:tblPrEx>
        <w:trPr>
          <w:cantSplit/>
        </w:trPr>
        <w:tc>
          <w:tcPr>
            <w:tcW w:w="902" w:type="dxa"/>
            <w:vMerge w:val="continue"/>
            <w:tcBorders>
              <w:left w:val="single" w:color="000000" w:sz="4" w:space="0"/>
              <w:right w:val="single" w:color="000000" w:sz="4" w:space="0"/>
            </w:tcBorders>
            <w:noWrap w:val="0"/>
            <w:vAlign w:val="center"/>
          </w:tcPr>
          <w:p w14:paraId="00A39B1D">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533159A1">
            <w:pPr>
              <w:spacing w:line="360" w:lineRule="auto"/>
              <w:rPr>
                <w:rFonts w:ascii="新宋体" w:hAnsi="新宋体" w:eastAsia="新宋体" w:cs="新宋体"/>
                <w:color w:val="auto"/>
              </w:rPr>
            </w:pPr>
            <w:r>
              <w:rPr>
                <w:rFonts w:hint="eastAsia" w:ascii="新宋体" w:hAnsi="新宋体" w:eastAsia="新宋体" w:cs="新宋体"/>
                <w:color w:val="auto"/>
              </w:rPr>
              <w:t>确保无投诉，无媒体曝光，无</w:t>
            </w:r>
            <w:r>
              <w:rPr>
                <w:rFonts w:hint="eastAsia" w:ascii="新宋体" w:hAnsi="新宋体" w:eastAsia="新宋体" w:cs="新宋体"/>
                <w:color w:val="auto"/>
                <w:lang w:eastAsia="zh-CN"/>
              </w:rPr>
              <w:t>县</w:t>
            </w:r>
            <w:r>
              <w:rPr>
                <w:rFonts w:hint="eastAsia" w:ascii="新宋体" w:hAnsi="新宋体" w:eastAsia="新宋体" w:cs="新宋体"/>
                <w:color w:val="auto"/>
              </w:rPr>
              <w:t>级以上部门通报批评。每</w:t>
            </w:r>
            <w:r>
              <w:rPr>
                <w:rFonts w:hint="eastAsia" w:ascii="新宋体" w:hAnsi="新宋体" w:eastAsia="新宋体" w:cs="新宋体"/>
                <w:color w:val="auto"/>
                <w:lang w:eastAsia="zh-CN"/>
              </w:rPr>
              <w:t>出现</w:t>
            </w:r>
            <w:r>
              <w:rPr>
                <w:rFonts w:hint="eastAsia" w:ascii="新宋体" w:hAnsi="新宋体" w:eastAsia="新宋体" w:cs="新宋体"/>
                <w:color w:val="auto"/>
              </w:rPr>
              <w:t>投诉</w:t>
            </w:r>
            <w:r>
              <w:rPr>
                <w:rFonts w:hint="eastAsia" w:ascii="新宋体" w:hAnsi="新宋体" w:eastAsia="新宋体" w:cs="新宋体"/>
                <w:color w:val="auto"/>
                <w:lang w:eastAsia="zh-CN"/>
              </w:rPr>
              <w:t>、</w:t>
            </w:r>
            <w:r>
              <w:rPr>
                <w:rFonts w:hint="eastAsia" w:ascii="新宋体" w:hAnsi="新宋体" w:eastAsia="新宋体" w:cs="新宋体"/>
                <w:color w:val="auto"/>
              </w:rPr>
              <w:t>媒体曝光</w:t>
            </w:r>
            <w:r>
              <w:rPr>
                <w:rFonts w:hint="eastAsia" w:ascii="新宋体" w:hAnsi="新宋体" w:eastAsia="新宋体" w:cs="新宋体"/>
                <w:color w:val="auto"/>
                <w:lang w:eastAsia="zh-CN"/>
              </w:rPr>
              <w:t>、</w:t>
            </w:r>
            <w:r>
              <w:rPr>
                <w:rFonts w:hint="eastAsia" w:ascii="新宋体" w:hAnsi="新宋体" w:eastAsia="新宋体" w:cs="新宋体"/>
                <w:color w:val="auto"/>
              </w:rPr>
              <w:t>通报</w:t>
            </w:r>
            <w:r>
              <w:rPr>
                <w:rFonts w:hint="eastAsia" w:ascii="新宋体" w:hAnsi="新宋体" w:eastAsia="新宋体" w:cs="新宋体"/>
                <w:color w:val="auto"/>
                <w:lang w:eastAsia="zh-CN"/>
              </w:rPr>
              <w:t>，属于消杀公司责任的，</w:t>
            </w:r>
            <w:r>
              <w:rPr>
                <w:rFonts w:hint="eastAsia" w:ascii="新宋体" w:hAnsi="新宋体" w:eastAsia="新宋体" w:cs="新宋体"/>
                <w:color w:val="auto"/>
              </w:rPr>
              <w:t>一次扣1分，扣完为止。</w:t>
            </w:r>
          </w:p>
        </w:tc>
        <w:tc>
          <w:tcPr>
            <w:tcW w:w="675" w:type="dxa"/>
            <w:tcBorders>
              <w:top w:val="single" w:color="000000" w:sz="4" w:space="0"/>
              <w:left w:val="nil"/>
              <w:bottom w:val="single" w:color="000000" w:sz="4" w:space="0"/>
              <w:right w:val="single" w:color="000000" w:sz="4" w:space="0"/>
            </w:tcBorders>
            <w:noWrap w:val="0"/>
            <w:vAlign w:val="top"/>
          </w:tcPr>
          <w:p w14:paraId="03DDDD4C">
            <w:pPr>
              <w:spacing w:line="360" w:lineRule="auto"/>
              <w:rPr>
                <w:rFonts w:ascii="新宋体" w:hAnsi="新宋体" w:eastAsia="新宋体" w:cs="新宋体"/>
                <w:color w:val="auto"/>
                <w:lang w:eastAsia="en-US"/>
              </w:rPr>
            </w:pPr>
            <w:r>
              <w:rPr>
                <w:rFonts w:hint="eastAsia" w:ascii="新宋体" w:hAnsi="新宋体" w:eastAsia="新宋体" w:cs="新宋体"/>
                <w:color w:val="auto"/>
              </w:rPr>
              <w:t>3</w:t>
            </w:r>
          </w:p>
        </w:tc>
        <w:tc>
          <w:tcPr>
            <w:tcW w:w="643" w:type="dxa"/>
            <w:tcBorders>
              <w:top w:val="single" w:color="000000" w:sz="4" w:space="0"/>
              <w:left w:val="nil"/>
              <w:bottom w:val="single" w:color="000000" w:sz="4" w:space="0"/>
              <w:right w:val="single" w:color="000000" w:sz="4" w:space="0"/>
            </w:tcBorders>
            <w:noWrap w:val="0"/>
            <w:vAlign w:val="top"/>
          </w:tcPr>
          <w:p w14:paraId="131320B5">
            <w:pPr>
              <w:spacing w:line="360" w:lineRule="auto"/>
              <w:rPr>
                <w:rFonts w:hint="eastAsia" w:ascii="新宋体" w:hAnsi="新宋体" w:eastAsia="新宋体" w:cs="新宋体"/>
                <w:color w:val="auto"/>
                <w:highlight w:val="none"/>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112AD24B">
            <w:pPr>
              <w:spacing w:line="360" w:lineRule="auto"/>
              <w:rPr>
                <w:rFonts w:ascii="新宋体" w:hAnsi="新宋体" w:eastAsia="新宋体" w:cs="新宋体"/>
                <w:color w:val="auto"/>
                <w:lang w:eastAsia="en-US"/>
              </w:rPr>
            </w:pPr>
          </w:p>
        </w:tc>
      </w:tr>
      <w:tr w14:paraId="384A7493">
        <w:tblPrEx>
          <w:tblCellMar>
            <w:top w:w="0" w:type="dxa"/>
            <w:left w:w="108" w:type="dxa"/>
            <w:bottom w:w="0" w:type="dxa"/>
            <w:right w:w="108" w:type="dxa"/>
          </w:tblCellMar>
        </w:tblPrEx>
        <w:trPr>
          <w:cantSplit/>
        </w:trPr>
        <w:tc>
          <w:tcPr>
            <w:tcW w:w="902" w:type="dxa"/>
            <w:vMerge w:val="continue"/>
            <w:tcBorders>
              <w:left w:val="single" w:color="000000" w:sz="4" w:space="0"/>
              <w:bottom w:val="single" w:color="auto" w:sz="4" w:space="0"/>
              <w:right w:val="single" w:color="000000" w:sz="4" w:space="0"/>
            </w:tcBorders>
            <w:noWrap w:val="0"/>
            <w:vAlign w:val="center"/>
          </w:tcPr>
          <w:p w14:paraId="3A121D85">
            <w:pPr>
              <w:rPr>
                <w:rFonts w:ascii="新宋体" w:hAnsi="新宋体" w:eastAsia="新宋体" w:cs="新宋体"/>
                <w:color w:val="auto"/>
              </w:rPr>
            </w:pPr>
          </w:p>
        </w:tc>
        <w:tc>
          <w:tcPr>
            <w:tcW w:w="6632" w:type="dxa"/>
            <w:gridSpan w:val="2"/>
            <w:tcBorders>
              <w:top w:val="single" w:color="000000" w:sz="4" w:space="0"/>
              <w:left w:val="nil"/>
              <w:bottom w:val="single" w:color="000000" w:sz="4" w:space="0"/>
              <w:right w:val="single" w:color="000000" w:sz="4" w:space="0"/>
            </w:tcBorders>
            <w:noWrap w:val="0"/>
            <w:vAlign w:val="top"/>
          </w:tcPr>
          <w:p w14:paraId="735A8041">
            <w:pPr>
              <w:spacing w:line="360" w:lineRule="auto"/>
              <w:rPr>
                <w:rFonts w:ascii="新宋体" w:hAnsi="新宋体" w:eastAsia="新宋体" w:cs="新宋体"/>
                <w:color w:val="auto"/>
              </w:rPr>
            </w:pPr>
            <w:r>
              <w:rPr>
                <w:rFonts w:hint="eastAsia" w:ascii="新宋体" w:hAnsi="新宋体" w:eastAsia="新宋体" w:cs="新宋体"/>
                <w:color w:val="auto"/>
              </w:rPr>
              <w:t>服务区域群众满意率达到85%及以上，满意率未达到85%时，每下降1%扣0.5分</w:t>
            </w:r>
            <w:r>
              <w:rPr>
                <w:rFonts w:hint="eastAsia" w:ascii="新宋体" w:hAnsi="新宋体" w:eastAsia="新宋体" w:cs="新宋体"/>
                <w:color w:val="auto"/>
                <w:lang w:eastAsia="zh-CN"/>
              </w:rPr>
              <w:t>，</w:t>
            </w:r>
            <w:r>
              <w:rPr>
                <w:rFonts w:hint="eastAsia" w:ascii="新宋体" w:hAnsi="新宋体" w:eastAsia="新宋体" w:cs="新宋体"/>
                <w:color w:val="auto"/>
              </w:rPr>
              <w:t>扣完为止。</w:t>
            </w:r>
          </w:p>
        </w:tc>
        <w:tc>
          <w:tcPr>
            <w:tcW w:w="675" w:type="dxa"/>
            <w:tcBorders>
              <w:top w:val="single" w:color="000000" w:sz="4" w:space="0"/>
              <w:left w:val="nil"/>
              <w:bottom w:val="single" w:color="000000" w:sz="4" w:space="0"/>
              <w:right w:val="single" w:color="000000" w:sz="4" w:space="0"/>
            </w:tcBorders>
            <w:noWrap w:val="0"/>
            <w:vAlign w:val="top"/>
          </w:tcPr>
          <w:p w14:paraId="0363012D">
            <w:pPr>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3</w:t>
            </w:r>
          </w:p>
        </w:tc>
        <w:tc>
          <w:tcPr>
            <w:tcW w:w="643" w:type="dxa"/>
            <w:tcBorders>
              <w:top w:val="single" w:color="000000" w:sz="4" w:space="0"/>
              <w:left w:val="nil"/>
              <w:bottom w:val="single" w:color="000000" w:sz="4" w:space="0"/>
              <w:right w:val="single" w:color="000000" w:sz="4" w:space="0"/>
            </w:tcBorders>
            <w:noWrap w:val="0"/>
            <w:vAlign w:val="top"/>
          </w:tcPr>
          <w:p w14:paraId="0E43CB44">
            <w:pPr>
              <w:spacing w:line="360" w:lineRule="auto"/>
              <w:rPr>
                <w:rFonts w:hint="default" w:ascii="新宋体" w:hAnsi="新宋体" w:eastAsia="新宋体" w:cs="新宋体"/>
                <w:color w:val="auto"/>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6C79086D">
            <w:pPr>
              <w:spacing w:line="360" w:lineRule="auto"/>
              <w:rPr>
                <w:rFonts w:ascii="新宋体" w:hAnsi="新宋体" w:eastAsia="新宋体" w:cs="新宋体"/>
                <w:color w:val="auto"/>
                <w:lang w:eastAsia="en-US"/>
              </w:rPr>
            </w:pPr>
          </w:p>
        </w:tc>
      </w:tr>
      <w:tr w14:paraId="12FFF406">
        <w:tblPrEx>
          <w:tblCellMar>
            <w:top w:w="0" w:type="dxa"/>
            <w:left w:w="108" w:type="dxa"/>
            <w:bottom w:w="0" w:type="dxa"/>
            <w:right w:w="108" w:type="dxa"/>
          </w:tblCellMar>
        </w:tblPrEx>
        <w:trPr>
          <w:cantSplit/>
        </w:trPr>
        <w:tc>
          <w:tcPr>
            <w:tcW w:w="902" w:type="dxa"/>
            <w:tcBorders>
              <w:top w:val="single" w:color="auto" w:sz="4" w:space="0"/>
              <w:left w:val="single" w:color="000000" w:sz="4" w:space="0"/>
              <w:bottom w:val="single" w:color="auto" w:sz="4" w:space="0"/>
              <w:right w:val="single" w:color="000000" w:sz="4" w:space="0"/>
            </w:tcBorders>
            <w:noWrap w:val="0"/>
            <w:vAlign w:val="center"/>
          </w:tcPr>
          <w:p w14:paraId="3E01D517">
            <w:pPr>
              <w:rPr>
                <w:rFonts w:hint="eastAsia" w:ascii="新宋体" w:hAnsi="新宋体" w:eastAsia="新宋体" w:cs="新宋体"/>
                <w:color w:val="auto"/>
                <w:lang w:eastAsia="zh-CN"/>
              </w:rPr>
            </w:pPr>
            <w:r>
              <w:rPr>
                <w:rFonts w:hint="eastAsia" w:ascii="新宋体" w:hAnsi="新宋体" w:eastAsia="新宋体" w:cs="新宋体"/>
                <w:b/>
                <w:bCs/>
                <w:color w:val="auto"/>
                <w:lang w:eastAsia="zh-CN"/>
              </w:rPr>
              <w:t>合计</w:t>
            </w:r>
          </w:p>
        </w:tc>
        <w:tc>
          <w:tcPr>
            <w:tcW w:w="6632" w:type="dxa"/>
            <w:gridSpan w:val="2"/>
            <w:tcBorders>
              <w:top w:val="single" w:color="000000" w:sz="4" w:space="0"/>
              <w:left w:val="nil"/>
              <w:bottom w:val="single" w:color="000000" w:sz="4" w:space="0"/>
              <w:right w:val="single" w:color="000000" w:sz="4" w:space="0"/>
            </w:tcBorders>
            <w:noWrap w:val="0"/>
            <w:vAlign w:val="top"/>
          </w:tcPr>
          <w:p w14:paraId="58B97C98">
            <w:pPr>
              <w:spacing w:line="360" w:lineRule="auto"/>
              <w:rPr>
                <w:rFonts w:hint="eastAsia" w:ascii="新宋体" w:hAnsi="新宋体" w:eastAsia="新宋体" w:cs="新宋体"/>
                <w:color w:val="auto"/>
              </w:rPr>
            </w:pPr>
          </w:p>
        </w:tc>
        <w:tc>
          <w:tcPr>
            <w:tcW w:w="675" w:type="dxa"/>
            <w:tcBorders>
              <w:top w:val="single" w:color="000000" w:sz="4" w:space="0"/>
              <w:left w:val="nil"/>
              <w:bottom w:val="single" w:color="000000" w:sz="4" w:space="0"/>
              <w:right w:val="single" w:color="000000" w:sz="4" w:space="0"/>
            </w:tcBorders>
            <w:noWrap w:val="0"/>
            <w:vAlign w:val="top"/>
          </w:tcPr>
          <w:p w14:paraId="359CCEA8">
            <w:pPr>
              <w:spacing w:line="360" w:lineRule="auto"/>
              <w:rPr>
                <w:rFonts w:hint="default" w:ascii="新宋体" w:hAnsi="新宋体" w:eastAsia="新宋体" w:cs="新宋体"/>
                <w:color w:val="auto"/>
                <w:lang w:val="en-US" w:eastAsia="zh-CN"/>
              </w:rPr>
            </w:pPr>
            <w:r>
              <w:rPr>
                <w:rFonts w:hint="eastAsia" w:ascii="新宋体" w:hAnsi="新宋体" w:eastAsia="新宋体" w:cs="新宋体"/>
                <w:color w:val="auto"/>
                <w:lang w:val="en-US" w:eastAsia="zh-CN"/>
              </w:rPr>
              <w:t>100</w:t>
            </w:r>
          </w:p>
        </w:tc>
        <w:tc>
          <w:tcPr>
            <w:tcW w:w="643" w:type="dxa"/>
            <w:tcBorders>
              <w:top w:val="single" w:color="000000" w:sz="4" w:space="0"/>
              <w:left w:val="nil"/>
              <w:bottom w:val="single" w:color="000000" w:sz="4" w:space="0"/>
              <w:right w:val="single" w:color="000000" w:sz="4" w:space="0"/>
            </w:tcBorders>
            <w:noWrap w:val="0"/>
            <w:vAlign w:val="top"/>
          </w:tcPr>
          <w:p w14:paraId="2D18549A">
            <w:pPr>
              <w:spacing w:line="360" w:lineRule="auto"/>
              <w:rPr>
                <w:rFonts w:hint="eastAsia" w:ascii="新宋体" w:hAnsi="新宋体" w:eastAsia="新宋体" w:cs="新宋体"/>
                <w:color w:val="auto"/>
                <w:lang w:val="en-US" w:eastAsia="zh-CN"/>
              </w:rPr>
            </w:pPr>
          </w:p>
        </w:tc>
        <w:tc>
          <w:tcPr>
            <w:tcW w:w="707" w:type="dxa"/>
            <w:tcBorders>
              <w:top w:val="single" w:color="000000" w:sz="4" w:space="0"/>
              <w:left w:val="nil"/>
              <w:bottom w:val="single" w:color="000000" w:sz="4" w:space="0"/>
              <w:right w:val="single" w:color="000000" w:sz="4" w:space="0"/>
            </w:tcBorders>
            <w:noWrap w:val="0"/>
            <w:vAlign w:val="top"/>
          </w:tcPr>
          <w:p w14:paraId="5CCBA7EF">
            <w:pPr>
              <w:spacing w:line="360" w:lineRule="auto"/>
              <w:rPr>
                <w:rFonts w:ascii="新宋体" w:hAnsi="新宋体" w:eastAsia="新宋体" w:cs="新宋体"/>
                <w:color w:val="auto"/>
                <w:lang w:eastAsia="en-US"/>
              </w:rPr>
            </w:pPr>
          </w:p>
        </w:tc>
      </w:tr>
    </w:tbl>
    <w:p w14:paraId="1936A811">
      <w:pPr>
        <w:snapToGrid w:val="0"/>
        <w:spacing w:line="400" w:lineRule="exact"/>
        <w:rPr>
          <w:rFonts w:ascii="宋体" w:cs="Arial"/>
          <w:sz w:val="22"/>
          <w:szCs w:val="22"/>
        </w:rPr>
      </w:pPr>
    </w:p>
    <w:p w14:paraId="22F17478">
      <w:pPr>
        <w:widowControl/>
        <w:jc w:val="left"/>
        <w:rPr>
          <w:rFonts w:ascii="宋体" w:hAnsi="宋体"/>
          <w:sz w:val="36"/>
          <w:szCs w:val="36"/>
        </w:rPr>
      </w:pPr>
      <w:r>
        <w:rPr>
          <w:rFonts w:hAnsi="宋体"/>
          <w:sz w:val="36"/>
          <w:szCs w:val="36"/>
        </w:rPr>
        <w:br w:type="page"/>
      </w:r>
    </w:p>
    <w:p w14:paraId="6FD67323">
      <w:pPr>
        <w:jc w:val="center"/>
        <w:outlineLvl w:val="0"/>
        <w:rPr>
          <w:rFonts w:hint="eastAsia" w:hAnsi="宋体" w:cs="宋体"/>
          <w:color w:val="auto"/>
          <w:sz w:val="36"/>
          <w:szCs w:val="36"/>
          <w:highlight w:val="none"/>
        </w:rPr>
      </w:pPr>
      <w:r>
        <w:rPr>
          <w:rFonts w:hint="eastAsia" w:hAnsi="宋体" w:cs="宋体"/>
          <w:b/>
          <w:bCs/>
          <w:color w:val="auto"/>
          <w:sz w:val="36"/>
          <w:szCs w:val="36"/>
          <w:highlight w:val="none"/>
        </w:rPr>
        <w:t>第</w:t>
      </w:r>
      <w:r>
        <w:rPr>
          <w:rFonts w:hint="eastAsia" w:hAnsi="宋体" w:cs="宋体"/>
          <w:b/>
          <w:bCs/>
          <w:color w:val="auto"/>
          <w:sz w:val="36"/>
          <w:szCs w:val="36"/>
          <w:highlight w:val="none"/>
          <w:lang w:eastAsia="zh-CN"/>
        </w:rPr>
        <w:t>五</w:t>
      </w:r>
      <w:r>
        <w:rPr>
          <w:rFonts w:hint="eastAsia" w:hAnsi="宋体" w:cs="宋体"/>
          <w:b/>
          <w:bCs/>
          <w:color w:val="auto"/>
          <w:sz w:val="36"/>
          <w:szCs w:val="36"/>
          <w:highlight w:val="none"/>
        </w:rPr>
        <w:t xml:space="preserve">部分 </w:t>
      </w:r>
      <w:r>
        <w:rPr>
          <w:rFonts w:hint="eastAsia" w:hAnsi="宋体" w:cs="宋体"/>
          <w:b/>
          <w:bCs/>
          <w:color w:val="auto"/>
          <w:sz w:val="36"/>
          <w:szCs w:val="36"/>
          <w:highlight w:val="none"/>
          <w:lang w:val="en-US" w:eastAsia="zh-CN"/>
        </w:rPr>
        <w:t xml:space="preserve"> </w:t>
      </w:r>
      <w:r>
        <w:rPr>
          <w:rFonts w:hint="eastAsia" w:hAnsi="宋体" w:cs="宋体"/>
          <w:b/>
          <w:bCs/>
          <w:color w:val="auto"/>
          <w:sz w:val="36"/>
          <w:szCs w:val="36"/>
          <w:highlight w:val="none"/>
        </w:rPr>
        <w:t xml:space="preserve"> 投标文件格式</w:t>
      </w:r>
    </w:p>
    <w:p w14:paraId="5F56952A">
      <w:pPr>
        <w:snapToGrid w:val="0"/>
        <w:spacing w:line="460" w:lineRule="atLeast"/>
        <w:jc w:val="center"/>
        <w:rPr>
          <w:rFonts w:hint="eastAsia"/>
          <w:color w:val="auto"/>
          <w:sz w:val="36"/>
          <w:highlight w:val="none"/>
        </w:rPr>
      </w:pPr>
    </w:p>
    <w:p w14:paraId="63626B9F">
      <w:pPr>
        <w:snapToGrid w:val="0"/>
        <w:spacing w:line="460" w:lineRule="atLeast"/>
        <w:jc w:val="center"/>
        <w:rPr>
          <w:rFonts w:hint="eastAsia"/>
          <w:color w:val="auto"/>
          <w:sz w:val="36"/>
          <w:highlight w:val="none"/>
        </w:rPr>
      </w:pPr>
    </w:p>
    <w:p w14:paraId="605D12E1">
      <w:pPr>
        <w:snapToGrid w:val="0"/>
        <w:spacing w:line="460" w:lineRule="atLeast"/>
        <w:jc w:val="center"/>
        <w:rPr>
          <w:rFonts w:hint="eastAsia"/>
          <w:color w:val="auto"/>
          <w:sz w:val="36"/>
          <w:highlight w:val="none"/>
        </w:rPr>
      </w:pPr>
      <w:r>
        <w:rPr>
          <w:rFonts w:hint="eastAsia"/>
          <w:color w:val="auto"/>
          <w:sz w:val="36"/>
          <w:highlight w:val="none"/>
        </w:rPr>
        <w:t>（未提供格式的由供应商自拟）</w:t>
      </w:r>
    </w:p>
    <w:p w14:paraId="15B7CBC7">
      <w:pPr>
        <w:spacing w:line="360" w:lineRule="auto"/>
        <w:ind w:firstLine="424" w:firstLineChars="151"/>
        <w:rPr>
          <w:rFonts w:hint="eastAsia"/>
          <w:b/>
          <w:color w:val="auto"/>
          <w:sz w:val="28"/>
          <w:szCs w:val="22"/>
          <w:highlight w:val="none"/>
          <w:u w:val="single"/>
        </w:rPr>
      </w:pPr>
      <w:r>
        <w:rPr>
          <w:rFonts w:hint="eastAsia"/>
          <w:b/>
          <w:color w:val="auto"/>
          <w:sz w:val="28"/>
          <w:szCs w:val="22"/>
          <w:highlight w:val="none"/>
        </w:rPr>
        <w:t>重要提示：</w:t>
      </w:r>
    </w:p>
    <w:p w14:paraId="7F4B390F">
      <w:pPr>
        <w:spacing w:line="360" w:lineRule="auto"/>
        <w:ind w:firstLine="424" w:firstLineChars="151"/>
        <w:rPr>
          <w:rFonts w:hint="eastAsia"/>
          <w:b/>
          <w:color w:val="auto"/>
          <w:sz w:val="28"/>
          <w:szCs w:val="28"/>
          <w:highlight w:val="none"/>
          <w:u w:val="single"/>
        </w:rPr>
      </w:pPr>
      <w:r>
        <w:rPr>
          <w:rFonts w:hint="eastAsia"/>
          <w:b/>
          <w:color w:val="auto"/>
          <w:sz w:val="28"/>
          <w:szCs w:val="28"/>
          <w:highlight w:val="none"/>
        </w:rPr>
        <w:t>（1）</w:t>
      </w:r>
      <w:r>
        <w:rPr>
          <w:rFonts w:hint="eastAsia"/>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6477B1FA">
      <w:pPr>
        <w:spacing w:line="360" w:lineRule="auto"/>
        <w:ind w:firstLine="424" w:firstLineChars="151"/>
        <w:rPr>
          <w:rFonts w:hint="eastAsia"/>
          <w:b/>
          <w:color w:val="auto"/>
          <w:sz w:val="28"/>
          <w:szCs w:val="28"/>
          <w:highlight w:val="none"/>
          <w:u w:val="single"/>
        </w:rPr>
      </w:pPr>
      <w:r>
        <w:rPr>
          <w:rFonts w:hint="eastAsia"/>
          <w:b/>
          <w:color w:val="auto"/>
          <w:sz w:val="28"/>
          <w:szCs w:val="28"/>
          <w:highlight w:val="none"/>
        </w:rPr>
        <w:t>（2）</w:t>
      </w:r>
      <w:r>
        <w:rPr>
          <w:rFonts w:hint="eastAsia"/>
          <w:b/>
          <w:color w:val="auto"/>
          <w:sz w:val="28"/>
          <w:szCs w:val="28"/>
          <w:highlight w:val="none"/>
          <w:u w:val="single"/>
        </w:rPr>
        <w:t>本章节未提供格式的，请各投标单位自行拟定格式，并加盖单位公章并由法定代表人或其授权代表签署（签字或盖章），否则视为未提供；</w:t>
      </w:r>
    </w:p>
    <w:p w14:paraId="370866D9">
      <w:pPr>
        <w:pStyle w:val="6"/>
        <w:rPr>
          <w:rFonts w:hint="eastAsia" w:ascii="宋体" w:hAnsi="宋体" w:eastAsia="宋体" w:cs="宋体"/>
          <w:color w:val="auto"/>
          <w:highlight w:val="none"/>
        </w:rPr>
      </w:pPr>
      <w:bookmarkStart w:id="34" w:name="_Toc30408914"/>
      <w:bookmarkStart w:id="35" w:name="_Toc24550049"/>
      <w:r>
        <w:rPr>
          <w:rFonts w:hint="eastAsia" w:ascii="宋体" w:hAnsi="宋体" w:eastAsia="宋体" w:cs="宋体"/>
          <w:color w:val="auto"/>
          <w:highlight w:val="none"/>
        </w:rPr>
        <w:br w:type="page"/>
      </w: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资格文件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格式</w:t>
      </w:r>
      <w:bookmarkEnd w:id="34"/>
      <w:bookmarkEnd w:id="35"/>
    </w:p>
    <w:p w14:paraId="3C13645A">
      <w:pPr>
        <w:pStyle w:val="7"/>
        <w:rPr>
          <w:rFonts w:hint="eastAsia" w:ascii="宋体" w:hAnsi="宋体" w:cs="宋体"/>
          <w:color w:val="auto"/>
          <w:sz w:val="28"/>
          <w:szCs w:val="28"/>
          <w:highlight w:val="none"/>
        </w:rPr>
      </w:pPr>
      <w:r>
        <w:rPr>
          <w:rFonts w:hint="eastAsia" w:ascii="宋体" w:hAnsi="宋体" w:cs="宋体"/>
          <w:color w:val="auto"/>
          <w:sz w:val="28"/>
          <w:szCs w:val="28"/>
          <w:highlight w:val="none"/>
        </w:rPr>
        <w:t>1.1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资格文件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封面</w:t>
      </w:r>
    </w:p>
    <w:p w14:paraId="757563CE">
      <w:pPr>
        <w:spacing w:line="360" w:lineRule="auto"/>
        <w:jc w:val="right"/>
        <w:rPr>
          <w:rFonts w:hint="eastAsia"/>
          <w:b/>
          <w:color w:val="auto"/>
          <w:sz w:val="32"/>
          <w:szCs w:val="22"/>
          <w:highlight w:val="none"/>
        </w:rPr>
      </w:pPr>
    </w:p>
    <w:p w14:paraId="01375ED4">
      <w:pPr>
        <w:spacing w:line="276" w:lineRule="auto"/>
        <w:jc w:val="center"/>
        <w:rPr>
          <w:rFonts w:hint="eastAsia" w:eastAsia="宋体"/>
          <w:b/>
          <w:color w:val="auto"/>
          <w:w w:val="90"/>
          <w:sz w:val="220"/>
          <w:szCs w:val="22"/>
          <w:highlight w:val="none"/>
          <w:lang w:eastAsia="zh-CN"/>
        </w:rPr>
      </w:pPr>
      <w:r>
        <w:rPr>
          <w:rFonts w:hint="eastAsia"/>
          <w:b/>
          <w:color w:val="auto"/>
          <w:w w:val="90"/>
          <w:sz w:val="44"/>
          <w:szCs w:val="22"/>
          <w:highlight w:val="none"/>
          <w:lang w:eastAsia="zh-CN"/>
        </w:rPr>
        <w:t>苍南县灵溪镇2026年度除四害消杀服务采购项目</w:t>
      </w:r>
    </w:p>
    <w:p w14:paraId="78795701">
      <w:pPr>
        <w:spacing w:line="360" w:lineRule="auto"/>
        <w:jc w:val="center"/>
        <w:rPr>
          <w:rFonts w:hint="eastAsia"/>
          <w:b/>
          <w:color w:val="auto"/>
          <w:sz w:val="52"/>
          <w:szCs w:val="22"/>
          <w:highlight w:val="none"/>
        </w:rPr>
      </w:pPr>
    </w:p>
    <w:p w14:paraId="09355F52">
      <w:pPr>
        <w:spacing w:line="360" w:lineRule="auto"/>
        <w:jc w:val="center"/>
        <w:rPr>
          <w:rFonts w:hint="eastAsia"/>
          <w:b/>
          <w:color w:val="auto"/>
          <w:sz w:val="52"/>
          <w:szCs w:val="22"/>
          <w:highlight w:val="none"/>
        </w:rPr>
      </w:pPr>
    </w:p>
    <w:p w14:paraId="60A60596">
      <w:pPr>
        <w:spacing w:line="276" w:lineRule="auto"/>
        <w:jc w:val="center"/>
        <w:rPr>
          <w:rFonts w:hint="eastAsia"/>
          <w:color w:val="auto"/>
          <w:sz w:val="96"/>
          <w:szCs w:val="22"/>
          <w:highlight w:val="none"/>
        </w:rPr>
      </w:pPr>
      <w:r>
        <w:rPr>
          <w:rFonts w:hint="eastAsia"/>
          <w:color w:val="auto"/>
          <w:sz w:val="96"/>
          <w:szCs w:val="22"/>
          <w:highlight w:val="none"/>
        </w:rPr>
        <w:t>投 标 文 件</w:t>
      </w:r>
    </w:p>
    <w:p w14:paraId="6B6C86C6">
      <w:pPr>
        <w:spacing w:line="360" w:lineRule="auto"/>
        <w:jc w:val="center"/>
        <w:rPr>
          <w:rFonts w:hint="eastAsia"/>
          <w:b/>
          <w:color w:val="auto"/>
          <w:sz w:val="52"/>
          <w:szCs w:val="22"/>
          <w:highlight w:val="none"/>
        </w:rPr>
      </w:pPr>
      <w:r>
        <w:rPr>
          <w:rFonts w:hint="eastAsia"/>
          <w:b/>
          <w:color w:val="auto"/>
          <w:sz w:val="52"/>
          <w:szCs w:val="22"/>
          <w:highlight w:val="none"/>
        </w:rPr>
        <w:t>（资格文件）</w:t>
      </w:r>
    </w:p>
    <w:p w14:paraId="0C9A3FF3">
      <w:pPr>
        <w:spacing w:line="360" w:lineRule="auto"/>
        <w:jc w:val="center"/>
        <w:rPr>
          <w:rFonts w:hint="eastAsia"/>
          <w:b/>
          <w:color w:val="auto"/>
          <w:sz w:val="52"/>
          <w:szCs w:val="22"/>
          <w:highlight w:val="none"/>
        </w:rPr>
      </w:pPr>
    </w:p>
    <w:tbl>
      <w:tblPr>
        <w:tblStyle w:val="38"/>
        <w:tblW w:w="0" w:type="auto"/>
        <w:tblInd w:w="250" w:type="dxa"/>
        <w:tblLayout w:type="fixed"/>
        <w:tblCellMar>
          <w:top w:w="0" w:type="dxa"/>
          <w:left w:w="108" w:type="dxa"/>
          <w:bottom w:w="0" w:type="dxa"/>
          <w:right w:w="108" w:type="dxa"/>
        </w:tblCellMar>
      </w:tblPr>
      <w:tblGrid>
        <w:gridCol w:w="8789"/>
      </w:tblGrid>
      <w:tr w14:paraId="27952093">
        <w:tblPrEx>
          <w:tblCellMar>
            <w:top w:w="0" w:type="dxa"/>
            <w:left w:w="108" w:type="dxa"/>
            <w:bottom w:w="0" w:type="dxa"/>
            <w:right w:w="108" w:type="dxa"/>
          </w:tblCellMar>
        </w:tblPrEx>
        <w:trPr>
          <w:trHeight w:val="680" w:hRule="atLeast"/>
        </w:trPr>
        <w:tc>
          <w:tcPr>
            <w:tcW w:w="8789" w:type="dxa"/>
            <w:noWrap w:val="0"/>
            <w:vAlign w:val="center"/>
          </w:tcPr>
          <w:p w14:paraId="0679B526">
            <w:pPr>
              <w:rPr>
                <w:rFonts w:hint="eastAsia"/>
                <w:b/>
                <w:color w:val="auto"/>
                <w:sz w:val="28"/>
                <w:szCs w:val="28"/>
                <w:highlight w:val="none"/>
              </w:rPr>
            </w:pPr>
            <w:r>
              <w:rPr>
                <w:rFonts w:hint="eastAsia"/>
                <w:b/>
                <w:color w:val="auto"/>
                <w:sz w:val="28"/>
                <w:szCs w:val="28"/>
                <w:highlight w:val="none"/>
              </w:rPr>
              <w:t>项目编号：</w:t>
            </w:r>
            <w:r>
              <w:rPr>
                <w:rFonts w:hint="eastAsia"/>
                <w:b/>
                <w:color w:val="auto"/>
                <w:w w:val="90"/>
                <w:sz w:val="28"/>
                <w:szCs w:val="28"/>
                <w:highlight w:val="none"/>
              </w:rPr>
              <w:t>________________________________________________</w:t>
            </w:r>
          </w:p>
        </w:tc>
      </w:tr>
      <w:tr w14:paraId="12348F0B">
        <w:tblPrEx>
          <w:tblCellMar>
            <w:top w:w="0" w:type="dxa"/>
            <w:left w:w="108" w:type="dxa"/>
            <w:bottom w:w="0" w:type="dxa"/>
            <w:right w:w="108" w:type="dxa"/>
          </w:tblCellMar>
        </w:tblPrEx>
        <w:trPr>
          <w:trHeight w:val="680" w:hRule="atLeast"/>
        </w:trPr>
        <w:tc>
          <w:tcPr>
            <w:tcW w:w="8789" w:type="dxa"/>
            <w:noWrap w:val="0"/>
            <w:vAlign w:val="center"/>
          </w:tcPr>
          <w:p w14:paraId="29DB8487">
            <w:pPr>
              <w:rPr>
                <w:rFonts w:hint="eastAsia"/>
                <w:b/>
                <w:color w:val="auto"/>
                <w:sz w:val="28"/>
                <w:szCs w:val="28"/>
                <w:highlight w:val="none"/>
              </w:rPr>
            </w:pPr>
            <w:r>
              <w:rPr>
                <w:rFonts w:hint="eastAsia"/>
                <w:b/>
                <w:color w:val="auto"/>
                <w:sz w:val="28"/>
                <w:szCs w:val="28"/>
                <w:highlight w:val="none"/>
              </w:rPr>
              <w:t>供应商名称（盖章）：</w:t>
            </w:r>
            <w:r>
              <w:rPr>
                <w:rFonts w:hint="eastAsia"/>
                <w:b/>
                <w:color w:val="auto"/>
                <w:w w:val="90"/>
                <w:sz w:val="28"/>
                <w:szCs w:val="28"/>
                <w:highlight w:val="none"/>
              </w:rPr>
              <w:t>_______________________________________</w:t>
            </w:r>
          </w:p>
        </w:tc>
      </w:tr>
      <w:tr w14:paraId="3E760FB3">
        <w:tblPrEx>
          <w:tblCellMar>
            <w:top w:w="0" w:type="dxa"/>
            <w:left w:w="108" w:type="dxa"/>
            <w:bottom w:w="0" w:type="dxa"/>
            <w:right w:w="108" w:type="dxa"/>
          </w:tblCellMar>
        </w:tblPrEx>
        <w:trPr>
          <w:trHeight w:val="680" w:hRule="atLeast"/>
        </w:trPr>
        <w:tc>
          <w:tcPr>
            <w:tcW w:w="8789" w:type="dxa"/>
            <w:noWrap w:val="0"/>
            <w:vAlign w:val="center"/>
          </w:tcPr>
          <w:p w14:paraId="4EEF4EC3">
            <w:pPr>
              <w:rPr>
                <w:rFonts w:hint="eastAsia"/>
                <w:b/>
                <w:color w:val="auto"/>
                <w:sz w:val="28"/>
                <w:szCs w:val="28"/>
                <w:highlight w:val="none"/>
              </w:rPr>
            </w:pPr>
            <w:r>
              <w:rPr>
                <w:rFonts w:hint="eastAsia"/>
                <w:b/>
                <w:color w:val="auto"/>
                <w:sz w:val="28"/>
                <w:szCs w:val="28"/>
                <w:highlight w:val="none"/>
              </w:rPr>
              <w:t>供应商地址：</w:t>
            </w:r>
            <w:r>
              <w:rPr>
                <w:rFonts w:hint="eastAsia"/>
                <w:b/>
                <w:color w:val="auto"/>
                <w:w w:val="90"/>
                <w:sz w:val="28"/>
                <w:szCs w:val="28"/>
                <w:highlight w:val="none"/>
              </w:rPr>
              <w:t>_______________________________________________</w:t>
            </w:r>
          </w:p>
        </w:tc>
      </w:tr>
      <w:tr w14:paraId="103F5F5B">
        <w:tblPrEx>
          <w:tblCellMar>
            <w:top w:w="0" w:type="dxa"/>
            <w:left w:w="108" w:type="dxa"/>
            <w:bottom w:w="0" w:type="dxa"/>
            <w:right w:w="108" w:type="dxa"/>
          </w:tblCellMar>
        </w:tblPrEx>
        <w:trPr>
          <w:trHeight w:val="680" w:hRule="atLeast"/>
        </w:trPr>
        <w:tc>
          <w:tcPr>
            <w:tcW w:w="8789" w:type="dxa"/>
            <w:noWrap w:val="0"/>
            <w:vAlign w:val="center"/>
          </w:tcPr>
          <w:p w14:paraId="22307E04">
            <w:pPr>
              <w:rPr>
                <w:rFonts w:hint="eastAsia"/>
                <w:b/>
                <w:color w:val="auto"/>
                <w:sz w:val="28"/>
                <w:szCs w:val="28"/>
                <w:highlight w:val="none"/>
              </w:rPr>
            </w:pPr>
            <w:r>
              <w:rPr>
                <w:rFonts w:hint="eastAsia"/>
                <w:b/>
                <w:color w:val="auto"/>
                <w:sz w:val="28"/>
                <w:szCs w:val="28"/>
                <w:highlight w:val="none"/>
              </w:rPr>
              <w:t>法定代表人或其授权代表（签字或盖章）：</w:t>
            </w:r>
            <w:r>
              <w:rPr>
                <w:rFonts w:hint="eastAsia"/>
                <w:b/>
                <w:color w:val="auto"/>
                <w:w w:val="90"/>
                <w:sz w:val="28"/>
                <w:szCs w:val="28"/>
                <w:highlight w:val="none"/>
              </w:rPr>
              <w:t>________________________</w:t>
            </w:r>
          </w:p>
        </w:tc>
      </w:tr>
      <w:tr w14:paraId="413E22BD">
        <w:tblPrEx>
          <w:tblCellMar>
            <w:top w:w="0" w:type="dxa"/>
            <w:left w:w="108" w:type="dxa"/>
            <w:bottom w:w="0" w:type="dxa"/>
            <w:right w:w="108" w:type="dxa"/>
          </w:tblCellMar>
        </w:tblPrEx>
        <w:trPr>
          <w:trHeight w:val="680" w:hRule="atLeast"/>
        </w:trPr>
        <w:tc>
          <w:tcPr>
            <w:tcW w:w="8789" w:type="dxa"/>
            <w:noWrap w:val="0"/>
            <w:vAlign w:val="center"/>
          </w:tcPr>
          <w:p w14:paraId="624987B9">
            <w:pPr>
              <w:rPr>
                <w:rFonts w:hint="eastAsia"/>
                <w:b/>
                <w:color w:val="auto"/>
                <w:sz w:val="28"/>
                <w:szCs w:val="28"/>
                <w:highlight w:val="none"/>
              </w:rPr>
            </w:pPr>
            <w:r>
              <w:rPr>
                <w:rFonts w:hint="eastAsia"/>
                <w:b/>
                <w:color w:val="auto"/>
                <w:sz w:val="28"/>
                <w:szCs w:val="28"/>
                <w:highlight w:val="none"/>
              </w:rPr>
              <w:t>日期：</w:t>
            </w:r>
            <w:r>
              <w:rPr>
                <w:rFonts w:hint="eastAsia"/>
                <w:b/>
                <w:color w:val="auto"/>
                <w:w w:val="90"/>
                <w:sz w:val="28"/>
                <w:szCs w:val="28"/>
                <w:highlight w:val="none"/>
              </w:rPr>
              <w:t>__________________________________________________________</w:t>
            </w:r>
          </w:p>
        </w:tc>
      </w:tr>
    </w:tbl>
    <w:p w14:paraId="53E555BD">
      <w:pPr>
        <w:keepNext/>
        <w:keepLines/>
        <w:widowControl w:val="0"/>
        <w:numPr>
          <w:ilvl w:val="0"/>
          <w:numId w:val="0"/>
        </w:numPr>
        <w:spacing w:before="260" w:beforeLines="0" w:beforeAutospacing="0" w:after="120" w:afterLines="50" w:afterAutospacing="0" w:line="413" w:lineRule="auto"/>
        <w:jc w:val="both"/>
        <w:outlineLvl w:val="2"/>
        <w:rPr>
          <w:rFonts w:hint="eastAsia" w:ascii="宋体" w:hAnsi="宋体" w:eastAsia="宋体" w:cs="宋体"/>
          <w:b w:val="0"/>
          <w:color w:val="auto"/>
          <w:spacing w:val="20"/>
          <w:sz w:val="30"/>
          <w:highlight w:val="none"/>
          <w:lang w:val="en-US" w:eastAsia="zh-CN" w:bidi="ar-SA"/>
        </w:rPr>
      </w:pPr>
      <w:r>
        <w:rPr>
          <w:rFonts w:hint="eastAsia" w:ascii="宋体" w:hAnsi="宋体" w:cs="宋体"/>
          <w:color w:val="auto"/>
          <w:highlight w:val="none"/>
        </w:rPr>
        <w:br w:type="page"/>
      </w:r>
      <w:r>
        <w:rPr>
          <w:rFonts w:hint="eastAsia" w:ascii="宋体" w:hAnsi="宋体" w:eastAsia="宋体" w:cs="宋体"/>
          <w:b/>
          <w:color w:val="auto"/>
          <w:kern w:val="0"/>
          <w:sz w:val="28"/>
          <w:szCs w:val="28"/>
          <w:lang w:val="en-US" w:eastAsia="zh-CN" w:bidi="ar-SA"/>
        </w:rPr>
        <w:t>1.2供应商营业执照</w:t>
      </w:r>
    </w:p>
    <w:p w14:paraId="4FF1AA3C">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rPr>
        <w:t>营业执照</w:t>
      </w:r>
    </w:p>
    <w:tbl>
      <w:tblPr>
        <w:tblStyle w:val="3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F3DB49C">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1B70F84F">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资格要求：具有独立承担民事责任能力</w:t>
            </w:r>
          </w:p>
          <w:p w14:paraId="1F5CA1C4">
            <w:pPr>
              <w:spacing w:line="276" w:lineRule="auto"/>
              <w:jc w:val="left"/>
              <w:rPr>
                <w:rFonts w:hint="eastAsia" w:ascii="宋体" w:hAnsi="宋体" w:eastAsia="宋体" w:cs="宋体"/>
                <w:b/>
                <w:color w:val="auto"/>
                <w:sz w:val="24"/>
                <w:highlight w:val="none"/>
              </w:rPr>
            </w:pPr>
          </w:p>
          <w:p w14:paraId="477F9F2A">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证明材料：</w:t>
            </w:r>
            <w:r>
              <w:rPr>
                <w:rFonts w:hint="eastAsia" w:ascii="宋体" w:hAnsi="宋体" w:eastAsia="宋体" w:cs="宋体"/>
                <w:b/>
                <w:color w:val="auto"/>
                <w:sz w:val="24"/>
                <w:highlight w:val="none"/>
                <w:u w:val="single"/>
              </w:rPr>
              <w:t>企业营业执照</w:t>
            </w:r>
            <w:r>
              <w:rPr>
                <w:rFonts w:hint="eastAsia" w:ascii="宋体" w:hAnsi="宋体" w:eastAsia="宋体" w:cs="宋体"/>
                <w:b/>
                <w:color w:val="auto"/>
                <w:sz w:val="24"/>
                <w:highlight w:val="none"/>
              </w:rPr>
              <w:t>（提供</w:t>
            </w:r>
            <w:r>
              <w:rPr>
                <w:rFonts w:hint="eastAsia" w:ascii="宋体" w:hAnsi="宋体" w:eastAsia="宋体" w:cs="宋体"/>
                <w:b/>
                <w:color w:val="auto"/>
                <w:sz w:val="24"/>
                <w:highlight w:val="none"/>
                <w:lang w:eastAsia="zh-CN"/>
              </w:rPr>
              <w:t>复印</w:t>
            </w:r>
            <w:r>
              <w:rPr>
                <w:rFonts w:hint="eastAsia" w:ascii="宋体" w:hAnsi="宋体" w:eastAsia="宋体" w:cs="宋体"/>
                <w:b/>
                <w:color w:val="auto"/>
                <w:sz w:val="24"/>
                <w:highlight w:val="none"/>
              </w:rPr>
              <w:t>件加盖</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公章）或</w:t>
            </w:r>
            <w:r>
              <w:rPr>
                <w:rFonts w:hint="eastAsia" w:ascii="宋体" w:hAnsi="宋体" w:eastAsia="宋体" w:cs="宋体"/>
                <w:b/>
                <w:color w:val="auto"/>
                <w:sz w:val="24"/>
                <w:highlight w:val="none"/>
                <w:u w:val="single"/>
              </w:rPr>
              <w:t>供应商为依法允许经营的事业单位的，应提交事业单位法人证书</w:t>
            </w:r>
            <w:r>
              <w:rPr>
                <w:rFonts w:hint="eastAsia" w:ascii="宋体" w:hAnsi="宋体" w:eastAsia="宋体" w:cs="宋体"/>
                <w:b/>
                <w:color w:val="auto"/>
                <w:sz w:val="24"/>
                <w:highlight w:val="none"/>
              </w:rPr>
              <w:t>（提供复制件加盖</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w:t>
            </w:r>
          </w:p>
          <w:p w14:paraId="3C36ADCE">
            <w:pPr>
              <w:spacing w:line="276" w:lineRule="auto"/>
              <w:jc w:val="left"/>
              <w:rPr>
                <w:rFonts w:hint="eastAsia" w:ascii="宋体" w:hAnsi="宋体" w:eastAsia="宋体" w:cs="宋体"/>
                <w:b/>
                <w:color w:val="auto"/>
                <w:sz w:val="24"/>
                <w:highlight w:val="none"/>
              </w:rPr>
            </w:pPr>
          </w:p>
          <w:p w14:paraId="5EA2C5A8">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w:t>
            </w:r>
          </w:p>
        </w:tc>
      </w:tr>
    </w:tbl>
    <w:p w14:paraId="12AB74A6">
      <w:pPr>
        <w:autoSpaceDE w:val="0"/>
        <w:autoSpaceDN w:val="0"/>
        <w:adjustRightInd w:val="0"/>
        <w:spacing w:line="440" w:lineRule="atLeast"/>
        <w:ind w:firstLine="422" w:firstLineChars="201"/>
        <w:rPr>
          <w:rFonts w:hint="eastAsia" w:ascii="宋体" w:hAnsi="宋体" w:eastAsia="宋体" w:cs="宋体"/>
          <w:b w:val="0"/>
          <w:bCs/>
          <w:color w:val="auto"/>
          <w:szCs w:val="22"/>
          <w:highlight w:val="none"/>
        </w:rPr>
      </w:pPr>
    </w:p>
    <w:p w14:paraId="0735EE11">
      <w:pPr>
        <w:widowControl w:val="0"/>
        <w:adjustRightInd w:val="0"/>
        <w:spacing w:line="420" w:lineRule="atLeast"/>
        <w:jc w:val="left"/>
        <w:textAlignment w:val="baseline"/>
        <w:rPr>
          <w:rFonts w:hint="eastAsia" w:ascii="宋体" w:hAnsi="宋体" w:eastAsia="宋体" w:cs="宋体"/>
          <w:b/>
          <w:color w:val="auto"/>
          <w:kern w:val="0"/>
          <w:sz w:val="21"/>
          <w:szCs w:val="24"/>
          <w:highlight w:val="none"/>
          <w:lang w:val="en-US" w:eastAsia="zh-CN" w:bidi="ar-SA"/>
        </w:rPr>
      </w:pPr>
    </w:p>
    <w:p w14:paraId="655E8F0A">
      <w:pPr>
        <w:pStyle w:val="7"/>
        <w:numPr>
          <w:ilvl w:val="2"/>
          <w:numId w:val="0"/>
        </w:numPr>
        <w:tabs>
          <w:tab w:val="left" w:pos="720"/>
        </w:tabs>
        <w:ind w:leftChars="0"/>
        <w:jc w:val="left"/>
        <w:rPr>
          <w:rFonts w:hint="eastAsia" w:ascii="宋体" w:hAnsi="宋体" w:eastAsia="宋体" w:cs="宋体"/>
          <w:b/>
          <w:color w:val="auto"/>
          <w:kern w:val="0"/>
          <w:sz w:val="28"/>
          <w:szCs w:val="28"/>
          <w:lang w:val="en-US" w:eastAsia="zh-CN" w:bidi="ar-SA"/>
        </w:rPr>
      </w:pPr>
      <w:r>
        <w:rPr>
          <w:rFonts w:hint="eastAsia" w:ascii="宋体" w:hAnsi="宋体" w:eastAsia="宋体" w:cs="宋体"/>
          <w:color w:val="auto"/>
          <w:sz w:val="28"/>
          <w:szCs w:val="28"/>
          <w:lang w:val="en-US" w:eastAsia="zh-CN"/>
        </w:rPr>
        <w:t>1.3</w:t>
      </w:r>
      <w:r>
        <w:rPr>
          <w:rFonts w:hint="eastAsia" w:ascii="宋体" w:hAnsi="宋体" w:eastAsia="宋体" w:cs="宋体"/>
          <w:b/>
          <w:color w:val="auto"/>
          <w:kern w:val="0"/>
          <w:sz w:val="28"/>
          <w:szCs w:val="28"/>
          <w:lang w:val="en-US" w:eastAsia="zh-CN" w:bidi="ar-SA"/>
        </w:rPr>
        <w:t>资格承诺函</w:t>
      </w:r>
    </w:p>
    <w:p w14:paraId="7CF72014">
      <w:pPr>
        <w:autoSpaceDE w:val="0"/>
        <w:autoSpaceDN w:val="0"/>
        <w:adjustRightInd w:val="0"/>
        <w:jc w:val="center"/>
        <w:rPr>
          <w:rFonts w:hint="eastAsia" w:ascii="宋体" w:cs="宋体"/>
          <w:b/>
          <w:bCs/>
          <w:color w:val="auto"/>
          <w:kern w:val="0"/>
          <w:sz w:val="24"/>
          <w:szCs w:val="24"/>
        </w:rPr>
      </w:pPr>
      <w:r>
        <w:rPr>
          <w:rFonts w:hint="eastAsia" w:ascii="宋体" w:cs="宋体"/>
          <w:b/>
          <w:bCs/>
          <w:color w:val="auto"/>
          <w:sz w:val="28"/>
          <w:szCs w:val="28"/>
        </w:rPr>
        <w:t>资格</w:t>
      </w:r>
      <w:r>
        <w:rPr>
          <w:rFonts w:hint="eastAsia" w:ascii="宋体" w:cs="宋体"/>
          <w:b/>
          <w:bCs/>
          <w:color w:val="auto"/>
          <w:kern w:val="0"/>
          <w:sz w:val="28"/>
          <w:szCs w:val="28"/>
        </w:rPr>
        <w:t>承诺函</w:t>
      </w:r>
    </w:p>
    <w:p w14:paraId="4E91497A">
      <w:pPr>
        <w:autoSpaceDE w:val="0"/>
        <w:autoSpaceDN w:val="0"/>
        <w:adjustRightInd w:val="0"/>
        <w:jc w:val="left"/>
        <w:rPr>
          <w:rFonts w:hint="eastAsia" w:ascii="宋体" w:cs="宋体"/>
          <w:color w:val="auto"/>
          <w:kern w:val="0"/>
          <w:sz w:val="24"/>
        </w:rPr>
      </w:pPr>
    </w:p>
    <w:p w14:paraId="048B1306">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我方参加</w:t>
      </w:r>
      <w:r>
        <w:rPr>
          <w:rFonts w:hint="eastAsia" w:ascii="宋体" w:hAnsi="宋体" w:eastAsia="宋体" w:cs="宋体"/>
          <w:color w:val="auto"/>
          <w:kern w:val="0"/>
          <w:sz w:val="24"/>
          <w:szCs w:val="24"/>
          <w:u w:val="single"/>
          <w:lang w:eastAsia="zh-CN"/>
        </w:rPr>
        <w:t>苍南县灵溪镇2026年度除四害消杀服务采购项目</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u w:val="single"/>
          <w:lang w:val="en-US" w:eastAsia="zh-CN"/>
        </w:rPr>
        <w:t>330327265050010000033-CNDL2026081</w:t>
      </w:r>
      <w:r>
        <w:rPr>
          <w:rFonts w:hint="eastAsia" w:ascii="宋体" w:hAnsi="宋体" w:eastAsia="宋体" w:cs="宋体"/>
          <w:color w:val="auto"/>
          <w:kern w:val="0"/>
          <w:sz w:val="24"/>
          <w:szCs w:val="24"/>
        </w:rPr>
        <w:t>）的政府采购活动，依据采购文件相关规定郑重承诺：</w:t>
      </w:r>
    </w:p>
    <w:p w14:paraId="25BB9B1A">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满足《中华人民共和国政府采购法》第二十二条规定，1、具有独立承担民事责任的能力。2、具有良好的商业信誉和健全的财务会计制度。3、具有履行合同所必需的设备和专业技术能力。4、有依法缴纳税收和社会保障资金的良好记录。5、参加本次政府采购活动前三年内在经营活动中没有重大违法记录。6、法律、行政法规规定的其他条件。同时未被“信用中国”（www.creditchina.gov.cn)、中国政府采购网（www.ccgp.gov.cn）列入失信被执行人、重大税收违法失信主体、政府采购严重违法失信行为记录名单。</w:t>
      </w:r>
    </w:p>
    <w:p w14:paraId="0E55C82D">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我方对上述承诺内容的真实性负责。如有虚假，将依法承担相应责任和由此而产生的一切后果。</w:t>
      </w:r>
    </w:p>
    <w:p w14:paraId="482E2742">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特此承诺</w:t>
      </w:r>
    </w:p>
    <w:p w14:paraId="6FC4805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p>
    <w:p w14:paraId="17F58F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供应商全称（</w:t>
      </w:r>
      <w:r>
        <w:rPr>
          <w:rFonts w:hint="eastAsia" w:hAnsi="宋体" w:cs="宋体"/>
          <w:kern w:val="0"/>
          <w:sz w:val="24"/>
          <w:szCs w:val="24"/>
        </w:rPr>
        <w:t>电子签章</w:t>
      </w:r>
      <w:r>
        <w:rPr>
          <w:rFonts w:hint="eastAsia" w:ascii="宋体" w:hAnsi="宋体" w:eastAsia="宋体" w:cs="宋体"/>
          <w:color w:val="auto"/>
          <w:kern w:val="0"/>
          <w:sz w:val="24"/>
          <w:szCs w:val="24"/>
        </w:rPr>
        <w:t>）：__________________________________</w:t>
      </w:r>
    </w:p>
    <w:p w14:paraId="78AE533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日期：________年____月____日</w:t>
      </w:r>
    </w:p>
    <w:p w14:paraId="7FEA367D">
      <w:pPr>
        <w:pStyle w:val="7"/>
        <w:numPr>
          <w:ilvl w:val="2"/>
          <w:numId w:val="0"/>
        </w:numPr>
        <w:tabs>
          <w:tab w:val="left" w:pos="720"/>
        </w:tabs>
        <w:ind w:leftChars="0"/>
        <w:jc w:val="left"/>
        <w:rPr>
          <w:rFonts w:hint="eastAsia" w:ascii="宋体" w:hAnsi="宋体" w:eastAsia="宋体" w:cs="宋体"/>
          <w:b/>
          <w:bCs/>
          <w:color w:val="auto"/>
          <w:sz w:val="24"/>
          <w:szCs w:val="24"/>
          <w:lang w:val="en-US" w:eastAsia="zh-CN"/>
        </w:rPr>
      </w:pPr>
      <w:r>
        <w:rPr>
          <w:rFonts w:hint="eastAsia" w:ascii="宋体" w:hAnsi="宋体" w:eastAsia="宋体" w:cs="宋体"/>
          <w:b w:val="0"/>
          <w:bCs/>
          <w:color w:val="auto"/>
          <w:sz w:val="28"/>
          <w:szCs w:val="28"/>
          <w:highlight w:val="none"/>
        </w:rPr>
        <w:br w:type="page"/>
      </w:r>
      <w:r>
        <w:rPr>
          <w:rFonts w:hint="eastAsia" w:ascii="宋体" w:hAnsi="宋体" w:eastAsia="宋体" w:cs="宋体"/>
          <w:color w:val="auto"/>
          <w:sz w:val="28"/>
          <w:szCs w:val="28"/>
          <w:lang w:val="en-US" w:eastAsia="zh-CN"/>
        </w:rPr>
        <w:t>1.4法定代表人授权委托书</w:t>
      </w:r>
    </w:p>
    <w:p w14:paraId="4336E3D0">
      <w:pPr>
        <w:jc w:val="center"/>
        <w:rPr>
          <w:rFonts w:hint="eastAsia" w:ascii="宋体" w:cs="宋体"/>
          <w:b/>
          <w:color w:val="auto"/>
          <w:sz w:val="30"/>
          <w:szCs w:val="30"/>
        </w:rPr>
      </w:pPr>
      <w:r>
        <w:rPr>
          <w:rFonts w:hint="eastAsia" w:ascii="宋体" w:cs="宋体"/>
          <w:b/>
          <w:color w:val="auto"/>
          <w:sz w:val="28"/>
          <w:szCs w:val="28"/>
        </w:rPr>
        <w:t>法定代表人授权委托书</w:t>
      </w:r>
    </w:p>
    <w:p w14:paraId="1A9F6DBC">
      <w:pPr>
        <w:rPr>
          <w:rFonts w:hint="eastAsia" w:ascii="宋体" w:cs="宋体"/>
          <w:color w:val="auto"/>
          <w:sz w:val="24"/>
          <w:u w:val="single"/>
        </w:rPr>
      </w:pPr>
    </w:p>
    <w:p w14:paraId="42B7C8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eastAsia="zh-CN"/>
        </w:rPr>
        <w:t>（采购人名称）</w:t>
      </w:r>
    </w:p>
    <w:p w14:paraId="24E85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本授权书声明：注册于中华人民共和国的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（供应商名称）法定代表人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none"/>
        </w:rPr>
        <w:t>（姓名、职务）</w:t>
      </w:r>
      <w:r>
        <w:rPr>
          <w:rFonts w:hint="eastAsia" w:ascii="宋体" w:hAnsi="宋体" w:eastAsia="宋体" w:cs="宋体"/>
          <w:color w:val="auto"/>
          <w:sz w:val="24"/>
          <w:szCs w:val="24"/>
        </w:rPr>
        <w:t>代表本公司授权</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（被授权人的姓名、职务）为本公司的合法代表人，就</w:t>
      </w:r>
      <w:r>
        <w:rPr>
          <w:rFonts w:hint="eastAsia" w:ascii="宋体" w:hAnsi="宋体" w:cs="宋体"/>
          <w:color w:val="auto"/>
          <w:sz w:val="24"/>
          <w:szCs w:val="24"/>
          <w:u w:val="single"/>
          <w:lang w:eastAsia="zh-CN"/>
        </w:rPr>
        <w:t>苍南县灵溪镇2026年度除四害消杀服务采购项目</w:t>
      </w: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330327265050010000033-CNDL2026081</w:t>
      </w:r>
      <w:r>
        <w:rPr>
          <w:rFonts w:hint="eastAsia" w:ascii="宋体" w:hAnsi="宋体" w:eastAsia="宋体" w:cs="宋体"/>
          <w:color w:val="auto"/>
          <w:sz w:val="24"/>
          <w:szCs w:val="24"/>
        </w:rPr>
        <w:t>），以我方的名义处理一切与之有关的事宜。</w:t>
      </w:r>
    </w:p>
    <w:p w14:paraId="13C89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日签字生效，有效期至</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日，特此声明。</w:t>
      </w:r>
    </w:p>
    <w:p w14:paraId="7C8411E0">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cs="宋体"/>
          <w:color w:val="auto"/>
          <w:sz w:val="24"/>
          <w:szCs w:val="24"/>
          <w:lang w:val="en-US" w:eastAsia="zh-CN"/>
        </w:rPr>
        <w:tab/>
      </w:r>
      <w:r>
        <w:rPr>
          <w:rFonts w:hint="eastAsia" w:ascii="宋体" w:hAnsi="宋体" w:eastAsia="宋体" w:cs="宋体"/>
          <w:color w:val="auto"/>
          <w:sz w:val="24"/>
          <w:szCs w:val="24"/>
        </w:rPr>
        <w:t>供应商全称（</w:t>
      </w:r>
      <w:r>
        <w:rPr>
          <w:rFonts w:hint="eastAsia" w:hAnsi="宋体" w:cs="宋体"/>
          <w:kern w:val="0"/>
          <w:sz w:val="24"/>
          <w:szCs w:val="24"/>
        </w:rPr>
        <w:t>电子签章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E4EAACB">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u w:val="single"/>
        </w:rPr>
      </w:pPr>
      <w:r>
        <w:rPr>
          <w:rFonts w:hint="eastAsia" w:ascii="宋体" w:hAnsi="宋体" w:cs="宋体"/>
          <w:b/>
          <w:color w:val="auto"/>
          <w:sz w:val="24"/>
          <w:szCs w:val="24"/>
          <w:lang w:val="en-US" w:eastAsia="zh-CN"/>
        </w:rPr>
        <w:tab/>
      </w:r>
      <w:r>
        <w:rPr>
          <w:rFonts w:hint="eastAsia" w:ascii="宋体" w:hAnsi="宋体" w:eastAsia="宋体" w:cs="宋体"/>
          <w:b/>
          <w:color w:val="auto"/>
          <w:sz w:val="24"/>
          <w:szCs w:val="24"/>
        </w:rPr>
        <w:t>法定代表人(签字或盖章)：</w:t>
      </w:r>
      <w:r>
        <w:rPr>
          <w:rFonts w:hint="eastAsia" w:ascii="宋体" w:hAnsi="宋体" w:eastAsia="宋体" w:cs="宋体"/>
          <w:b/>
          <w:color w:val="auto"/>
          <w:sz w:val="24"/>
          <w:szCs w:val="24"/>
          <w:u w:val="single"/>
        </w:rPr>
        <w:t xml:space="preserve">         </w:t>
      </w:r>
    </w:p>
    <w:p w14:paraId="0F62662E">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ab/>
      </w:r>
      <w:r>
        <w:rPr>
          <w:rFonts w:hint="eastAsia" w:ascii="宋体" w:hAnsi="宋体" w:eastAsia="宋体" w:cs="宋体"/>
          <w:color w:val="auto"/>
          <w:sz w:val="24"/>
          <w:szCs w:val="24"/>
        </w:rPr>
        <w:t xml:space="preserve">授 权 日 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49F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8F79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single"/>
        </w:rPr>
        <w:t xml:space="preserve">                </w:t>
      </w:r>
    </w:p>
    <w:p w14:paraId="072E2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015D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详细通讯地址：</w:t>
      </w:r>
      <w:r>
        <w:rPr>
          <w:rFonts w:hint="eastAsia" w:ascii="宋体" w:hAnsi="宋体" w:eastAsia="宋体" w:cs="宋体"/>
          <w:color w:val="auto"/>
          <w:sz w:val="24"/>
          <w:szCs w:val="24"/>
          <w:u w:val="single"/>
        </w:rPr>
        <w:t xml:space="preserve">                         </w:t>
      </w:r>
    </w:p>
    <w:p w14:paraId="021DC4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电话及传真：</w:t>
      </w:r>
      <w:r>
        <w:rPr>
          <w:rFonts w:hint="eastAsia" w:ascii="宋体" w:hAnsi="宋体" w:eastAsia="宋体" w:cs="宋体"/>
          <w:color w:val="auto"/>
          <w:sz w:val="24"/>
          <w:szCs w:val="24"/>
          <w:u w:val="single"/>
        </w:rPr>
        <w:t xml:space="preserve">                                 </w:t>
      </w:r>
    </w:p>
    <w:p w14:paraId="0C8648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tbl>
      <w:tblPr>
        <w:tblStyle w:val="3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996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9000" w:type="dxa"/>
            <w:noWrap w:val="0"/>
            <w:vAlign w:val="top"/>
          </w:tcPr>
          <w:p w14:paraId="1C42C36F">
            <w:pPr>
              <w:pStyle w:val="21"/>
              <w:adjustRightInd w:val="0"/>
              <w:snapToGrid w:val="0"/>
              <w:spacing w:line="400" w:lineRule="exact"/>
              <w:jc w:val="center"/>
              <w:rPr>
                <w:rFonts w:hint="eastAsia" w:hAnsi="宋体" w:cs="宋体"/>
                <w:sz w:val="24"/>
              </w:rPr>
            </w:pPr>
          </w:p>
          <w:p w14:paraId="12377C3D">
            <w:pPr>
              <w:pStyle w:val="21"/>
              <w:adjustRightInd w:val="0"/>
              <w:snapToGrid w:val="0"/>
              <w:spacing w:line="400" w:lineRule="exact"/>
              <w:jc w:val="center"/>
              <w:rPr>
                <w:rFonts w:hint="eastAsia" w:hAnsi="宋体" w:cs="宋体"/>
                <w:sz w:val="24"/>
              </w:rPr>
            </w:pPr>
          </w:p>
          <w:p w14:paraId="5AE48101">
            <w:pPr>
              <w:pStyle w:val="21"/>
              <w:adjustRightInd w:val="0"/>
              <w:snapToGrid w:val="0"/>
              <w:spacing w:line="400" w:lineRule="exact"/>
              <w:jc w:val="center"/>
              <w:rPr>
                <w:rFonts w:hint="eastAsia" w:hAnsi="宋体" w:cs="宋体"/>
                <w:sz w:val="24"/>
              </w:rPr>
            </w:pPr>
          </w:p>
          <w:p w14:paraId="343BCC23">
            <w:pPr>
              <w:pStyle w:val="21"/>
              <w:adjustRightInd w:val="0"/>
              <w:snapToGrid w:val="0"/>
              <w:spacing w:line="400" w:lineRule="exact"/>
              <w:jc w:val="center"/>
              <w:rPr>
                <w:rFonts w:hint="eastAsia" w:hAnsi="宋体" w:cs="宋体"/>
                <w:sz w:val="24"/>
              </w:rPr>
            </w:pPr>
          </w:p>
          <w:p w14:paraId="35BC321A">
            <w:pPr>
              <w:pStyle w:val="21"/>
              <w:adjustRightInd w:val="0"/>
              <w:snapToGrid w:val="0"/>
              <w:spacing w:line="320" w:lineRule="atLeast"/>
              <w:jc w:val="center"/>
              <w:rPr>
                <w:rFonts w:hint="eastAsia" w:hAnsi="宋体" w:cs="宋体"/>
                <w:sz w:val="22"/>
                <w:szCs w:val="22"/>
              </w:rPr>
            </w:pPr>
            <w:r>
              <w:rPr>
                <w:rFonts w:hint="eastAsia" w:hAnsi="宋体" w:cs="宋体"/>
                <w:sz w:val="22"/>
                <w:szCs w:val="22"/>
              </w:rPr>
              <w:t>授权代表身份证复印件与影印件粘贴处</w:t>
            </w:r>
          </w:p>
          <w:p w14:paraId="59E7DC6B">
            <w:pPr>
              <w:pStyle w:val="21"/>
              <w:adjustRightInd w:val="0"/>
              <w:snapToGrid w:val="0"/>
              <w:spacing w:line="400" w:lineRule="exact"/>
              <w:jc w:val="center"/>
              <w:rPr>
                <w:rFonts w:hint="eastAsia" w:hAnsi="宋体" w:cs="宋体"/>
                <w:sz w:val="24"/>
              </w:rPr>
            </w:pPr>
          </w:p>
          <w:p w14:paraId="5A8F6C23">
            <w:pPr>
              <w:pStyle w:val="21"/>
              <w:adjustRightInd w:val="0"/>
              <w:snapToGrid w:val="0"/>
              <w:spacing w:line="400" w:lineRule="exact"/>
              <w:jc w:val="center"/>
              <w:rPr>
                <w:rFonts w:hint="eastAsia" w:hAnsi="宋体" w:cs="宋体"/>
                <w:sz w:val="24"/>
              </w:rPr>
            </w:pPr>
          </w:p>
          <w:p w14:paraId="62B37486">
            <w:pPr>
              <w:pStyle w:val="21"/>
              <w:adjustRightInd w:val="0"/>
              <w:snapToGrid w:val="0"/>
              <w:spacing w:line="400" w:lineRule="exact"/>
              <w:jc w:val="center"/>
              <w:rPr>
                <w:rFonts w:hint="eastAsia" w:hAnsi="宋体" w:cs="宋体"/>
                <w:sz w:val="36"/>
              </w:rPr>
            </w:pPr>
          </w:p>
        </w:tc>
      </w:tr>
    </w:tbl>
    <w:p w14:paraId="0EB1292A">
      <w:pPr>
        <w:pStyle w:val="7"/>
        <w:numPr>
          <w:ilvl w:val="2"/>
          <w:numId w:val="0"/>
        </w:numPr>
        <w:tabs>
          <w:tab w:val="left" w:pos="720"/>
        </w:tabs>
        <w:ind w:leftChars="0"/>
        <w:jc w:val="left"/>
        <w:rPr>
          <w:rFonts w:hint="eastAsia" w:ascii="宋体" w:hAnsi="宋体" w:eastAsia="宋体" w:cs="宋体"/>
          <w:sz w:val="21"/>
          <w:szCs w:val="21"/>
          <w:lang w:val="en-US" w:eastAsia="zh-CN"/>
        </w:rPr>
      </w:pPr>
      <w:r>
        <w:rPr>
          <w:rFonts w:hint="eastAsia"/>
          <w:b/>
          <w:bCs/>
          <w:lang w:val="en-US" w:eastAsia="zh-CN"/>
        </w:rPr>
        <w:br w:type="page"/>
      </w:r>
      <w:r>
        <w:rPr>
          <w:rFonts w:hint="eastAsia" w:ascii="宋体" w:hAnsi="宋体" w:eastAsia="宋体" w:cs="宋体"/>
          <w:color w:val="auto"/>
          <w:sz w:val="28"/>
          <w:szCs w:val="28"/>
          <w:lang w:val="en-US" w:eastAsia="zh-CN"/>
        </w:rPr>
        <w:t>1.5符合政府采购扶持政策的相关证明材料（如是）</w:t>
      </w:r>
    </w:p>
    <w:p w14:paraId="437313A0">
      <w:pPr>
        <w:pStyle w:val="8"/>
        <w:bidi w:val="0"/>
        <w:rPr>
          <w:rFonts w:hint="eastAsia" w:ascii="仿宋" w:hAnsi="仿宋" w:eastAsia="仿宋" w:cs="仿宋"/>
          <w:b/>
          <w:color w:val="auto"/>
          <w:kern w:val="0"/>
          <w:szCs w:val="28"/>
          <w:lang w:eastAsia="zh-CN"/>
        </w:rPr>
      </w:pPr>
      <w:r>
        <w:rPr>
          <w:rFonts w:hint="eastAsia"/>
          <w:lang w:val="en-US" w:eastAsia="zh-CN"/>
        </w:rPr>
        <w:t>1.5.1</w:t>
      </w:r>
      <w:r>
        <w:rPr>
          <w:rFonts w:hint="eastAsia"/>
          <w:lang w:eastAsia="zh-CN"/>
        </w:rPr>
        <w:t>中小企业声明函</w:t>
      </w:r>
    </w:p>
    <w:p w14:paraId="54471075">
      <w:pPr>
        <w:spacing w:line="360" w:lineRule="auto"/>
        <w:jc w:val="center"/>
        <w:rPr>
          <w:rFonts w:hint="eastAsia" w:ascii="仿宋" w:hAnsi="仿宋" w:eastAsia="仿宋" w:cs="仿宋"/>
          <w:color w:val="auto"/>
          <w:sz w:val="24"/>
          <w:szCs w:val="24"/>
          <w:lang w:val="en-US" w:eastAsia="zh-CN"/>
        </w:rPr>
      </w:pPr>
    </w:p>
    <w:p w14:paraId="2B7C25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采购活动，工程的施工单位全部为符合政策要求的中小企业（或者：</w:t>
      </w:r>
      <w:r>
        <w:rPr>
          <w:rFonts w:hint="eastAsia" w:ascii="宋体" w:hAnsi="宋体" w:eastAsia="宋体" w:cs="宋体"/>
          <w:b/>
          <w:kern w:val="0"/>
          <w:sz w:val="24"/>
        </w:rPr>
        <w:t>服务全部由符合政策要求的中小企业承接</w:t>
      </w:r>
      <w:r>
        <w:rPr>
          <w:rFonts w:hint="eastAsia" w:ascii="宋体" w:hAnsi="宋体" w:eastAsia="宋体" w:cs="宋体"/>
          <w:kern w:val="0"/>
          <w:sz w:val="24"/>
        </w:rPr>
        <w:t>）。相关企业（含联合体中的中小企业、签订分包意向协议的中小企业）的具体情况如下：</w:t>
      </w:r>
    </w:p>
    <w:p w14:paraId="05DDF6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p>
    <w:p w14:paraId="6E19035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 xml:space="preserve">1. </w:t>
      </w:r>
      <w:r>
        <w:rPr>
          <w:rFonts w:hint="eastAsia" w:ascii="宋体" w:hAnsi="宋体" w:eastAsia="宋体" w:cs="宋体"/>
          <w:kern w:val="0"/>
          <w:sz w:val="24"/>
          <w:u w:val="single"/>
        </w:rPr>
        <w:t xml:space="preserve">（标的名称） </w:t>
      </w:r>
      <w:r>
        <w:rPr>
          <w:rFonts w:hint="eastAsia" w:ascii="宋体" w:hAnsi="宋体" w:eastAsia="宋体" w:cs="宋体"/>
          <w:kern w:val="0"/>
          <w:sz w:val="24"/>
        </w:rPr>
        <w:t>，属于</w:t>
      </w:r>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其他未列明行业</w:t>
      </w:r>
      <w:r>
        <w:rPr>
          <w:rFonts w:hint="eastAsia" w:ascii="宋体" w:hAnsi="宋体" w:eastAsia="宋体" w:cs="宋体"/>
          <w:kern w:val="0"/>
          <w:sz w:val="24"/>
          <w:u w:val="single"/>
        </w:rPr>
        <w:t>）</w:t>
      </w:r>
      <w:r>
        <w:rPr>
          <w:rFonts w:hint="eastAsia" w:ascii="宋体" w:hAnsi="宋体" w:eastAsia="宋体" w:cs="宋体"/>
          <w:kern w:val="0"/>
          <w:sz w:val="24"/>
        </w:rPr>
        <w:t>；承建（承接）企业为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ascii="宋体" w:hAnsi="宋体" w:eastAsia="宋体" w:cs="宋体"/>
          <w:kern w:val="0"/>
          <w:sz w:val="24"/>
          <w:u w:val="single"/>
        </w:rPr>
        <w:t xml:space="preserve">    </w:t>
      </w:r>
      <w:r>
        <w:rPr>
          <w:rFonts w:hint="eastAsia" w:ascii="宋体" w:hAnsi="宋体" w:eastAsia="宋体" w:cs="宋体"/>
          <w:kern w:val="0"/>
          <w:sz w:val="24"/>
        </w:rPr>
        <w:t>人，营业收入为</w:t>
      </w:r>
      <w:r>
        <w:rPr>
          <w:rFonts w:hint="eastAsia" w:ascii="宋体" w:hAnsi="宋体" w:eastAsia="宋体" w:cs="宋体"/>
          <w:kern w:val="0"/>
          <w:sz w:val="24"/>
          <w:u w:val="single"/>
        </w:rPr>
        <w:t xml:space="preserve">      </w:t>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rPr>
        <w:t>万元，属于</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（中型企业、</w:t>
      </w:r>
      <w:r>
        <w:rPr>
          <w:rFonts w:hint="eastAsia" w:ascii="宋体" w:hAnsi="宋体" w:eastAsia="宋体" w:cs="宋体"/>
          <w:b/>
          <w:kern w:val="0"/>
          <w:sz w:val="24"/>
          <w:u w:val="single"/>
        </w:rPr>
        <w:t>小型企业、微型企业</w:t>
      </w:r>
      <w:r>
        <w:rPr>
          <w:rFonts w:hint="eastAsia" w:ascii="宋体" w:hAnsi="宋体" w:eastAsia="宋体" w:cs="宋体"/>
          <w:kern w:val="0"/>
          <w:sz w:val="24"/>
          <w:u w:val="single"/>
        </w:rPr>
        <w:t>）</w:t>
      </w:r>
      <w:r>
        <w:rPr>
          <w:rFonts w:hint="eastAsia" w:ascii="宋体" w:hAnsi="宋体" w:eastAsia="宋体" w:cs="宋体"/>
          <w:kern w:val="0"/>
          <w:sz w:val="24"/>
        </w:rPr>
        <w:t>；</w:t>
      </w:r>
    </w:p>
    <w:p w14:paraId="4F063A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p>
    <w:p w14:paraId="1A34C1D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 xml:space="preserve">2. </w:t>
      </w:r>
      <w:r>
        <w:rPr>
          <w:rFonts w:hint="eastAsia" w:ascii="宋体" w:hAnsi="宋体" w:eastAsia="宋体" w:cs="宋体"/>
          <w:kern w:val="0"/>
          <w:sz w:val="24"/>
          <w:u w:val="single"/>
        </w:rPr>
        <w:t xml:space="preserve">（标的名称） </w:t>
      </w:r>
      <w:r>
        <w:rPr>
          <w:rFonts w:hint="eastAsia" w:ascii="宋体" w:hAnsi="宋体" w:eastAsia="宋体" w:cs="宋体"/>
          <w:kern w:val="0"/>
          <w:sz w:val="24"/>
        </w:rPr>
        <w:t>，属于</w:t>
      </w:r>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 xml:space="preserve">采购文件中明确的所属行业 </w:t>
      </w:r>
      <w:r>
        <w:rPr>
          <w:rFonts w:hint="eastAsia" w:ascii="宋体" w:hAnsi="宋体" w:eastAsia="宋体" w:cs="宋体"/>
          <w:kern w:val="0"/>
          <w:sz w:val="24"/>
          <w:u w:val="single"/>
        </w:rPr>
        <w:t>）</w:t>
      </w:r>
      <w:r>
        <w:rPr>
          <w:rFonts w:hint="eastAsia" w:ascii="宋体" w:hAnsi="宋体" w:eastAsia="宋体" w:cs="宋体"/>
          <w:kern w:val="0"/>
          <w:sz w:val="24"/>
        </w:rPr>
        <w:t>；承建（承接）企业为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ascii="宋体" w:hAnsi="宋体" w:eastAsia="宋体" w:cs="宋体"/>
          <w:kern w:val="0"/>
          <w:sz w:val="24"/>
          <w:u w:val="single"/>
        </w:rPr>
        <w:t xml:space="preserve">    </w:t>
      </w:r>
      <w:r>
        <w:rPr>
          <w:rFonts w:hint="eastAsia" w:ascii="宋体" w:hAnsi="宋体" w:eastAsia="宋体" w:cs="宋体"/>
          <w:kern w:val="0"/>
          <w:sz w:val="24"/>
        </w:rPr>
        <w:t>人，营业收入为</w:t>
      </w:r>
      <w:r>
        <w:rPr>
          <w:rFonts w:hint="eastAsia" w:ascii="宋体" w:hAnsi="宋体" w:eastAsia="宋体" w:cs="宋体"/>
          <w:kern w:val="0"/>
          <w:sz w:val="24"/>
          <w:u w:val="single"/>
        </w:rPr>
        <w:t xml:space="preserve">      </w:t>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rPr>
        <w:t>万元，属于</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（中型企业、</w:t>
      </w:r>
      <w:r>
        <w:rPr>
          <w:rFonts w:hint="eastAsia" w:ascii="宋体" w:hAnsi="宋体" w:eastAsia="宋体" w:cs="宋体"/>
          <w:b/>
          <w:kern w:val="0"/>
          <w:sz w:val="24"/>
          <w:u w:val="single"/>
        </w:rPr>
        <w:t>小型企业、微型企业</w:t>
      </w:r>
      <w:r>
        <w:rPr>
          <w:rFonts w:hint="eastAsia" w:ascii="宋体" w:hAnsi="宋体" w:eastAsia="宋体" w:cs="宋体"/>
          <w:kern w:val="0"/>
          <w:sz w:val="24"/>
          <w:u w:val="single"/>
        </w:rPr>
        <w:t>）</w:t>
      </w:r>
      <w:r>
        <w:rPr>
          <w:rFonts w:hint="eastAsia" w:ascii="宋体" w:hAnsi="宋体" w:eastAsia="宋体" w:cs="宋体"/>
          <w:kern w:val="0"/>
          <w:sz w:val="24"/>
        </w:rPr>
        <w:t>；</w:t>
      </w:r>
    </w:p>
    <w:p w14:paraId="4CE5B90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w:t>
      </w:r>
    </w:p>
    <w:p w14:paraId="7A615E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21FB7014">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kern w:val="0"/>
          <w:sz w:val="24"/>
        </w:rPr>
      </w:pPr>
      <w:r>
        <w:rPr>
          <w:rFonts w:hint="eastAsia" w:ascii="宋体" w:hAnsi="宋体" w:eastAsia="宋体" w:cs="宋体"/>
          <w:b/>
          <w:kern w:val="0"/>
          <w:sz w:val="24"/>
        </w:rPr>
        <w:t>本企业对上述声明内容的真实性负责。如有虚假，将依法承担相应责任。</w:t>
      </w:r>
    </w:p>
    <w:p w14:paraId="51108E76">
      <w:pPr>
        <w:spacing w:line="240" w:lineRule="auto"/>
        <w:jc w:val="left"/>
        <w:rPr>
          <w:rFonts w:hint="eastAsia" w:ascii="仿宋" w:hAnsi="仿宋" w:eastAsia="仿宋" w:cs="仿宋"/>
          <w:color w:val="auto"/>
          <w:sz w:val="24"/>
          <w:szCs w:val="24"/>
          <w:lang w:val="en-US" w:eastAsia="zh-CN"/>
        </w:rPr>
      </w:pPr>
    </w:p>
    <w:p w14:paraId="49FFA20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企业名称（</w:t>
      </w:r>
      <w:r>
        <w:rPr>
          <w:rFonts w:hint="eastAsia" w:hAnsi="宋体" w:cs="宋体"/>
          <w:kern w:val="0"/>
          <w:sz w:val="24"/>
          <w:szCs w:val="24"/>
        </w:rPr>
        <w:t>电子签章</w:t>
      </w:r>
      <w:r>
        <w:rPr>
          <w:rFonts w:hint="eastAsia" w:ascii="宋体" w:hAnsi="宋体" w:eastAsia="宋体" w:cs="宋体"/>
          <w:color w:val="auto"/>
          <w:sz w:val="24"/>
          <w:szCs w:val="24"/>
          <w:lang w:val="en-US" w:eastAsia="zh-CN"/>
        </w:rPr>
        <w:t>）：</w:t>
      </w:r>
    </w:p>
    <w:p w14:paraId="5A77290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793449DE">
      <w:pPr>
        <w:spacing w:line="360" w:lineRule="auto"/>
        <w:jc w:val="center"/>
        <w:rPr>
          <w:rFonts w:hint="eastAsia" w:ascii="宋体" w:hAnsi="宋体" w:eastAsia="宋体" w:cs="宋体"/>
          <w:color w:val="auto"/>
          <w:sz w:val="24"/>
          <w:szCs w:val="24"/>
          <w:lang w:val="en-US" w:eastAsia="zh-CN"/>
        </w:rPr>
      </w:pPr>
    </w:p>
    <w:p w14:paraId="5D2D5C9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从业人员、营业收入、资产总额填报上一年度数据，无上一年度数据的新成立企业可不填报。</w:t>
      </w:r>
    </w:p>
    <w:p w14:paraId="2337FB8D">
      <w:pPr>
        <w:pStyle w:val="3"/>
        <w:rPr>
          <w:rFonts w:hint="eastAsia"/>
          <w:lang w:eastAsia="zh-CN"/>
        </w:rPr>
      </w:pPr>
    </w:p>
    <w:p w14:paraId="1F800CF7">
      <w:pPr>
        <w:pStyle w:val="8"/>
        <w:bidi w:val="0"/>
        <w:rPr>
          <w:rFonts w:hint="eastAsia" w:ascii="宋体" w:hAnsi="宋体" w:eastAsia="宋体" w:cs="宋体"/>
          <w:b/>
          <w:bCs/>
          <w:kern w:val="2"/>
          <w:szCs w:val="20"/>
          <w:lang w:val="en-US" w:eastAsia="zh-CN" w:bidi="ar-SA"/>
        </w:rPr>
      </w:pPr>
      <w:r>
        <w:rPr>
          <w:rFonts w:hint="eastAsia" w:ascii="Arial" w:hAnsi="Arial" w:cs="Arial"/>
          <w:b/>
          <w:szCs w:val="44"/>
          <w:lang w:val="en-US" w:eastAsia="zh-CN"/>
        </w:rPr>
        <w:br w:type="page"/>
      </w:r>
      <w:r>
        <w:rPr>
          <w:rFonts w:hint="eastAsia"/>
          <w:lang w:val="en-US" w:eastAsia="zh-CN"/>
        </w:rPr>
        <w:t>1.5.2监狱企业声明函</w:t>
      </w:r>
    </w:p>
    <w:p w14:paraId="067AE69F">
      <w:pPr>
        <w:widowControl/>
        <w:snapToGrid w:val="0"/>
        <w:spacing w:line="360" w:lineRule="auto"/>
        <w:ind w:firstLine="480" w:firstLineChars="200"/>
        <w:jc w:val="center"/>
        <w:rPr>
          <w:rFonts w:hint="eastAsia" w:ascii="宋体" w:hAnsi="宋体" w:eastAsia="宋体" w:cs="宋体"/>
          <w:color w:val="000000"/>
          <w:kern w:val="0"/>
          <w:sz w:val="24"/>
        </w:rPr>
      </w:pPr>
      <w:r>
        <w:rPr>
          <w:rFonts w:hint="eastAsia" w:ascii="宋体" w:hAnsi="宋体" w:eastAsia="宋体" w:cs="宋体"/>
          <w:color w:val="000000"/>
          <w:kern w:val="0"/>
          <w:sz w:val="24"/>
        </w:rPr>
        <w:t>【不属于监狱企业的无需填写、递交】</w:t>
      </w:r>
    </w:p>
    <w:p w14:paraId="65327EEF">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本公司郑重声明，根据《关于政府采购支持监狱企业发展有关问题的通知》 （财库[2014]68 号）的规定，本公司为</w:t>
      </w:r>
      <w:r>
        <w:rPr>
          <w:rFonts w:hint="eastAsia" w:ascii="宋体" w:hAnsi="宋体" w:eastAsia="宋体" w:cs="宋体"/>
          <w:color w:val="000000"/>
          <w:kern w:val="0"/>
          <w:sz w:val="24"/>
          <w:u w:val="single"/>
        </w:rPr>
        <w:t>监狱企业</w:t>
      </w:r>
      <w:r>
        <w:rPr>
          <w:rFonts w:hint="eastAsia" w:ascii="宋体" w:hAnsi="宋体" w:eastAsia="宋体" w:cs="宋体"/>
          <w:color w:val="000000"/>
          <w:kern w:val="0"/>
          <w:sz w:val="24"/>
        </w:rPr>
        <w:t>。</w:t>
      </w:r>
    </w:p>
    <w:p w14:paraId="5C3D9C31">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根据上述标准，我公司属于监狱企业的理由为：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5D7ECA3">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本公司为参加（</w:t>
      </w:r>
      <w:r>
        <w:rPr>
          <w:rFonts w:hint="eastAsia" w:ascii="宋体" w:hAnsi="宋体" w:eastAsia="宋体" w:cs="宋体"/>
          <w:color w:val="000000"/>
          <w:kern w:val="0"/>
          <w:sz w:val="24"/>
          <w:u w:val="single"/>
        </w:rPr>
        <w:t xml:space="preserve">    项目名称    </w:t>
      </w:r>
      <w:r>
        <w:rPr>
          <w:rFonts w:hint="eastAsia" w:ascii="宋体" w:hAnsi="宋体" w:eastAsia="宋体" w:cs="宋体"/>
          <w:color w:val="000000"/>
          <w:kern w:val="0"/>
          <w:sz w:val="24"/>
        </w:rPr>
        <w:t>） （项目编号：</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）采购活动提供本企业提供服务。</w:t>
      </w:r>
    </w:p>
    <w:p w14:paraId="0D7B045C">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本公司对上述声明的真实性负责。如有虚假，将依法承担相应责任。</w:t>
      </w:r>
    </w:p>
    <w:p w14:paraId="4460A91B">
      <w:pPr>
        <w:widowControl/>
        <w:snapToGrid w:val="0"/>
        <w:spacing w:line="360" w:lineRule="auto"/>
        <w:ind w:firstLine="480" w:firstLineChars="200"/>
        <w:jc w:val="left"/>
        <w:rPr>
          <w:rFonts w:hint="eastAsia" w:ascii="宋体" w:hAnsi="宋体" w:eastAsia="宋体" w:cs="宋体"/>
          <w:color w:val="000000"/>
          <w:kern w:val="0"/>
          <w:sz w:val="24"/>
        </w:rPr>
      </w:pPr>
    </w:p>
    <w:p w14:paraId="3C744AD6">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投标供应商</w:t>
      </w:r>
      <w:r>
        <w:rPr>
          <w:rFonts w:hint="eastAsia" w:ascii="宋体" w:hAnsi="宋体" w:eastAsia="宋体" w:cs="宋体"/>
          <w:color w:val="000000"/>
          <w:kern w:val="0"/>
          <w:sz w:val="24"/>
        </w:rPr>
        <w:t>名称（</w:t>
      </w:r>
      <w:r>
        <w:rPr>
          <w:rFonts w:hint="eastAsia" w:ascii="宋体" w:hAnsi="宋体" w:eastAsia="宋体" w:cs="宋体"/>
          <w:kern w:val="0"/>
          <w:sz w:val="24"/>
          <w:szCs w:val="24"/>
        </w:rPr>
        <w:t>电子签章</w:t>
      </w:r>
      <w:r>
        <w:rPr>
          <w:rFonts w:hint="eastAsia" w:ascii="宋体" w:hAnsi="宋体" w:eastAsia="宋体" w:cs="宋体"/>
          <w:color w:val="000000"/>
          <w:kern w:val="0"/>
          <w:sz w:val="24"/>
        </w:rPr>
        <w:t>）：</w:t>
      </w:r>
    </w:p>
    <w:p w14:paraId="34DB81E1">
      <w:pPr>
        <w:widowControl/>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日期：    年  月  日</w:t>
      </w:r>
    </w:p>
    <w:p w14:paraId="52F2296A">
      <w:pPr>
        <w:pStyle w:val="8"/>
        <w:bidi w:val="0"/>
        <w:rPr>
          <w:rFonts w:hint="eastAsia"/>
          <w:lang w:val="en-US" w:eastAsia="zh-CN"/>
        </w:rPr>
      </w:pPr>
      <w:r>
        <w:rPr>
          <w:rFonts w:hint="eastAsia" w:ascii="仿宋" w:hAnsi="仿宋" w:eastAsia="仿宋" w:cs="仿宋"/>
          <w:color w:val="000000"/>
          <w:kern w:val="0"/>
        </w:rPr>
        <w:br w:type="page"/>
      </w:r>
      <w:r>
        <w:rPr>
          <w:rFonts w:hint="eastAsia"/>
          <w:lang w:val="en-US" w:eastAsia="zh-CN"/>
        </w:rPr>
        <w:t>1.5.3残疾人福利性单位声明函</w:t>
      </w:r>
    </w:p>
    <w:p w14:paraId="25012CF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256B3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本单位对上述声明的真实性负责。如有虚假，将依法承担相应责任。</w:t>
      </w:r>
    </w:p>
    <w:p w14:paraId="3914242E">
      <w:pPr>
        <w:snapToGrid w:val="0"/>
        <w:spacing w:line="360" w:lineRule="auto"/>
        <w:ind w:firstLine="480" w:firstLineChars="200"/>
        <w:rPr>
          <w:rFonts w:hint="eastAsia" w:ascii="宋体" w:hAnsi="宋体" w:eastAsia="宋体" w:cs="宋体"/>
          <w:color w:val="000000"/>
          <w:sz w:val="24"/>
        </w:rPr>
      </w:pPr>
    </w:p>
    <w:p w14:paraId="2DF6DE48">
      <w:pPr>
        <w:snapToGrid w:val="0"/>
        <w:spacing w:line="360" w:lineRule="auto"/>
        <w:ind w:firstLine="480" w:firstLineChars="200"/>
        <w:rPr>
          <w:rFonts w:hint="eastAsia" w:ascii="宋体" w:hAnsi="宋体" w:eastAsia="宋体" w:cs="宋体"/>
          <w:color w:val="000000"/>
          <w:sz w:val="24"/>
        </w:rPr>
      </w:pPr>
    </w:p>
    <w:p w14:paraId="07A2D071">
      <w:pPr>
        <w:tabs>
          <w:tab w:val="left" w:pos="4860"/>
        </w:tabs>
        <w:snapToGrid w:val="0"/>
        <w:spacing w:line="360" w:lineRule="auto"/>
        <w:ind w:right="156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       单位名称（</w:t>
      </w:r>
      <w:r>
        <w:rPr>
          <w:rFonts w:hint="eastAsia" w:ascii="宋体" w:hAnsi="宋体" w:eastAsia="宋体" w:cs="宋体"/>
          <w:kern w:val="0"/>
          <w:sz w:val="24"/>
          <w:szCs w:val="24"/>
        </w:rPr>
        <w:t>电子签章</w:t>
      </w:r>
      <w:r>
        <w:rPr>
          <w:rFonts w:hint="eastAsia" w:ascii="宋体" w:hAnsi="宋体" w:eastAsia="宋体" w:cs="宋体"/>
          <w:color w:val="000000"/>
          <w:sz w:val="24"/>
        </w:rPr>
        <w:t>）：</w:t>
      </w:r>
    </w:p>
    <w:p w14:paraId="7044020B">
      <w:pPr>
        <w:tabs>
          <w:tab w:val="left" w:pos="4860"/>
        </w:tabs>
        <w:snapToGrid w:val="0"/>
        <w:spacing w:line="360" w:lineRule="auto"/>
        <w:ind w:right="156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       日  期：</w:t>
      </w:r>
    </w:p>
    <w:p w14:paraId="7079FEE0">
      <w:pPr>
        <w:pStyle w:val="7"/>
        <w:numPr>
          <w:ilvl w:val="0"/>
          <w:numId w:val="0"/>
        </w:numPr>
        <w:bidi w:val="0"/>
        <w:ind w:leftChars="0"/>
        <w:jc w:val="both"/>
        <w:rPr>
          <w:rFonts w:hint="default" w:ascii="仿宋" w:hAnsi="仿宋" w:eastAsia="仿宋" w:cs="仿宋"/>
          <w:color w:val="000000"/>
          <w:sz w:val="24"/>
          <w:lang w:val="en-US" w:eastAsia="zh-CN"/>
        </w:rPr>
      </w:pPr>
      <w:r>
        <w:rPr>
          <w:rFonts w:hint="eastAsia" w:ascii="仿宋" w:hAnsi="仿宋" w:eastAsia="仿宋" w:cs="仿宋"/>
          <w:color w:val="000000"/>
          <w:sz w:val="24"/>
        </w:rPr>
        <w:br w:type="page"/>
      </w:r>
      <w:r>
        <w:rPr>
          <w:rFonts w:hint="eastAsia" w:ascii="宋体" w:hAnsi="宋体" w:eastAsia="宋体" w:cs="宋体"/>
          <w:b/>
          <w:bCs/>
          <w:color w:val="000000"/>
          <w:sz w:val="28"/>
          <w:szCs w:val="28"/>
          <w:lang w:eastAsia="zh-CN"/>
        </w:rPr>
        <w:t>附件：</w:t>
      </w:r>
      <w:r>
        <w:rPr>
          <w:rFonts w:hint="eastAsia" w:ascii="宋体" w:hAnsi="宋体" w:eastAsia="宋体" w:cs="宋体"/>
          <w:b/>
          <w:bCs/>
          <w:color w:val="000000"/>
          <w:sz w:val="28"/>
          <w:szCs w:val="28"/>
          <w:lang w:val="en-US" w:eastAsia="zh-CN"/>
        </w:rPr>
        <w:t>1</w:t>
      </w:r>
    </w:p>
    <w:p w14:paraId="63284B63">
      <w:pPr>
        <w:pStyle w:val="21"/>
        <w:adjustRightInd w:val="0"/>
        <w:snapToGrid w:val="0"/>
        <w:spacing w:line="360" w:lineRule="auto"/>
        <w:jc w:val="center"/>
        <w:rPr>
          <w:rFonts w:hint="default" w:ascii="宋体" w:hAnsi="宋体" w:eastAsia="宋体" w:cs="宋体"/>
          <w:b/>
          <w:bCs/>
          <w:sz w:val="24"/>
          <w:szCs w:val="20"/>
          <w:lang w:val="en-US" w:eastAsia="zh-CN"/>
        </w:rPr>
      </w:pPr>
      <w:r>
        <w:rPr>
          <w:rFonts w:hint="default" w:ascii="宋体" w:hAnsi="宋体" w:eastAsia="宋体" w:cs="宋体"/>
          <w:b/>
          <w:bCs/>
          <w:sz w:val="28"/>
          <w:szCs w:val="21"/>
          <w:lang w:val="en-US" w:eastAsia="zh-CN"/>
        </w:rPr>
        <w:t>政府采购活动现场确认声明书</w:t>
      </w:r>
    </w:p>
    <w:p w14:paraId="441EB773">
      <w:pPr>
        <w:pStyle w:val="187"/>
        <w:widowControl w:val="0"/>
        <w:snapToGrid w:val="0"/>
        <w:spacing w:line="360" w:lineRule="auto"/>
        <w:jc w:val="both"/>
        <w:rPr>
          <w:rFonts w:hint="default" w:ascii="仿宋" w:hAnsi="仿宋"/>
          <w:b/>
          <w:color w:val="000000"/>
          <w:sz w:val="21"/>
          <w:szCs w:val="21"/>
        </w:rPr>
      </w:pPr>
      <w:r>
        <w:rPr>
          <w:rFonts w:hint="eastAsia" w:ascii="仿宋" w:hAnsi="仿宋"/>
          <w:color w:val="000000"/>
          <w:kern w:val="0"/>
          <w:sz w:val="21"/>
          <w:szCs w:val="21"/>
          <w:u w:val="single"/>
          <w:lang w:eastAsia="zh-CN"/>
        </w:rPr>
        <w:t>浙江明业项目管理有限公司</w:t>
      </w:r>
      <w:r>
        <w:rPr>
          <w:rFonts w:ascii="仿宋" w:hAnsi="仿宋"/>
          <w:color w:val="000000"/>
          <w:kern w:val="0"/>
          <w:sz w:val="21"/>
          <w:szCs w:val="21"/>
        </w:rPr>
        <w:t>：</w:t>
      </w:r>
    </w:p>
    <w:p w14:paraId="60A65676">
      <w:pPr>
        <w:pStyle w:val="187"/>
        <w:widowControl w:val="0"/>
        <w:snapToGrid w:val="0"/>
        <w:spacing w:line="360" w:lineRule="auto"/>
        <w:ind w:left="0" w:leftChars="0" w:firstLine="0" w:firstLineChars="0"/>
        <w:jc w:val="both"/>
        <w:rPr>
          <w:rFonts w:hint="eastAsia" w:ascii="宋体" w:hAnsi="宋体" w:eastAsia="宋体" w:cs="宋体"/>
          <w:color w:val="000000"/>
          <w:spacing w:val="6"/>
          <w:sz w:val="20"/>
          <w:szCs w:val="20"/>
        </w:rPr>
      </w:pPr>
      <w:r>
        <w:rPr>
          <w:rFonts w:hint="eastAsia" w:hAnsi="宋体" w:eastAsia="宋体" w:cs="宋体"/>
          <w:color w:val="000000"/>
          <w:spacing w:val="6"/>
          <w:sz w:val="21"/>
          <w:szCs w:val="21"/>
          <w:lang w:val="en-US" w:eastAsia="zh-CN"/>
        </w:rPr>
        <w:t xml:space="preserve">   </w:t>
      </w:r>
      <w:r>
        <w:rPr>
          <w:rFonts w:hint="eastAsia" w:hAnsi="宋体" w:eastAsia="宋体" w:cs="宋体"/>
          <w:color w:val="000000"/>
          <w:spacing w:val="6"/>
          <w:sz w:val="20"/>
          <w:szCs w:val="20"/>
          <w:lang w:val="en-US" w:eastAsia="zh-CN"/>
        </w:rPr>
        <w:t xml:space="preserve"> </w:t>
      </w:r>
      <w:r>
        <w:rPr>
          <w:rFonts w:hint="eastAsia" w:ascii="宋体" w:hAnsi="宋体" w:eastAsia="宋体" w:cs="宋体"/>
          <w:color w:val="000000"/>
          <w:spacing w:val="6"/>
          <w:sz w:val="20"/>
          <w:szCs w:val="20"/>
        </w:rPr>
        <w:t>本人经由</w:t>
      </w:r>
      <w:r>
        <w:rPr>
          <w:rFonts w:hint="eastAsia" w:ascii="宋体" w:hAnsi="宋体" w:eastAsia="宋体" w:cs="宋体"/>
          <w:color w:val="000000"/>
          <w:spacing w:val="6"/>
          <w:sz w:val="20"/>
          <w:szCs w:val="20"/>
          <w:u w:val="single"/>
        </w:rPr>
        <w:t xml:space="preserve">     </w:t>
      </w:r>
      <w:r>
        <w:rPr>
          <w:rFonts w:hint="eastAsia" w:hAnsi="宋体" w:eastAsia="宋体" w:cs="宋体"/>
          <w:color w:val="000000"/>
          <w:spacing w:val="6"/>
          <w:sz w:val="20"/>
          <w:szCs w:val="20"/>
          <w:u w:val="single"/>
          <w:lang w:val="en-US" w:eastAsia="zh-CN"/>
        </w:rPr>
        <w:t xml:space="preserve"> </w:t>
      </w:r>
      <w:r>
        <w:rPr>
          <w:rFonts w:hint="eastAsia" w:hAnsi="宋体" w:cs="宋体"/>
          <w:color w:val="000000"/>
          <w:spacing w:val="6"/>
          <w:sz w:val="20"/>
          <w:szCs w:val="20"/>
          <w:u w:val="single"/>
          <w:lang w:val="en-US" w:eastAsia="zh-CN"/>
        </w:rPr>
        <w:t>(填投标供应商名称）</w:t>
      </w:r>
      <w:r>
        <w:rPr>
          <w:rFonts w:hint="eastAsia" w:hAnsi="宋体" w:eastAsia="宋体" w:cs="宋体"/>
          <w:color w:val="000000"/>
          <w:spacing w:val="6"/>
          <w:sz w:val="20"/>
          <w:szCs w:val="20"/>
          <w:u w:val="single"/>
          <w:lang w:val="en-US" w:eastAsia="zh-CN"/>
        </w:rPr>
        <w:t xml:space="preserve">        </w:t>
      </w:r>
      <w:r>
        <w:rPr>
          <w:rFonts w:hint="eastAsia" w:ascii="宋体" w:hAnsi="宋体" w:eastAsia="宋体" w:cs="宋体"/>
          <w:color w:val="000000"/>
          <w:spacing w:val="6"/>
          <w:sz w:val="20"/>
          <w:szCs w:val="20"/>
        </w:rPr>
        <w:t>负责人</w:t>
      </w:r>
      <w:r>
        <w:rPr>
          <w:rFonts w:hint="eastAsia" w:ascii="宋体" w:hAnsi="宋体" w:eastAsia="宋体" w:cs="宋体"/>
          <w:color w:val="000000"/>
          <w:spacing w:val="6"/>
          <w:sz w:val="20"/>
          <w:szCs w:val="20"/>
          <w:u w:val="single"/>
        </w:rPr>
        <w:t xml:space="preserve"> </w:t>
      </w:r>
      <w:r>
        <w:rPr>
          <w:rFonts w:hint="eastAsia" w:hAnsi="宋体" w:eastAsia="宋体" w:cs="宋体"/>
          <w:color w:val="000000"/>
          <w:spacing w:val="6"/>
          <w:sz w:val="20"/>
          <w:szCs w:val="20"/>
          <w:u w:val="single"/>
          <w:lang w:val="en-US" w:eastAsia="zh-CN"/>
        </w:rPr>
        <w:t xml:space="preserve">  </w:t>
      </w:r>
      <w:r>
        <w:rPr>
          <w:rFonts w:hint="eastAsia" w:hAnsi="宋体" w:cs="宋体"/>
          <w:color w:val="000000"/>
          <w:spacing w:val="6"/>
          <w:sz w:val="20"/>
          <w:szCs w:val="20"/>
          <w:u w:val="single"/>
          <w:lang w:val="en-US" w:eastAsia="zh-CN"/>
        </w:rPr>
        <w:t>（填法人名字）</w:t>
      </w:r>
      <w:r>
        <w:rPr>
          <w:rFonts w:hint="eastAsia" w:hAnsi="宋体" w:eastAsia="宋体" w:cs="宋体"/>
          <w:color w:val="000000"/>
          <w:spacing w:val="6"/>
          <w:sz w:val="20"/>
          <w:szCs w:val="20"/>
          <w:u w:val="single"/>
          <w:lang w:val="en-US" w:eastAsia="zh-CN"/>
        </w:rPr>
        <w:t xml:space="preserve">  </w:t>
      </w:r>
      <w:r>
        <w:rPr>
          <w:rFonts w:hint="eastAsia" w:ascii="宋体" w:hAnsi="宋体" w:eastAsia="宋体" w:cs="宋体"/>
          <w:color w:val="000000"/>
          <w:spacing w:val="6"/>
          <w:sz w:val="20"/>
          <w:szCs w:val="20"/>
        </w:rPr>
        <w:t>合法授权参加</w:t>
      </w:r>
      <w:r>
        <w:rPr>
          <w:rFonts w:hint="eastAsia" w:ascii="宋体" w:hAnsi="宋体" w:eastAsia="宋体" w:cs="宋体"/>
          <w:color w:val="000000"/>
          <w:spacing w:val="6"/>
          <w:sz w:val="20"/>
          <w:szCs w:val="20"/>
          <w:u w:val="single" w:color="auto"/>
        </w:rPr>
        <w:t xml:space="preserve"> </w:t>
      </w:r>
      <w:r>
        <w:rPr>
          <w:rFonts w:hint="eastAsia" w:hAnsi="宋体" w:cs="宋体"/>
          <w:color w:val="000000"/>
          <w:spacing w:val="6"/>
          <w:sz w:val="20"/>
          <w:szCs w:val="20"/>
          <w:u w:val="single" w:color="auto"/>
          <w:lang w:eastAsia="zh-CN"/>
        </w:rPr>
        <w:t>（</w:t>
      </w:r>
      <w:r>
        <w:rPr>
          <w:rFonts w:hint="eastAsia" w:hAnsi="宋体" w:cs="宋体"/>
          <w:bCs/>
          <w:sz w:val="20"/>
          <w:szCs w:val="20"/>
          <w:u w:val="single" w:color="auto"/>
          <w:lang w:eastAsia="zh-CN"/>
        </w:rPr>
        <w:t>投标项目名称）</w:t>
      </w:r>
      <w:r>
        <w:rPr>
          <w:rFonts w:hint="eastAsia" w:ascii="宋体" w:hAnsi="宋体" w:eastAsia="宋体" w:cs="宋体"/>
          <w:color w:val="000000"/>
          <w:spacing w:val="6"/>
          <w:sz w:val="20"/>
          <w:szCs w:val="20"/>
          <w:u w:val="single"/>
        </w:rPr>
        <w:t>（</w:t>
      </w:r>
      <w:r>
        <w:rPr>
          <w:rFonts w:hint="eastAsia" w:hAnsi="宋体" w:cs="宋体"/>
          <w:color w:val="000000"/>
          <w:spacing w:val="6"/>
          <w:sz w:val="20"/>
          <w:szCs w:val="20"/>
          <w:u w:val="single"/>
          <w:lang w:eastAsia="zh-CN"/>
        </w:rPr>
        <w:t>采购编号</w:t>
      </w:r>
      <w:r>
        <w:rPr>
          <w:rFonts w:hint="eastAsia" w:ascii="宋体" w:hAnsi="宋体" w:eastAsia="宋体" w:cs="宋体"/>
          <w:color w:val="000000"/>
          <w:spacing w:val="6"/>
          <w:sz w:val="20"/>
          <w:szCs w:val="20"/>
          <w:u w:val="single"/>
        </w:rPr>
        <w:t>）</w:t>
      </w:r>
      <w:r>
        <w:rPr>
          <w:rFonts w:hint="eastAsia" w:ascii="宋体" w:hAnsi="宋体" w:eastAsia="宋体" w:cs="宋体"/>
          <w:color w:val="000000"/>
          <w:spacing w:val="6"/>
          <w:sz w:val="20"/>
          <w:szCs w:val="20"/>
        </w:rPr>
        <w:t>政府采购活动</w:t>
      </w:r>
      <w:r>
        <w:rPr>
          <w:rFonts w:hint="eastAsia" w:hAnsi="宋体" w:eastAsia="宋体" w:cs="宋体"/>
          <w:color w:val="000000"/>
          <w:spacing w:val="6"/>
          <w:sz w:val="20"/>
          <w:szCs w:val="20"/>
          <w:lang w:val="en-US" w:eastAsia="zh-CN"/>
        </w:rPr>
        <w:t>。</w:t>
      </w:r>
      <w:r>
        <w:rPr>
          <w:rFonts w:hint="eastAsia" w:ascii="宋体" w:hAnsi="宋体" w:eastAsia="宋体" w:cs="宋体"/>
          <w:color w:val="000000"/>
          <w:spacing w:val="6"/>
          <w:sz w:val="20"/>
          <w:szCs w:val="20"/>
        </w:rPr>
        <w:t xml:space="preserve">经与本单位法人代表（负责人）联系确认，现就有关公平竞争事项郑重声明如下： </w:t>
      </w:r>
    </w:p>
    <w:p w14:paraId="5B3EDD42">
      <w:pPr>
        <w:pStyle w:val="188"/>
        <w:widowControl/>
        <w:numPr>
          <w:ilvl w:val="0"/>
          <w:numId w:val="4"/>
        </w:numPr>
        <w:snapToGrid w:val="0"/>
        <w:spacing w:line="360" w:lineRule="auto"/>
        <w:ind w:firstLine="378" w:firstLineChars="18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本单位与采购人之间 □不存在利害关系 □存在下列利害关系</w:t>
      </w:r>
      <w:r>
        <w:rPr>
          <w:rFonts w:hint="eastAsia" w:ascii="宋体" w:hAnsi="宋体" w:eastAsia="宋体" w:cs="宋体"/>
          <w:color w:val="000000"/>
          <w:kern w:val="0"/>
          <w:sz w:val="20"/>
          <w:szCs w:val="20"/>
          <w:u w:val="single"/>
        </w:rPr>
        <w:t xml:space="preserve">           </w:t>
      </w:r>
      <w:r>
        <w:rPr>
          <w:rFonts w:hint="eastAsia" w:ascii="宋体" w:hAnsi="宋体" w:eastAsia="宋体" w:cs="宋体"/>
          <w:color w:val="000000"/>
          <w:kern w:val="0"/>
          <w:sz w:val="20"/>
          <w:szCs w:val="20"/>
        </w:rPr>
        <w:t>：</w:t>
      </w:r>
    </w:p>
    <w:p w14:paraId="19B52CA0">
      <w:pPr>
        <w:pStyle w:val="188"/>
        <w:widowControl/>
        <w:snapToGrid w:val="0"/>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A.投资关系    B.行政隶属关系    C.业务指导关系</w:t>
      </w:r>
    </w:p>
    <w:p w14:paraId="775892BF">
      <w:pPr>
        <w:pStyle w:val="188"/>
        <w:widowControl/>
        <w:snapToGrid w:val="0"/>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D.其他可能</w:t>
      </w:r>
      <w:r>
        <w:rPr>
          <w:rFonts w:hint="eastAsia" w:ascii="宋体" w:hAnsi="宋体" w:eastAsia="宋体" w:cs="宋体"/>
          <w:color w:val="000000"/>
          <w:sz w:val="20"/>
          <w:szCs w:val="20"/>
        </w:rPr>
        <w:t>影响采购公正的</w:t>
      </w:r>
      <w:r>
        <w:rPr>
          <w:rFonts w:hint="eastAsia" w:ascii="宋体" w:hAnsi="宋体" w:eastAsia="宋体" w:cs="宋体"/>
          <w:color w:val="000000"/>
          <w:kern w:val="0"/>
          <w:sz w:val="20"/>
          <w:szCs w:val="20"/>
        </w:rPr>
        <w:t>利害关系</w:t>
      </w:r>
      <w:r>
        <w:rPr>
          <w:rFonts w:hint="eastAsia" w:ascii="宋体" w:hAnsi="宋体" w:eastAsia="宋体" w:cs="宋体"/>
          <w:color w:val="000000"/>
          <w:kern w:val="0"/>
          <w:sz w:val="20"/>
          <w:szCs w:val="20"/>
          <w:u w:val="single"/>
        </w:rPr>
        <w:t xml:space="preserve">（如有，请如实说明）     </w:t>
      </w:r>
      <w:r>
        <w:rPr>
          <w:rFonts w:hint="eastAsia" w:ascii="宋体" w:hAnsi="宋体" w:eastAsia="宋体" w:cs="宋体"/>
          <w:color w:val="000000"/>
          <w:kern w:val="0"/>
          <w:sz w:val="20"/>
          <w:szCs w:val="20"/>
          <w:u w:val="single"/>
          <w:lang w:val="en-US" w:eastAsia="zh-CN"/>
        </w:rPr>
        <w:t xml:space="preserve">                              </w:t>
      </w:r>
      <w:r>
        <w:rPr>
          <w:rFonts w:hint="eastAsia" w:ascii="宋体" w:hAnsi="宋体" w:eastAsia="宋体" w:cs="宋体"/>
          <w:color w:val="000000"/>
          <w:kern w:val="0"/>
          <w:sz w:val="20"/>
          <w:szCs w:val="20"/>
        </w:rPr>
        <w:t>。</w:t>
      </w:r>
    </w:p>
    <w:p w14:paraId="533E46BC">
      <w:pPr>
        <w:pStyle w:val="188"/>
        <w:widowControl/>
        <w:snapToGrid w:val="0"/>
        <w:spacing w:line="360" w:lineRule="auto"/>
        <w:rPr>
          <w:rFonts w:hint="eastAsia" w:ascii="宋体" w:hAnsi="宋体" w:eastAsia="宋体" w:cs="宋体"/>
          <w:color w:val="000000"/>
          <w:kern w:val="0"/>
          <w:sz w:val="20"/>
          <w:szCs w:val="20"/>
        </w:rPr>
      </w:pPr>
      <w:r>
        <w:rPr>
          <w:rFonts w:hint="eastAsia" w:ascii="宋体" w:hAnsi="宋体" w:eastAsia="宋体" w:cs="宋体"/>
          <w:color w:val="000000"/>
          <w:spacing w:val="6"/>
          <w:sz w:val="20"/>
          <w:szCs w:val="20"/>
        </w:rPr>
        <w:t xml:space="preserve">  二、</w:t>
      </w:r>
      <w:r>
        <w:rPr>
          <w:rFonts w:hint="eastAsia" w:ascii="宋体" w:hAnsi="宋体" w:eastAsia="宋体" w:cs="宋体"/>
          <w:color w:val="000000"/>
          <w:kern w:val="0"/>
          <w:sz w:val="20"/>
          <w:szCs w:val="20"/>
        </w:rPr>
        <w:t>现已清楚知道参加本项目采购活动的</w:t>
      </w:r>
      <w:r>
        <w:rPr>
          <w:rFonts w:hint="eastAsia" w:ascii="宋体" w:hAnsi="宋体" w:eastAsia="宋体" w:cs="宋体"/>
          <w:color w:val="000000"/>
          <w:kern w:val="0"/>
          <w:sz w:val="20"/>
          <w:szCs w:val="20"/>
          <w:lang w:eastAsia="zh-CN"/>
        </w:rPr>
        <w:t>其他</w:t>
      </w:r>
      <w:r>
        <w:rPr>
          <w:rFonts w:hint="eastAsia" w:ascii="宋体" w:hAnsi="宋体" w:eastAsia="宋体" w:cs="宋体"/>
          <w:color w:val="000000"/>
          <w:kern w:val="0"/>
          <w:sz w:val="20"/>
          <w:szCs w:val="20"/>
        </w:rPr>
        <w:t>所有供应商名称，本单位 □与</w:t>
      </w:r>
      <w:r>
        <w:rPr>
          <w:rFonts w:hint="eastAsia" w:ascii="宋体" w:hAnsi="宋体" w:eastAsia="宋体" w:cs="宋体"/>
          <w:color w:val="000000"/>
          <w:kern w:val="0"/>
          <w:sz w:val="20"/>
          <w:szCs w:val="20"/>
          <w:lang w:eastAsia="zh-CN"/>
        </w:rPr>
        <w:t>其他</w:t>
      </w:r>
      <w:r>
        <w:rPr>
          <w:rFonts w:hint="eastAsia" w:ascii="宋体" w:hAnsi="宋体" w:eastAsia="宋体" w:cs="宋体"/>
          <w:color w:val="000000"/>
          <w:kern w:val="0"/>
          <w:sz w:val="20"/>
          <w:szCs w:val="20"/>
        </w:rPr>
        <w:t>所有供应商之间均不存在利害关系 □与</w:t>
      </w:r>
      <w:r>
        <w:rPr>
          <w:rFonts w:hint="eastAsia" w:ascii="宋体" w:hAnsi="宋体" w:eastAsia="宋体" w:cs="宋体"/>
          <w:color w:val="000000"/>
          <w:kern w:val="0"/>
          <w:sz w:val="20"/>
          <w:szCs w:val="20"/>
          <w:u w:val="single"/>
        </w:rPr>
        <w:t xml:space="preserve"> </w:t>
      </w:r>
      <w:r>
        <w:rPr>
          <w:rFonts w:hint="eastAsia" w:ascii="宋体" w:hAnsi="宋体" w:eastAsia="宋体" w:cs="宋体"/>
          <w:color w:val="000000"/>
          <w:kern w:val="0"/>
          <w:sz w:val="20"/>
          <w:szCs w:val="20"/>
          <w:u w:val="single"/>
          <w:lang w:val="en-US" w:eastAsia="zh-CN"/>
        </w:rPr>
        <w:t xml:space="preserve">              </w:t>
      </w:r>
      <w:r>
        <w:rPr>
          <w:rFonts w:hint="eastAsia" w:ascii="宋体" w:hAnsi="宋体" w:eastAsia="宋体" w:cs="宋体"/>
          <w:color w:val="000000"/>
          <w:kern w:val="0"/>
          <w:sz w:val="20"/>
          <w:szCs w:val="20"/>
          <w:u w:val="single"/>
        </w:rPr>
        <w:t xml:space="preserve">  </w:t>
      </w:r>
      <w:r>
        <w:rPr>
          <w:rFonts w:hint="eastAsia" w:ascii="宋体" w:hAnsi="宋体" w:eastAsia="宋体" w:cs="宋体"/>
          <w:color w:val="000000"/>
          <w:kern w:val="0"/>
          <w:sz w:val="20"/>
          <w:szCs w:val="20"/>
          <w:u w:val="single"/>
          <w:lang w:val="en-US" w:eastAsia="zh-CN"/>
        </w:rPr>
        <w:t xml:space="preserve">                       </w:t>
      </w:r>
      <w:r>
        <w:rPr>
          <w:rFonts w:hint="eastAsia" w:ascii="宋体" w:hAnsi="宋体" w:eastAsia="宋体" w:cs="宋体"/>
          <w:color w:val="000000"/>
          <w:kern w:val="0"/>
          <w:sz w:val="20"/>
          <w:szCs w:val="20"/>
        </w:rPr>
        <w:t>之间存在下列利害关系</w:t>
      </w:r>
      <w:r>
        <w:rPr>
          <w:rFonts w:hint="eastAsia" w:ascii="宋体" w:hAnsi="宋体" w:eastAsia="宋体" w:cs="宋体"/>
          <w:color w:val="000000"/>
          <w:kern w:val="0"/>
          <w:sz w:val="20"/>
          <w:szCs w:val="20"/>
          <w:u w:val="single"/>
        </w:rPr>
        <w:t xml:space="preserve">  </w:t>
      </w:r>
      <w:r>
        <w:rPr>
          <w:rFonts w:hint="eastAsia" w:ascii="宋体" w:hAnsi="宋体" w:eastAsia="宋体" w:cs="宋体"/>
          <w:color w:val="000000"/>
          <w:kern w:val="0"/>
          <w:sz w:val="20"/>
          <w:szCs w:val="20"/>
          <w:u w:val="single"/>
          <w:lang w:val="en-US" w:eastAsia="zh-CN"/>
        </w:rPr>
        <w:t xml:space="preserve"> </w:t>
      </w:r>
      <w:r>
        <w:rPr>
          <w:rFonts w:hint="eastAsia" w:ascii="宋体" w:hAnsi="宋体" w:eastAsia="宋体" w:cs="宋体"/>
          <w:color w:val="000000"/>
          <w:kern w:val="0"/>
          <w:sz w:val="20"/>
          <w:szCs w:val="20"/>
          <w:u w:val="single"/>
        </w:rPr>
        <w:t xml:space="preserve">   </w:t>
      </w:r>
      <w:r>
        <w:rPr>
          <w:rFonts w:hint="eastAsia" w:ascii="宋体" w:hAnsi="宋体" w:eastAsia="宋体" w:cs="宋体"/>
          <w:color w:val="000000"/>
          <w:kern w:val="0"/>
          <w:sz w:val="20"/>
          <w:szCs w:val="20"/>
        </w:rPr>
        <w:t>：</w:t>
      </w:r>
    </w:p>
    <w:p w14:paraId="41EF28F3">
      <w:pPr>
        <w:pStyle w:val="187"/>
        <w:widowControl w:val="0"/>
        <w:snapToGrid w:val="0"/>
        <w:spacing w:line="360" w:lineRule="auto"/>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A.法定代表人或负责人或实际控制人是同一人</w:t>
      </w:r>
    </w:p>
    <w:p w14:paraId="41B50DA7">
      <w:pPr>
        <w:pStyle w:val="187"/>
        <w:widowControl w:val="0"/>
        <w:snapToGrid w:val="0"/>
        <w:spacing w:line="360" w:lineRule="auto"/>
        <w:jc w:val="both"/>
        <w:rPr>
          <w:rFonts w:hint="eastAsia" w:ascii="宋体" w:hAnsi="宋体" w:eastAsia="宋体" w:cs="宋体"/>
          <w:color w:val="000000"/>
          <w:spacing w:val="6"/>
          <w:sz w:val="20"/>
          <w:szCs w:val="20"/>
        </w:rPr>
      </w:pPr>
      <w:r>
        <w:rPr>
          <w:rFonts w:hint="eastAsia" w:ascii="宋体" w:hAnsi="宋体" w:eastAsia="宋体" w:cs="宋体"/>
          <w:color w:val="000000"/>
          <w:kern w:val="0"/>
          <w:sz w:val="20"/>
          <w:szCs w:val="20"/>
        </w:rPr>
        <w:t xml:space="preserve">  B.法定代表人或负责人或实际控制人是夫妻关系</w:t>
      </w:r>
    </w:p>
    <w:p w14:paraId="15CAE039">
      <w:pPr>
        <w:pStyle w:val="187"/>
        <w:widowControl w:val="0"/>
        <w:snapToGrid w:val="0"/>
        <w:spacing w:line="360" w:lineRule="auto"/>
        <w:jc w:val="both"/>
        <w:rPr>
          <w:rFonts w:hint="eastAsia" w:ascii="宋体" w:hAnsi="宋体" w:eastAsia="宋体" w:cs="宋体"/>
          <w:color w:val="000000"/>
          <w:spacing w:val="6"/>
          <w:sz w:val="20"/>
          <w:szCs w:val="20"/>
        </w:rPr>
      </w:pPr>
      <w:r>
        <w:rPr>
          <w:rFonts w:hint="eastAsia" w:ascii="宋体" w:hAnsi="宋体" w:eastAsia="宋体" w:cs="宋体"/>
          <w:color w:val="000000"/>
          <w:kern w:val="0"/>
          <w:sz w:val="20"/>
          <w:szCs w:val="20"/>
        </w:rPr>
        <w:t xml:space="preserve">  C.法定代表人或负责人或实际控制人是直系血亲关系</w:t>
      </w:r>
    </w:p>
    <w:p w14:paraId="0612D44E">
      <w:pPr>
        <w:pStyle w:val="187"/>
        <w:widowControl w:val="0"/>
        <w:snapToGrid w:val="0"/>
        <w:spacing w:line="360" w:lineRule="auto"/>
        <w:jc w:val="both"/>
        <w:rPr>
          <w:rFonts w:hint="eastAsia" w:ascii="宋体" w:hAnsi="宋体" w:eastAsia="宋体" w:cs="宋体"/>
          <w:color w:val="000000"/>
          <w:spacing w:val="6"/>
          <w:sz w:val="20"/>
          <w:szCs w:val="20"/>
        </w:rPr>
      </w:pPr>
      <w:r>
        <w:rPr>
          <w:rFonts w:hint="eastAsia" w:ascii="宋体" w:hAnsi="宋体" w:eastAsia="宋体" w:cs="宋体"/>
          <w:color w:val="000000"/>
          <w:kern w:val="0"/>
          <w:sz w:val="20"/>
          <w:szCs w:val="20"/>
        </w:rPr>
        <w:t xml:space="preserve">  D.法定代表人或负责人或实际控制人存在三代以内旁系血亲关系</w:t>
      </w:r>
    </w:p>
    <w:p w14:paraId="38B7D16F">
      <w:pPr>
        <w:pStyle w:val="187"/>
        <w:widowControl w:val="0"/>
        <w:snapToGrid w:val="0"/>
        <w:spacing w:line="360" w:lineRule="auto"/>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E.法定代表人或负责人或实际控制人存在近姻亲关系</w:t>
      </w:r>
    </w:p>
    <w:p w14:paraId="7BFF4513">
      <w:pPr>
        <w:pStyle w:val="187"/>
        <w:widowControl w:val="0"/>
        <w:snapToGrid w:val="0"/>
        <w:spacing w:line="360" w:lineRule="auto"/>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F.法定代表人或负责人或实际控制人存在股份控制或实际控制关系</w:t>
      </w:r>
    </w:p>
    <w:p w14:paraId="28CE8C05">
      <w:pPr>
        <w:pStyle w:val="187"/>
        <w:widowControl w:val="0"/>
        <w:snapToGrid w:val="0"/>
        <w:spacing w:line="360" w:lineRule="auto"/>
        <w:jc w:val="both"/>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bookmarkStart w:id="36" w:name="_Toc16682"/>
      <w:bookmarkStart w:id="37" w:name="_Toc26583"/>
      <w:r>
        <w:rPr>
          <w:rFonts w:hint="eastAsia" w:ascii="宋体" w:hAnsi="宋体" w:eastAsia="宋体" w:cs="宋体"/>
          <w:color w:val="000000"/>
          <w:kern w:val="0"/>
          <w:sz w:val="20"/>
          <w:szCs w:val="20"/>
        </w:rPr>
        <w:t>G.存在共同直接或间接投资设立子公司、联营企业和合营企业情况</w:t>
      </w:r>
      <w:bookmarkEnd w:id="36"/>
      <w:bookmarkEnd w:id="37"/>
    </w:p>
    <w:p w14:paraId="0FC0ED5C">
      <w:pPr>
        <w:pStyle w:val="187"/>
        <w:widowControl w:val="0"/>
        <w:snapToGrid w:val="0"/>
        <w:spacing w:line="360" w:lineRule="auto"/>
        <w:jc w:val="both"/>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  H.存在分级代理或代销关系、</w:t>
      </w:r>
      <w:r>
        <w:rPr>
          <w:rFonts w:hint="eastAsia" w:ascii="宋体" w:hAnsi="宋体" w:eastAsia="宋体" w:cs="宋体"/>
          <w:color w:val="000000"/>
          <w:kern w:val="0"/>
          <w:sz w:val="20"/>
          <w:szCs w:val="20"/>
          <w:lang w:eastAsia="zh-CN"/>
        </w:rPr>
        <w:t>同一生产制造商关系、</w:t>
      </w:r>
      <w:r>
        <w:rPr>
          <w:rFonts w:hint="eastAsia" w:ascii="宋体" w:hAnsi="宋体" w:eastAsia="宋体" w:cs="宋体"/>
          <w:color w:val="000000"/>
          <w:sz w:val="20"/>
          <w:szCs w:val="20"/>
        </w:rPr>
        <w:t>管理关系、重要业务（占主营业务收入50%以上）或重要财务往来关系（如融资）等其他实质性控制关系</w:t>
      </w:r>
    </w:p>
    <w:p w14:paraId="20DC751F">
      <w:pPr>
        <w:pStyle w:val="187"/>
        <w:widowControl w:val="0"/>
        <w:snapToGrid w:val="0"/>
        <w:spacing w:line="360" w:lineRule="auto"/>
        <w:ind w:firstLine="400" w:firstLineChars="200"/>
        <w:jc w:val="both"/>
        <w:outlineLvl w:val="9"/>
        <w:rPr>
          <w:rFonts w:hint="eastAsia" w:ascii="宋体" w:hAnsi="宋体" w:eastAsia="宋体" w:cs="宋体"/>
          <w:color w:val="000000"/>
          <w:spacing w:val="6"/>
          <w:sz w:val="20"/>
          <w:szCs w:val="20"/>
        </w:rPr>
      </w:pPr>
      <w:bookmarkStart w:id="38" w:name="_Toc8615"/>
      <w:bookmarkStart w:id="39" w:name="_Toc12789"/>
      <w:r>
        <w:rPr>
          <w:rFonts w:hint="eastAsia" w:ascii="宋体" w:hAnsi="宋体" w:eastAsia="宋体" w:cs="宋体"/>
          <w:color w:val="000000"/>
          <w:sz w:val="20"/>
          <w:szCs w:val="20"/>
        </w:rPr>
        <w:t>I</w:t>
      </w:r>
      <w:r>
        <w:rPr>
          <w:rFonts w:hint="eastAsia" w:ascii="宋体" w:hAnsi="宋体" w:eastAsia="宋体" w:cs="宋体"/>
          <w:color w:val="000000"/>
          <w:kern w:val="0"/>
          <w:sz w:val="20"/>
          <w:szCs w:val="20"/>
        </w:rPr>
        <w:t>.</w:t>
      </w:r>
      <w:r>
        <w:rPr>
          <w:rFonts w:hint="eastAsia" w:ascii="宋体" w:hAnsi="宋体" w:eastAsia="宋体" w:cs="宋体"/>
          <w:color w:val="000000"/>
          <w:sz w:val="20"/>
          <w:szCs w:val="20"/>
        </w:rPr>
        <w:t>其他利害关系情况</w:t>
      </w:r>
      <w:r>
        <w:rPr>
          <w:rFonts w:hint="eastAsia" w:ascii="宋体" w:hAnsi="宋体" w:eastAsia="宋体" w:cs="宋体"/>
          <w:color w:val="000000"/>
          <w:sz w:val="20"/>
          <w:szCs w:val="20"/>
          <w:u w:val="single"/>
        </w:rPr>
        <w:t xml:space="preserve">        </w:t>
      </w:r>
      <w:r>
        <w:rPr>
          <w:rFonts w:hint="eastAsia" w:ascii="宋体" w:hAnsi="宋体" w:eastAsia="宋体" w:cs="宋体"/>
          <w:color w:val="000000"/>
          <w:sz w:val="20"/>
          <w:szCs w:val="20"/>
          <w:u w:val="single"/>
          <w:lang w:val="en-US" w:eastAsia="zh-CN"/>
        </w:rPr>
        <w:t xml:space="preserve">                            </w:t>
      </w:r>
      <w:r>
        <w:rPr>
          <w:rFonts w:hint="eastAsia" w:ascii="宋体" w:hAnsi="宋体" w:eastAsia="宋体" w:cs="宋体"/>
          <w:color w:val="000000"/>
          <w:sz w:val="20"/>
          <w:szCs w:val="20"/>
          <w:u w:val="single"/>
        </w:rPr>
        <w:t xml:space="preserve">        </w:t>
      </w:r>
      <w:r>
        <w:rPr>
          <w:rFonts w:hint="eastAsia" w:ascii="宋体" w:hAnsi="宋体" w:eastAsia="宋体" w:cs="宋体"/>
          <w:color w:val="000000"/>
          <w:sz w:val="20"/>
          <w:szCs w:val="20"/>
          <w:u w:val="single"/>
          <w:lang w:val="en-US" w:eastAsia="zh-CN"/>
        </w:rPr>
        <w:t xml:space="preserve">          </w:t>
      </w:r>
      <w:r>
        <w:rPr>
          <w:rFonts w:hint="eastAsia" w:ascii="宋体" w:hAnsi="宋体" w:eastAsia="宋体" w:cs="宋体"/>
          <w:color w:val="000000"/>
          <w:kern w:val="0"/>
          <w:sz w:val="20"/>
          <w:szCs w:val="20"/>
        </w:rPr>
        <w:t>。</w:t>
      </w:r>
      <w:bookmarkEnd w:id="38"/>
      <w:bookmarkEnd w:id="39"/>
    </w:p>
    <w:p w14:paraId="6199A758">
      <w:pPr>
        <w:pStyle w:val="188"/>
        <w:widowControl/>
        <w:numPr>
          <w:ilvl w:val="0"/>
          <w:numId w:val="5"/>
        </w:numPr>
        <w:snapToGrid w:val="0"/>
        <w:spacing w:line="360" w:lineRule="auto"/>
        <w:ind w:firstLine="378" w:firstLineChars="189"/>
        <w:rPr>
          <w:rFonts w:hint="eastAsia" w:ascii="宋体" w:hAnsi="宋体" w:eastAsia="宋体" w:cs="宋体"/>
          <w:color w:val="000000"/>
          <w:kern w:val="0"/>
          <w:sz w:val="20"/>
          <w:szCs w:val="20"/>
        </w:rPr>
      </w:pPr>
      <w:r>
        <w:rPr>
          <w:rFonts w:hint="eastAsia" w:ascii="宋体" w:hAnsi="宋体" w:eastAsia="宋体" w:cs="宋体"/>
          <w:color w:val="000000"/>
          <w:sz w:val="20"/>
          <w:szCs w:val="20"/>
        </w:rPr>
        <w:t>现已清楚知道并</w:t>
      </w:r>
      <w:r>
        <w:rPr>
          <w:rFonts w:hint="eastAsia" w:ascii="宋体" w:hAnsi="宋体" w:eastAsia="宋体" w:cs="宋体"/>
          <w:color w:val="000000"/>
          <w:kern w:val="0"/>
          <w:sz w:val="20"/>
          <w:szCs w:val="20"/>
        </w:rPr>
        <w:t>严格遵守政府采购法律法规和现场纪律。</w:t>
      </w:r>
    </w:p>
    <w:p w14:paraId="06AB1D34">
      <w:pPr>
        <w:pStyle w:val="188"/>
        <w:widowControl/>
        <w:numPr>
          <w:ilvl w:val="0"/>
          <w:numId w:val="5"/>
        </w:numPr>
        <w:snapToGrid w:val="0"/>
        <w:spacing w:line="360" w:lineRule="auto"/>
        <w:ind w:firstLine="378" w:firstLineChars="189"/>
        <w:rPr>
          <w:rFonts w:hint="default" w:ascii="仿宋" w:hAnsi="仿宋"/>
          <w:color w:val="000000"/>
          <w:sz w:val="20"/>
          <w:szCs w:val="20"/>
        </w:rPr>
      </w:pPr>
      <w:r>
        <w:rPr>
          <w:rFonts w:hint="eastAsia" w:ascii="宋体" w:hAnsi="宋体" w:eastAsia="宋体" w:cs="宋体"/>
          <w:color w:val="000000"/>
          <w:kern w:val="0"/>
          <w:sz w:val="20"/>
          <w:szCs w:val="20"/>
          <w:u w:val="none" w:color="auto"/>
          <w:lang w:val="en-US" w:eastAsia="zh-CN"/>
        </w:rPr>
        <w:t>我发现</w:t>
      </w:r>
      <w:r>
        <w:rPr>
          <w:rFonts w:hint="eastAsia" w:ascii="宋体" w:hAnsi="宋体" w:eastAsia="宋体" w:cs="宋体"/>
          <w:color w:val="000000"/>
          <w:kern w:val="0"/>
          <w:sz w:val="20"/>
          <w:szCs w:val="20"/>
          <w:u w:val="single" w:color="auto"/>
          <w:lang w:val="en-US" w:eastAsia="zh-CN"/>
        </w:rPr>
        <w:t xml:space="preserve">                                                                   </w:t>
      </w:r>
      <w:r>
        <w:rPr>
          <w:rFonts w:hint="eastAsia" w:ascii="宋体" w:hAnsi="宋体" w:eastAsia="宋体" w:cs="宋体"/>
          <w:color w:val="000000"/>
          <w:kern w:val="0"/>
          <w:sz w:val="20"/>
          <w:szCs w:val="20"/>
          <w:u w:val="none" w:color="auto"/>
          <w:lang w:val="en-US" w:eastAsia="zh-CN"/>
        </w:rPr>
        <w:t>供应商之间存在或可能存在上述第二条第</w:t>
      </w:r>
      <w:r>
        <w:rPr>
          <w:rFonts w:hint="eastAsia" w:ascii="宋体" w:hAnsi="宋体" w:eastAsia="宋体" w:cs="宋体"/>
          <w:color w:val="000000"/>
          <w:kern w:val="0"/>
          <w:sz w:val="20"/>
          <w:szCs w:val="20"/>
          <w:u w:val="single" w:color="auto"/>
          <w:lang w:val="en-US" w:eastAsia="zh-CN"/>
        </w:rPr>
        <w:t xml:space="preserve">        </w:t>
      </w:r>
      <w:r>
        <w:rPr>
          <w:rFonts w:hint="eastAsia" w:ascii="宋体" w:hAnsi="宋体" w:eastAsia="宋体" w:cs="宋体"/>
          <w:color w:val="000000"/>
          <w:kern w:val="0"/>
          <w:sz w:val="20"/>
          <w:szCs w:val="20"/>
          <w:u w:val="none" w:color="auto"/>
          <w:lang w:val="en-US" w:eastAsia="zh-CN"/>
        </w:rPr>
        <w:t>项利害关系。</w:t>
      </w:r>
    </w:p>
    <w:p w14:paraId="328768D5">
      <w:pPr>
        <w:pStyle w:val="187"/>
        <w:widowControl w:val="0"/>
        <w:snapToGrid w:val="0"/>
        <w:spacing w:line="360" w:lineRule="auto"/>
        <w:ind w:firstLine="400" w:firstLineChars="200"/>
        <w:jc w:val="both"/>
        <w:rPr>
          <w:rFonts w:hint="eastAsia" w:ascii="仿宋" w:hAnsi="仿宋"/>
          <w:color w:val="000000"/>
          <w:sz w:val="20"/>
          <w:szCs w:val="20"/>
          <w:lang w:val="en-US" w:eastAsia="zh-CN"/>
        </w:rPr>
      </w:pPr>
      <w:r>
        <w:rPr>
          <w:rFonts w:ascii="仿宋" w:hAnsi="仿宋"/>
          <w:color w:val="000000"/>
          <w:sz w:val="20"/>
          <w:szCs w:val="20"/>
        </w:rPr>
        <w:t xml:space="preserve">                    </w:t>
      </w:r>
      <w:r>
        <w:rPr>
          <w:rFonts w:hint="eastAsia" w:ascii="仿宋" w:hAnsi="仿宋"/>
          <w:color w:val="000000"/>
          <w:sz w:val="20"/>
          <w:szCs w:val="20"/>
          <w:lang w:val="en-US" w:eastAsia="zh-CN"/>
        </w:rPr>
        <w:t xml:space="preserve">                  </w:t>
      </w:r>
    </w:p>
    <w:p w14:paraId="25F6F065">
      <w:pPr>
        <w:pStyle w:val="187"/>
        <w:widowControl w:val="0"/>
        <w:snapToGrid w:val="0"/>
        <w:spacing w:line="360" w:lineRule="auto"/>
        <w:ind w:firstLine="3200" w:firstLineChars="1600"/>
        <w:jc w:val="both"/>
        <w:rPr>
          <w:rFonts w:hint="default" w:ascii="仿宋" w:hAnsi="仿宋"/>
          <w:color w:val="000000"/>
          <w:sz w:val="20"/>
          <w:szCs w:val="20"/>
        </w:rPr>
      </w:pPr>
      <w:r>
        <w:rPr>
          <w:rFonts w:hint="eastAsia" w:ascii="仿宋" w:hAnsi="仿宋"/>
          <w:color w:val="000000"/>
          <w:sz w:val="20"/>
          <w:szCs w:val="20"/>
          <w:lang w:val="en-US" w:eastAsia="zh-CN"/>
        </w:rPr>
        <w:t xml:space="preserve"> </w:t>
      </w:r>
      <w:r>
        <w:rPr>
          <w:rFonts w:ascii="仿宋" w:hAnsi="仿宋"/>
          <w:color w:val="000000"/>
          <w:sz w:val="20"/>
          <w:szCs w:val="20"/>
        </w:rPr>
        <w:t>供应商代表</w:t>
      </w:r>
      <w:r>
        <w:rPr>
          <w:rFonts w:hint="eastAsia" w:ascii="仿宋" w:hAnsi="仿宋"/>
          <w:color w:val="000000"/>
          <w:sz w:val="20"/>
          <w:szCs w:val="20"/>
          <w:lang w:eastAsia="zh-CN"/>
        </w:rPr>
        <w:t>（</w:t>
      </w:r>
      <w:r>
        <w:rPr>
          <w:rFonts w:ascii="仿宋" w:hAnsi="仿宋"/>
          <w:color w:val="000000"/>
          <w:sz w:val="20"/>
          <w:szCs w:val="20"/>
        </w:rPr>
        <w:t>签名</w:t>
      </w:r>
      <w:r>
        <w:rPr>
          <w:rFonts w:hint="eastAsia" w:ascii="仿宋" w:hAnsi="仿宋"/>
          <w:color w:val="000000"/>
          <w:sz w:val="20"/>
          <w:szCs w:val="20"/>
          <w:lang w:eastAsia="zh-CN"/>
        </w:rPr>
        <w:t>）：</w:t>
      </w:r>
    </w:p>
    <w:p w14:paraId="60BFBC6A">
      <w:pPr>
        <w:pStyle w:val="187"/>
        <w:widowControl w:val="0"/>
        <w:snapToGrid w:val="0"/>
        <w:spacing w:line="360" w:lineRule="auto"/>
        <w:ind w:firstLine="400" w:firstLineChars="200"/>
        <w:jc w:val="both"/>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 xml:space="preserve">  年  </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 xml:space="preserve">月 </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 xml:space="preserve"> 日</w:t>
      </w:r>
    </w:p>
    <w:p w14:paraId="148F40DB">
      <w:pPr>
        <w:tabs>
          <w:tab w:val="left" w:pos="432"/>
        </w:tabs>
        <w:spacing w:before="0" w:after="0"/>
        <w:jc w:val="left"/>
        <w:outlineLvl w:val="9"/>
        <w:rPr>
          <w:rStyle w:val="45"/>
          <w:rFonts w:hint="eastAsia" w:ascii="宋体" w:hAnsi="宋体" w:eastAsia="宋体" w:cs="宋体"/>
          <w:i w:val="0"/>
          <w:iCs w:val="0"/>
          <w:kern w:val="0"/>
          <w:sz w:val="24"/>
          <w:szCs w:val="24"/>
        </w:rPr>
      </w:pPr>
      <w:r>
        <w:rPr>
          <w:rFonts w:hint="eastAsia" w:ascii="宋体" w:hAnsi="宋体" w:eastAsia="宋体" w:cs="宋体"/>
          <w:i w:val="0"/>
          <w:iCs w:val="0"/>
          <w:color w:val="000000"/>
          <w:kern w:val="0"/>
          <w:sz w:val="24"/>
          <w:szCs w:val="24"/>
        </w:rPr>
        <w:t>注：投标供应商应于投标文件解密完成后，将政府采购活动现场确认声明书签字扫描发送至代理机构邮箱：</w:t>
      </w:r>
      <w:r>
        <w:rPr>
          <w:rFonts w:hint="eastAsia" w:ascii="宋体" w:hAnsi="宋体" w:eastAsia="宋体" w:cs="宋体"/>
          <w:i w:val="0"/>
          <w:iCs w:val="0"/>
          <w:color w:val="000000"/>
          <w:kern w:val="0"/>
          <w:sz w:val="24"/>
          <w:szCs w:val="24"/>
          <w:lang w:eastAsia="zh-CN"/>
        </w:rPr>
        <w:fldChar w:fldCharType="begin"/>
      </w:r>
      <w:r>
        <w:rPr>
          <w:rFonts w:hint="eastAsia" w:ascii="宋体" w:hAnsi="宋体" w:eastAsia="宋体" w:cs="宋体"/>
          <w:i w:val="0"/>
          <w:iCs w:val="0"/>
          <w:color w:val="000000"/>
          <w:kern w:val="0"/>
          <w:sz w:val="24"/>
          <w:szCs w:val="24"/>
          <w:lang w:eastAsia="zh-CN"/>
        </w:rPr>
        <w:instrText xml:space="preserve"> HYPERLINK "mailto:297392427@qq.com。" </w:instrText>
      </w:r>
      <w:r>
        <w:rPr>
          <w:rFonts w:hint="eastAsia" w:ascii="宋体" w:hAnsi="宋体" w:eastAsia="宋体" w:cs="宋体"/>
          <w:i w:val="0"/>
          <w:iCs w:val="0"/>
          <w:color w:val="000000"/>
          <w:kern w:val="0"/>
          <w:sz w:val="24"/>
          <w:szCs w:val="24"/>
          <w:lang w:eastAsia="zh-CN"/>
        </w:rPr>
        <w:fldChar w:fldCharType="separate"/>
      </w:r>
      <w:r>
        <w:rPr>
          <w:rStyle w:val="45"/>
          <w:rFonts w:hint="eastAsia" w:ascii="宋体" w:hAnsi="宋体" w:eastAsia="宋体" w:cs="宋体"/>
          <w:i w:val="0"/>
          <w:iCs w:val="0"/>
          <w:kern w:val="0"/>
          <w:sz w:val="24"/>
          <w:szCs w:val="24"/>
          <w:lang w:eastAsia="zh-CN"/>
        </w:rPr>
        <w:t>297392427@qq.com</w:t>
      </w:r>
      <w:r>
        <w:rPr>
          <w:rStyle w:val="45"/>
          <w:rFonts w:hint="eastAsia" w:ascii="宋体" w:hAnsi="宋体" w:eastAsia="宋体" w:cs="宋体"/>
          <w:i w:val="0"/>
          <w:iCs w:val="0"/>
          <w:kern w:val="0"/>
          <w:sz w:val="24"/>
          <w:szCs w:val="24"/>
        </w:rPr>
        <w:t>。</w:t>
      </w:r>
    </w:p>
    <w:p w14:paraId="512CBC99">
      <w:pPr>
        <w:tabs>
          <w:tab w:val="left" w:pos="4860"/>
        </w:tabs>
        <w:snapToGrid w:val="0"/>
        <w:spacing w:line="360" w:lineRule="auto"/>
        <w:ind w:right="1560" w:firstLine="480" w:firstLineChars="200"/>
        <w:jc w:val="left"/>
        <w:rPr>
          <w:rFonts w:hint="eastAsia" w:ascii="仿宋" w:hAnsi="仿宋" w:eastAsia="仿宋" w:cs="仿宋"/>
          <w:color w:val="000000"/>
          <w:sz w:val="24"/>
        </w:rPr>
      </w:pPr>
      <w:r>
        <w:rPr>
          <w:rFonts w:hint="eastAsia" w:ascii="宋体" w:hAnsi="宋体" w:eastAsia="宋体" w:cs="宋体"/>
          <w:i w:val="0"/>
          <w:iCs w:val="0"/>
          <w:color w:val="000000"/>
          <w:kern w:val="0"/>
          <w:sz w:val="24"/>
          <w:szCs w:val="24"/>
          <w:lang w:eastAsia="zh-CN"/>
        </w:rPr>
        <w:fldChar w:fldCharType="end"/>
      </w:r>
    </w:p>
    <w:p w14:paraId="28B83E6B">
      <w:pPr>
        <w:pStyle w:val="6"/>
        <w:rPr>
          <w:rFonts w:hint="eastAsia" w:ascii="宋体" w:hAnsi="宋体" w:eastAsia="宋体" w:cs="宋体"/>
          <w:color w:val="auto"/>
          <w:highlight w:val="none"/>
        </w:rPr>
      </w:pPr>
      <w:r>
        <w:rPr>
          <w:rFonts w:hint="eastAsia" w:ascii="仿宋" w:hAnsi="仿宋" w:eastAsia="仿宋" w:cs="仿宋"/>
          <w:color w:val="000000"/>
          <w:sz w:val="24"/>
        </w:rPr>
        <w:br w:type="page"/>
      </w:r>
      <w:bookmarkStart w:id="40" w:name="_Toc7988414"/>
      <w:bookmarkStart w:id="41" w:name="_Toc424164168"/>
      <w:bookmarkStart w:id="42" w:name="_Toc8008423"/>
      <w:bookmarkStart w:id="43" w:name="_Toc7988468"/>
      <w:bookmarkStart w:id="44" w:name="_Toc24550050"/>
      <w:bookmarkStart w:id="45" w:name="_Toc440162800"/>
      <w:bookmarkStart w:id="46" w:name="_Toc30408915"/>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《商务技术文件》</w:t>
      </w:r>
      <w:r>
        <w:rPr>
          <w:rFonts w:hint="eastAsia" w:ascii="宋体" w:hAnsi="宋体" w:eastAsia="宋体" w:cs="宋体"/>
          <w:b/>
          <w:bCs/>
          <w:color w:val="auto"/>
          <w:highlight w:val="none"/>
        </w:rPr>
        <w:t>格式</w:t>
      </w:r>
      <w:bookmarkEnd w:id="40"/>
      <w:bookmarkEnd w:id="41"/>
      <w:bookmarkEnd w:id="42"/>
      <w:bookmarkEnd w:id="43"/>
      <w:bookmarkEnd w:id="44"/>
      <w:bookmarkEnd w:id="45"/>
      <w:bookmarkEnd w:id="46"/>
    </w:p>
    <w:p w14:paraId="3F5DD1D5">
      <w:pPr>
        <w:pStyle w:val="7"/>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商务技术文件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封面</w:t>
      </w:r>
    </w:p>
    <w:p w14:paraId="39130EA6">
      <w:pPr>
        <w:spacing w:line="360" w:lineRule="auto"/>
        <w:jc w:val="right"/>
        <w:rPr>
          <w:rFonts w:hint="eastAsia"/>
          <w:b/>
          <w:color w:val="auto"/>
          <w:sz w:val="32"/>
          <w:szCs w:val="22"/>
          <w:highlight w:val="none"/>
        </w:rPr>
      </w:pPr>
    </w:p>
    <w:p w14:paraId="13A86434">
      <w:pPr>
        <w:spacing w:line="276" w:lineRule="auto"/>
        <w:jc w:val="center"/>
        <w:rPr>
          <w:rFonts w:hint="eastAsia" w:eastAsia="宋体"/>
          <w:b/>
          <w:color w:val="auto"/>
          <w:w w:val="90"/>
          <w:sz w:val="220"/>
          <w:szCs w:val="22"/>
          <w:highlight w:val="none"/>
          <w:lang w:eastAsia="zh-CN"/>
        </w:rPr>
      </w:pPr>
      <w:r>
        <w:rPr>
          <w:rFonts w:hint="eastAsia"/>
          <w:b/>
          <w:color w:val="auto"/>
          <w:w w:val="90"/>
          <w:sz w:val="44"/>
          <w:szCs w:val="22"/>
          <w:highlight w:val="none"/>
          <w:lang w:eastAsia="zh-CN"/>
        </w:rPr>
        <w:t>苍南县灵溪镇2026年度除四害消杀服务采购项目</w:t>
      </w:r>
    </w:p>
    <w:p w14:paraId="20F45140">
      <w:pPr>
        <w:spacing w:line="360" w:lineRule="auto"/>
        <w:jc w:val="center"/>
        <w:rPr>
          <w:rFonts w:hint="eastAsia"/>
          <w:b/>
          <w:color w:val="auto"/>
          <w:sz w:val="52"/>
          <w:szCs w:val="22"/>
          <w:highlight w:val="none"/>
        </w:rPr>
      </w:pPr>
    </w:p>
    <w:p w14:paraId="68D482B0">
      <w:pPr>
        <w:spacing w:line="276" w:lineRule="auto"/>
        <w:jc w:val="center"/>
        <w:rPr>
          <w:rFonts w:hint="eastAsia"/>
          <w:color w:val="auto"/>
          <w:sz w:val="96"/>
          <w:szCs w:val="22"/>
          <w:highlight w:val="none"/>
        </w:rPr>
      </w:pPr>
      <w:r>
        <w:rPr>
          <w:rFonts w:hint="eastAsia"/>
          <w:color w:val="auto"/>
          <w:sz w:val="96"/>
          <w:szCs w:val="22"/>
          <w:highlight w:val="none"/>
        </w:rPr>
        <w:t>投 标 文 件</w:t>
      </w:r>
    </w:p>
    <w:p w14:paraId="47842AD8">
      <w:pPr>
        <w:spacing w:line="360" w:lineRule="auto"/>
        <w:jc w:val="center"/>
        <w:rPr>
          <w:rFonts w:hint="eastAsia"/>
          <w:b/>
          <w:color w:val="auto"/>
          <w:sz w:val="52"/>
          <w:szCs w:val="22"/>
          <w:highlight w:val="none"/>
        </w:rPr>
      </w:pPr>
      <w:r>
        <w:rPr>
          <w:rFonts w:hint="eastAsia"/>
          <w:b/>
          <w:color w:val="auto"/>
          <w:sz w:val="52"/>
          <w:szCs w:val="22"/>
          <w:highlight w:val="none"/>
        </w:rPr>
        <w:t>（商务技术文件）</w:t>
      </w:r>
    </w:p>
    <w:p w14:paraId="6B56AA58">
      <w:pPr>
        <w:spacing w:line="360" w:lineRule="auto"/>
        <w:jc w:val="center"/>
        <w:rPr>
          <w:rFonts w:hint="eastAsia"/>
          <w:b/>
          <w:color w:val="auto"/>
          <w:sz w:val="52"/>
          <w:szCs w:val="22"/>
          <w:highlight w:val="none"/>
        </w:rPr>
      </w:pPr>
    </w:p>
    <w:tbl>
      <w:tblPr>
        <w:tblStyle w:val="38"/>
        <w:tblW w:w="0" w:type="auto"/>
        <w:tblInd w:w="250" w:type="dxa"/>
        <w:tblLayout w:type="fixed"/>
        <w:tblCellMar>
          <w:top w:w="0" w:type="dxa"/>
          <w:left w:w="108" w:type="dxa"/>
          <w:bottom w:w="0" w:type="dxa"/>
          <w:right w:w="108" w:type="dxa"/>
        </w:tblCellMar>
      </w:tblPr>
      <w:tblGrid>
        <w:gridCol w:w="8789"/>
      </w:tblGrid>
      <w:tr w14:paraId="22B523A5">
        <w:tblPrEx>
          <w:tblCellMar>
            <w:top w:w="0" w:type="dxa"/>
            <w:left w:w="108" w:type="dxa"/>
            <w:bottom w:w="0" w:type="dxa"/>
            <w:right w:w="108" w:type="dxa"/>
          </w:tblCellMar>
        </w:tblPrEx>
        <w:trPr>
          <w:trHeight w:val="680" w:hRule="atLeast"/>
        </w:trPr>
        <w:tc>
          <w:tcPr>
            <w:tcW w:w="8789" w:type="dxa"/>
            <w:noWrap w:val="0"/>
            <w:vAlign w:val="center"/>
          </w:tcPr>
          <w:p w14:paraId="4F06978D">
            <w:pPr>
              <w:rPr>
                <w:rFonts w:hint="eastAsia"/>
                <w:b/>
                <w:color w:val="auto"/>
                <w:sz w:val="28"/>
                <w:szCs w:val="28"/>
                <w:highlight w:val="none"/>
              </w:rPr>
            </w:pPr>
            <w:r>
              <w:rPr>
                <w:rFonts w:hint="eastAsia"/>
                <w:b/>
                <w:color w:val="auto"/>
                <w:sz w:val="28"/>
                <w:szCs w:val="28"/>
                <w:highlight w:val="none"/>
              </w:rPr>
              <w:t>项目编号：</w:t>
            </w:r>
            <w:r>
              <w:rPr>
                <w:rFonts w:hint="eastAsia"/>
                <w:b/>
                <w:color w:val="auto"/>
                <w:w w:val="90"/>
                <w:sz w:val="28"/>
                <w:szCs w:val="28"/>
                <w:highlight w:val="none"/>
              </w:rPr>
              <w:t>________________________________________________</w:t>
            </w:r>
          </w:p>
        </w:tc>
      </w:tr>
      <w:tr w14:paraId="7E5DC008">
        <w:tblPrEx>
          <w:tblCellMar>
            <w:top w:w="0" w:type="dxa"/>
            <w:left w:w="108" w:type="dxa"/>
            <w:bottom w:w="0" w:type="dxa"/>
            <w:right w:w="108" w:type="dxa"/>
          </w:tblCellMar>
        </w:tblPrEx>
        <w:trPr>
          <w:trHeight w:val="680" w:hRule="atLeast"/>
        </w:trPr>
        <w:tc>
          <w:tcPr>
            <w:tcW w:w="8789" w:type="dxa"/>
            <w:noWrap w:val="0"/>
            <w:vAlign w:val="center"/>
          </w:tcPr>
          <w:p w14:paraId="62E7CAF9">
            <w:pPr>
              <w:rPr>
                <w:rFonts w:hint="eastAsia"/>
                <w:b/>
                <w:color w:val="auto"/>
                <w:sz w:val="28"/>
                <w:szCs w:val="28"/>
                <w:highlight w:val="none"/>
              </w:rPr>
            </w:pPr>
            <w:r>
              <w:rPr>
                <w:rFonts w:hint="eastAsia"/>
                <w:b/>
                <w:color w:val="auto"/>
                <w:sz w:val="28"/>
                <w:szCs w:val="28"/>
                <w:highlight w:val="none"/>
              </w:rPr>
              <w:t>供应商名称（盖章）：</w:t>
            </w:r>
            <w:r>
              <w:rPr>
                <w:rFonts w:hint="eastAsia"/>
                <w:b/>
                <w:color w:val="auto"/>
                <w:w w:val="90"/>
                <w:sz w:val="28"/>
                <w:szCs w:val="28"/>
                <w:highlight w:val="none"/>
              </w:rPr>
              <w:t>_______________________________________</w:t>
            </w:r>
          </w:p>
        </w:tc>
      </w:tr>
      <w:tr w14:paraId="1EB02723">
        <w:tblPrEx>
          <w:tblCellMar>
            <w:top w:w="0" w:type="dxa"/>
            <w:left w:w="108" w:type="dxa"/>
            <w:bottom w:w="0" w:type="dxa"/>
            <w:right w:w="108" w:type="dxa"/>
          </w:tblCellMar>
        </w:tblPrEx>
        <w:trPr>
          <w:trHeight w:val="680" w:hRule="atLeast"/>
        </w:trPr>
        <w:tc>
          <w:tcPr>
            <w:tcW w:w="8789" w:type="dxa"/>
            <w:noWrap w:val="0"/>
            <w:vAlign w:val="center"/>
          </w:tcPr>
          <w:p w14:paraId="02F9C36B">
            <w:pPr>
              <w:rPr>
                <w:rFonts w:hint="eastAsia"/>
                <w:b/>
                <w:color w:val="auto"/>
                <w:sz w:val="28"/>
                <w:szCs w:val="28"/>
                <w:highlight w:val="none"/>
              </w:rPr>
            </w:pPr>
            <w:r>
              <w:rPr>
                <w:rFonts w:hint="eastAsia"/>
                <w:b/>
                <w:color w:val="auto"/>
                <w:sz w:val="28"/>
                <w:szCs w:val="28"/>
                <w:highlight w:val="none"/>
              </w:rPr>
              <w:t>供应商地址：</w:t>
            </w:r>
            <w:r>
              <w:rPr>
                <w:rFonts w:hint="eastAsia"/>
                <w:b/>
                <w:color w:val="auto"/>
                <w:w w:val="90"/>
                <w:sz w:val="28"/>
                <w:szCs w:val="28"/>
                <w:highlight w:val="none"/>
              </w:rPr>
              <w:t>_______________________________________________</w:t>
            </w:r>
          </w:p>
        </w:tc>
      </w:tr>
      <w:tr w14:paraId="3F97B33A">
        <w:tblPrEx>
          <w:tblCellMar>
            <w:top w:w="0" w:type="dxa"/>
            <w:left w:w="108" w:type="dxa"/>
            <w:bottom w:w="0" w:type="dxa"/>
            <w:right w:w="108" w:type="dxa"/>
          </w:tblCellMar>
        </w:tblPrEx>
        <w:trPr>
          <w:trHeight w:val="680" w:hRule="atLeast"/>
        </w:trPr>
        <w:tc>
          <w:tcPr>
            <w:tcW w:w="8789" w:type="dxa"/>
            <w:noWrap w:val="0"/>
            <w:vAlign w:val="center"/>
          </w:tcPr>
          <w:p w14:paraId="704613E6">
            <w:pPr>
              <w:rPr>
                <w:rFonts w:hint="eastAsia"/>
                <w:b/>
                <w:color w:val="auto"/>
                <w:sz w:val="28"/>
                <w:szCs w:val="28"/>
                <w:highlight w:val="none"/>
              </w:rPr>
            </w:pPr>
            <w:r>
              <w:rPr>
                <w:rFonts w:hint="eastAsia"/>
                <w:b/>
                <w:color w:val="auto"/>
                <w:sz w:val="28"/>
                <w:szCs w:val="28"/>
                <w:highlight w:val="none"/>
              </w:rPr>
              <w:t>法定代表人或其授权代表（签字或盖章）：</w:t>
            </w:r>
            <w:r>
              <w:rPr>
                <w:rFonts w:hint="eastAsia"/>
                <w:b/>
                <w:color w:val="auto"/>
                <w:w w:val="90"/>
                <w:sz w:val="28"/>
                <w:szCs w:val="28"/>
                <w:highlight w:val="none"/>
              </w:rPr>
              <w:t>________________________</w:t>
            </w:r>
          </w:p>
        </w:tc>
      </w:tr>
      <w:tr w14:paraId="68AA4E91">
        <w:tblPrEx>
          <w:tblCellMar>
            <w:top w:w="0" w:type="dxa"/>
            <w:left w:w="108" w:type="dxa"/>
            <w:bottom w:w="0" w:type="dxa"/>
            <w:right w:w="108" w:type="dxa"/>
          </w:tblCellMar>
        </w:tblPrEx>
        <w:trPr>
          <w:trHeight w:val="680" w:hRule="atLeast"/>
        </w:trPr>
        <w:tc>
          <w:tcPr>
            <w:tcW w:w="8789" w:type="dxa"/>
            <w:noWrap w:val="0"/>
            <w:vAlign w:val="center"/>
          </w:tcPr>
          <w:p w14:paraId="6D4E1DC3">
            <w:pPr>
              <w:rPr>
                <w:rFonts w:hint="eastAsia"/>
                <w:b/>
                <w:color w:val="auto"/>
                <w:sz w:val="28"/>
                <w:szCs w:val="28"/>
                <w:highlight w:val="none"/>
              </w:rPr>
            </w:pPr>
            <w:r>
              <w:rPr>
                <w:rFonts w:hint="eastAsia"/>
                <w:b/>
                <w:color w:val="auto"/>
                <w:sz w:val="28"/>
                <w:szCs w:val="28"/>
                <w:highlight w:val="none"/>
              </w:rPr>
              <w:t>日期：</w:t>
            </w:r>
            <w:r>
              <w:rPr>
                <w:rFonts w:hint="eastAsia"/>
                <w:b/>
                <w:color w:val="auto"/>
                <w:w w:val="90"/>
                <w:sz w:val="28"/>
                <w:szCs w:val="28"/>
                <w:highlight w:val="none"/>
              </w:rPr>
              <w:t>__________________________________________________________</w:t>
            </w:r>
          </w:p>
        </w:tc>
      </w:tr>
      <w:tr w14:paraId="37034904">
        <w:tblPrEx>
          <w:tblCellMar>
            <w:top w:w="0" w:type="dxa"/>
            <w:left w:w="108" w:type="dxa"/>
            <w:bottom w:w="0" w:type="dxa"/>
            <w:right w:w="108" w:type="dxa"/>
          </w:tblCellMar>
        </w:tblPrEx>
        <w:trPr>
          <w:trHeight w:val="335" w:hRule="atLeast"/>
        </w:trPr>
        <w:tc>
          <w:tcPr>
            <w:tcW w:w="8789" w:type="dxa"/>
            <w:noWrap w:val="0"/>
            <w:vAlign w:val="center"/>
          </w:tcPr>
          <w:p w14:paraId="6E41E8F8">
            <w:pPr>
              <w:rPr>
                <w:rFonts w:hint="eastAsia"/>
                <w:color w:val="auto"/>
                <w:sz w:val="28"/>
                <w:szCs w:val="28"/>
                <w:highlight w:val="none"/>
              </w:rPr>
            </w:pPr>
          </w:p>
        </w:tc>
      </w:tr>
    </w:tbl>
    <w:p w14:paraId="29138F6D">
      <w:pPr>
        <w:rPr>
          <w:rFonts w:hint="eastAsia"/>
          <w:color w:val="auto"/>
          <w:highlight w:val="none"/>
        </w:rPr>
      </w:pPr>
    </w:p>
    <w:p w14:paraId="22F0BC45">
      <w:pPr>
        <w:pStyle w:val="7"/>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.2供应商自评分指引表</w:t>
      </w:r>
    </w:p>
    <w:tbl>
      <w:tblPr>
        <w:tblStyle w:val="38"/>
        <w:tblW w:w="9071" w:type="dxa"/>
        <w:jc w:val="center"/>
        <w:tblLayout w:type="fixed"/>
        <w:tblCellMar>
          <w:top w:w="0" w:type="dxa"/>
          <w:left w:w="0" w:type="dxa"/>
          <w:bottom w:w="0" w:type="dxa"/>
          <w:right w:w="0" w:type="dxa"/>
        </w:tblCellMar>
      </w:tblPr>
      <w:tblGrid>
        <w:gridCol w:w="700"/>
        <w:gridCol w:w="6834"/>
        <w:gridCol w:w="1537"/>
      </w:tblGrid>
      <w:tr w14:paraId="2D34A5F9">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0F3867">
            <w:pPr>
              <w:snapToGrid w:val="0"/>
              <w:jc w:val="center"/>
              <w:rPr>
                <w:rFonts w:hint="eastAsia"/>
                <w:color w:val="auto"/>
                <w:sz w:val="22"/>
                <w:highlight w:val="none"/>
              </w:rPr>
            </w:pPr>
            <w:r>
              <w:rPr>
                <w:rFonts w:hint="eastAsia"/>
                <w:color w:val="auto"/>
                <w:sz w:val="22"/>
                <w:highlight w:val="none"/>
              </w:rPr>
              <w:t>序号</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59B2E">
            <w:pPr>
              <w:snapToGrid w:val="0"/>
              <w:jc w:val="center"/>
              <w:rPr>
                <w:rFonts w:hint="eastAsia"/>
                <w:color w:val="auto"/>
                <w:sz w:val="22"/>
                <w:highlight w:val="none"/>
              </w:rPr>
            </w:pPr>
            <w:r>
              <w:rPr>
                <w:rFonts w:hint="eastAsia"/>
                <w:color w:val="auto"/>
                <w:sz w:val="22"/>
                <w:highlight w:val="none"/>
              </w:rPr>
              <w:t>评分项目</w:t>
            </w: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7A89A">
            <w:pPr>
              <w:snapToGrid w:val="0"/>
              <w:jc w:val="center"/>
              <w:rPr>
                <w:rFonts w:hint="eastAsia"/>
                <w:color w:val="auto"/>
                <w:sz w:val="22"/>
                <w:highlight w:val="none"/>
              </w:rPr>
            </w:pPr>
            <w:r>
              <w:rPr>
                <w:rFonts w:hint="eastAsia"/>
                <w:color w:val="auto"/>
                <w:sz w:val="22"/>
                <w:highlight w:val="none"/>
              </w:rPr>
              <w:t>投标文件索引（页码）</w:t>
            </w:r>
          </w:p>
        </w:tc>
      </w:tr>
      <w:tr w14:paraId="6F421671">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A96F3">
            <w:pPr>
              <w:snapToGrid w:val="0"/>
              <w:jc w:val="center"/>
              <w:rPr>
                <w:rFonts w:hint="eastAsia"/>
                <w:color w:val="auto"/>
                <w:sz w:val="22"/>
                <w:highlight w:val="none"/>
              </w:rPr>
            </w:pPr>
            <w:r>
              <w:rPr>
                <w:rFonts w:hint="eastAsia"/>
                <w:color w:val="auto"/>
                <w:sz w:val="22"/>
                <w:highlight w:val="none"/>
              </w:rPr>
              <w:t>1</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3EDEF0">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9D169">
            <w:pPr>
              <w:snapToGrid w:val="0"/>
              <w:jc w:val="center"/>
              <w:rPr>
                <w:rFonts w:hint="eastAsia"/>
                <w:color w:val="auto"/>
                <w:sz w:val="22"/>
                <w:highlight w:val="none"/>
              </w:rPr>
            </w:pPr>
          </w:p>
        </w:tc>
      </w:tr>
      <w:tr w14:paraId="000A1BC0">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602982">
            <w:pPr>
              <w:snapToGrid w:val="0"/>
              <w:jc w:val="center"/>
              <w:rPr>
                <w:rFonts w:hint="eastAsia"/>
                <w:color w:val="auto"/>
                <w:sz w:val="22"/>
                <w:highlight w:val="none"/>
              </w:rPr>
            </w:pPr>
            <w:r>
              <w:rPr>
                <w:rFonts w:hint="eastAsia"/>
                <w:color w:val="auto"/>
                <w:sz w:val="22"/>
                <w:highlight w:val="none"/>
              </w:rPr>
              <w:t>2</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F10473">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E0EC49">
            <w:pPr>
              <w:snapToGrid w:val="0"/>
              <w:jc w:val="center"/>
              <w:rPr>
                <w:rFonts w:hint="eastAsia"/>
                <w:color w:val="auto"/>
                <w:sz w:val="22"/>
                <w:highlight w:val="none"/>
              </w:rPr>
            </w:pPr>
          </w:p>
        </w:tc>
      </w:tr>
      <w:tr w14:paraId="7FD54A2B">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D5DC7">
            <w:pPr>
              <w:snapToGrid w:val="0"/>
              <w:jc w:val="center"/>
              <w:rPr>
                <w:rFonts w:hint="eastAsia"/>
                <w:color w:val="auto"/>
                <w:sz w:val="22"/>
                <w:highlight w:val="none"/>
              </w:rPr>
            </w:pPr>
            <w:r>
              <w:rPr>
                <w:rFonts w:hint="eastAsia"/>
                <w:color w:val="auto"/>
                <w:sz w:val="22"/>
                <w:highlight w:val="none"/>
              </w:rPr>
              <w:t>3</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589C9">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D64EE1">
            <w:pPr>
              <w:snapToGrid w:val="0"/>
              <w:jc w:val="center"/>
              <w:rPr>
                <w:rFonts w:hint="eastAsia"/>
                <w:color w:val="auto"/>
                <w:sz w:val="22"/>
                <w:highlight w:val="none"/>
              </w:rPr>
            </w:pPr>
          </w:p>
        </w:tc>
      </w:tr>
      <w:tr w14:paraId="392752BA">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8B091">
            <w:pPr>
              <w:snapToGrid w:val="0"/>
              <w:jc w:val="center"/>
              <w:rPr>
                <w:rFonts w:hint="eastAsia"/>
                <w:color w:val="auto"/>
                <w:sz w:val="22"/>
                <w:highlight w:val="none"/>
              </w:rPr>
            </w:pPr>
            <w:r>
              <w:rPr>
                <w:rFonts w:hint="eastAsia"/>
                <w:color w:val="auto"/>
                <w:sz w:val="22"/>
                <w:highlight w:val="none"/>
              </w:rPr>
              <w:t>4</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976EB">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EB6D6A">
            <w:pPr>
              <w:snapToGrid w:val="0"/>
              <w:jc w:val="center"/>
              <w:rPr>
                <w:rFonts w:hint="eastAsia"/>
                <w:color w:val="auto"/>
                <w:sz w:val="22"/>
                <w:highlight w:val="none"/>
              </w:rPr>
            </w:pPr>
          </w:p>
        </w:tc>
      </w:tr>
      <w:tr w14:paraId="60CF4FB4">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D8C05">
            <w:pPr>
              <w:snapToGrid w:val="0"/>
              <w:jc w:val="center"/>
              <w:rPr>
                <w:rFonts w:hint="eastAsia"/>
                <w:color w:val="auto"/>
                <w:sz w:val="22"/>
                <w:highlight w:val="none"/>
              </w:rPr>
            </w:pPr>
            <w:r>
              <w:rPr>
                <w:rFonts w:hint="eastAsia"/>
                <w:color w:val="auto"/>
                <w:sz w:val="22"/>
                <w:highlight w:val="none"/>
              </w:rPr>
              <w:t>5</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B49FC">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60EC6">
            <w:pPr>
              <w:snapToGrid w:val="0"/>
              <w:jc w:val="center"/>
              <w:rPr>
                <w:rFonts w:hint="eastAsia"/>
                <w:color w:val="auto"/>
                <w:sz w:val="22"/>
                <w:highlight w:val="none"/>
              </w:rPr>
            </w:pPr>
          </w:p>
        </w:tc>
      </w:tr>
      <w:tr w14:paraId="2AAF77BF">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6286A">
            <w:pPr>
              <w:snapToGrid w:val="0"/>
              <w:jc w:val="center"/>
              <w:rPr>
                <w:rFonts w:hint="eastAsia"/>
                <w:color w:val="auto"/>
                <w:sz w:val="22"/>
                <w:highlight w:val="none"/>
              </w:rPr>
            </w:pPr>
            <w:r>
              <w:rPr>
                <w:rFonts w:hint="eastAsia"/>
                <w:color w:val="auto"/>
                <w:sz w:val="22"/>
                <w:highlight w:val="none"/>
              </w:rPr>
              <w:t>6</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24193F">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CA167">
            <w:pPr>
              <w:snapToGrid w:val="0"/>
              <w:jc w:val="center"/>
              <w:rPr>
                <w:rFonts w:hint="eastAsia"/>
                <w:color w:val="auto"/>
                <w:sz w:val="22"/>
                <w:highlight w:val="none"/>
              </w:rPr>
            </w:pPr>
          </w:p>
        </w:tc>
      </w:tr>
      <w:tr w14:paraId="0F1D5345">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0E712B">
            <w:pPr>
              <w:snapToGrid w:val="0"/>
              <w:jc w:val="center"/>
              <w:rPr>
                <w:rFonts w:hint="eastAsia"/>
                <w:color w:val="auto"/>
                <w:sz w:val="22"/>
                <w:highlight w:val="none"/>
              </w:rPr>
            </w:pPr>
            <w:r>
              <w:rPr>
                <w:rFonts w:hint="eastAsia"/>
                <w:color w:val="auto"/>
                <w:sz w:val="22"/>
                <w:highlight w:val="none"/>
              </w:rPr>
              <w:t>7</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5859B">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9D4AD">
            <w:pPr>
              <w:snapToGrid w:val="0"/>
              <w:jc w:val="center"/>
              <w:rPr>
                <w:rFonts w:hint="eastAsia"/>
                <w:color w:val="auto"/>
                <w:sz w:val="22"/>
                <w:highlight w:val="none"/>
              </w:rPr>
            </w:pPr>
          </w:p>
        </w:tc>
      </w:tr>
      <w:tr w14:paraId="73D29E3B">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D7474">
            <w:pPr>
              <w:snapToGrid w:val="0"/>
              <w:jc w:val="center"/>
              <w:rPr>
                <w:rFonts w:hint="eastAsia"/>
                <w:color w:val="auto"/>
                <w:sz w:val="22"/>
                <w:highlight w:val="none"/>
              </w:rPr>
            </w:pPr>
            <w:r>
              <w:rPr>
                <w:rFonts w:hint="eastAsia"/>
                <w:color w:val="auto"/>
                <w:sz w:val="22"/>
                <w:highlight w:val="none"/>
              </w:rPr>
              <w:t>8</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E5E23B">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00A476">
            <w:pPr>
              <w:snapToGrid w:val="0"/>
              <w:jc w:val="center"/>
              <w:rPr>
                <w:rFonts w:hint="eastAsia"/>
                <w:color w:val="auto"/>
                <w:sz w:val="22"/>
                <w:highlight w:val="none"/>
              </w:rPr>
            </w:pPr>
          </w:p>
        </w:tc>
      </w:tr>
      <w:tr w14:paraId="033E9649">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66814">
            <w:pPr>
              <w:snapToGrid w:val="0"/>
              <w:jc w:val="center"/>
              <w:rPr>
                <w:rFonts w:hint="eastAsia"/>
                <w:color w:val="auto"/>
                <w:sz w:val="22"/>
                <w:highlight w:val="none"/>
              </w:rPr>
            </w:pPr>
            <w:r>
              <w:rPr>
                <w:rFonts w:hint="eastAsia"/>
                <w:color w:val="auto"/>
                <w:sz w:val="22"/>
                <w:highlight w:val="none"/>
              </w:rPr>
              <w:t>9</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ED8D3">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37BFF">
            <w:pPr>
              <w:snapToGrid w:val="0"/>
              <w:jc w:val="center"/>
              <w:rPr>
                <w:rFonts w:hint="eastAsia"/>
                <w:color w:val="auto"/>
                <w:sz w:val="22"/>
                <w:highlight w:val="none"/>
              </w:rPr>
            </w:pPr>
          </w:p>
        </w:tc>
      </w:tr>
      <w:tr w14:paraId="1F315525">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D3279">
            <w:pPr>
              <w:snapToGrid w:val="0"/>
              <w:jc w:val="center"/>
              <w:rPr>
                <w:rFonts w:hint="eastAsia"/>
                <w:color w:val="auto"/>
                <w:sz w:val="22"/>
                <w:highlight w:val="none"/>
              </w:rPr>
            </w:pPr>
            <w:r>
              <w:rPr>
                <w:rFonts w:hint="eastAsia"/>
                <w:color w:val="auto"/>
                <w:sz w:val="22"/>
                <w:highlight w:val="none"/>
              </w:rPr>
              <w:t>10</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D43516">
            <w:pPr>
              <w:snapToGrid w:val="0"/>
              <w:jc w:val="center"/>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76F85">
            <w:pPr>
              <w:snapToGrid w:val="0"/>
              <w:jc w:val="center"/>
              <w:rPr>
                <w:rFonts w:hint="eastAsia"/>
                <w:color w:val="auto"/>
                <w:sz w:val="22"/>
                <w:highlight w:val="none"/>
              </w:rPr>
            </w:pPr>
          </w:p>
        </w:tc>
      </w:tr>
      <w:tr w14:paraId="45817894">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D4575">
            <w:pPr>
              <w:snapToGrid w:val="0"/>
              <w:jc w:val="center"/>
              <w:rPr>
                <w:rFonts w:hint="eastAsia"/>
                <w:color w:val="auto"/>
                <w:sz w:val="22"/>
                <w:highlight w:val="none"/>
              </w:rPr>
            </w:pPr>
            <w:r>
              <w:rPr>
                <w:rFonts w:hint="eastAsia"/>
                <w:color w:val="auto"/>
                <w:sz w:val="22"/>
                <w:highlight w:val="none"/>
              </w:rPr>
              <w:t>11</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DCB87">
            <w:pPr>
              <w:snapToGrid w:val="0"/>
              <w:spacing w:line="300" w:lineRule="exact"/>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D11D3">
            <w:pPr>
              <w:snapToGrid w:val="0"/>
              <w:jc w:val="center"/>
              <w:rPr>
                <w:rFonts w:hint="eastAsia"/>
                <w:color w:val="auto"/>
                <w:sz w:val="22"/>
                <w:highlight w:val="none"/>
              </w:rPr>
            </w:pPr>
          </w:p>
        </w:tc>
      </w:tr>
      <w:tr w14:paraId="64EF2157">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A318A">
            <w:pPr>
              <w:snapToGrid w:val="0"/>
              <w:jc w:val="center"/>
              <w:rPr>
                <w:rFonts w:hint="eastAsia"/>
                <w:color w:val="auto"/>
                <w:sz w:val="22"/>
                <w:highlight w:val="none"/>
              </w:rPr>
            </w:pPr>
            <w:r>
              <w:rPr>
                <w:rFonts w:hint="eastAsia"/>
                <w:color w:val="auto"/>
                <w:sz w:val="22"/>
                <w:highlight w:val="none"/>
              </w:rPr>
              <w:t>12</w:t>
            </w: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C0EFD">
            <w:pPr>
              <w:snapToGrid w:val="0"/>
              <w:spacing w:line="300" w:lineRule="exact"/>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A6C4CF">
            <w:pPr>
              <w:snapToGrid w:val="0"/>
              <w:jc w:val="center"/>
              <w:rPr>
                <w:rFonts w:hint="eastAsia"/>
                <w:color w:val="auto"/>
                <w:sz w:val="22"/>
                <w:highlight w:val="none"/>
              </w:rPr>
            </w:pPr>
          </w:p>
        </w:tc>
      </w:tr>
      <w:tr w14:paraId="21484754">
        <w:tblPrEx>
          <w:tblCellMar>
            <w:top w:w="0" w:type="dxa"/>
            <w:left w:w="0" w:type="dxa"/>
            <w:bottom w:w="0" w:type="dxa"/>
            <w:right w:w="0" w:type="dxa"/>
          </w:tblCellMar>
        </w:tblPrEx>
        <w:trPr>
          <w:trHeight w:val="60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DD098">
            <w:pPr>
              <w:snapToGrid w:val="0"/>
              <w:jc w:val="center"/>
              <w:rPr>
                <w:rFonts w:hint="eastAsia"/>
                <w:color w:val="auto"/>
                <w:sz w:val="22"/>
                <w:highlight w:val="none"/>
              </w:rPr>
            </w:pPr>
          </w:p>
        </w:tc>
        <w:tc>
          <w:tcPr>
            <w:tcW w:w="6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1D7106">
            <w:pPr>
              <w:snapToGrid w:val="0"/>
              <w:spacing w:line="300" w:lineRule="exact"/>
              <w:rPr>
                <w:rFonts w:hint="eastAsia"/>
                <w:color w:val="auto"/>
                <w:sz w:val="22"/>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60C6B">
            <w:pPr>
              <w:snapToGrid w:val="0"/>
              <w:jc w:val="center"/>
              <w:rPr>
                <w:rFonts w:hint="eastAsia"/>
                <w:color w:val="auto"/>
                <w:sz w:val="22"/>
                <w:highlight w:val="none"/>
              </w:rPr>
            </w:pPr>
          </w:p>
        </w:tc>
      </w:tr>
    </w:tbl>
    <w:p w14:paraId="2899CDB8">
      <w:pPr>
        <w:rPr>
          <w:rFonts w:hint="eastAsia"/>
          <w:color w:val="auto"/>
          <w:highlight w:val="none"/>
        </w:rPr>
      </w:pPr>
    </w:p>
    <w:p w14:paraId="6D4F9BA3">
      <w:pPr>
        <w:rPr>
          <w:rFonts w:hint="eastAsia"/>
          <w:color w:val="auto"/>
          <w:sz w:val="32"/>
          <w:highlight w:val="none"/>
        </w:rPr>
        <w:sectPr>
          <w:footerReference r:id="rId10" w:type="first"/>
          <w:footerReference r:id="rId9" w:type="default"/>
          <w:pgSz w:w="11907" w:h="16840"/>
          <w:pgMar w:top="1304" w:right="1304" w:bottom="1304" w:left="1304" w:header="720" w:footer="720" w:gutter="0"/>
          <w:pgBorders w:offsetFrom="page">
            <w:top w:val="none" w:sz="0" w:space="0"/>
            <w:left w:val="none" w:sz="0" w:space="0"/>
            <w:bottom w:val="none" w:sz="0" w:space="0"/>
            <w:right w:val="none" w:sz="0" w:space="0"/>
          </w:pgBorders>
          <w:pgNumType w:fmt="decimal" w:start="1"/>
          <w:cols w:space="720" w:num="1"/>
          <w:docGrid w:linePitch="286" w:charSpace="0"/>
        </w:sectPr>
      </w:pPr>
    </w:p>
    <w:p w14:paraId="740127D2">
      <w:pPr>
        <w:pStyle w:val="21"/>
        <w:adjustRightInd w:val="0"/>
        <w:snapToGrid w:val="0"/>
        <w:spacing w:line="500" w:lineRule="exact"/>
        <w:jc w:val="both"/>
        <w:outlineLvl w:val="2"/>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2.3投标函</w:t>
      </w:r>
    </w:p>
    <w:p w14:paraId="6CD4C9E4">
      <w:pPr>
        <w:pStyle w:val="21"/>
        <w:adjustRightInd w:val="0"/>
        <w:snapToGrid w:val="0"/>
        <w:spacing w:line="500" w:lineRule="exact"/>
        <w:jc w:val="center"/>
        <w:outlineLvl w:val="9"/>
        <w:rPr>
          <w:rFonts w:hint="eastAsia" w:hAnsi="宋体" w:cs="宋体"/>
          <w:b/>
          <w:bCs/>
          <w:color w:val="auto"/>
          <w:sz w:val="36"/>
          <w:highlight w:val="none"/>
        </w:rPr>
      </w:pPr>
      <w:r>
        <w:rPr>
          <w:rFonts w:hint="eastAsia" w:hAnsi="宋体" w:cs="宋体"/>
          <w:b/>
          <w:bCs/>
          <w:color w:val="auto"/>
          <w:sz w:val="36"/>
          <w:highlight w:val="none"/>
        </w:rPr>
        <w:t>投  标  函</w:t>
      </w:r>
    </w:p>
    <w:p w14:paraId="683FF588">
      <w:pPr>
        <w:pStyle w:val="21"/>
        <w:adjustRightInd w:val="0"/>
        <w:snapToGrid w:val="0"/>
        <w:spacing w:line="360" w:lineRule="atLeast"/>
        <w:rPr>
          <w:rFonts w:hint="eastAsia" w:hAnsi="宋体" w:cs="宋体"/>
          <w:color w:val="auto"/>
          <w:sz w:val="22"/>
          <w:szCs w:val="22"/>
          <w:highlight w:val="none"/>
          <w:u w:val="single"/>
        </w:rPr>
      </w:pPr>
      <w:r>
        <w:rPr>
          <w:rFonts w:hint="eastAsia" w:hAnsi="宋体" w:cs="宋体"/>
          <w:color w:val="auto"/>
          <w:sz w:val="22"/>
          <w:szCs w:val="22"/>
          <w:highlight w:val="none"/>
          <w:u w:val="single"/>
          <w:lang w:eastAsia="zh-CN"/>
        </w:rPr>
        <w:t>苍南县灵溪镇人民政府</w:t>
      </w:r>
      <w:r>
        <w:rPr>
          <w:rFonts w:hint="eastAsia" w:hAnsi="宋体" w:cs="宋体"/>
          <w:color w:val="auto"/>
          <w:sz w:val="22"/>
          <w:szCs w:val="22"/>
          <w:highlight w:val="none"/>
          <w:u w:val="single"/>
        </w:rPr>
        <w:t>：</w:t>
      </w:r>
    </w:p>
    <w:p w14:paraId="7A6CDEC7">
      <w:pPr>
        <w:pStyle w:val="21"/>
        <w:adjustRightInd w:val="0"/>
        <w:snapToGrid w:val="0"/>
        <w:spacing w:line="360" w:lineRule="atLeast"/>
        <w:ind w:firstLine="450"/>
        <w:rPr>
          <w:rFonts w:hint="eastAsia" w:hAnsi="宋体" w:cs="宋体"/>
          <w:color w:val="auto"/>
          <w:sz w:val="22"/>
          <w:szCs w:val="22"/>
          <w:highlight w:val="none"/>
        </w:rPr>
      </w:pPr>
    </w:p>
    <w:p w14:paraId="5B60C5DA">
      <w:pPr>
        <w:autoSpaceDE w:val="0"/>
        <w:autoSpaceDN w:val="0"/>
        <w:adjustRightInd w:val="0"/>
        <w:snapToGrid w:val="0"/>
        <w:spacing w:line="360" w:lineRule="atLeast"/>
        <w:rPr>
          <w:rFonts w:hint="eastAsia"/>
          <w:color w:val="auto"/>
          <w:sz w:val="22"/>
          <w:szCs w:val="22"/>
          <w:highlight w:val="none"/>
          <w:lang w:val="zh-CN"/>
        </w:rPr>
      </w:pPr>
      <w:r>
        <w:rPr>
          <w:rFonts w:hint="eastAsia"/>
          <w:color w:val="auto"/>
          <w:sz w:val="22"/>
          <w:szCs w:val="22"/>
          <w:highlight w:val="none"/>
        </w:rPr>
        <w:t xml:space="preserve">     </w:t>
      </w:r>
      <w:r>
        <w:rPr>
          <w:rFonts w:hint="eastAsia"/>
          <w:color w:val="auto"/>
          <w:sz w:val="22"/>
          <w:szCs w:val="22"/>
          <w:highlight w:val="none"/>
          <w:lang w:val="zh-CN"/>
        </w:rPr>
        <w:t xml:space="preserve"> </w:t>
      </w:r>
      <w:r>
        <w:rPr>
          <w:rFonts w:hint="eastAsia"/>
          <w:color w:val="auto"/>
          <w:sz w:val="22"/>
          <w:szCs w:val="22"/>
          <w:highlight w:val="none"/>
          <w:u w:val="single"/>
          <w:lang w:val="zh-CN"/>
        </w:rPr>
        <w:t xml:space="preserve">                    </w:t>
      </w:r>
      <w:r>
        <w:rPr>
          <w:rFonts w:hint="eastAsia"/>
          <w:color w:val="auto"/>
          <w:sz w:val="22"/>
          <w:szCs w:val="22"/>
          <w:highlight w:val="none"/>
          <w:lang w:val="zh-CN"/>
        </w:rPr>
        <w:t>（供应商全称）授权</w:t>
      </w:r>
      <w:r>
        <w:rPr>
          <w:rFonts w:hint="eastAsia"/>
          <w:color w:val="auto"/>
          <w:sz w:val="22"/>
          <w:szCs w:val="22"/>
          <w:highlight w:val="none"/>
          <w:u w:val="single"/>
          <w:lang w:val="zh-CN"/>
        </w:rPr>
        <w:t xml:space="preserve">              </w:t>
      </w:r>
      <w:r>
        <w:rPr>
          <w:rFonts w:hint="eastAsia"/>
          <w:color w:val="auto"/>
          <w:sz w:val="22"/>
          <w:szCs w:val="22"/>
          <w:highlight w:val="none"/>
          <w:lang w:val="zh-CN"/>
        </w:rPr>
        <w:t xml:space="preserve"> （授权代表名称）</w:t>
      </w:r>
      <w:r>
        <w:rPr>
          <w:rFonts w:hint="eastAsia"/>
          <w:color w:val="auto"/>
          <w:sz w:val="22"/>
          <w:szCs w:val="22"/>
          <w:highlight w:val="none"/>
          <w:u w:val="single"/>
          <w:lang w:val="zh-CN"/>
        </w:rPr>
        <w:t xml:space="preserve">         </w:t>
      </w:r>
      <w:r>
        <w:rPr>
          <w:rFonts w:hint="eastAsia"/>
          <w:color w:val="auto"/>
          <w:sz w:val="22"/>
          <w:szCs w:val="22"/>
          <w:highlight w:val="none"/>
          <w:lang w:val="zh-CN"/>
        </w:rPr>
        <w:t>（职务、职称）为授权代表，参加贵方组织的</w:t>
      </w:r>
      <w:r>
        <w:rPr>
          <w:rFonts w:hint="eastAsia"/>
          <w:color w:val="auto"/>
          <w:sz w:val="22"/>
          <w:szCs w:val="22"/>
          <w:highlight w:val="none"/>
          <w:u w:val="single"/>
          <w:lang w:val="zh-CN"/>
        </w:rPr>
        <w:t xml:space="preserve">           </w:t>
      </w:r>
      <w:r>
        <w:rPr>
          <w:rFonts w:hint="eastAsia"/>
          <w:color w:val="auto"/>
          <w:sz w:val="22"/>
          <w:szCs w:val="22"/>
          <w:highlight w:val="none"/>
          <w:lang w:val="zh-CN"/>
        </w:rPr>
        <w:t>（招标项目名称）（括号内填投标编号）招标的有关活动，为此：并对</w:t>
      </w:r>
      <w:r>
        <w:rPr>
          <w:rFonts w:hint="eastAsia"/>
          <w:color w:val="auto"/>
          <w:sz w:val="22"/>
          <w:szCs w:val="22"/>
          <w:highlight w:val="none"/>
          <w:u w:val="single"/>
          <w:lang w:val="zh-CN"/>
        </w:rPr>
        <w:t xml:space="preserve">            </w:t>
      </w:r>
      <w:r>
        <w:rPr>
          <w:rFonts w:hint="eastAsia"/>
          <w:color w:val="auto"/>
          <w:sz w:val="22"/>
          <w:szCs w:val="22"/>
          <w:highlight w:val="none"/>
          <w:lang w:val="zh-CN"/>
        </w:rPr>
        <w:t>项目（采购项目名称）进行投标。</w:t>
      </w:r>
    </w:p>
    <w:p w14:paraId="46175F2A">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1、提供供应商须知规定的全部投标文件。</w:t>
      </w:r>
    </w:p>
    <w:p w14:paraId="78C2B4B3">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2、保证遵守招标文件中的有关规定和收费标准。</w:t>
      </w:r>
    </w:p>
    <w:p w14:paraId="38AE858D">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3、保证忠实地执行采购人、中标供应商双方所签的合同， 并承担合同规定的责任义务。</w:t>
      </w:r>
    </w:p>
    <w:p w14:paraId="471F4D84">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4、我方承诺在合同生效后</w:t>
      </w:r>
      <w:r>
        <w:rPr>
          <w:rFonts w:hint="eastAsia"/>
          <w:b/>
          <w:color w:val="auto"/>
          <w:sz w:val="22"/>
          <w:szCs w:val="22"/>
          <w:highlight w:val="none"/>
          <w:u w:val="single"/>
          <w:lang w:val="zh-CN"/>
        </w:rPr>
        <w:t>按招标文件要求完成本项目</w:t>
      </w:r>
      <w:r>
        <w:rPr>
          <w:rFonts w:hint="eastAsia"/>
          <w:color w:val="auto"/>
          <w:sz w:val="22"/>
          <w:szCs w:val="22"/>
          <w:highlight w:val="none"/>
          <w:lang w:val="zh-CN"/>
        </w:rPr>
        <w:t>。</w:t>
      </w:r>
    </w:p>
    <w:p w14:paraId="3F9D45B8">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3A9369C4">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6、利益冲突：近三年内直至目前，我公司与本项目的采购人、采购机构没有任何的利害关系。</w:t>
      </w:r>
    </w:p>
    <w:p w14:paraId="1EA19343">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7、我公司近三年内没有行贿受贿记录；我公司符合</w:t>
      </w:r>
      <w:r>
        <w:rPr>
          <w:rFonts w:hint="eastAsia"/>
          <w:color w:val="auto"/>
          <w:sz w:val="22"/>
          <w:szCs w:val="22"/>
          <w:highlight w:val="none"/>
        </w:rPr>
        <w:t>《中华人民共和国政府采购法》第二十二条对供应商的资格要求；</w:t>
      </w:r>
      <w:r>
        <w:rPr>
          <w:rFonts w:hint="eastAsia"/>
          <w:color w:val="auto"/>
          <w:sz w:val="22"/>
          <w:szCs w:val="22"/>
          <w:highlight w:val="none"/>
          <w:lang w:val="zh-CN"/>
        </w:rPr>
        <w:t>我公司没有被政府采购管理部门限制参加投标。</w:t>
      </w:r>
    </w:p>
    <w:p w14:paraId="318D1533">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8、愿意向贵方提供任何与该项投标有关的数据、情况和技术资料，完全理解贵方不一定接受最低价的投标或收到的任何投标。</w:t>
      </w:r>
    </w:p>
    <w:p w14:paraId="709C28B8">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9、本投标自开标之日起90天内有效。</w:t>
      </w:r>
    </w:p>
    <w:p w14:paraId="5E4C48D0">
      <w:pPr>
        <w:autoSpaceDE w:val="0"/>
        <w:autoSpaceDN w:val="0"/>
        <w:adjustRightInd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10、与本投标有关的一切往来通讯请寄：</w:t>
      </w:r>
    </w:p>
    <w:p w14:paraId="1F752411">
      <w:pPr>
        <w:autoSpaceDE w:val="0"/>
        <w:autoSpaceDN w:val="0"/>
        <w:adjustRightInd w:val="0"/>
        <w:snapToGrid w:val="0"/>
        <w:spacing w:line="360" w:lineRule="atLeast"/>
        <w:ind w:firstLine="585" w:firstLineChars="266"/>
        <w:rPr>
          <w:rFonts w:hint="eastAsia"/>
          <w:color w:val="auto"/>
          <w:sz w:val="22"/>
          <w:szCs w:val="22"/>
          <w:highlight w:val="none"/>
          <w:lang w:val="zh-CN"/>
        </w:rPr>
      </w:pPr>
      <w:r>
        <w:rPr>
          <w:rFonts w:hint="eastAsia"/>
          <w:color w:val="auto"/>
          <w:sz w:val="22"/>
          <w:szCs w:val="22"/>
          <w:highlight w:val="none"/>
          <w:lang w:val="zh-CN"/>
        </w:rPr>
        <w:t>地址：</w:t>
      </w:r>
      <w:r>
        <w:rPr>
          <w:rFonts w:hint="eastAsia"/>
          <w:color w:val="auto"/>
          <w:sz w:val="22"/>
          <w:szCs w:val="22"/>
          <w:highlight w:val="none"/>
          <w:u w:val="single"/>
          <w:lang w:val="zh-CN"/>
        </w:rPr>
        <w:t xml:space="preserve">                                 </w:t>
      </w:r>
    </w:p>
    <w:p w14:paraId="2AA7F13E">
      <w:pPr>
        <w:autoSpaceDE w:val="0"/>
        <w:autoSpaceDN w:val="0"/>
        <w:adjustRightInd w:val="0"/>
        <w:snapToGrid w:val="0"/>
        <w:spacing w:line="360" w:lineRule="atLeast"/>
        <w:ind w:firstLine="585" w:firstLineChars="266"/>
        <w:rPr>
          <w:rFonts w:hint="eastAsia"/>
          <w:color w:val="auto"/>
          <w:sz w:val="22"/>
          <w:szCs w:val="22"/>
          <w:highlight w:val="none"/>
          <w:lang w:val="zh-CN"/>
        </w:rPr>
      </w:pPr>
      <w:r>
        <w:rPr>
          <w:rFonts w:hint="eastAsia"/>
          <w:color w:val="auto"/>
          <w:sz w:val="22"/>
          <w:szCs w:val="22"/>
          <w:highlight w:val="none"/>
          <w:lang w:val="zh-CN"/>
        </w:rPr>
        <w:t>邮编：</w:t>
      </w:r>
      <w:r>
        <w:rPr>
          <w:rFonts w:hint="eastAsia"/>
          <w:color w:val="auto"/>
          <w:sz w:val="22"/>
          <w:szCs w:val="22"/>
          <w:highlight w:val="none"/>
          <w:u w:val="single"/>
          <w:lang w:val="zh-CN"/>
        </w:rPr>
        <w:t xml:space="preserve">               </w:t>
      </w:r>
      <w:r>
        <w:rPr>
          <w:rFonts w:hint="eastAsia"/>
          <w:color w:val="auto"/>
          <w:sz w:val="22"/>
          <w:szCs w:val="22"/>
          <w:highlight w:val="none"/>
          <w:lang w:val="zh-CN"/>
        </w:rPr>
        <w:t>电话：</w:t>
      </w:r>
      <w:r>
        <w:rPr>
          <w:rFonts w:hint="eastAsia"/>
          <w:color w:val="auto"/>
          <w:sz w:val="22"/>
          <w:szCs w:val="22"/>
          <w:highlight w:val="none"/>
          <w:u w:val="single"/>
          <w:lang w:val="zh-CN"/>
        </w:rPr>
        <w:t xml:space="preserve">                 </w:t>
      </w:r>
      <w:r>
        <w:rPr>
          <w:rFonts w:hint="eastAsia"/>
          <w:color w:val="auto"/>
          <w:sz w:val="22"/>
          <w:szCs w:val="22"/>
          <w:highlight w:val="none"/>
          <w:lang w:val="zh-CN"/>
        </w:rPr>
        <w:t>传真：</w:t>
      </w:r>
      <w:r>
        <w:rPr>
          <w:rFonts w:hint="eastAsia"/>
          <w:color w:val="auto"/>
          <w:sz w:val="22"/>
          <w:szCs w:val="22"/>
          <w:highlight w:val="none"/>
          <w:u w:val="single"/>
          <w:lang w:val="zh-CN"/>
        </w:rPr>
        <w:t xml:space="preserve">                 </w:t>
      </w:r>
    </w:p>
    <w:p w14:paraId="598E309C">
      <w:pPr>
        <w:autoSpaceDE w:val="0"/>
        <w:autoSpaceDN w:val="0"/>
        <w:adjustRightInd w:val="0"/>
        <w:snapToGrid w:val="0"/>
        <w:spacing w:line="360" w:lineRule="atLeast"/>
        <w:ind w:firstLine="26" w:firstLineChars="12"/>
        <w:rPr>
          <w:rFonts w:hint="eastAsia"/>
          <w:color w:val="auto"/>
          <w:sz w:val="22"/>
          <w:szCs w:val="22"/>
          <w:highlight w:val="none"/>
          <w:lang w:val="zh-CN"/>
        </w:rPr>
      </w:pPr>
    </w:p>
    <w:p w14:paraId="240B9F29">
      <w:pPr>
        <w:pStyle w:val="21"/>
        <w:spacing w:line="400" w:lineRule="exact"/>
        <w:rPr>
          <w:rFonts w:hint="eastAsia" w:hAnsi="宋体"/>
          <w:b/>
          <w:color w:val="000000"/>
          <w:sz w:val="22"/>
        </w:rPr>
      </w:pPr>
      <w:r>
        <w:rPr>
          <w:rFonts w:hint="eastAsia" w:hAnsi="宋体"/>
          <w:b/>
          <w:color w:val="000000"/>
          <w:sz w:val="22"/>
        </w:rPr>
        <w:t>供应商名称（盖章）：</w:t>
      </w:r>
    </w:p>
    <w:p w14:paraId="5B824D25">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1D6766FC">
      <w:pPr>
        <w:pStyle w:val="21"/>
        <w:spacing w:line="400" w:lineRule="exact"/>
        <w:rPr>
          <w:rFonts w:hint="eastAsia" w:hAnsi="宋体"/>
          <w:b/>
          <w:color w:val="000000"/>
          <w:sz w:val="22"/>
        </w:rPr>
      </w:pPr>
      <w:r>
        <w:rPr>
          <w:rFonts w:hint="eastAsia" w:hAnsi="宋体"/>
          <w:b/>
          <w:color w:val="000000"/>
          <w:sz w:val="22"/>
        </w:rPr>
        <w:t>日    期：</w:t>
      </w:r>
    </w:p>
    <w:p w14:paraId="204080A4">
      <w:pPr>
        <w:autoSpaceDE w:val="0"/>
        <w:autoSpaceDN w:val="0"/>
        <w:adjustRightInd w:val="0"/>
        <w:snapToGrid w:val="0"/>
        <w:spacing w:line="360" w:lineRule="atLeast"/>
        <w:ind w:left="1" w:firstLine="585" w:firstLineChars="266"/>
        <w:rPr>
          <w:rFonts w:hint="eastAsia"/>
          <w:color w:val="auto"/>
          <w:sz w:val="22"/>
          <w:szCs w:val="22"/>
          <w:highlight w:val="none"/>
          <w:lang w:val="zh-CN"/>
        </w:rPr>
      </w:pPr>
    </w:p>
    <w:p w14:paraId="21731319">
      <w:pPr>
        <w:autoSpaceDE w:val="0"/>
        <w:autoSpaceDN w:val="0"/>
        <w:adjustRightInd w:val="0"/>
        <w:snapToGrid w:val="0"/>
        <w:spacing w:line="360" w:lineRule="atLeast"/>
        <w:ind w:firstLine="601" w:firstLineChars="285"/>
        <w:rPr>
          <w:rFonts w:hint="eastAsia"/>
          <w:b/>
          <w:color w:val="auto"/>
          <w:sz w:val="22"/>
          <w:szCs w:val="22"/>
          <w:highlight w:val="none"/>
          <w:u w:val="single"/>
          <w:lang w:val="zh-CN"/>
        </w:rPr>
      </w:pPr>
      <w:r>
        <w:rPr>
          <w:rFonts w:hint="eastAsia"/>
          <w:b/>
          <w:color w:val="auto"/>
          <w:highlight w:val="none"/>
          <w:u w:val="single"/>
        </w:rPr>
        <w:t>不提供本函做无效投标处理。</w:t>
      </w:r>
    </w:p>
    <w:p w14:paraId="4788A22A">
      <w:pPr>
        <w:pStyle w:val="21"/>
        <w:adjustRightInd w:val="0"/>
        <w:snapToGrid w:val="0"/>
        <w:spacing w:line="320" w:lineRule="atLeast"/>
        <w:outlineLvl w:val="2"/>
        <w:rPr>
          <w:rFonts w:hint="eastAsia" w:hAnsi="宋体" w:cs="宋体"/>
          <w:color w:val="auto"/>
          <w:sz w:val="32"/>
          <w:highlight w:val="none"/>
        </w:rPr>
      </w:pPr>
      <w:r>
        <w:rPr>
          <w:rFonts w:hint="eastAsia"/>
          <w:color w:val="auto"/>
          <w:sz w:val="32"/>
          <w:highlight w:val="none"/>
        </w:rPr>
        <w:br w:type="page"/>
      </w:r>
      <w:r>
        <w:rPr>
          <w:rFonts w:hint="eastAsia" w:ascii="宋体" w:hAnsi="宋体" w:eastAsia="宋体" w:cs="宋体"/>
          <w:b/>
          <w:bCs/>
          <w:color w:val="auto"/>
          <w:kern w:val="0"/>
          <w:sz w:val="28"/>
          <w:szCs w:val="28"/>
          <w:highlight w:val="none"/>
          <w:lang w:val="en-US" w:eastAsia="zh-CN"/>
        </w:rPr>
        <w:t>2.4</w:t>
      </w:r>
      <w:r>
        <w:rPr>
          <w:rFonts w:hint="eastAsia" w:ascii="宋体" w:hAnsi="宋体" w:eastAsia="宋体" w:cs="宋体"/>
          <w:b/>
          <w:bCs/>
          <w:color w:val="auto"/>
          <w:sz w:val="28"/>
          <w:szCs w:val="28"/>
          <w:highlight w:val="none"/>
        </w:rPr>
        <w:t>投标供应商情况声明</w:t>
      </w:r>
    </w:p>
    <w:p w14:paraId="17115D5A">
      <w:pPr>
        <w:pStyle w:val="21"/>
        <w:adjustRightInd w:val="0"/>
        <w:snapToGrid w:val="0"/>
        <w:spacing w:line="320" w:lineRule="atLeast"/>
        <w:jc w:val="center"/>
        <w:outlineLvl w:val="9"/>
        <w:rPr>
          <w:rFonts w:hint="eastAsia" w:hAnsi="宋体" w:cs="宋体"/>
          <w:b/>
          <w:color w:val="auto"/>
          <w:sz w:val="36"/>
          <w:highlight w:val="none"/>
        </w:rPr>
      </w:pPr>
      <w:r>
        <w:rPr>
          <w:rFonts w:hint="eastAsia" w:hAnsi="宋体" w:cs="宋体"/>
          <w:b/>
          <w:color w:val="auto"/>
          <w:sz w:val="36"/>
          <w:highlight w:val="none"/>
        </w:rPr>
        <w:t>投标供应商情况声明</w:t>
      </w:r>
    </w:p>
    <w:p w14:paraId="23B5079F">
      <w:pPr>
        <w:spacing w:line="400" w:lineRule="exact"/>
        <w:outlineLvl w:val="9"/>
        <w:rPr>
          <w:rFonts w:hint="eastAsia"/>
          <w:color w:val="auto"/>
          <w:sz w:val="22"/>
          <w:highlight w:val="none"/>
        </w:rPr>
      </w:pPr>
      <w:r>
        <w:rPr>
          <w:rFonts w:hint="eastAsia"/>
          <w:color w:val="auto"/>
          <w:sz w:val="22"/>
          <w:highlight w:val="none"/>
        </w:rPr>
        <w:t>1. 名称及概况：</w:t>
      </w:r>
    </w:p>
    <w:p w14:paraId="4F381610">
      <w:pPr>
        <w:spacing w:line="400" w:lineRule="exact"/>
        <w:rPr>
          <w:rFonts w:hint="eastAsia"/>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68518942">
      <w:pPr>
        <w:spacing w:line="400" w:lineRule="exact"/>
        <w:rPr>
          <w:rFonts w:hint="eastAsia"/>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56CAF151">
      <w:pPr>
        <w:spacing w:line="400" w:lineRule="exact"/>
        <w:ind w:firstLine="600"/>
        <w:rPr>
          <w:rFonts w:hint="eastAsia"/>
          <w:color w:val="auto"/>
          <w:sz w:val="22"/>
          <w:highlight w:val="none"/>
          <w:u w:val="single"/>
        </w:rPr>
      </w:pPr>
      <w:r>
        <w:rPr>
          <w:rFonts w:hint="eastAsia"/>
          <w:color w:val="auto"/>
          <w:sz w:val="22"/>
          <w:highlight w:val="none"/>
        </w:rPr>
        <w:t>传真/电话号码：</w:t>
      </w:r>
      <w:r>
        <w:rPr>
          <w:rFonts w:hint="eastAsia"/>
          <w:color w:val="auto"/>
          <w:sz w:val="22"/>
          <w:highlight w:val="none"/>
          <w:u w:val="single"/>
        </w:rPr>
        <w:t xml:space="preserve">                        </w:t>
      </w:r>
    </w:p>
    <w:p w14:paraId="771D3054">
      <w:pPr>
        <w:spacing w:line="400" w:lineRule="exact"/>
        <w:rPr>
          <w:rFonts w:hint="eastAsia"/>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4168B2B4">
      <w:pPr>
        <w:spacing w:line="400" w:lineRule="exact"/>
        <w:rPr>
          <w:rFonts w:hint="eastAsia"/>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503A8E51">
      <w:pPr>
        <w:spacing w:line="400" w:lineRule="exact"/>
        <w:rPr>
          <w:rFonts w:hint="eastAsia"/>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6B5E11D7">
      <w:pPr>
        <w:spacing w:line="400" w:lineRule="exact"/>
        <w:rPr>
          <w:rFonts w:hint="eastAsia"/>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1F177B44">
      <w:pPr>
        <w:spacing w:line="400" w:lineRule="exact"/>
        <w:rPr>
          <w:rFonts w:hint="eastAsia"/>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643D9EFB">
      <w:pPr>
        <w:spacing w:line="400" w:lineRule="exact"/>
        <w:rPr>
          <w:rFonts w:hint="eastAsia"/>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535568DF">
      <w:pPr>
        <w:spacing w:line="400" w:lineRule="exact"/>
        <w:rPr>
          <w:rFonts w:hint="eastAsia"/>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774751C0">
      <w:pPr>
        <w:spacing w:line="400" w:lineRule="exact"/>
        <w:rPr>
          <w:rFonts w:hint="eastAsia"/>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602FC3C4">
      <w:pPr>
        <w:spacing w:line="400" w:lineRule="exact"/>
        <w:rPr>
          <w:rFonts w:hint="eastAsia"/>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0032ECBF">
      <w:pPr>
        <w:spacing w:line="400" w:lineRule="exact"/>
        <w:rPr>
          <w:rFonts w:hint="eastAsia"/>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21C41363">
      <w:pPr>
        <w:spacing w:line="400" w:lineRule="exact"/>
        <w:rPr>
          <w:rFonts w:hint="eastAsia"/>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32FAF791">
      <w:pPr>
        <w:spacing w:line="360" w:lineRule="exact"/>
        <w:ind w:left="660" w:hanging="660" w:hangingChars="300"/>
        <w:rPr>
          <w:rFonts w:hint="eastAsia"/>
          <w:color w:val="auto"/>
          <w:sz w:val="22"/>
          <w:highlight w:val="none"/>
        </w:rPr>
      </w:pPr>
      <w:r>
        <w:rPr>
          <w:rFonts w:hint="eastAsia"/>
          <w:color w:val="auto"/>
          <w:sz w:val="22"/>
          <w:highlight w:val="none"/>
        </w:rPr>
        <w:t>2．企业生产设备及规模：</w:t>
      </w:r>
    </w:p>
    <w:p w14:paraId="7F456967">
      <w:pPr>
        <w:spacing w:line="360" w:lineRule="exact"/>
        <w:ind w:left="660" w:hanging="660" w:hangingChars="300"/>
        <w:outlineLvl w:val="9"/>
        <w:rPr>
          <w:rFonts w:hint="eastAsia"/>
          <w:color w:val="auto"/>
          <w:sz w:val="22"/>
          <w:highlight w:val="none"/>
        </w:rPr>
      </w:pPr>
      <w:r>
        <w:rPr>
          <w:rFonts w:hint="eastAsia"/>
          <w:color w:val="auto"/>
          <w:sz w:val="22"/>
          <w:highlight w:val="none"/>
        </w:rPr>
        <w:t>3. 企业人员情况：</w:t>
      </w:r>
    </w:p>
    <w:p w14:paraId="03DF881F">
      <w:pPr>
        <w:spacing w:line="400" w:lineRule="exact"/>
        <w:rPr>
          <w:rFonts w:hint="eastAsia"/>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12DAB94F">
      <w:pPr>
        <w:spacing w:line="360" w:lineRule="exact"/>
        <w:ind w:left="660" w:hanging="660" w:hangingChars="300"/>
        <w:outlineLvl w:val="9"/>
        <w:rPr>
          <w:rFonts w:hint="eastAsia"/>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71D0B82E">
      <w:pPr>
        <w:spacing w:line="400" w:lineRule="exact"/>
        <w:ind w:firstLine="220" w:firstLineChars="100"/>
        <w:rPr>
          <w:rFonts w:hint="eastAsia"/>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5898EBC3">
      <w:pPr>
        <w:spacing w:line="400" w:lineRule="exact"/>
        <w:rPr>
          <w:rFonts w:hint="eastAsia"/>
          <w:color w:val="auto"/>
          <w:sz w:val="22"/>
          <w:highlight w:val="none"/>
        </w:rPr>
      </w:pPr>
    </w:p>
    <w:p w14:paraId="786B3C5E">
      <w:pPr>
        <w:spacing w:line="400" w:lineRule="exact"/>
        <w:rPr>
          <w:rFonts w:hint="eastAsia"/>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67F1DAC9">
      <w:pPr>
        <w:spacing w:line="400" w:lineRule="exact"/>
        <w:rPr>
          <w:rFonts w:hint="eastAsia"/>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0ADD6614">
      <w:pPr>
        <w:spacing w:line="400" w:lineRule="exact"/>
        <w:rPr>
          <w:rFonts w:hint="eastAsia"/>
          <w:color w:val="auto"/>
          <w:sz w:val="22"/>
          <w:highlight w:val="none"/>
        </w:rPr>
      </w:pPr>
      <w:r>
        <w:rPr>
          <w:rFonts w:hint="eastAsia"/>
          <w:color w:val="auto"/>
          <w:highlight w:val="none"/>
        </w:rPr>
        <w:t>法定代表人（负责人）或</w:t>
      </w:r>
      <w:r>
        <w:rPr>
          <w:rFonts w:hint="eastAsia"/>
          <w:color w:val="auto"/>
          <w:sz w:val="22"/>
          <w:szCs w:val="22"/>
          <w:highlight w:val="none"/>
          <w:lang w:val="zh-CN"/>
        </w:rPr>
        <w:t>授权代表（签字或签章）</w:t>
      </w:r>
      <w:r>
        <w:rPr>
          <w:rFonts w:hint="eastAsia"/>
          <w:color w:val="auto"/>
          <w:sz w:val="22"/>
          <w:highlight w:val="none"/>
          <w:u w:val="single"/>
        </w:rPr>
        <w:t xml:space="preserve">                           </w:t>
      </w:r>
    </w:p>
    <w:p w14:paraId="4F9718F3">
      <w:pPr>
        <w:spacing w:line="400" w:lineRule="exact"/>
        <w:rPr>
          <w:rFonts w:hint="eastAsia"/>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32FA206F">
      <w:pPr>
        <w:spacing w:line="360" w:lineRule="exact"/>
        <w:rPr>
          <w:rFonts w:hint="eastAsia"/>
          <w:color w:val="auto"/>
          <w:sz w:val="22"/>
          <w:highlight w:val="none"/>
          <w:u w:val="single"/>
        </w:rPr>
      </w:pPr>
      <w:r>
        <w:rPr>
          <w:rFonts w:hint="eastAsia"/>
          <w:color w:val="auto"/>
          <w:sz w:val="22"/>
          <w:highlight w:val="none"/>
        </w:rPr>
        <w:t>电子邮件</w:t>
      </w:r>
      <w:r>
        <w:rPr>
          <w:rFonts w:hint="eastAsia"/>
          <w:color w:val="auto"/>
          <w:sz w:val="22"/>
          <w:highlight w:val="none"/>
          <w:u w:val="single"/>
        </w:rPr>
        <w:t xml:space="preserve">                                 </w:t>
      </w:r>
    </w:p>
    <w:p w14:paraId="650FFB95">
      <w:pPr>
        <w:autoSpaceDE w:val="0"/>
        <w:autoSpaceDN w:val="0"/>
        <w:adjustRightInd w:val="0"/>
        <w:outlineLvl w:val="2"/>
        <w:rPr>
          <w:rFonts w:hint="eastAsia" w:ascii="宋体" w:hAnsi="宋体" w:eastAsia="宋体" w:cs="宋体"/>
          <w:b/>
          <w:bCs w:val="0"/>
          <w:color w:val="auto"/>
          <w:sz w:val="32"/>
          <w:highlight w:val="none"/>
          <w:lang w:val="en-US" w:eastAsia="zh-CN"/>
        </w:rPr>
      </w:pPr>
      <w:r>
        <w:rPr>
          <w:rFonts w:hint="eastAsia" w:ascii="宋体" w:hAnsi="宋体" w:eastAsia="宋体" w:cs="宋体"/>
          <w:b/>
          <w:bCs w:val="0"/>
          <w:color w:val="auto"/>
          <w:sz w:val="32"/>
          <w:highlight w:val="none"/>
          <w:lang w:val="en-US" w:eastAsia="zh-CN"/>
        </w:rPr>
        <w:br w:type="page"/>
      </w:r>
      <w:r>
        <w:rPr>
          <w:rFonts w:hint="eastAsia" w:ascii="宋体" w:hAnsi="宋体" w:eastAsia="宋体" w:cs="宋体"/>
          <w:b/>
          <w:bCs w:val="0"/>
          <w:color w:val="auto"/>
          <w:sz w:val="28"/>
          <w:szCs w:val="28"/>
          <w:highlight w:val="none"/>
          <w:lang w:val="en-US" w:eastAsia="zh-CN"/>
        </w:rPr>
        <w:t>2.5商务偏离表和技术偏离表</w:t>
      </w:r>
    </w:p>
    <w:p w14:paraId="2B7D8269">
      <w:pPr>
        <w:pStyle w:val="35"/>
        <w:outlineLvl w:val="9"/>
        <w:rPr>
          <w:rFonts w:hint="eastAsia"/>
          <w:lang w:val="zh-CN"/>
        </w:rPr>
      </w:pPr>
    </w:p>
    <w:p w14:paraId="610D016C">
      <w:pPr>
        <w:autoSpaceDE w:val="0"/>
        <w:autoSpaceDN w:val="0"/>
        <w:adjustRightInd w:val="0"/>
        <w:spacing w:line="440" w:lineRule="atLeast"/>
        <w:jc w:val="center"/>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商务偏离表</w:t>
      </w:r>
    </w:p>
    <w:p w14:paraId="0452DEA4">
      <w:pPr>
        <w:autoSpaceDE w:val="0"/>
        <w:autoSpaceDN w:val="0"/>
        <w:adjustRightInd w:val="0"/>
        <w:spacing w:line="440" w:lineRule="atLeast"/>
        <w:ind w:firstLine="3413"/>
        <w:rPr>
          <w:rFonts w:hint="eastAsia" w:ascii="宋体" w:hAnsi="宋体" w:eastAsia="宋体" w:cs="宋体"/>
          <w:b/>
          <w:color w:val="auto"/>
          <w:sz w:val="36"/>
          <w:highlight w:val="none"/>
          <w:lang w:val="zh-CN"/>
        </w:rPr>
      </w:pPr>
    </w:p>
    <w:tbl>
      <w:tblPr>
        <w:tblStyle w:val="38"/>
        <w:tblW w:w="9071" w:type="dxa"/>
        <w:jc w:val="center"/>
        <w:tblLayout w:type="fixed"/>
        <w:tblCellMar>
          <w:top w:w="0" w:type="dxa"/>
          <w:left w:w="108" w:type="dxa"/>
          <w:bottom w:w="0" w:type="dxa"/>
          <w:right w:w="108" w:type="dxa"/>
        </w:tblCellMar>
      </w:tblPr>
      <w:tblGrid>
        <w:gridCol w:w="858"/>
        <w:gridCol w:w="1702"/>
        <w:gridCol w:w="2512"/>
        <w:gridCol w:w="1992"/>
        <w:gridCol w:w="2007"/>
      </w:tblGrid>
      <w:tr w14:paraId="62410E18">
        <w:tblPrEx>
          <w:tblCellMar>
            <w:top w:w="0" w:type="dxa"/>
            <w:left w:w="108" w:type="dxa"/>
            <w:bottom w:w="0" w:type="dxa"/>
            <w:right w:w="108" w:type="dxa"/>
          </w:tblCellMar>
        </w:tblPrEx>
        <w:trPr>
          <w:trHeight w:val="936"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center"/>
          </w:tcPr>
          <w:p w14:paraId="3A0F5409">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FF5B218">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6AC58101">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7C91C7EA">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1D0908BB">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59AF4F36">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1C9891C0">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2666BF8A">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6B85F44">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9426165">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B738D9">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0078987">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1AC36CC2">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6C7ACDFC">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7C43295">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47588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D866B8C">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807D52C">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7ACCB284">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4C40EFED">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D8D300B">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6EFA9CA2">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630DF6B">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1B1D6C4">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6135DDE5">
        <w:tblPrEx>
          <w:tblCellMar>
            <w:top w:w="0" w:type="dxa"/>
            <w:left w:w="108" w:type="dxa"/>
            <w:bottom w:w="0" w:type="dxa"/>
            <w:right w:w="108" w:type="dxa"/>
          </w:tblCellMar>
        </w:tblPrEx>
        <w:trPr>
          <w:trHeight w:val="436"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60C10CF7">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9ACA91">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ECFADC3">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F12E742">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0263903">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58BABE58">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1BC431D4">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E9B415A">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AB2D735">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4B011FF">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61CAF20">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65858EB9">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7CA8387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AAE1461">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19CDD16">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860D6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1F15D3E">
            <w:pPr>
              <w:autoSpaceDE w:val="0"/>
              <w:autoSpaceDN w:val="0"/>
              <w:adjustRightInd w:val="0"/>
              <w:spacing w:line="440" w:lineRule="atLeast"/>
              <w:jc w:val="center"/>
              <w:rPr>
                <w:rFonts w:hint="eastAsia" w:ascii="宋体" w:hAnsi="宋体" w:eastAsia="宋体" w:cs="宋体"/>
                <w:b/>
                <w:color w:val="auto"/>
                <w:highlight w:val="none"/>
                <w:lang w:val="zh-CN"/>
              </w:rPr>
            </w:pPr>
          </w:p>
        </w:tc>
      </w:tr>
    </w:tbl>
    <w:p w14:paraId="6B32829C">
      <w:pPr>
        <w:pStyle w:val="21"/>
        <w:spacing w:line="400" w:lineRule="exact"/>
        <w:rPr>
          <w:rFonts w:hint="eastAsia" w:hAnsi="宋体"/>
          <w:b/>
          <w:color w:val="000000"/>
          <w:sz w:val="22"/>
        </w:rPr>
      </w:pPr>
      <w:r>
        <w:rPr>
          <w:rFonts w:hint="eastAsia" w:hAnsi="宋体"/>
          <w:b/>
          <w:color w:val="000000"/>
          <w:sz w:val="22"/>
        </w:rPr>
        <w:t>供应商名称（盖章）：</w:t>
      </w:r>
    </w:p>
    <w:p w14:paraId="4C703AC0">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6AD9D603">
      <w:pPr>
        <w:pStyle w:val="21"/>
        <w:spacing w:line="400" w:lineRule="exact"/>
        <w:rPr>
          <w:rFonts w:hint="eastAsia" w:hAnsi="宋体"/>
          <w:b/>
          <w:color w:val="000000"/>
          <w:sz w:val="22"/>
        </w:rPr>
      </w:pPr>
      <w:r>
        <w:rPr>
          <w:rFonts w:hint="eastAsia" w:hAnsi="宋体"/>
          <w:b/>
          <w:color w:val="000000"/>
          <w:sz w:val="22"/>
        </w:rPr>
        <w:t>日    期：</w:t>
      </w:r>
    </w:p>
    <w:p w14:paraId="716B9C21">
      <w:pPr>
        <w:autoSpaceDE w:val="0"/>
        <w:autoSpaceDN w:val="0"/>
        <w:adjustRightInd w:val="0"/>
        <w:spacing w:line="460" w:lineRule="exact"/>
        <w:rPr>
          <w:rFonts w:hint="eastAsia" w:ascii="宋体" w:hAnsi="宋体" w:eastAsia="宋体" w:cs="宋体"/>
          <w:b/>
          <w:bCs/>
          <w:color w:val="auto"/>
          <w:sz w:val="28"/>
          <w:szCs w:val="28"/>
          <w:highlight w:val="none"/>
          <w:lang w:val="zh-CN"/>
        </w:rPr>
      </w:pPr>
      <w:r>
        <w:rPr>
          <w:rFonts w:hint="eastAsia" w:ascii="宋体" w:hAnsi="宋体" w:eastAsia="宋体" w:cs="宋体"/>
          <w:color w:val="auto"/>
          <w:sz w:val="28"/>
          <w:highlight w:val="none"/>
        </w:rPr>
        <w:t>注：不填写此表，视全部响应招标文件。</w:t>
      </w:r>
    </w:p>
    <w:p w14:paraId="1184A9DF">
      <w:pPr>
        <w:autoSpaceDE w:val="0"/>
        <w:autoSpaceDN w:val="0"/>
        <w:adjustRightInd w:val="0"/>
        <w:spacing w:line="440" w:lineRule="atLeast"/>
        <w:ind w:firstLine="3614" w:firstLineChars="1000"/>
        <w:outlineLvl w:val="9"/>
        <w:rPr>
          <w:rFonts w:hint="eastAsia" w:ascii="宋体" w:hAnsi="宋体" w:eastAsia="宋体" w:cs="宋体"/>
          <w:b/>
          <w:color w:val="auto"/>
          <w:sz w:val="36"/>
          <w:highlight w:val="none"/>
          <w:lang w:val="zh-CN"/>
        </w:rPr>
      </w:pPr>
    </w:p>
    <w:p w14:paraId="6EE4C301">
      <w:pPr>
        <w:autoSpaceDE w:val="0"/>
        <w:autoSpaceDN w:val="0"/>
        <w:adjustRightInd w:val="0"/>
        <w:spacing w:line="440" w:lineRule="atLeast"/>
        <w:jc w:val="center"/>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技术偏离表</w:t>
      </w:r>
    </w:p>
    <w:tbl>
      <w:tblPr>
        <w:tblStyle w:val="38"/>
        <w:tblW w:w="9071" w:type="dxa"/>
        <w:jc w:val="center"/>
        <w:tblLayout w:type="fixed"/>
        <w:tblCellMar>
          <w:top w:w="0" w:type="dxa"/>
          <w:left w:w="108" w:type="dxa"/>
          <w:bottom w:w="0" w:type="dxa"/>
          <w:right w:w="108" w:type="dxa"/>
        </w:tblCellMar>
      </w:tblPr>
      <w:tblGrid>
        <w:gridCol w:w="842"/>
        <w:gridCol w:w="1668"/>
        <w:gridCol w:w="2126"/>
        <w:gridCol w:w="1851"/>
        <w:gridCol w:w="2584"/>
      </w:tblGrid>
      <w:tr w14:paraId="463422E1">
        <w:tblPrEx>
          <w:tblCellMar>
            <w:top w:w="0" w:type="dxa"/>
            <w:left w:w="108" w:type="dxa"/>
            <w:bottom w:w="0" w:type="dxa"/>
            <w:right w:w="108" w:type="dxa"/>
          </w:tblCellMar>
        </w:tblPrEx>
        <w:trPr>
          <w:trHeight w:val="918" w:hRule="atLeast"/>
          <w:jc w:val="center"/>
        </w:trPr>
        <w:tc>
          <w:tcPr>
            <w:tcW w:w="842" w:type="dxa"/>
            <w:tcBorders>
              <w:top w:val="single" w:color="auto" w:sz="6" w:space="0"/>
              <w:left w:val="single" w:color="auto" w:sz="6" w:space="0"/>
              <w:bottom w:val="single" w:color="auto" w:sz="6" w:space="0"/>
              <w:right w:val="single" w:color="auto" w:sz="6" w:space="0"/>
            </w:tcBorders>
            <w:noWrap w:val="0"/>
            <w:vAlign w:val="center"/>
          </w:tcPr>
          <w:p w14:paraId="242096CE">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668" w:type="dxa"/>
            <w:tcBorders>
              <w:top w:val="single" w:color="auto" w:sz="6" w:space="0"/>
              <w:left w:val="single" w:color="auto" w:sz="6" w:space="0"/>
              <w:bottom w:val="single" w:color="auto" w:sz="6" w:space="0"/>
              <w:right w:val="single" w:color="auto" w:sz="6" w:space="0"/>
            </w:tcBorders>
            <w:noWrap w:val="0"/>
            <w:vAlign w:val="center"/>
          </w:tcPr>
          <w:p w14:paraId="2996F60C">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6B89C363">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招标文件规范要求</w:t>
            </w:r>
          </w:p>
        </w:tc>
        <w:tc>
          <w:tcPr>
            <w:tcW w:w="1851" w:type="dxa"/>
            <w:tcBorders>
              <w:top w:val="single" w:color="auto" w:sz="6" w:space="0"/>
              <w:left w:val="single" w:color="auto" w:sz="6" w:space="0"/>
              <w:bottom w:val="single" w:color="auto" w:sz="6" w:space="0"/>
              <w:right w:val="single" w:color="auto" w:sz="6" w:space="0"/>
            </w:tcBorders>
            <w:noWrap w:val="0"/>
            <w:vAlign w:val="center"/>
          </w:tcPr>
          <w:p w14:paraId="6CAC446E">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7034CF73">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584" w:type="dxa"/>
            <w:tcBorders>
              <w:top w:val="single" w:color="auto" w:sz="6" w:space="0"/>
              <w:left w:val="single" w:color="auto" w:sz="6" w:space="0"/>
              <w:bottom w:val="single" w:color="auto" w:sz="6" w:space="0"/>
              <w:right w:val="single" w:color="auto" w:sz="6" w:space="0"/>
            </w:tcBorders>
            <w:noWrap w:val="0"/>
            <w:vAlign w:val="center"/>
          </w:tcPr>
          <w:p w14:paraId="505115E7">
            <w:pPr>
              <w:autoSpaceDE w:val="0"/>
              <w:autoSpaceDN w:val="0"/>
              <w:adjustRightInd w:val="0"/>
              <w:spacing w:line="440" w:lineRule="atLeast"/>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16A1CE12">
        <w:tblPrEx>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noWrap w:val="0"/>
            <w:vAlign w:val="top"/>
          </w:tcPr>
          <w:p w14:paraId="59DA0147">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668" w:type="dxa"/>
            <w:tcBorders>
              <w:top w:val="single" w:color="auto" w:sz="6" w:space="0"/>
              <w:left w:val="single" w:color="auto" w:sz="6" w:space="0"/>
              <w:bottom w:val="single" w:color="auto" w:sz="6" w:space="0"/>
              <w:right w:val="single" w:color="auto" w:sz="6" w:space="0"/>
            </w:tcBorders>
            <w:noWrap w:val="0"/>
            <w:vAlign w:val="top"/>
          </w:tcPr>
          <w:p w14:paraId="50335FF7">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AF30CB4">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51" w:type="dxa"/>
            <w:tcBorders>
              <w:top w:val="single" w:color="auto" w:sz="6" w:space="0"/>
              <w:left w:val="single" w:color="auto" w:sz="6" w:space="0"/>
              <w:bottom w:val="single" w:color="auto" w:sz="6" w:space="0"/>
              <w:right w:val="single" w:color="auto" w:sz="6" w:space="0"/>
            </w:tcBorders>
            <w:noWrap w:val="0"/>
            <w:vAlign w:val="top"/>
          </w:tcPr>
          <w:p w14:paraId="2D055389">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584" w:type="dxa"/>
            <w:tcBorders>
              <w:top w:val="single" w:color="auto" w:sz="6" w:space="0"/>
              <w:left w:val="single" w:color="auto" w:sz="6" w:space="0"/>
              <w:bottom w:val="single" w:color="auto" w:sz="6" w:space="0"/>
              <w:right w:val="single" w:color="auto" w:sz="6" w:space="0"/>
            </w:tcBorders>
            <w:noWrap w:val="0"/>
            <w:vAlign w:val="top"/>
          </w:tcPr>
          <w:p w14:paraId="1D0EA7D4">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1830DFE6">
        <w:tblPrEx>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noWrap w:val="0"/>
            <w:vAlign w:val="top"/>
          </w:tcPr>
          <w:p w14:paraId="75F89913">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668" w:type="dxa"/>
            <w:tcBorders>
              <w:top w:val="single" w:color="auto" w:sz="6" w:space="0"/>
              <w:left w:val="single" w:color="auto" w:sz="6" w:space="0"/>
              <w:bottom w:val="single" w:color="auto" w:sz="6" w:space="0"/>
              <w:right w:val="single" w:color="auto" w:sz="6" w:space="0"/>
            </w:tcBorders>
            <w:noWrap w:val="0"/>
            <w:vAlign w:val="top"/>
          </w:tcPr>
          <w:p w14:paraId="08F160B8">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1194984">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51" w:type="dxa"/>
            <w:tcBorders>
              <w:top w:val="single" w:color="auto" w:sz="6" w:space="0"/>
              <w:left w:val="single" w:color="auto" w:sz="6" w:space="0"/>
              <w:bottom w:val="single" w:color="auto" w:sz="6" w:space="0"/>
              <w:right w:val="single" w:color="auto" w:sz="6" w:space="0"/>
            </w:tcBorders>
            <w:noWrap w:val="0"/>
            <w:vAlign w:val="top"/>
          </w:tcPr>
          <w:p w14:paraId="4353EC65">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584" w:type="dxa"/>
            <w:tcBorders>
              <w:top w:val="single" w:color="auto" w:sz="6" w:space="0"/>
              <w:left w:val="single" w:color="auto" w:sz="6" w:space="0"/>
              <w:bottom w:val="single" w:color="auto" w:sz="6" w:space="0"/>
              <w:right w:val="single" w:color="auto" w:sz="6" w:space="0"/>
            </w:tcBorders>
            <w:noWrap w:val="0"/>
            <w:vAlign w:val="top"/>
          </w:tcPr>
          <w:p w14:paraId="006D2BF3">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4C0077F0">
        <w:tblPrEx>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noWrap w:val="0"/>
            <w:vAlign w:val="top"/>
          </w:tcPr>
          <w:p w14:paraId="53A3214B">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668" w:type="dxa"/>
            <w:tcBorders>
              <w:top w:val="single" w:color="auto" w:sz="6" w:space="0"/>
              <w:left w:val="single" w:color="auto" w:sz="6" w:space="0"/>
              <w:bottom w:val="single" w:color="auto" w:sz="6" w:space="0"/>
              <w:right w:val="single" w:color="auto" w:sz="6" w:space="0"/>
            </w:tcBorders>
            <w:noWrap w:val="0"/>
            <w:vAlign w:val="top"/>
          </w:tcPr>
          <w:p w14:paraId="32CEBA8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5B8D486">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51" w:type="dxa"/>
            <w:tcBorders>
              <w:top w:val="single" w:color="auto" w:sz="6" w:space="0"/>
              <w:left w:val="single" w:color="auto" w:sz="6" w:space="0"/>
              <w:bottom w:val="single" w:color="auto" w:sz="6" w:space="0"/>
              <w:right w:val="single" w:color="auto" w:sz="6" w:space="0"/>
            </w:tcBorders>
            <w:noWrap w:val="0"/>
            <w:vAlign w:val="top"/>
          </w:tcPr>
          <w:p w14:paraId="2324591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584" w:type="dxa"/>
            <w:tcBorders>
              <w:top w:val="single" w:color="auto" w:sz="6" w:space="0"/>
              <w:left w:val="single" w:color="auto" w:sz="6" w:space="0"/>
              <w:bottom w:val="single" w:color="auto" w:sz="6" w:space="0"/>
              <w:right w:val="single" w:color="auto" w:sz="6" w:space="0"/>
            </w:tcBorders>
            <w:noWrap w:val="0"/>
            <w:vAlign w:val="top"/>
          </w:tcPr>
          <w:p w14:paraId="2CC4E559">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1065FD0F">
        <w:tblPrEx>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noWrap w:val="0"/>
            <w:vAlign w:val="top"/>
          </w:tcPr>
          <w:p w14:paraId="1D556169">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668" w:type="dxa"/>
            <w:tcBorders>
              <w:top w:val="single" w:color="auto" w:sz="6" w:space="0"/>
              <w:left w:val="single" w:color="auto" w:sz="6" w:space="0"/>
              <w:bottom w:val="single" w:color="auto" w:sz="6" w:space="0"/>
              <w:right w:val="single" w:color="auto" w:sz="6" w:space="0"/>
            </w:tcBorders>
            <w:noWrap w:val="0"/>
            <w:vAlign w:val="top"/>
          </w:tcPr>
          <w:p w14:paraId="2A842D1B">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534378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51" w:type="dxa"/>
            <w:tcBorders>
              <w:top w:val="single" w:color="auto" w:sz="6" w:space="0"/>
              <w:left w:val="single" w:color="auto" w:sz="6" w:space="0"/>
              <w:bottom w:val="single" w:color="auto" w:sz="6" w:space="0"/>
              <w:right w:val="single" w:color="auto" w:sz="6" w:space="0"/>
            </w:tcBorders>
            <w:noWrap w:val="0"/>
            <w:vAlign w:val="top"/>
          </w:tcPr>
          <w:p w14:paraId="5A6FB373">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584" w:type="dxa"/>
            <w:tcBorders>
              <w:top w:val="single" w:color="auto" w:sz="6" w:space="0"/>
              <w:left w:val="single" w:color="auto" w:sz="6" w:space="0"/>
              <w:bottom w:val="single" w:color="auto" w:sz="6" w:space="0"/>
              <w:right w:val="single" w:color="auto" w:sz="6" w:space="0"/>
            </w:tcBorders>
            <w:noWrap w:val="0"/>
            <w:vAlign w:val="top"/>
          </w:tcPr>
          <w:p w14:paraId="0B89CEE1">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41AA4A7D">
        <w:tblPrEx>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noWrap w:val="0"/>
            <w:vAlign w:val="top"/>
          </w:tcPr>
          <w:p w14:paraId="7BFF38D1">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668" w:type="dxa"/>
            <w:tcBorders>
              <w:top w:val="single" w:color="auto" w:sz="6" w:space="0"/>
              <w:left w:val="single" w:color="auto" w:sz="6" w:space="0"/>
              <w:bottom w:val="single" w:color="auto" w:sz="6" w:space="0"/>
              <w:right w:val="single" w:color="auto" w:sz="6" w:space="0"/>
            </w:tcBorders>
            <w:noWrap w:val="0"/>
            <w:vAlign w:val="top"/>
          </w:tcPr>
          <w:p w14:paraId="1D3AB6C2">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326EC25">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51" w:type="dxa"/>
            <w:tcBorders>
              <w:top w:val="single" w:color="auto" w:sz="6" w:space="0"/>
              <w:left w:val="single" w:color="auto" w:sz="6" w:space="0"/>
              <w:bottom w:val="single" w:color="auto" w:sz="6" w:space="0"/>
              <w:right w:val="single" w:color="auto" w:sz="6" w:space="0"/>
            </w:tcBorders>
            <w:noWrap w:val="0"/>
            <w:vAlign w:val="top"/>
          </w:tcPr>
          <w:p w14:paraId="561E7BEE">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584" w:type="dxa"/>
            <w:tcBorders>
              <w:top w:val="single" w:color="auto" w:sz="6" w:space="0"/>
              <w:left w:val="single" w:color="auto" w:sz="6" w:space="0"/>
              <w:bottom w:val="single" w:color="auto" w:sz="6" w:space="0"/>
              <w:right w:val="single" w:color="auto" w:sz="6" w:space="0"/>
            </w:tcBorders>
            <w:noWrap w:val="0"/>
            <w:vAlign w:val="top"/>
          </w:tcPr>
          <w:p w14:paraId="0D713BCD">
            <w:pPr>
              <w:autoSpaceDE w:val="0"/>
              <w:autoSpaceDN w:val="0"/>
              <w:adjustRightInd w:val="0"/>
              <w:spacing w:line="440" w:lineRule="atLeast"/>
              <w:jc w:val="center"/>
              <w:rPr>
                <w:rFonts w:hint="eastAsia" w:ascii="宋体" w:hAnsi="宋体" w:eastAsia="宋体" w:cs="宋体"/>
                <w:b/>
                <w:color w:val="auto"/>
                <w:highlight w:val="none"/>
                <w:lang w:val="zh-CN"/>
              </w:rPr>
            </w:pPr>
          </w:p>
        </w:tc>
      </w:tr>
      <w:tr w14:paraId="1CB7CC9C">
        <w:tblPrEx>
          <w:tblCellMar>
            <w:top w:w="0" w:type="dxa"/>
            <w:left w:w="108" w:type="dxa"/>
            <w:bottom w:w="0" w:type="dxa"/>
            <w:right w:w="108" w:type="dxa"/>
          </w:tblCellMar>
        </w:tblPrEx>
        <w:trPr>
          <w:jc w:val="center"/>
        </w:trPr>
        <w:tc>
          <w:tcPr>
            <w:tcW w:w="842" w:type="dxa"/>
            <w:tcBorders>
              <w:top w:val="single" w:color="auto" w:sz="6" w:space="0"/>
              <w:left w:val="single" w:color="auto" w:sz="6" w:space="0"/>
              <w:bottom w:val="single" w:color="auto" w:sz="6" w:space="0"/>
              <w:right w:val="single" w:color="auto" w:sz="6" w:space="0"/>
            </w:tcBorders>
            <w:noWrap w:val="0"/>
            <w:vAlign w:val="top"/>
          </w:tcPr>
          <w:p w14:paraId="57DDF3D7">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668" w:type="dxa"/>
            <w:tcBorders>
              <w:top w:val="single" w:color="auto" w:sz="6" w:space="0"/>
              <w:left w:val="single" w:color="auto" w:sz="6" w:space="0"/>
              <w:bottom w:val="single" w:color="auto" w:sz="6" w:space="0"/>
              <w:right w:val="single" w:color="auto" w:sz="6" w:space="0"/>
            </w:tcBorders>
            <w:noWrap w:val="0"/>
            <w:vAlign w:val="top"/>
          </w:tcPr>
          <w:p w14:paraId="03B20648">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E76D635">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1851" w:type="dxa"/>
            <w:tcBorders>
              <w:top w:val="single" w:color="auto" w:sz="6" w:space="0"/>
              <w:left w:val="single" w:color="auto" w:sz="6" w:space="0"/>
              <w:bottom w:val="single" w:color="auto" w:sz="6" w:space="0"/>
              <w:right w:val="single" w:color="auto" w:sz="6" w:space="0"/>
            </w:tcBorders>
            <w:noWrap w:val="0"/>
            <w:vAlign w:val="top"/>
          </w:tcPr>
          <w:p w14:paraId="4E33BE8C">
            <w:pPr>
              <w:autoSpaceDE w:val="0"/>
              <w:autoSpaceDN w:val="0"/>
              <w:adjustRightInd w:val="0"/>
              <w:spacing w:line="440" w:lineRule="atLeast"/>
              <w:jc w:val="center"/>
              <w:rPr>
                <w:rFonts w:hint="eastAsia" w:ascii="宋体" w:hAnsi="宋体" w:eastAsia="宋体" w:cs="宋体"/>
                <w:b/>
                <w:color w:val="auto"/>
                <w:highlight w:val="none"/>
                <w:lang w:val="zh-CN"/>
              </w:rPr>
            </w:pPr>
          </w:p>
        </w:tc>
        <w:tc>
          <w:tcPr>
            <w:tcW w:w="2584" w:type="dxa"/>
            <w:tcBorders>
              <w:top w:val="single" w:color="auto" w:sz="6" w:space="0"/>
              <w:left w:val="single" w:color="auto" w:sz="6" w:space="0"/>
              <w:bottom w:val="single" w:color="auto" w:sz="6" w:space="0"/>
              <w:right w:val="single" w:color="auto" w:sz="6" w:space="0"/>
            </w:tcBorders>
            <w:noWrap w:val="0"/>
            <w:vAlign w:val="top"/>
          </w:tcPr>
          <w:p w14:paraId="19794D94">
            <w:pPr>
              <w:autoSpaceDE w:val="0"/>
              <w:autoSpaceDN w:val="0"/>
              <w:adjustRightInd w:val="0"/>
              <w:spacing w:line="440" w:lineRule="atLeast"/>
              <w:jc w:val="center"/>
              <w:rPr>
                <w:rFonts w:hint="eastAsia" w:ascii="宋体" w:hAnsi="宋体" w:eastAsia="宋体" w:cs="宋体"/>
                <w:b/>
                <w:color w:val="auto"/>
                <w:highlight w:val="none"/>
                <w:lang w:val="zh-CN"/>
              </w:rPr>
            </w:pPr>
          </w:p>
        </w:tc>
      </w:tr>
    </w:tbl>
    <w:p w14:paraId="78CDDE76">
      <w:pPr>
        <w:pStyle w:val="21"/>
        <w:spacing w:line="400" w:lineRule="exact"/>
        <w:rPr>
          <w:rFonts w:hint="eastAsia" w:hAnsi="宋体"/>
          <w:b/>
          <w:color w:val="000000"/>
          <w:sz w:val="22"/>
        </w:rPr>
      </w:pPr>
      <w:r>
        <w:rPr>
          <w:rFonts w:hint="eastAsia" w:hAnsi="宋体"/>
          <w:b/>
          <w:color w:val="000000"/>
          <w:sz w:val="22"/>
        </w:rPr>
        <w:t>供应商名称（盖章）：</w:t>
      </w:r>
    </w:p>
    <w:p w14:paraId="3A238518">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55DB8961">
      <w:pPr>
        <w:pStyle w:val="21"/>
        <w:spacing w:line="400" w:lineRule="exact"/>
        <w:rPr>
          <w:rFonts w:hint="eastAsia" w:hAnsi="宋体"/>
          <w:b/>
          <w:color w:val="000000"/>
          <w:sz w:val="22"/>
        </w:rPr>
      </w:pPr>
      <w:r>
        <w:rPr>
          <w:rFonts w:hint="eastAsia" w:hAnsi="宋体"/>
          <w:b/>
          <w:color w:val="000000"/>
          <w:sz w:val="22"/>
        </w:rPr>
        <w:t>日    期：</w:t>
      </w:r>
    </w:p>
    <w:p w14:paraId="47F87EE7">
      <w:pPr>
        <w:autoSpaceDE w:val="0"/>
        <w:autoSpaceDN w:val="0"/>
        <w:adjustRightInd w:val="0"/>
        <w:spacing w:line="460" w:lineRule="exact"/>
        <w:rPr>
          <w:rFonts w:hint="eastAsia" w:ascii="宋体" w:hAnsi="宋体" w:eastAsia="宋体" w:cs="宋体"/>
          <w:b/>
          <w:bCs/>
          <w:color w:val="auto"/>
          <w:sz w:val="28"/>
          <w:szCs w:val="28"/>
          <w:highlight w:val="none"/>
          <w:lang w:val="zh-CN"/>
        </w:rPr>
      </w:pPr>
      <w:r>
        <w:rPr>
          <w:rFonts w:hint="eastAsia" w:ascii="宋体" w:hAnsi="宋体" w:eastAsia="宋体" w:cs="宋体"/>
          <w:color w:val="auto"/>
          <w:sz w:val="28"/>
          <w:highlight w:val="none"/>
        </w:rPr>
        <w:t>注：不填写此表，视全部响应招标文件。</w:t>
      </w:r>
    </w:p>
    <w:p w14:paraId="6CA1C747">
      <w:pPr>
        <w:pStyle w:val="35"/>
        <w:rPr>
          <w:rFonts w:hint="eastAsia" w:ascii="宋体" w:hAnsi="宋体" w:eastAsia="宋体" w:cs="宋体"/>
          <w:color w:val="auto"/>
          <w:highlight w:val="none"/>
        </w:rPr>
        <w:sectPr>
          <w:pgSz w:w="11906" w:h="16838"/>
          <w:pgMar w:top="1304" w:right="1304" w:bottom="1304" w:left="1304"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7380700">
      <w:pPr>
        <w:pStyle w:val="7"/>
        <w:rPr>
          <w:rFonts w:hint="eastAsia" w:eastAsia="宋体"/>
          <w:color w:val="000000"/>
          <w:lang w:eastAsia="zh-CN"/>
        </w:rPr>
      </w:pPr>
      <w:r>
        <w:rPr>
          <w:rFonts w:hint="eastAsia"/>
          <w:color w:val="000000"/>
        </w:rPr>
        <w:t>2.</w:t>
      </w:r>
      <w:r>
        <w:rPr>
          <w:rFonts w:hint="eastAsia"/>
          <w:color w:val="000000"/>
          <w:lang w:val="en-US" w:eastAsia="zh-CN"/>
        </w:rPr>
        <w:t>6</w:t>
      </w:r>
      <w:r>
        <w:rPr>
          <w:rFonts w:hint="eastAsia"/>
          <w:color w:val="000000"/>
        </w:rPr>
        <w:t>项目负责人、项目小组人员情况</w:t>
      </w:r>
      <w:r>
        <w:rPr>
          <w:rFonts w:hint="eastAsia"/>
          <w:color w:val="000000"/>
          <w:lang w:eastAsia="zh-CN"/>
        </w:rPr>
        <w:t>表</w:t>
      </w:r>
    </w:p>
    <w:p w14:paraId="5874526D">
      <w:pPr>
        <w:jc w:val="center"/>
        <w:rPr>
          <w:b/>
          <w:sz w:val="30"/>
          <w:szCs w:val="30"/>
        </w:rPr>
      </w:pPr>
      <w:r>
        <w:rPr>
          <w:rFonts w:hint="eastAsia"/>
          <w:b/>
          <w:sz w:val="30"/>
          <w:szCs w:val="30"/>
        </w:rPr>
        <w:t>（一）拟派项目负责人情况表</w:t>
      </w:r>
    </w:p>
    <w:tbl>
      <w:tblPr>
        <w:tblStyle w:val="38"/>
        <w:tblpPr w:leftFromText="180" w:rightFromText="180" w:vertAnchor="text" w:horzAnchor="margin" w:tblpY="108"/>
        <w:tblW w:w="96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389"/>
        <w:gridCol w:w="2115"/>
        <w:gridCol w:w="5176"/>
      </w:tblGrid>
      <w:tr w14:paraId="34348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1" w:hRule="atLeast"/>
        </w:trPr>
        <w:tc>
          <w:tcPr>
            <w:tcW w:w="2389" w:type="dxa"/>
            <w:vAlign w:val="center"/>
          </w:tcPr>
          <w:p w14:paraId="270223D6">
            <w:pPr>
              <w:autoSpaceDE w:val="0"/>
              <w:autoSpaceDN w:val="0"/>
              <w:adjustRightInd w:val="0"/>
              <w:jc w:val="center"/>
              <w:rPr>
                <w:rFonts w:ascii="宋体"/>
                <w:sz w:val="22"/>
              </w:rPr>
            </w:pPr>
            <w:r>
              <w:rPr>
                <w:rFonts w:ascii="宋体"/>
                <w:sz w:val="22"/>
              </w:rPr>
              <w:t>姓名</w:t>
            </w:r>
          </w:p>
        </w:tc>
        <w:tc>
          <w:tcPr>
            <w:tcW w:w="2115" w:type="dxa"/>
            <w:vAlign w:val="center"/>
          </w:tcPr>
          <w:p w14:paraId="62E9F6C8">
            <w:pPr>
              <w:autoSpaceDE w:val="0"/>
              <w:autoSpaceDN w:val="0"/>
              <w:adjustRightInd w:val="0"/>
              <w:jc w:val="center"/>
              <w:rPr>
                <w:rFonts w:ascii="宋体"/>
                <w:sz w:val="22"/>
              </w:rPr>
            </w:pPr>
          </w:p>
        </w:tc>
        <w:tc>
          <w:tcPr>
            <w:tcW w:w="5176" w:type="dxa"/>
            <w:vAlign w:val="center"/>
          </w:tcPr>
          <w:p w14:paraId="6953A6AC">
            <w:pPr>
              <w:autoSpaceDE w:val="0"/>
              <w:autoSpaceDN w:val="0"/>
              <w:adjustRightInd w:val="0"/>
              <w:jc w:val="center"/>
              <w:rPr>
                <w:rFonts w:ascii="宋体"/>
                <w:sz w:val="22"/>
              </w:rPr>
            </w:pPr>
            <w:r>
              <w:rPr>
                <w:rFonts w:ascii="宋体"/>
                <w:sz w:val="22"/>
              </w:rPr>
              <w:t>近年业绩及承担的主要工作情况</w:t>
            </w:r>
          </w:p>
        </w:tc>
      </w:tr>
      <w:tr w14:paraId="1C14E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58A24F86">
            <w:pPr>
              <w:autoSpaceDE w:val="0"/>
              <w:autoSpaceDN w:val="0"/>
              <w:adjustRightInd w:val="0"/>
              <w:jc w:val="center"/>
              <w:rPr>
                <w:rFonts w:ascii="宋体"/>
                <w:sz w:val="22"/>
              </w:rPr>
            </w:pPr>
            <w:r>
              <w:rPr>
                <w:rFonts w:ascii="宋体"/>
                <w:sz w:val="22"/>
              </w:rPr>
              <w:t>性别</w:t>
            </w:r>
          </w:p>
        </w:tc>
        <w:tc>
          <w:tcPr>
            <w:tcW w:w="2115" w:type="dxa"/>
            <w:vAlign w:val="center"/>
          </w:tcPr>
          <w:p w14:paraId="15210185">
            <w:pPr>
              <w:autoSpaceDE w:val="0"/>
              <w:autoSpaceDN w:val="0"/>
              <w:adjustRightInd w:val="0"/>
              <w:jc w:val="center"/>
              <w:rPr>
                <w:rFonts w:ascii="宋体"/>
                <w:sz w:val="22"/>
              </w:rPr>
            </w:pPr>
          </w:p>
        </w:tc>
        <w:tc>
          <w:tcPr>
            <w:tcW w:w="5176" w:type="dxa"/>
            <w:vMerge w:val="restart"/>
            <w:vAlign w:val="center"/>
          </w:tcPr>
          <w:p w14:paraId="7911FADE">
            <w:pPr>
              <w:adjustRightInd w:val="0"/>
              <w:jc w:val="center"/>
              <w:rPr>
                <w:rFonts w:ascii="宋体" w:cs="Arial"/>
                <w:b/>
                <w:sz w:val="22"/>
              </w:rPr>
            </w:pPr>
          </w:p>
        </w:tc>
      </w:tr>
      <w:tr w14:paraId="66E4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06A9D72A">
            <w:pPr>
              <w:autoSpaceDE w:val="0"/>
              <w:autoSpaceDN w:val="0"/>
              <w:adjustRightInd w:val="0"/>
              <w:jc w:val="center"/>
              <w:rPr>
                <w:rFonts w:ascii="宋体"/>
                <w:sz w:val="22"/>
              </w:rPr>
            </w:pPr>
            <w:r>
              <w:rPr>
                <w:rFonts w:ascii="宋体"/>
                <w:sz w:val="22"/>
              </w:rPr>
              <w:t>年龄</w:t>
            </w:r>
          </w:p>
        </w:tc>
        <w:tc>
          <w:tcPr>
            <w:tcW w:w="2115" w:type="dxa"/>
            <w:vAlign w:val="center"/>
          </w:tcPr>
          <w:p w14:paraId="675ABB42">
            <w:pPr>
              <w:autoSpaceDE w:val="0"/>
              <w:autoSpaceDN w:val="0"/>
              <w:adjustRightInd w:val="0"/>
              <w:jc w:val="center"/>
              <w:rPr>
                <w:rFonts w:ascii="宋体"/>
                <w:sz w:val="22"/>
              </w:rPr>
            </w:pPr>
          </w:p>
        </w:tc>
        <w:tc>
          <w:tcPr>
            <w:tcW w:w="5176" w:type="dxa"/>
            <w:vMerge w:val="continue"/>
            <w:vAlign w:val="center"/>
          </w:tcPr>
          <w:p w14:paraId="1258A95A">
            <w:pPr>
              <w:adjustRightInd w:val="0"/>
              <w:jc w:val="center"/>
              <w:rPr>
                <w:rFonts w:ascii="宋体" w:cs="Arial"/>
                <w:b/>
                <w:sz w:val="22"/>
              </w:rPr>
            </w:pPr>
          </w:p>
        </w:tc>
      </w:tr>
      <w:tr w14:paraId="45C4A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50B97F84">
            <w:pPr>
              <w:autoSpaceDE w:val="0"/>
              <w:autoSpaceDN w:val="0"/>
              <w:adjustRightInd w:val="0"/>
              <w:jc w:val="center"/>
              <w:rPr>
                <w:rFonts w:ascii="宋体"/>
                <w:sz w:val="22"/>
              </w:rPr>
            </w:pPr>
            <w:r>
              <w:rPr>
                <w:rFonts w:ascii="宋体"/>
                <w:sz w:val="22"/>
              </w:rPr>
              <w:t>职称</w:t>
            </w:r>
          </w:p>
        </w:tc>
        <w:tc>
          <w:tcPr>
            <w:tcW w:w="2115" w:type="dxa"/>
            <w:vAlign w:val="center"/>
          </w:tcPr>
          <w:p w14:paraId="7135248E">
            <w:pPr>
              <w:autoSpaceDE w:val="0"/>
              <w:autoSpaceDN w:val="0"/>
              <w:adjustRightInd w:val="0"/>
              <w:jc w:val="center"/>
              <w:rPr>
                <w:rFonts w:ascii="宋体"/>
                <w:sz w:val="22"/>
              </w:rPr>
            </w:pPr>
          </w:p>
        </w:tc>
        <w:tc>
          <w:tcPr>
            <w:tcW w:w="5176" w:type="dxa"/>
            <w:vMerge w:val="continue"/>
            <w:vAlign w:val="center"/>
          </w:tcPr>
          <w:p w14:paraId="6F42D8DC">
            <w:pPr>
              <w:adjustRightInd w:val="0"/>
              <w:jc w:val="center"/>
              <w:rPr>
                <w:rFonts w:ascii="宋体" w:cs="Arial"/>
                <w:b/>
                <w:sz w:val="22"/>
              </w:rPr>
            </w:pPr>
          </w:p>
        </w:tc>
      </w:tr>
      <w:tr w14:paraId="413D1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5154C7FF">
            <w:pPr>
              <w:autoSpaceDE w:val="0"/>
              <w:autoSpaceDN w:val="0"/>
              <w:adjustRightInd w:val="0"/>
              <w:jc w:val="center"/>
              <w:rPr>
                <w:rFonts w:ascii="宋体"/>
                <w:sz w:val="22"/>
              </w:rPr>
            </w:pPr>
            <w:r>
              <w:rPr>
                <w:rFonts w:ascii="宋体"/>
                <w:sz w:val="22"/>
              </w:rPr>
              <w:t>毕业时间</w:t>
            </w:r>
          </w:p>
        </w:tc>
        <w:tc>
          <w:tcPr>
            <w:tcW w:w="2115" w:type="dxa"/>
            <w:vAlign w:val="center"/>
          </w:tcPr>
          <w:p w14:paraId="14197268">
            <w:pPr>
              <w:autoSpaceDE w:val="0"/>
              <w:autoSpaceDN w:val="0"/>
              <w:adjustRightInd w:val="0"/>
              <w:jc w:val="center"/>
              <w:rPr>
                <w:rFonts w:ascii="宋体"/>
                <w:sz w:val="22"/>
              </w:rPr>
            </w:pPr>
          </w:p>
        </w:tc>
        <w:tc>
          <w:tcPr>
            <w:tcW w:w="5176" w:type="dxa"/>
            <w:vMerge w:val="continue"/>
            <w:vAlign w:val="center"/>
          </w:tcPr>
          <w:p w14:paraId="1CABD077">
            <w:pPr>
              <w:adjustRightInd w:val="0"/>
              <w:jc w:val="center"/>
              <w:rPr>
                <w:rFonts w:ascii="宋体" w:cs="Arial"/>
                <w:b/>
                <w:sz w:val="22"/>
              </w:rPr>
            </w:pPr>
          </w:p>
        </w:tc>
      </w:tr>
      <w:tr w14:paraId="00734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77002C8E">
            <w:pPr>
              <w:autoSpaceDE w:val="0"/>
              <w:autoSpaceDN w:val="0"/>
              <w:adjustRightInd w:val="0"/>
              <w:jc w:val="center"/>
              <w:rPr>
                <w:rFonts w:ascii="宋体"/>
                <w:sz w:val="22"/>
              </w:rPr>
            </w:pPr>
            <w:r>
              <w:rPr>
                <w:rFonts w:ascii="宋体"/>
                <w:sz w:val="22"/>
              </w:rPr>
              <w:t>所学专业</w:t>
            </w:r>
          </w:p>
        </w:tc>
        <w:tc>
          <w:tcPr>
            <w:tcW w:w="2115" w:type="dxa"/>
            <w:vAlign w:val="center"/>
          </w:tcPr>
          <w:p w14:paraId="2C657B21">
            <w:pPr>
              <w:autoSpaceDE w:val="0"/>
              <w:autoSpaceDN w:val="0"/>
              <w:adjustRightInd w:val="0"/>
              <w:jc w:val="center"/>
              <w:rPr>
                <w:rFonts w:ascii="宋体"/>
                <w:sz w:val="22"/>
              </w:rPr>
            </w:pPr>
          </w:p>
        </w:tc>
        <w:tc>
          <w:tcPr>
            <w:tcW w:w="5176" w:type="dxa"/>
            <w:vMerge w:val="continue"/>
            <w:vAlign w:val="center"/>
          </w:tcPr>
          <w:p w14:paraId="17745364">
            <w:pPr>
              <w:adjustRightInd w:val="0"/>
              <w:jc w:val="center"/>
              <w:rPr>
                <w:rFonts w:ascii="宋体" w:cs="Arial"/>
                <w:b/>
                <w:sz w:val="22"/>
              </w:rPr>
            </w:pPr>
          </w:p>
        </w:tc>
      </w:tr>
      <w:tr w14:paraId="4DECB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0E9377DC">
            <w:pPr>
              <w:autoSpaceDE w:val="0"/>
              <w:autoSpaceDN w:val="0"/>
              <w:adjustRightInd w:val="0"/>
              <w:jc w:val="center"/>
              <w:rPr>
                <w:rFonts w:ascii="宋体"/>
                <w:sz w:val="22"/>
              </w:rPr>
            </w:pPr>
            <w:r>
              <w:rPr>
                <w:rFonts w:ascii="宋体"/>
                <w:sz w:val="22"/>
              </w:rPr>
              <w:t>学历</w:t>
            </w:r>
          </w:p>
        </w:tc>
        <w:tc>
          <w:tcPr>
            <w:tcW w:w="2115" w:type="dxa"/>
            <w:vAlign w:val="center"/>
          </w:tcPr>
          <w:p w14:paraId="0C4E1159">
            <w:pPr>
              <w:autoSpaceDE w:val="0"/>
              <w:autoSpaceDN w:val="0"/>
              <w:adjustRightInd w:val="0"/>
              <w:jc w:val="center"/>
              <w:rPr>
                <w:rFonts w:ascii="宋体"/>
                <w:sz w:val="22"/>
              </w:rPr>
            </w:pPr>
          </w:p>
        </w:tc>
        <w:tc>
          <w:tcPr>
            <w:tcW w:w="5176" w:type="dxa"/>
            <w:vMerge w:val="continue"/>
            <w:vAlign w:val="center"/>
          </w:tcPr>
          <w:p w14:paraId="658C1355">
            <w:pPr>
              <w:adjustRightInd w:val="0"/>
              <w:jc w:val="center"/>
              <w:rPr>
                <w:rFonts w:ascii="宋体" w:cs="Arial"/>
                <w:b/>
                <w:sz w:val="22"/>
              </w:rPr>
            </w:pPr>
          </w:p>
        </w:tc>
      </w:tr>
      <w:tr w14:paraId="2FDBA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00244877">
            <w:pPr>
              <w:autoSpaceDE w:val="0"/>
              <w:autoSpaceDN w:val="0"/>
              <w:adjustRightInd w:val="0"/>
              <w:jc w:val="center"/>
              <w:rPr>
                <w:rFonts w:ascii="宋体"/>
                <w:sz w:val="22"/>
              </w:rPr>
            </w:pPr>
            <w:r>
              <w:rPr>
                <w:rFonts w:hint="eastAsia" w:ascii="宋体"/>
                <w:sz w:val="22"/>
              </w:rPr>
              <w:t>从业年限</w:t>
            </w:r>
          </w:p>
        </w:tc>
        <w:tc>
          <w:tcPr>
            <w:tcW w:w="2115" w:type="dxa"/>
            <w:vAlign w:val="center"/>
          </w:tcPr>
          <w:p w14:paraId="08D727FF">
            <w:pPr>
              <w:autoSpaceDE w:val="0"/>
              <w:autoSpaceDN w:val="0"/>
              <w:adjustRightInd w:val="0"/>
              <w:jc w:val="center"/>
              <w:rPr>
                <w:rFonts w:ascii="宋体"/>
                <w:sz w:val="22"/>
              </w:rPr>
            </w:pPr>
          </w:p>
        </w:tc>
        <w:tc>
          <w:tcPr>
            <w:tcW w:w="5176" w:type="dxa"/>
            <w:vMerge w:val="continue"/>
            <w:vAlign w:val="center"/>
          </w:tcPr>
          <w:p w14:paraId="4857C010">
            <w:pPr>
              <w:adjustRightInd w:val="0"/>
              <w:jc w:val="center"/>
              <w:rPr>
                <w:rFonts w:ascii="宋体" w:cs="Arial"/>
                <w:b/>
                <w:sz w:val="22"/>
              </w:rPr>
            </w:pPr>
          </w:p>
        </w:tc>
      </w:tr>
      <w:tr w14:paraId="0DFCC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756D057B">
            <w:pPr>
              <w:autoSpaceDE w:val="0"/>
              <w:autoSpaceDN w:val="0"/>
              <w:adjustRightInd w:val="0"/>
              <w:jc w:val="center"/>
              <w:rPr>
                <w:rFonts w:ascii="宋体"/>
                <w:sz w:val="22"/>
              </w:rPr>
            </w:pPr>
            <w:r>
              <w:rPr>
                <w:rFonts w:ascii="宋体"/>
                <w:sz w:val="22"/>
              </w:rPr>
              <w:t>证书编号</w:t>
            </w:r>
          </w:p>
        </w:tc>
        <w:tc>
          <w:tcPr>
            <w:tcW w:w="2115" w:type="dxa"/>
            <w:vAlign w:val="center"/>
          </w:tcPr>
          <w:p w14:paraId="3480B574">
            <w:pPr>
              <w:autoSpaceDE w:val="0"/>
              <w:autoSpaceDN w:val="0"/>
              <w:adjustRightInd w:val="0"/>
              <w:jc w:val="center"/>
              <w:rPr>
                <w:rFonts w:ascii="宋体"/>
                <w:sz w:val="22"/>
              </w:rPr>
            </w:pPr>
          </w:p>
        </w:tc>
        <w:tc>
          <w:tcPr>
            <w:tcW w:w="5176" w:type="dxa"/>
            <w:vMerge w:val="continue"/>
            <w:vAlign w:val="center"/>
          </w:tcPr>
          <w:p w14:paraId="04816224">
            <w:pPr>
              <w:adjustRightInd w:val="0"/>
              <w:jc w:val="center"/>
              <w:rPr>
                <w:rFonts w:ascii="宋体" w:cs="Arial"/>
                <w:b/>
                <w:sz w:val="22"/>
              </w:rPr>
            </w:pPr>
          </w:p>
        </w:tc>
      </w:tr>
      <w:tr w14:paraId="66144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2A3825EA">
            <w:pPr>
              <w:autoSpaceDE w:val="0"/>
              <w:autoSpaceDN w:val="0"/>
              <w:adjustRightInd w:val="0"/>
              <w:jc w:val="center"/>
              <w:rPr>
                <w:rFonts w:ascii="宋体"/>
                <w:sz w:val="22"/>
              </w:rPr>
            </w:pPr>
            <w:r>
              <w:rPr>
                <w:rFonts w:ascii="宋体"/>
                <w:sz w:val="22"/>
              </w:rPr>
              <w:t>其他资质情况</w:t>
            </w:r>
          </w:p>
        </w:tc>
        <w:tc>
          <w:tcPr>
            <w:tcW w:w="2115" w:type="dxa"/>
            <w:vAlign w:val="center"/>
          </w:tcPr>
          <w:p w14:paraId="28E03758">
            <w:pPr>
              <w:autoSpaceDE w:val="0"/>
              <w:autoSpaceDN w:val="0"/>
              <w:adjustRightInd w:val="0"/>
              <w:jc w:val="center"/>
              <w:rPr>
                <w:rFonts w:ascii="宋体"/>
                <w:sz w:val="22"/>
              </w:rPr>
            </w:pPr>
          </w:p>
        </w:tc>
        <w:tc>
          <w:tcPr>
            <w:tcW w:w="5176" w:type="dxa"/>
            <w:vMerge w:val="continue"/>
            <w:vAlign w:val="center"/>
          </w:tcPr>
          <w:p w14:paraId="143659CF">
            <w:pPr>
              <w:adjustRightInd w:val="0"/>
              <w:jc w:val="center"/>
              <w:rPr>
                <w:rFonts w:ascii="宋体" w:cs="Arial"/>
                <w:b/>
                <w:sz w:val="22"/>
              </w:rPr>
            </w:pPr>
          </w:p>
        </w:tc>
      </w:tr>
      <w:tr w14:paraId="79DB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trPr>
        <w:tc>
          <w:tcPr>
            <w:tcW w:w="2389" w:type="dxa"/>
            <w:vAlign w:val="center"/>
          </w:tcPr>
          <w:p w14:paraId="18B98A06">
            <w:pPr>
              <w:autoSpaceDE w:val="0"/>
              <w:autoSpaceDN w:val="0"/>
              <w:adjustRightInd w:val="0"/>
              <w:jc w:val="center"/>
              <w:rPr>
                <w:rFonts w:ascii="宋体"/>
                <w:sz w:val="22"/>
              </w:rPr>
            </w:pPr>
            <w:r>
              <w:rPr>
                <w:rFonts w:ascii="宋体"/>
                <w:sz w:val="22"/>
              </w:rPr>
              <w:t>联系电话</w:t>
            </w:r>
          </w:p>
        </w:tc>
        <w:tc>
          <w:tcPr>
            <w:tcW w:w="2115" w:type="dxa"/>
            <w:vAlign w:val="center"/>
          </w:tcPr>
          <w:p w14:paraId="5EC70AEC">
            <w:pPr>
              <w:autoSpaceDE w:val="0"/>
              <w:autoSpaceDN w:val="0"/>
              <w:adjustRightInd w:val="0"/>
              <w:jc w:val="center"/>
              <w:rPr>
                <w:rFonts w:ascii="宋体"/>
                <w:sz w:val="22"/>
              </w:rPr>
            </w:pPr>
          </w:p>
        </w:tc>
        <w:tc>
          <w:tcPr>
            <w:tcW w:w="5176" w:type="dxa"/>
            <w:vMerge w:val="continue"/>
            <w:vAlign w:val="center"/>
          </w:tcPr>
          <w:p w14:paraId="12960C52">
            <w:pPr>
              <w:adjustRightInd w:val="0"/>
              <w:jc w:val="center"/>
              <w:rPr>
                <w:rFonts w:ascii="宋体" w:cs="Arial"/>
                <w:b/>
                <w:sz w:val="22"/>
              </w:rPr>
            </w:pPr>
          </w:p>
        </w:tc>
      </w:tr>
    </w:tbl>
    <w:p w14:paraId="535CF663">
      <w:pPr>
        <w:spacing w:line="380" w:lineRule="exact"/>
        <w:jc w:val="center"/>
        <w:rPr>
          <w:rFonts w:ascii="宋体"/>
          <w:b/>
          <w:sz w:val="22"/>
          <w:u w:val="single"/>
        </w:rPr>
      </w:pPr>
      <w:r>
        <w:rPr>
          <w:rFonts w:hint="eastAsia" w:ascii="宋体"/>
          <w:b/>
          <w:sz w:val="22"/>
          <w:u w:val="single"/>
        </w:rPr>
        <w:t>注：必须是公司正式在编人员。</w:t>
      </w:r>
    </w:p>
    <w:p w14:paraId="47F65133">
      <w:pPr>
        <w:rPr>
          <w:rFonts w:ascii="宋体"/>
          <w:sz w:val="22"/>
        </w:rPr>
      </w:pPr>
    </w:p>
    <w:p w14:paraId="2F64C63A">
      <w:pPr>
        <w:pStyle w:val="21"/>
        <w:spacing w:line="400" w:lineRule="exact"/>
        <w:rPr>
          <w:rFonts w:hint="eastAsia" w:hAnsi="宋体"/>
          <w:b/>
          <w:color w:val="000000"/>
          <w:sz w:val="22"/>
        </w:rPr>
      </w:pPr>
      <w:r>
        <w:rPr>
          <w:rFonts w:hint="eastAsia" w:hAnsi="宋体"/>
          <w:b/>
          <w:color w:val="000000"/>
          <w:sz w:val="22"/>
        </w:rPr>
        <w:t>供应商名称（盖章）：</w:t>
      </w:r>
    </w:p>
    <w:p w14:paraId="6B61026D">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2AE0EAF2">
      <w:pPr>
        <w:pStyle w:val="21"/>
        <w:spacing w:line="400" w:lineRule="exact"/>
        <w:rPr>
          <w:rFonts w:hint="eastAsia" w:hAnsi="宋体"/>
          <w:b/>
          <w:color w:val="000000"/>
          <w:sz w:val="22"/>
        </w:rPr>
      </w:pPr>
      <w:r>
        <w:rPr>
          <w:rFonts w:hint="eastAsia" w:hAnsi="宋体"/>
          <w:b/>
          <w:color w:val="000000"/>
          <w:sz w:val="22"/>
        </w:rPr>
        <w:t>日    期：</w:t>
      </w:r>
    </w:p>
    <w:p w14:paraId="052B08DF">
      <w:pPr>
        <w:spacing w:line="500" w:lineRule="exact"/>
        <w:ind w:firstLine="431" w:firstLineChars="196"/>
        <w:rPr>
          <w:rFonts w:ascii="宋体"/>
          <w:sz w:val="22"/>
        </w:rPr>
      </w:pPr>
    </w:p>
    <w:p w14:paraId="330E553A">
      <w:pPr>
        <w:autoSpaceDE w:val="0"/>
        <w:autoSpaceDN w:val="0"/>
        <w:adjustRightInd w:val="0"/>
        <w:spacing w:line="440" w:lineRule="atLeast"/>
        <w:rPr>
          <w:rFonts w:ascii="宋体" w:cs="仿宋_GB2312"/>
          <w:sz w:val="32"/>
          <w:szCs w:val="32"/>
          <w:lang w:val="zh-CN"/>
        </w:rPr>
      </w:pPr>
    </w:p>
    <w:p w14:paraId="2162158B">
      <w:pPr>
        <w:autoSpaceDE w:val="0"/>
        <w:autoSpaceDN w:val="0"/>
        <w:adjustRightInd w:val="0"/>
        <w:spacing w:line="440" w:lineRule="atLeast"/>
        <w:jc w:val="center"/>
        <w:rPr>
          <w:rFonts w:ascii="宋体" w:cs="仿宋_GB2312"/>
          <w:sz w:val="32"/>
          <w:szCs w:val="32"/>
          <w:lang w:val="zh-CN"/>
        </w:rPr>
      </w:pPr>
      <w:r>
        <w:rPr>
          <w:rFonts w:hint="eastAsia" w:ascii="宋体" w:cs="仿宋_GB2312"/>
          <w:sz w:val="32"/>
          <w:szCs w:val="32"/>
          <w:lang w:val="zh-CN"/>
        </w:rPr>
        <w:t>（二）项目小组人员情况表</w:t>
      </w:r>
    </w:p>
    <w:tbl>
      <w:tblPr>
        <w:tblStyle w:val="38"/>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7"/>
        <w:gridCol w:w="1776"/>
        <w:gridCol w:w="1061"/>
        <w:gridCol w:w="863"/>
        <w:gridCol w:w="937"/>
        <w:gridCol w:w="1050"/>
        <w:gridCol w:w="1175"/>
        <w:gridCol w:w="1175"/>
        <w:gridCol w:w="954"/>
      </w:tblGrid>
      <w:tr w14:paraId="49B51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7" w:type="dxa"/>
            <w:vAlign w:val="center"/>
          </w:tcPr>
          <w:p w14:paraId="4AD948D5">
            <w:pPr>
              <w:adjustRightInd w:val="0"/>
              <w:snapToGrid w:val="0"/>
              <w:jc w:val="center"/>
              <w:rPr>
                <w:rFonts w:ascii="宋体"/>
                <w:sz w:val="22"/>
              </w:rPr>
            </w:pPr>
            <w:r>
              <w:rPr>
                <w:rFonts w:hint="eastAsia" w:ascii="宋体"/>
                <w:sz w:val="22"/>
              </w:rPr>
              <w:t>序号</w:t>
            </w:r>
          </w:p>
        </w:tc>
        <w:tc>
          <w:tcPr>
            <w:tcW w:w="1776" w:type="dxa"/>
            <w:vAlign w:val="center"/>
          </w:tcPr>
          <w:p w14:paraId="4A88D7D2">
            <w:pPr>
              <w:adjustRightInd w:val="0"/>
              <w:snapToGrid w:val="0"/>
              <w:jc w:val="center"/>
              <w:rPr>
                <w:rFonts w:ascii="宋体"/>
                <w:sz w:val="22"/>
              </w:rPr>
            </w:pPr>
            <w:r>
              <w:rPr>
                <w:rFonts w:hint="eastAsia" w:ascii="宋体"/>
                <w:sz w:val="22"/>
              </w:rPr>
              <w:t>姓名</w:t>
            </w:r>
          </w:p>
        </w:tc>
        <w:tc>
          <w:tcPr>
            <w:tcW w:w="1061" w:type="dxa"/>
            <w:vAlign w:val="center"/>
          </w:tcPr>
          <w:p w14:paraId="3D253257">
            <w:pPr>
              <w:adjustRightInd w:val="0"/>
              <w:snapToGrid w:val="0"/>
              <w:jc w:val="center"/>
              <w:rPr>
                <w:rFonts w:ascii="宋体"/>
                <w:sz w:val="22"/>
              </w:rPr>
            </w:pPr>
            <w:r>
              <w:rPr>
                <w:rFonts w:hint="eastAsia" w:ascii="宋体"/>
                <w:sz w:val="22"/>
              </w:rPr>
              <w:t>性别</w:t>
            </w:r>
          </w:p>
        </w:tc>
        <w:tc>
          <w:tcPr>
            <w:tcW w:w="863" w:type="dxa"/>
            <w:vAlign w:val="center"/>
          </w:tcPr>
          <w:p w14:paraId="68CB45BE">
            <w:pPr>
              <w:adjustRightInd w:val="0"/>
              <w:snapToGrid w:val="0"/>
              <w:jc w:val="center"/>
              <w:rPr>
                <w:rFonts w:ascii="宋体"/>
                <w:sz w:val="22"/>
              </w:rPr>
            </w:pPr>
            <w:r>
              <w:rPr>
                <w:rFonts w:hint="eastAsia" w:ascii="宋体"/>
                <w:sz w:val="22"/>
              </w:rPr>
              <w:t>年龄</w:t>
            </w:r>
          </w:p>
        </w:tc>
        <w:tc>
          <w:tcPr>
            <w:tcW w:w="937" w:type="dxa"/>
            <w:vAlign w:val="center"/>
          </w:tcPr>
          <w:p w14:paraId="595B2818">
            <w:pPr>
              <w:adjustRightInd w:val="0"/>
              <w:snapToGrid w:val="0"/>
              <w:jc w:val="center"/>
              <w:rPr>
                <w:rFonts w:ascii="宋体"/>
                <w:sz w:val="22"/>
              </w:rPr>
            </w:pPr>
            <w:r>
              <w:rPr>
                <w:rFonts w:hint="eastAsia" w:ascii="宋体"/>
                <w:sz w:val="22"/>
              </w:rPr>
              <w:t>学历</w:t>
            </w:r>
          </w:p>
        </w:tc>
        <w:tc>
          <w:tcPr>
            <w:tcW w:w="1050" w:type="dxa"/>
            <w:vAlign w:val="center"/>
          </w:tcPr>
          <w:p w14:paraId="747182AD">
            <w:pPr>
              <w:adjustRightInd w:val="0"/>
              <w:snapToGrid w:val="0"/>
              <w:jc w:val="center"/>
              <w:rPr>
                <w:rFonts w:ascii="宋体"/>
                <w:sz w:val="22"/>
              </w:rPr>
            </w:pPr>
            <w:r>
              <w:rPr>
                <w:rFonts w:hint="eastAsia" w:ascii="宋体"/>
                <w:sz w:val="22"/>
              </w:rPr>
              <w:t>专业</w:t>
            </w:r>
          </w:p>
        </w:tc>
        <w:tc>
          <w:tcPr>
            <w:tcW w:w="1175" w:type="dxa"/>
            <w:vAlign w:val="center"/>
          </w:tcPr>
          <w:p w14:paraId="42CDC25D">
            <w:pPr>
              <w:adjustRightInd w:val="0"/>
              <w:snapToGrid w:val="0"/>
              <w:jc w:val="center"/>
              <w:rPr>
                <w:rFonts w:ascii="宋体"/>
                <w:sz w:val="22"/>
              </w:rPr>
            </w:pPr>
            <w:r>
              <w:rPr>
                <w:rFonts w:hint="eastAsia" w:ascii="宋体"/>
                <w:sz w:val="22"/>
              </w:rPr>
              <w:t>职称</w:t>
            </w:r>
          </w:p>
        </w:tc>
        <w:tc>
          <w:tcPr>
            <w:tcW w:w="1175" w:type="dxa"/>
            <w:vAlign w:val="center"/>
          </w:tcPr>
          <w:p w14:paraId="1427E19F">
            <w:pPr>
              <w:adjustRightInd w:val="0"/>
              <w:snapToGrid w:val="0"/>
              <w:jc w:val="center"/>
              <w:rPr>
                <w:rFonts w:ascii="宋体"/>
                <w:sz w:val="22"/>
              </w:rPr>
            </w:pPr>
            <w:r>
              <w:rPr>
                <w:rFonts w:hint="eastAsia" w:ascii="宋体"/>
                <w:sz w:val="22"/>
              </w:rPr>
              <w:t>本项目中的职责</w:t>
            </w:r>
          </w:p>
        </w:tc>
        <w:tc>
          <w:tcPr>
            <w:tcW w:w="954" w:type="dxa"/>
            <w:vAlign w:val="center"/>
          </w:tcPr>
          <w:p w14:paraId="7EF6F93F">
            <w:pPr>
              <w:adjustRightInd w:val="0"/>
              <w:snapToGrid w:val="0"/>
              <w:jc w:val="center"/>
              <w:rPr>
                <w:rFonts w:ascii="宋体"/>
                <w:sz w:val="22"/>
              </w:rPr>
            </w:pPr>
            <w:r>
              <w:rPr>
                <w:rFonts w:hint="eastAsia" w:ascii="宋体"/>
                <w:sz w:val="22"/>
              </w:rPr>
              <w:t>从事专业年限</w:t>
            </w:r>
          </w:p>
        </w:tc>
      </w:tr>
      <w:tr w14:paraId="36059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426971A8">
            <w:pPr>
              <w:adjustRightInd w:val="0"/>
              <w:snapToGrid w:val="0"/>
              <w:spacing w:line="360" w:lineRule="auto"/>
              <w:jc w:val="center"/>
              <w:rPr>
                <w:rFonts w:ascii="宋体"/>
                <w:sz w:val="22"/>
              </w:rPr>
            </w:pPr>
          </w:p>
        </w:tc>
        <w:tc>
          <w:tcPr>
            <w:tcW w:w="1776" w:type="dxa"/>
            <w:vAlign w:val="center"/>
          </w:tcPr>
          <w:p w14:paraId="19275169">
            <w:pPr>
              <w:adjustRightInd w:val="0"/>
              <w:snapToGrid w:val="0"/>
              <w:spacing w:line="360" w:lineRule="auto"/>
              <w:jc w:val="center"/>
              <w:rPr>
                <w:rFonts w:ascii="宋体"/>
                <w:sz w:val="22"/>
              </w:rPr>
            </w:pPr>
          </w:p>
        </w:tc>
        <w:tc>
          <w:tcPr>
            <w:tcW w:w="1061" w:type="dxa"/>
            <w:vAlign w:val="center"/>
          </w:tcPr>
          <w:p w14:paraId="27415C65">
            <w:pPr>
              <w:adjustRightInd w:val="0"/>
              <w:snapToGrid w:val="0"/>
              <w:spacing w:line="360" w:lineRule="auto"/>
              <w:jc w:val="center"/>
              <w:rPr>
                <w:rFonts w:ascii="宋体"/>
                <w:sz w:val="22"/>
              </w:rPr>
            </w:pPr>
          </w:p>
        </w:tc>
        <w:tc>
          <w:tcPr>
            <w:tcW w:w="863" w:type="dxa"/>
            <w:vAlign w:val="center"/>
          </w:tcPr>
          <w:p w14:paraId="02C631F1">
            <w:pPr>
              <w:adjustRightInd w:val="0"/>
              <w:snapToGrid w:val="0"/>
              <w:spacing w:line="360" w:lineRule="auto"/>
              <w:jc w:val="center"/>
              <w:rPr>
                <w:rFonts w:ascii="宋体"/>
                <w:sz w:val="22"/>
              </w:rPr>
            </w:pPr>
          </w:p>
        </w:tc>
        <w:tc>
          <w:tcPr>
            <w:tcW w:w="937" w:type="dxa"/>
            <w:vAlign w:val="center"/>
          </w:tcPr>
          <w:p w14:paraId="5658CB81">
            <w:pPr>
              <w:adjustRightInd w:val="0"/>
              <w:snapToGrid w:val="0"/>
              <w:spacing w:line="360" w:lineRule="auto"/>
              <w:jc w:val="center"/>
              <w:rPr>
                <w:rFonts w:ascii="宋体"/>
                <w:sz w:val="22"/>
              </w:rPr>
            </w:pPr>
          </w:p>
        </w:tc>
        <w:tc>
          <w:tcPr>
            <w:tcW w:w="1050" w:type="dxa"/>
            <w:vAlign w:val="center"/>
          </w:tcPr>
          <w:p w14:paraId="5B54F2E7">
            <w:pPr>
              <w:adjustRightInd w:val="0"/>
              <w:snapToGrid w:val="0"/>
              <w:spacing w:line="360" w:lineRule="auto"/>
              <w:jc w:val="center"/>
              <w:rPr>
                <w:rFonts w:ascii="宋体"/>
                <w:sz w:val="22"/>
              </w:rPr>
            </w:pPr>
          </w:p>
        </w:tc>
        <w:tc>
          <w:tcPr>
            <w:tcW w:w="1175" w:type="dxa"/>
            <w:vAlign w:val="center"/>
          </w:tcPr>
          <w:p w14:paraId="69C30652">
            <w:pPr>
              <w:adjustRightInd w:val="0"/>
              <w:snapToGrid w:val="0"/>
              <w:spacing w:line="360" w:lineRule="auto"/>
              <w:jc w:val="center"/>
              <w:rPr>
                <w:rFonts w:ascii="宋体"/>
                <w:sz w:val="22"/>
              </w:rPr>
            </w:pPr>
          </w:p>
        </w:tc>
        <w:tc>
          <w:tcPr>
            <w:tcW w:w="1175" w:type="dxa"/>
            <w:vAlign w:val="center"/>
          </w:tcPr>
          <w:p w14:paraId="5A95F386">
            <w:pPr>
              <w:adjustRightInd w:val="0"/>
              <w:snapToGrid w:val="0"/>
              <w:spacing w:line="360" w:lineRule="auto"/>
              <w:jc w:val="center"/>
              <w:rPr>
                <w:rFonts w:ascii="宋体"/>
                <w:sz w:val="22"/>
              </w:rPr>
            </w:pPr>
          </w:p>
        </w:tc>
        <w:tc>
          <w:tcPr>
            <w:tcW w:w="954" w:type="dxa"/>
            <w:vAlign w:val="center"/>
          </w:tcPr>
          <w:p w14:paraId="2F99403E">
            <w:pPr>
              <w:adjustRightInd w:val="0"/>
              <w:snapToGrid w:val="0"/>
              <w:spacing w:line="360" w:lineRule="auto"/>
              <w:jc w:val="center"/>
              <w:rPr>
                <w:rFonts w:ascii="宋体"/>
                <w:sz w:val="22"/>
              </w:rPr>
            </w:pPr>
          </w:p>
        </w:tc>
      </w:tr>
      <w:tr w14:paraId="4346F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392459E7">
            <w:pPr>
              <w:adjustRightInd w:val="0"/>
              <w:snapToGrid w:val="0"/>
              <w:spacing w:line="360" w:lineRule="auto"/>
              <w:jc w:val="center"/>
              <w:rPr>
                <w:rFonts w:ascii="宋体"/>
                <w:sz w:val="22"/>
              </w:rPr>
            </w:pPr>
          </w:p>
        </w:tc>
        <w:tc>
          <w:tcPr>
            <w:tcW w:w="1776" w:type="dxa"/>
            <w:vAlign w:val="center"/>
          </w:tcPr>
          <w:p w14:paraId="756EC15E">
            <w:pPr>
              <w:adjustRightInd w:val="0"/>
              <w:snapToGrid w:val="0"/>
              <w:spacing w:line="360" w:lineRule="auto"/>
              <w:jc w:val="center"/>
              <w:rPr>
                <w:rFonts w:ascii="宋体"/>
                <w:sz w:val="22"/>
              </w:rPr>
            </w:pPr>
          </w:p>
        </w:tc>
        <w:tc>
          <w:tcPr>
            <w:tcW w:w="1061" w:type="dxa"/>
            <w:vAlign w:val="center"/>
          </w:tcPr>
          <w:p w14:paraId="7504CA55">
            <w:pPr>
              <w:adjustRightInd w:val="0"/>
              <w:snapToGrid w:val="0"/>
              <w:spacing w:line="360" w:lineRule="auto"/>
              <w:jc w:val="center"/>
              <w:rPr>
                <w:rFonts w:ascii="宋体"/>
                <w:sz w:val="22"/>
              </w:rPr>
            </w:pPr>
          </w:p>
        </w:tc>
        <w:tc>
          <w:tcPr>
            <w:tcW w:w="863" w:type="dxa"/>
            <w:vAlign w:val="center"/>
          </w:tcPr>
          <w:p w14:paraId="59F9B530">
            <w:pPr>
              <w:adjustRightInd w:val="0"/>
              <w:snapToGrid w:val="0"/>
              <w:spacing w:line="360" w:lineRule="auto"/>
              <w:jc w:val="center"/>
              <w:rPr>
                <w:rFonts w:ascii="宋体"/>
                <w:sz w:val="22"/>
              </w:rPr>
            </w:pPr>
          </w:p>
        </w:tc>
        <w:tc>
          <w:tcPr>
            <w:tcW w:w="937" w:type="dxa"/>
            <w:vAlign w:val="center"/>
          </w:tcPr>
          <w:p w14:paraId="18AEB18F">
            <w:pPr>
              <w:adjustRightInd w:val="0"/>
              <w:snapToGrid w:val="0"/>
              <w:spacing w:line="360" w:lineRule="auto"/>
              <w:jc w:val="center"/>
              <w:rPr>
                <w:rFonts w:ascii="宋体"/>
                <w:sz w:val="22"/>
              </w:rPr>
            </w:pPr>
          </w:p>
        </w:tc>
        <w:tc>
          <w:tcPr>
            <w:tcW w:w="1050" w:type="dxa"/>
            <w:vAlign w:val="center"/>
          </w:tcPr>
          <w:p w14:paraId="00E7A481">
            <w:pPr>
              <w:adjustRightInd w:val="0"/>
              <w:snapToGrid w:val="0"/>
              <w:spacing w:line="360" w:lineRule="auto"/>
              <w:jc w:val="center"/>
              <w:rPr>
                <w:rFonts w:ascii="宋体"/>
                <w:sz w:val="22"/>
              </w:rPr>
            </w:pPr>
          </w:p>
        </w:tc>
        <w:tc>
          <w:tcPr>
            <w:tcW w:w="1175" w:type="dxa"/>
            <w:vAlign w:val="center"/>
          </w:tcPr>
          <w:p w14:paraId="5A46E6CA">
            <w:pPr>
              <w:adjustRightInd w:val="0"/>
              <w:snapToGrid w:val="0"/>
              <w:spacing w:line="360" w:lineRule="auto"/>
              <w:jc w:val="center"/>
              <w:rPr>
                <w:rFonts w:ascii="宋体"/>
                <w:sz w:val="22"/>
              </w:rPr>
            </w:pPr>
          </w:p>
        </w:tc>
        <w:tc>
          <w:tcPr>
            <w:tcW w:w="1175" w:type="dxa"/>
            <w:vAlign w:val="center"/>
          </w:tcPr>
          <w:p w14:paraId="76321125">
            <w:pPr>
              <w:adjustRightInd w:val="0"/>
              <w:snapToGrid w:val="0"/>
              <w:spacing w:line="360" w:lineRule="auto"/>
              <w:jc w:val="center"/>
              <w:rPr>
                <w:rFonts w:ascii="宋体"/>
                <w:sz w:val="22"/>
              </w:rPr>
            </w:pPr>
          </w:p>
        </w:tc>
        <w:tc>
          <w:tcPr>
            <w:tcW w:w="954" w:type="dxa"/>
            <w:vAlign w:val="center"/>
          </w:tcPr>
          <w:p w14:paraId="6AB108DD">
            <w:pPr>
              <w:adjustRightInd w:val="0"/>
              <w:snapToGrid w:val="0"/>
              <w:spacing w:line="360" w:lineRule="auto"/>
              <w:jc w:val="center"/>
              <w:rPr>
                <w:rFonts w:ascii="宋体"/>
                <w:sz w:val="22"/>
              </w:rPr>
            </w:pPr>
          </w:p>
        </w:tc>
      </w:tr>
      <w:tr w14:paraId="05AB5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1B5BC735">
            <w:pPr>
              <w:adjustRightInd w:val="0"/>
              <w:snapToGrid w:val="0"/>
              <w:spacing w:line="360" w:lineRule="auto"/>
              <w:jc w:val="center"/>
              <w:rPr>
                <w:rFonts w:ascii="宋体"/>
                <w:sz w:val="22"/>
              </w:rPr>
            </w:pPr>
          </w:p>
        </w:tc>
        <w:tc>
          <w:tcPr>
            <w:tcW w:w="1776" w:type="dxa"/>
            <w:vAlign w:val="center"/>
          </w:tcPr>
          <w:p w14:paraId="6738A0FF">
            <w:pPr>
              <w:adjustRightInd w:val="0"/>
              <w:snapToGrid w:val="0"/>
              <w:spacing w:line="360" w:lineRule="auto"/>
              <w:jc w:val="center"/>
              <w:rPr>
                <w:rFonts w:ascii="宋体"/>
                <w:sz w:val="22"/>
              </w:rPr>
            </w:pPr>
          </w:p>
        </w:tc>
        <w:tc>
          <w:tcPr>
            <w:tcW w:w="1061" w:type="dxa"/>
            <w:vAlign w:val="center"/>
          </w:tcPr>
          <w:p w14:paraId="0C001B81">
            <w:pPr>
              <w:adjustRightInd w:val="0"/>
              <w:snapToGrid w:val="0"/>
              <w:spacing w:line="360" w:lineRule="auto"/>
              <w:jc w:val="center"/>
              <w:rPr>
                <w:rFonts w:ascii="宋体"/>
                <w:sz w:val="22"/>
              </w:rPr>
            </w:pPr>
          </w:p>
        </w:tc>
        <w:tc>
          <w:tcPr>
            <w:tcW w:w="863" w:type="dxa"/>
            <w:vAlign w:val="center"/>
          </w:tcPr>
          <w:p w14:paraId="36CF8851">
            <w:pPr>
              <w:adjustRightInd w:val="0"/>
              <w:snapToGrid w:val="0"/>
              <w:spacing w:line="360" w:lineRule="auto"/>
              <w:jc w:val="center"/>
              <w:rPr>
                <w:rFonts w:ascii="宋体"/>
                <w:sz w:val="22"/>
              </w:rPr>
            </w:pPr>
          </w:p>
        </w:tc>
        <w:tc>
          <w:tcPr>
            <w:tcW w:w="937" w:type="dxa"/>
            <w:vAlign w:val="center"/>
          </w:tcPr>
          <w:p w14:paraId="5506DBEB">
            <w:pPr>
              <w:adjustRightInd w:val="0"/>
              <w:snapToGrid w:val="0"/>
              <w:spacing w:line="360" w:lineRule="auto"/>
              <w:jc w:val="center"/>
              <w:rPr>
                <w:rFonts w:ascii="宋体"/>
                <w:sz w:val="22"/>
              </w:rPr>
            </w:pPr>
          </w:p>
        </w:tc>
        <w:tc>
          <w:tcPr>
            <w:tcW w:w="1050" w:type="dxa"/>
            <w:vAlign w:val="center"/>
          </w:tcPr>
          <w:p w14:paraId="660E27B7">
            <w:pPr>
              <w:adjustRightInd w:val="0"/>
              <w:snapToGrid w:val="0"/>
              <w:spacing w:line="360" w:lineRule="auto"/>
              <w:jc w:val="center"/>
              <w:rPr>
                <w:rFonts w:ascii="宋体"/>
                <w:sz w:val="22"/>
              </w:rPr>
            </w:pPr>
          </w:p>
        </w:tc>
        <w:tc>
          <w:tcPr>
            <w:tcW w:w="1175" w:type="dxa"/>
            <w:vAlign w:val="center"/>
          </w:tcPr>
          <w:p w14:paraId="15E64EE5">
            <w:pPr>
              <w:adjustRightInd w:val="0"/>
              <w:snapToGrid w:val="0"/>
              <w:spacing w:line="360" w:lineRule="auto"/>
              <w:jc w:val="center"/>
              <w:rPr>
                <w:rFonts w:ascii="宋体"/>
                <w:sz w:val="22"/>
              </w:rPr>
            </w:pPr>
          </w:p>
        </w:tc>
        <w:tc>
          <w:tcPr>
            <w:tcW w:w="1175" w:type="dxa"/>
            <w:vAlign w:val="center"/>
          </w:tcPr>
          <w:p w14:paraId="666FABD6">
            <w:pPr>
              <w:adjustRightInd w:val="0"/>
              <w:snapToGrid w:val="0"/>
              <w:spacing w:line="360" w:lineRule="auto"/>
              <w:jc w:val="center"/>
              <w:rPr>
                <w:rFonts w:ascii="宋体"/>
                <w:sz w:val="22"/>
              </w:rPr>
            </w:pPr>
          </w:p>
        </w:tc>
        <w:tc>
          <w:tcPr>
            <w:tcW w:w="954" w:type="dxa"/>
            <w:vAlign w:val="center"/>
          </w:tcPr>
          <w:p w14:paraId="4F54792E">
            <w:pPr>
              <w:adjustRightInd w:val="0"/>
              <w:snapToGrid w:val="0"/>
              <w:spacing w:line="360" w:lineRule="auto"/>
              <w:jc w:val="center"/>
              <w:rPr>
                <w:rFonts w:ascii="宋体"/>
                <w:sz w:val="22"/>
              </w:rPr>
            </w:pPr>
          </w:p>
        </w:tc>
      </w:tr>
      <w:tr w14:paraId="5138F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33B6C5D6">
            <w:pPr>
              <w:adjustRightInd w:val="0"/>
              <w:snapToGrid w:val="0"/>
              <w:spacing w:line="360" w:lineRule="auto"/>
              <w:jc w:val="center"/>
              <w:rPr>
                <w:rFonts w:ascii="宋体"/>
                <w:sz w:val="22"/>
              </w:rPr>
            </w:pPr>
          </w:p>
        </w:tc>
        <w:tc>
          <w:tcPr>
            <w:tcW w:w="1776" w:type="dxa"/>
            <w:vAlign w:val="center"/>
          </w:tcPr>
          <w:p w14:paraId="0D350EE4">
            <w:pPr>
              <w:adjustRightInd w:val="0"/>
              <w:snapToGrid w:val="0"/>
              <w:spacing w:line="360" w:lineRule="auto"/>
              <w:jc w:val="center"/>
              <w:rPr>
                <w:rFonts w:ascii="宋体"/>
                <w:sz w:val="22"/>
              </w:rPr>
            </w:pPr>
          </w:p>
        </w:tc>
        <w:tc>
          <w:tcPr>
            <w:tcW w:w="1061" w:type="dxa"/>
            <w:vAlign w:val="center"/>
          </w:tcPr>
          <w:p w14:paraId="3D04E3A0">
            <w:pPr>
              <w:adjustRightInd w:val="0"/>
              <w:snapToGrid w:val="0"/>
              <w:spacing w:line="360" w:lineRule="auto"/>
              <w:jc w:val="center"/>
              <w:rPr>
                <w:rFonts w:ascii="宋体"/>
                <w:sz w:val="22"/>
              </w:rPr>
            </w:pPr>
          </w:p>
        </w:tc>
        <w:tc>
          <w:tcPr>
            <w:tcW w:w="863" w:type="dxa"/>
            <w:vAlign w:val="center"/>
          </w:tcPr>
          <w:p w14:paraId="3439DE57">
            <w:pPr>
              <w:adjustRightInd w:val="0"/>
              <w:snapToGrid w:val="0"/>
              <w:spacing w:line="360" w:lineRule="auto"/>
              <w:jc w:val="center"/>
              <w:rPr>
                <w:rFonts w:ascii="宋体"/>
                <w:sz w:val="22"/>
              </w:rPr>
            </w:pPr>
          </w:p>
        </w:tc>
        <w:tc>
          <w:tcPr>
            <w:tcW w:w="937" w:type="dxa"/>
            <w:vAlign w:val="center"/>
          </w:tcPr>
          <w:p w14:paraId="32CD36DC">
            <w:pPr>
              <w:adjustRightInd w:val="0"/>
              <w:snapToGrid w:val="0"/>
              <w:spacing w:line="360" w:lineRule="auto"/>
              <w:jc w:val="center"/>
              <w:rPr>
                <w:rFonts w:ascii="宋体"/>
                <w:sz w:val="22"/>
              </w:rPr>
            </w:pPr>
          </w:p>
        </w:tc>
        <w:tc>
          <w:tcPr>
            <w:tcW w:w="1050" w:type="dxa"/>
            <w:vAlign w:val="center"/>
          </w:tcPr>
          <w:p w14:paraId="61590FB7">
            <w:pPr>
              <w:adjustRightInd w:val="0"/>
              <w:snapToGrid w:val="0"/>
              <w:spacing w:line="360" w:lineRule="auto"/>
              <w:jc w:val="center"/>
              <w:rPr>
                <w:rFonts w:ascii="宋体"/>
                <w:sz w:val="22"/>
              </w:rPr>
            </w:pPr>
          </w:p>
        </w:tc>
        <w:tc>
          <w:tcPr>
            <w:tcW w:w="1175" w:type="dxa"/>
            <w:vAlign w:val="center"/>
          </w:tcPr>
          <w:p w14:paraId="3D5AFDED">
            <w:pPr>
              <w:adjustRightInd w:val="0"/>
              <w:snapToGrid w:val="0"/>
              <w:spacing w:line="360" w:lineRule="auto"/>
              <w:jc w:val="center"/>
              <w:rPr>
                <w:rFonts w:ascii="宋体"/>
                <w:sz w:val="22"/>
              </w:rPr>
            </w:pPr>
          </w:p>
        </w:tc>
        <w:tc>
          <w:tcPr>
            <w:tcW w:w="1175" w:type="dxa"/>
            <w:vAlign w:val="center"/>
          </w:tcPr>
          <w:p w14:paraId="091150D9">
            <w:pPr>
              <w:adjustRightInd w:val="0"/>
              <w:snapToGrid w:val="0"/>
              <w:spacing w:line="360" w:lineRule="auto"/>
              <w:jc w:val="center"/>
              <w:rPr>
                <w:rFonts w:ascii="宋体"/>
                <w:sz w:val="22"/>
              </w:rPr>
            </w:pPr>
          </w:p>
        </w:tc>
        <w:tc>
          <w:tcPr>
            <w:tcW w:w="954" w:type="dxa"/>
            <w:vAlign w:val="center"/>
          </w:tcPr>
          <w:p w14:paraId="280B503E">
            <w:pPr>
              <w:adjustRightInd w:val="0"/>
              <w:snapToGrid w:val="0"/>
              <w:spacing w:line="360" w:lineRule="auto"/>
              <w:jc w:val="center"/>
              <w:rPr>
                <w:rFonts w:ascii="宋体"/>
                <w:sz w:val="22"/>
              </w:rPr>
            </w:pPr>
          </w:p>
        </w:tc>
      </w:tr>
      <w:tr w14:paraId="02ED1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0A85310B">
            <w:pPr>
              <w:adjustRightInd w:val="0"/>
              <w:snapToGrid w:val="0"/>
              <w:spacing w:line="360" w:lineRule="auto"/>
              <w:jc w:val="center"/>
              <w:rPr>
                <w:rFonts w:ascii="宋体"/>
                <w:sz w:val="22"/>
              </w:rPr>
            </w:pPr>
          </w:p>
        </w:tc>
        <w:tc>
          <w:tcPr>
            <w:tcW w:w="1776" w:type="dxa"/>
            <w:vAlign w:val="center"/>
          </w:tcPr>
          <w:p w14:paraId="60EBB73C">
            <w:pPr>
              <w:adjustRightInd w:val="0"/>
              <w:snapToGrid w:val="0"/>
              <w:spacing w:line="360" w:lineRule="auto"/>
              <w:jc w:val="center"/>
              <w:rPr>
                <w:rFonts w:ascii="宋体"/>
                <w:sz w:val="22"/>
              </w:rPr>
            </w:pPr>
          </w:p>
        </w:tc>
        <w:tc>
          <w:tcPr>
            <w:tcW w:w="1061" w:type="dxa"/>
            <w:vAlign w:val="center"/>
          </w:tcPr>
          <w:p w14:paraId="780D4E5B">
            <w:pPr>
              <w:adjustRightInd w:val="0"/>
              <w:snapToGrid w:val="0"/>
              <w:spacing w:line="360" w:lineRule="auto"/>
              <w:jc w:val="center"/>
              <w:rPr>
                <w:rFonts w:ascii="宋体"/>
                <w:sz w:val="22"/>
              </w:rPr>
            </w:pPr>
          </w:p>
        </w:tc>
        <w:tc>
          <w:tcPr>
            <w:tcW w:w="863" w:type="dxa"/>
            <w:vAlign w:val="center"/>
          </w:tcPr>
          <w:p w14:paraId="7597E98E">
            <w:pPr>
              <w:adjustRightInd w:val="0"/>
              <w:snapToGrid w:val="0"/>
              <w:spacing w:line="360" w:lineRule="auto"/>
              <w:jc w:val="center"/>
              <w:rPr>
                <w:rFonts w:ascii="宋体"/>
                <w:sz w:val="22"/>
              </w:rPr>
            </w:pPr>
          </w:p>
        </w:tc>
        <w:tc>
          <w:tcPr>
            <w:tcW w:w="937" w:type="dxa"/>
            <w:vAlign w:val="center"/>
          </w:tcPr>
          <w:p w14:paraId="333170D6">
            <w:pPr>
              <w:adjustRightInd w:val="0"/>
              <w:snapToGrid w:val="0"/>
              <w:spacing w:line="360" w:lineRule="auto"/>
              <w:jc w:val="center"/>
              <w:rPr>
                <w:rFonts w:ascii="宋体"/>
                <w:sz w:val="22"/>
              </w:rPr>
            </w:pPr>
          </w:p>
        </w:tc>
        <w:tc>
          <w:tcPr>
            <w:tcW w:w="1050" w:type="dxa"/>
            <w:vAlign w:val="center"/>
          </w:tcPr>
          <w:p w14:paraId="49D605E9">
            <w:pPr>
              <w:adjustRightInd w:val="0"/>
              <w:snapToGrid w:val="0"/>
              <w:spacing w:line="360" w:lineRule="auto"/>
              <w:jc w:val="center"/>
              <w:rPr>
                <w:rFonts w:ascii="宋体"/>
                <w:sz w:val="22"/>
              </w:rPr>
            </w:pPr>
          </w:p>
        </w:tc>
        <w:tc>
          <w:tcPr>
            <w:tcW w:w="1175" w:type="dxa"/>
            <w:vAlign w:val="center"/>
          </w:tcPr>
          <w:p w14:paraId="32992BE9">
            <w:pPr>
              <w:adjustRightInd w:val="0"/>
              <w:snapToGrid w:val="0"/>
              <w:spacing w:line="360" w:lineRule="auto"/>
              <w:jc w:val="center"/>
              <w:rPr>
                <w:rFonts w:ascii="宋体"/>
                <w:sz w:val="22"/>
              </w:rPr>
            </w:pPr>
          </w:p>
        </w:tc>
        <w:tc>
          <w:tcPr>
            <w:tcW w:w="1175" w:type="dxa"/>
            <w:vAlign w:val="center"/>
          </w:tcPr>
          <w:p w14:paraId="5B246350">
            <w:pPr>
              <w:adjustRightInd w:val="0"/>
              <w:snapToGrid w:val="0"/>
              <w:spacing w:line="360" w:lineRule="auto"/>
              <w:jc w:val="center"/>
              <w:rPr>
                <w:rFonts w:ascii="宋体"/>
                <w:sz w:val="22"/>
              </w:rPr>
            </w:pPr>
          </w:p>
        </w:tc>
        <w:tc>
          <w:tcPr>
            <w:tcW w:w="954" w:type="dxa"/>
            <w:vAlign w:val="center"/>
          </w:tcPr>
          <w:p w14:paraId="7266C0B0">
            <w:pPr>
              <w:adjustRightInd w:val="0"/>
              <w:snapToGrid w:val="0"/>
              <w:spacing w:line="360" w:lineRule="auto"/>
              <w:jc w:val="center"/>
              <w:rPr>
                <w:rFonts w:ascii="宋体"/>
                <w:sz w:val="22"/>
              </w:rPr>
            </w:pPr>
          </w:p>
        </w:tc>
      </w:tr>
      <w:tr w14:paraId="0165F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455772C0">
            <w:pPr>
              <w:adjustRightInd w:val="0"/>
              <w:snapToGrid w:val="0"/>
              <w:spacing w:line="360" w:lineRule="auto"/>
              <w:jc w:val="center"/>
              <w:rPr>
                <w:rFonts w:ascii="宋体"/>
                <w:sz w:val="22"/>
              </w:rPr>
            </w:pPr>
          </w:p>
        </w:tc>
        <w:tc>
          <w:tcPr>
            <w:tcW w:w="1776" w:type="dxa"/>
            <w:vAlign w:val="center"/>
          </w:tcPr>
          <w:p w14:paraId="32447CA7">
            <w:pPr>
              <w:adjustRightInd w:val="0"/>
              <w:snapToGrid w:val="0"/>
              <w:spacing w:line="360" w:lineRule="auto"/>
              <w:jc w:val="center"/>
              <w:rPr>
                <w:rFonts w:ascii="宋体"/>
                <w:sz w:val="22"/>
              </w:rPr>
            </w:pPr>
          </w:p>
        </w:tc>
        <w:tc>
          <w:tcPr>
            <w:tcW w:w="1061" w:type="dxa"/>
            <w:vAlign w:val="center"/>
          </w:tcPr>
          <w:p w14:paraId="6D82AEEA">
            <w:pPr>
              <w:adjustRightInd w:val="0"/>
              <w:snapToGrid w:val="0"/>
              <w:spacing w:line="360" w:lineRule="auto"/>
              <w:jc w:val="center"/>
              <w:rPr>
                <w:rFonts w:ascii="宋体"/>
                <w:sz w:val="22"/>
              </w:rPr>
            </w:pPr>
          </w:p>
        </w:tc>
        <w:tc>
          <w:tcPr>
            <w:tcW w:w="863" w:type="dxa"/>
            <w:vAlign w:val="center"/>
          </w:tcPr>
          <w:p w14:paraId="6CE935E8">
            <w:pPr>
              <w:adjustRightInd w:val="0"/>
              <w:snapToGrid w:val="0"/>
              <w:spacing w:line="360" w:lineRule="auto"/>
              <w:jc w:val="center"/>
              <w:rPr>
                <w:rFonts w:ascii="宋体"/>
                <w:sz w:val="22"/>
              </w:rPr>
            </w:pPr>
          </w:p>
        </w:tc>
        <w:tc>
          <w:tcPr>
            <w:tcW w:w="937" w:type="dxa"/>
            <w:vAlign w:val="center"/>
          </w:tcPr>
          <w:p w14:paraId="21FC96CF">
            <w:pPr>
              <w:adjustRightInd w:val="0"/>
              <w:snapToGrid w:val="0"/>
              <w:spacing w:line="360" w:lineRule="auto"/>
              <w:jc w:val="center"/>
              <w:rPr>
                <w:rFonts w:ascii="宋体"/>
                <w:sz w:val="22"/>
              </w:rPr>
            </w:pPr>
          </w:p>
        </w:tc>
        <w:tc>
          <w:tcPr>
            <w:tcW w:w="1050" w:type="dxa"/>
            <w:vAlign w:val="center"/>
          </w:tcPr>
          <w:p w14:paraId="591B6CD0">
            <w:pPr>
              <w:adjustRightInd w:val="0"/>
              <w:snapToGrid w:val="0"/>
              <w:spacing w:line="360" w:lineRule="auto"/>
              <w:jc w:val="center"/>
              <w:rPr>
                <w:rFonts w:ascii="宋体"/>
                <w:sz w:val="22"/>
              </w:rPr>
            </w:pPr>
          </w:p>
        </w:tc>
        <w:tc>
          <w:tcPr>
            <w:tcW w:w="1175" w:type="dxa"/>
            <w:vAlign w:val="center"/>
          </w:tcPr>
          <w:p w14:paraId="6DF349CA">
            <w:pPr>
              <w:adjustRightInd w:val="0"/>
              <w:snapToGrid w:val="0"/>
              <w:spacing w:line="360" w:lineRule="auto"/>
              <w:jc w:val="center"/>
              <w:rPr>
                <w:rFonts w:ascii="宋体"/>
                <w:sz w:val="22"/>
              </w:rPr>
            </w:pPr>
          </w:p>
        </w:tc>
        <w:tc>
          <w:tcPr>
            <w:tcW w:w="1175" w:type="dxa"/>
            <w:vAlign w:val="center"/>
          </w:tcPr>
          <w:p w14:paraId="31CA85C0">
            <w:pPr>
              <w:adjustRightInd w:val="0"/>
              <w:snapToGrid w:val="0"/>
              <w:spacing w:line="360" w:lineRule="auto"/>
              <w:jc w:val="center"/>
              <w:rPr>
                <w:rFonts w:ascii="宋体"/>
                <w:sz w:val="22"/>
              </w:rPr>
            </w:pPr>
          </w:p>
        </w:tc>
        <w:tc>
          <w:tcPr>
            <w:tcW w:w="954" w:type="dxa"/>
            <w:vAlign w:val="center"/>
          </w:tcPr>
          <w:p w14:paraId="262BFB70">
            <w:pPr>
              <w:adjustRightInd w:val="0"/>
              <w:snapToGrid w:val="0"/>
              <w:spacing w:line="360" w:lineRule="auto"/>
              <w:jc w:val="center"/>
              <w:rPr>
                <w:rFonts w:ascii="宋体"/>
                <w:sz w:val="22"/>
              </w:rPr>
            </w:pPr>
          </w:p>
        </w:tc>
      </w:tr>
      <w:tr w14:paraId="57331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23E07573">
            <w:pPr>
              <w:adjustRightInd w:val="0"/>
              <w:snapToGrid w:val="0"/>
              <w:spacing w:line="360" w:lineRule="auto"/>
              <w:jc w:val="center"/>
              <w:rPr>
                <w:rFonts w:ascii="宋体"/>
                <w:sz w:val="22"/>
              </w:rPr>
            </w:pPr>
          </w:p>
        </w:tc>
        <w:tc>
          <w:tcPr>
            <w:tcW w:w="1776" w:type="dxa"/>
            <w:vAlign w:val="center"/>
          </w:tcPr>
          <w:p w14:paraId="4E1FB3B7">
            <w:pPr>
              <w:adjustRightInd w:val="0"/>
              <w:snapToGrid w:val="0"/>
              <w:spacing w:line="360" w:lineRule="auto"/>
              <w:jc w:val="center"/>
              <w:rPr>
                <w:rFonts w:ascii="宋体"/>
                <w:sz w:val="22"/>
              </w:rPr>
            </w:pPr>
          </w:p>
        </w:tc>
        <w:tc>
          <w:tcPr>
            <w:tcW w:w="1061" w:type="dxa"/>
            <w:vAlign w:val="center"/>
          </w:tcPr>
          <w:p w14:paraId="41EEF463">
            <w:pPr>
              <w:adjustRightInd w:val="0"/>
              <w:snapToGrid w:val="0"/>
              <w:spacing w:line="360" w:lineRule="auto"/>
              <w:jc w:val="center"/>
              <w:rPr>
                <w:rFonts w:ascii="宋体"/>
                <w:sz w:val="22"/>
              </w:rPr>
            </w:pPr>
          </w:p>
        </w:tc>
        <w:tc>
          <w:tcPr>
            <w:tcW w:w="863" w:type="dxa"/>
            <w:vAlign w:val="center"/>
          </w:tcPr>
          <w:p w14:paraId="3EF9A47A">
            <w:pPr>
              <w:adjustRightInd w:val="0"/>
              <w:snapToGrid w:val="0"/>
              <w:spacing w:line="360" w:lineRule="auto"/>
              <w:jc w:val="center"/>
              <w:rPr>
                <w:rFonts w:ascii="宋体"/>
                <w:sz w:val="22"/>
              </w:rPr>
            </w:pPr>
          </w:p>
        </w:tc>
        <w:tc>
          <w:tcPr>
            <w:tcW w:w="937" w:type="dxa"/>
            <w:vAlign w:val="center"/>
          </w:tcPr>
          <w:p w14:paraId="608B1711">
            <w:pPr>
              <w:adjustRightInd w:val="0"/>
              <w:snapToGrid w:val="0"/>
              <w:spacing w:line="360" w:lineRule="auto"/>
              <w:jc w:val="center"/>
              <w:rPr>
                <w:rFonts w:ascii="宋体"/>
                <w:sz w:val="22"/>
              </w:rPr>
            </w:pPr>
          </w:p>
        </w:tc>
        <w:tc>
          <w:tcPr>
            <w:tcW w:w="1050" w:type="dxa"/>
            <w:vAlign w:val="center"/>
          </w:tcPr>
          <w:p w14:paraId="7B0389C5">
            <w:pPr>
              <w:adjustRightInd w:val="0"/>
              <w:snapToGrid w:val="0"/>
              <w:spacing w:line="360" w:lineRule="auto"/>
              <w:jc w:val="center"/>
              <w:rPr>
                <w:rFonts w:ascii="宋体"/>
                <w:sz w:val="22"/>
              </w:rPr>
            </w:pPr>
          </w:p>
        </w:tc>
        <w:tc>
          <w:tcPr>
            <w:tcW w:w="1175" w:type="dxa"/>
            <w:vAlign w:val="center"/>
          </w:tcPr>
          <w:p w14:paraId="18FDDC90">
            <w:pPr>
              <w:adjustRightInd w:val="0"/>
              <w:snapToGrid w:val="0"/>
              <w:spacing w:line="360" w:lineRule="auto"/>
              <w:jc w:val="center"/>
              <w:rPr>
                <w:rFonts w:ascii="宋体"/>
                <w:sz w:val="22"/>
              </w:rPr>
            </w:pPr>
          </w:p>
        </w:tc>
        <w:tc>
          <w:tcPr>
            <w:tcW w:w="1175" w:type="dxa"/>
            <w:vAlign w:val="center"/>
          </w:tcPr>
          <w:p w14:paraId="1D3DFF02">
            <w:pPr>
              <w:adjustRightInd w:val="0"/>
              <w:snapToGrid w:val="0"/>
              <w:spacing w:line="360" w:lineRule="auto"/>
              <w:jc w:val="center"/>
              <w:rPr>
                <w:rFonts w:ascii="宋体"/>
                <w:sz w:val="22"/>
              </w:rPr>
            </w:pPr>
          </w:p>
        </w:tc>
        <w:tc>
          <w:tcPr>
            <w:tcW w:w="954" w:type="dxa"/>
            <w:vAlign w:val="center"/>
          </w:tcPr>
          <w:p w14:paraId="538CA277">
            <w:pPr>
              <w:adjustRightInd w:val="0"/>
              <w:snapToGrid w:val="0"/>
              <w:spacing w:line="360" w:lineRule="auto"/>
              <w:jc w:val="center"/>
              <w:rPr>
                <w:rFonts w:ascii="宋体"/>
                <w:sz w:val="22"/>
              </w:rPr>
            </w:pPr>
          </w:p>
        </w:tc>
      </w:tr>
      <w:tr w14:paraId="3D21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2910FDFC">
            <w:pPr>
              <w:adjustRightInd w:val="0"/>
              <w:snapToGrid w:val="0"/>
              <w:spacing w:line="360" w:lineRule="auto"/>
              <w:jc w:val="center"/>
              <w:rPr>
                <w:rFonts w:ascii="宋体"/>
                <w:sz w:val="22"/>
              </w:rPr>
            </w:pPr>
          </w:p>
        </w:tc>
        <w:tc>
          <w:tcPr>
            <w:tcW w:w="1776" w:type="dxa"/>
            <w:vAlign w:val="center"/>
          </w:tcPr>
          <w:p w14:paraId="57A5EF28">
            <w:pPr>
              <w:adjustRightInd w:val="0"/>
              <w:snapToGrid w:val="0"/>
              <w:spacing w:line="360" w:lineRule="auto"/>
              <w:jc w:val="center"/>
              <w:rPr>
                <w:rFonts w:ascii="宋体"/>
                <w:sz w:val="22"/>
              </w:rPr>
            </w:pPr>
          </w:p>
        </w:tc>
        <w:tc>
          <w:tcPr>
            <w:tcW w:w="1061" w:type="dxa"/>
            <w:vAlign w:val="center"/>
          </w:tcPr>
          <w:p w14:paraId="1816A28F">
            <w:pPr>
              <w:adjustRightInd w:val="0"/>
              <w:snapToGrid w:val="0"/>
              <w:spacing w:line="360" w:lineRule="auto"/>
              <w:jc w:val="center"/>
              <w:rPr>
                <w:rFonts w:ascii="宋体"/>
                <w:sz w:val="22"/>
              </w:rPr>
            </w:pPr>
          </w:p>
        </w:tc>
        <w:tc>
          <w:tcPr>
            <w:tcW w:w="863" w:type="dxa"/>
            <w:vAlign w:val="center"/>
          </w:tcPr>
          <w:p w14:paraId="44A22090">
            <w:pPr>
              <w:adjustRightInd w:val="0"/>
              <w:snapToGrid w:val="0"/>
              <w:spacing w:line="360" w:lineRule="auto"/>
              <w:jc w:val="center"/>
              <w:rPr>
                <w:rFonts w:ascii="宋体"/>
                <w:sz w:val="22"/>
              </w:rPr>
            </w:pPr>
          </w:p>
        </w:tc>
        <w:tc>
          <w:tcPr>
            <w:tcW w:w="937" w:type="dxa"/>
            <w:vAlign w:val="center"/>
          </w:tcPr>
          <w:p w14:paraId="0FB68B1C">
            <w:pPr>
              <w:adjustRightInd w:val="0"/>
              <w:snapToGrid w:val="0"/>
              <w:spacing w:line="360" w:lineRule="auto"/>
              <w:jc w:val="center"/>
              <w:rPr>
                <w:rFonts w:ascii="宋体"/>
                <w:sz w:val="22"/>
              </w:rPr>
            </w:pPr>
          </w:p>
        </w:tc>
        <w:tc>
          <w:tcPr>
            <w:tcW w:w="1050" w:type="dxa"/>
            <w:vAlign w:val="center"/>
          </w:tcPr>
          <w:p w14:paraId="239924C5">
            <w:pPr>
              <w:adjustRightInd w:val="0"/>
              <w:snapToGrid w:val="0"/>
              <w:spacing w:line="360" w:lineRule="auto"/>
              <w:jc w:val="center"/>
              <w:rPr>
                <w:rFonts w:ascii="宋体"/>
                <w:sz w:val="22"/>
              </w:rPr>
            </w:pPr>
          </w:p>
        </w:tc>
        <w:tc>
          <w:tcPr>
            <w:tcW w:w="1175" w:type="dxa"/>
            <w:vAlign w:val="center"/>
          </w:tcPr>
          <w:p w14:paraId="10929B10">
            <w:pPr>
              <w:adjustRightInd w:val="0"/>
              <w:snapToGrid w:val="0"/>
              <w:spacing w:line="360" w:lineRule="auto"/>
              <w:jc w:val="center"/>
              <w:rPr>
                <w:rFonts w:ascii="宋体"/>
                <w:sz w:val="22"/>
              </w:rPr>
            </w:pPr>
          </w:p>
        </w:tc>
        <w:tc>
          <w:tcPr>
            <w:tcW w:w="1175" w:type="dxa"/>
            <w:vAlign w:val="center"/>
          </w:tcPr>
          <w:p w14:paraId="55962196">
            <w:pPr>
              <w:adjustRightInd w:val="0"/>
              <w:snapToGrid w:val="0"/>
              <w:spacing w:line="360" w:lineRule="auto"/>
              <w:jc w:val="center"/>
              <w:rPr>
                <w:rFonts w:ascii="宋体"/>
                <w:sz w:val="22"/>
              </w:rPr>
            </w:pPr>
          </w:p>
        </w:tc>
        <w:tc>
          <w:tcPr>
            <w:tcW w:w="954" w:type="dxa"/>
            <w:vAlign w:val="center"/>
          </w:tcPr>
          <w:p w14:paraId="1CEE056E">
            <w:pPr>
              <w:adjustRightInd w:val="0"/>
              <w:snapToGrid w:val="0"/>
              <w:spacing w:line="360" w:lineRule="auto"/>
              <w:jc w:val="center"/>
              <w:rPr>
                <w:rFonts w:ascii="宋体"/>
                <w:sz w:val="22"/>
              </w:rPr>
            </w:pPr>
          </w:p>
        </w:tc>
      </w:tr>
      <w:tr w14:paraId="563AD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62BC5FE0">
            <w:pPr>
              <w:adjustRightInd w:val="0"/>
              <w:snapToGrid w:val="0"/>
              <w:spacing w:line="360" w:lineRule="auto"/>
              <w:jc w:val="center"/>
              <w:rPr>
                <w:rFonts w:ascii="宋体"/>
                <w:sz w:val="22"/>
              </w:rPr>
            </w:pPr>
          </w:p>
        </w:tc>
        <w:tc>
          <w:tcPr>
            <w:tcW w:w="1776" w:type="dxa"/>
            <w:vAlign w:val="center"/>
          </w:tcPr>
          <w:p w14:paraId="4AB38FCF">
            <w:pPr>
              <w:adjustRightInd w:val="0"/>
              <w:snapToGrid w:val="0"/>
              <w:spacing w:line="360" w:lineRule="auto"/>
              <w:jc w:val="center"/>
              <w:rPr>
                <w:rFonts w:ascii="宋体"/>
                <w:sz w:val="22"/>
              </w:rPr>
            </w:pPr>
          </w:p>
        </w:tc>
        <w:tc>
          <w:tcPr>
            <w:tcW w:w="1061" w:type="dxa"/>
            <w:vAlign w:val="center"/>
          </w:tcPr>
          <w:p w14:paraId="2DFBB72D">
            <w:pPr>
              <w:adjustRightInd w:val="0"/>
              <w:snapToGrid w:val="0"/>
              <w:spacing w:line="360" w:lineRule="auto"/>
              <w:jc w:val="center"/>
              <w:rPr>
                <w:rFonts w:ascii="宋体"/>
                <w:sz w:val="22"/>
              </w:rPr>
            </w:pPr>
          </w:p>
        </w:tc>
        <w:tc>
          <w:tcPr>
            <w:tcW w:w="863" w:type="dxa"/>
            <w:vAlign w:val="center"/>
          </w:tcPr>
          <w:p w14:paraId="5F1AFB0C">
            <w:pPr>
              <w:adjustRightInd w:val="0"/>
              <w:snapToGrid w:val="0"/>
              <w:spacing w:line="360" w:lineRule="auto"/>
              <w:jc w:val="center"/>
              <w:rPr>
                <w:rFonts w:ascii="宋体"/>
                <w:sz w:val="22"/>
              </w:rPr>
            </w:pPr>
          </w:p>
        </w:tc>
        <w:tc>
          <w:tcPr>
            <w:tcW w:w="937" w:type="dxa"/>
            <w:vAlign w:val="center"/>
          </w:tcPr>
          <w:p w14:paraId="317D7952">
            <w:pPr>
              <w:adjustRightInd w:val="0"/>
              <w:snapToGrid w:val="0"/>
              <w:spacing w:line="360" w:lineRule="auto"/>
              <w:jc w:val="center"/>
              <w:rPr>
                <w:rFonts w:ascii="宋体"/>
                <w:sz w:val="22"/>
              </w:rPr>
            </w:pPr>
          </w:p>
        </w:tc>
        <w:tc>
          <w:tcPr>
            <w:tcW w:w="1050" w:type="dxa"/>
            <w:vAlign w:val="center"/>
          </w:tcPr>
          <w:p w14:paraId="2377EC18">
            <w:pPr>
              <w:adjustRightInd w:val="0"/>
              <w:snapToGrid w:val="0"/>
              <w:spacing w:line="360" w:lineRule="auto"/>
              <w:jc w:val="center"/>
              <w:rPr>
                <w:rFonts w:ascii="宋体"/>
                <w:sz w:val="22"/>
              </w:rPr>
            </w:pPr>
          </w:p>
        </w:tc>
        <w:tc>
          <w:tcPr>
            <w:tcW w:w="1175" w:type="dxa"/>
            <w:vAlign w:val="center"/>
          </w:tcPr>
          <w:p w14:paraId="55E1A28D">
            <w:pPr>
              <w:adjustRightInd w:val="0"/>
              <w:snapToGrid w:val="0"/>
              <w:spacing w:line="360" w:lineRule="auto"/>
              <w:jc w:val="center"/>
              <w:rPr>
                <w:rFonts w:ascii="宋体"/>
                <w:sz w:val="22"/>
              </w:rPr>
            </w:pPr>
          </w:p>
        </w:tc>
        <w:tc>
          <w:tcPr>
            <w:tcW w:w="1175" w:type="dxa"/>
            <w:vAlign w:val="center"/>
          </w:tcPr>
          <w:p w14:paraId="7D48326E">
            <w:pPr>
              <w:adjustRightInd w:val="0"/>
              <w:snapToGrid w:val="0"/>
              <w:spacing w:line="360" w:lineRule="auto"/>
              <w:jc w:val="center"/>
              <w:rPr>
                <w:rFonts w:ascii="宋体"/>
                <w:sz w:val="22"/>
              </w:rPr>
            </w:pPr>
          </w:p>
        </w:tc>
        <w:tc>
          <w:tcPr>
            <w:tcW w:w="954" w:type="dxa"/>
            <w:vAlign w:val="center"/>
          </w:tcPr>
          <w:p w14:paraId="4B52B0F2">
            <w:pPr>
              <w:adjustRightInd w:val="0"/>
              <w:snapToGrid w:val="0"/>
              <w:spacing w:line="360" w:lineRule="auto"/>
              <w:jc w:val="center"/>
              <w:rPr>
                <w:rFonts w:ascii="宋体"/>
                <w:sz w:val="22"/>
              </w:rPr>
            </w:pPr>
          </w:p>
        </w:tc>
      </w:tr>
      <w:tr w14:paraId="04250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28F87D38">
            <w:pPr>
              <w:adjustRightInd w:val="0"/>
              <w:snapToGrid w:val="0"/>
              <w:spacing w:line="360" w:lineRule="auto"/>
              <w:jc w:val="center"/>
              <w:rPr>
                <w:rFonts w:ascii="宋体"/>
                <w:sz w:val="22"/>
              </w:rPr>
            </w:pPr>
          </w:p>
        </w:tc>
        <w:tc>
          <w:tcPr>
            <w:tcW w:w="1776" w:type="dxa"/>
            <w:vAlign w:val="center"/>
          </w:tcPr>
          <w:p w14:paraId="01F8E5E5">
            <w:pPr>
              <w:adjustRightInd w:val="0"/>
              <w:snapToGrid w:val="0"/>
              <w:spacing w:line="360" w:lineRule="auto"/>
              <w:jc w:val="center"/>
              <w:rPr>
                <w:rFonts w:ascii="宋体"/>
                <w:sz w:val="22"/>
              </w:rPr>
            </w:pPr>
          </w:p>
        </w:tc>
        <w:tc>
          <w:tcPr>
            <w:tcW w:w="1061" w:type="dxa"/>
            <w:vAlign w:val="center"/>
          </w:tcPr>
          <w:p w14:paraId="68C7FCA1">
            <w:pPr>
              <w:adjustRightInd w:val="0"/>
              <w:snapToGrid w:val="0"/>
              <w:spacing w:line="360" w:lineRule="auto"/>
              <w:jc w:val="center"/>
              <w:rPr>
                <w:rFonts w:ascii="宋体"/>
                <w:sz w:val="22"/>
              </w:rPr>
            </w:pPr>
          </w:p>
        </w:tc>
        <w:tc>
          <w:tcPr>
            <w:tcW w:w="863" w:type="dxa"/>
            <w:vAlign w:val="center"/>
          </w:tcPr>
          <w:p w14:paraId="2E6C90C0">
            <w:pPr>
              <w:adjustRightInd w:val="0"/>
              <w:snapToGrid w:val="0"/>
              <w:spacing w:line="360" w:lineRule="auto"/>
              <w:jc w:val="center"/>
              <w:rPr>
                <w:rFonts w:ascii="宋体"/>
                <w:sz w:val="22"/>
              </w:rPr>
            </w:pPr>
          </w:p>
        </w:tc>
        <w:tc>
          <w:tcPr>
            <w:tcW w:w="937" w:type="dxa"/>
            <w:vAlign w:val="center"/>
          </w:tcPr>
          <w:p w14:paraId="6399447D">
            <w:pPr>
              <w:adjustRightInd w:val="0"/>
              <w:snapToGrid w:val="0"/>
              <w:spacing w:line="360" w:lineRule="auto"/>
              <w:jc w:val="center"/>
              <w:rPr>
                <w:rFonts w:ascii="宋体"/>
                <w:sz w:val="22"/>
              </w:rPr>
            </w:pPr>
          </w:p>
        </w:tc>
        <w:tc>
          <w:tcPr>
            <w:tcW w:w="1050" w:type="dxa"/>
            <w:vAlign w:val="center"/>
          </w:tcPr>
          <w:p w14:paraId="7EB02573">
            <w:pPr>
              <w:adjustRightInd w:val="0"/>
              <w:snapToGrid w:val="0"/>
              <w:spacing w:line="360" w:lineRule="auto"/>
              <w:jc w:val="center"/>
              <w:rPr>
                <w:rFonts w:ascii="宋体"/>
                <w:sz w:val="22"/>
              </w:rPr>
            </w:pPr>
          </w:p>
        </w:tc>
        <w:tc>
          <w:tcPr>
            <w:tcW w:w="1175" w:type="dxa"/>
            <w:vAlign w:val="center"/>
          </w:tcPr>
          <w:p w14:paraId="65A78E4F">
            <w:pPr>
              <w:adjustRightInd w:val="0"/>
              <w:snapToGrid w:val="0"/>
              <w:spacing w:line="360" w:lineRule="auto"/>
              <w:jc w:val="center"/>
              <w:rPr>
                <w:rFonts w:ascii="宋体"/>
                <w:sz w:val="22"/>
              </w:rPr>
            </w:pPr>
          </w:p>
        </w:tc>
        <w:tc>
          <w:tcPr>
            <w:tcW w:w="1175" w:type="dxa"/>
            <w:vAlign w:val="center"/>
          </w:tcPr>
          <w:p w14:paraId="7E8F20F8">
            <w:pPr>
              <w:adjustRightInd w:val="0"/>
              <w:snapToGrid w:val="0"/>
              <w:spacing w:line="360" w:lineRule="auto"/>
              <w:jc w:val="center"/>
              <w:rPr>
                <w:rFonts w:ascii="宋体"/>
                <w:sz w:val="22"/>
              </w:rPr>
            </w:pPr>
          </w:p>
        </w:tc>
        <w:tc>
          <w:tcPr>
            <w:tcW w:w="954" w:type="dxa"/>
            <w:vAlign w:val="center"/>
          </w:tcPr>
          <w:p w14:paraId="6ED1312E">
            <w:pPr>
              <w:adjustRightInd w:val="0"/>
              <w:snapToGrid w:val="0"/>
              <w:spacing w:line="360" w:lineRule="auto"/>
              <w:jc w:val="center"/>
              <w:rPr>
                <w:rFonts w:ascii="宋体"/>
                <w:sz w:val="22"/>
              </w:rPr>
            </w:pPr>
          </w:p>
        </w:tc>
      </w:tr>
      <w:tr w14:paraId="78A42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0CD37DA2">
            <w:pPr>
              <w:adjustRightInd w:val="0"/>
              <w:snapToGrid w:val="0"/>
              <w:spacing w:line="360" w:lineRule="auto"/>
              <w:jc w:val="center"/>
              <w:rPr>
                <w:rFonts w:ascii="宋体"/>
                <w:sz w:val="22"/>
              </w:rPr>
            </w:pPr>
          </w:p>
        </w:tc>
        <w:tc>
          <w:tcPr>
            <w:tcW w:w="1776" w:type="dxa"/>
            <w:vAlign w:val="center"/>
          </w:tcPr>
          <w:p w14:paraId="79227B8D">
            <w:pPr>
              <w:adjustRightInd w:val="0"/>
              <w:snapToGrid w:val="0"/>
              <w:spacing w:line="360" w:lineRule="auto"/>
              <w:jc w:val="center"/>
              <w:rPr>
                <w:rFonts w:ascii="宋体"/>
                <w:sz w:val="22"/>
              </w:rPr>
            </w:pPr>
          </w:p>
        </w:tc>
        <w:tc>
          <w:tcPr>
            <w:tcW w:w="1061" w:type="dxa"/>
            <w:vAlign w:val="center"/>
          </w:tcPr>
          <w:p w14:paraId="76E15F5B">
            <w:pPr>
              <w:adjustRightInd w:val="0"/>
              <w:snapToGrid w:val="0"/>
              <w:spacing w:line="360" w:lineRule="auto"/>
              <w:jc w:val="center"/>
              <w:rPr>
                <w:rFonts w:ascii="宋体"/>
                <w:sz w:val="22"/>
              </w:rPr>
            </w:pPr>
          </w:p>
        </w:tc>
        <w:tc>
          <w:tcPr>
            <w:tcW w:w="863" w:type="dxa"/>
            <w:vAlign w:val="center"/>
          </w:tcPr>
          <w:p w14:paraId="30AFB854">
            <w:pPr>
              <w:adjustRightInd w:val="0"/>
              <w:snapToGrid w:val="0"/>
              <w:spacing w:line="360" w:lineRule="auto"/>
              <w:jc w:val="center"/>
              <w:rPr>
                <w:rFonts w:ascii="宋体"/>
                <w:sz w:val="22"/>
              </w:rPr>
            </w:pPr>
          </w:p>
        </w:tc>
        <w:tc>
          <w:tcPr>
            <w:tcW w:w="937" w:type="dxa"/>
            <w:vAlign w:val="center"/>
          </w:tcPr>
          <w:p w14:paraId="7911183E">
            <w:pPr>
              <w:adjustRightInd w:val="0"/>
              <w:snapToGrid w:val="0"/>
              <w:spacing w:line="360" w:lineRule="auto"/>
              <w:jc w:val="center"/>
              <w:rPr>
                <w:rFonts w:ascii="宋体"/>
                <w:sz w:val="22"/>
              </w:rPr>
            </w:pPr>
          </w:p>
        </w:tc>
        <w:tc>
          <w:tcPr>
            <w:tcW w:w="1050" w:type="dxa"/>
            <w:vAlign w:val="center"/>
          </w:tcPr>
          <w:p w14:paraId="6C5A7F79">
            <w:pPr>
              <w:adjustRightInd w:val="0"/>
              <w:snapToGrid w:val="0"/>
              <w:spacing w:line="360" w:lineRule="auto"/>
              <w:jc w:val="center"/>
              <w:rPr>
                <w:rFonts w:ascii="宋体"/>
                <w:sz w:val="22"/>
              </w:rPr>
            </w:pPr>
          </w:p>
        </w:tc>
        <w:tc>
          <w:tcPr>
            <w:tcW w:w="1175" w:type="dxa"/>
            <w:vAlign w:val="center"/>
          </w:tcPr>
          <w:p w14:paraId="2FCE2804">
            <w:pPr>
              <w:adjustRightInd w:val="0"/>
              <w:snapToGrid w:val="0"/>
              <w:spacing w:line="360" w:lineRule="auto"/>
              <w:jc w:val="center"/>
              <w:rPr>
                <w:rFonts w:ascii="宋体"/>
                <w:sz w:val="22"/>
              </w:rPr>
            </w:pPr>
          </w:p>
        </w:tc>
        <w:tc>
          <w:tcPr>
            <w:tcW w:w="1175" w:type="dxa"/>
            <w:vAlign w:val="center"/>
          </w:tcPr>
          <w:p w14:paraId="45727B92">
            <w:pPr>
              <w:adjustRightInd w:val="0"/>
              <w:snapToGrid w:val="0"/>
              <w:spacing w:line="360" w:lineRule="auto"/>
              <w:jc w:val="center"/>
              <w:rPr>
                <w:rFonts w:ascii="宋体"/>
                <w:sz w:val="22"/>
              </w:rPr>
            </w:pPr>
          </w:p>
        </w:tc>
        <w:tc>
          <w:tcPr>
            <w:tcW w:w="954" w:type="dxa"/>
            <w:vAlign w:val="center"/>
          </w:tcPr>
          <w:p w14:paraId="1993EC0D">
            <w:pPr>
              <w:adjustRightInd w:val="0"/>
              <w:snapToGrid w:val="0"/>
              <w:spacing w:line="360" w:lineRule="auto"/>
              <w:jc w:val="center"/>
              <w:rPr>
                <w:rFonts w:ascii="宋体"/>
                <w:sz w:val="22"/>
              </w:rPr>
            </w:pPr>
          </w:p>
        </w:tc>
      </w:tr>
      <w:tr w14:paraId="3BD4F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5FBD67A0">
            <w:pPr>
              <w:adjustRightInd w:val="0"/>
              <w:snapToGrid w:val="0"/>
              <w:spacing w:line="360" w:lineRule="auto"/>
              <w:rPr>
                <w:rFonts w:ascii="宋体"/>
                <w:sz w:val="22"/>
              </w:rPr>
            </w:pPr>
          </w:p>
        </w:tc>
        <w:tc>
          <w:tcPr>
            <w:tcW w:w="1776" w:type="dxa"/>
            <w:vAlign w:val="center"/>
          </w:tcPr>
          <w:p w14:paraId="7D91ECF9">
            <w:pPr>
              <w:adjustRightInd w:val="0"/>
              <w:snapToGrid w:val="0"/>
              <w:spacing w:line="360" w:lineRule="auto"/>
              <w:jc w:val="center"/>
              <w:rPr>
                <w:rFonts w:ascii="宋体"/>
                <w:sz w:val="22"/>
              </w:rPr>
            </w:pPr>
          </w:p>
        </w:tc>
        <w:tc>
          <w:tcPr>
            <w:tcW w:w="1061" w:type="dxa"/>
            <w:vAlign w:val="center"/>
          </w:tcPr>
          <w:p w14:paraId="50D06CB4">
            <w:pPr>
              <w:adjustRightInd w:val="0"/>
              <w:snapToGrid w:val="0"/>
              <w:spacing w:line="360" w:lineRule="auto"/>
              <w:jc w:val="center"/>
              <w:rPr>
                <w:rFonts w:ascii="宋体"/>
                <w:sz w:val="22"/>
              </w:rPr>
            </w:pPr>
          </w:p>
        </w:tc>
        <w:tc>
          <w:tcPr>
            <w:tcW w:w="863" w:type="dxa"/>
            <w:vAlign w:val="center"/>
          </w:tcPr>
          <w:p w14:paraId="0B57FF52">
            <w:pPr>
              <w:adjustRightInd w:val="0"/>
              <w:snapToGrid w:val="0"/>
              <w:spacing w:line="360" w:lineRule="auto"/>
              <w:jc w:val="center"/>
              <w:rPr>
                <w:rFonts w:ascii="宋体"/>
                <w:sz w:val="22"/>
              </w:rPr>
            </w:pPr>
          </w:p>
        </w:tc>
        <w:tc>
          <w:tcPr>
            <w:tcW w:w="937" w:type="dxa"/>
            <w:vAlign w:val="center"/>
          </w:tcPr>
          <w:p w14:paraId="3F24D9FC">
            <w:pPr>
              <w:adjustRightInd w:val="0"/>
              <w:snapToGrid w:val="0"/>
              <w:spacing w:line="360" w:lineRule="auto"/>
              <w:jc w:val="center"/>
              <w:rPr>
                <w:rFonts w:ascii="宋体"/>
                <w:sz w:val="22"/>
              </w:rPr>
            </w:pPr>
          </w:p>
        </w:tc>
        <w:tc>
          <w:tcPr>
            <w:tcW w:w="1050" w:type="dxa"/>
            <w:vAlign w:val="center"/>
          </w:tcPr>
          <w:p w14:paraId="3BA39E1C">
            <w:pPr>
              <w:adjustRightInd w:val="0"/>
              <w:snapToGrid w:val="0"/>
              <w:spacing w:line="360" w:lineRule="auto"/>
              <w:jc w:val="center"/>
              <w:rPr>
                <w:rFonts w:ascii="宋体"/>
                <w:sz w:val="22"/>
              </w:rPr>
            </w:pPr>
          </w:p>
        </w:tc>
        <w:tc>
          <w:tcPr>
            <w:tcW w:w="1175" w:type="dxa"/>
            <w:vAlign w:val="center"/>
          </w:tcPr>
          <w:p w14:paraId="4834DB8C">
            <w:pPr>
              <w:adjustRightInd w:val="0"/>
              <w:snapToGrid w:val="0"/>
              <w:spacing w:line="360" w:lineRule="auto"/>
              <w:jc w:val="center"/>
              <w:rPr>
                <w:rFonts w:ascii="宋体"/>
                <w:sz w:val="22"/>
              </w:rPr>
            </w:pPr>
          </w:p>
        </w:tc>
        <w:tc>
          <w:tcPr>
            <w:tcW w:w="1175" w:type="dxa"/>
            <w:vAlign w:val="center"/>
          </w:tcPr>
          <w:p w14:paraId="22B9DF5A">
            <w:pPr>
              <w:adjustRightInd w:val="0"/>
              <w:snapToGrid w:val="0"/>
              <w:spacing w:line="360" w:lineRule="auto"/>
              <w:jc w:val="center"/>
              <w:rPr>
                <w:rFonts w:ascii="宋体"/>
                <w:sz w:val="22"/>
              </w:rPr>
            </w:pPr>
          </w:p>
        </w:tc>
        <w:tc>
          <w:tcPr>
            <w:tcW w:w="954" w:type="dxa"/>
            <w:vAlign w:val="center"/>
          </w:tcPr>
          <w:p w14:paraId="3110F38C">
            <w:pPr>
              <w:adjustRightInd w:val="0"/>
              <w:snapToGrid w:val="0"/>
              <w:spacing w:line="360" w:lineRule="auto"/>
              <w:jc w:val="center"/>
              <w:rPr>
                <w:rFonts w:ascii="宋体"/>
                <w:sz w:val="22"/>
              </w:rPr>
            </w:pPr>
          </w:p>
        </w:tc>
      </w:tr>
      <w:tr w14:paraId="76699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20A7D4E1">
            <w:pPr>
              <w:adjustRightInd w:val="0"/>
              <w:snapToGrid w:val="0"/>
              <w:spacing w:line="360" w:lineRule="auto"/>
              <w:rPr>
                <w:rFonts w:ascii="宋体"/>
                <w:sz w:val="22"/>
              </w:rPr>
            </w:pPr>
          </w:p>
        </w:tc>
        <w:tc>
          <w:tcPr>
            <w:tcW w:w="1776" w:type="dxa"/>
            <w:vAlign w:val="center"/>
          </w:tcPr>
          <w:p w14:paraId="056B89B7">
            <w:pPr>
              <w:adjustRightInd w:val="0"/>
              <w:snapToGrid w:val="0"/>
              <w:spacing w:line="360" w:lineRule="auto"/>
              <w:jc w:val="center"/>
              <w:rPr>
                <w:rFonts w:ascii="宋体"/>
                <w:sz w:val="22"/>
              </w:rPr>
            </w:pPr>
          </w:p>
        </w:tc>
        <w:tc>
          <w:tcPr>
            <w:tcW w:w="1061" w:type="dxa"/>
            <w:vAlign w:val="center"/>
          </w:tcPr>
          <w:p w14:paraId="0EC0C0E8">
            <w:pPr>
              <w:adjustRightInd w:val="0"/>
              <w:snapToGrid w:val="0"/>
              <w:spacing w:line="360" w:lineRule="auto"/>
              <w:jc w:val="center"/>
              <w:rPr>
                <w:rFonts w:ascii="宋体"/>
                <w:sz w:val="22"/>
              </w:rPr>
            </w:pPr>
          </w:p>
        </w:tc>
        <w:tc>
          <w:tcPr>
            <w:tcW w:w="863" w:type="dxa"/>
            <w:vAlign w:val="center"/>
          </w:tcPr>
          <w:p w14:paraId="34261552">
            <w:pPr>
              <w:adjustRightInd w:val="0"/>
              <w:snapToGrid w:val="0"/>
              <w:spacing w:line="360" w:lineRule="auto"/>
              <w:jc w:val="center"/>
              <w:rPr>
                <w:rFonts w:ascii="宋体"/>
                <w:sz w:val="22"/>
              </w:rPr>
            </w:pPr>
          </w:p>
        </w:tc>
        <w:tc>
          <w:tcPr>
            <w:tcW w:w="937" w:type="dxa"/>
            <w:vAlign w:val="center"/>
          </w:tcPr>
          <w:p w14:paraId="2B6FD34B">
            <w:pPr>
              <w:adjustRightInd w:val="0"/>
              <w:snapToGrid w:val="0"/>
              <w:spacing w:line="360" w:lineRule="auto"/>
              <w:jc w:val="center"/>
              <w:rPr>
                <w:rFonts w:ascii="宋体"/>
                <w:sz w:val="22"/>
              </w:rPr>
            </w:pPr>
          </w:p>
        </w:tc>
        <w:tc>
          <w:tcPr>
            <w:tcW w:w="1050" w:type="dxa"/>
            <w:vAlign w:val="center"/>
          </w:tcPr>
          <w:p w14:paraId="50DB8DB8">
            <w:pPr>
              <w:adjustRightInd w:val="0"/>
              <w:snapToGrid w:val="0"/>
              <w:spacing w:line="360" w:lineRule="auto"/>
              <w:jc w:val="center"/>
              <w:rPr>
                <w:rFonts w:ascii="宋体"/>
                <w:sz w:val="22"/>
              </w:rPr>
            </w:pPr>
          </w:p>
        </w:tc>
        <w:tc>
          <w:tcPr>
            <w:tcW w:w="1175" w:type="dxa"/>
            <w:vAlign w:val="center"/>
          </w:tcPr>
          <w:p w14:paraId="344D33AD">
            <w:pPr>
              <w:adjustRightInd w:val="0"/>
              <w:snapToGrid w:val="0"/>
              <w:spacing w:line="360" w:lineRule="auto"/>
              <w:jc w:val="center"/>
              <w:rPr>
                <w:rFonts w:ascii="宋体"/>
                <w:sz w:val="22"/>
              </w:rPr>
            </w:pPr>
          </w:p>
        </w:tc>
        <w:tc>
          <w:tcPr>
            <w:tcW w:w="1175" w:type="dxa"/>
            <w:vAlign w:val="center"/>
          </w:tcPr>
          <w:p w14:paraId="521E655D">
            <w:pPr>
              <w:adjustRightInd w:val="0"/>
              <w:snapToGrid w:val="0"/>
              <w:spacing w:line="360" w:lineRule="auto"/>
              <w:jc w:val="center"/>
              <w:rPr>
                <w:rFonts w:ascii="宋体"/>
                <w:sz w:val="22"/>
              </w:rPr>
            </w:pPr>
          </w:p>
        </w:tc>
        <w:tc>
          <w:tcPr>
            <w:tcW w:w="954" w:type="dxa"/>
            <w:vAlign w:val="center"/>
          </w:tcPr>
          <w:p w14:paraId="2A913F54">
            <w:pPr>
              <w:adjustRightInd w:val="0"/>
              <w:snapToGrid w:val="0"/>
              <w:spacing w:line="360" w:lineRule="auto"/>
              <w:jc w:val="center"/>
              <w:rPr>
                <w:rFonts w:ascii="宋体"/>
                <w:sz w:val="22"/>
              </w:rPr>
            </w:pPr>
          </w:p>
        </w:tc>
      </w:tr>
      <w:tr w14:paraId="07B5C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71096FE3">
            <w:pPr>
              <w:adjustRightInd w:val="0"/>
              <w:snapToGrid w:val="0"/>
              <w:spacing w:line="360" w:lineRule="auto"/>
              <w:rPr>
                <w:rFonts w:ascii="宋体"/>
                <w:sz w:val="22"/>
              </w:rPr>
            </w:pPr>
          </w:p>
        </w:tc>
        <w:tc>
          <w:tcPr>
            <w:tcW w:w="1776" w:type="dxa"/>
            <w:vAlign w:val="center"/>
          </w:tcPr>
          <w:p w14:paraId="55700091">
            <w:pPr>
              <w:adjustRightInd w:val="0"/>
              <w:snapToGrid w:val="0"/>
              <w:spacing w:line="360" w:lineRule="auto"/>
              <w:jc w:val="center"/>
              <w:rPr>
                <w:rFonts w:ascii="宋体"/>
                <w:sz w:val="22"/>
              </w:rPr>
            </w:pPr>
          </w:p>
        </w:tc>
        <w:tc>
          <w:tcPr>
            <w:tcW w:w="1061" w:type="dxa"/>
            <w:vAlign w:val="center"/>
          </w:tcPr>
          <w:p w14:paraId="28E66F87">
            <w:pPr>
              <w:adjustRightInd w:val="0"/>
              <w:snapToGrid w:val="0"/>
              <w:spacing w:line="360" w:lineRule="auto"/>
              <w:jc w:val="center"/>
              <w:rPr>
                <w:rFonts w:ascii="宋体"/>
                <w:sz w:val="22"/>
              </w:rPr>
            </w:pPr>
          </w:p>
        </w:tc>
        <w:tc>
          <w:tcPr>
            <w:tcW w:w="863" w:type="dxa"/>
            <w:vAlign w:val="center"/>
          </w:tcPr>
          <w:p w14:paraId="5F1B51F4">
            <w:pPr>
              <w:adjustRightInd w:val="0"/>
              <w:snapToGrid w:val="0"/>
              <w:spacing w:line="360" w:lineRule="auto"/>
              <w:jc w:val="center"/>
              <w:rPr>
                <w:rFonts w:ascii="宋体"/>
                <w:sz w:val="22"/>
              </w:rPr>
            </w:pPr>
          </w:p>
        </w:tc>
        <w:tc>
          <w:tcPr>
            <w:tcW w:w="937" w:type="dxa"/>
            <w:vAlign w:val="center"/>
          </w:tcPr>
          <w:p w14:paraId="096DB821">
            <w:pPr>
              <w:adjustRightInd w:val="0"/>
              <w:snapToGrid w:val="0"/>
              <w:spacing w:line="360" w:lineRule="auto"/>
              <w:jc w:val="center"/>
              <w:rPr>
                <w:rFonts w:ascii="宋体"/>
                <w:sz w:val="22"/>
              </w:rPr>
            </w:pPr>
          </w:p>
        </w:tc>
        <w:tc>
          <w:tcPr>
            <w:tcW w:w="1050" w:type="dxa"/>
            <w:vAlign w:val="center"/>
          </w:tcPr>
          <w:p w14:paraId="147A27FD">
            <w:pPr>
              <w:adjustRightInd w:val="0"/>
              <w:snapToGrid w:val="0"/>
              <w:spacing w:line="360" w:lineRule="auto"/>
              <w:jc w:val="center"/>
              <w:rPr>
                <w:rFonts w:ascii="宋体"/>
                <w:sz w:val="22"/>
              </w:rPr>
            </w:pPr>
          </w:p>
        </w:tc>
        <w:tc>
          <w:tcPr>
            <w:tcW w:w="1175" w:type="dxa"/>
            <w:vAlign w:val="center"/>
          </w:tcPr>
          <w:p w14:paraId="7DA3B155">
            <w:pPr>
              <w:adjustRightInd w:val="0"/>
              <w:snapToGrid w:val="0"/>
              <w:spacing w:line="360" w:lineRule="auto"/>
              <w:jc w:val="center"/>
              <w:rPr>
                <w:rFonts w:ascii="宋体"/>
                <w:sz w:val="22"/>
              </w:rPr>
            </w:pPr>
          </w:p>
        </w:tc>
        <w:tc>
          <w:tcPr>
            <w:tcW w:w="1175" w:type="dxa"/>
            <w:vAlign w:val="center"/>
          </w:tcPr>
          <w:p w14:paraId="49F9F108">
            <w:pPr>
              <w:adjustRightInd w:val="0"/>
              <w:snapToGrid w:val="0"/>
              <w:spacing w:line="360" w:lineRule="auto"/>
              <w:jc w:val="center"/>
              <w:rPr>
                <w:rFonts w:ascii="宋体"/>
                <w:sz w:val="22"/>
              </w:rPr>
            </w:pPr>
          </w:p>
        </w:tc>
        <w:tc>
          <w:tcPr>
            <w:tcW w:w="954" w:type="dxa"/>
            <w:vAlign w:val="center"/>
          </w:tcPr>
          <w:p w14:paraId="085692AE">
            <w:pPr>
              <w:adjustRightInd w:val="0"/>
              <w:snapToGrid w:val="0"/>
              <w:spacing w:line="360" w:lineRule="auto"/>
              <w:jc w:val="center"/>
              <w:rPr>
                <w:rFonts w:ascii="宋体"/>
                <w:sz w:val="22"/>
              </w:rPr>
            </w:pPr>
          </w:p>
        </w:tc>
      </w:tr>
    </w:tbl>
    <w:p w14:paraId="0D635BA0">
      <w:pPr>
        <w:tabs>
          <w:tab w:val="left" w:pos="4532"/>
        </w:tabs>
        <w:spacing w:line="360" w:lineRule="auto"/>
        <w:rPr>
          <w:rFonts w:ascii="宋体"/>
          <w:sz w:val="22"/>
        </w:rPr>
      </w:pPr>
    </w:p>
    <w:p w14:paraId="39713C18">
      <w:pPr>
        <w:tabs>
          <w:tab w:val="left" w:pos="4532"/>
        </w:tabs>
        <w:spacing w:line="360" w:lineRule="auto"/>
        <w:rPr>
          <w:rFonts w:ascii="宋体"/>
          <w:sz w:val="22"/>
        </w:rPr>
      </w:pPr>
      <w:r>
        <w:rPr>
          <w:rFonts w:hint="eastAsia" w:ascii="宋体"/>
          <w:sz w:val="22"/>
        </w:rPr>
        <w:t>1、一旦我单位中标，将实行项目负责人负责制，并配备上述项目机构人员。我方保证上述填报内容真实，若不真实，愿按有关规定接受处理。</w:t>
      </w:r>
    </w:p>
    <w:p w14:paraId="2893495F">
      <w:pPr>
        <w:tabs>
          <w:tab w:val="left" w:pos="4532"/>
        </w:tabs>
        <w:spacing w:line="360" w:lineRule="auto"/>
        <w:rPr>
          <w:rFonts w:ascii="宋体"/>
          <w:sz w:val="22"/>
        </w:rPr>
      </w:pPr>
      <w:r>
        <w:rPr>
          <w:rFonts w:hint="eastAsia" w:ascii="宋体"/>
          <w:sz w:val="22"/>
        </w:rPr>
        <w:t>2、以上的人员必须是公司正式在编人员</w:t>
      </w:r>
      <w:bookmarkStart w:id="47" w:name="OLE_LINK41"/>
      <w:r>
        <w:rPr>
          <w:rFonts w:hint="eastAsia" w:ascii="宋体"/>
          <w:sz w:val="22"/>
        </w:rPr>
        <w:t>。</w:t>
      </w:r>
      <w:bookmarkEnd w:id="47"/>
    </w:p>
    <w:p w14:paraId="2DA0DBD7">
      <w:pPr>
        <w:tabs>
          <w:tab w:val="left" w:pos="4532"/>
        </w:tabs>
        <w:spacing w:line="360" w:lineRule="auto"/>
        <w:rPr>
          <w:rFonts w:ascii="宋体"/>
          <w:sz w:val="22"/>
        </w:rPr>
      </w:pPr>
    </w:p>
    <w:p w14:paraId="782A7664">
      <w:pPr>
        <w:tabs>
          <w:tab w:val="left" w:pos="4532"/>
        </w:tabs>
        <w:spacing w:line="360" w:lineRule="auto"/>
        <w:rPr>
          <w:rFonts w:ascii="宋体"/>
          <w:sz w:val="22"/>
        </w:rPr>
      </w:pPr>
    </w:p>
    <w:p w14:paraId="6C03E2B0">
      <w:pPr>
        <w:tabs>
          <w:tab w:val="left" w:pos="4532"/>
        </w:tabs>
        <w:spacing w:line="360" w:lineRule="auto"/>
        <w:rPr>
          <w:rFonts w:ascii="宋体"/>
          <w:sz w:val="22"/>
        </w:rPr>
      </w:pPr>
    </w:p>
    <w:p w14:paraId="7821DDD2">
      <w:pPr>
        <w:pStyle w:val="21"/>
        <w:spacing w:line="400" w:lineRule="exact"/>
        <w:rPr>
          <w:rFonts w:hint="eastAsia" w:hAnsi="宋体"/>
          <w:b/>
          <w:color w:val="000000"/>
          <w:sz w:val="22"/>
        </w:rPr>
      </w:pPr>
      <w:r>
        <w:rPr>
          <w:rFonts w:hint="eastAsia" w:hAnsi="宋体"/>
          <w:b/>
          <w:color w:val="000000"/>
          <w:sz w:val="22"/>
        </w:rPr>
        <w:t>供应商名称（盖章）：</w:t>
      </w:r>
    </w:p>
    <w:p w14:paraId="118FC12D">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340EAEAB">
      <w:pPr>
        <w:pStyle w:val="21"/>
        <w:spacing w:line="400" w:lineRule="exact"/>
        <w:rPr>
          <w:rFonts w:hint="eastAsia" w:hAnsi="宋体"/>
          <w:b/>
          <w:color w:val="000000"/>
          <w:sz w:val="22"/>
        </w:rPr>
      </w:pPr>
      <w:r>
        <w:rPr>
          <w:rFonts w:hint="eastAsia" w:hAnsi="宋体"/>
          <w:b/>
          <w:color w:val="000000"/>
          <w:sz w:val="22"/>
        </w:rPr>
        <w:t>日    期：</w:t>
      </w:r>
    </w:p>
    <w:p w14:paraId="0BD06ABE">
      <w:pPr>
        <w:spacing w:line="380" w:lineRule="exact"/>
        <w:ind w:left="-358" w:hanging="1"/>
        <w:jc w:val="left"/>
        <w:outlineLvl w:val="2"/>
        <w:rPr>
          <w:rFonts w:hint="eastAsia" w:hAnsi="宋体" w:cs="宋体"/>
          <w:b/>
          <w:bCs/>
          <w:color w:val="000000"/>
          <w:sz w:val="22"/>
          <w:szCs w:val="22"/>
        </w:rPr>
      </w:pPr>
      <w:r>
        <w:rPr>
          <w:rFonts w:hint="eastAsia" w:ascii="宋体"/>
          <w:sz w:val="22"/>
        </w:rPr>
        <w:br w:type="page"/>
      </w:r>
      <w:r>
        <w:rPr>
          <w:rFonts w:hint="eastAsia" w:ascii="宋体" w:hAnsi="宋体" w:eastAsia="宋体" w:cs="宋体"/>
          <w:b/>
          <w:color w:val="auto"/>
          <w:sz w:val="28"/>
          <w:szCs w:val="18"/>
          <w:highlight w:val="none"/>
          <w:lang w:val="en-US" w:eastAsia="zh-CN"/>
        </w:rPr>
        <w:t>2.7货物清单及详细说明、药械专用工具清单</w:t>
      </w:r>
    </w:p>
    <w:p w14:paraId="476120A0">
      <w:pPr>
        <w:spacing w:line="380" w:lineRule="exact"/>
        <w:ind w:left="-358" w:hanging="1"/>
        <w:jc w:val="center"/>
        <w:outlineLvl w:val="3"/>
        <w:rPr>
          <w:rFonts w:hint="eastAsia" w:hAnsi="宋体" w:cs="宋体"/>
          <w:b/>
          <w:bCs/>
          <w:color w:val="000000"/>
          <w:sz w:val="22"/>
          <w:szCs w:val="22"/>
        </w:rPr>
      </w:pPr>
      <w:r>
        <w:rPr>
          <w:rFonts w:hint="eastAsia" w:hAnsi="宋体" w:cs="宋体"/>
          <w:b/>
          <w:bCs/>
          <w:color w:val="000000"/>
          <w:sz w:val="22"/>
          <w:szCs w:val="22"/>
        </w:rPr>
        <w:t>（一）货物清单及详细说明</w:t>
      </w:r>
    </w:p>
    <w:p w14:paraId="204F4E18">
      <w:pPr>
        <w:spacing w:line="380" w:lineRule="exact"/>
        <w:ind w:left="-359" w:leftChars="-171" w:firstLine="325" w:firstLineChars="147"/>
        <w:rPr>
          <w:rFonts w:hint="eastAsia" w:hAnsi="宋体" w:cs="宋体"/>
          <w:b/>
          <w:bCs/>
          <w:color w:val="000000"/>
          <w:sz w:val="22"/>
          <w:szCs w:val="22"/>
        </w:rPr>
      </w:pPr>
      <w:r>
        <w:rPr>
          <w:rFonts w:hint="eastAsia" w:hAnsi="宋体" w:cs="宋体"/>
          <w:b/>
          <w:bCs/>
          <w:color w:val="000000"/>
          <w:sz w:val="22"/>
          <w:szCs w:val="22"/>
        </w:rPr>
        <w:t>项目名称：                                           项目编号：</w:t>
      </w:r>
    </w:p>
    <w:tbl>
      <w:tblPr>
        <w:tblStyle w:val="38"/>
        <w:tblpPr w:leftFromText="180" w:rightFromText="180" w:vertAnchor="text" w:horzAnchor="margin" w:tblpX="66" w:tblpY="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63"/>
        <w:gridCol w:w="2722"/>
        <w:gridCol w:w="1224"/>
        <w:gridCol w:w="1065"/>
        <w:gridCol w:w="778"/>
        <w:gridCol w:w="949"/>
      </w:tblGrid>
      <w:tr w14:paraId="20E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15" w:type="dxa"/>
            <w:tcBorders>
              <w:bottom w:val="single" w:color="auto" w:sz="6" w:space="0"/>
            </w:tcBorders>
            <w:noWrap w:val="0"/>
            <w:vAlign w:val="center"/>
          </w:tcPr>
          <w:p w14:paraId="5F64F6AF">
            <w:pPr>
              <w:jc w:val="center"/>
              <w:rPr>
                <w:rFonts w:hint="eastAsia" w:hAnsi="宋体" w:cs="宋体"/>
                <w:color w:val="000000"/>
                <w:sz w:val="22"/>
                <w:szCs w:val="22"/>
              </w:rPr>
            </w:pPr>
            <w:r>
              <w:rPr>
                <w:rFonts w:hint="eastAsia" w:hAnsi="宋体" w:cs="宋体"/>
                <w:color w:val="000000"/>
                <w:sz w:val="22"/>
                <w:szCs w:val="22"/>
              </w:rPr>
              <w:t>序号</w:t>
            </w:r>
          </w:p>
        </w:tc>
        <w:tc>
          <w:tcPr>
            <w:tcW w:w="1463" w:type="dxa"/>
            <w:noWrap w:val="0"/>
            <w:vAlign w:val="center"/>
          </w:tcPr>
          <w:p w14:paraId="3F0E368A">
            <w:pPr>
              <w:jc w:val="center"/>
              <w:rPr>
                <w:rFonts w:hint="eastAsia" w:hAnsi="宋体" w:cs="宋体"/>
                <w:color w:val="000000"/>
                <w:sz w:val="22"/>
                <w:szCs w:val="22"/>
              </w:rPr>
            </w:pPr>
            <w:r>
              <w:rPr>
                <w:rFonts w:hint="eastAsia" w:hAnsi="宋体" w:cs="宋体"/>
                <w:color w:val="000000"/>
                <w:sz w:val="22"/>
                <w:szCs w:val="22"/>
              </w:rPr>
              <w:t>药物名称、品牌、规格型号</w:t>
            </w:r>
          </w:p>
        </w:tc>
        <w:tc>
          <w:tcPr>
            <w:tcW w:w="2722" w:type="dxa"/>
            <w:noWrap w:val="0"/>
            <w:vAlign w:val="center"/>
          </w:tcPr>
          <w:p w14:paraId="042F674F">
            <w:pPr>
              <w:jc w:val="center"/>
              <w:rPr>
                <w:rFonts w:hint="eastAsia" w:hAnsi="宋体" w:cs="宋体"/>
                <w:color w:val="000000"/>
                <w:sz w:val="22"/>
                <w:szCs w:val="22"/>
              </w:rPr>
            </w:pPr>
            <w:r>
              <w:rPr>
                <w:rFonts w:hint="eastAsia" w:hAnsi="宋体" w:cs="宋体"/>
                <w:color w:val="000000"/>
                <w:sz w:val="22"/>
                <w:szCs w:val="22"/>
              </w:rPr>
              <w:t xml:space="preserve"> 详细配置、技术性能</w:t>
            </w:r>
          </w:p>
        </w:tc>
        <w:tc>
          <w:tcPr>
            <w:tcW w:w="1224" w:type="dxa"/>
            <w:noWrap w:val="0"/>
            <w:vAlign w:val="center"/>
          </w:tcPr>
          <w:p w14:paraId="3450659C">
            <w:pPr>
              <w:jc w:val="center"/>
              <w:rPr>
                <w:rFonts w:hint="eastAsia" w:hAnsi="宋体" w:cs="宋体"/>
                <w:color w:val="000000"/>
                <w:sz w:val="22"/>
                <w:szCs w:val="22"/>
              </w:rPr>
            </w:pPr>
            <w:r>
              <w:rPr>
                <w:rFonts w:hint="eastAsia" w:hAnsi="宋体" w:cs="宋体"/>
                <w:color w:val="000000"/>
                <w:sz w:val="22"/>
                <w:szCs w:val="22"/>
              </w:rPr>
              <w:t>原产地/制造商</w:t>
            </w:r>
          </w:p>
        </w:tc>
        <w:tc>
          <w:tcPr>
            <w:tcW w:w="1065" w:type="dxa"/>
            <w:noWrap w:val="0"/>
            <w:vAlign w:val="center"/>
          </w:tcPr>
          <w:p w14:paraId="50F1EC2E">
            <w:pPr>
              <w:jc w:val="center"/>
              <w:rPr>
                <w:rFonts w:hint="eastAsia" w:hAnsi="宋体" w:cs="宋体"/>
                <w:color w:val="000000"/>
                <w:sz w:val="22"/>
                <w:szCs w:val="22"/>
              </w:rPr>
            </w:pPr>
            <w:r>
              <w:rPr>
                <w:rFonts w:hint="eastAsia" w:hAnsi="宋体" w:cs="宋体"/>
                <w:color w:val="000000"/>
                <w:sz w:val="22"/>
                <w:szCs w:val="22"/>
              </w:rPr>
              <w:t>出厂时间</w:t>
            </w:r>
          </w:p>
        </w:tc>
        <w:tc>
          <w:tcPr>
            <w:tcW w:w="778" w:type="dxa"/>
            <w:noWrap w:val="0"/>
            <w:vAlign w:val="center"/>
          </w:tcPr>
          <w:p w14:paraId="0B92C391">
            <w:pPr>
              <w:jc w:val="center"/>
              <w:rPr>
                <w:rFonts w:hint="eastAsia" w:hAnsi="宋体" w:cs="宋体"/>
                <w:color w:val="000000"/>
                <w:sz w:val="22"/>
                <w:szCs w:val="22"/>
              </w:rPr>
            </w:pPr>
            <w:r>
              <w:rPr>
                <w:rFonts w:hint="eastAsia" w:hAnsi="宋体" w:cs="宋体"/>
                <w:color w:val="000000"/>
                <w:sz w:val="22"/>
                <w:szCs w:val="22"/>
              </w:rPr>
              <w:t>数量</w:t>
            </w:r>
          </w:p>
        </w:tc>
        <w:tc>
          <w:tcPr>
            <w:tcW w:w="949" w:type="dxa"/>
            <w:noWrap w:val="0"/>
            <w:vAlign w:val="center"/>
          </w:tcPr>
          <w:p w14:paraId="631C4106">
            <w:pPr>
              <w:jc w:val="center"/>
              <w:rPr>
                <w:rFonts w:hint="eastAsia" w:hAnsi="宋体" w:cs="宋体"/>
                <w:color w:val="000000"/>
                <w:sz w:val="22"/>
                <w:szCs w:val="22"/>
              </w:rPr>
            </w:pPr>
            <w:r>
              <w:rPr>
                <w:rFonts w:hint="eastAsia" w:hAnsi="宋体" w:cs="宋体"/>
                <w:color w:val="000000"/>
                <w:sz w:val="22"/>
                <w:szCs w:val="22"/>
              </w:rPr>
              <w:t>质保期</w:t>
            </w:r>
          </w:p>
        </w:tc>
      </w:tr>
      <w:tr w14:paraId="5507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615" w:type="dxa"/>
            <w:tcBorders>
              <w:top w:val="single" w:color="auto" w:sz="6" w:space="0"/>
              <w:bottom w:val="single" w:color="auto" w:sz="6" w:space="0"/>
            </w:tcBorders>
            <w:noWrap w:val="0"/>
            <w:vAlign w:val="center"/>
          </w:tcPr>
          <w:p w14:paraId="05972612">
            <w:pPr>
              <w:spacing w:line="360" w:lineRule="auto"/>
              <w:jc w:val="center"/>
              <w:rPr>
                <w:rFonts w:hint="eastAsia" w:hAnsi="宋体" w:cs="宋体"/>
                <w:color w:val="000000"/>
                <w:sz w:val="22"/>
                <w:szCs w:val="22"/>
              </w:rPr>
            </w:pPr>
          </w:p>
        </w:tc>
        <w:tc>
          <w:tcPr>
            <w:tcW w:w="1463" w:type="dxa"/>
            <w:tcBorders>
              <w:bottom w:val="single" w:color="auto" w:sz="6" w:space="0"/>
            </w:tcBorders>
            <w:noWrap w:val="0"/>
            <w:vAlign w:val="center"/>
          </w:tcPr>
          <w:p w14:paraId="4268B837">
            <w:pPr>
              <w:spacing w:line="360" w:lineRule="auto"/>
              <w:jc w:val="center"/>
              <w:rPr>
                <w:rFonts w:hint="eastAsia" w:hAnsi="宋体" w:cs="宋体"/>
                <w:color w:val="000000"/>
                <w:sz w:val="22"/>
                <w:szCs w:val="22"/>
              </w:rPr>
            </w:pPr>
          </w:p>
        </w:tc>
        <w:tc>
          <w:tcPr>
            <w:tcW w:w="2722" w:type="dxa"/>
            <w:noWrap w:val="0"/>
            <w:vAlign w:val="center"/>
          </w:tcPr>
          <w:p w14:paraId="4B1648B2">
            <w:pPr>
              <w:spacing w:line="360" w:lineRule="auto"/>
              <w:jc w:val="center"/>
              <w:rPr>
                <w:rFonts w:hint="eastAsia" w:hAnsi="宋体" w:cs="宋体"/>
                <w:color w:val="000000"/>
                <w:sz w:val="22"/>
                <w:szCs w:val="22"/>
              </w:rPr>
            </w:pPr>
          </w:p>
        </w:tc>
        <w:tc>
          <w:tcPr>
            <w:tcW w:w="1224" w:type="dxa"/>
            <w:noWrap w:val="0"/>
            <w:vAlign w:val="center"/>
          </w:tcPr>
          <w:p w14:paraId="140AC5EB">
            <w:pPr>
              <w:spacing w:line="360" w:lineRule="auto"/>
              <w:jc w:val="center"/>
              <w:rPr>
                <w:rFonts w:hint="eastAsia" w:hAnsi="宋体" w:cs="宋体"/>
                <w:color w:val="000000"/>
                <w:sz w:val="22"/>
                <w:szCs w:val="22"/>
              </w:rPr>
            </w:pPr>
          </w:p>
        </w:tc>
        <w:tc>
          <w:tcPr>
            <w:tcW w:w="1065" w:type="dxa"/>
            <w:noWrap w:val="0"/>
            <w:vAlign w:val="center"/>
          </w:tcPr>
          <w:p w14:paraId="6E38A373">
            <w:pPr>
              <w:spacing w:line="360" w:lineRule="auto"/>
              <w:jc w:val="center"/>
              <w:rPr>
                <w:rFonts w:hint="eastAsia" w:hAnsi="宋体" w:cs="宋体"/>
                <w:color w:val="000000"/>
                <w:sz w:val="22"/>
                <w:szCs w:val="22"/>
              </w:rPr>
            </w:pPr>
          </w:p>
        </w:tc>
        <w:tc>
          <w:tcPr>
            <w:tcW w:w="778" w:type="dxa"/>
            <w:noWrap w:val="0"/>
            <w:vAlign w:val="center"/>
          </w:tcPr>
          <w:p w14:paraId="5B9738B4">
            <w:pPr>
              <w:spacing w:line="360" w:lineRule="auto"/>
              <w:jc w:val="center"/>
              <w:rPr>
                <w:rFonts w:hint="eastAsia" w:hAnsi="宋体" w:cs="宋体"/>
                <w:color w:val="000000"/>
                <w:sz w:val="22"/>
                <w:szCs w:val="22"/>
              </w:rPr>
            </w:pPr>
          </w:p>
        </w:tc>
        <w:tc>
          <w:tcPr>
            <w:tcW w:w="949" w:type="dxa"/>
            <w:noWrap w:val="0"/>
            <w:vAlign w:val="top"/>
          </w:tcPr>
          <w:p w14:paraId="57B51662">
            <w:pPr>
              <w:jc w:val="center"/>
              <w:rPr>
                <w:rFonts w:hint="eastAsia" w:hAnsi="宋体" w:cs="宋体"/>
                <w:color w:val="000000"/>
                <w:sz w:val="22"/>
                <w:szCs w:val="22"/>
              </w:rPr>
            </w:pPr>
          </w:p>
        </w:tc>
      </w:tr>
      <w:tr w14:paraId="3388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615" w:type="dxa"/>
            <w:tcBorders>
              <w:top w:val="single" w:color="auto" w:sz="6" w:space="0"/>
              <w:bottom w:val="single" w:color="auto" w:sz="6" w:space="0"/>
            </w:tcBorders>
            <w:noWrap w:val="0"/>
            <w:vAlign w:val="center"/>
          </w:tcPr>
          <w:p w14:paraId="1105B54A">
            <w:pPr>
              <w:spacing w:line="360" w:lineRule="auto"/>
              <w:jc w:val="center"/>
              <w:rPr>
                <w:rFonts w:hint="eastAsia" w:hAnsi="宋体" w:cs="宋体"/>
                <w:color w:val="000000"/>
                <w:sz w:val="22"/>
                <w:szCs w:val="22"/>
              </w:rPr>
            </w:pPr>
          </w:p>
        </w:tc>
        <w:tc>
          <w:tcPr>
            <w:tcW w:w="1463" w:type="dxa"/>
            <w:tcBorders>
              <w:top w:val="single" w:color="auto" w:sz="6" w:space="0"/>
              <w:bottom w:val="single" w:color="auto" w:sz="6" w:space="0"/>
            </w:tcBorders>
            <w:noWrap w:val="0"/>
            <w:vAlign w:val="center"/>
          </w:tcPr>
          <w:p w14:paraId="4ADDED20">
            <w:pPr>
              <w:spacing w:line="360" w:lineRule="auto"/>
              <w:jc w:val="center"/>
              <w:rPr>
                <w:rFonts w:hint="eastAsia" w:hAnsi="宋体" w:cs="宋体"/>
                <w:color w:val="000000"/>
                <w:sz w:val="22"/>
                <w:szCs w:val="22"/>
              </w:rPr>
            </w:pPr>
          </w:p>
        </w:tc>
        <w:tc>
          <w:tcPr>
            <w:tcW w:w="2722" w:type="dxa"/>
            <w:noWrap w:val="0"/>
            <w:vAlign w:val="center"/>
          </w:tcPr>
          <w:p w14:paraId="01F3FCBA">
            <w:pPr>
              <w:spacing w:line="360" w:lineRule="auto"/>
              <w:jc w:val="center"/>
              <w:rPr>
                <w:rFonts w:hint="eastAsia" w:hAnsi="宋体" w:cs="宋体"/>
                <w:color w:val="000000"/>
                <w:sz w:val="22"/>
                <w:szCs w:val="22"/>
              </w:rPr>
            </w:pPr>
          </w:p>
        </w:tc>
        <w:tc>
          <w:tcPr>
            <w:tcW w:w="1224" w:type="dxa"/>
            <w:noWrap w:val="0"/>
            <w:vAlign w:val="center"/>
          </w:tcPr>
          <w:p w14:paraId="5A35B8EF">
            <w:pPr>
              <w:spacing w:line="360" w:lineRule="auto"/>
              <w:jc w:val="center"/>
              <w:rPr>
                <w:rFonts w:hint="eastAsia" w:hAnsi="宋体" w:cs="宋体"/>
                <w:color w:val="000000"/>
                <w:sz w:val="22"/>
                <w:szCs w:val="22"/>
              </w:rPr>
            </w:pPr>
          </w:p>
        </w:tc>
        <w:tc>
          <w:tcPr>
            <w:tcW w:w="1065" w:type="dxa"/>
            <w:noWrap w:val="0"/>
            <w:vAlign w:val="center"/>
          </w:tcPr>
          <w:p w14:paraId="13E457CB">
            <w:pPr>
              <w:spacing w:line="360" w:lineRule="auto"/>
              <w:jc w:val="center"/>
              <w:rPr>
                <w:rFonts w:hint="eastAsia" w:hAnsi="宋体" w:cs="宋体"/>
                <w:color w:val="000000"/>
                <w:sz w:val="22"/>
                <w:szCs w:val="22"/>
              </w:rPr>
            </w:pPr>
          </w:p>
        </w:tc>
        <w:tc>
          <w:tcPr>
            <w:tcW w:w="778" w:type="dxa"/>
            <w:noWrap w:val="0"/>
            <w:vAlign w:val="center"/>
          </w:tcPr>
          <w:p w14:paraId="345BA691">
            <w:pPr>
              <w:spacing w:line="360" w:lineRule="auto"/>
              <w:jc w:val="center"/>
              <w:rPr>
                <w:rFonts w:hint="eastAsia" w:hAnsi="宋体" w:cs="宋体"/>
                <w:color w:val="000000"/>
                <w:sz w:val="22"/>
                <w:szCs w:val="22"/>
              </w:rPr>
            </w:pPr>
          </w:p>
        </w:tc>
        <w:tc>
          <w:tcPr>
            <w:tcW w:w="949" w:type="dxa"/>
            <w:noWrap w:val="0"/>
            <w:vAlign w:val="top"/>
          </w:tcPr>
          <w:p w14:paraId="23430E65">
            <w:pPr>
              <w:jc w:val="center"/>
              <w:rPr>
                <w:rFonts w:hint="eastAsia" w:hAnsi="宋体" w:cs="宋体"/>
                <w:color w:val="000000"/>
                <w:sz w:val="22"/>
                <w:szCs w:val="22"/>
              </w:rPr>
            </w:pPr>
          </w:p>
        </w:tc>
      </w:tr>
      <w:tr w14:paraId="3C0A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615" w:type="dxa"/>
            <w:tcBorders>
              <w:top w:val="single" w:color="auto" w:sz="6" w:space="0"/>
              <w:bottom w:val="single" w:color="auto" w:sz="6" w:space="0"/>
            </w:tcBorders>
            <w:noWrap w:val="0"/>
            <w:vAlign w:val="center"/>
          </w:tcPr>
          <w:p w14:paraId="1A957D48">
            <w:pPr>
              <w:spacing w:line="360" w:lineRule="auto"/>
              <w:jc w:val="center"/>
              <w:rPr>
                <w:rFonts w:hint="eastAsia" w:hAnsi="宋体" w:cs="宋体"/>
                <w:color w:val="000000"/>
                <w:sz w:val="22"/>
                <w:szCs w:val="22"/>
              </w:rPr>
            </w:pPr>
          </w:p>
        </w:tc>
        <w:tc>
          <w:tcPr>
            <w:tcW w:w="1463" w:type="dxa"/>
            <w:tcBorders>
              <w:top w:val="single" w:color="auto" w:sz="6" w:space="0"/>
              <w:bottom w:val="single" w:color="auto" w:sz="6" w:space="0"/>
            </w:tcBorders>
            <w:noWrap w:val="0"/>
            <w:vAlign w:val="center"/>
          </w:tcPr>
          <w:p w14:paraId="1855CE09">
            <w:pPr>
              <w:spacing w:line="360" w:lineRule="auto"/>
              <w:jc w:val="center"/>
              <w:rPr>
                <w:rFonts w:hint="eastAsia" w:hAnsi="宋体" w:cs="宋体"/>
                <w:color w:val="000000"/>
                <w:sz w:val="22"/>
                <w:szCs w:val="22"/>
              </w:rPr>
            </w:pPr>
          </w:p>
        </w:tc>
        <w:tc>
          <w:tcPr>
            <w:tcW w:w="2722" w:type="dxa"/>
            <w:noWrap w:val="0"/>
            <w:vAlign w:val="center"/>
          </w:tcPr>
          <w:p w14:paraId="3D74DC49">
            <w:pPr>
              <w:spacing w:line="360" w:lineRule="auto"/>
              <w:jc w:val="center"/>
              <w:rPr>
                <w:rFonts w:hint="eastAsia" w:hAnsi="宋体" w:cs="宋体"/>
                <w:color w:val="000000"/>
                <w:sz w:val="22"/>
                <w:szCs w:val="22"/>
              </w:rPr>
            </w:pPr>
          </w:p>
        </w:tc>
        <w:tc>
          <w:tcPr>
            <w:tcW w:w="1224" w:type="dxa"/>
            <w:noWrap w:val="0"/>
            <w:vAlign w:val="center"/>
          </w:tcPr>
          <w:p w14:paraId="73EC9D8B">
            <w:pPr>
              <w:spacing w:line="360" w:lineRule="auto"/>
              <w:jc w:val="center"/>
              <w:rPr>
                <w:rFonts w:hint="eastAsia" w:hAnsi="宋体" w:cs="宋体"/>
                <w:color w:val="000000"/>
                <w:sz w:val="22"/>
                <w:szCs w:val="22"/>
              </w:rPr>
            </w:pPr>
          </w:p>
        </w:tc>
        <w:tc>
          <w:tcPr>
            <w:tcW w:w="1065" w:type="dxa"/>
            <w:noWrap w:val="0"/>
            <w:vAlign w:val="center"/>
          </w:tcPr>
          <w:p w14:paraId="0712A89C">
            <w:pPr>
              <w:spacing w:line="360" w:lineRule="auto"/>
              <w:jc w:val="center"/>
              <w:rPr>
                <w:rFonts w:hint="eastAsia" w:hAnsi="宋体" w:cs="宋体"/>
                <w:color w:val="000000"/>
                <w:sz w:val="22"/>
                <w:szCs w:val="22"/>
              </w:rPr>
            </w:pPr>
          </w:p>
        </w:tc>
        <w:tc>
          <w:tcPr>
            <w:tcW w:w="778" w:type="dxa"/>
            <w:noWrap w:val="0"/>
            <w:vAlign w:val="center"/>
          </w:tcPr>
          <w:p w14:paraId="1D60EE99">
            <w:pPr>
              <w:spacing w:line="360" w:lineRule="auto"/>
              <w:jc w:val="center"/>
              <w:rPr>
                <w:rFonts w:hint="eastAsia" w:hAnsi="宋体" w:cs="宋体"/>
                <w:color w:val="000000"/>
                <w:sz w:val="22"/>
                <w:szCs w:val="22"/>
              </w:rPr>
            </w:pPr>
          </w:p>
        </w:tc>
        <w:tc>
          <w:tcPr>
            <w:tcW w:w="949" w:type="dxa"/>
            <w:noWrap w:val="0"/>
            <w:vAlign w:val="top"/>
          </w:tcPr>
          <w:p w14:paraId="21CBCAED">
            <w:pPr>
              <w:jc w:val="center"/>
              <w:rPr>
                <w:rFonts w:hint="eastAsia" w:hAnsi="宋体" w:cs="宋体"/>
                <w:color w:val="000000"/>
                <w:sz w:val="22"/>
                <w:szCs w:val="22"/>
              </w:rPr>
            </w:pPr>
          </w:p>
        </w:tc>
      </w:tr>
      <w:tr w14:paraId="36C7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615" w:type="dxa"/>
            <w:tcBorders>
              <w:top w:val="single" w:color="auto" w:sz="6" w:space="0"/>
              <w:bottom w:val="single" w:color="auto" w:sz="6" w:space="0"/>
            </w:tcBorders>
            <w:noWrap w:val="0"/>
            <w:vAlign w:val="center"/>
          </w:tcPr>
          <w:p w14:paraId="01D459E6">
            <w:pPr>
              <w:spacing w:line="360" w:lineRule="auto"/>
              <w:jc w:val="center"/>
              <w:rPr>
                <w:rFonts w:hint="eastAsia" w:hAnsi="宋体" w:cs="宋体"/>
                <w:color w:val="000000"/>
                <w:sz w:val="22"/>
                <w:szCs w:val="22"/>
              </w:rPr>
            </w:pPr>
          </w:p>
        </w:tc>
        <w:tc>
          <w:tcPr>
            <w:tcW w:w="1463" w:type="dxa"/>
            <w:tcBorders>
              <w:top w:val="single" w:color="auto" w:sz="6" w:space="0"/>
              <w:bottom w:val="single" w:color="auto" w:sz="6" w:space="0"/>
            </w:tcBorders>
            <w:noWrap w:val="0"/>
            <w:vAlign w:val="center"/>
          </w:tcPr>
          <w:p w14:paraId="11375985">
            <w:pPr>
              <w:spacing w:line="360" w:lineRule="auto"/>
              <w:jc w:val="center"/>
              <w:rPr>
                <w:rFonts w:hint="eastAsia" w:hAnsi="宋体" w:cs="宋体"/>
                <w:color w:val="000000"/>
                <w:sz w:val="22"/>
                <w:szCs w:val="22"/>
              </w:rPr>
            </w:pPr>
          </w:p>
        </w:tc>
        <w:tc>
          <w:tcPr>
            <w:tcW w:w="2722" w:type="dxa"/>
            <w:noWrap w:val="0"/>
            <w:vAlign w:val="center"/>
          </w:tcPr>
          <w:p w14:paraId="045F62D9">
            <w:pPr>
              <w:spacing w:line="360" w:lineRule="auto"/>
              <w:jc w:val="center"/>
              <w:rPr>
                <w:rFonts w:hint="eastAsia" w:hAnsi="宋体" w:cs="宋体"/>
                <w:color w:val="000000"/>
                <w:sz w:val="22"/>
                <w:szCs w:val="22"/>
              </w:rPr>
            </w:pPr>
          </w:p>
        </w:tc>
        <w:tc>
          <w:tcPr>
            <w:tcW w:w="1224" w:type="dxa"/>
            <w:noWrap w:val="0"/>
            <w:vAlign w:val="center"/>
          </w:tcPr>
          <w:p w14:paraId="70E96382">
            <w:pPr>
              <w:spacing w:line="360" w:lineRule="auto"/>
              <w:jc w:val="center"/>
              <w:rPr>
                <w:rFonts w:hint="eastAsia" w:hAnsi="宋体" w:cs="宋体"/>
                <w:color w:val="000000"/>
                <w:sz w:val="22"/>
                <w:szCs w:val="22"/>
              </w:rPr>
            </w:pPr>
          </w:p>
        </w:tc>
        <w:tc>
          <w:tcPr>
            <w:tcW w:w="1065" w:type="dxa"/>
            <w:noWrap w:val="0"/>
            <w:vAlign w:val="center"/>
          </w:tcPr>
          <w:p w14:paraId="5C292686">
            <w:pPr>
              <w:spacing w:line="360" w:lineRule="auto"/>
              <w:jc w:val="center"/>
              <w:rPr>
                <w:rFonts w:hint="eastAsia" w:hAnsi="宋体" w:cs="宋体"/>
                <w:color w:val="000000"/>
                <w:sz w:val="22"/>
                <w:szCs w:val="22"/>
              </w:rPr>
            </w:pPr>
          </w:p>
        </w:tc>
        <w:tc>
          <w:tcPr>
            <w:tcW w:w="778" w:type="dxa"/>
            <w:noWrap w:val="0"/>
            <w:vAlign w:val="center"/>
          </w:tcPr>
          <w:p w14:paraId="59FF162F">
            <w:pPr>
              <w:spacing w:line="360" w:lineRule="auto"/>
              <w:jc w:val="center"/>
              <w:rPr>
                <w:rFonts w:hint="eastAsia" w:hAnsi="宋体" w:cs="宋体"/>
                <w:color w:val="000000"/>
                <w:sz w:val="22"/>
                <w:szCs w:val="22"/>
              </w:rPr>
            </w:pPr>
          </w:p>
        </w:tc>
        <w:tc>
          <w:tcPr>
            <w:tcW w:w="949" w:type="dxa"/>
            <w:noWrap w:val="0"/>
            <w:vAlign w:val="top"/>
          </w:tcPr>
          <w:p w14:paraId="16209DC0">
            <w:pPr>
              <w:jc w:val="center"/>
              <w:rPr>
                <w:rFonts w:hint="eastAsia" w:hAnsi="宋体" w:cs="宋体"/>
                <w:color w:val="000000"/>
                <w:sz w:val="22"/>
                <w:szCs w:val="22"/>
              </w:rPr>
            </w:pPr>
          </w:p>
        </w:tc>
      </w:tr>
      <w:tr w14:paraId="0199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trPr>
        <w:tc>
          <w:tcPr>
            <w:tcW w:w="615" w:type="dxa"/>
            <w:tcBorders>
              <w:top w:val="single" w:color="auto" w:sz="6" w:space="0"/>
            </w:tcBorders>
            <w:noWrap w:val="0"/>
            <w:vAlign w:val="center"/>
          </w:tcPr>
          <w:p w14:paraId="1E917A4F">
            <w:pPr>
              <w:spacing w:line="360" w:lineRule="auto"/>
              <w:jc w:val="center"/>
              <w:rPr>
                <w:rFonts w:hint="eastAsia" w:hAnsi="宋体" w:cs="宋体"/>
                <w:color w:val="000000"/>
                <w:sz w:val="22"/>
                <w:szCs w:val="22"/>
              </w:rPr>
            </w:pPr>
          </w:p>
        </w:tc>
        <w:tc>
          <w:tcPr>
            <w:tcW w:w="1463" w:type="dxa"/>
            <w:tcBorders>
              <w:top w:val="single" w:color="auto" w:sz="6" w:space="0"/>
            </w:tcBorders>
            <w:noWrap w:val="0"/>
            <w:vAlign w:val="center"/>
          </w:tcPr>
          <w:p w14:paraId="1C86F06A">
            <w:pPr>
              <w:spacing w:line="360" w:lineRule="auto"/>
              <w:jc w:val="center"/>
              <w:rPr>
                <w:rFonts w:hint="eastAsia" w:hAnsi="宋体" w:cs="宋体"/>
                <w:color w:val="000000"/>
                <w:sz w:val="22"/>
                <w:szCs w:val="22"/>
              </w:rPr>
            </w:pPr>
          </w:p>
        </w:tc>
        <w:tc>
          <w:tcPr>
            <w:tcW w:w="2722" w:type="dxa"/>
            <w:noWrap w:val="0"/>
            <w:vAlign w:val="center"/>
          </w:tcPr>
          <w:p w14:paraId="1AE52D99">
            <w:pPr>
              <w:spacing w:line="360" w:lineRule="auto"/>
              <w:jc w:val="center"/>
              <w:rPr>
                <w:rFonts w:hint="eastAsia" w:hAnsi="宋体" w:cs="宋体"/>
                <w:color w:val="000000"/>
                <w:sz w:val="22"/>
                <w:szCs w:val="22"/>
              </w:rPr>
            </w:pPr>
          </w:p>
        </w:tc>
        <w:tc>
          <w:tcPr>
            <w:tcW w:w="1224" w:type="dxa"/>
            <w:noWrap w:val="0"/>
            <w:vAlign w:val="center"/>
          </w:tcPr>
          <w:p w14:paraId="4E29A601">
            <w:pPr>
              <w:spacing w:line="360" w:lineRule="auto"/>
              <w:jc w:val="center"/>
              <w:rPr>
                <w:rFonts w:hint="eastAsia" w:hAnsi="宋体" w:cs="宋体"/>
                <w:color w:val="000000"/>
                <w:sz w:val="22"/>
                <w:szCs w:val="22"/>
              </w:rPr>
            </w:pPr>
          </w:p>
        </w:tc>
        <w:tc>
          <w:tcPr>
            <w:tcW w:w="1065" w:type="dxa"/>
            <w:noWrap w:val="0"/>
            <w:vAlign w:val="center"/>
          </w:tcPr>
          <w:p w14:paraId="475AAA55">
            <w:pPr>
              <w:spacing w:line="360" w:lineRule="auto"/>
              <w:jc w:val="center"/>
              <w:rPr>
                <w:rFonts w:hint="eastAsia" w:hAnsi="宋体" w:cs="宋体"/>
                <w:color w:val="000000"/>
                <w:sz w:val="22"/>
                <w:szCs w:val="22"/>
              </w:rPr>
            </w:pPr>
          </w:p>
        </w:tc>
        <w:tc>
          <w:tcPr>
            <w:tcW w:w="778" w:type="dxa"/>
            <w:noWrap w:val="0"/>
            <w:vAlign w:val="center"/>
          </w:tcPr>
          <w:p w14:paraId="6E79BD9D">
            <w:pPr>
              <w:spacing w:line="360" w:lineRule="auto"/>
              <w:jc w:val="center"/>
              <w:rPr>
                <w:rFonts w:hint="eastAsia" w:hAnsi="宋体" w:cs="宋体"/>
                <w:color w:val="000000"/>
                <w:sz w:val="22"/>
                <w:szCs w:val="22"/>
              </w:rPr>
            </w:pPr>
          </w:p>
        </w:tc>
        <w:tc>
          <w:tcPr>
            <w:tcW w:w="949" w:type="dxa"/>
            <w:noWrap w:val="0"/>
            <w:vAlign w:val="top"/>
          </w:tcPr>
          <w:p w14:paraId="62348FFF">
            <w:pPr>
              <w:jc w:val="center"/>
              <w:rPr>
                <w:rFonts w:hint="eastAsia" w:hAnsi="宋体" w:cs="宋体"/>
                <w:color w:val="000000"/>
                <w:sz w:val="22"/>
                <w:szCs w:val="22"/>
              </w:rPr>
            </w:pPr>
          </w:p>
        </w:tc>
      </w:tr>
    </w:tbl>
    <w:p w14:paraId="5EFB88A6">
      <w:pPr>
        <w:spacing w:line="380" w:lineRule="exact"/>
        <w:rPr>
          <w:rFonts w:hint="eastAsia" w:hAnsi="宋体" w:cs="宋体"/>
          <w:b/>
          <w:bCs/>
          <w:color w:val="000000"/>
          <w:sz w:val="22"/>
          <w:szCs w:val="22"/>
        </w:rPr>
      </w:pPr>
      <w:r>
        <w:rPr>
          <w:rFonts w:hint="eastAsia" w:hAnsi="宋体" w:cs="宋体"/>
          <w:b/>
          <w:bCs/>
          <w:color w:val="000000"/>
          <w:sz w:val="22"/>
          <w:szCs w:val="22"/>
        </w:rPr>
        <w:t>注：表中详细配置栏里供应商需提供的货物的名称、</w:t>
      </w:r>
      <w:r>
        <w:rPr>
          <w:rFonts w:hint="eastAsia" w:hAnsi="宋体" w:cs="宋体"/>
          <w:b/>
          <w:color w:val="000000"/>
          <w:sz w:val="22"/>
          <w:szCs w:val="22"/>
        </w:rPr>
        <w:t>品牌、</w:t>
      </w:r>
      <w:r>
        <w:rPr>
          <w:rFonts w:hint="eastAsia" w:hAnsi="宋体" w:cs="宋体"/>
          <w:b/>
          <w:bCs/>
          <w:color w:val="000000"/>
          <w:sz w:val="22"/>
          <w:szCs w:val="22"/>
        </w:rPr>
        <w:t>规格型号、配置及技术性能参数，此表可按原有格式进行复制。</w:t>
      </w:r>
    </w:p>
    <w:p w14:paraId="646B068B">
      <w:pPr>
        <w:pStyle w:val="21"/>
        <w:spacing w:line="400" w:lineRule="exact"/>
        <w:rPr>
          <w:rFonts w:hint="eastAsia" w:hAnsi="宋体"/>
          <w:b/>
          <w:color w:val="000000"/>
          <w:sz w:val="22"/>
        </w:rPr>
      </w:pPr>
      <w:r>
        <w:rPr>
          <w:rFonts w:hint="eastAsia" w:hAnsi="宋体"/>
          <w:b/>
          <w:color w:val="000000"/>
          <w:sz w:val="22"/>
        </w:rPr>
        <w:t>供应商名称（盖章）：</w:t>
      </w:r>
    </w:p>
    <w:p w14:paraId="0B0C5F27">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6078420B">
      <w:pPr>
        <w:pStyle w:val="21"/>
        <w:spacing w:line="400" w:lineRule="exact"/>
        <w:rPr>
          <w:rFonts w:hint="eastAsia" w:hAnsi="宋体"/>
          <w:b/>
          <w:color w:val="000000"/>
          <w:sz w:val="22"/>
        </w:rPr>
      </w:pPr>
      <w:r>
        <w:rPr>
          <w:rFonts w:hint="eastAsia" w:hAnsi="宋体"/>
          <w:b/>
          <w:color w:val="000000"/>
          <w:sz w:val="22"/>
        </w:rPr>
        <w:t>日    期：</w:t>
      </w:r>
    </w:p>
    <w:p w14:paraId="40EF0266">
      <w:pPr>
        <w:tabs>
          <w:tab w:val="left" w:pos="3960"/>
        </w:tabs>
        <w:spacing w:line="380" w:lineRule="exact"/>
        <w:jc w:val="center"/>
        <w:outlineLvl w:val="3"/>
        <w:rPr>
          <w:rFonts w:hint="eastAsia" w:hAnsi="宋体" w:cs="宋体"/>
          <w:b/>
          <w:bCs/>
          <w:color w:val="000000"/>
          <w:sz w:val="22"/>
          <w:szCs w:val="22"/>
        </w:rPr>
      </w:pPr>
      <w:r>
        <w:rPr>
          <w:rFonts w:hint="eastAsia" w:hAnsi="宋体" w:cs="宋体"/>
          <w:b/>
          <w:bCs/>
          <w:color w:val="000000"/>
          <w:sz w:val="22"/>
          <w:szCs w:val="22"/>
        </w:rPr>
        <w:t>（二）药械专用工具清单</w:t>
      </w:r>
    </w:p>
    <w:p w14:paraId="0BF39062">
      <w:pPr>
        <w:spacing w:line="380" w:lineRule="exact"/>
        <w:ind w:left="-359" w:leftChars="-171" w:firstLine="216" w:firstLineChars="98"/>
        <w:rPr>
          <w:rFonts w:hint="eastAsia" w:hAnsi="宋体" w:cs="宋体"/>
          <w:b/>
          <w:bCs/>
          <w:color w:val="000000"/>
          <w:sz w:val="22"/>
          <w:szCs w:val="22"/>
        </w:rPr>
      </w:pPr>
      <w:r>
        <w:rPr>
          <w:rFonts w:hint="eastAsia" w:hAnsi="宋体" w:cs="宋体"/>
          <w:b/>
          <w:bCs/>
          <w:color w:val="000000"/>
          <w:sz w:val="22"/>
          <w:szCs w:val="22"/>
        </w:rPr>
        <w:t>项目名称：                                           项目编号：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20"/>
        <w:gridCol w:w="1420"/>
        <w:gridCol w:w="1243"/>
        <w:gridCol w:w="827"/>
        <w:gridCol w:w="1065"/>
        <w:gridCol w:w="886"/>
        <w:gridCol w:w="1289"/>
      </w:tblGrid>
      <w:tr w14:paraId="0C96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6F642173">
            <w:pPr>
              <w:spacing w:line="380" w:lineRule="exact"/>
              <w:jc w:val="center"/>
              <w:rPr>
                <w:rFonts w:hint="eastAsia" w:hAnsi="宋体" w:cs="宋体"/>
                <w:color w:val="000000"/>
                <w:sz w:val="22"/>
                <w:szCs w:val="22"/>
              </w:rPr>
            </w:pPr>
            <w:r>
              <w:rPr>
                <w:rFonts w:hint="eastAsia" w:hAnsi="宋体" w:cs="宋体"/>
                <w:color w:val="000000"/>
                <w:sz w:val="22"/>
                <w:szCs w:val="22"/>
              </w:rPr>
              <w:t>序号</w:t>
            </w:r>
          </w:p>
        </w:tc>
        <w:tc>
          <w:tcPr>
            <w:tcW w:w="1420" w:type="dxa"/>
            <w:noWrap w:val="0"/>
            <w:vAlign w:val="center"/>
          </w:tcPr>
          <w:p w14:paraId="42249B2B">
            <w:pPr>
              <w:spacing w:line="380" w:lineRule="exact"/>
              <w:jc w:val="center"/>
              <w:rPr>
                <w:rFonts w:hint="eastAsia" w:hAnsi="宋体" w:cs="宋体"/>
                <w:color w:val="000000"/>
                <w:sz w:val="22"/>
                <w:szCs w:val="22"/>
              </w:rPr>
            </w:pPr>
            <w:r>
              <w:rPr>
                <w:rFonts w:hint="eastAsia" w:hAnsi="宋体" w:cs="宋体"/>
                <w:color w:val="000000"/>
                <w:sz w:val="22"/>
                <w:szCs w:val="22"/>
              </w:rPr>
              <w:t>名  称</w:t>
            </w:r>
          </w:p>
        </w:tc>
        <w:tc>
          <w:tcPr>
            <w:tcW w:w="1420" w:type="dxa"/>
            <w:noWrap w:val="0"/>
            <w:vAlign w:val="center"/>
          </w:tcPr>
          <w:p w14:paraId="2253A425">
            <w:pPr>
              <w:spacing w:line="380" w:lineRule="exact"/>
              <w:jc w:val="center"/>
              <w:rPr>
                <w:rFonts w:hint="eastAsia" w:hAnsi="宋体" w:cs="宋体"/>
                <w:color w:val="000000"/>
                <w:sz w:val="22"/>
                <w:szCs w:val="22"/>
              </w:rPr>
            </w:pPr>
            <w:r>
              <w:rPr>
                <w:rFonts w:hint="eastAsia" w:hAnsi="宋体" w:cs="宋体"/>
                <w:color w:val="000000"/>
                <w:sz w:val="22"/>
                <w:szCs w:val="22"/>
              </w:rPr>
              <w:t>规格型号</w:t>
            </w:r>
          </w:p>
        </w:tc>
        <w:tc>
          <w:tcPr>
            <w:tcW w:w="1243" w:type="dxa"/>
            <w:noWrap w:val="0"/>
            <w:vAlign w:val="center"/>
          </w:tcPr>
          <w:p w14:paraId="55146AF8">
            <w:pPr>
              <w:spacing w:line="380" w:lineRule="exact"/>
              <w:jc w:val="center"/>
              <w:rPr>
                <w:rFonts w:hint="eastAsia" w:hAnsi="宋体" w:cs="宋体"/>
                <w:color w:val="000000"/>
                <w:sz w:val="22"/>
                <w:szCs w:val="22"/>
              </w:rPr>
            </w:pPr>
            <w:r>
              <w:rPr>
                <w:rFonts w:hint="eastAsia" w:hAnsi="宋体" w:cs="宋体"/>
                <w:color w:val="000000"/>
                <w:sz w:val="22"/>
                <w:szCs w:val="22"/>
              </w:rPr>
              <w:t>单位</w:t>
            </w:r>
          </w:p>
        </w:tc>
        <w:tc>
          <w:tcPr>
            <w:tcW w:w="827" w:type="dxa"/>
            <w:noWrap w:val="0"/>
            <w:vAlign w:val="center"/>
          </w:tcPr>
          <w:p w14:paraId="103278D7">
            <w:pPr>
              <w:spacing w:line="380" w:lineRule="exact"/>
              <w:jc w:val="center"/>
              <w:rPr>
                <w:rFonts w:hint="eastAsia" w:hAnsi="宋体" w:cs="宋体"/>
                <w:color w:val="000000"/>
                <w:sz w:val="22"/>
                <w:szCs w:val="22"/>
              </w:rPr>
            </w:pPr>
            <w:r>
              <w:rPr>
                <w:rFonts w:hint="eastAsia" w:hAnsi="宋体" w:cs="宋体"/>
                <w:color w:val="000000"/>
                <w:sz w:val="22"/>
                <w:szCs w:val="22"/>
              </w:rPr>
              <w:t>数量</w:t>
            </w:r>
          </w:p>
        </w:tc>
        <w:tc>
          <w:tcPr>
            <w:tcW w:w="1065" w:type="dxa"/>
            <w:noWrap w:val="0"/>
            <w:vAlign w:val="center"/>
          </w:tcPr>
          <w:p w14:paraId="79AEE764">
            <w:pPr>
              <w:spacing w:line="380" w:lineRule="exact"/>
              <w:jc w:val="center"/>
              <w:rPr>
                <w:rFonts w:hint="eastAsia" w:hAnsi="宋体" w:cs="宋体"/>
                <w:color w:val="000000"/>
                <w:sz w:val="22"/>
                <w:szCs w:val="22"/>
              </w:rPr>
            </w:pPr>
            <w:r>
              <w:rPr>
                <w:rFonts w:hint="eastAsia" w:hAnsi="宋体" w:cs="宋体"/>
                <w:color w:val="000000"/>
                <w:sz w:val="22"/>
                <w:szCs w:val="22"/>
              </w:rPr>
              <w:t>原产地</w:t>
            </w:r>
          </w:p>
        </w:tc>
        <w:tc>
          <w:tcPr>
            <w:tcW w:w="886" w:type="dxa"/>
            <w:noWrap w:val="0"/>
            <w:vAlign w:val="center"/>
          </w:tcPr>
          <w:p w14:paraId="6E439319">
            <w:pPr>
              <w:spacing w:line="380" w:lineRule="exact"/>
              <w:jc w:val="center"/>
              <w:rPr>
                <w:rFonts w:hint="eastAsia" w:hAnsi="宋体" w:cs="宋体"/>
                <w:color w:val="000000"/>
                <w:sz w:val="22"/>
                <w:szCs w:val="22"/>
              </w:rPr>
            </w:pPr>
            <w:r>
              <w:rPr>
                <w:rFonts w:hint="eastAsia" w:hAnsi="宋体" w:cs="宋体"/>
                <w:color w:val="000000"/>
                <w:sz w:val="22"/>
                <w:szCs w:val="22"/>
              </w:rPr>
              <w:t>制造商</w:t>
            </w:r>
          </w:p>
        </w:tc>
        <w:tc>
          <w:tcPr>
            <w:tcW w:w="1289" w:type="dxa"/>
            <w:noWrap w:val="0"/>
            <w:vAlign w:val="center"/>
          </w:tcPr>
          <w:p w14:paraId="6B667AE7">
            <w:pPr>
              <w:spacing w:line="380" w:lineRule="exact"/>
              <w:jc w:val="center"/>
              <w:rPr>
                <w:rFonts w:hint="eastAsia" w:hAnsi="宋体" w:cs="宋体"/>
                <w:color w:val="000000"/>
                <w:sz w:val="22"/>
                <w:szCs w:val="22"/>
              </w:rPr>
            </w:pPr>
            <w:r>
              <w:rPr>
                <w:rFonts w:hint="eastAsia" w:hAnsi="宋体" w:cs="宋体"/>
                <w:color w:val="000000"/>
                <w:sz w:val="22"/>
                <w:szCs w:val="22"/>
              </w:rPr>
              <w:t>备注</w:t>
            </w:r>
          </w:p>
        </w:tc>
      </w:tr>
      <w:tr w14:paraId="1205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29DD9DA7">
            <w:pPr>
              <w:spacing w:line="380" w:lineRule="exact"/>
              <w:jc w:val="center"/>
              <w:rPr>
                <w:rFonts w:hint="eastAsia" w:hAnsi="宋体" w:cs="宋体"/>
                <w:color w:val="000000"/>
                <w:sz w:val="22"/>
                <w:szCs w:val="22"/>
              </w:rPr>
            </w:pPr>
          </w:p>
        </w:tc>
        <w:tc>
          <w:tcPr>
            <w:tcW w:w="1420" w:type="dxa"/>
            <w:noWrap w:val="0"/>
            <w:vAlign w:val="center"/>
          </w:tcPr>
          <w:p w14:paraId="06FA2864">
            <w:pPr>
              <w:spacing w:line="380" w:lineRule="exact"/>
              <w:rPr>
                <w:rFonts w:hint="eastAsia" w:hAnsi="宋体" w:cs="宋体"/>
                <w:color w:val="000000"/>
                <w:sz w:val="22"/>
                <w:szCs w:val="22"/>
              </w:rPr>
            </w:pPr>
          </w:p>
        </w:tc>
        <w:tc>
          <w:tcPr>
            <w:tcW w:w="1420" w:type="dxa"/>
            <w:noWrap w:val="0"/>
            <w:vAlign w:val="center"/>
          </w:tcPr>
          <w:p w14:paraId="69A5EBC8">
            <w:pPr>
              <w:spacing w:line="380" w:lineRule="exact"/>
              <w:rPr>
                <w:rFonts w:hint="eastAsia" w:hAnsi="宋体" w:cs="宋体"/>
                <w:color w:val="000000"/>
                <w:sz w:val="22"/>
                <w:szCs w:val="22"/>
              </w:rPr>
            </w:pPr>
          </w:p>
        </w:tc>
        <w:tc>
          <w:tcPr>
            <w:tcW w:w="1243" w:type="dxa"/>
            <w:noWrap w:val="0"/>
            <w:vAlign w:val="center"/>
          </w:tcPr>
          <w:p w14:paraId="1BD4FBB2">
            <w:pPr>
              <w:spacing w:line="380" w:lineRule="exact"/>
              <w:jc w:val="center"/>
              <w:rPr>
                <w:rFonts w:hint="eastAsia" w:hAnsi="宋体" w:cs="宋体"/>
                <w:color w:val="000000"/>
                <w:sz w:val="22"/>
                <w:szCs w:val="22"/>
              </w:rPr>
            </w:pPr>
          </w:p>
        </w:tc>
        <w:tc>
          <w:tcPr>
            <w:tcW w:w="827" w:type="dxa"/>
            <w:noWrap w:val="0"/>
            <w:vAlign w:val="center"/>
          </w:tcPr>
          <w:p w14:paraId="4A5CFA16">
            <w:pPr>
              <w:spacing w:line="380" w:lineRule="exact"/>
              <w:jc w:val="center"/>
              <w:rPr>
                <w:rFonts w:hint="eastAsia" w:hAnsi="宋体" w:cs="宋体"/>
                <w:color w:val="000000"/>
                <w:sz w:val="22"/>
                <w:szCs w:val="22"/>
              </w:rPr>
            </w:pPr>
          </w:p>
        </w:tc>
        <w:tc>
          <w:tcPr>
            <w:tcW w:w="1065" w:type="dxa"/>
            <w:noWrap w:val="0"/>
            <w:vAlign w:val="center"/>
          </w:tcPr>
          <w:p w14:paraId="299CBC95">
            <w:pPr>
              <w:spacing w:line="380" w:lineRule="exact"/>
              <w:jc w:val="center"/>
              <w:rPr>
                <w:rFonts w:hint="eastAsia" w:hAnsi="宋体" w:cs="宋体"/>
                <w:color w:val="000000"/>
                <w:sz w:val="22"/>
                <w:szCs w:val="22"/>
              </w:rPr>
            </w:pPr>
          </w:p>
        </w:tc>
        <w:tc>
          <w:tcPr>
            <w:tcW w:w="886" w:type="dxa"/>
            <w:noWrap w:val="0"/>
            <w:vAlign w:val="center"/>
          </w:tcPr>
          <w:p w14:paraId="6432704A">
            <w:pPr>
              <w:spacing w:line="380" w:lineRule="exact"/>
              <w:jc w:val="center"/>
              <w:rPr>
                <w:rFonts w:hint="eastAsia" w:hAnsi="宋体" w:cs="宋体"/>
                <w:color w:val="000000"/>
                <w:sz w:val="22"/>
                <w:szCs w:val="22"/>
              </w:rPr>
            </w:pPr>
          </w:p>
        </w:tc>
        <w:tc>
          <w:tcPr>
            <w:tcW w:w="1289" w:type="dxa"/>
            <w:noWrap w:val="0"/>
            <w:vAlign w:val="center"/>
          </w:tcPr>
          <w:p w14:paraId="54F0E3C5">
            <w:pPr>
              <w:spacing w:line="380" w:lineRule="exact"/>
              <w:jc w:val="center"/>
              <w:rPr>
                <w:rFonts w:hint="eastAsia" w:hAnsi="宋体" w:cs="宋体"/>
                <w:color w:val="000000"/>
                <w:sz w:val="22"/>
                <w:szCs w:val="22"/>
              </w:rPr>
            </w:pPr>
          </w:p>
        </w:tc>
      </w:tr>
      <w:tr w14:paraId="4CCD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6F4E09A1">
            <w:pPr>
              <w:spacing w:line="380" w:lineRule="exact"/>
              <w:jc w:val="center"/>
              <w:rPr>
                <w:rFonts w:hint="eastAsia" w:hAnsi="宋体" w:cs="宋体"/>
                <w:color w:val="000000"/>
                <w:sz w:val="22"/>
                <w:szCs w:val="22"/>
              </w:rPr>
            </w:pPr>
          </w:p>
        </w:tc>
        <w:tc>
          <w:tcPr>
            <w:tcW w:w="1420" w:type="dxa"/>
            <w:noWrap w:val="0"/>
            <w:vAlign w:val="center"/>
          </w:tcPr>
          <w:p w14:paraId="6F4BAC09">
            <w:pPr>
              <w:spacing w:line="380" w:lineRule="exact"/>
              <w:jc w:val="center"/>
              <w:rPr>
                <w:rFonts w:hint="eastAsia" w:hAnsi="宋体" w:cs="宋体"/>
                <w:color w:val="000000"/>
                <w:sz w:val="22"/>
                <w:szCs w:val="22"/>
              </w:rPr>
            </w:pPr>
          </w:p>
        </w:tc>
        <w:tc>
          <w:tcPr>
            <w:tcW w:w="1420" w:type="dxa"/>
            <w:noWrap w:val="0"/>
            <w:vAlign w:val="center"/>
          </w:tcPr>
          <w:p w14:paraId="7C2A7897">
            <w:pPr>
              <w:spacing w:line="380" w:lineRule="exact"/>
              <w:jc w:val="center"/>
              <w:rPr>
                <w:rFonts w:hint="eastAsia" w:hAnsi="宋体" w:cs="宋体"/>
                <w:color w:val="000000"/>
                <w:sz w:val="22"/>
                <w:szCs w:val="22"/>
              </w:rPr>
            </w:pPr>
          </w:p>
        </w:tc>
        <w:tc>
          <w:tcPr>
            <w:tcW w:w="1243" w:type="dxa"/>
            <w:noWrap w:val="0"/>
            <w:vAlign w:val="center"/>
          </w:tcPr>
          <w:p w14:paraId="0C9ADC48">
            <w:pPr>
              <w:spacing w:line="380" w:lineRule="exact"/>
              <w:jc w:val="center"/>
              <w:rPr>
                <w:rFonts w:hint="eastAsia" w:hAnsi="宋体" w:cs="宋体"/>
                <w:color w:val="000000"/>
                <w:sz w:val="22"/>
                <w:szCs w:val="22"/>
              </w:rPr>
            </w:pPr>
          </w:p>
        </w:tc>
        <w:tc>
          <w:tcPr>
            <w:tcW w:w="827" w:type="dxa"/>
            <w:noWrap w:val="0"/>
            <w:vAlign w:val="center"/>
          </w:tcPr>
          <w:p w14:paraId="45266653">
            <w:pPr>
              <w:spacing w:line="380" w:lineRule="exact"/>
              <w:jc w:val="center"/>
              <w:rPr>
                <w:rFonts w:hint="eastAsia" w:hAnsi="宋体" w:cs="宋体"/>
                <w:color w:val="000000"/>
                <w:sz w:val="22"/>
                <w:szCs w:val="22"/>
              </w:rPr>
            </w:pPr>
          </w:p>
        </w:tc>
        <w:tc>
          <w:tcPr>
            <w:tcW w:w="1065" w:type="dxa"/>
            <w:noWrap w:val="0"/>
            <w:vAlign w:val="center"/>
          </w:tcPr>
          <w:p w14:paraId="23852E73">
            <w:pPr>
              <w:spacing w:line="380" w:lineRule="exact"/>
              <w:jc w:val="center"/>
              <w:rPr>
                <w:rFonts w:hint="eastAsia" w:hAnsi="宋体" w:cs="宋体"/>
                <w:color w:val="000000"/>
                <w:sz w:val="22"/>
                <w:szCs w:val="22"/>
              </w:rPr>
            </w:pPr>
          </w:p>
        </w:tc>
        <w:tc>
          <w:tcPr>
            <w:tcW w:w="886" w:type="dxa"/>
            <w:noWrap w:val="0"/>
            <w:vAlign w:val="center"/>
          </w:tcPr>
          <w:p w14:paraId="59CC5820">
            <w:pPr>
              <w:spacing w:line="380" w:lineRule="exact"/>
              <w:jc w:val="center"/>
              <w:rPr>
                <w:rFonts w:hint="eastAsia" w:hAnsi="宋体" w:cs="宋体"/>
                <w:color w:val="000000"/>
                <w:sz w:val="22"/>
                <w:szCs w:val="22"/>
              </w:rPr>
            </w:pPr>
          </w:p>
        </w:tc>
        <w:tc>
          <w:tcPr>
            <w:tcW w:w="1289" w:type="dxa"/>
            <w:noWrap w:val="0"/>
            <w:vAlign w:val="center"/>
          </w:tcPr>
          <w:p w14:paraId="1A4D7BAE">
            <w:pPr>
              <w:spacing w:line="380" w:lineRule="exact"/>
              <w:jc w:val="center"/>
              <w:rPr>
                <w:rFonts w:hint="eastAsia" w:hAnsi="宋体" w:cs="宋体"/>
                <w:color w:val="000000"/>
                <w:sz w:val="22"/>
                <w:szCs w:val="22"/>
              </w:rPr>
            </w:pPr>
          </w:p>
        </w:tc>
      </w:tr>
      <w:tr w14:paraId="1495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15D4FF4D">
            <w:pPr>
              <w:spacing w:line="380" w:lineRule="exact"/>
              <w:jc w:val="center"/>
              <w:rPr>
                <w:rFonts w:hint="eastAsia" w:hAnsi="宋体" w:cs="宋体"/>
                <w:color w:val="000000"/>
                <w:sz w:val="22"/>
                <w:szCs w:val="22"/>
              </w:rPr>
            </w:pPr>
          </w:p>
        </w:tc>
        <w:tc>
          <w:tcPr>
            <w:tcW w:w="1420" w:type="dxa"/>
            <w:noWrap w:val="0"/>
            <w:vAlign w:val="center"/>
          </w:tcPr>
          <w:p w14:paraId="02CF605A">
            <w:pPr>
              <w:spacing w:line="380" w:lineRule="exact"/>
              <w:jc w:val="center"/>
              <w:rPr>
                <w:rFonts w:hint="eastAsia" w:hAnsi="宋体" w:cs="宋体"/>
                <w:color w:val="000000"/>
                <w:sz w:val="22"/>
                <w:szCs w:val="22"/>
              </w:rPr>
            </w:pPr>
          </w:p>
        </w:tc>
        <w:tc>
          <w:tcPr>
            <w:tcW w:w="1420" w:type="dxa"/>
            <w:noWrap w:val="0"/>
            <w:vAlign w:val="center"/>
          </w:tcPr>
          <w:p w14:paraId="06BA2CAF">
            <w:pPr>
              <w:spacing w:line="380" w:lineRule="exact"/>
              <w:jc w:val="center"/>
              <w:rPr>
                <w:rFonts w:hint="eastAsia" w:hAnsi="宋体" w:cs="宋体"/>
                <w:color w:val="000000"/>
                <w:sz w:val="22"/>
                <w:szCs w:val="22"/>
              </w:rPr>
            </w:pPr>
          </w:p>
        </w:tc>
        <w:tc>
          <w:tcPr>
            <w:tcW w:w="1243" w:type="dxa"/>
            <w:noWrap w:val="0"/>
            <w:vAlign w:val="center"/>
          </w:tcPr>
          <w:p w14:paraId="620A0976">
            <w:pPr>
              <w:spacing w:line="380" w:lineRule="exact"/>
              <w:jc w:val="center"/>
              <w:rPr>
                <w:rFonts w:hint="eastAsia" w:hAnsi="宋体" w:cs="宋体"/>
                <w:color w:val="000000"/>
                <w:sz w:val="22"/>
                <w:szCs w:val="22"/>
              </w:rPr>
            </w:pPr>
          </w:p>
        </w:tc>
        <w:tc>
          <w:tcPr>
            <w:tcW w:w="827" w:type="dxa"/>
            <w:noWrap w:val="0"/>
            <w:vAlign w:val="center"/>
          </w:tcPr>
          <w:p w14:paraId="4D0C3C30">
            <w:pPr>
              <w:spacing w:line="380" w:lineRule="exact"/>
              <w:jc w:val="center"/>
              <w:rPr>
                <w:rFonts w:hint="eastAsia" w:hAnsi="宋体" w:cs="宋体"/>
                <w:color w:val="000000"/>
                <w:sz w:val="22"/>
                <w:szCs w:val="22"/>
              </w:rPr>
            </w:pPr>
          </w:p>
        </w:tc>
        <w:tc>
          <w:tcPr>
            <w:tcW w:w="1065" w:type="dxa"/>
            <w:noWrap w:val="0"/>
            <w:vAlign w:val="center"/>
          </w:tcPr>
          <w:p w14:paraId="5A7E6358">
            <w:pPr>
              <w:spacing w:line="380" w:lineRule="exact"/>
              <w:jc w:val="center"/>
              <w:rPr>
                <w:rFonts w:hint="eastAsia" w:hAnsi="宋体" w:cs="宋体"/>
                <w:color w:val="000000"/>
                <w:sz w:val="22"/>
                <w:szCs w:val="22"/>
              </w:rPr>
            </w:pPr>
          </w:p>
        </w:tc>
        <w:tc>
          <w:tcPr>
            <w:tcW w:w="886" w:type="dxa"/>
            <w:noWrap w:val="0"/>
            <w:vAlign w:val="center"/>
          </w:tcPr>
          <w:p w14:paraId="3A9B79BE">
            <w:pPr>
              <w:spacing w:line="380" w:lineRule="exact"/>
              <w:jc w:val="center"/>
              <w:rPr>
                <w:rFonts w:hint="eastAsia" w:hAnsi="宋体" w:cs="宋体"/>
                <w:color w:val="000000"/>
                <w:sz w:val="22"/>
                <w:szCs w:val="22"/>
              </w:rPr>
            </w:pPr>
          </w:p>
        </w:tc>
        <w:tc>
          <w:tcPr>
            <w:tcW w:w="1289" w:type="dxa"/>
            <w:noWrap w:val="0"/>
            <w:vAlign w:val="center"/>
          </w:tcPr>
          <w:p w14:paraId="74DBEC1B">
            <w:pPr>
              <w:spacing w:line="380" w:lineRule="exact"/>
              <w:jc w:val="center"/>
              <w:rPr>
                <w:rFonts w:hint="eastAsia" w:hAnsi="宋体" w:cs="宋体"/>
                <w:color w:val="000000"/>
                <w:sz w:val="22"/>
                <w:szCs w:val="22"/>
              </w:rPr>
            </w:pPr>
          </w:p>
        </w:tc>
      </w:tr>
      <w:tr w14:paraId="4B91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34939FDD">
            <w:pPr>
              <w:spacing w:line="380" w:lineRule="exact"/>
              <w:jc w:val="center"/>
              <w:rPr>
                <w:rFonts w:hint="eastAsia" w:hAnsi="宋体" w:cs="宋体"/>
                <w:color w:val="000000"/>
                <w:sz w:val="22"/>
                <w:szCs w:val="22"/>
              </w:rPr>
            </w:pPr>
          </w:p>
        </w:tc>
        <w:tc>
          <w:tcPr>
            <w:tcW w:w="1420" w:type="dxa"/>
            <w:noWrap w:val="0"/>
            <w:vAlign w:val="center"/>
          </w:tcPr>
          <w:p w14:paraId="39A4369F">
            <w:pPr>
              <w:spacing w:line="380" w:lineRule="exact"/>
              <w:jc w:val="center"/>
              <w:rPr>
                <w:rFonts w:hint="eastAsia" w:hAnsi="宋体" w:cs="宋体"/>
                <w:color w:val="000000"/>
                <w:sz w:val="22"/>
                <w:szCs w:val="22"/>
              </w:rPr>
            </w:pPr>
          </w:p>
        </w:tc>
        <w:tc>
          <w:tcPr>
            <w:tcW w:w="1420" w:type="dxa"/>
            <w:noWrap w:val="0"/>
            <w:vAlign w:val="center"/>
          </w:tcPr>
          <w:p w14:paraId="72D732FB">
            <w:pPr>
              <w:spacing w:line="380" w:lineRule="exact"/>
              <w:jc w:val="center"/>
              <w:rPr>
                <w:rFonts w:hint="eastAsia" w:hAnsi="宋体" w:cs="宋体"/>
                <w:color w:val="000000"/>
                <w:sz w:val="22"/>
                <w:szCs w:val="22"/>
              </w:rPr>
            </w:pPr>
          </w:p>
        </w:tc>
        <w:tc>
          <w:tcPr>
            <w:tcW w:w="1243" w:type="dxa"/>
            <w:noWrap w:val="0"/>
            <w:vAlign w:val="center"/>
          </w:tcPr>
          <w:p w14:paraId="600C8E8C">
            <w:pPr>
              <w:spacing w:line="380" w:lineRule="exact"/>
              <w:jc w:val="center"/>
              <w:rPr>
                <w:rFonts w:hint="eastAsia" w:hAnsi="宋体" w:cs="宋体"/>
                <w:color w:val="000000"/>
                <w:sz w:val="22"/>
                <w:szCs w:val="22"/>
              </w:rPr>
            </w:pPr>
          </w:p>
        </w:tc>
        <w:tc>
          <w:tcPr>
            <w:tcW w:w="827" w:type="dxa"/>
            <w:noWrap w:val="0"/>
            <w:vAlign w:val="center"/>
          </w:tcPr>
          <w:p w14:paraId="4D13A69E">
            <w:pPr>
              <w:spacing w:line="380" w:lineRule="exact"/>
              <w:jc w:val="center"/>
              <w:rPr>
                <w:rFonts w:hint="eastAsia" w:hAnsi="宋体" w:cs="宋体"/>
                <w:color w:val="000000"/>
                <w:sz w:val="22"/>
                <w:szCs w:val="22"/>
              </w:rPr>
            </w:pPr>
          </w:p>
        </w:tc>
        <w:tc>
          <w:tcPr>
            <w:tcW w:w="1065" w:type="dxa"/>
            <w:noWrap w:val="0"/>
            <w:vAlign w:val="center"/>
          </w:tcPr>
          <w:p w14:paraId="30DB3892">
            <w:pPr>
              <w:spacing w:line="380" w:lineRule="exact"/>
              <w:jc w:val="center"/>
              <w:rPr>
                <w:rFonts w:hint="eastAsia" w:hAnsi="宋体" w:cs="宋体"/>
                <w:color w:val="000000"/>
                <w:sz w:val="22"/>
                <w:szCs w:val="22"/>
              </w:rPr>
            </w:pPr>
          </w:p>
        </w:tc>
        <w:tc>
          <w:tcPr>
            <w:tcW w:w="886" w:type="dxa"/>
            <w:noWrap w:val="0"/>
            <w:vAlign w:val="center"/>
          </w:tcPr>
          <w:p w14:paraId="3DA2868E">
            <w:pPr>
              <w:spacing w:line="380" w:lineRule="exact"/>
              <w:jc w:val="center"/>
              <w:rPr>
                <w:rFonts w:hint="eastAsia" w:hAnsi="宋体" w:cs="宋体"/>
                <w:color w:val="000000"/>
                <w:sz w:val="22"/>
                <w:szCs w:val="22"/>
              </w:rPr>
            </w:pPr>
          </w:p>
        </w:tc>
        <w:tc>
          <w:tcPr>
            <w:tcW w:w="1289" w:type="dxa"/>
            <w:noWrap w:val="0"/>
            <w:vAlign w:val="center"/>
          </w:tcPr>
          <w:p w14:paraId="7CC88C23">
            <w:pPr>
              <w:spacing w:line="380" w:lineRule="exact"/>
              <w:jc w:val="center"/>
              <w:rPr>
                <w:rFonts w:hint="eastAsia" w:hAnsi="宋体" w:cs="宋体"/>
                <w:color w:val="000000"/>
                <w:sz w:val="22"/>
                <w:szCs w:val="22"/>
              </w:rPr>
            </w:pPr>
          </w:p>
        </w:tc>
      </w:tr>
      <w:tr w14:paraId="44F5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0D7D0F70">
            <w:pPr>
              <w:spacing w:line="380" w:lineRule="exact"/>
              <w:jc w:val="center"/>
              <w:rPr>
                <w:rFonts w:hint="eastAsia" w:hAnsi="宋体" w:cs="宋体"/>
                <w:color w:val="000000"/>
                <w:sz w:val="22"/>
                <w:szCs w:val="22"/>
              </w:rPr>
            </w:pPr>
          </w:p>
        </w:tc>
        <w:tc>
          <w:tcPr>
            <w:tcW w:w="1420" w:type="dxa"/>
            <w:noWrap w:val="0"/>
            <w:vAlign w:val="center"/>
          </w:tcPr>
          <w:p w14:paraId="3C35488C">
            <w:pPr>
              <w:spacing w:line="380" w:lineRule="exact"/>
              <w:jc w:val="center"/>
              <w:rPr>
                <w:rFonts w:hint="eastAsia" w:hAnsi="宋体" w:cs="宋体"/>
                <w:color w:val="000000"/>
                <w:sz w:val="22"/>
                <w:szCs w:val="22"/>
              </w:rPr>
            </w:pPr>
          </w:p>
        </w:tc>
        <w:tc>
          <w:tcPr>
            <w:tcW w:w="1420" w:type="dxa"/>
            <w:noWrap w:val="0"/>
            <w:vAlign w:val="center"/>
          </w:tcPr>
          <w:p w14:paraId="3E8B242F">
            <w:pPr>
              <w:spacing w:line="380" w:lineRule="exact"/>
              <w:jc w:val="center"/>
              <w:rPr>
                <w:rFonts w:hint="eastAsia" w:hAnsi="宋体" w:cs="宋体"/>
                <w:color w:val="000000"/>
                <w:sz w:val="22"/>
                <w:szCs w:val="22"/>
              </w:rPr>
            </w:pPr>
          </w:p>
        </w:tc>
        <w:tc>
          <w:tcPr>
            <w:tcW w:w="1243" w:type="dxa"/>
            <w:noWrap w:val="0"/>
            <w:vAlign w:val="center"/>
          </w:tcPr>
          <w:p w14:paraId="047BF2A8">
            <w:pPr>
              <w:spacing w:line="380" w:lineRule="exact"/>
              <w:jc w:val="center"/>
              <w:rPr>
                <w:rFonts w:hint="eastAsia" w:hAnsi="宋体" w:cs="宋体"/>
                <w:color w:val="000000"/>
                <w:sz w:val="22"/>
                <w:szCs w:val="22"/>
              </w:rPr>
            </w:pPr>
          </w:p>
        </w:tc>
        <w:tc>
          <w:tcPr>
            <w:tcW w:w="827" w:type="dxa"/>
            <w:noWrap w:val="0"/>
            <w:vAlign w:val="center"/>
          </w:tcPr>
          <w:p w14:paraId="440CD4DA">
            <w:pPr>
              <w:spacing w:line="380" w:lineRule="exact"/>
              <w:jc w:val="center"/>
              <w:rPr>
                <w:rFonts w:hint="eastAsia" w:hAnsi="宋体" w:cs="宋体"/>
                <w:color w:val="000000"/>
                <w:sz w:val="22"/>
                <w:szCs w:val="22"/>
              </w:rPr>
            </w:pPr>
          </w:p>
        </w:tc>
        <w:tc>
          <w:tcPr>
            <w:tcW w:w="1065" w:type="dxa"/>
            <w:noWrap w:val="0"/>
            <w:vAlign w:val="center"/>
          </w:tcPr>
          <w:p w14:paraId="73E71A59">
            <w:pPr>
              <w:spacing w:line="380" w:lineRule="exact"/>
              <w:jc w:val="center"/>
              <w:rPr>
                <w:rFonts w:hint="eastAsia" w:hAnsi="宋体" w:cs="宋体"/>
                <w:color w:val="000000"/>
                <w:sz w:val="22"/>
                <w:szCs w:val="22"/>
              </w:rPr>
            </w:pPr>
          </w:p>
        </w:tc>
        <w:tc>
          <w:tcPr>
            <w:tcW w:w="886" w:type="dxa"/>
            <w:noWrap w:val="0"/>
            <w:vAlign w:val="center"/>
          </w:tcPr>
          <w:p w14:paraId="43FD209D">
            <w:pPr>
              <w:spacing w:line="380" w:lineRule="exact"/>
              <w:jc w:val="center"/>
              <w:rPr>
                <w:rFonts w:hint="eastAsia" w:hAnsi="宋体" w:cs="宋体"/>
                <w:color w:val="000000"/>
                <w:sz w:val="22"/>
                <w:szCs w:val="22"/>
              </w:rPr>
            </w:pPr>
          </w:p>
        </w:tc>
        <w:tc>
          <w:tcPr>
            <w:tcW w:w="1289" w:type="dxa"/>
            <w:noWrap w:val="0"/>
            <w:vAlign w:val="center"/>
          </w:tcPr>
          <w:p w14:paraId="183133C3">
            <w:pPr>
              <w:spacing w:line="380" w:lineRule="exact"/>
              <w:jc w:val="center"/>
              <w:rPr>
                <w:rFonts w:hint="eastAsia" w:hAnsi="宋体" w:cs="宋体"/>
                <w:color w:val="000000"/>
                <w:sz w:val="22"/>
                <w:szCs w:val="22"/>
              </w:rPr>
            </w:pPr>
          </w:p>
        </w:tc>
      </w:tr>
      <w:tr w14:paraId="5418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4B1F02CD">
            <w:pPr>
              <w:spacing w:line="380" w:lineRule="exact"/>
              <w:jc w:val="center"/>
              <w:rPr>
                <w:rFonts w:hint="eastAsia" w:hAnsi="宋体" w:cs="宋体"/>
                <w:color w:val="000000"/>
                <w:sz w:val="22"/>
                <w:szCs w:val="22"/>
              </w:rPr>
            </w:pPr>
          </w:p>
        </w:tc>
        <w:tc>
          <w:tcPr>
            <w:tcW w:w="1420" w:type="dxa"/>
            <w:noWrap w:val="0"/>
            <w:vAlign w:val="center"/>
          </w:tcPr>
          <w:p w14:paraId="1013A4F3">
            <w:pPr>
              <w:spacing w:line="380" w:lineRule="exact"/>
              <w:jc w:val="center"/>
              <w:rPr>
                <w:rFonts w:hint="eastAsia" w:hAnsi="宋体" w:cs="宋体"/>
                <w:color w:val="000000"/>
                <w:sz w:val="22"/>
                <w:szCs w:val="22"/>
              </w:rPr>
            </w:pPr>
          </w:p>
        </w:tc>
        <w:tc>
          <w:tcPr>
            <w:tcW w:w="1420" w:type="dxa"/>
            <w:noWrap w:val="0"/>
            <w:vAlign w:val="center"/>
          </w:tcPr>
          <w:p w14:paraId="15BF3033">
            <w:pPr>
              <w:spacing w:line="380" w:lineRule="exact"/>
              <w:jc w:val="center"/>
              <w:rPr>
                <w:rFonts w:hint="eastAsia" w:hAnsi="宋体" w:cs="宋体"/>
                <w:color w:val="000000"/>
                <w:sz w:val="22"/>
                <w:szCs w:val="22"/>
              </w:rPr>
            </w:pPr>
          </w:p>
        </w:tc>
        <w:tc>
          <w:tcPr>
            <w:tcW w:w="1243" w:type="dxa"/>
            <w:noWrap w:val="0"/>
            <w:vAlign w:val="center"/>
          </w:tcPr>
          <w:p w14:paraId="55698B78">
            <w:pPr>
              <w:spacing w:line="380" w:lineRule="exact"/>
              <w:jc w:val="center"/>
              <w:rPr>
                <w:rFonts w:hint="eastAsia" w:hAnsi="宋体" w:cs="宋体"/>
                <w:color w:val="000000"/>
                <w:sz w:val="22"/>
                <w:szCs w:val="22"/>
              </w:rPr>
            </w:pPr>
          </w:p>
        </w:tc>
        <w:tc>
          <w:tcPr>
            <w:tcW w:w="827" w:type="dxa"/>
            <w:noWrap w:val="0"/>
            <w:vAlign w:val="center"/>
          </w:tcPr>
          <w:p w14:paraId="1425B876">
            <w:pPr>
              <w:spacing w:line="380" w:lineRule="exact"/>
              <w:jc w:val="center"/>
              <w:rPr>
                <w:rFonts w:hint="eastAsia" w:hAnsi="宋体" w:cs="宋体"/>
                <w:color w:val="000000"/>
                <w:sz w:val="22"/>
                <w:szCs w:val="22"/>
              </w:rPr>
            </w:pPr>
          </w:p>
        </w:tc>
        <w:tc>
          <w:tcPr>
            <w:tcW w:w="1065" w:type="dxa"/>
            <w:noWrap w:val="0"/>
            <w:vAlign w:val="center"/>
          </w:tcPr>
          <w:p w14:paraId="3E0F883B">
            <w:pPr>
              <w:spacing w:line="380" w:lineRule="exact"/>
              <w:jc w:val="center"/>
              <w:rPr>
                <w:rFonts w:hint="eastAsia" w:hAnsi="宋体" w:cs="宋体"/>
                <w:color w:val="000000"/>
                <w:sz w:val="22"/>
                <w:szCs w:val="22"/>
              </w:rPr>
            </w:pPr>
          </w:p>
        </w:tc>
        <w:tc>
          <w:tcPr>
            <w:tcW w:w="886" w:type="dxa"/>
            <w:noWrap w:val="0"/>
            <w:vAlign w:val="center"/>
          </w:tcPr>
          <w:p w14:paraId="7C65B088">
            <w:pPr>
              <w:spacing w:line="380" w:lineRule="exact"/>
              <w:jc w:val="center"/>
              <w:rPr>
                <w:rFonts w:hint="eastAsia" w:hAnsi="宋体" w:cs="宋体"/>
                <w:color w:val="000000"/>
                <w:sz w:val="22"/>
                <w:szCs w:val="22"/>
              </w:rPr>
            </w:pPr>
          </w:p>
        </w:tc>
        <w:tc>
          <w:tcPr>
            <w:tcW w:w="1289" w:type="dxa"/>
            <w:noWrap w:val="0"/>
            <w:vAlign w:val="center"/>
          </w:tcPr>
          <w:p w14:paraId="2D2A973B">
            <w:pPr>
              <w:spacing w:line="380" w:lineRule="exact"/>
              <w:jc w:val="center"/>
              <w:rPr>
                <w:rFonts w:hint="eastAsia" w:hAnsi="宋体" w:cs="宋体"/>
                <w:color w:val="000000"/>
                <w:sz w:val="22"/>
                <w:szCs w:val="22"/>
              </w:rPr>
            </w:pPr>
          </w:p>
        </w:tc>
      </w:tr>
      <w:tr w14:paraId="7D8C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7E8CD38C">
            <w:pPr>
              <w:spacing w:line="380" w:lineRule="exact"/>
              <w:jc w:val="center"/>
              <w:rPr>
                <w:rFonts w:hint="eastAsia" w:hAnsi="宋体" w:cs="宋体"/>
                <w:color w:val="000000"/>
                <w:sz w:val="22"/>
                <w:szCs w:val="22"/>
              </w:rPr>
            </w:pPr>
          </w:p>
        </w:tc>
        <w:tc>
          <w:tcPr>
            <w:tcW w:w="1420" w:type="dxa"/>
            <w:noWrap w:val="0"/>
            <w:vAlign w:val="center"/>
          </w:tcPr>
          <w:p w14:paraId="234F3C51">
            <w:pPr>
              <w:spacing w:line="380" w:lineRule="exact"/>
              <w:jc w:val="center"/>
              <w:rPr>
                <w:rFonts w:hint="eastAsia" w:hAnsi="宋体" w:cs="宋体"/>
                <w:color w:val="000000"/>
                <w:sz w:val="22"/>
                <w:szCs w:val="22"/>
              </w:rPr>
            </w:pPr>
          </w:p>
        </w:tc>
        <w:tc>
          <w:tcPr>
            <w:tcW w:w="1420" w:type="dxa"/>
            <w:noWrap w:val="0"/>
            <w:vAlign w:val="center"/>
          </w:tcPr>
          <w:p w14:paraId="0474A8DD">
            <w:pPr>
              <w:spacing w:line="380" w:lineRule="exact"/>
              <w:jc w:val="center"/>
              <w:rPr>
                <w:rFonts w:hint="eastAsia" w:hAnsi="宋体" w:cs="宋体"/>
                <w:color w:val="000000"/>
                <w:sz w:val="22"/>
                <w:szCs w:val="22"/>
              </w:rPr>
            </w:pPr>
          </w:p>
        </w:tc>
        <w:tc>
          <w:tcPr>
            <w:tcW w:w="1243" w:type="dxa"/>
            <w:noWrap w:val="0"/>
            <w:vAlign w:val="center"/>
          </w:tcPr>
          <w:p w14:paraId="451D512D">
            <w:pPr>
              <w:spacing w:line="380" w:lineRule="exact"/>
              <w:jc w:val="center"/>
              <w:rPr>
                <w:rFonts w:hint="eastAsia" w:hAnsi="宋体" w:cs="宋体"/>
                <w:color w:val="000000"/>
                <w:sz w:val="22"/>
                <w:szCs w:val="22"/>
              </w:rPr>
            </w:pPr>
          </w:p>
        </w:tc>
        <w:tc>
          <w:tcPr>
            <w:tcW w:w="827" w:type="dxa"/>
            <w:noWrap w:val="0"/>
            <w:vAlign w:val="center"/>
          </w:tcPr>
          <w:p w14:paraId="720B82BB">
            <w:pPr>
              <w:spacing w:line="380" w:lineRule="exact"/>
              <w:jc w:val="center"/>
              <w:rPr>
                <w:rFonts w:hint="eastAsia" w:hAnsi="宋体" w:cs="宋体"/>
                <w:color w:val="000000"/>
                <w:sz w:val="22"/>
                <w:szCs w:val="22"/>
              </w:rPr>
            </w:pPr>
          </w:p>
        </w:tc>
        <w:tc>
          <w:tcPr>
            <w:tcW w:w="1065" w:type="dxa"/>
            <w:noWrap w:val="0"/>
            <w:vAlign w:val="center"/>
          </w:tcPr>
          <w:p w14:paraId="40BD191E">
            <w:pPr>
              <w:spacing w:line="380" w:lineRule="exact"/>
              <w:jc w:val="center"/>
              <w:rPr>
                <w:rFonts w:hint="eastAsia" w:hAnsi="宋体" w:cs="宋体"/>
                <w:color w:val="000000"/>
                <w:sz w:val="22"/>
                <w:szCs w:val="22"/>
              </w:rPr>
            </w:pPr>
          </w:p>
        </w:tc>
        <w:tc>
          <w:tcPr>
            <w:tcW w:w="886" w:type="dxa"/>
            <w:noWrap w:val="0"/>
            <w:vAlign w:val="center"/>
          </w:tcPr>
          <w:p w14:paraId="567308E8">
            <w:pPr>
              <w:spacing w:line="380" w:lineRule="exact"/>
              <w:jc w:val="center"/>
              <w:rPr>
                <w:rFonts w:hint="eastAsia" w:hAnsi="宋体" w:cs="宋体"/>
                <w:color w:val="000000"/>
                <w:sz w:val="22"/>
                <w:szCs w:val="22"/>
              </w:rPr>
            </w:pPr>
          </w:p>
        </w:tc>
        <w:tc>
          <w:tcPr>
            <w:tcW w:w="1289" w:type="dxa"/>
            <w:noWrap w:val="0"/>
            <w:vAlign w:val="center"/>
          </w:tcPr>
          <w:p w14:paraId="480B4712">
            <w:pPr>
              <w:spacing w:line="380" w:lineRule="exact"/>
              <w:jc w:val="center"/>
              <w:rPr>
                <w:rFonts w:hint="eastAsia" w:hAnsi="宋体" w:cs="宋体"/>
                <w:color w:val="000000"/>
                <w:sz w:val="22"/>
                <w:szCs w:val="22"/>
              </w:rPr>
            </w:pPr>
          </w:p>
        </w:tc>
      </w:tr>
      <w:tr w14:paraId="6181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726" w:type="dxa"/>
            <w:noWrap w:val="0"/>
            <w:vAlign w:val="center"/>
          </w:tcPr>
          <w:p w14:paraId="6890EAA2">
            <w:pPr>
              <w:spacing w:line="380" w:lineRule="exact"/>
              <w:jc w:val="center"/>
              <w:rPr>
                <w:rFonts w:hint="eastAsia" w:hAnsi="宋体" w:cs="宋体"/>
                <w:color w:val="000000"/>
                <w:sz w:val="22"/>
                <w:szCs w:val="22"/>
              </w:rPr>
            </w:pPr>
          </w:p>
        </w:tc>
        <w:tc>
          <w:tcPr>
            <w:tcW w:w="1420" w:type="dxa"/>
            <w:noWrap w:val="0"/>
            <w:vAlign w:val="center"/>
          </w:tcPr>
          <w:p w14:paraId="6B14E2D6">
            <w:pPr>
              <w:spacing w:line="380" w:lineRule="exact"/>
              <w:jc w:val="center"/>
              <w:rPr>
                <w:rFonts w:hint="eastAsia" w:hAnsi="宋体" w:cs="宋体"/>
                <w:color w:val="000000"/>
                <w:sz w:val="22"/>
                <w:szCs w:val="22"/>
              </w:rPr>
            </w:pPr>
          </w:p>
        </w:tc>
        <w:tc>
          <w:tcPr>
            <w:tcW w:w="1420" w:type="dxa"/>
            <w:noWrap w:val="0"/>
            <w:vAlign w:val="center"/>
          </w:tcPr>
          <w:p w14:paraId="0C1CA93E">
            <w:pPr>
              <w:spacing w:line="380" w:lineRule="exact"/>
              <w:jc w:val="center"/>
              <w:rPr>
                <w:rFonts w:hint="eastAsia" w:hAnsi="宋体" w:cs="宋体"/>
                <w:color w:val="000000"/>
                <w:sz w:val="22"/>
                <w:szCs w:val="22"/>
              </w:rPr>
            </w:pPr>
          </w:p>
        </w:tc>
        <w:tc>
          <w:tcPr>
            <w:tcW w:w="1243" w:type="dxa"/>
            <w:noWrap w:val="0"/>
            <w:vAlign w:val="center"/>
          </w:tcPr>
          <w:p w14:paraId="0A3C94DC">
            <w:pPr>
              <w:spacing w:line="380" w:lineRule="exact"/>
              <w:jc w:val="center"/>
              <w:rPr>
                <w:rFonts w:hint="eastAsia" w:hAnsi="宋体" w:cs="宋体"/>
                <w:color w:val="000000"/>
                <w:sz w:val="22"/>
                <w:szCs w:val="22"/>
              </w:rPr>
            </w:pPr>
          </w:p>
        </w:tc>
        <w:tc>
          <w:tcPr>
            <w:tcW w:w="827" w:type="dxa"/>
            <w:noWrap w:val="0"/>
            <w:vAlign w:val="center"/>
          </w:tcPr>
          <w:p w14:paraId="65EAE3C1">
            <w:pPr>
              <w:spacing w:line="380" w:lineRule="exact"/>
              <w:jc w:val="center"/>
              <w:rPr>
                <w:rFonts w:hint="eastAsia" w:hAnsi="宋体" w:cs="宋体"/>
                <w:color w:val="000000"/>
                <w:sz w:val="22"/>
                <w:szCs w:val="22"/>
              </w:rPr>
            </w:pPr>
          </w:p>
        </w:tc>
        <w:tc>
          <w:tcPr>
            <w:tcW w:w="1065" w:type="dxa"/>
            <w:noWrap w:val="0"/>
            <w:vAlign w:val="center"/>
          </w:tcPr>
          <w:p w14:paraId="6F45ADBD">
            <w:pPr>
              <w:spacing w:line="380" w:lineRule="exact"/>
              <w:jc w:val="center"/>
              <w:rPr>
                <w:rFonts w:hint="eastAsia" w:hAnsi="宋体" w:cs="宋体"/>
                <w:color w:val="000000"/>
                <w:sz w:val="22"/>
                <w:szCs w:val="22"/>
              </w:rPr>
            </w:pPr>
          </w:p>
        </w:tc>
        <w:tc>
          <w:tcPr>
            <w:tcW w:w="886" w:type="dxa"/>
            <w:noWrap w:val="0"/>
            <w:vAlign w:val="center"/>
          </w:tcPr>
          <w:p w14:paraId="2CC4A08A">
            <w:pPr>
              <w:spacing w:line="380" w:lineRule="exact"/>
              <w:jc w:val="center"/>
              <w:rPr>
                <w:rFonts w:hint="eastAsia" w:hAnsi="宋体" w:cs="宋体"/>
                <w:color w:val="000000"/>
                <w:sz w:val="22"/>
                <w:szCs w:val="22"/>
              </w:rPr>
            </w:pPr>
          </w:p>
        </w:tc>
        <w:tc>
          <w:tcPr>
            <w:tcW w:w="1289" w:type="dxa"/>
            <w:noWrap w:val="0"/>
            <w:vAlign w:val="center"/>
          </w:tcPr>
          <w:p w14:paraId="0F507C6B">
            <w:pPr>
              <w:spacing w:line="380" w:lineRule="exact"/>
              <w:jc w:val="center"/>
              <w:rPr>
                <w:rFonts w:hint="eastAsia" w:hAnsi="宋体" w:cs="宋体"/>
                <w:color w:val="000000"/>
                <w:sz w:val="22"/>
                <w:szCs w:val="22"/>
              </w:rPr>
            </w:pPr>
          </w:p>
        </w:tc>
      </w:tr>
    </w:tbl>
    <w:p w14:paraId="3D62573F">
      <w:pPr>
        <w:spacing w:line="380" w:lineRule="exact"/>
        <w:rPr>
          <w:rFonts w:hint="eastAsia" w:hAnsi="宋体" w:cs="宋体"/>
          <w:b/>
          <w:bCs/>
          <w:color w:val="000000"/>
          <w:sz w:val="22"/>
          <w:szCs w:val="22"/>
        </w:rPr>
      </w:pPr>
      <w:r>
        <w:rPr>
          <w:rFonts w:hint="eastAsia" w:hAnsi="宋体" w:cs="宋体"/>
          <w:b/>
          <w:bCs/>
          <w:color w:val="000000"/>
          <w:sz w:val="22"/>
          <w:szCs w:val="22"/>
        </w:rPr>
        <w:t>注：表中详细配置栏里供应商需提供的货物的名称、</w:t>
      </w:r>
      <w:r>
        <w:rPr>
          <w:rFonts w:hint="eastAsia" w:hAnsi="宋体" w:cs="宋体"/>
          <w:b/>
          <w:color w:val="000000"/>
          <w:sz w:val="22"/>
          <w:szCs w:val="22"/>
        </w:rPr>
        <w:t>品牌、</w:t>
      </w:r>
      <w:r>
        <w:rPr>
          <w:rFonts w:hint="eastAsia" w:hAnsi="宋体" w:cs="宋体"/>
          <w:b/>
          <w:bCs/>
          <w:color w:val="000000"/>
          <w:sz w:val="22"/>
          <w:szCs w:val="22"/>
        </w:rPr>
        <w:t>规格型号、配置及技术性能参数，此表可按原有格式进行复制。</w:t>
      </w:r>
    </w:p>
    <w:p w14:paraId="60DC7AFC">
      <w:pPr>
        <w:pStyle w:val="21"/>
        <w:spacing w:line="400" w:lineRule="exact"/>
        <w:rPr>
          <w:rFonts w:hint="eastAsia" w:hAnsi="宋体"/>
          <w:b/>
          <w:color w:val="000000"/>
          <w:sz w:val="22"/>
        </w:rPr>
      </w:pPr>
      <w:r>
        <w:rPr>
          <w:rFonts w:hint="eastAsia" w:hAnsi="宋体"/>
          <w:b/>
          <w:color w:val="000000"/>
          <w:sz w:val="22"/>
        </w:rPr>
        <w:t>供应商名称（盖章）：</w:t>
      </w:r>
    </w:p>
    <w:p w14:paraId="0E623B17">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4B86F07C">
      <w:pPr>
        <w:pStyle w:val="21"/>
        <w:spacing w:line="400" w:lineRule="exact"/>
        <w:rPr>
          <w:rFonts w:hint="eastAsia" w:hAnsi="宋体"/>
          <w:b/>
          <w:color w:val="000000"/>
          <w:sz w:val="22"/>
        </w:rPr>
      </w:pPr>
      <w:r>
        <w:rPr>
          <w:rFonts w:hint="eastAsia" w:hAnsi="宋体"/>
          <w:b/>
          <w:color w:val="000000"/>
          <w:sz w:val="22"/>
        </w:rPr>
        <w:t>日    期：</w:t>
      </w:r>
    </w:p>
    <w:p w14:paraId="5B71BF5A">
      <w:pPr>
        <w:spacing w:line="500" w:lineRule="exact"/>
        <w:rPr>
          <w:rFonts w:hint="eastAsia" w:ascii="宋体" w:hAnsi="宋体" w:eastAsia="宋体" w:cs="宋体"/>
          <w:b/>
          <w:color w:val="auto"/>
          <w:sz w:val="28"/>
          <w:szCs w:val="18"/>
          <w:highlight w:val="none"/>
          <w:lang w:val="en-US" w:eastAsia="zh-CN"/>
        </w:rPr>
      </w:pPr>
    </w:p>
    <w:p w14:paraId="13081EC6">
      <w:pPr>
        <w:rPr>
          <w:rFonts w:hint="eastAsia" w:ascii="宋体" w:hAnsi="宋体" w:eastAsia="宋体" w:cs="宋体"/>
          <w:b/>
          <w:color w:val="auto"/>
          <w:sz w:val="28"/>
          <w:szCs w:val="18"/>
          <w:highlight w:val="none"/>
          <w:lang w:val="en-US" w:eastAsia="zh-CN"/>
        </w:rPr>
      </w:pPr>
      <w:r>
        <w:rPr>
          <w:rFonts w:hint="eastAsia" w:ascii="宋体" w:hAnsi="宋体" w:eastAsia="宋体" w:cs="宋体"/>
          <w:b/>
          <w:color w:val="auto"/>
          <w:sz w:val="28"/>
          <w:szCs w:val="18"/>
          <w:highlight w:val="none"/>
          <w:lang w:val="en-US" w:eastAsia="zh-CN"/>
        </w:rPr>
        <w:br w:type="page"/>
      </w:r>
    </w:p>
    <w:p w14:paraId="504FA4F4">
      <w:pPr>
        <w:spacing w:line="380" w:lineRule="exact"/>
        <w:ind w:left="-358" w:hanging="1"/>
        <w:jc w:val="left"/>
        <w:outlineLvl w:val="2"/>
        <w:rPr>
          <w:rFonts w:hint="eastAsia" w:ascii="宋体" w:hAnsi="宋体" w:eastAsia="宋体" w:cs="宋体"/>
          <w:b/>
          <w:color w:val="auto"/>
          <w:sz w:val="28"/>
          <w:szCs w:val="18"/>
          <w:highlight w:val="none"/>
          <w:lang w:val="en-US" w:eastAsia="zh-CN"/>
        </w:rPr>
      </w:pPr>
      <w:r>
        <w:rPr>
          <w:rFonts w:hint="eastAsia" w:ascii="宋体" w:hAnsi="宋体" w:eastAsia="宋体" w:cs="宋体"/>
          <w:b/>
          <w:color w:val="auto"/>
          <w:sz w:val="28"/>
          <w:szCs w:val="18"/>
          <w:highlight w:val="none"/>
          <w:lang w:val="en-US" w:eastAsia="zh-CN"/>
        </w:rPr>
        <w:t>2.8拟投入使用的设备器械</w:t>
      </w:r>
    </w:p>
    <w:p w14:paraId="48A99357">
      <w:pPr>
        <w:pStyle w:val="21"/>
        <w:snapToGrid w:val="0"/>
        <w:spacing w:line="400" w:lineRule="exact"/>
        <w:ind w:firstLine="2880" w:firstLineChars="800"/>
        <w:rPr>
          <w:rFonts w:hint="eastAsia" w:hAnsi="宋体"/>
          <w:color w:val="000000"/>
          <w:sz w:val="36"/>
          <w:szCs w:val="36"/>
        </w:rPr>
      </w:pPr>
    </w:p>
    <w:p w14:paraId="007D75FF">
      <w:pPr>
        <w:pStyle w:val="21"/>
        <w:snapToGrid w:val="0"/>
        <w:spacing w:line="400" w:lineRule="exact"/>
        <w:jc w:val="center"/>
        <w:rPr>
          <w:rFonts w:hint="eastAsia" w:hAnsi="宋体"/>
          <w:color w:val="000000"/>
          <w:sz w:val="30"/>
          <w:szCs w:val="30"/>
        </w:rPr>
      </w:pPr>
      <w:r>
        <w:rPr>
          <w:rFonts w:hint="eastAsia" w:hAnsi="宋体" w:cs="宋体"/>
          <w:color w:val="000000"/>
          <w:sz w:val="30"/>
          <w:szCs w:val="30"/>
        </w:rPr>
        <w:t>拟投入使用的设备器械</w:t>
      </w:r>
    </w:p>
    <w:p w14:paraId="2D7E04E3">
      <w:pPr>
        <w:pStyle w:val="21"/>
        <w:snapToGrid w:val="0"/>
        <w:spacing w:line="400" w:lineRule="exact"/>
        <w:rPr>
          <w:rFonts w:hint="eastAsia" w:hAnsi="宋体"/>
          <w:color w:val="000000"/>
          <w:sz w:val="36"/>
          <w:szCs w:val="36"/>
        </w:rPr>
      </w:pPr>
      <w:r>
        <w:rPr>
          <w:rFonts w:hint="eastAsia" w:hAnsi="宋体"/>
          <w:color w:val="000000"/>
          <w:sz w:val="22"/>
          <w:szCs w:val="22"/>
        </w:rPr>
        <w:t>项目名称：                                            采购编号：</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071"/>
        <w:gridCol w:w="2072"/>
        <w:gridCol w:w="2072"/>
        <w:gridCol w:w="1988"/>
      </w:tblGrid>
      <w:tr w14:paraId="491A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10" w:type="dxa"/>
            <w:noWrap w:val="0"/>
            <w:vAlign w:val="center"/>
          </w:tcPr>
          <w:p w14:paraId="73EC5790">
            <w:pPr>
              <w:pStyle w:val="21"/>
              <w:snapToGrid w:val="0"/>
              <w:spacing w:line="400" w:lineRule="exact"/>
              <w:rPr>
                <w:rFonts w:hint="eastAsia" w:hAnsi="宋体"/>
                <w:color w:val="000000"/>
                <w:sz w:val="22"/>
                <w:szCs w:val="22"/>
              </w:rPr>
            </w:pPr>
            <w:r>
              <w:rPr>
                <w:rFonts w:hint="eastAsia" w:hAnsi="宋体"/>
                <w:color w:val="000000"/>
                <w:sz w:val="22"/>
                <w:szCs w:val="22"/>
              </w:rPr>
              <w:t>序 号</w:t>
            </w:r>
          </w:p>
        </w:tc>
        <w:tc>
          <w:tcPr>
            <w:tcW w:w="2071" w:type="dxa"/>
            <w:noWrap w:val="0"/>
            <w:vAlign w:val="center"/>
          </w:tcPr>
          <w:p w14:paraId="1A1CF48C">
            <w:pPr>
              <w:pStyle w:val="21"/>
              <w:snapToGrid w:val="0"/>
              <w:spacing w:line="400" w:lineRule="exact"/>
              <w:rPr>
                <w:rFonts w:hint="eastAsia" w:hAnsi="宋体"/>
                <w:color w:val="000000"/>
                <w:sz w:val="22"/>
                <w:szCs w:val="22"/>
              </w:rPr>
            </w:pPr>
            <w:r>
              <w:rPr>
                <w:rFonts w:hint="eastAsia" w:hAnsi="宋体"/>
                <w:color w:val="000000"/>
                <w:sz w:val="22"/>
                <w:szCs w:val="22"/>
              </w:rPr>
              <w:t>名称</w:t>
            </w:r>
          </w:p>
        </w:tc>
        <w:tc>
          <w:tcPr>
            <w:tcW w:w="2072" w:type="dxa"/>
            <w:noWrap w:val="0"/>
            <w:vAlign w:val="center"/>
          </w:tcPr>
          <w:p w14:paraId="681BFB31">
            <w:pPr>
              <w:pStyle w:val="21"/>
              <w:snapToGrid w:val="0"/>
              <w:spacing w:line="400" w:lineRule="exact"/>
              <w:rPr>
                <w:rFonts w:hint="eastAsia" w:hAnsi="宋体"/>
                <w:color w:val="000000"/>
                <w:sz w:val="22"/>
                <w:szCs w:val="22"/>
              </w:rPr>
            </w:pPr>
            <w:r>
              <w:rPr>
                <w:rFonts w:hint="eastAsia" w:hAnsi="宋体"/>
                <w:color w:val="000000"/>
                <w:sz w:val="22"/>
                <w:szCs w:val="22"/>
              </w:rPr>
              <w:t>产地/规格/型号</w:t>
            </w:r>
          </w:p>
        </w:tc>
        <w:tc>
          <w:tcPr>
            <w:tcW w:w="2072" w:type="dxa"/>
            <w:noWrap w:val="0"/>
            <w:vAlign w:val="center"/>
          </w:tcPr>
          <w:p w14:paraId="0318E801">
            <w:pPr>
              <w:pStyle w:val="21"/>
              <w:snapToGrid w:val="0"/>
              <w:spacing w:line="400" w:lineRule="exact"/>
              <w:rPr>
                <w:rFonts w:hint="eastAsia" w:hAnsi="宋体"/>
                <w:color w:val="000000"/>
                <w:sz w:val="22"/>
                <w:szCs w:val="22"/>
              </w:rPr>
            </w:pPr>
            <w:r>
              <w:rPr>
                <w:rFonts w:hint="eastAsia" w:hAnsi="宋体"/>
                <w:color w:val="000000"/>
                <w:sz w:val="22"/>
                <w:szCs w:val="22"/>
              </w:rPr>
              <w:t>数量</w:t>
            </w:r>
          </w:p>
        </w:tc>
        <w:tc>
          <w:tcPr>
            <w:tcW w:w="1988" w:type="dxa"/>
            <w:noWrap w:val="0"/>
            <w:vAlign w:val="center"/>
          </w:tcPr>
          <w:p w14:paraId="1631E785">
            <w:pPr>
              <w:pStyle w:val="21"/>
              <w:snapToGrid w:val="0"/>
              <w:spacing w:line="400" w:lineRule="exact"/>
              <w:rPr>
                <w:rFonts w:hint="eastAsia" w:hAnsi="宋体"/>
                <w:color w:val="000000"/>
                <w:sz w:val="22"/>
                <w:szCs w:val="22"/>
              </w:rPr>
            </w:pPr>
            <w:r>
              <w:rPr>
                <w:rFonts w:hint="eastAsia" w:hAnsi="宋体"/>
                <w:color w:val="000000"/>
                <w:sz w:val="22"/>
                <w:szCs w:val="22"/>
              </w:rPr>
              <w:t>备 注</w:t>
            </w:r>
          </w:p>
        </w:tc>
      </w:tr>
      <w:tr w14:paraId="4007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0D727D0A">
            <w:pPr>
              <w:pStyle w:val="21"/>
              <w:snapToGrid w:val="0"/>
              <w:spacing w:line="400" w:lineRule="exact"/>
              <w:rPr>
                <w:rFonts w:hint="eastAsia" w:hAnsi="宋体"/>
                <w:color w:val="000000"/>
                <w:sz w:val="22"/>
                <w:szCs w:val="22"/>
              </w:rPr>
            </w:pPr>
          </w:p>
        </w:tc>
        <w:tc>
          <w:tcPr>
            <w:tcW w:w="2071" w:type="dxa"/>
            <w:noWrap w:val="0"/>
            <w:vAlign w:val="top"/>
          </w:tcPr>
          <w:p w14:paraId="4A38E638">
            <w:pPr>
              <w:pStyle w:val="21"/>
              <w:snapToGrid w:val="0"/>
              <w:spacing w:line="400" w:lineRule="exact"/>
              <w:rPr>
                <w:rFonts w:hint="eastAsia" w:hAnsi="宋体"/>
                <w:color w:val="000000"/>
                <w:sz w:val="22"/>
                <w:szCs w:val="22"/>
              </w:rPr>
            </w:pPr>
          </w:p>
        </w:tc>
        <w:tc>
          <w:tcPr>
            <w:tcW w:w="2072" w:type="dxa"/>
            <w:noWrap w:val="0"/>
            <w:vAlign w:val="top"/>
          </w:tcPr>
          <w:p w14:paraId="7D63ADC5">
            <w:pPr>
              <w:pStyle w:val="21"/>
              <w:snapToGrid w:val="0"/>
              <w:spacing w:line="400" w:lineRule="exact"/>
              <w:rPr>
                <w:rFonts w:hint="eastAsia" w:hAnsi="宋体"/>
                <w:color w:val="000000"/>
                <w:sz w:val="22"/>
                <w:szCs w:val="22"/>
              </w:rPr>
            </w:pPr>
          </w:p>
        </w:tc>
        <w:tc>
          <w:tcPr>
            <w:tcW w:w="2072" w:type="dxa"/>
            <w:noWrap w:val="0"/>
            <w:vAlign w:val="top"/>
          </w:tcPr>
          <w:p w14:paraId="32EC8A39">
            <w:pPr>
              <w:pStyle w:val="21"/>
              <w:snapToGrid w:val="0"/>
              <w:spacing w:line="400" w:lineRule="exact"/>
              <w:rPr>
                <w:rFonts w:hint="eastAsia" w:hAnsi="宋体"/>
                <w:color w:val="000000"/>
                <w:sz w:val="22"/>
                <w:szCs w:val="22"/>
              </w:rPr>
            </w:pPr>
          </w:p>
        </w:tc>
        <w:tc>
          <w:tcPr>
            <w:tcW w:w="1988" w:type="dxa"/>
            <w:noWrap w:val="0"/>
            <w:vAlign w:val="top"/>
          </w:tcPr>
          <w:p w14:paraId="62ADEC76">
            <w:pPr>
              <w:pStyle w:val="21"/>
              <w:snapToGrid w:val="0"/>
              <w:spacing w:line="400" w:lineRule="exact"/>
              <w:rPr>
                <w:rFonts w:hint="eastAsia" w:hAnsi="宋体"/>
                <w:color w:val="000000"/>
                <w:sz w:val="22"/>
                <w:szCs w:val="22"/>
              </w:rPr>
            </w:pPr>
          </w:p>
        </w:tc>
      </w:tr>
      <w:tr w14:paraId="0DE7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0" w:type="dxa"/>
            <w:noWrap w:val="0"/>
            <w:vAlign w:val="top"/>
          </w:tcPr>
          <w:p w14:paraId="1540F34A">
            <w:pPr>
              <w:pStyle w:val="21"/>
              <w:snapToGrid w:val="0"/>
              <w:spacing w:line="400" w:lineRule="exact"/>
              <w:rPr>
                <w:rFonts w:hint="eastAsia" w:hAnsi="宋体"/>
                <w:color w:val="000000"/>
                <w:sz w:val="22"/>
                <w:szCs w:val="22"/>
              </w:rPr>
            </w:pPr>
          </w:p>
        </w:tc>
        <w:tc>
          <w:tcPr>
            <w:tcW w:w="2071" w:type="dxa"/>
            <w:noWrap w:val="0"/>
            <w:vAlign w:val="top"/>
          </w:tcPr>
          <w:p w14:paraId="749263B1">
            <w:pPr>
              <w:pStyle w:val="21"/>
              <w:snapToGrid w:val="0"/>
              <w:spacing w:line="400" w:lineRule="exact"/>
              <w:rPr>
                <w:rFonts w:hint="eastAsia" w:hAnsi="宋体"/>
                <w:color w:val="000000"/>
                <w:sz w:val="22"/>
                <w:szCs w:val="22"/>
              </w:rPr>
            </w:pPr>
          </w:p>
        </w:tc>
        <w:tc>
          <w:tcPr>
            <w:tcW w:w="2072" w:type="dxa"/>
            <w:noWrap w:val="0"/>
            <w:vAlign w:val="top"/>
          </w:tcPr>
          <w:p w14:paraId="6A9CE3C5">
            <w:pPr>
              <w:pStyle w:val="21"/>
              <w:snapToGrid w:val="0"/>
              <w:spacing w:line="400" w:lineRule="exact"/>
              <w:rPr>
                <w:rFonts w:hint="eastAsia" w:hAnsi="宋体"/>
                <w:color w:val="000000"/>
                <w:sz w:val="22"/>
                <w:szCs w:val="22"/>
              </w:rPr>
            </w:pPr>
          </w:p>
        </w:tc>
        <w:tc>
          <w:tcPr>
            <w:tcW w:w="2072" w:type="dxa"/>
            <w:noWrap w:val="0"/>
            <w:vAlign w:val="top"/>
          </w:tcPr>
          <w:p w14:paraId="56EA75F1">
            <w:pPr>
              <w:pStyle w:val="21"/>
              <w:snapToGrid w:val="0"/>
              <w:spacing w:line="400" w:lineRule="exact"/>
              <w:rPr>
                <w:rFonts w:hint="eastAsia" w:hAnsi="宋体"/>
                <w:color w:val="000000"/>
                <w:sz w:val="22"/>
                <w:szCs w:val="22"/>
              </w:rPr>
            </w:pPr>
          </w:p>
        </w:tc>
        <w:tc>
          <w:tcPr>
            <w:tcW w:w="1988" w:type="dxa"/>
            <w:noWrap w:val="0"/>
            <w:vAlign w:val="top"/>
          </w:tcPr>
          <w:p w14:paraId="1EE0DE8E">
            <w:pPr>
              <w:pStyle w:val="21"/>
              <w:snapToGrid w:val="0"/>
              <w:spacing w:line="400" w:lineRule="exact"/>
              <w:rPr>
                <w:rFonts w:hint="eastAsia" w:hAnsi="宋体"/>
                <w:color w:val="000000"/>
                <w:sz w:val="22"/>
                <w:szCs w:val="22"/>
              </w:rPr>
            </w:pPr>
          </w:p>
        </w:tc>
      </w:tr>
      <w:tr w14:paraId="6C12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50973E93">
            <w:pPr>
              <w:pStyle w:val="21"/>
              <w:snapToGrid w:val="0"/>
              <w:spacing w:line="400" w:lineRule="exact"/>
              <w:rPr>
                <w:rFonts w:hint="eastAsia" w:hAnsi="宋体"/>
                <w:color w:val="000000"/>
                <w:sz w:val="22"/>
                <w:szCs w:val="22"/>
              </w:rPr>
            </w:pPr>
          </w:p>
        </w:tc>
        <w:tc>
          <w:tcPr>
            <w:tcW w:w="2071" w:type="dxa"/>
            <w:noWrap w:val="0"/>
            <w:vAlign w:val="top"/>
          </w:tcPr>
          <w:p w14:paraId="3E98826C">
            <w:pPr>
              <w:pStyle w:val="21"/>
              <w:snapToGrid w:val="0"/>
              <w:spacing w:line="400" w:lineRule="exact"/>
              <w:rPr>
                <w:rFonts w:hint="eastAsia" w:hAnsi="宋体"/>
                <w:color w:val="000000"/>
                <w:sz w:val="22"/>
                <w:szCs w:val="22"/>
              </w:rPr>
            </w:pPr>
          </w:p>
        </w:tc>
        <w:tc>
          <w:tcPr>
            <w:tcW w:w="2072" w:type="dxa"/>
            <w:noWrap w:val="0"/>
            <w:vAlign w:val="top"/>
          </w:tcPr>
          <w:p w14:paraId="2D840EAA">
            <w:pPr>
              <w:pStyle w:val="21"/>
              <w:snapToGrid w:val="0"/>
              <w:spacing w:line="400" w:lineRule="exact"/>
              <w:rPr>
                <w:rFonts w:hint="eastAsia" w:hAnsi="宋体"/>
                <w:color w:val="000000"/>
                <w:sz w:val="22"/>
                <w:szCs w:val="22"/>
              </w:rPr>
            </w:pPr>
          </w:p>
        </w:tc>
        <w:tc>
          <w:tcPr>
            <w:tcW w:w="2072" w:type="dxa"/>
            <w:noWrap w:val="0"/>
            <w:vAlign w:val="top"/>
          </w:tcPr>
          <w:p w14:paraId="6F6DB88A">
            <w:pPr>
              <w:pStyle w:val="21"/>
              <w:snapToGrid w:val="0"/>
              <w:spacing w:line="400" w:lineRule="exact"/>
              <w:rPr>
                <w:rFonts w:hint="eastAsia" w:hAnsi="宋体"/>
                <w:color w:val="000000"/>
                <w:sz w:val="22"/>
                <w:szCs w:val="22"/>
              </w:rPr>
            </w:pPr>
          </w:p>
        </w:tc>
        <w:tc>
          <w:tcPr>
            <w:tcW w:w="1988" w:type="dxa"/>
            <w:noWrap w:val="0"/>
            <w:vAlign w:val="top"/>
          </w:tcPr>
          <w:p w14:paraId="0A5C58FF">
            <w:pPr>
              <w:pStyle w:val="21"/>
              <w:snapToGrid w:val="0"/>
              <w:spacing w:line="400" w:lineRule="exact"/>
              <w:rPr>
                <w:rFonts w:hint="eastAsia" w:hAnsi="宋体"/>
                <w:color w:val="000000"/>
                <w:sz w:val="22"/>
                <w:szCs w:val="22"/>
              </w:rPr>
            </w:pPr>
          </w:p>
        </w:tc>
      </w:tr>
      <w:tr w14:paraId="2944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59B7C334">
            <w:pPr>
              <w:pStyle w:val="21"/>
              <w:snapToGrid w:val="0"/>
              <w:spacing w:line="400" w:lineRule="exact"/>
              <w:rPr>
                <w:rFonts w:hint="eastAsia" w:hAnsi="宋体"/>
                <w:color w:val="000000"/>
                <w:sz w:val="22"/>
                <w:szCs w:val="22"/>
              </w:rPr>
            </w:pPr>
          </w:p>
        </w:tc>
        <w:tc>
          <w:tcPr>
            <w:tcW w:w="2071" w:type="dxa"/>
            <w:noWrap w:val="0"/>
            <w:vAlign w:val="top"/>
          </w:tcPr>
          <w:p w14:paraId="6E14019C">
            <w:pPr>
              <w:pStyle w:val="21"/>
              <w:snapToGrid w:val="0"/>
              <w:spacing w:line="400" w:lineRule="exact"/>
              <w:rPr>
                <w:rFonts w:hint="eastAsia" w:hAnsi="宋体"/>
                <w:color w:val="000000"/>
                <w:sz w:val="22"/>
                <w:szCs w:val="22"/>
              </w:rPr>
            </w:pPr>
          </w:p>
        </w:tc>
        <w:tc>
          <w:tcPr>
            <w:tcW w:w="2072" w:type="dxa"/>
            <w:noWrap w:val="0"/>
            <w:vAlign w:val="top"/>
          </w:tcPr>
          <w:p w14:paraId="21378399">
            <w:pPr>
              <w:pStyle w:val="21"/>
              <w:snapToGrid w:val="0"/>
              <w:spacing w:line="400" w:lineRule="exact"/>
              <w:rPr>
                <w:rFonts w:hint="eastAsia" w:hAnsi="宋体"/>
                <w:color w:val="000000"/>
                <w:sz w:val="22"/>
                <w:szCs w:val="22"/>
              </w:rPr>
            </w:pPr>
          </w:p>
        </w:tc>
        <w:tc>
          <w:tcPr>
            <w:tcW w:w="2072" w:type="dxa"/>
            <w:noWrap w:val="0"/>
            <w:vAlign w:val="top"/>
          </w:tcPr>
          <w:p w14:paraId="214E66CA">
            <w:pPr>
              <w:pStyle w:val="21"/>
              <w:snapToGrid w:val="0"/>
              <w:spacing w:line="400" w:lineRule="exact"/>
              <w:rPr>
                <w:rFonts w:hint="eastAsia" w:hAnsi="宋体"/>
                <w:color w:val="000000"/>
                <w:sz w:val="22"/>
                <w:szCs w:val="22"/>
              </w:rPr>
            </w:pPr>
          </w:p>
        </w:tc>
        <w:tc>
          <w:tcPr>
            <w:tcW w:w="1988" w:type="dxa"/>
            <w:noWrap w:val="0"/>
            <w:vAlign w:val="top"/>
          </w:tcPr>
          <w:p w14:paraId="4945F57F">
            <w:pPr>
              <w:pStyle w:val="21"/>
              <w:snapToGrid w:val="0"/>
              <w:spacing w:line="400" w:lineRule="exact"/>
              <w:rPr>
                <w:rFonts w:hint="eastAsia" w:hAnsi="宋体"/>
                <w:color w:val="000000"/>
                <w:sz w:val="22"/>
                <w:szCs w:val="22"/>
              </w:rPr>
            </w:pPr>
          </w:p>
        </w:tc>
      </w:tr>
      <w:tr w14:paraId="1F6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0" w:type="dxa"/>
            <w:noWrap w:val="0"/>
            <w:vAlign w:val="top"/>
          </w:tcPr>
          <w:p w14:paraId="1DF6DF21">
            <w:pPr>
              <w:pStyle w:val="21"/>
              <w:snapToGrid w:val="0"/>
              <w:spacing w:line="400" w:lineRule="exact"/>
              <w:rPr>
                <w:rFonts w:hint="eastAsia" w:hAnsi="宋体"/>
                <w:color w:val="000000"/>
                <w:sz w:val="22"/>
                <w:szCs w:val="22"/>
              </w:rPr>
            </w:pPr>
          </w:p>
        </w:tc>
        <w:tc>
          <w:tcPr>
            <w:tcW w:w="2071" w:type="dxa"/>
            <w:noWrap w:val="0"/>
            <w:vAlign w:val="top"/>
          </w:tcPr>
          <w:p w14:paraId="1E86B75D">
            <w:pPr>
              <w:pStyle w:val="21"/>
              <w:snapToGrid w:val="0"/>
              <w:spacing w:line="400" w:lineRule="exact"/>
              <w:rPr>
                <w:rFonts w:hint="eastAsia" w:hAnsi="宋体"/>
                <w:color w:val="000000"/>
                <w:sz w:val="22"/>
                <w:szCs w:val="22"/>
              </w:rPr>
            </w:pPr>
          </w:p>
        </w:tc>
        <w:tc>
          <w:tcPr>
            <w:tcW w:w="2072" w:type="dxa"/>
            <w:noWrap w:val="0"/>
            <w:vAlign w:val="top"/>
          </w:tcPr>
          <w:p w14:paraId="3CF5CCBE">
            <w:pPr>
              <w:pStyle w:val="21"/>
              <w:snapToGrid w:val="0"/>
              <w:spacing w:line="400" w:lineRule="exact"/>
              <w:rPr>
                <w:rFonts w:hint="eastAsia" w:hAnsi="宋体"/>
                <w:color w:val="000000"/>
                <w:sz w:val="22"/>
                <w:szCs w:val="22"/>
              </w:rPr>
            </w:pPr>
          </w:p>
        </w:tc>
        <w:tc>
          <w:tcPr>
            <w:tcW w:w="2072" w:type="dxa"/>
            <w:noWrap w:val="0"/>
            <w:vAlign w:val="top"/>
          </w:tcPr>
          <w:p w14:paraId="6CB587EC">
            <w:pPr>
              <w:pStyle w:val="21"/>
              <w:snapToGrid w:val="0"/>
              <w:spacing w:line="400" w:lineRule="exact"/>
              <w:rPr>
                <w:rFonts w:hint="eastAsia" w:hAnsi="宋体"/>
                <w:color w:val="000000"/>
                <w:sz w:val="22"/>
                <w:szCs w:val="22"/>
              </w:rPr>
            </w:pPr>
          </w:p>
        </w:tc>
        <w:tc>
          <w:tcPr>
            <w:tcW w:w="1988" w:type="dxa"/>
            <w:noWrap w:val="0"/>
            <w:vAlign w:val="top"/>
          </w:tcPr>
          <w:p w14:paraId="6C3D8288">
            <w:pPr>
              <w:pStyle w:val="21"/>
              <w:snapToGrid w:val="0"/>
              <w:spacing w:line="400" w:lineRule="exact"/>
              <w:rPr>
                <w:rFonts w:hint="eastAsia" w:hAnsi="宋体"/>
                <w:color w:val="000000"/>
                <w:sz w:val="22"/>
                <w:szCs w:val="22"/>
              </w:rPr>
            </w:pPr>
          </w:p>
        </w:tc>
      </w:tr>
      <w:tr w14:paraId="1CC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0B4C3D2C">
            <w:pPr>
              <w:pStyle w:val="21"/>
              <w:snapToGrid w:val="0"/>
              <w:spacing w:line="400" w:lineRule="exact"/>
              <w:rPr>
                <w:rFonts w:hint="eastAsia" w:hAnsi="宋体"/>
                <w:color w:val="000000"/>
                <w:sz w:val="22"/>
                <w:szCs w:val="22"/>
              </w:rPr>
            </w:pPr>
          </w:p>
        </w:tc>
        <w:tc>
          <w:tcPr>
            <w:tcW w:w="2071" w:type="dxa"/>
            <w:noWrap w:val="0"/>
            <w:vAlign w:val="top"/>
          </w:tcPr>
          <w:p w14:paraId="59C5A6F3">
            <w:pPr>
              <w:pStyle w:val="21"/>
              <w:snapToGrid w:val="0"/>
              <w:spacing w:line="400" w:lineRule="exact"/>
              <w:ind w:firstLine="440" w:firstLineChars="200"/>
              <w:rPr>
                <w:rFonts w:hint="eastAsia" w:hAnsi="宋体"/>
                <w:color w:val="000000"/>
                <w:sz w:val="22"/>
                <w:szCs w:val="22"/>
              </w:rPr>
            </w:pPr>
          </w:p>
        </w:tc>
        <w:tc>
          <w:tcPr>
            <w:tcW w:w="2072" w:type="dxa"/>
            <w:noWrap w:val="0"/>
            <w:vAlign w:val="top"/>
          </w:tcPr>
          <w:p w14:paraId="5D3A0284">
            <w:pPr>
              <w:pStyle w:val="21"/>
              <w:snapToGrid w:val="0"/>
              <w:spacing w:line="400" w:lineRule="exact"/>
              <w:rPr>
                <w:rFonts w:hint="eastAsia" w:hAnsi="宋体"/>
                <w:color w:val="000000"/>
                <w:sz w:val="22"/>
                <w:szCs w:val="22"/>
              </w:rPr>
            </w:pPr>
          </w:p>
        </w:tc>
        <w:tc>
          <w:tcPr>
            <w:tcW w:w="2072" w:type="dxa"/>
            <w:noWrap w:val="0"/>
            <w:vAlign w:val="top"/>
          </w:tcPr>
          <w:p w14:paraId="0A7A96A0">
            <w:pPr>
              <w:pStyle w:val="21"/>
              <w:snapToGrid w:val="0"/>
              <w:spacing w:line="400" w:lineRule="exact"/>
              <w:rPr>
                <w:rFonts w:hint="eastAsia" w:hAnsi="宋体"/>
                <w:color w:val="000000"/>
                <w:sz w:val="22"/>
                <w:szCs w:val="22"/>
              </w:rPr>
            </w:pPr>
          </w:p>
        </w:tc>
        <w:tc>
          <w:tcPr>
            <w:tcW w:w="1988" w:type="dxa"/>
            <w:noWrap w:val="0"/>
            <w:vAlign w:val="top"/>
          </w:tcPr>
          <w:p w14:paraId="62AE13EE">
            <w:pPr>
              <w:pStyle w:val="21"/>
              <w:snapToGrid w:val="0"/>
              <w:spacing w:line="400" w:lineRule="exact"/>
              <w:rPr>
                <w:rFonts w:hint="eastAsia" w:hAnsi="宋体"/>
                <w:color w:val="000000"/>
                <w:sz w:val="22"/>
                <w:szCs w:val="22"/>
              </w:rPr>
            </w:pPr>
          </w:p>
        </w:tc>
      </w:tr>
      <w:tr w14:paraId="0392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387CE3ED">
            <w:pPr>
              <w:pStyle w:val="21"/>
              <w:snapToGrid w:val="0"/>
              <w:spacing w:line="400" w:lineRule="exact"/>
              <w:rPr>
                <w:rFonts w:hint="eastAsia" w:hAnsi="宋体"/>
                <w:color w:val="000000"/>
                <w:sz w:val="22"/>
                <w:szCs w:val="22"/>
              </w:rPr>
            </w:pPr>
          </w:p>
        </w:tc>
        <w:tc>
          <w:tcPr>
            <w:tcW w:w="2071" w:type="dxa"/>
            <w:noWrap w:val="0"/>
            <w:vAlign w:val="top"/>
          </w:tcPr>
          <w:p w14:paraId="5D3840FB">
            <w:pPr>
              <w:pStyle w:val="21"/>
              <w:snapToGrid w:val="0"/>
              <w:spacing w:line="400" w:lineRule="exact"/>
              <w:rPr>
                <w:rFonts w:hint="eastAsia" w:hAnsi="宋体"/>
                <w:color w:val="000000"/>
                <w:sz w:val="22"/>
                <w:szCs w:val="22"/>
              </w:rPr>
            </w:pPr>
          </w:p>
        </w:tc>
        <w:tc>
          <w:tcPr>
            <w:tcW w:w="2072" w:type="dxa"/>
            <w:noWrap w:val="0"/>
            <w:vAlign w:val="top"/>
          </w:tcPr>
          <w:p w14:paraId="0B925979">
            <w:pPr>
              <w:pStyle w:val="21"/>
              <w:snapToGrid w:val="0"/>
              <w:spacing w:line="400" w:lineRule="exact"/>
              <w:rPr>
                <w:rFonts w:hint="eastAsia" w:hAnsi="宋体"/>
                <w:color w:val="000000"/>
                <w:sz w:val="22"/>
                <w:szCs w:val="22"/>
              </w:rPr>
            </w:pPr>
          </w:p>
        </w:tc>
        <w:tc>
          <w:tcPr>
            <w:tcW w:w="2072" w:type="dxa"/>
            <w:noWrap w:val="0"/>
            <w:vAlign w:val="top"/>
          </w:tcPr>
          <w:p w14:paraId="004498FD">
            <w:pPr>
              <w:pStyle w:val="21"/>
              <w:snapToGrid w:val="0"/>
              <w:spacing w:line="400" w:lineRule="exact"/>
              <w:rPr>
                <w:rFonts w:hint="eastAsia" w:hAnsi="宋体"/>
                <w:color w:val="000000"/>
                <w:sz w:val="22"/>
                <w:szCs w:val="22"/>
              </w:rPr>
            </w:pPr>
          </w:p>
        </w:tc>
        <w:tc>
          <w:tcPr>
            <w:tcW w:w="1988" w:type="dxa"/>
            <w:noWrap w:val="0"/>
            <w:vAlign w:val="top"/>
          </w:tcPr>
          <w:p w14:paraId="3F56D337">
            <w:pPr>
              <w:pStyle w:val="21"/>
              <w:snapToGrid w:val="0"/>
              <w:spacing w:line="400" w:lineRule="exact"/>
              <w:rPr>
                <w:rFonts w:hint="eastAsia" w:hAnsi="宋体"/>
                <w:color w:val="000000"/>
                <w:sz w:val="22"/>
                <w:szCs w:val="22"/>
              </w:rPr>
            </w:pPr>
          </w:p>
        </w:tc>
      </w:tr>
      <w:tr w14:paraId="3B3C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0" w:type="dxa"/>
            <w:noWrap w:val="0"/>
            <w:vAlign w:val="top"/>
          </w:tcPr>
          <w:p w14:paraId="57CA41C2">
            <w:pPr>
              <w:pStyle w:val="21"/>
              <w:snapToGrid w:val="0"/>
              <w:spacing w:line="400" w:lineRule="exact"/>
              <w:rPr>
                <w:rFonts w:hint="eastAsia" w:hAnsi="宋体"/>
                <w:color w:val="000000"/>
                <w:sz w:val="22"/>
                <w:szCs w:val="22"/>
              </w:rPr>
            </w:pPr>
          </w:p>
        </w:tc>
        <w:tc>
          <w:tcPr>
            <w:tcW w:w="2071" w:type="dxa"/>
            <w:noWrap w:val="0"/>
            <w:vAlign w:val="top"/>
          </w:tcPr>
          <w:p w14:paraId="16B5114A">
            <w:pPr>
              <w:pStyle w:val="21"/>
              <w:snapToGrid w:val="0"/>
              <w:spacing w:line="400" w:lineRule="exact"/>
              <w:rPr>
                <w:rFonts w:hint="eastAsia" w:hAnsi="宋体"/>
                <w:color w:val="000000"/>
                <w:sz w:val="22"/>
                <w:szCs w:val="22"/>
              </w:rPr>
            </w:pPr>
          </w:p>
        </w:tc>
        <w:tc>
          <w:tcPr>
            <w:tcW w:w="2072" w:type="dxa"/>
            <w:noWrap w:val="0"/>
            <w:vAlign w:val="top"/>
          </w:tcPr>
          <w:p w14:paraId="298B85F0">
            <w:pPr>
              <w:pStyle w:val="21"/>
              <w:snapToGrid w:val="0"/>
              <w:spacing w:line="400" w:lineRule="exact"/>
              <w:rPr>
                <w:rFonts w:hint="eastAsia" w:hAnsi="宋体"/>
                <w:color w:val="000000"/>
                <w:sz w:val="22"/>
                <w:szCs w:val="22"/>
              </w:rPr>
            </w:pPr>
          </w:p>
        </w:tc>
        <w:tc>
          <w:tcPr>
            <w:tcW w:w="2072" w:type="dxa"/>
            <w:noWrap w:val="0"/>
            <w:vAlign w:val="top"/>
          </w:tcPr>
          <w:p w14:paraId="4E004E0F">
            <w:pPr>
              <w:pStyle w:val="21"/>
              <w:snapToGrid w:val="0"/>
              <w:spacing w:line="400" w:lineRule="exact"/>
              <w:rPr>
                <w:rFonts w:hint="eastAsia" w:hAnsi="宋体"/>
                <w:color w:val="000000"/>
                <w:sz w:val="22"/>
                <w:szCs w:val="22"/>
              </w:rPr>
            </w:pPr>
          </w:p>
        </w:tc>
        <w:tc>
          <w:tcPr>
            <w:tcW w:w="1988" w:type="dxa"/>
            <w:noWrap w:val="0"/>
            <w:vAlign w:val="top"/>
          </w:tcPr>
          <w:p w14:paraId="16FAC893">
            <w:pPr>
              <w:pStyle w:val="21"/>
              <w:snapToGrid w:val="0"/>
              <w:spacing w:line="400" w:lineRule="exact"/>
              <w:rPr>
                <w:rFonts w:hint="eastAsia" w:hAnsi="宋体"/>
                <w:color w:val="000000"/>
                <w:sz w:val="22"/>
                <w:szCs w:val="22"/>
              </w:rPr>
            </w:pPr>
          </w:p>
        </w:tc>
      </w:tr>
      <w:tr w14:paraId="2B4B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76FF2748">
            <w:pPr>
              <w:pStyle w:val="21"/>
              <w:snapToGrid w:val="0"/>
              <w:spacing w:line="400" w:lineRule="exact"/>
              <w:rPr>
                <w:rFonts w:hint="eastAsia" w:hAnsi="宋体"/>
                <w:color w:val="000000"/>
                <w:sz w:val="22"/>
                <w:szCs w:val="22"/>
              </w:rPr>
            </w:pPr>
          </w:p>
        </w:tc>
        <w:tc>
          <w:tcPr>
            <w:tcW w:w="2071" w:type="dxa"/>
            <w:noWrap w:val="0"/>
            <w:vAlign w:val="top"/>
          </w:tcPr>
          <w:p w14:paraId="05420988">
            <w:pPr>
              <w:pStyle w:val="21"/>
              <w:snapToGrid w:val="0"/>
              <w:spacing w:line="400" w:lineRule="exact"/>
              <w:rPr>
                <w:rFonts w:hint="eastAsia" w:hAnsi="宋体"/>
                <w:color w:val="000000"/>
                <w:sz w:val="22"/>
                <w:szCs w:val="22"/>
              </w:rPr>
            </w:pPr>
          </w:p>
        </w:tc>
        <w:tc>
          <w:tcPr>
            <w:tcW w:w="2072" w:type="dxa"/>
            <w:noWrap w:val="0"/>
            <w:vAlign w:val="top"/>
          </w:tcPr>
          <w:p w14:paraId="0975D61A">
            <w:pPr>
              <w:pStyle w:val="21"/>
              <w:snapToGrid w:val="0"/>
              <w:spacing w:line="400" w:lineRule="exact"/>
              <w:rPr>
                <w:rFonts w:hint="eastAsia" w:hAnsi="宋体"/>
                <w:color w:val="000000"/>
                <w:sz w:val="22"/>
                <w:szCs w:val="22"/>
              </w:rPr>
            </w:pPr>
          </w:p>
        </w:tc>
        <w:tc>
          <w:tcPr>
            <w:tcW w:w="2072" w:type="dxa"/>
            <w:noWrap w:val="0"/>
            <w:vAlign w:val="top"/>
          </w:tcPr>
          <w:p w14:paraId="4B56F649">
            <w:pPr>
              <w:pStyle w:val="21"/>
              <w:snapToGrid w:val="0"/>
              <w:spacing w:line="400" w:lineRule="exact"/>
              <w:rPr>
                <w:rFonts w:hint="eastAsia" w:hAnsi="宋体"/>
                <w:color w:val="000000"/>
                <w:sz w:val="22"/>
                <w:szCs w:val="22"/>
              </w:rPr>
            </w:pPr>
          </w:p>
        </w:tc>
        <w:tc>
          <w:tcPr>
            <w:tcW w:w="1988" w:type="dxa"/>
            <w:noWrap w:val="0"/>
            <w:vAlign w:val="top"/>
          </w:tcPr>
          <w:p w14:paraId="5FCFCBA8">
            <w:pPr>
              <w:pStyle w:val="21"/>
              <w:snapToGrid w:val="0"/>
              <w:spacing w:line="400" w:lineRule="exact"/>
              <w:rPr>
                <w:rFonts w:hint="eastAsia" w:hAnsi="宋体"/>
                <w:color w:val="000000"/>
                <w:sz w:val="22"/>
                <w:szCs w:val="22"/>
              </w:rPr>
            </w:pPr>
          </w:p>
        </w:tc>
      </w:tr>
      <w:tr w14:paraId="521C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179017CD">
            <w:pPr>
              <w:pStyle w:val="21"/>
              <w:snapToGrid w:val="0"/>
              <w:spacing w:line="400" w:lineRule="exact"/>
              <w:rPr>
                <w:rFonts w:hint="eastAsia" w:hAnsi="宋体"/>
                <w:color w:val="000000"/>
                <w:sz w:val="22"/>
                <w:szCs w:val="22"/>
              </w:rPr>
            </w:pPr>
          </w:p>
        </w:tc>
        <w:tc>
          <w:tcPr>
            <w:tcW w:w="2071" w:type="dxa"/>
            <w:noWrap w:val="0"/>
            <w:vAlign w:val="top"/>
          </w:tcPr>
          <w:p w14:paraId="2EFD03DF">
            <w:pPr>
              <w:pStyle w:val="21"/>
              <w:snapToGrid w:val="0"/>
              <w:spacing w:line="400" w:lineRule="exact"/>
              <w:rPr>
                <w:rFonts w:hint="eastAsia" w:hAnsi="宋体"/>
                <w:color w:val="000000"/>
                <w:sz w:val="22"/>
                <w:szCs w:val="22"/>
              </w:rPr>
            </w:pPr>
          </w:p>
        </w:tc>
        <w:tc>
          <w:tcPr>
            <w:tcW w:w="2072" w:type="dxa"/>
            <w:noWrap w:val="0"/>
            <w:vAlign w:val="top"/>
          </w:tcPr>
          <w:p w14:paraId="250141C2">
            <w:pPr>
              <w:pStyle w:val="21"/>
              <w:snapToGrid w:val="0"/>
              <w:spacing w:line="400" w:lineRule="exact"/>
              <w:rPr>
                <w:rFonts w:hint="eastAsia" w:hAnsi="宋体"/>
                <w:color w:val="000000"/>
                <w:sz w:val="22"/>
                <w:szCs w:val="22"/>
              </w:rPr>
            </w:pPr>
          </w:p>
        </w:tc>
        <w:tc>
          <w:tcPr>
            <w:tcW w:w="2072" w:type="dxa"/>
            <w:noWrap w:val="0"/>
            <w:vAlign w:val="top"/>
          </w:tcPr>
          <w:p w14:paraId="3E589018">
            <w:pPr>
              <w:pStyle w:val="21"/>
              <w:snapToGrid w:val="0"/>
              <w:spacing w:line="400" w:lineRule="exact"/>
              <w:rPr>
                <w:rFonts w:hint="eastAsia" w:hAnsi="宋体"/>
                <w:color w:val="000000"/>
                <w:sz w:val="22"/>
                <w:szCs w:val="22"/>
              </w:rPr>
            </w:pPr>
          </w:p>
        </w:tc>
        <w:tc>
          <w:tcPr>
            <w:tcW w:w="1988" w:type="dxa"/>
            <w:noWrap w:val="0"/>
            <w:vAlign w:val="top"/>
          </w:tcPr>
          <w:p w14:paraId="00C2556D">
            <w:pPr>
              <w:pStyle w:val="21"/>
              <w:snapToGrid w:val="0"/>
              <w:spacing w:line="400" w:lineRule="exact"/>
              <w:rPr>
                <w:rFonts w:hint="eastAsia" w:hAnsi="宋体"/>
                <w:color w:val="000000"/>
                <w:sz w:val="22"/>
                <w:szCs w:val="22"/>
              </w:rPr>
            </w:pPr>
          </w:p>
        </w:tc>
      </w:tr>
      <w:tr w14:paraId="5297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0" w:type="dxa"/>
            <w:noWrap w:val="0"/>
            <w:vAlign w:val="top"/>
          </w:tcPr>
          <w:p w14:paraId="06C293EA">
            <w:pPr>
              <w:pStyle w:val="21"/>
              <w:snapToGrid w:val="0"/>
              <w:spacing w:line="400" w:lineRule="exact"/>
              <w:rPr>
                <w:rFonts w:hint="eastAsia" w:hAnsi="宋体"/>
                <w:color w:val="000000"/>
                <w:sz w:val="22"/>
                <w:szCs w:val="22"/>
              </w:rPr>
            </w:pPr>
          </w:p>
        </w:tc>
        <w:tc>
          <w:tcPr>
            <w:tcW w:w="2071" w:type="dxa"/>
            <w:noWrap w:val="0"/>
            <w:vAlign w:val="top"/>
          </w:tcPr>
          <w:p w14:paraId="154BE8DC">
            <w:pPr>
              <w:pStyle w:val="21"/>
              <w:snapToGrid w:val="0"/>
              <w:spacing w:line="400" w:lineRule="exact"/>
              <w:rPr>
                <w:rFonts w:hint="eastAsia" w:hAnsi="宋体"/>
                <w:color w:val="000000"/>
                <w:sz w:val="22"/>
                <w:szCs w:val="22"/>
              </w:rPr>
            </w:pPr>
          </w:p>
        </w:tc>
        <w:tc>
          <w:tcPr>
            <w:tcW w:w="2072" w:type="dxa"/>
            <w:noWrap w:val="0"/>
            <w:vAlign w:val="top"/>
          </w:tcPr>
          <w:p w14:paraId="1F1AF9DC">
            <w:pPr>
              <w:pStyle w:val="21"/>
              <w:snapToGrid w:val="0"/>
              <w:spacing w:line="400" w:lineRule="exact"/>
              <w:rPr>
                <w:rFonts w:hint="eastAsia" w:hAnsi="宋体"/>
                <w:color w:val="000000"/>
                <w:sz w:val="22"/>
                <w:szCs w:val="22"/>
              </w:rPr>
            </w:pPr>
          </w:p>
        </w:tc>
        <w:tc>
          <w:tcPr>
            <w:tcW w:w="2072" w:type="dxa"/>
            <w:noWrap w:val="0"/>
            <w:vAlign w:val="top"/>
          </w:tcPr>
          <w:p w14:paraId="2B9DAF72">
            <w:pPr>
              <w:pStyle w:val="21"/>
              <w:snapToGrid w:val="0"/>
              <w:spacing w:line="400" w:lineRule="exact"/>
              <w:rPr>
                <w:rFonts w:hint="eastAsia" w:hAnsi="宋体"/>
                <w:color w:val="000000"/>
                <w:sz w:val="22"/>
                <w:szCs w:val="22"/>
              </w:rPr>
            </w:pPr>
          </w:p>
        </w:tc>
        <w:tc>
          <w:tcPr>
            <w:tcW w:w="1988" w:type="dxa"/>
            <w:noWrap w:val="0"/>
            <w:vAlign w:val="top"/>
          </w:tcPr>
          <w:p w14:paraId="207031A0">
            <w:pPr>
              <w:pStyle w:val="21"/>
              <w:snapToGrid w:val="0"/>
              <w:spacing w:line="400" w:lineRule="exact"/>
              <w:rPr>
                <w:rFonts w:hint="eastAsia" w:hAnsi="宋体"/>
                <w:color w:val="000000"/>
                <w:sz w:val="22"/>
                <w:szCs w:val="22"/>
              </w:rPr>
            </w:pPr>
          </w:p>
        </w:tc>
      </w:tr>
      <w:tr w14:paraId="596E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6EC7712F">
            <w:pPr>
              <w:pStyle w:val="21"/>
              <w:snapToGrid w:val="0"/>
              <w:spacing w:line="400" w:lineRule="exact"/>
              <w:rPr>
                <w:rFonts w:hint="eastAsia" w:hAnsi="宋体"/>
                <w:color w:val="000000"/>
                <w:sz w:val="22"/>
                <w:szCs w:val="22"/>
              </w:rPr>
            </w:pPr>
          </w:p>
        </w:tc>
        <w:tc>
          <w:tcPr>
            <w:tcW w:w="2071" w:type="dxa"/>
            <w:noWrap w:val="0"/>
            <w:vAlign w:val="top"/>
          </w:tcPr>
          <w:p w14:paraId="168186DC">
            <w:pPr>
              <w:pStyle w:val="21"/>
              <w:snapToGrid w:val="0"/>
              <w:spacing w:line="400" w:lineRule="exact"/>
              <w:rPr>
                <w:rFonts w:hint="eastAsia" w:hAnsi="宋体"/>
                <w:color w:val="000000"/>
                <w:sz w:val="22"/>
                <w:szCs w:val="22"/>
              </w:rPr>
            </w:pPr>
          </w:p>
        </w:tc>
        <w:tc>
          <w:tcPr>
            <w:tcW w:w="2072" w:type="dxa"/>
            <w:noWrap w:val="0"/>
            <w:vAlign w:val="top"/>
          </w:tcPr>
          <w:p w14:paraId="7787454D">
            <w:pPr>
              <w:pStyle w:val="21"/>
              <w:snapToGrid w:val="0"/>
              <w:spacing w:line="400" w:lineRule="exact"/>
              <w:rPr>
                <w:rFonts w:hint="eastAsia" w:hAnsi="宋体"/>
                <w:color w:val="000000"/>
                <w:sz w:val="22"/>
                <w:szCs w:val="22"/>
              </w:rPr>
            </w:pPr>
          </w:p>
        </w:tc>
        <w:tc>
          <w:tcPr>
            <w:tcW w:w="2072" w:type="dxa"/>
            <w:noWrap w:val="0"/>
            <w:vAlign w:val="top"/>
          </w:tcPr>
          <w:p w14:paraId="08359D25">
            <w:pPr>
              <w:pStyle w:val="21"/>
              <w:snapToGrid w:val="0"/>
              <w:spacing w:line="400" w:lineRule="exact"/>
              <w:rPr>
                <w:rFonts w:hint="eastAsia" w:hAnsi="宋体"/>
                <w:color w:val="000000"/>
                <w:sz w:val="22"/>
                <w:szCs w:val="22"/>
              </w:rPr>
            </w:pPr>
          </w:p>
        </w:tc>
        <w:tc>
          <w:tcPr>
            <w:tcW w:w="1988" w:type="dxa"/>
            <w:noWrap w:val="0"/>
            <w:vAlign w:val="top"/>
          </w:tcPr>
          <w:p w14:paraId="01574784">
            <w:pPr>
              <w:pStyle w:val="21"/>
              <w:snapToGrid w:val="0"/>
              <w:spacing w:line="400" w:lineRule="exact"/>
              <w:rPr>
                <w:rFonts w:hint="eastAsia" w:hAnsi="宋体"/>
                <w:color w:val="000000"/>
                <w:sz w:val="22"/>
                <w:szCs w:val="22"/>
              </w:rPr>
            </w:pPr>
          </w:p>
        </w:tc>
      </w:tr>
      <w:tr w14:paraId="0C7F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7D8D8DBA">
            <w:pPr>
              <w:pStyle w:val="21"/>
              <w:snapToGrid w:val="0"/>
              <w:spacing w:line="400" w:lineRule="exact"/>
              <w:rPr>
                <w:rFonts w:hint="eastAsia" w:hAnsi="宋体"/>
                <w:color w:val="000000"/>
                <w:sz w:val="22"/>
                <w:szCs w:val="22"/>
              </w:rPr>
            </w:pPr>
          </w:p>
        </w:tc>
        <w:tc>
          <w:tcPr>
            <w:tcW w:w="2071" w:type="dxa"/>
            <w:noWrap w:val="0"/>
            <w:vAlign w:val="top"/>
          </w:tcPr>
          <w:p w14:paraId="53DF03DE">
            <w:pPr>
              <w:pStyle w:val="21"/>
              <w:snapToGrid w:val="0"/>
              <w:spacing w:line="400" w:lineRule="exact"/>
              <w:rPr>
                <w:rFonts w:hint="eastAsia" w:hAnsi="宋体"/>
                <w:color w:val="000000"/>
                <w:sz w:val="22"/>
                <w:szCs w:val="22"/>
              </w:rPr>
            </w:pPr>
          </w:p>
        </w:tc>
        <w:tc>
          <w:tcPr>
            <w:tcW w:w="2072" w:type="dxa"/>
            <w:noWrap w:val="0"/>
            <w:vAlign w:val="top"/>
          </w:tcPr>
          <w:p w14:paraId="040F24E7">
            <w:pPr>
              <w:pStyle w:val="21"/>
              <w:snapToGrid w:val="0"/>
              <w:spacing w:line="400" w:lineRule="exact"/>
              <w:rPr>
                <w:rFonts w:hint="eastAsia" w:hAnsi="宋体"/>
                <w:color w:val="000000"/>
                <w:sz w:val="22"/>
                <w:szCs w:val="22"/>
              </w:rPr>
            </w:pPr>
          </w:p>
        </w:tc>
        <w:tc>
          <w:tcPr>
            <w:tcW w:w="2072" w:type="dxa"/>
            <w:noWrap w:val="0"/>
            <w:vAlign w:val="top"/>
          </w:tcPr>
          <w:p w14:paraId="5751AAE6">
            <w:pPr>
              <w:pStyle w:val="21"/>
              <w:snapToGrid w:val="0"/>
              <w:spacing w:line="400" w:lineRule="exact"/>
              <w:rPr>
                <w:rFonts w:hint="eastAsia" w:hAnsi="宋体"/>
                <w:color w:val="000000"/>
                <w:sz w:val="22"/>
                <w:szCs w:val="22"/>
              </w:rPr>
            </w:pPr>
          </w:p>
        </w:tc>
        <w:tc>
          <w:tcPr>
            <w:tcW w:w="1988" w:type="dxa"/>
            <w:noWrap w:val="0"/>
            <w:vAlign w:val="top"/>
          </w:tcPr>
          <w:p w14:paraId="49C11235">
            <w:pPr>
              <w:pStyle w:val="21"/>
              <w:snapToGrid w:val="0"/>
              <w:spacing w:line="400" w:lineRule="exact"/>
              <w:rPr>
                <w:rFonts w:hint="eastAsia" w:hAnsi="宋体"/>
                <w:color w:val="000000"/>
                <w:sz w:val="22"/>
                <w:szCs w:val="22"/>
              </w:rPr>
            </w:pPr>
          </w:p>
        </w:tc>
      </w:tr>
      <w:tr w14:paraId="207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0" w:type="dxa"/>
            <w:noWrap w:val="0"/>
            <w:vAlign w:val="top"/>
          </w:tcPr>
          <w:p w14:paraId="6A9F479C">
            <w:pPr>
              <w:pStyle w:val="21"/>
              <w:snapToGrid w:val="0"/>
              <w:spacing w:line="400" w:lineRule="exact"/>
              <w:rPr>
                <w:rFonts w:hint="eastAsia" w:hAnsi="宋体"/>
                <w:color w:val="000000"/>
                <w:sz w:val="22"/>
                <w:szCs w:val="22"/>
              </w:rPr>
            </w:pPr>
          </w:p>
        </w:tc>
        <w:tc>
          <w:tcPr>
            <w:tcW w:w="2071" w:type="dxa"/>
            <w:noWrap w:val="0"/>
            <w:vAlign w:val="top"/>
          </w:tcPr>
          <w:p w14:paraId="1B0D51A1">
            <w:pPr>
              <w:pStyle w:val="21"/>
              <w:snapToGrid w:val="0"/>
              <w:spacing w:line="400" w:lineRule="exact"/>
              <w:rPr>
                <w:rFonts w:hint="eastAsia" w:hAnsi="宋体"/>
                <w:color w:val="000000"/>
                <w:sz w:val="22"/>
                <w:szCs w:val="22"/>
              </w:rPr>
            </w:pPr>
          </w:p>
        </w:tc>
        <w:tc>
          <w:tcPr>
            <w:tcW w:w="2072" w:type="dxa"/>
            <w:noWrap w:val="0"/>
            <w:vAlign w:val="top"/>
          </w:tcPr>
          <w:p w14:paraId="1D86E690">
            <w:pPr>
              <w:pStyle w:val="21"/>
              <w:snapToGrid w:val="0"/>
              <w:spacing w:line="400" w:lineRule="exact"/>
              <w:rPr>
                <w:rFonts w:hint="eastAsia" w:hAnsi="宋体"/>
                <w:color w:val="000000"/>
                <w:sz w:val="22"/>
                <w:szCs w:val="22"/>
              </w:rPr>
            </w:pPr>
          </w:p>
        </w:tc>
        <w:tc>
          <w:tcPr>
            <w:tcW w:w="2072" w:type="dxa"/>
            <w:noWrap w:val="0"/>
            <w:vAlign w:val="top"/>
          </w:tcPr>
          <w:p w14:paraId="74056CB0">
            <w:pPr>
              <w:pStyle w:val="21"/>
              <w:snapToGrid w:val="0"/>
              <w:spacing w:line="400" w:lineRule="exact"/>
              <w:rPr>
                <w:rFonts w:hint="eastAsia" w:hAnsi="宋体"/>
                <w:color w:val="000000"/>
                <w:sz w:val="22"/>
                <w:szCs w:val="22"/>
              </w:rPr>
            </w:pPr>
          </w:p>
        </w:tc>
        <w:tc>
          <w:tcPr>
            <w:tcW w:w="1988" w:type="dxa"/>
            <w:noWrap w:val="0"/>
            <w:vAlign w:val="top"/>
          </w:tcPr>
          <w:p w14:paraId="4A596A85">
            <w:pPr>
              <w:pStyle w:val="21"/>
              <w:snapToGrid w:val="0"/>
              <w:spacing w:line="400" w:lineRule="exact"/>
              <w:rPr>
                <w:rFonts w:hint="eastAsia" w:hAnsi="宋体"/>
                <w:color w:val="000000"/>
                <w:sz w:val="22"/>
                <w:szCs w:val="22"/>
              </w:rPr>
            </w:pPr>
          </w:p>
        </w:tc>
      </w:tr>
      <w:tr w14:paraId="1F7F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30E78EC8">
            <w:pPr>
              <w:pStyle w:val="21"/>
              <w:snapToGrid w:val="0"/>
              <w:spacing w:line="400" w:lineRule="exact"/>
              <w:rPr>
                <w:rFonts w:hint="eastAsia" w:hAnsi="宋体"/>
                <w:color w:val="000000"/>
                <w:sz w:val="22"/>
                <w:szCs w:val="22"/>
              </w:rPr>
            </w:pPr>
          </w:p>
        </w:tc>
        <w:tc>
          <w:tcPr>
            <w:tcW w:w="2071" w:type="dxa"/>
            <w:noWrap w:val="0"/>
            <w:vAlign w:val="top"/>
          </w:tcPr>
          <w:p w14:paraId="36B5796B">
            <w:pPr>
              <w:pStyle w:val="21"/>
              <w:snapToGrid w:val="0"/>
              <w:spacing w:line="400" w:lineRule="exact"/>
              <w:rPr>
                <w:rFonts w:hint="eastAsia" w:hAnsi="宋体"/>
                <w:color w:val="000000"/>
                <w:sz w:val="22"/>
                <w:szCs w:val="22"/>
              </w:rPr>
            </w:pPr>
          </w:p>
        </w:tc>
        <w:tc>
          <w:tcPr>
            <w:tcW w:w="2072" w:type="dxa"/>
            <w:noWrap w:val="0"/>
            <w:vAlign w:val="top"/>
          </w:tcPr>
          <w:p w14:paraId="6AB2E997">
            <w:pPr>
              <w:pStyle w:val="21"/>
              <w:snapToGrid w:val="0"/>
              <w:spacing w:line="400" w:lineRule="exact"/>
              <w:rPr>
                <w:rFonts w:hint="eastAsia" w:hAnsi="宋体"/>
                <w:color w:val="000000"/>
                <w:sz w:val="22"/>
                <w:szCs w:val="22"/>
              </w:rPr>
            </w:pPr>
          </w:p>
        </w:tc>
        <w:tc>
          <w:tcPr>
            <w:tcW w:w="2072" w:type="dxa"/>
            <w:noWrap w:val="0"/>
            <w:vAlign w:val="top"/>
          </w:tcPr>
          <w:p w14:paraId="5A16A431">
            <w:pPr>
              <w:pStyle w:val="21"/>
              <w:snapToGrid w:val="0"/>
              <w:spacing w:line="400" w:lineRule="exact"/>
              <w:rPr>
                <w:rFonts w:hint="eastAsia" w:hAnsi="宋体"/>
                <w:color w:val="000000"/>
                <w:sz w:val="22"/>
                <w:szCs w:val="22"/>
              </w:rPr>
            </w:pPr>
          </w:p>
        </w:tc>
        <w:tc>
          <w:tcPr>
            <w:tcW w:w="1988" w:type="dxa"/>
            <w:noWrap w:val="0"/>
            <w:vAlign w:val="top"/>
          </w:tcPr>
          <w:p w14:paraId="4275AB27">
            <w:pPr>
              <w:pStyle w:val="21"/>
              <w:snapToGrid w:val="0"/>
              <w:spacing w:line="400" w:lineRule="exact"/>
              <w:rPr>
                <w:rFonts w:hint="eastAsia" w:hAnsi="宋体"/>
                <w:color w:val="000000"/>
                <w:sz w:val="22"/>
                <w:szCs w:val="22"/>
              </w:rPr>
            </w:pPr>
          </w:p>
        </w:tc>
      </w:tr>
      <w:tr w14:paraId="6EA5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2CA86530">
            <w:pPr>
              <w:pStyle w:val="21"/>
              <w:snapToGrid w:val="0"/>
              <w:spacing w:line="400" w:lineRule="exact"/>
              <w:rPr>
                <w:rFonts w:hint="eastAsia" w:hAnsi="宋体"/>
                <w:color w:val="000000"/>
                <w:sz w:val="22"/>
                <w:szCs w:val="22"/>
              </w:rPr>
            </w:pPr>
          </w:p>
        </w:tc>
        <w:tc>
          <w:tcPr>
            <w:tcW w:w="2071" w:type="dxa"/>
            <w:noWrap w:val="0"/>
            <w:vAlign w:val="top"/>
          </w:tcPr>
          <w:p w14:paraId="51BFADC4">
            <w:pPr>
              <w:pStyle w:val="21"/>
              <w:snapToGrid w:val="0"/>
              <w:spacing w:line="400" w:lineRule="exact"/>
              <w:rPr>
                <w:rFonts w:hint="eastAsia" w:hAnsi="宋体"/>
                <w:color w:val="000000"/>
                <w:sz w:val="22"/>
                <w:szCs w:val="22"/>
              </w:rPr>
            </w:pPr>
          </w:p>
        </w:tc>
        <w:tc>
          <w:tcPr>
            <w:tcW w:w="2072" w:type="dxa"/>
            <w:noWrap w:val="0"/>
            <w:vAlign w:val="top"/>
          </w:tcPr>
          <w:p w14:paraId="502DA4E4">
            <w:pPr>
              <w:pStyle w:val="21"/>
              <w:snapToGrid w:val="0"/>
              <w:spacing w:line="400" w:lineRule="exact"/>
              <w:rPr>
                <w:rFonts w:hint="eastAsia" w:hAnsi="宋体"/>
                <w:color w:val="000000"/>
                <w:sz w:val="22"/>
                <w:szCs w:val="22"/>
              </w:rPr>
            </w:pPr>
          </w:p>
        </w:tc>
        <w:tc>
          <w:tcPr>
            <w:tcW w:w="2072" w:type="dxa"/>
            <w:noWrap w:val="0"/>
            <w:vAlign w:val="top"/>
          </w:tcPr>
          <w:p w14:paraId="0E520837">
            <w:pPr>
              <w:pStyle w:val="21"/>
              <w:snapToGrid w:val="0"/>
              <w:spacing w:line="400" w:lineRule="exact"/>
              <w:rPr>
                <w:rFonts w:hint="eastAsia" w:hAnsi="宋体"/>
                <w:color w:val="000000"/>
                <w:sz w:val="22"/>
                <w:szCs w:val="22"/>
              </w:rPr>
            </w:pPr>
          </w:p>
        </w:tc>
        <w:tc>
          <w:tcPr>
            <w:tcW w:w="1988" w:type="dxa"/>
            <w:noWrap w:val="0"/>
            <w:vAlign w:val="top"/>
          </w:tcPr>
          <w:p w14:paraId="7F60FF2C">
            <w:pPr>
              <w:pStyle w:val="21"/>
              <w:snapToGrid w:val="0"/>
              <w:spacing w:line="400" w:lineRule="exact"/>
              <w:rPr>
                <w:rFonts w:hint="eastAsia" w:hAnsi="宋体"/>
                <w:color w:val="000000"/>
                <w:sz w:val="22"/>
                <w:szCs w:val="22"/>
              </w:rPr>
            </w:pPr>
          </w:p>
        </w:tc>
      </w:tr>
      <w:tr w14:paraId="3619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0" w:type="dxa"/>
            <w:noWrap w:val="0"/>
            <w:vAlign w:val="top"/>
          </w:tcPr>
          <w:p w14:paraId="2B3CCA57">
            <w:pPr>
              <w:pStyle w:val="21"/>
              <w:snapToGrid w:val="0"/>
              <w:spacing w:line="400" w:lineRule="exact"/>
              <w:rPr>
                <w:rFonts w:hint="eastAsia" w:hAnsi="宋体"/>
                <w:color w:val="000000"/>
                <w:sz w:val="22"/>
                <w:szCs w:val="22"/>
              </w:rPr>
            </w:pPr>
          </w:p>
        </w:tc>
        <w:tc>
          <w:tcPr>
            <w:tcW w:w="2071" w:type="dxa"/>
            <w:noWrap w:val="0"/>
            <w:vAlign w:val="top"/>
          </w:tcPr>
          <w:p w14:paraId="781EAA07">
            <w:pPr>
              <w:pStyle w:val="21"/>
              <w:snapToGrid w:val="0"/>
              <w:spacing w:line="400" w:lineRule="exact"/>
              <w:rPr>
                <w:rFonts w:hint="eastAsia" w:hAnsi="宋体"/>
                <w:color w:val="000000"/>
                <w:sz w:val="22"/>
                <w:szCs w:val="22"/>
              </w:rPr>
            </w:pPr>
          </w:p>
        </w:tc>
        <w:tc>
          <w:tcPr>
            <w:tcW w:w="2072" w:type="dxa"/>
            <w:noWrap w:val="0"/>
            <w:vAlign w:val="top"/>
          </w:tcPr>
          <w:p w14:paraId="24F6BB87">
            <w:pPr>
              <w:pStyle w:val="21"/>
              <w:snapToGrid w:val="0"/>
              <w:spacing w:line="400" w:lineRule="exact"/>
              <w:rPr>
                <w:rFonts w:hint="eastAsia" w:hAnsi="宋体"/>
                <w:color w:val="000000"/>
                <w:sz w:val="22"/>
                <w:szCs w:val="22"/>
              </w:rPr>
            </w:pPr>
          </w:p>
        </w:tc>
        <w:tc>
          <w:tcPr>
            <w:tcW w:w="2072" w:type="dxa"/>
            <w:noWrap w:val="0"/>
            <w:vAlign w:val="top"/>
          </w:tcPr>
          <w:p w14:paraId="2A7E169D">
            <w:pPr>
              <w:pStyle w:val="21"/>
              <w:snapToGrid w:val="0"/>
              <w:spacing w:line="400" w:lineRule="exact"/>
              <w:rPr>
                <w:rFonts w:hint="eastAsia" w:hAnsi="宋体"/>
                <w:color w:val="000000"/>
                <w:sz w:val="22"/>
                <w:szCs w:val="22"/>
              </w:rPr>
            </w:pPr>
          </w:p>
        </w:tc>
        <w:tc>
          <w:tcPr>
            <w:tcW w:w="1988" w:type="dxa"/>
            <w:noWrap w:val="0"/>
            <w:vAlign w:val="top"/>
          </w:tcPr>
          <w:p w14:paraId="54836C37">
            <w:pPr>
              <w:pStyle w:val="21"/>
              <w:snapToGrid w:val="0"/>
              <w:spacing w:line="400" w:lineRule="exact"/>
              <w:rPr>
                <w:rFonts w:hint="eastAsia" w:hAnsi="宋体"/>
                <w:color w:val="000000"/>
                <w:sz w:val="22"/>
                <w:szCs w:val="22"/>
              </w:rPr>
            </w:pPr>
          </w:p>
        </w:tc>
      </w:tr>
    </w:tbl>
    <w:p w14:paraId="48424DF3">
      <w:pPr>
        <w:pStyle w:val="21"/>
        <w:snapToGrid w:val="0"/>
        <w:spacing w:line="400" w:lineRule="exact"/>
        <w:rPr>
          <w:rFonts w:hint="eastAsia" w:hAnsi="宋体"/>
          <w:color w:val="000000"/>
          <w:sz w:val="24"/>
        </w:rPr>
      </w:pPr>
    </w:p>
    <w:p w14:paraId="7D72E1D9">
      <w:pPr>
        <w:pStyle w:val="21"/>
        <w:spacing w:line="400" w:lineRule="exact"/>
        <w:rPr>
          <w:rFonts w:hint="eastAsia" w:hAnsi="宋体"/>
          <w:b/>
          <w:color w:val="000000"/>
          <w:sz w:val="22"/>
        </w:rPr>
      </w:pPr>
      <w:r>
        <w:rPr>
          <w:rFonts w:hint="eastAsia" w:hAnsi="宋体"/>
          <w:b/>
          <w:color w:val="000000"/>
          <w:sz w:val="22"/>
        </w:rPr>
        <w:t>供应商名称（盖章）：</w:t>
      </w:r>
    </w:p>
    <w:p w14:paraId="20156B5C">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2DA2A869">
      <w:pPr>
        <w:pStyle w:val="21"/>
        <w:spacing w:line="400" w:lineRule="exact"/>
        <w:rPr>
          <w:rFonts w:hint="eastAsia" w:hAnsi="宋体"/>
          <w:b/>
          <w:color w:val="000000"/>
          <w:sz w:val="22"/>
        </w:rPr>
      </w:pPr>
      <w:r>
        <w:rPr>
          <w:rFonts w:hint="eastAsia" w:hAnsi="宋体"/>
          <w:b/>
          <w:color w:val="000000"/>
          <w:sz w:val="22"/>
        </w:rPr>
        <w:t>日    期：</w:t>
      </w:r>
    </w:p>
    <w:p w14:paraId="39D2EFA7">
      <w:pPr>
        <w:rPr>
          <w:rFonts w:hint="eastAsia" w:ascii="宋体" w:hAnsi="宋体" w:eastAsia="宋体" w:cs="宋体"/>
          <w:b/>
          <w:color w:val="auto"/>
          <w:sz w:val="28"/>
          <w:szCs w:val="18"/>
          <w:highlight w:val="none"/>
          <w:lang w:val="zh-CN"/>
        </w:rPr>
      </w:pPr>
      <w:r>
        <w:rPr>
          <w:rFonts w:hint="eastAsia" w:ascii="宋体" w:hAnsi="宋体" w:eastAsia="宋体" w:cs="宋体"/>
          <w:b/>
          <w:color w:val="auto"/>
          <w:sz w:val="28"/>
          <w:szCs w:val="18"/>
          <w:highlight w:val="none"/>
          <w:lang w:val="zh-CN"/>
        </w:rPr>
        <w:br w:type="page"/>
      </w:r>
    </w:p>
    <w:p w14:paraId="284F708F">
      <w:pPr>
        <w:pStyle w:val="21"/>
        <w:spacing w:line="400" w:lineRule="exact"/>
        <w:jc w:val="left"/>
        <w:outlineLvl w:val="2"/>
        <w:rPr>
          <w:rFonts w:hint="eastAsia" w:ascii="宋体" w:hAnsi="宋体" w:eastAsia="宋体" w:cs="宋体"/>
          <w:b/>
          <w:color w:val="auto"/>
          <w:kern w:val="2"/>
          <w:sz w:val="28"/>
          <w:szCs w:val="18"/>
          <w:highlight w:val="none"/>
          <w:lang w:val="en-US" w:eastAsia="zh-CN" w:bidi="ar-SA"/>
        </w:rPr>
      </w:pPr>
      <w:r>
        <w:rPr>
          <w:rFonts w:hint="eastAsia" w:ascii="宋体" w:hAnsi="宋体" w:eastAsia="宋体" w:cs="宋体"/>
          <w:b/>
          <w:color w:val="auto"/>
          <w:kern w:val="2"/>
          <w:sz w:val="28"/>
          <w:szCs w:val="18"/>
          <w:highlight w:val="none"/>
          <w:lang w:val="en-US" w:eastAsia="zh-CN" w:bidi="ar-SA"/>
        </w:rPr>
        <w:t>2.9供应商类似业绩</w:t>
      </w:r>
    </w:p>
    <w:p w14:paraId="77CAB0E6">
      <w:pPr>
        <w:pStyle w:val="21"/>
        <w:spacing w:line="400" w:lineRule="exact"/>
        <w:jc w:val="center"/>
        <w:rPr>
          <w:rFonts w:hint="default" w:ascii="宋体" w:hAnsi="宋体" w:eastAsia="宋体" w:cs="Times New Roman"/>
          <w:b/>
          <w:color w:val="000000"/>
          <w:sz w:val="22"/>
          <w:lang w:val="en-US" w:eastAsia="zh-CN"/>
        </w:rPr>
      </w:pPr>
    </w:p>
    <w:p w14:paraId="6FFD7B7F">
      <w:pPr>
        <w:pStyle w:val="21"/>
        <w:spacing w:line="400" w:lineRule="exact"/>
        <w:jc w:val="center"/>
        <w:rPr>
          <w:rFonts w:hint="eastAsia" w:ascii="宋体" w:hAnsi="宋体" w:eastAsia="宋体" w:cs="Times New Roman"/>
          <w:b/>
          <w:color w:val="000000"/>
          <w:sz w:val="22"/>
        </w:rPr>
      </w:pPr>
      <w:r>
        <w:rPr>
          <w:rFonts w:hint="eastAsia" w:ascii="宋体" w:hAnsi="宋体" w:eastAsia="宋体" w:cs="Times New Roman"/>
          <w:b/>
          <w:color w:val="000000"/>
          <w:sz w:val="22"/>
        </w:rPr>
        <w:t>供应商类似业绩</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71843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2565A98">
            <w:pPr>
              <w:autoSpaceDE w:val="0"/>
              <w:autoSpaceDN w:val="0"/>
              <w:adjustRightInd w:val="0"/>
              <w:jc w:val="center"/>
              <w:rPr>
                <w:rFonts w:hint="eastAsia"/>
                <w:b/>
                <w:color w:val="000000"/>
                <w:sz w:val="22"/>
                <w:szCs w:val="22"/>
              </w:rPr>
            </w:pPr>
            <w:r>
              <w:rPr>
                <w:rFonts w:hint="eastAsia"/>
                <w:b/>
                <w:color w:val="000000"/>
                <w:sz w:val="22"/>
                <w:szCs w:val="22"/>
              </w:rPr>
              <w:t>序号</w:t>
            </w:r>
          </w:p>
        </w:tc>
        <w:tc>
          <w:tcPr>
            <w:tcW w:w="1041" w:type="dxa"/>
            <w:noWrap w:val="0"/>
            <w:vAlign w:val="center"/>
          </w:tcPr>
          <w:p w14:paraId="078430E9">
            <w:pPr>
              <w:autoSpaceDE w:val="0"/>
              <w:autoSpaceDN w:val="0"/>
              <w:adjustRightInd w:val="0"/>
              <w:jc w:val="center"/>
              <w:rPr>
                <w:rFonts w:hint="eastAsia"/>
                <w:b/>
                <w:color w:val="000000"/>
                <w:sz w:val="22"/>
                <w:szCs w:val="22"/>
              </w:rPr>
            </w:pPr>
            <w:r>
              <w:rPr>
                <w:rFonts w:hint="eastAsia"/>
                <w:b/>
                <w:color w:val="000000"/>
                <w:sz w:val="22"/>
                <w:szCs w:val="22"/>
              </w:rPr>
              <w:t>项目名称</w:t>
            </w:r>
          </w:p>
        </w:tc>
        <w:tc>
          <w:tcPr>
            <w:tcW w:w="1199" w:type="dxa"/>
            <w:noWrap w:val="0"/>
            <w:vAlign w:val="center"/>
          </w:tcPr>
          <w:p w14:paraId="04A8D422">
            <w:pPr>
              <w:autoSpaceDE w:val="0"/>
              <w:autoSpaceDN w:val="0"/>
              <w:adjustRightInd w:val="0"/>
              <w:jc w:val="center"/>
              <w:rPr>
                <w:rFonts w:hint="eastAsia"/>
                <w:b/>
                <w:color w:val="000000"/>
                <w:sz w:val="22"/>
                <w:szCs w:val="22"/>
              </w:rPr>
            </w:pPr>
            <w:r>
              <w:rPr>
                <w:rFonts w:hint="eastAsia"/>
                <w:b/>
                <w:color w:val="000000"/>
                <w:sz w:val="22"/>
                <w:szCs w:val="22"/>
              </w:rPr>
              <w:t>项目地址</w:t>
            </w:r>
          </w:p>
        </w:tc>
        <w:tc>
          <w:tcPr>
            <w:tcW w:w="970" w:type="dxa"/>
            <w:noWrap w:val="0"/>
            <w:vAlign w:val="center"/>
          </w:tcPr>
          <w:p w14:paraId="4D5D3EF7">
            <w:pPr>
              <w:autoSpaceDE w:val="0"/>
              <w:autoSpaceDN w:val="0"/>
              <w:adjustRightInd w:val="0"/>
              <w:jc w:val="center"/>
              <w:rPr>
                <w:rFonts w:hint="eastAsia"/>
                <w:b/>
                <w:color w:val="000000"/>
                <w:sz w:val="22"/>
                <w:szCs w:val="22"/>
              </w:rPr>
            </w:pPr>
            <w:r>
              <w:rPr>
                <w:rFonts w:hint="eastAsia"/>
                <w:b/>
                <w:color w:val="000000"/>
                <w:sz w:val="22"/>
                <w:szCs w:val="22"/>
              </w:rPr>
              <w:t>合同内容</w:t>
            </w:r>
          </w:p>
        </w:tc>
        <w:tc>
          <w:tcPr>
            <w:tcW w:w="966" w:type="dxa"/>
            <w:noWrap w:val="0"/>
            <w:vAlign w:val="center"/>
          </w:tcPr>
          <w:p w14:paraId="03FD83BB">
            <w:pPr>
              <w:autoSpaceDE w:val="0"/>
              <w:autoSpaceDN w:val="0"/>
              <w:adjustRightInd w:val="0"/>
              <w:jc w:val="center"/>
              <w:rPr>
                <w:rFonts w:hint="eastAsia"/>
                <w:b/>
                <w:color w:val="000000"/>
                <w:sz w:val="22"/>
                <w:szCs w:val="22"/>
              </w:rPr>
            </w:pPr>
            <w:r>
              <w:rPr>
                <w:rFonts w:hint="eastAsia"/>
                <w:b/>
                <w:color w:val="000000"/>
                <w:sz w:val="22"/>
                <w:szCs w:val="22"/>
              </w:rPr>
              <w:t>合同总价</w:t>
            </w:r>
          </w:p>
        </w:tc>
        <w:tc>
          <w:tcPr>
            <w:tcW w:w="1034" w:type="dxa"/>
            <w:noWrap w:val="0"/>
            <w:vAlign w:val="center"/>
          </w:tcPr>
          <w:p w14:paraId="255001C6">
            <w:pPr>
              <w:autoSpaceDE w:val="0"/>
              <w:autoSpaceDN w:val="0"/>
              <w:adjustRightInd w:val="0"/>
              <w:jc w:val="center"/>
              <w:rPr>
                <w:rFonts w:hint="eastAsia"/>
                <w:b/>
                <w:color w:val="000000"/>
                <w:sz w:val="22"/>
                <w:szCs w:val="22"/>
              </w:rPr>
            </w:pPr>
            <w:r>
              <w:rPr>
                <w:rFonts w:hint="eastAsia"/>
                <w:b/>
                <w:color w:val="000000"/>
                <w:sz w:val="22"/>
                <w:szCs w:val="22"/>
              </w:rPr>
              <w:t>签约日期</w:t>
            </w:r>
          </w:p>
        </w:tc>
        <w:tc>
          <w:tcPr>
            <w:tcW w:w="1695" w:type="dxa"/>
            <w:tcBorders>
              <w:right w:val="single" w:color="auto" w:sz="4" w:space="0"/>
            </w:tcBorders>
            <w:noWrap w:val="0"/>
            <w:vAlign w:val="center"/>
          </w:tcPr>
          <w:p w14:paraId="425F6DDD">
            <w:pPr>
              <w:autoSpaceDE w:val="0"/>
              <w:autoSpaceDN w:val="0"/>
              <w:adjustRightInd w:val="0"/>
              <w:jc w:val="center"/>
              <w:rPr>
                <w:rFonts w:hint="eastAsia"/>
                <w:b/>
                <w:color w:val="000000"/>
                <w:sz w:val="22"/>
                <w:szCs w:val="22"/>
              </w:rPr>
            </w:pPr>
            <w:r>
              <w:rPr>
                <w:rFonts w:hint="eastAsia"/>
                <w:b/>
                <w:color w:val="000000"/>
                <w:sz w:val="22"/>
                <w:szCs w:val="22"/>
              </w:rPr>
              <w:t>发包方联系人</w:t>
            </w:r>
          </w:p>
        </w:tc>
        <w:tc>
          <w:tcPr>
            <w:tcW w:w="1174" w:type="dxa"/>
            <w:tcBorders>
              <w:left w:val="single" w:color="auto" w:sz="4" w:space="0"/>
              <w:right w:val="single" w:color="auto" w:sz="4" w:space="0"/>
            </w:tcBorders>
            <w:noWrap w:val="0"/>
            <w:vAlign w:val="center"/>
          </w:tcPr>
          <w:p w14:paraId="66417BF8">
            <w:pPr>
              <w:autoSpaceDE w:val="0"/>
              <w:autoSpaceDN w:val="0"/>
              <w:adjustRightInd w:val="0"/>
              <w:jc w:val="center"/>
              <w:rPr>
                <w:rFonts w:hint="eastAsia"/>
                <w:b/>
                <w:color w:val="000000"/>
                <w:sz w:val="22"/>
                <w:szCs w:val="22"/>
              </w:rPr>
            </w:pPr>
            <w:r>
              <w:rPr>
                <w:rFonts w:hint="eastAsia"/>
                <w:b/>
                <w:color w:val="000000"/>
                <w:sz w:val="22"/>
                <w:szCs w:val="22"/>
              </w:rPr>
              <w:t>联系电话</w:t>
            </w:r>
          </w:p>
        </w:tc>
        <w:tc>
          <w:tcPr>
            <w:tcW w:w="1407" w:type="dxa"/>
            <w:tcBorders>
              <w:left w:val="single" w:color="auto" w:sz="4" w:space="0"/>
            </w:tcBorders>
            <w:noWrap w:val="0"/>
            <w:vAlign w:val="center"/>
          </w:tcPr>
          <w:p w14:paraId="2A2BE30F">
            <w:pPr>
              <w:autoSpaceDE w:val="0"/>
              <w:autoSpaceDN w:val="0"/>
              <w:adjustRightInd w:val="0"/>
              <w:jc w:val="center"/>
              <w:rPr>
                <w:rFonts w:hint="eastAsia"/>
                <w:b/>
                <w:color w:val="000000"/>
                <w:sz w:val="22"/>
                <w:szCs w:val="22"/>
              </w:rPr>
            </w:pPr>
            <w:r>
              <w:rPr>
                <w:rFonts w:hint="eastAsia"/>
                <w:b/>
                <w:color w:val="000000"/>
                <w:sz w:val="22"/>
                <w:szCs w:val="22"/>
              </w:rPr>
              <w:t>备注</w:t>
            </w:r>
          </w:p>
        </w:tc>
      </w:tr>
      <w:tr w14:paraId="23BDD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DCD3085">
            <w:pPr>
              <w:autoSpaceDE w:val="0"/>
              <w:autoSpaceDN w:val="0"/>
              <w:adjustRightInd w:val="0"/>
              <w:jc w:val="center"/>
              <w:rPr>
                <w:rFonts w:hint="eastAsia"/>
                <w:color w:val="000000"/>
              </w:rPr>
            </w:pPr>
          </w:p>
        </w:tc>
        <w:tc>
          <w:tcPr>
            <w:tcW w:w="1041" w:type="dxa"/>
            <w:noWrap w:val="0"/>
            <w:vAlign w:val="center"/>
          </w:tcPr>
          <w:p w14:paraId="58DA7DED">
            <w:pPr>
              <w:autoSpaceDE w:val="0"/>
              <w:autoSpaceDN w:val="0"/>
              <w:adjustRightInd w:val="0"/>
              <w:jc w:val="center"/>
              <w:rPr>
                <w:rFonts w:hint="eastAsia"/>
                <w:color w:val="000000"/>
              </w:rPr>
            </w:pPr>
          </w:p>
        </w:tc>
        <w:tc>
          <w:tcPr>
            <w:tcW w:w="1199" w:type="dxa"/>
            <w:noWrap w:val="0"/>
            <w:vAlign w:val="center"/>
          </w:tcPr>
          <w:p w14:paraId="6FF90993">
            <w:pPr>
              <w:autoSpaceDE w:val="0"/>
              <w:autoSpaceDN w:val="0"/>
              <w:adjustRightInd w:val="0"/>
              <w:jc w:val="center"/>
              <w:rPr>
                <w:rFonts w:hint="eastAsia"/>
                <w:color w:val="000000"/>
              </w:rPr>
            </w:pPr>
          </w:p>
        </w:tc>
        <w:tc>
          <w:tcPr>
            <w:tcW w:w="970" w:type="dxa"/>
            <w:noWrap w:val="0"/>
            <w:vAlign w:val="center"/>
          </w:tcPr>
          <w:p w14:paraId="59A6C79E">
            <w:pPr>
              <w:autoSpaceDE w:val="0"/>
              <w:autoSpaceDN w:val="0"/>
              <w:adjustRightInd w:val="0"/>
              <w:jc w:val="center"/>
              <w:rPr>
                <w:rFonts w:hint="eastAsia"/>
                <w:color w:val="000000"/>
              </w:rPr>
            </w:pPr>
          </w:p>
        </w:tc>
        <w:tc>
          <w:tcPr>
            <w:tcW w:w="966" w:type="dxa"/>
            <w:noWrap w:val="0"/>
            <w:vAlign w:val="center"/>
          </w:tcPr>
          <w:p w14:paraId="65D58468">
            <w:pPr>
              <w:autoSpaceDE w:val="0"/>
              <w:autoSpaceDN w:val="0"/>
              <w:adjustRightInd w:val="0"/>
              <w:jc w:val="center"/>
              <w:rPr>
                <w:rFonts w:hint="eastAsia"/>
                <w:color w:val="000000"/>
              </w:rPr>
            </w:pPr>
          </w:p>
        </w:tc>
        <w:tc>
          <w:tcPr>
            <w:tcW w:w="1034" w:type="dxa"/>
            <w:noWrap w:val="0"/>
            <w:vAlign w:val="center"/>
          </w:tcPr>
          <w:p w14:paraId="1D4E438D">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7DD14DA6">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27D490BA">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58E4CFD5">
            <w:pPr>
              <w:autoSpaceDE w:val="0"/>
              <w:autoSpaceDN w:val="0"/>
              <w:adjustRightInd w:val="0"/>
              <w:jc w:val="center"/>
              <w:rPr>
                <w:rFonts w:hint="eastAsia"/>
                <w:color w:val="000000"/>
              </w:rPr>
            </w:pPr>
          </w:p>
        </w:tc>
      </w:tr>
      <w:tr w14:paraId="71161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3164306A">
            <w:pPr>
              <w:autoSpaceDE w:val="0"/>
              <w:autoSpaceDN w:val="0"/>
              <w:adjustRightInd w:val="0"/>
              <w:jc w:val="center"/>
              <w:rPr>
                <w:rFonts w:hint="eastAsia"/>
                <w:color w:val="000000"/>
              </w:rPr>
            </w:pPr>
          </w:p>
        </w:tc>
        <w:tc>
          <w:tcPr>
            <w:tcW w:w="1041" w:type="dxa"/>
            <w:noWrap w:val="0"/>
            <w:vAlign w:val="center"/>
          </w:tcPr>
          <w:p w14:paraId="6FF701AB">
            <w:pPr>
              <w:autoSpaceDE w:val="0"/>
              <w:autoSpaceDN w:val="0"/>
              <w:adjustRightInd w:val="0"/>
              <w:jc w:val="center"/>
              <w:rPr>
                <w:rFonts w:hint="eastAsia"/>
                <w:color w:val="000000"/>
              </w:rPr>
            </w:pPr>
          </w:p>
        </w:tc>
        <w:tc>
          <w:tcPr>
            <w:tcW w:w="1199" w:type="dxa"/>
            <w:noWrap w:val="0"/>
            <w:vAlign w:val="center"/>
          </w:tcPr>
          <w:p w14:paraId="2E5F2954">
            <w:pPr>
              <w:autoSpaceDE w:val="0"/>
              <w:autoSpaceDN w:val="0"/>
              <w:adjustRightInd w:val="0"/>
              <w:jc w:val="center"/>
              <w:rPr>
                <w:rFonts w:hint="eastAsia"/>
                <w:color w:val="000000"/>
              </w:rPr>
            </w:pPr>
          </w:p>
        </w:tc>
        <w:tc>
          <w:tcPr>
            <w:tcW w:w="970" w:type="dxa"/>
            <w:noWrap w:val="0"/>
            <w:vAlign w:val="center"/>
          </w:tcPr>
          <w:p w14:paraId="3C999B61">
            <w:pPr>
              <w:autoSpaceDE w:val="0"/>
              <w:autoSpaceDN w:val="0"/>
              <w:adjustRightInd w:val="0"/>
              <w:jc w:val="center"/>
              <w:rPr>
                <w:rFonts w:hint="eastAsia"/>
                <w:color w:val="000000"/>
              </w:rPr>
            </w:pPr>
          </w:p>
        </w:tc>
        <w:tc>
          <w:tcPr>
            <w:tcW w:w="966" w:type="dxa"/>
            <w:noWrap w:val="0"/>
            <w:vAlign w:val="center"/>
          </w:tcPr>
          <w:p w14:paraId="32A8C15A">
            <w:pPr>
              <w:autoSpaceDE w:val="0"/>
              <w:autoSpaceDN w:val="0"/>
              <w:adjustRightInd w:val="0"/>
              <w:jc w:val="center"/>
              <w:rPr>
                <w:rFonts w:hint="eastAsia"/>
                <w:color w:val="000000"/>
              </w:rPr>
            </w:pPr>
          </w:p>
        </w:tc>
        <w:tc>
          <w:tcPr>
            <w:tcW w:w="1034" w:type="dxa"/>
            <w:noWrap w:val="0"/>
            <w:vAlign w:val="center"/>
          </w:tcPr>
          <w:p w14:paraId="10B863F8">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0E00F27D">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202C71A0">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7105E7B5">
            <w:pPr>
              <w:autoSpaceDE w:val="0"/>
              <w:autoSpaceDN w:val="0"/>
              <w:adjustRightInd w:val="0"/>
              <w:jc w:val="center"/>
              <w:rPr>
                <w:rFonts w:hint="eastAsia"/>
                <w:color w:val="000000"/>
              </w:rPr>
            </w:pPr>
          </w:p>
        </w:tc>
      </w:tr>
      <w:tr w14:paraId="33ECB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F8EB2A6">
            <w:pPr>
              <w:autoSpaceDE w:val="0"/>
              <w:autoSpaceDN w:val="0"/>
              <w:adjustRightInd w:val="0"/>
              <w:jc w:val="center"/>
              <w:rPr>
                <w:rFonts w:hint="eastAsia"/>
                <w:color w:val="000000"/>
              </w:rPr>
            </w:pPr>
          </w:p>
        </w:tc>
        <w:tc>
          <w:tcPr>
            <w:tcW w:w="1041" w:type="dxa"/>
            <w:noWrap w:val="0"/>
            <w:vAlign w:val="center"/>
          </w:tcPr>
          <w:p w14:paraId="073804F6">
            <w:pPr>
              <w:autoSpaceDE w:val="0"/>
              <w:autoSpaceDN w:val="0"/>
              <w:adjustRightInd w:val="0"/>
              <w:jc w:val="center"/>
              <w:rPr>
                <w:rFonts w:hint="eastAsia"/>
                <w:color w:val="000000"/>
              </w:rPr>
            </w:pPr>
          </w:p>
        </w:tc>
        <w:tc>
          <w:tcPr>
            <w:tcW w:w="1199" w:type="dxa"/>
            <w:noWrap w:val="0"/>
            <w:vAlign w:val="center"/>
          </w:tcPr>
          <w:p w14:paraId="29FEB087">
            <w:pPr>
              <w:autoSpaceDE w:val="0"/>
              <w:autoSpaceDN w:val="0"/>
              <w:adjustRightInd w:val="0"/>
              <w:jc w:val="center"/>
              <w:rPr>
                <w:rFonts w:hint="eastAsia"/>
                <w:color w:val="000000"/>
              </w:rPr>
            </w:pPr>
          </w:p>
        </w:tc>
        <w:tc>
          <w:tcPr>
            <w:tcW w:w="970" w:type="dxa"/>
            <w:noWrap w:val="0"/>
            <w:vAlign w:val="center"/>
          </w:tcPr>
          <w:p w14:paraId="368F3B03">
            <w:pPr>
              <w:autoSpaceDE w:val="0"/>
              <w:autoSpaceDN w:val="0"/>
              <w:adjustRightInd w:val="0"/>
              <w:jc w:val="center"/>
              <w:rPr>
                <w:rFonts w:hint="eastAsia"/>
                <w:color w:val="000000"/>
              </w:rPr>
            </w:pPr>
          </w:p>
        </w:tc>
        <w:tc>
          <w:tcPr>
            <w:tcW w:w="966" w:type="dxa"/>
            <w:noWrap w:val="0"/>
            <w:vAlign w:val="center"/>
          </w:tcPr>
          <w:p w14:paraId="48F9041C">
            <w:pPr>
              <w:autoSpaceDE w:val="0"/>
              <w:autoSpaceDN w:val="0"/>
              <w:adjustRightInd w:val="0"/>
              <w:jc w:val="center"/>
              <w:rPr>
                <w:rFonts w:hint="eastAsia"/>
                <w:color w:val="000000"/>
              </w:rPr>
            </w:pPr>
          </w:p>
        </w:tc>
        <w:tc>
          <w:tcPr>
            <w:tcW w:w="1034" w:type="dxa"/>
            <w:noWrap w:val="0"/>
            <w:vAlign w:val="center"/>
          </w:tcPr>
          <w:p w14:paraId="2A9C7E0F">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31AA8F1D">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22887161">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63143CA7">
            <w:pPr>
              <w:autoSpaceDE w:val="0"/>
              <w:autoSpaceDN w:val="0"/>
              <w:adjustRightInd w:val="0"/>
              <w:jc w:val="center"/>
              <w:rPr>
                <w:rFonts w:hint="eastAsia"/>
                <w:color w:val="000000"/>
              </w:rPr>
            </w:pPr>
          </w:p>
        </w:tc>
      </w:tr>
      <w:tr w14:paraId="50845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96847C7">
            <w:pPr>
              <w:autoSpaceDE w:val="0"/>
              <w:autoSpaceDN w:val="0"/>
              <w:adjustRightInd w:val="0"/>
              <w:jc w:val="center"/>
              <w:rPr>
                <w:rFonts w:hint="eastAsia"/>
                <w:color w:val="000000"/>
              </w:rPr>
            </w:pPr>
          </w:p>
        </w:tc>
        <w:tc>
          <w:tcPr>
            <w:tcW w:w="1041" w:type="dxa"/>
            <w:noWrap w:val="0"/>
            <w:vAlign w:val="center"/>
          </w:tcPr>
          <w:p w14:paraId="6679EFC3">
            <w:pPr>
              <w:autoSpaceDE w:val="0"/>
              <w:autoSpaceDN w:val="0"/>
              <w:adjustRightInd w:val="0"/>
              <w:jc w:val="center"/>
              <w:rPr>
                <w:rFonts w:hint="eastAsia"/>
                <w:color w:val="000000"/>
              </w:rPr>
            </w:pPr>
          </w:p>
        </w:tc>
        <w:tc>
          <w:tcPr>
            <w:tcW w:w="1199" w:type="dxa"/>
            <w:noWrap w:val="0"/>
            <w:vAlign w:val="center"/>
          </w:tcPr>
          <w:p w14:paraId="6CD6F302">
            <w:pPr>
              <w:autoSpaceDE w:val="0"/>
              <w:autoSpaceDN w:val="0"/>
              <w:adjustRightInd w:val="0"/>
              <w:jc w:val="center"/>
              <w:rPr>
                <w:rFonts w:hint="eastAsia"/>
                <w:color w:val="000000"/>
              </w:rPr>
            </w:pPr>
          </w:p>
        </w:tc>
        <w:tc>
          <w:tcPr>
            <w:tcW w:w="970" w:type="dxa"/>
            <w:noWrap w:val="0"/>
            <w:vAlign w:val="center"/>
          </w:tcPr>
          <w:p w14:paraId="2607BDED">
            <w:pPr>
              <w:autoSpaceDE w:val="0"/>
              <w:autoSpaceDN w:val="0"/>
              <w:adjustRightInd w:val="0"/>
              <w:jc w:val="center"/>
              <w:rPr>
                <w:rFonts w:hint="eastAsia"/>
                <w:color w:val="000000"/>
              </w:rPr>
            </w:pPr>
          </w:p>
        </w:tc>
        <w:tc>
          <w:tcPr>
            <w:tcW w:w="966" w:type="dxa"/>
            <w:noWrap w:val="0"/>
            <w:vAlign w:val="center"/>
          </w:tcPr>
          <w:p w14:paraId="03A8F5F3">
            <w:pPr>
              <w:autoSpaceDE w:val="0"/>
              <w:autoSpaceDN w:val="0"/>
              <w:adjustRightInd w:val="0"/>
              <w:jc w:val="center"/>
              <w:rPr>
                <w:rFonts w:hint="eastAsia"/>
                <w:color w:val="000000"/>
              </w:rPr>
            </w:pPr>
          </w:p>
        </w:tc>
        <w:tc>
          <w:tcPr>
            <w:tcW w:w="1034" w:type="dxa"/>
            <w:noWrap w:val="0"/>
            <w:vAlign w:val="center"/>
          </w:tcPr>
          <w:p w14:paraId="2E3E28AD">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3C403405">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14CFB1F6">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7E06F6CA">
            <w:pPr>
              <w:autoSpaceDE w:val="0"/>
              <w:autoSpaceDN w:val="0"/>
              <w:adjustRightInd w:val="0"/>
              <w:jc w:val="center"/>
              <w:rPr>
                <w:rFonts w:hint="eastAsia"/>
                <w:color w:val="000000"/>
              </w:rPr>
            </w:pPr>
          </w:p>
        </w:tc>
      </w:tr>
      <w:tr w14:paraId="79C1B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2951FAA9">
            <w:pPr>
              <w:autoSpaceDE w:val="0"/>
              <w:autoSpaceDN w:val="0"/>
              <w:adjustRightInd w:val="0"/>
              <w:jc w:val="center"/>
              <w:rPr>
                <w:rFonts w:hint="eastAsia"/>
                <w:color w:val="000000"/>
              </w:rPr>
            </w:pPr>
          </w:p>
        </w:tc>
        <w:tc>
          <w:tcPr>
            <w:tcW w:w="1041" w:type="dxa"/>
            <w:noWrap w:val="0"/>
            <w:vAlign w:val="center"/>
          </w:tcPr>
          <w:p w14:paraId="4067320C">
            <w:pPr>
              <w:autoSpaceDE w:val="0"/>
              <w:autoSpaceDN w:val="0"/>
              <w:adjustRightInd w:val="0"/>
              <w:jc w:val="center"/>
              <w:rPr>
                <w:rFonts w:hint="eastAsia"/>
                <w:color w:val="000000"/>
              </w:rPr>
            </w:pPr>
          </w:p>
        </w:tc>
        <w:tc>
          <w:tcPr>
            <w:tcW w:w="1199" w:type="dxa"/>
            <w:noWrap w:val="0"/>
            <w:vAlign w:val="center"/>
          </w:tcPr>
          <w:p w14:paraId="2580CB9C">
            <w:pPr>
              <w:autoSpaceDE w:val="0"/>
              <w:autoSpaceDN w:val="0"/>
              <w:adjustRightInd w:val="0"/>
              <w:jc w:val="center"/>
              <w:rPr>
                <w:rFonts w:hint="eastAsia"/>
                <w:color w:val="000000"/>
              </w:rPr>
            </w:pPr>
          </w:p>
        </w:tc>
        <w:tc>
          <w:tcPr>
            <w:tcW w:w="970" w:type="dxa"/>
            <w:noWrap w:val="0"/>
            <w:vAlign w:val="center"/>
          </w:tcPr>
          <w:p w14:paraId="7D97F1CC">
            <w:pPr>
              <w:autoSpaceDE w:val="0"/>
              <w:autoSpaceDN w:val="0"/>
              <w:adjustRightInd w:val="0"/>
              <w:jc w:val="center"/>
              <w:rPr>
                <w:rFonts w:hint="eastAsia"/>
                <w:color w:val="000000"/>
              </w:rPr>
            </w:pPr>
          </w:p>
        </w:tc>
        <w:tc>
          <w:tcPr>
            <w:tcW w:w="966" w:type="dxa"/>
            <w:noWrap w:val="0"/>
            <w:vAlign w:val="center"/>
          </w:tcPr>
          <w:p w14:paraId="55778DF6">
            <w:pPr>
              <w:autoSpaceDE w:val="0"/>
              <w:autoSpaceDN w:val="0"/>
              <w:adjustRightInd w:val="0"/>
              <w:jc w:val="center"/>
              <w:rPr>
                <w:rFonts w:hint="eastAsia"/>
                <w:color w:val="000000"/>
              </w:rPr>
            </w:pPr>
          </w:p>
        </w:tc>
        <w:tc>
          <w:tcPr>
            <w:tcW w:w="1034" w:type="dxa"/>
            <w:noWrap w:val="0"/>
            <w:vAlign w:val="center"/>
          </w:tcPr>
          <w:p w14:paraId="04AB51F6">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0BDDB76C">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00539513">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6F258F67">
            <w:pPr>
              <w:autoSpaceDE w:val="0"/>
              <w:autoSpaceDN w:val="0"/>
              <w:adjustRightInd w:val="0"/>
              <w:jc w:val="center"/>
              <w:rPr>
                <w:rFonts w:hint="eastAsia"/>
                <w:color w:val="000000"/>
              </w:rPr>
            </w:pPr>
          </w:p>
        </w:tc>
      </w:tr>
      <w:tr w14:paraId="77077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063FFB8">
            <w:pPr>
              <w:autoSpaceDE w:val="0"/>
              <w:autoSpaceDN w:val="0"/>
              <w:adjustRightInd w:val="0"/>
              <w:jc w:val="center"/>
              <w:rPr>
                <w:rFonts w:hint="eastAsia"/>
                <w:color w:val="000000"/>
              </w:rPr>
            </w:pPr>
          </w:p>
        </w:tc>
        <w:tc>
          <w:tcPr>
            <w:tcW w:w="1041" w:type="dxa"/>
            <w:noWrap w:val="0"/>
            <w:vAlign w:val="center"/>
          </w:tcPr>
          <w:p w14:paraId="253E71EB">
            <w:pPr>
              <w:autoSpaceDE w:val="0"/>
              <w:autoSpaceDN w:val="0"/>
              <w:adjustRightInd w:val="0"/>
              <w:jc w:val="center"/>
              <w:rPr>
                <w:rFonts w:hint="eastAsia"/>
                <w:color w:val="000000"/>
              </w:rPr>
            </w:pPr>
          </w:p>
        </w:tc>
        <w:tc>
          <w:tcPr>
            <w:tcW w:w="1199" w:type="dxa"/>
            <w:noWrap w:val="0"/>
            <w:vAlign w:val="center"/>
          </w:tcPr>
          <w:p w14:paraId="0682D8E8">
            <w:pPr>
              <w:autoSpaceDE w:val="0"/>
              <w:autoSpaceDN w:val="0"/>
              <w:adjustRightInd w:val="0"/>
              <w:jc w:val="center"/>
              <w:rPr>
                <w:rFonts w:hint="eastAsia"/>
                <w:color w:val="000000"/>
              </w:rPr>
            </w:pPr>
          </w:p>
        </w:tc>
        <w:tc>
          <w:tcPr>
            <w:tcW w:w="970" w:type="dxa"/>
            <w:noWrap w:val="0"/>
            <w:vAlign w:val="center"/>
          </w:tcPr>
          <w:p w14:paraId="72A6B2E9">
            <w:pPr>
              <w:autoSpaceDE w:val="0"/>
              <w:autoSpaceDN w:val="0"/>
              <w:adjustRightInd w:val="0"/>
              <w:jc w:val="center"/>
              <w:rPr>
                <w:rFonts w:hint="eastAsia"/>
                <w:color w:val="000000"/>
              </w:rPr>
            </w:pPr>
          </w:p>
        </w:tc>
        <w:tc>
          <w:tcPr>
            <w:tcW w:w="966" w:type="dxa"/>
            <w:noWrap w:val="0"/>
            <w:vAlign w:val="center"/>
          </w:tcPr>
          <w:p w14:paraId="6EE0B4BC">
            <w:pPr>
              <w:autoSpaceDE w:val="0"/>
              <w:autoSpaceDN w:val="0"/>
              <w:adjustRightInd w:val="0"/>
              <w:jc w:val="center"/>
              <w:rPr>
                <w:rFonts w:hint="eastAsia"/>
                <w:color w:val="000000"/>
              </w:rPr>
            </w:pPr>
          </w:p>
        </w:tc>
        <w:tc>
          <w:tcPr>
            <w:tcW w:w="1034" w:type="dxa"/>
            <w:noWrap w:val="0"/>
            <w:vAlign w:val="center"/>
          </w:tcPr>
          <w:p w14:paraId="024672E7">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6F92C365">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11A6AC92">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09730E44">
            <w:pPr>
              <w:autoSpaceDE w:val="0"/>
              <w:autoSpaceDN w:val="0"/>
              <w:adjustRightInd w:val="0"/>
              <w:jc w:val="center"/>
              <w:rPr>
                <w:rFonts w:hint="eastAsia"/>
                <w:color w:val="000000"/>
              </w:rPr>
            </w:pPr>
          </w:p>
        </w:tc>
      </w:tr>
      <w:tr w14:paraId="1DF32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F9D9FC8">
            <w:pPr>
              <w:autoSpaceDE w:val="0"/>
              <w:autoSpaceDN w:val="0"/>
              <w:adjustRightInd w:val="0"/>
              <w:jc w:val="center"/>
              <w:rPr>
                <w:rFonts w:hint="eastAsia"/>
                <w:color w:val="000000"/>
              </w:rPr>
            </w:pPr>
          </w:p>
        </w:tc>
        <w:tc>
          <w:tcPr>
            <w:tcW w:w="1041" w:type="dxa"/>
            <w:noWrap w:val="0"/>
            <w:vAlign w:val="center"/>
          </w:tcPr>
          <w:p w14:paraId="1C89922D">
            <w:pPr>
              <w:autoSpaceDE w:val="0"/>
              <w:autoSpaceDN w:val="0"/>
              <w:adjustRightInd w:val="0"/>
              <w:jc w:val="center"/>
              <w:rPr>
                <w:rFonts w:hint="eastAsia"/>
                <w:color w:val="000000"/>
              </w:rPr>
            </w:pPr>
          </w:p>
        </w:tc>
        <w:tc>
          <w:tcPr>
            <w:tcW w:w="1199" w:type="dxa"/>
            <w:noWrap w:val="0"/>
            <w:vAlign w:val="center"/>
          </w:tcPr>
          <w:p w14:paraId="06F1CE45">
            <w:pPr>
              <w:autoSpaceDE w:val="0"/>
              <w:autoSpaceDN w:val="0"/>
              <w:adjustRightInd w:val="0"/>
              <w:jc w:val="center"/>
              <w:rPr>
                <w:rFonts w:hint="eastAsia"/>
                <w:color w:val="000000"/>
              </w:rPr>
            </w:pPr>
          </w:p>
        </w:tc>
        <w:tc>
          <w:tcPr>
            <w:tcW w:w="970" w:type="dxa"/>
            <w:noWrap w:val="0"/>
            <w:vAlign w:val="center"/>
          </w:tcPr>
          <w:p w14:paraId="427FF054">
            <w:pPr>
              <w:autoSpaceDE w:val="0"/>
              <w:autoSpaceDN w:val="0"/>
              <w:adjustRightInd w:val="0"/>
              <w:jc w:val="center"/>
              <w:rPr>
                <w:rFonts w:hint="eastAsia"/>
                <w:color w:val="000000"/>
              </w:rPr>
            </w:pPr>
          </w:p>
        </w:tc>
        <w:tc>
          <w:tcPr>
            <w:tcW w:w="966" w:type="dxa"/>
            <w:noWrap w:val="0"/>
            <w:vAlign w:val="center"/>
          </w:tcPr>
          <w:p w14:paraId="04606E69">
            <w:pPr>
              <w:autoSpaceDE w:val="0"/>
              <w:autoSpaceDN w:val="0"/>
              <w:adjustRightInd w:val="0"/>
              <w:jc w:val="center"/>
              <w:rPr>
                <w:rFonts w:hint="eastAsia"/>
                <w:color w:val="000000"/>
              </w:rPr>
            </w:pPr>
          </w:p>
        </w:tc>
        <w:tc>
          <w:tcPr>
            <w:tcW w:w="1034" w:type="dxa"/>
            <w:noWrap w:val="0"/>
            <w:vAlign w:val="center"/>
          </w:tcPr>
          <w:p w14:paraId="1F724E13">
            <w:pPr>
              <w:autoSpaceDE w:val="0"/>
              <w:autoSpaceDN w:val="0"/>
              <w:adjustRightInd w:val="0"/>
              <w:jc w:val="center"/>
              <w:rPr>
                <w:rFonts w:hint="eastAsia"/>
                <w:color w:val="000000"/>
              </w:rPr>
            </w:pPr>
          </w:p>
        </w:tc>
        <w:tc>
          <w:tcPr>
            <w:tcW w:w="1695" w:type="dxa"/>
            <w:tcBorders>
              <w:right w:val="single" w:color="auto" w:sz="4" w:space="0"/>
            </w:tcBorders>
            <w:noWrap w:val="0"/>
            <w:vAlign w:val="center"/>
          </w:tcPr>
          <w:p w14:paraId="44C24144">
            <w:pPr>
              <w:autoSpaceDE w:val="0"/>
              <w:autoSpaceDN w:val="0"/>
              <w:adjustRightInd w:val="0"/>
              <w:jc w:val="center"/>
              <w:rPr>
                <w:rFonts w:hint="eastAsia"/>
                <w:color w:val="000000"/>
              </w:rPr>
            </w:pPr>
          </w:p>
        </w:tc>
        <w:tc>
          <w:tcPr>
            <w:tcW w:w="1174" w:type="dxa"/>
            <w:tcBorders>
              <w:left w:val="single" w:color="auto" w:sz="4" w:space="0"/>
              <w:right w:val="single" w:color="auto" w:sz="4" w:space="0"/>
            </w:tcBorders>
            <w:noWrap w:val="0"/>
            <w:vAlign w:val="center"/>
          </w:tcPr>
          <w:p w14:paraId="4A7F2AB8">
            <w:pPr>
              <w:autoSpaceDE w:val="0"/>
              <w:autoSpaceDN w:val="0"/>
              <w:adjustRightInd w:val="0"/>
              <w:jc w:val="center"/>
              <w:rPr>
                <w:rFonts w:hint="eastAsia"/>
                <w:color w:val="000000"/>
              </w:rPr>
            </w:pPr>
          </w:p>
        </w:tc>
        <w:tc>
          <w:tcPr>
            <w:tcW w:w="1407" w:type="dxa"/>
            <w:tcBorders>
              <w:left w:val="single" w:color="auto" w:sz="4" w:space="0"/>
            </w:tcBorders>
            <w:noWrap w:val="0"/>
            <w:vAlign w:val="center"/>
          </w:tcPr>
          <w:p w14:paraId="3EF34D5A">
            <w:pPr>
              <w:autoSpaceDE w:val="0"/>
              <w:autoSpaceDN w:val="0"/>
              <w:adjustRightInd w:val="0"/>
              <w:jc w:val="center"/>
              <w:rPr>
                <w:rFonts w:hint="eastAsia"/>
                <w:color w:val="000000"/>
              </w:rPr>
            </w:pPr>
          </w:p>
        </w:tc>
      </w:tr>
    </w:tbl>
    <w:p w14:paraId="186A50FA">
      <w:pPr>
        <w:rPr>
          <w:rFonts w:hint="eastAsia"/>
          <w:b/>
          <w:color w:val="000000"/>
          <w:sz w:val="22"/>
          <w:szCs w:val="22"/>
        </w:rPr>
      </w:pPr>
      <w:r>
        <w:rPr>
          <w:rFonts w:hint="eastAsia"/>
          <w:b/>
          <w:color w:val="000000"/>
          <w:sz w:val="22"/>
          <w:szCs w:val="22"/>
        </w:rPr>
        <w:t>注：1、按评标细则要求提供</w:t>
      </w:r>
      <w:r>
        <w:rPr>
          <w:rFonts w:hint="eastAsia"/>
          <w:color w:val="000000"/>
          <w:sz w:val="22"/>
          <w:szCs w:val="22"/>
        </w:rPr>
        <w:t>。</w:t>
      </w:r>
    </w:p>
    <w:p w14:paraId="0F004437">
      <w:pPr>
        <w:pStyle w:val="21"/>
        <w:spacing w:line="400" w:lineRule="atLeast"/>
        <w:rPr>
          <w:rFonts w:hint="eastAsia" w:hAnsi="宋体"/>
          <w:b/>
          <w:color w:val="000000"/>
          <w:sz w:val="22"/>
          <w:szCs w:val="22"/>
        </w:rPr>
      </w:pPr>
    </w:p>
    <w:p w14:paraId="14D6ACCB">
      <w:pPr>
        <w:pStyle w:val="21"/>
        <w:spacing w:line="400" w:lineRule="atLeast"/>
        <w:rPr>
          <w:rFonts w:hint="eastAsia" w:hAnsi="宋体"/>
          <w:b/>
          <w:color w:val="000000"/>
          <w:sz w:val="22"/>
          <w:szCs w:val="22"/>
        </w:rPr>
      </w:pPr>
    </w:p>
    <w:p w14:paraId="069332B8">
      <w:pPr>
        <w:pStyle w:val="21"/>
        <w:spacing w:line="400" w:lineRule="atLeast"/>
        <w:rPr>
          <w:rFonts w:hint="eastAsia" w:hAnsi="宋体"/>
          <w:b/>
          <w:color w:val="000000"/>
          <w:sz w:val="22"/>
          <w:szCs w:val="22"/>
        </w:rPr>
      </w:pPr>
    </w:p>
    <w:p w14:paraId="28A66958">
      <w:pPr>
        <w:pStyle w:val="21"/>
        <w:spacing w:line="400" w:lineRule="exact"/>
        <w:rPr>
          <w:rFonts w:hint="eastAsia" w:hAnsi="宋体"/>
          <w:b/>
          <w:color w:val="000000"/>
          <w:sz w:val="22"/>
        </w:rPr>
      </w:pPr>
      <w:r>
        <w:rPr>
          <w:rFonts w:hint="eastAsia" w:hAnsi="宋体"/>
          <w:b/>
          <w:color w:val="000000"/>
          <w:sz w:val="22"/>
        </w:rPr>
        <w:t>供应商名称（盖章）：</w:t>
      </w:r>
    </w:p>
    <w:p w14:paraId="0A2DFE91">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6A4AEC0D">
      <w:pPr>
        <w:pStyle w:val="21"/>
        <w:spacing w:line="400" w:lineRule="exact"/>
        <w:rPr>
          <w:rFonts w:hint="eastAsia" w:hAnsi="宋体"/>
          <w:b/>
          <w:color w:val="000000"/>
          <w:sz w:val="22"/>
        </w:rPr>
      </w:pPr>
      <w:r>
        <w:rPr>
          <w:rFonts w:hint="eastAsia" w:hAnsi="宋体"/>
          <w:b/>
          <w:color w:val="000000"/>
          <w:sz w:val="22"/>
        </w:rPr>
        <w:t>日    期：</w:t>
      </w:r>
    </w:p>
    <w:p w14:paraId="2AE7896D">
      <w:pPr>
        <w:rPr>
          <w:rFonts w:hint="eastAsia" w:ascii="宋体" w:hAnsi="宋体" w:eastAsia="宋体" w:cs="宋体"/>
          <w:b/>
          <w:color w:val="auto"/>
          <w:sz w:val="28"/>
          <w:szCs w:val="18"/>
          <w:highlight w:val="none"/>
          <w:lang w:val="zh-CN"/>
        </w:rPr>
      </w:pPr>
      <w:r>
        <w:rPr>
          <w:rFonts w:hint="eastAsia" w:ascii="宋体" w:hAnsi="宋体" w:eastAsia="宋体" w:cs="宋体"/>
          <w:b/>
          <w:color w:val="auto"/>
          <w:sz w:val="28"/>
          <w:szCs w:val="18"/>
          <w:highlight w:val="none"/>
          <w:lang w:val="zh-CN"/>
        </w:rPr>
        <w:br w:type="page"/>
      </w:r>
    </w:p>
    <w:p w14:paraId="1B53AB45">
      <w:pPr>
        <w:spacing w:line="500" w:lineRule="exact"/>
        <w:outlineLvl w:val="2"/>
        <w:rPr>
          <w:rFonts w:hint="eastAsia" w:ascii="宋体" w:hAnsi="宋体" w:eastAsia="宋体" w:cs="宋体"/>
          <w:b/>
          <w:color w:val="auto"/>
          <w:sz w:val="28"/>
          <w:szCs w:val="18"/>
          <w:highlight w:val="none"/>
          <w:lang w:val="zh-CN"/>
        </w:rPr>
      </w:pPr>
      <w:r>
        <w:rPr>
          <w:rFonts w:hint="eastAsia" w:ascii="宋体" w:hAnsi="宋体" w:cs="宋体"/>
          <w:b/>
          <w:color w:val="auto"/>
          <w:sz w:val="28"/>
          <w:szCs w:val="18"/>
          <w:highlight w:val="none"/>
          <w:lang w:val="en-US" w:eastAsia="zh-CN"/>
        </w:rPr>
        <w:t>2.10</w:t>
      </w:r>
      <w:r>
        <w:rPr>
          <w:rFonts w:hint="eastAsia" w:ascii="宋体" w:hAnsi="宋体" w:eastAsia="宋体" w:cs="宋体"/>
          <w:b/>
          <w:color w:val="auto"/>
          <w:sz w:val="28"/>
          <w:szCs w:val="18"/>
          <w:highlight w:val="none"/>
          <w:lang w:val="zh-CN"/>
        </w:rPr>
        <w:t>供应商认为有必要提供的其他材料或说明（如有）</w:t>
      </w:r>
    </w:p>
    <w:p w14:paraId="130CBD4D">
      <w:pPr>
        <w:outlineLvl w:val="9"/>
        <w:rPr>
          <w:rFonts w:hint="eastAsia" w:ascii="宋体" w:hAnsi="宋体" w:eastAsia="宋体" w:cs="宋体"/>
          <w:color w:val="auto"/>
          <w:highlight w:val="none"/>
        </w:rPr>
      </w:pPr>
    </w:p>
    <w:p w14:paraId="1815D38F">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供应商认为有必要提供的其他材料或说明</w:t>
      </w:r>
    </w:p>
    <w:p w14:paraId="285A8855">
      <w:pPr>
        <w:spacing w:line="360" w:lineRule="auto"/>
        <w:rPr>
          <w:rFonts w:hint="default" w:ascii="宋体" w:hAnsi="宋体" w:eastAsia="宋体" w:cs="宋体"/>
          <w:b/>
          <w:color w:val="auto"/>
          <w:szCs w:val="22"/>
          <w:highlight w:val="none"/>
          <w:u w:val="single"/>
          <w:lang w:val="en-US" w:eastAsia="zh-CN"/>
        </w:rPr>
      </w:pPr>
      <w:r>
        <w:rPr>
          <w:rFonts w:hint="eastAsia" w:ascii="宋体" w:hAnsi="宋体" w:eastAsia="宋体" w:cs="宋体"/>
          <w:b/>
          <w:color w:val="auto"/>
          <w:szCs w:val="22"/>
          <w:highlight w:val="none"/>
        </w:rPr>
        <w:t>项目名称：</w:t>
      </w:r>
      <w:r>
        <w:rPr>
          <w:rFonts w:hint="eastAsia" w:ascii="宋体" w:hAnsi="宋体" w:eastAsia="宋体" w:cs="宋体"/>
          <w:b/>
          <w:color w:val="auto"/>
          <w:szCs w:val="22"/>
          <w:highlight w:val="none"/>
          <w:u w:val="single"/>
          <w:lang w:val="en-US" w:eastAsia="zh-CN"/>
        </w:rPr>
        <w:t xml:space="preserve">                   </w:t>
      </w:r>
    </w:p>
    <w:p w14:paraId="277F3689">
      <w:pPr>
        <w:spacing w:line="360" w:lineRule="auto"/>
        <w:rPr>
          <w:rFonts w:hint="eastAsia" w:ascii="宋体" w:hAnsi="宋体" w:eastAsia="宋体" w:cs="宋体"/>
          <w:b/>
          <w:color w:val="auto"/>
          <w:highlight w:val="none"/>
          <w:u w:val="single"/>
          <w:lang w:eastAsia="zh-CN"/>
        </w:rPr>
      </w:pPr>
      <w:r>
        <w:rPr>
          <w:rFonts w:hint="eastAsia" w:ascii="宋体" w:hAnsi="宋体" w:eastAsia="宋体" w:cs="宋体"/>
          <w:b/>
          <w:color w:val="auto"/>
          <w:szCs w:val="22"/>
          <w:highlight w:val="none"/>
        </w:rPr>
        <w:t>项目编号：</w:t>
      </w:r>
      <w:r>
        <w:rPr>
          <w:rFonts w:hint="eastAsia" w:ascii="宋体" w:hAnsi="宋体" w:eastAsia="宋体" w:cs="宋体"/>
          <w:b/>
          <w:color w:val="auto"/>
          <w:szCs w:val="22"/>
          <w:highlight w:val="none"/>
          <w:u w:val="single"/>
        </w:rPr>
        <w:t xml:space="preserve">     </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 xml:space="preserve">              </w:t>
      </w:r>
    </w:p>
    <w:tbl>
      <w:tblPr>
        <w:tblStyle w:val="3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8880"/>
      </w:tblGrid>
      <w:tr w14:paraId="20C89998">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712" w:hRule="atLeast"/>
        </w:trPr>
        <w:tc>
          <w:tcPr>
            <w:tcW w:w="8880" w:type="dxa"/>
            <w:noWrap w:val="0"/>
            <w:vAlign w:val="top"/>
          </w:tcPr>
          <w:p w14:paraId="71794AD8">
            <w:pPr>
              <w:spacing w:line="360" w:lineRule="auto"/>
              <w:rPr>
                <w:rFonts w:hint="eastAsia" w:ascii="宋体" w:hAnsi="宋体" w:eastAsia="宋体" w:cs="宋体"/>
                <w:color w:val="auto"/>
                <w:szCs w:val="21"/>
                <w:highlight w:val="none"/>
              </w:rPr>
            </w:pPr>
          </w:p>
        </w:tc>
      </w:tr>
    </w:tbl>
    <w:p w14:paraId="5D1FF163">
      <w:pPr>
        <w:pStyle w:val="21"/>
        <w:spacing w:line="400" w:lineRule="exact"/>
        <w:rPr>
          <w:rFonts w:hint="eastAsia" w:hAnsi="宋体"/>
          <w:b/>
          <w:color w:val="000000"/>
          <w:sz w:val="22"/>
        </w:rPr>
      </w:pPr>
      <w:r>
        <w:rPr>
          <w:rFonts w:hint="eastAsia" w:hAnsi="宋体"/>
          <w:b/>
          <w:color w:val="000000"/>
          <w:sz w:val="22"/>
        </w:rPr>
        <w:t>供应商名称（盖章）：</w:t>
      </w:r>
    </w:p>
    <w:p w14:paraId="780D3353">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53DEBBBC">
      <w:pPr>
        <w:pStyle w:val="21"/>
        <w:spacing w:line="400" w:lineRule="exact"/>
        <w:rPr>
          <w:rFonts w:hint="eastAsia" w:hAnsi="宋体"/>
          <w:b/>
          <w:color w:val="000000"/>
          <w:sz w:val="22"/>
        </w:rPr>
      </w:pPr>
      <w:r>
        <w:rPr>
          <w:rFonts w:hint="eastAsia" w:hAnsi="宋体"/>
          <w:b/>
          <w:color w:val="000000"/>
          <w:sz w:val="22"/>
        </w:rPr>
        <w:t>日    期：</w:t>
      </w:r>
    </w:p>
    <w:p w14:paraId="6BE8E9BC">
      <w:pPr>
        <w:tabs>
          <w:tab w:val="left" w:pos="1575"/>
        </w:tabs>
        <w:adjustRightInd w:val="0"/>
        <w:snapToGrid w:val="0"/>
        <w:spacing w:line="360" w:lineRule="auto"/>
        <w:jc w:val="center"/>
        <w:rPr>
          <w:rFonts w:hint="eastAsia" w:ascii="宋体" w:hAnsi="宋体" w:eastAsia="宋体" w:cs="宋体"/>
          <w:b/>
          <w:color w:val="auto"/>
          <w:sz w:val="36"/>
          <w:szCs w:val="36"/>
          <w:highlight w:val="none"/>
        </w:rPr>
      </w:pPr>
    </w:p>
    <w:p w14:paraId="7006AA26">
      <w:pPr>
        <w:pStyle w:val="6"/>
        <w:rPr>
          <w:rFonts w:hint="eastAsia"/>
          <w:b w:val="0"/>
          <w:color w:val="auto"/>
          <w:highlight w:val="none"/>
        </w:rPr>
      </w:pPr>
      <w:r>
        <w:rPr>
          <w:rFonts w:hint="eastAsia" w:eastAsia="宋体" w:cs="宋体"/>
          <w:b/>
          <w:color w:val="auto"/>
          <w:sz w:val="32"/>
          <w:highlight w:val="none"/>
          <w:lang w:val="en-US" w:eastAsia="zh-CN"/>
        </w:rPr>
        <w:br w:type="page"/>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报价文件</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格式</w:t>
      </w:r>
    </w:p>
    <w:p w14:paraId="1160F902">
      <w:pPr>
        <w:pStyle w:val="7"/>
        <w:outlineLvl w:val="2"/>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报价文件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封面</w:t>
      </w:r>
    </w:p>
    <w:p w14:paraId="668EB8D6">
      <w:pPr>
        <w:spacing w:line="360" w:lineRule="auto"/>
        <w:jc w:val="right"/>
        <w:rPr>
          <w:rFonts w:hint="eastAsia"/>
          <w:b/>
          <w:color w:val="auto"/>
          <w:sz w:val="32"/>
          <w:szCs w:val="22"/>
          <w:highlight w:val="none"/>
        </w:rPr>
      </w:pPr>
    </w:p>
    <w:p w14:paraId="3986FB43">
      <w:pPr>
        <w:spacing w:line="276" w:lineRule="auto"/>
        <w:jc w:val="center"/>
        <w:rPr>
          <w:rFonts w:hint="eastAsia" w:eastAsia="宋体"/>
          <w:b/>
          <w:color w:val="auto"/>
          <w:w w:val="80"/>
          <w:sz w:val="52"/>
          <w:szCs w:val="22"/>
          <w:highlight w:val="none"/>
          <w:lang w:eastAsia="zh-CN"/>
        </w:rPr>
      </w:pPr>
      <w:r>
        <w:rPr>
          <w:rFonts w:hint="eastAsia"/>
          <w:b/>
          <w:color w:val="auto"/>
          <w:w w:val="90"/>
          <w:sz w:val="44"/>
          <w:szCs w:val="22"/>
          <w:highlight w:val="none"/>
          <w:lang w:eastAsia="zh-CN"/>
        </w:rPr>
        <w:t>苍南县灵溪镇2026年度除四害消杀服务采购项目</w:t>
      </w:r>
    </w:p>
    <w:p w14:paraId="0B18AAD0">
      <w:pPr>
        <w:spacing w:line="360" w:lineRule="auto"/>
        <w:jc w:val="center"/>
        <w:rPr>
          <w:rFonts w:hint="eastAsia"/>
          <w:b/>
          <w:color w:val="auto"/>
          <w:sz w:val="52"/>
          <w:szCs w:val="22"/>
          <w:highlight w:val="none"/>
        </w:rPr>
      </w:pPr>
    </w:p>
    <w:p w14:paraId="64D5517C">
      <w:pPr>
        <w:spacing w:line="276" w:lineRule="auto"/>
        <w:jc w:val="center"/>
        <w:rPr>
          <w:rFonts w:hint="eastAsia"/>
          <w:color w:val="auto"/>
          <w:sz w:val="96"/>
          <w:szCs w:val="22"/>
          <w:highlight w:val="none"/>
        </w:rPr>
      </w:pPr>
      <w:r>
        <w:rPr>
          <w:rFonts w:hint="eastAsia"/>
          <w:color w:val="auto"/>
          <w:sz w:val="96"/>
          <w:szCs w:val="22"/>
          <w:highlight w:val="none"/>
        </w:rPr>
        <w:t>投 标 文 件</w:t>
      </w:r>
    </w:p>
    <w:p w14:paraId="14009665">
      <w:pPr>
        <w:spacing w:line="360" w:lineRule="auto"/>
        <w:jc w:val="center"/>
        <w:rPr>
          <w:rFonts w:hint="eastAsia"/>
          <w:b/>
          <w:color w:val="auto"/>
          <w:sz w:val="52"/>
          <w:szCs w:val="22"/>
          <w:highlight w:val="none"/>
        </w:rPr>
      </w:pPr>
      <w:r>
        <w:rPr>
          <w:rFonts w:hint="eastAsia"/>
          <w:b/>
          <w:color w:val="auto"/>
          <w:sz w:val="52"/>
          <w:szCs w:val="22"/>
          <w:highlight w:val="none"/>
        </w:rPr>
        <w:t>（报价文件）</w:t>
      </w:r>
    </w:p>
    <w:p w14:paraId="0D0EF49D">
      <w:pPr>
        <w:spacing w:line="360" w:lineRule="auto"/>
        <w:jc w:val="center"/>
        <w:rPr>
          <w:rFonts w:hint="eastAsia"/>
          <w:b/>
          <w:color w:val="auto"/>
          <w:sz w:val="52"/>
          <w:szCs w:val="22"/>
          <w:highlight w:val="none"/>
        </w:rPr>
      </w:pPr>
    </w:p>
    <w:tbl>
      <w:tblPr>
        <w:tblStyle w:val="38"/>
        <w:tblW w:w="0" w:type="auto"/>
        <w:tblInd w:w="250" w:type="dxa"/>
        <w:tblLayout w:type="fixed"/>
        <w:tblCellMar>
          <w:top w:w="0" w:type="dxa"/>
          <w:left w:w="108" w:type="dxa"/>
          <w:bottom w:w="0" w:type="dxa"/>
          <w:right w:w="108" w:type="dxa"/>
        </w:tblCellMar>
      </w:tblPr>
      <w:tblGrid>
        <w:gridCol w:w="8789"/>
      </w:tblGrid>
      <w:tr w14:paraId="6F9D78D4">
        <w:tblPrEx>
          <w:tblCellMar>
            <w:top w:w="0" w:type="dxa"/>
            <w:left w:w="108" w:type="dxa"/>
            <w:bottom w:w="0" w:type="dxa"/>
            <w:right w:w="108" w:type="dxa"/>
          </w:tblCellMar>
        </w:tblPrEx>
        <w:trPr>
          <w:trHeight w:val="680" w:hRule="atLeast"/>
        </w:trPr>
        <w:tc>
          <w:tcPr>
            <w:tcW w:w="8789" w:type="dxa"/>
            <w:noWrap w:val="0"/>
            <w:vAlign w:val="center"/>
          </w:tcPr>
          <w:p w14:paraId="583B3C12">
            <w:pPr>
              <w:rPr>
                <w:rFonts w:hint="eastAsia"/>
                <w:b/>
                <w:color w:val="auto"/>
                <w:sz w:val="28"/>
                <w:szCs w:val="28"/>
                <w:highlight w:val="none"/>
              </w:rPr>
            </w:pPr>
            <w:r>
              <w:rPr>
                <w:rFonts w:hint="eastAsia"/>
                <w:b/>
                <w:color w:val="auto"/>
                <w:sz w:val="28"/>
                <w:szCs w:val="28"/>
                <w:highlight w:val="none"/>
              </w:rPr>
              <w:t>项目编号：</w:t>
            </w:r>
            <w:r>
              <w:rPr>
                <w:rFonts w:hint="eastAsia"/>
                <w:b/>
                <w:color w:val="auto"/>
                <w:w w:val="90"/>
                <w:sz w:val="28"/>
                <w:szCs w:val="28"/>
                <w:highlight w:val="none"/>
              </w:rPr>
              <w:t>________________________________________________</w:t>
            </w:r>
          </w:p>
        </w:tc>
      </w:tr>
      <w:tr w14:paraId="66648618">
        <w:tblPrEx>
          <w:tblCellMar>
            <w:top w:w="0" w:type="dxa"/>
            <w:left w:w="108" w:type="dxa"/>
            <w:bottom w:w="0" w:type="dxa"/>
            <w:right w:w="108" w:type="dxa"/>
          </w:tblCellMar>
        </w:tblPrEx>
        <w:trPr>
          <w:trHeight w:val="680" w:hRule="atLeast"/>
        </w:trPr>
        <w:tc>
          <w:tcPr>
            <w:tcW w:w="8789" w:type="dxa"/>
            <w:noWrap w:val="0"/>
            <w:vAlign w:val="center"/>
          </w:tcPr>
          <w:p w14:paraId="56FFD14E">
            <w:pPr>
              <w:rPr>
                <w:rFonts w:hint="eastAsia"/>
                <w:b/>
                <w:color w:val="auto"/>
                <w:sz w:val="28"/>
                <w:szCs w:val="28"/>
                <w:highlight w:val="none"/>
              </w:rPr>
            </w:pPr>
            <w:r>
              <w:rPr>
                <w:rFonts w:hint="eastAsia"/>
                <w:b/>
                <w:color w:val="auto"/>
                <w:sz w:val="28"/>
                <w:szCs w:val="28"/>
                <w:highlight w:val="none"/>
              </w:rPr>
              <w:t>供应商名称（盖章）：</w:t>
            </w:r>
            <w:r>
              <w:rPr>
                <w:rFonts w:hint="eastAsia"/>
                <w:b/>
                <w:color w:val="auto"/>
                <w:w w:val="90"/>
                <w:sz w:val="28"/>
                <w:szCs w:val="28"/>
                <w:highlight w:val="none"/>
              </w:rPr>
              <w:t>_______________________________________</w:t>
            </w:r>
          </w:p>
        </w:tc>
      </w:tr>
      <w:tr w14:paraId="7B026E3D">
        <w:tblPrEx>
          <w:tblCellMar>
            <w:top w:w="0" w:type="dxa"/>
            <w:left w:w="108" w:type="dxa"/>
            <w:bottom w:w="0" w:type="dxa"/>
            <w:right w:w="108" w:type="dxa"/>
          </w:tblCellMar>
        </w:tblPrEx>
        <w:trPr>
          <w:trHeight w:val="680" w:hRule="atLeast"/>
        </w:trPr>
        <w:tc>
          <w:tcPr>
            <w:tcW w:w="8789" w:type="dxa"/>
            <w:noWrap w:val="0"/>
            <w:vAlign w:val="center"/>
          </w:tcPr>
          <w:p w14:paraId="1288F415">
            <w:pPr>
              <w:rPr>
                <w:rFonts w:hint="eastAsia"/>
                <w:b/>
                <w:color w:val="auto"/>
                <w:sz w:val="28"/>
                <w:szCs w:val="28"/>
                <w:highlight w:val="none"/>
              </w:rPr>
            </w:pPr>
            <w:r>
              <w:rPr>
                <w:rFonts w:hint="eastAsia"/>
                <w:b/>
                <w:color w:val="auto"/>
                <w:sz w:val="28"/>
                <w:szCs w:val="28"/>
                <w:highlight w:val="none"/>
              </w:rPr>
              <w:t>供应商地址：</w:t>
            </w:r>
            <w:r>
              <w:rPr>
                <w:rFonts w:hint="eastAsia"/>
                <w:b/>
                <w:color w:val="auto"/>
                <w:w w:val="90"/>
                <w:sz w:val="28"/>
                <w:szCs w:val="28"/>
                <w:highlight w:val="none"/>
              </w:rPr>
              <w:t>_______________________________________________</w:t>
            </w:r>
          </w:p>
        </w:tc>
      </w:tr>
      <w:tr w14:paraId="5AF8C3FF">
        <w:tblPrEx>
          <w:tblCellMar>
            <w:top w:w="0" w:type="dxa"/>
            <w:left w:w="108" w:type="dxa"/>
            <w:bottom w:w="0" w:type="dxa"/>
            <w:right w:w="108" w:type="dxa"/>
          </w:tblCellMar>
        </w:tblPrEx>
        <w:trPr>
          <w:trHeight w:val="680" w:hRule="atLeast"/>
        </w:trPr>
        <w:tc>
          <w:tcPr>
            <w:tcW w:w="8789" w:type="dxa"/>
            <w:noWrap w:val="0"/>
            <w:vAlign w:val="center"/>
          </w:tcPr>
          <w:p w14:paraId="4CC43A7A">
            <w:pPr>
              <w:rPr>
                <w:rFonts w:hint="eastAsia"/>
                <w:b/>
                <w:color w:val="auto"/>
                <w:sz w:val="28"/>
                <w:szCs w:val="28"/>
                <w:highlight w:val="none"/>
              </w:rPr>
            </w:pPr>
            <w:r>
              <w:rPr>
                <w:rFonts w:hint="eastAsia"/>
                <w:b/>
                <w:color w:val="auto"/>
                <w:sz w:val="28"/>
                <w:szCs w:val="28"/>
                <w:highlight w:val="none"/>
              </w:rPr>
              <w:t>法定代表人或其授权代表（签字或盖章）：</w:t>
            </w:r>
            <w:r>
              <w:rPr>
                <w:rFonts w:hint="eastAsia"/>
                <w:b/>
                <w:color w:val="auto"/>
                <w:w w:val="90"/>
                <w:sz w:val="28"/>
                <w:szCs w:val="28"/>
                <w:highlight w:val="none"/>
              </w:rPr>
              <w:t>________________________</w:t>
            </w:r>
          </w:p>
        </w:tc>
      </w:tr>
      <w:tr w14:paraId="3F53216F">
        <w:tblPrEx>
          <w:tblCellMar>
            <w:top w:w="0" w:type="dxa"/>
            <w:left w:w="108" w:type="dxa"/>
            <w:bottom w:w="0" w:type="dxa"/>
            <w:right w:w="108" w:type="dxa"/>
          </w:tblCellMar>
        </w:tblPrEx>
        <w:trPr>
          <w:trHeight w:val="680" w:hRule="atLeast"/>
        </w:trPr>
        <w:tc>
          <w:tcPr>
            <w:tcW w:w="8789" w:type="dxa"/>
            <w:noWrap w:val="0"/>
            <w:vAlign w:val="center"/>
          </w:tcPr>
          <w:p w14:paraId="36B9434B">
            <w:pPr>
              <w:rPr>
                <w:rFonts w:hint="eastAsia"/>
                <w:b/>
                <w:color w:val="auto"/>
                <w:sz w:val="28"/>
                <w:szCs w:val="28"/>
                <w:highlight w:val="none"/>
              </w:rPr>
            </w:pPr>
            <w:r>
              <w:rPr>
                <w:rFonts w:hint="eastAsia"/>
                <w:b/>
                <w:color w:val="auto"/>
                <w:sz w:val="28"/>
                <w:szCs w:val="28"/>
                <w:highlight w:val="none"/>
              </w:rPr>
              <w:t>日期：</w:t>
            </w:r>
            <w:r>
              <w:rPr>
                <w:rFonts w:hint="eastAsia"/>
                <w:b/>
                <w:color w:val="auto"/>
                <w:w w:val="90"/>
                <w:sz w:val="28"/>
                <w:szCs w:val="28"/>
                <w:highlight w:val="none"/>
              </w:rPr>
              <w:t>__________________________________________________________</w:t>
            </w:r>
          </w:p>
        </w:tc>
      </w:tr>
      <w:tr w14:paraId="58376F28">
        <w:tblPrEx>
          <w:tblCellMar>
            <w:top w:w="0" w:type="dxa"/>
            <w:left w:w="108" w:type="dxa"/>
            <w:bottom w:w="0" w:type="dxa"/>
            <w:right w:w="108" w:type="dxa"/>
          </w:tblCellMar>
        </w:tblPrEx>
        <w:trPr>
          <w:trHeight w:val="335" w:hRule="atLeast"/>
        </w:trPr>
        <w:tc>
          <w:tcPr>
            <w:tcW w:w="8789" w:type="dxa"/>
            <w:noWrap w:val="0"/>
            <w:vAlign w:val="center"/>
          </w:tcPr>
          <w:p w14:paraId="203CA983">
            <w:pPr>
              <w:rPr>
                <w:rFonts w:hint="eastAsia"/>
                <w:color w:val="auto"/>
                <w:sz w:val="28"/>
                <w:szCs w:val="28"/>
                <w:highlight w:val="none"/>
              </w:rPr>
            </w:pPr>
          </w:p>
        </w:tc>
      </w:tr>
      <w:tr w14:paraId="36D171F7">
        <w:tblPrEx>
          <w:tblCellMar>
            <w:top w:w="0" w:type="dxa"/>
            <w:left w:w="108" w:type="dxa"/>
            <w:bottom w:w="0" w:type="dxa"/>
            <w:right w:w="108" w:type="dxa"/>
          </w:tblCellMar>
        </w:tblPrEx>
        <w:trPr>
          <w:trHeight w:val="680" w:hRule="atLeast"/>
        </w:trPr>
        <w:tc>
          <w:tcPr>
            <w:tcW w:w="8789" w:type="dxa"/>
            <w:noWrap w:val="0"/>
            <w:vAlign w:val="center"/>
          </w:tcPr>
          <w:p w14:paraId="73115299">
            <w:pPr>
              <w:jc w:val="center"/>
              <w:rPr>
                <w:rFonts w:hint="eastAsia"/>
                <w:b/>
                <w:color w:val="auto"/>
                <w:sz w:val="28"/>
                <w:szCs w:val="28"/>
                <w:highlight w:val="none"/>
              </w:rPr>
            </w:pPr>
          </w:p>
        </w:tc>
      </w:tr>
    </w:tbl>
    <w:p w14:paraId="422B6F97">
      <w:pPr>
        <w:autoSpaceDE w:val="0"/>
        <w:autoSpaceDN w:val="0"/>
        <w:adjustRightInd w:val="0"/>
        <w:snapToGrid w:val="0"/>
        <w:spacing w:line="360" w:lineRule="atLeast"/>
        <w:rPr>
          <w:rFonts w:hint="eastAsia"/>
          <w:color w:val="auto"/>
          <w:highlight w:val="none"/>
        </w:rPr>
        <w:sectPr>
          <w:footerReference r:id="rId13" w:type="first"/>
          <w:headerReference r:id="rId11" w:type="default"/>
          <w:footerReference r:id="rId12" w:type="default"/>
          <w:pgSz w:w="11906" w:h="16838"/>
          <w:pgMar w:top="1304" w:right="1304" w:bottom="1304" w:left="1304" w:header="720" w:footer="720" w:gutter="0"/>
          <w:pgBorders w:offsetFrom="page">
            <w:top w:val="none" w:sz="0" w:space="0"/>
            <w:left w:val="none" w:sz="0" w:space="0"/>
            <w:bottom w:val="none" w:sz="0" w:space="0"/>
            <w:right w:val="none" w:sz="0" w:space="0"/>
          </w:pgBorders>
          <w:pgNumType w:fmt="decimal"/>
          <w:cols w:space="720" w:num="1"/>
          <w:titlePg/>
          <w:docGrid w:linePitch="286" w:charSpace="-3831"/>
        </w:sectPr>
      </w:pPr>
    </w:p>
    <w:p w14:paraId="270D1378">
      <w:pPr>
        <w:pStyle w:val="21"/>
        <w:adjustRightInd w:val="0"/>
        <w:snapToGrid w:val="0"/>
        <w:spacing w:line="400" w:lineRule="exac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.2开标一览表</w:t>
      </w:r>
    </w:p>
    <w:p w14:paraId="694F3045">
      <w:pPr>
        <w:widowControl/>
        <w:snapToGrid w:val="0"/>
        <w:spacing w:line="400" w:lineRule="exact"/>
        <w:jc w:val="center"/>
        <w:rPr>
          <w:color w:val="auto"/>
          <w:sz w:val="36"/>
          <w:highlight w:val="none"/>
        </w:rPr>
      </w:pPr>
      <w:r>
        <w:rPr>
          <w:rFonts w:hint="eastAsia"/>
          <w:b/>
          <w:bCs/>
          <w:color w:val="auto"/>
          <w:sz w:val="36"/>
          <w:highlight w:val="none"/>
        </w:rPr>
        <w:t>开标</w:t>
      </w:r>
      <w:r>
        <w:rPr>
          <w:b/>
          <w:bCs/>
          <w:color w:val="auto"/>
          <w:sz w:val="36"/>
          <w:highlight w:val="none"/>
        </w:rPr>
        <w:t>一览表</w:t>
      </w:r>
    </w:p>
    <w:p w14:paraId="1704995C">
      <w:pPr>
        <w:widowControl/>
        <w:snapToGrid w:val="0"/>
        <w:spacing w:line="400" w:lineRule="exact"/>
        <w:jc w:val="left"/>
        <w:rPr>
          <w:color w:val="auto"/>
          <w:sz w:val="36"/>
          <w:highlight w:val="none"/>
        </w:rPr>
      </w:pPr>
    </w:p>
    <w:p w14:paraId="31D9567B">
      <w:pPr>
        <w:widowControl w:val="0"/>
        <w:adjustRightInd w:val="0"/>
        <w:snapToGrid w:val="0"/>
        <w:spacing w:line="400" w:lineRule="exact"/>
        <w:jc w:val="both"/>
        <w:rPr>
          <w:rFonts w:hint="default" w:ascii="宋体" w:hAnsi="宋体" w:eastAsia="宋体" w:cs="宋体"/>
          <w:b/>
          <w:color w:val="auto"/>
          <w:sz w:val="36"/>
          <w:szCs w:val="36"/>
          <w:highlight w:val="none"/>
          <w:lang w:val="en-US" w:eastAsia="zh-CN" w:bidi="ar-SA"/>
        </w:rPr>
      </w:pPr>
      <w:r>
        <w:rPr>
          <w:rFonts w:hint="eastAsia" w:ascii="宋体" w:hAnsi="宋体" w:eastAsia="宋体" w:cs="宋体"/>
          <w:b/>
          <w:color w:val="auto"/>
          <w:sz w:val="36"/>
          <w:szCs w:val="36"/>
          <w:highlight w:val="none"/>
          <w:lang w:val="en-US" w:eastAsia="zh-CN" w:bidi="ar-SA"/>
        </w:rPr>
        <w:t xml:space="preserve"> </w:t>
      </w:r>
    </w:p>
    <w:p w14:paraId="1C4BCB1F">
      <w:pPr>
        <w:autoSpaceDE w:val="0"/>
        <w:autoSpaceDN w:val="0"/>
        <w:adjustRightInd w:val="0"/>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 xml:space="preserve">供应商名称：                      </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lang w:val="zh-CN"/>
        </w:rPr>
        <w:t xml:space="preserve"> 采购编号：           </w:t>
      </w:r>
    </w:p>
    <w:p w14:paraId="1FF37423">
      <w:pPr>
        <w:pStyle w:val="35"/>
        <w:spacing w:line="240" w:lineRule="auto"/>
        <w:outlineLvl w:val="9"/>
        <w:rPr>
          <w:rFonts w:hint="eastAsia"/>
          <w:sz w:val="4"/>
          <w:szCs w:val="2"/>
          <w:lang w:val="en-US" w:eastAsia="zh-CN"/>
        </w:rPr>
      </w:pPr>
    </w:p>
    <w:tbl>
      <w:tblPr>
        <w:tblStyle w:val="38"/>
        <w:tblW w:w="9720"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8"/>
        <w:gridCol w:w="5892"/>
      </w:tblGrid>
      <w:tr w14:paraId="65D2E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3828" w:type="dxa"/>
            <w:tcBorders>
              <w:bottom w:val="single" w:color="000000" w:sz="6" w:space="0"/>
              <w:right w:val="single" w:color="000000" w:sz="6" w:space="0"/>
            </w:tcBorders>
            <w:vAlign w:val="center"/>
          </w:tcPr>
          <w:p w14:paraId="25FB9389">
            <w:pPr>
              <w:autoSpaceDE w:val="0"/>
              <w:autoSpaceDN w:val="0"/>
              <w:adjustRightInd w:val="0"/>
              <w:jc w:val="center"/>
              <w:rPr>
                <w:rFonts w:ascii="宋体" w:hAnsi="宋体" w:cs="宋体"/>
                <w:bCs/>
                <w:sz w:val="24"/>
                <w:lang w:val="zh-CN"/>
              </w:rPr>
            </w:pPr>
            <w:r>
              <w:rPr>
                <w:rFonts w:hint="eastAsia" w:ascii="宋体" w:hAnsi="宋体" w:cs="宋体"/>
                <w:bCs/>
                <w:sz w:val="24"/>
                <w:lang w:val="zh-CN"/>
              </w:rPr>
              <w:t>项目名称</w:t>
            </w:r>
          </w:p>
        </w:tc>
        <w:tc>
          <w:tcPr>
            <w:tcW w:w="5892" w:type="dxa"/>
            <w:tcBorders>
              <w:left w:val="single" w:color="000000" w:sz="6" w:space="0"/>
              <w:bottom w:val="single" w:color="000000" w:sz="6" w:space="0"/>
            </w:tcBorders>
            <w:vAlign w:val="center"/>
          </w:tcPr>
          <w:p w14:paraId="1CC03ABC">
            <w:pPr>
              <w:autoSpaceDE w:val="0"/>
              <w:autoSpaceDN w:val="0"/>
              <w:adjustRightInd w:val="0"/>
              <w:jc w:val="center"/>
              <w:rPr>
                <w:rFonts w:ascii="宋体" w:hAnsi="宋体" w:cs="宋体"/>
                <w:bCs/>
                <w:sz w:val="24"/>
                <w:lang w:val="zh-CN"/>
              </w:rPr>
            </w:pPr>
            <w:r>
              <w:rPr>
                <w:rFonts w:hint="eastAsia" w:ascii="宋体" w:hAnsi="宋体" w:cs="宋体"/>
                <w:bCs/>
                <w:sz w:val="24"/>
                <w:lang w:val="zh-CN"/>
              </w:rPr>
              <w:t>投标</w:t>
            </w:r>
            <w:r>
              <w:rPr>
                <w:rFonts w:hint="eastAsia" w:ascii="宋体" w:hAnsi="宋体" w:cs="宋体"/>
                <w:bCs/>
                <w:sz w:val="24"/>
              </w:rPr>
              <w:t>总价</w:t>
            </w:r>
          </w:p>
        </w:tc>
      </w:tr>
      <w:tr w14:paraId="3DD4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3828" w:type="dxa"/>
            <w:tcBorders>
              <w:top w:val="single" w:color="000000" w:sz="6" w:space="0"/>
              <w:bottom w:val="single" w:color="000000" w:sz="6" w:space="0"/>
              <w:right w:val="single" w:color="000000" w:sz="6" w:space="0"/>
            </w:tcBorders>
            <w:vAlign w:val="center"/>
          </w:tcPr>
          <w:p w14:paraId="7E258495">
            <w:pPr>
              <w:spacing w:line="360" w:lineRule="auto"/>
              <w:jc w:val="center"/>
              <w:rPr>
                <w:rFonts w:hint="eastAsia" w:ascii="宋体" w:hAnsi="宋体" w:eastAsia="宋体" w:cs="Times New Roman"/>
                <w:sz w:val="24"/>
                <w:lang w:val="zh-CN" w:eastAsia="zh-CN"/>
              </w:rPr>
            </w:pPr>
            <w:r>
              <w:rPr>
                <w:rFonts w:hint="eastAsia" w:ascii="宋体" w:hAnsi="宋体" w:eastAsia="宋体" w:cs="Times New Roman"/>
                <w:sz w:val="24"/>
                <w:lang w:val="en-US" w:eastAsia="zh-CN"/>
              </w:rPr>
              <w:t xml:space="preserve">苍南县灵溪镇2026年度除四害消杀服务采购项目 </w:t>
            </w:r>
          </w:p>
        </w:tc>
        <w:tc>
          <w:tcPr>
            <w:tcW w:w="5892" w:type="dxa"/>
            <w:tcBorders>
              <w:top w:val="single" w:color="000000" w:sz="6" w:space="0"/>
              <w:left w:val="single" w:color="000000" w:sz="6" w:space="0"/>
              <w:bottom w:val="single" w:color="000000" w:sz="6" w:space="0"/>
            </w:tcBorders>
            <w:vAlign w:val="center"/>
          </w:tcPr>
          <w:p w14:paraId="1765F694">
            <w:pPr>
              <w:spacing w:line="360" w:lineRule="auto"/>
              <w:rPr>
                <w:rFonts w:ascii="宋体" w:hAnsi="宋体"/>
                <w:sz w:val="24"/>
              </w:rPr>
            </w:pPr>
            <w:r>
              <w:rPr>
                <w:rFonts w:hint="eastAsia" w:ascii="宋体" w:hAnsi="宋体"/>
                <w:sz w:val="24"/>
              </w:rPr>
              <w:t>大写：</w:t>
            </w:r>
          </w:p>
          <w:p w14:paraId="0D0AA0C5">
            <w:pPr>
              <w:autoSpaceDE w:val="0"/>
              <w:autoSpaceDN w:val="0"/>
              <w:adjustRightInd w:val="0"/>
              <w:spacing w:line="360" w:lineRule="auto"/>
              <w:rPr>
                <w:rFonts w:ascii="宋体" w:hAnsi="宋体" w:cs="宋体"/>
                <w:bCs/>
                <w:sz w:val="24"/>
                <w:lang w:val="zh-CN"/>
              </w:rPr>
            </w:pPr>
            <w:r>
              <w:rPr>
                <w:rFonts w:hint="eastAsia" w:ascii="宋体" w:hAnsi="宋体"/>
                <w:sz w:val="24"/>
              </w:rPr>
              <w:t>小写：</w:t>
            </w:r>
          </w:p>
        </w:tc>
      </w:tr>
      <w:tr w14:paraId="7895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3828" w:type="dxa"/>
            <w:tcBorders>
              <w:top w:val="single" w:color="000000" w:sz="6" w:space="0"/>
              <w:bottom w:val="single" w:color="000000" w:sz="6" w:space="0"/>
              <w:right w:val="single" w:color="000000" w:sz="6" w:space="0"/>
            </w:tcBorders>
            <w:vAlign w:val="center"/>
          </w:tcPr>
          <w:p w14:paraId="5698D653">
            <w:pPr>
              <w:spacing w:line="360" w:lineRule="auto"/>
              <w:jc w:val="center"/>
              <w:rPr>
                <w:rFonts w:hint="eastAsia" w:ascii="宋体" w:hAnsi="宋体" w:eastAsia="宋体" w:cs="Times New Roman"/>
                <w:sz w:val="24"/>
                <w:lang w:val="zh-CN" w:eastAsia="zh-CN"/>
              </w:rPr>
            </w:pPr>
            <w:r>
              <w:rPr>
                <w:rFonts w:hint="eastAsia" w:ascii="宋体" w:hAnsi="宋体" w:eastAsia="宋体" w:cs="Times New Roman"/>
                <w:sz w:val="24"/>
                <w:lang w:val="en-US" w:eastAsia="zh-CN"/>
              </w:rPr>
              <w:t>服务期限</w:t>
            </w:r>
          </w:p>
        </w:tc>
        <w:tc>
          <w:tcPr>
            <w:tcW w:w="5892" w:type="dxa"/>
            <w:tcBorders>
              <w:top w:val="single" w:color="000000" w:sz="6" w:space="0"/>
              <w:left w:val="single" w:color="000000" w:sz="6" w:space="0"/>
              <w:bottom w:val="single" w:color="000000" w:sz="6" w:space="0"/>
            </w:tcBorders>
            <w:vAlign w:val="center"/>
          </w:tcPr>
          <w:p w14:paraId="04A0A379">
            <w:pPr>
              <w:spacing w:line="360" w:lineRule="auto"/>
              <w:jc w:val="center"/>
              <w:rPr>
                <w:rFonts w:hint="default" w:ascii="宋体" w:hAnsi="宋体" w:eastAsia="宋体"/>
                <w:sz w:val="24"/>
                <w:lang w:val="en-US" w:eastAsia="zh-CN"/>
              </w:rPr>
            </w:pPr>
            <w:r>
              <w:rPr>
                <w:rFonts w:hint="eastAsia" w:ascii="宋体" w:hAnsi="宋体"/>
                <w:sz w:val="24"/>
                <w:lang w:val="en-US" w:eastAsia="zh-CN"/>
              </w:rPr>
              <w:t>合同签订后一年</w:t>
            </w:r>
          </w:p>
        </w:tc>
      </w:tr>
    </w:tbl>
    <w:p w14:paraId="3DDAC410">
      <w:pPr>
        <w:pStyle w:val="21"/>
        <w:spacing w:line="460" w:lineRule="atLeast"/>
        <w:rPr>
          <w:rFonts w:hAnsi="宋体"/>
          <w:sz w:val="22"/>
          <w:szCs w:val="22"/>
        </w:rPr>
      </w:pPr>
      <w:r>
        <w:rPr>
          <w:rFonts w:hint="eastAsia" w:ascii="宋体" w:hAnsi="宋体" w:eastAsia="宋体" w:cs="宋体"/>
          <w:kern w:val="0"/>
          <w:sz w:val="21"/>
          <w:szCs w:val="21"/>
          <w:lang w:val="en-US" w:eastAsia="zh-CN" w:bidi="ar"/>
        </w:rPr>
        <w:t>注：</w:t>
      </w:r>
      <w:r>
        <w:rPr>
          <w:rFonts w:hint="eastAsia" w:hAnsi="宋体"/>
          <w:sz w:val="24"/>
          <w:szCs w:val="24"/>
        </w:rPr>
        <w:t>★</w:t>
      </w:r>
      <w:r>
        <w:rPr>
          <w:rFonts w:hint="eastAsia" w:hAnsi="宋体"/>
          <w:sz w:val="22"/>
          <w:szCs w:val="22"/>
        </w:rPr>
        <w:t>开标一览表中投标价为符合招标文件要求的项目报价（含税、人工费、设施维修费、材料、运保、质保、管理费用、利润、风险等费用），同时包括整个项目实施过程中所有费用，招标代理费及其它需要的费用。</w:t>
      </w:r>
    </w:p>
    <w:p w14:paraId="61F4E6EE">
      <w:pPr>
        <w:autoSpaceDE w:val="0"/>
        <w:autoSpaceDN w:val="0"/>
        <w:adjustRightInd w:val="0"/>
        <w:spacing w:line="440" w:lineRule="atLeast"/>
        <w:rPr>
          <w:rFonts w:ascii="宋体" w:hAnsi="宋体" w:cs="仿宋_GB2312"/>
          <w:sz w:val="24"/>
          <w:lang w:val="zh-CN"/>
        </w:rPr>
      </w:pPr>
      <w:r>
        <w:rPr>
          <w:rFonts w:hint="eastAsia" w:ascii="宋体" w:hAnsi="宋体"/>
          <w:sz w:val="24"/>
        </w:rPr>
        <w:t>★</w:t>
      </w:r>
      <w:r>
        <w:rPr>
          <w:rFonts w:hint="eastAsia" w:ascii="宋体"/>
          <w:sz w:val="22"/>
          <w:szCs w:val="22"/>
        </w:rPr>
        <w:t>不提供此表格的将视为没有实质性响应招标文件。</w:t>
      </w:r>
    </w:p>
    <w:p w14:paraId="2D763FEC">
      <w:pPr>
        <w:keepNext w:val="0"/>
        <w:keepLines w:val="0"/>
        <w:widowControl w:val="0"/>
        <w:suppressLineNumbers w:val="0"/>
        <w:spacing w:before="0" w:beforeAutospacing="0" w:after="0" w:afterAutospacing="0" w:line="360" w:lineRule="auto"/>
        <w:ind w:left="0" w:right="0" w:firstLine="429" w:firstLineChars="193"/>
        <w:jc w:val="both"/>
        <w:rPr>
          <w:rFonts w:hint="eastAsia" w:ascii="宋体" w:hAnsi="宋体" w:eastAsia="宋体" w:cs="宋体"/>
          <w:color w:val="000000"/>
          <w:kern w:val="0"/>
          <w:sz w:val="22"/>
          <w:szCs w:val="22"/>
        </w:rPr>
      </w:pPr>
    </w:p>
    <w:p w14:paraId="5078E5BD">
      <w:pPr>
        <w:pStyle w:val="21"/>
        <w:spacing w:line="400" w:lineRule="exact"/>
        <w:rPr>
          <w:rFonts w:hint="eastAsia" w:hAnsi="宋体"/>
          <w:b/>
          <w:color w:val="000000"/>
          <w:sz w:val="22"/>
        </w:rPr>
      </w:pPr>
      <w:r>
        <w:rPr>
          <w:rFonts w:hint="eastAsia" w:hAnsi="宋体"/>
          <w:b/>
          <w:color w:val="000000"/>
          <w:sz w:val="22"/>
        </w:rPr>
        <w:t>供应商名称（盖章）：</w:t>
      </w:r>
    </w:p>
    <w:p w14:paraId="3C08CF9C">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11699C75">
      <w:pPr>
        <w:pStyle w:val="21"/>
        <w:spacing w:line="400" w:lineRule="exact"/>
        <w:rPr>
          <w:rFonts w:hint="eastAsia" w:hAnsi="宋体"/>
          <w:b/>
          <w:color w:val="000000"/>
          <w:sz w:val="22"/>
        </w:rPr>
      </w:pPr>
      <w:r>
        <w:rPr>
          <w:rFonts w:hint="eastAsia" w:hAnsi="宋体"/>
          <w:b/>
          <w:color w:val="000000"/>
          <w:sz w:val="22"/>
        </w:rPr>
        <w:t>日    期：</w:t>
      </w:r>
    </w:p>
    <w:p w14:paraId="50C033C9">
      <w:pPr>
        <w:pStyle w:val="21"/>
        <w:adjustRightInd w:val="0"/>
        <w:snapToGrid w:val="0"/>
        <w:spacing w:line="400" w:lineRule="exact"/>
        <w:outlineLvl w:val="2"/>
        <w:rPr>
          <w:rFonts w:ascii="Cambria" w:hAnsi="Cambria"/>
          <w:b/>
          <w:bCs/>
          <w:color w:val="000000"/>
          <w:sz w:val="28"/>
          <w:szCs w:val="28"/>
        </w:rPr>
      </w:pPr>
      <w:r>
        <w:rPr>
          <w:rFonts w:hint="eastAsia" w:hAnsi="宋体"/>
          <w:color w:val="auto"/>
          <w:sz w:val="36"/>
          <w:szCs w:val="36"/>
          <w:highlight w:val="none"/>
          <w:lang w:val="en-US" w:eastAsia="zh-CN"/>
        </w:rPr>
        <w:br w:type="page"/>
      </w:r>
      <w:r>
        <w:rPr>
          <w:rFonts w:hint="eastAsia" w:ascii="宋体" w:hAnsi="宋体" w:eastAsia="宋体" w:cs="宋体"/>
          <w:b/>
          <w:bCs/>
          <w:color w:val="auto"/>
          <w:sz w:val="28"/>
          <w:szCs w:val="28"/>
          <w:highlight w:val="none"/>
          <w:lang w:val="en-US" w:eastAsia="zh-CN"/>
        </w:rPr>
        <w:t>3.3投标报价明细表</w:t>
      </w:r>
    </w:p>
    <w:p w14:paraId="23435177">
      <w:pPr>
        <w:autoSpaceDE w:val="0"/>
        <w:autoSpaceDN w:val="0"/>
        <w:adjustRightInd w:val="0"/>
        <w:snapToGrid w:val="0"/>
        <w:spacing w:line="454" w:lineRule="atLeast"/>
        <w:jc w:val="left"/>
        <w:textAlignment w:val="bottom"/>
        <w:outlineLvl w:val="9"/>
        <w:rPr>
          <w:rFonts w:ascii="宋体"/>
          <w:sz w:val="24"/>
          <w:lang w:val="zh-CN"/>
        </w:rPr>
      </w:pPr>
    </w:p>
    <w:p w14:paraId="162AF97E">
      <w:pPr>
        <w:autoSpaceDE w:val="0"/>
        <w:autoSpaceDN w:val="0"/>
        <w:adjustRightInd w:val="0"/>
        <w:spacing w:line="360" w:lineRule="atLeast"/>
        <w:jc w:val="center"/>
        <w:textAlignment w:val="baseline"/>
        <w:rPr>
          <w:rFonts w:ascii="宋体"/>
          <w:sz w:val="28"/>
          <w:szCs w:val="28"/>
          <w:lang w:val="zh-CN"/>
        </w:rPr>
      </w:pPr>
      <w:r>
        <w:rPr>
          <w:rFonts w:ascii="宋体"/>
          <w:sz w:val="28"/>
          <w:szCs w:val="28"/>
          <w:lang w:val="zh-CN"/>
        </w:rPr>
        <w:t>投标报价明细表</w:t>
      </w:r>
    </w:p>
    <w:p w14:paraId="518A3C14">
      <w:pPr>
        <w:spacing w:line="360" w:lineRule="exact"/>
        <w:jc w:val="right"/>
        <w:rPr>
          <w:rFonts w:ascii="宋体"/>
          <w:sz w:val="22"/>
        </w:rPr>
      </w:pPr>
      <w:r>
        <w:rPr>
          <w:rFonts w:hint="eastAsia" w:ascii="宋体"/>
          <w:sz w:val="22"/>
        </w:rPr>
        <w:t>（价格单位：元）</w:t>
      </w:r>
    </w:p>
    <w:tbl>
      <w:tblPr>
        <w:tblStyle w:val="38"/>
        <w:tblW w:w="963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2538"/>
        <w:gridCol w:w="1368"/>
        <w:gridCol w:w="1095"/>
        <w:gridCol w:w="1096"/>
        <w:gridCol w:w="7"/>
        <w:gridCol w:w="2620"/>
      </w:tblGrid>
      <w:tr w14:paraId="2F9C0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913" w:type="dxa"/>
            <w:vAlign w:val="center"/>
          </w:tcPr>
          <w:p w14:paraId="6619F110">
            <w:pPr>
              <w:jc w:val="center"/>
              <w:rPr>
                <w:rFonts w:ascii="宋体"/>
                <w:b/>
                <w:sz w:val="22"/>
                <w:szCs w:val="22"/>
              </w:rPr>
            </w:pPr>
            <w:r>
              <w:rPr>
                <w:rFonts w:hint="eastAsia" w:ascii="宋体"/>
                <w:b/>
                <w:sz w:val="22"/>
                <w:szCs w:val="22"/>
              </w:rPr>
              <w:t>序号</w:t>
            </w:r>
          </w:p>
        </w:tc>
        <w:tc>
          <w:tcPr>
            <w:tcW w:w="2538" w:type="dxa"/>
            <w:vAlign w:val="center"/>
          </w:tcPr>
          <w:p w14:paraId="0EAB7D21">
            <w:pPr>
              <w:jc w:val="center"/>
              <w:rPr>
                <w:rFonts w:ascii="宋体"/>
                <w:b/>
                <w:sz w:val="22"/>
                <w:szCs w:val="22"/>
              </w:rPr>
            </w:pPr>
            <w:r>
              <w:rPr>
                <w:rFonts w:hint="eastAsia" w:ascii="宋体"/>
                <w:b/>
                <w:sz w:val="22"/>
                <w:szCs w:val="22"/>
              </w:rPr>
              <w:t>名称</w:t>
            </w:r>
          </w:p>
        </w:tc>
        <w:tc>
          <w:tcPr>
            <w:tcW w:w="1368" w:type="dxa"/>
            <w:vAlign w:val="center"/>
          </w:tcPr>
          <w:p w14:paraId="19B75D3C">
            <w:pPr>
              <w:jc w:val="center"/>
              <w:rPr>
                <w:rFonts w:ascii="宋体"/>
                <w:b/>
                <w:sz w:val="22"/>
                <w:szCs w:val="22"/>
              </w:rPr>
            </w:pPr>
            <w:r>
              <w:rPr>
                <w:rFonts w:hint="eastAsia" w:ascii="宋体"/>
                <w:b/>
                <w:sz w:val="22"/>
                <w:szCs w:val="22"/>
              </w:rPr>
              <w:t>规格/型号</w:t>
            </w:r>
          </w:p>
        </w:tc>
        <w:tc>
          <w:tcPr>
            <w:tcW w:w="1095" w:type="dxa"/>
            <w:vAlign w:val="center"/>
          </w:tcPr>
          <w:p w14:paraId="22D527C8">
            <w:pPr>
              <w:jc w:val="center"/>
              <w:rPr>
                <w:rFonts w:ascii="宋体"/>
                <w:b/>
                <w:sz w:val="22"/>
                <w:szCs w:val="22"/>
              </w:rPr>
            </w:pPr>
            <w:r>
              <w:rPr>
                <w:rFonts w:hint="eastAsia" w:ascii="宋体"/>
                <w:b/>
                <w:sz w:val="22"/>
                <w:szCs w:val="22"/>
              </w:rPr>
              <w:t>数量</w:t>
            </w:r>
          </w:p>
        </w:tc>
        <w:tc>
          <w:tcPr>
            <w:tcW w:w="1096" w:type="dxa"/>
            <w:vAlign w:val="center"/>
          </w:tcPr>
          <w:p w14:paraId="6F9B5432">
            <w:pPr>
              <w:jc w:val="center"/>
              <w:rPr>
                <w:rFonts w:ascii="宋体"/>
                <w:b/>
                <w:sz w:val="22"/>
                <w:szCs w:val="22"/>
              </w:rPr>
            </w:pPr>
            <w:r>
              <w:rPr>
                <w:rFonts w:hint="eastAsia" w:ascii="宋体"/>
                <w:b/>
                <w:sz w:val="22"/>
                <w:szCs w:val="22"/>
              </w:rPr>
              <w:t>单价</w:t>
            </w:r>
          </w:p>
        </w:tc>
        <w:tc>
          <w:tcPr>
            <w:tcW w:w="2627" w:type="dxa"/>
            <w:gridSpan w:val="2"/>
            <w:vAlign w:val="center"/>
          </w:tcPr>
          <w:p w14:paraId="1CEDA3A9">
            <w:pPr>
              <w:jc w:val="center"/>
              <w:rPr>
                <w:rFonts w:ascii="宋体"/>
                <w:b/>
                <w:sz w:val="22"/>
                <w:szCs w:val="22"/>
              </w:rPr>
            </w:pPr>
            <w:r>
              <w:rPr>
                <w:rFonts w:hint="eastAsia" w:ascii="宋体"/>
                <w:b/>
                <w:sz w:val="22"/>
                <w:szCs w:val="22"/>
              </w:rPr>
              <w:t>合价</w:t>
            </w:r>
          </w:p>
        </w:tc>
      </w:tr>
      <w:tr w14:paraId="4A876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14:paraId="1E8E91CE">
            <w:pPr>
              <w:ind w:right="502" w:rightChars="236"/>
              <w:jc w:val="center"/>
              <w:rPr>
                <w:rFonts w:ascii="宋体"/>
                <w:b/>
                <w:sz w:val="22"/>
                <w:szCs w:val="22"/>
              </w:rPr>
            </w:pPr>
          </w:p>
        </w:tc>
        <w:tc>
          <w:tcPr>
            <w:tcW w:w="2538" w:type="dxa"/>
            <w:vAlign w:val="center"/>
          </w:tcPr>
          <w:p w14:paraId="6A61EFB6">
            <w:pPr>
              <w:jc w:val="center"/>
              <w:rPr>
                <w:rFonts w:ascii="宋体"/>
                <w:b/>
                <w:sz w:val="22"/>
                <w:szCs w:val="22"/>
              </w:rPr>
            </w:pPr>
          </w:p>
        </w:tc>
        <w:tc>
          <w:tcPr>
            <w:tcW w:w="1368" w:type="dxa"/>
            <w:vAlign w:val="center"/>
          </w:tcPr>
          <w:p w14:paraId="5C5859F7">
            <w:pPr>
              <w:snapToGrid w:val="0"/>
              <w:spacing w:line="400" w:lineRule="atLeast"/>
              <w:jc w:val="center"/>
              <w:rPr>
                <w:rFonts w:ascii="宋体"/>
                <w:b/>
                <w:sz w:val="22"/>
                <w:szCs w:val="22"/>
              </w:rPr>
            </w:pPr>
          </w:p>
        </w:tc>
        <w:tc>
          <w:tcPr>
            <w:tcW w:w="1095" w:type="dxa"/>
            <w:vAlign w:val="center"/>
          </w:tcPr>
          <w:p w14:paraId="6109638A">
            <w:pPr>
              <w:snapToGrid w:val="0"/>
              <w:spacing w:line="400" w:lineRule="atLeast"/>
              <w:jc w:val="center"/>
              <w:rPr>
                <w:rFonts w:ascii="宋体"/>
                <w:b/>
                <w:sz w:val="22"/>
                <w:szCs w:val="22"/>
              </w:rPr>
            </w:pPr>
          </w:p>
        </w:tc>
        <w:tc>
          <w:tcPr>
            <w:tcW w:w="1096" w:type="dxa"/>
            <w:vAlign w:val="center"/>
          </w:tcPr>
          <w:p w14:paraId="08B6CD2C">
            <w:pPr>
              <w:jc w:val="center"/>
              <w:rPr>
                <w:rFonts w:ascii="宋体"/>
                <w:b/>
                <w:sz w:val="22"/>
                <w:szCs w:val="22"/>
              </w:rPr>
            </w:pPr>
          </w:p>
        </w:tc>
        <w:tc>
          <w:tcPr>
            <w:tcW w:w="2627" w:type="dxa"/>
            <w:gridSpan w:val="2"/>
            <w:vAlign w:val="center"/>
          </w:tcPr>
          <w:p w14:paraId="6AB0C59D">
            <w:pPr>
              <w:jc w:val="center"/>
              <w:rPr>
                <w:rFonts w:ascii="宋体"/>
                <w:b/>
                <w:sz w:val="22"/>
                <w:szCs w:val="22"/>
              </w:rPr>
            </w:pPr>
          </w:p>
        </w:tc>
      </w:tr>
      <w:tr w14:paraId="6FF75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14:paraId="4600A655">
            <w:pPr>
              <w:jc w:val="center"/>
              <w:rPr>
                <w:rFonts w:ascii="宋体"/>
                <w:b/>
                <w:sz w:val="22"/>
                <w:szCs w:val="22"/>
              </w:rPr>
            </w:pPr>
          </w:p>
        </w:tc>
        <w:tc>
          <w:tcPr>
            <w:tcW w:w="2538" w:type="dxa"/>
            <w:vAlign w:val="center"/>
          </w:tcPr>
          <w:p w14:paraId="3EECFEF8">
            <w:pPr>
              <w:jc w:val="center"/>
              <w:rPr>
                <w:rFonts w:ascii="宋体"/>
                <w:b/>
                <w:sz w:val="22"/>
                <w:szCs w:val="22"/>
              </w:rPr>
            </w:pPr>
          </w:p>
        </w:tc>
        <w:tc>
          <w:tcPr>
            <w:tcW w:w="1368" w:type="dxa"/>
            <w:vAlign w:val="center"/>
          </w:tcPr>
          <w:p w14:paraId="310FC8FC">
            <w:pPr>
              <w:snapToGrid w:val="0"/>
              <w:spacing w:line="400" w:lineRule="atLeast"/>
              <w:jc w:val="center"/>
              <w:rPr>
                <w:rFonts w:ascii="宋体"/>
                <w:b/>
                <w:sz w:val="22"/>
                <w:szCs w:val="22"/>
              </w:rPr>
            </w:pPr>
          </w:p>
        </w:tc>
        <w:tc>
          <w:tcPr>
            <w:tcW w:w="1095" w:type="dxa"/>
            <w:vAlign w:val="center"/>
          </w:tcPr>
          <w:p w14:paraId="0B93AD15">
            <w:pPr>
              <w:snapToGrid w:val="0"/>
              <w:spacing w:line="400" w:lineRule="atLeast"/>
              <w:jc w:val="center"/>
              <w:rPr>
                <w:rFonts w:ascii="宋体"/>
                <w:b/>
                <w:sz w:val="22"/>
                <w:szCs w:val="22"/>
              </w:rPr>
            </w:pPr>
          </w:p>
        </w:tc>
        <w:tc>
          <w:tcPr>
            <w:tcW w:w="1096" w:type="dxa"/>
            <w:vAlign w:val="center"/>
          </w:tcPr>
          <w:p w14:paraId="68BA159E">
            <w:pPr>
              <w:jc w:val="center"/>
              <w:rPr>
                <w:rFonts w:ascii="宋体"/>
                <w:b/>
                <w:sz w:val="22"/>
                <w:szCs w:val="22"/>
              </w:rPr>
            </w:pPr>
          </w:p>
        </w:tc>
        <w:tc>
          <w:tcPr>
            <w:tcW w:w="2627" w:type="dxa"/>
            <w:gridSpan w:val="2"/>
            <w:vAlign w:val="center"/>
          </w:tcPr>
          <w:p w14:paraId="47FB6DB3">
            <w:pPr>
              <w:jc w:val="center"/>
              <w:rPr>
                <w:rFonts w:ascii="宋体"/>
                <w:b/>
                <w:sz w:val="22"/>
                <w:szCs w:val="22"/>
              </w:rPr>
            </w:pPr>
          </w:p>
        </w:tc>
      </w:tr>
      <w:tr w14:paraId="76879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14:paraId="08FF501D">
            <w:pPr>
              <w:jc w:val="center"/>
              <w:rPr>
                <w:rFonts w:ascii="宋体"/>
                <w:b/>
                <w:sz w:val="22"/>
                <w:szCs w:val="22"/>
              </w:rPr>
            </w:pPr>
          </w:p>
        </w:tc>
        <w:tc>
          <w:tcPr>
            <w:tcW w:w="2538" w:type="dxa"/>
            <w:vAlign w:val="center"/>
          </w:tcPr>
          <w:p w14:paraId="51FC6FD4">
            <w:pPr>
              <w:jc w:val="center"/>
              <w:rPr>
                <w:rFonts w:ascii="宋体"/>
                <w:b/>
                <w:sz w:val="22"/>
                <w:szCs w:val="22"/>
              </w:rPr>
            </w:pPr>
          </w:p>
        </w:tc>
        <w:tc>
          <w:tcPr>
            <w:tcW w:w="1368" w:type="dxa"/>
            <w:vAlign w:val="center"/>
          </w:tcPr>
          <w:p w14:paraId="280DBB2E">
            <w:pPr>
              <w:snapToGrid w:val="0"/>
              <w:spacing w:line="400" w:lineRule="atLeast"/>
              <w:jc w:val="center"/>
              <w:rPr>
                <w:rFonts w:ascii="宋体"/>
                <w:b/>
                <w:sz w:val="22"/>
                <w:szCs w:val="22"/>
              </w:rPr>
            </w:pPr>
          </w:p>
        </w:tc>
        <w:tc>
          <w:tcPr>
            <w:tcW w:w="1095" w:type="dxa"/>
            <w:vAlign w:val="center"/>
          </w:tcPr>
          <w:p w14:paraId="732CEEA3">
            <w:pPr>
              <w:snapToGrid w:val="0"/>
              <w:spacing w:line="400" w:lineRule="atLeast"/>
              <w:jc w:val="center"/>
              <w:rPr>
                <w:rFonts w:ascii="宋体"/>
                <w:b/>
                <w:sz w:val="22"/>
                <w:szCs w:val="22"/>
              </w:rPr>
            </w:pPr>
          </w:p>
        </w:tc>
        <w:tc>
          <w:tcPr>
            <w:tcW w:w="1096" w:type="dxa"/>
            <w:tcBorders>
              <w:right w:val="single" w:color="auto" w:sz="4" w:space="0"/>
            </w:tcBorders>
            <w:vAlign w:val="center"/>
          </w:tcPr>
          <w:p w14:paraId="41041204">
            <w:pPr>
              <w:jc w:val="center"/>
              <w:rPr>
                <w:rFonts w:ascii="宋体"/>
                <w:b/>
                <w:sz w:val="22"/>
                <w:szCs w:val="22"/>
              </w:rPr>
            </w:pPr>
          </w:p>
        </w:tc>
        <w:tc>
          <w:tcPr>
            <w:tcW w:w="2627" w:type="dxa"/>
            <w:gridSpan w:val="2"/>
            <w:tcBorders>
              <w:left w:val="single" w:color="auto" w:sz="4" w:space="0"/>
            </w:tcBorders>
            <w:vAlign w:val="center"/>
          </w:tcPr>
          <w:p w14:paraId="6ED2AEAF">
            <w:pPr>
              <w:jc w:val="center"/>
              <w:rPr>
                <w:rFonts w:ascii="宋体"/>
                <w:b/>
                <w:sz w:val="22"/>
                <w:szCs w:val="22"/>
              </w:rPr>
            </w:pPr>
          </w:p>
        </w:tc>
      </w:tr>
      <w:tr w14:paraId="67151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14:paraId="42E2F3B3">
            <w:pPr>
              <w:jc w:val="center"/>
              <w:rPr>
                <w:rFonts w:ascii="宋体"/>
                <w:b/>
                <w:sz w:val="22"/>
                <w:szCs w:val="22"/>
              </w:rPr>
            </w:pPr>
          </w:p>
        </w:tc>
        <w:tc>
          <w:tcPr>
            <w:tcW w:w="2538" w:type="dxa"/>
            <w:vAlign w:val="center"/>
          </w:tcPr>
          <w:p w14:paraId="44F9B47D">
            <w:pPr>
              <w:jc w:val="center"/>
              <w:rPr>
                <w:rFonts w:ascii="宋体"/>
                <w:b/>
                <w:sz w:val="22"/>
                <w:szCs w:val="22"/>
              </w:rPr>
            </w:pPr>
          </w:p>
        </w:tc>
        <w:tc>
          <w:tcPr>
            <w:tcW w:w="1368" w:type="dxa"/>
            <w:vAlign w:val="center"/>
          </w:tcPr>
          <w:p w14:paraId="2E185461">
            <w:pPr>
              <w:snapToGrid w:val="0"/>
              <w:spacing w:line="400" w:lineRule="atLeast"/>
              <w:jc w:val="center"/>
              <w:rPr>
                <w:rFonts w:ascii="宋体"/>
                <w:b/>
                <w:sz w:val="22"/>
                <w:szCs w:val="22"/>
              </w:rPr>
            </w:pPr>
          </w:p>
        </w:tc>
        <w:tc>
          <w:tcPr>
            <w:tcW w:w="1095" w:type="dxa"/>
            <w:vAlign w:val="center"/>
          </w:tcPr>
          <w:p w14:paraId="36D285F3">
            <w:pPr>
              <w:snapToGrid w:val="0"/>
              <w:spacing w:line="400" w:lineRule="atLeast"/>
              <w:jc w:val="center"/>
              <w:rPr>
                <w:rFonts w:ascii="宋体"/>
                <w:b/>
                <w:sz w:val="22"/>
                <w:szCs w:val="22"/>
              </w:rPr>
            </w:pPr>
          </w:p>
        </w:tc>
        <w:tc>
          <w:tcPr>
            <w:tcW w:w="1103" w:type="dxa"/>
            <w:gridSpan w:val="2"/>
            <w:tcBorders>
              <w:right w:val="single" w:color="auto" w:sz="4" w:space="0"/>
            </w:tcBorders>
            <w:vAlign w:val="center"/>
          </w:tcPr>
          <w:p w14:paraId="69ACE174">
            <w:pPr>
              <w:jc w:val="center"/>
              <w:rPr>
                <w:rFonts w:ascii="宋体"/>
                <w:b/>
                <w:sz w:val="22"/>
                <w:szCs w:val="22"/>
              </w:rPr>
            </w:pPr>
          </w:p>
        </w:tc>
        <w:tc>
          <w:tcPr>
            <w:tcW w:w="2620" w:type="dxa"/>
            <w:tcBorders>
              <w:left w:val="single" w:color="auto" w:sz="4" w:space="0"/>
            </w:tcBorders>
            <w:vAlign w:val="center"/>
          </w:tcPr>
          <w:p w14:paraId="144E4FFE">
            <w:pPr>
              <w:jc w:val="center"/>
              <w:rPr>
                <w:rFonts w:ascii="宋体"/>
                <w:b/>
                <w:sz w:val="22"/>
                <w:szCs w:val="22"/>
              </w:rPr>
            </w:pPr>
          </w:p>
        </w:tc>
      </w:tr>
      <w:tr w14:paraId="7AEF9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3451" w:type="dxa"/>
            <w:gridSpan w:val="2"/>
            <w:vAlign w:val="center"/>
          </w:tcPr>
          <w:p w14:paraId="5FA9D508">
            <w:pPr>
              <w:jc w:val="center"/>
              <w:rPr>
                <w:rFonts w:ascii="宋体"/>
                <w:b/>
                <w:sz w:val="22"/>
                <w:szCs w:val="22"/>
              </w:rPr>
            </w:pPr>
            <w:r>
              <w:rPr>
                <w:rFonts w:hint="eastAsia" w:ascii="宋体"/>
                <w:b/>
                <w:sz w:val="22"/>
                <w:szCs w:val="22"/>
              </w:rPr>
              <w:t>合计报价</w:t>
            </w:r>
          </w:p>
        </w:tc>
        <w:tc>
          <w:tcPr>
            <w:tcW w:w="6186" w:type="dxa"/>
            <w:gridSpan w:val="5"/>
            <w:vAlign w:val="center"/>
          </w:tcPr>
          <w:p w14:paraId="790CC004">
            <w:pPr>
              <w:jc w:val="center"/>
              <w:rPr>
                <w:rFonts w:ascii="宋体"/>
                <w:b/>
                <w:sz w:val="22"/>
                <w:szCs w:val="22"/>
              </w:rPr>
            </w:pPr>
          </w:p>
        </w:tc>
      </w:tr>
    </w:tbl>
    <w:p w14:paraId="585190D5">
      <w:pPr>
        <w:rPr>
          <w:rFonts w:ascii="宋体" w:cs="Arial"/>
          <w:bCs/>
        </w:rPr>
      </w:pPr>
    </w:p>
    <w:p w14:paraId="7563ED83">
      <w:pPr>
        <w:spacing w:line="360" w:lineRule="auto"/>
        <w:rPr>
          <w:rFonts w:ascii="宋体" w:cs="Arial"/>
        </w:rPr>
      </w:pPr>
      <w:r>
        <w:rPr>
          <w:rFonts w:hint="eastAsia" w:ascii="宋体" w:cs="Arial"/>
          <w:bCs/>
        </w:rPr>
        <w:t>附注</w:t>
      </w:r>
      <w:r>
        <w:rPr>
          <w:rFonts w:ascii="宋体" w:cs="Arial"/>
          <w:bCs/>
        </w:rPr>
        <w:t>：</w:t>
      </w:r>
      <w:r>
        <w:rPr>
          <w:rFonts w:ascii="宋体" w:cs="Arial"/>
        </w:rPr>
        <w:t>1</w:t>
      </w:r>
      <w:r>
        <w:rPr>
          <w:rFonts w:hint="eastAsia" w:ascii="宋体" w:cs="Arial"/>
        </w:rPr>
        <w:t>.★</w:t>
      </w:r>
      <w:r>
        <w:rPr>
          <w:rFonts w:ascii="宋体" w:cs="Arial"/>
        </w:rPr>
        <w:t>不提供详细分项报价表将视为没有实质性响应招标文件。</w:t>
      </w:r>
    </w:p>
    <w:p w14:paraId="41FB55B9">
      <w:pPr>
        <w:spacing w:line="360" w:lineRule="auto"/>
        <w:ind w:firstLine="630"/>
        <w:rPr>
          <w:rFonts w:ascii="宋体"/>
          <w:sz w:val="22"/>
          <w:szCs w:val="22"/>
        </w:rPr>
      </w:pPr>
      <w:r>
        <w:rPr>
          <w:rFonts w:hint="eastAsia" w:ascii="宋体" w:cs="Arial"/>
          <w:b/>
          <w:lang w:val="en-US" w:eastAsia="zh-CN"/>
        </w:rPr>
        <w:t>2.</w:t>
      </w:r>
      <w:r>
        <w:rPr>
          <w:rFonts w:hint="eastAsia" w:ascii="宋体" w:cs="Arial"/>
          <w:b/>
        </w:rPr>
        <w:t>表格可以延续。</w:t>
      </w:r>
      <w:r>
        <w:rPr>
          <w:rFonts w:hint="eastAsia" w:ascii="宋体"/>
          <w:sz w:val="22"/>
          <w:szCs w:val="22"/>
        </w:rPr>
        <w:t xml:space="preserve"> </w:t>
      </w:r>
    </w:p>
    <w:p w14:paraId="069E5843">
      <w:pPr>
        <w:pStyle w:val="2"/>
        <w:ind w:firstLine="220"/>
        <w:rPr>
          <w:rFonts w:ascii="宋体" w:cs="仿宋_GB2312"/>
          <w:sz w:val="22"/>
          <w:szCs w:val="22"/>
          <w:lang w:val="zh-CN"/>
        </w:rPr>
      </w:pPr>
    </w:p>
    <w:p w14:paraId="55F66CD0">
      <w:pPr>
        <w:pStyle w:val="2"/>
        <w:ind w:firstLine="220"/>
        <w:rPr>
          <w:rFonts w:ascii="宋体" w:cs="仿宋_GB2312"/>
          <w:sz w:val="22"/>
          <w:szCs w:val="22"/>
          <w:lang w:val="zh-CN"/>
        </w:rPr>
      </w:pPr>
    </w:p>
    <w:p w14:paraId="2338DEF7">
      <w:pPr>
        <w:pStyle w:val="21"/>
        <w:spacing w:line="400" w:lineRule="exact"/>
        <w:rPr>
          <w:rFonts w:hint="eastAsia" w:hAnsi="宋体"/>
          <w:b/>
          <w:color w:val="000000"/>
          <w:sz w:val="22"/>
        </w:rPr>
      </w:pPr>
      <w:r>
        <w:rPr>
          <w:rFonts w:hint="eastAsia" w:hAnsi="宋体"/>
          <w:b/>
          <w:color w:val="000000"/>
          <w:sz w:val="22"/>
        </w:rPr>
        <w:t>供应商名称（盖章）：</w:t>
      </w:r>
    </w:p>
    <w:p w14:paraId="06AE2416">
      <w:pPr>
        <w:pStyle w:val="21"/>
        <w:spacing w:line="400" w:lineRule="exact"/>
        <w:rPr>
          <w:rFonts w:hint="eastAsia" w:hAnsi="宋体"/>
          <w:b/>
          <w:color w:val="000000"/>
          <w:sz w:val="22"/>
        </w:rPr>
      </w:pPr>
      <w:r>
        <w:rPr>
          <w:rFonts w:hAnsi="宋体"/>
          <w:b/>
          <w:color w:val="000000"/>
          <w:sz w:val="22"/>
        </w:rPr>
        <w:t>法定代表人或授权代表（签字或盖章）</w:t>
      </w:r>
      <w:r>
        <w:rPr>
          <w:rFonts w:hint="eastAsia" w:hAnsi="宋体"/>
          <w:b/>
          <w:color w:val="000000"/>
          <w:sz w:val="22"/>
        </w:rPr>
        <w:t>：</w:t>
      </w:r>
    </w:p>
    <w:p w14:paraId="0F66EDD5">
      <w:pPr>
        <w:pStyle w:val="21"/>
        <w:spacing w:line="400" w:lineRule="exact"/>
        <w:rPr>
          <w:rFonts w:hint="eastAsia" w:hAnsi="宋体"/>
          <w:b/>
          <w:color w:val="000000"/>
          <w:sz w:val="22"/>
        </w:rPr>
      </w:pPr>
      <w:r>
        <w:rPr>
          <w:rFonts w:hint="eastAsia" w:hAnsi="宋体"/>
          <w:b/>
          <w:color w:val="000000"/>
          <w:sz w:val="22"/>
        </w:rPr>
        <w:t>日    期：</w:t>
      </w:r>
    </w:p>
    <w:p w14:paraId="3925B93B">
      <w:pPr>
        <w:rPr>
          <w:rFonts w:hint="eastAsia" w:ascii="宋体" w:hAnsi="宋体"/>
          <w:sz w:val="36"/>
        </w:rPr>
      </w:pPr>
      <w:r>
        <w:rPr>
          <w:rFonts w:hint="eastAsia" w:ascii="宋体" w:hAnsi="宋体"/>
          <w:sz w:val="36"/>
        </w:rPr>
        <w:br w:type="page"/>
      </w:r>
    </w:p>
    <w:p w14:paraId="21885A07">
      <w:pPr>
        <w:autoSpaceDE w:val="0"/>
        <w:autoSpaceDN w:val="0"/>
        <w:adjustRightInd w:val="0"/>
        <w:snapToGrid w:val="0"/>
        <w:spacing w:line="360" w:lineRule="atLeast"/>
        <w:jc w:val="center"/>
        <w:textAlignment w:val="bottom"/>
        <w:outlineLvl w:val="0"/>
        <w:rPr>
          <w:rFonts w:ascii="宋体" w:hAnsi="宋体"/>
          <w:sz w:val="36"/>
        </w:rPr>
      </w:pPr>
      <w:r>
        <w:rPr>
          <w:rFonts w:hint="eastAsia" w:ascii="宋体" w:hAnsi="宋体"/>
          <w:sz w:val="36"/>
        </w:rPr>
        <w:t>第六部分   评标办法</w:t>
      </w:r>
    </w:p>
    <w:p w14:paraId="47D0F311">
      <w:pPr>
        <w:tabs>
          <w:tab w:val="left" w:pos="8820"/>
        </w:tabs>
        <w:adjustRightInd w:val="0"/>
        <w:snapToGrid w:val="0"/>
        <w:spacing w:line="240" w:lineRule="exact"/>
        <w:ind w:firstLine="446" w:firstLineChars="200"/>
        <w:rPr>
          <w:rFonts w:ascii="宋体" w:hAnsi="宋体"/>
          <w:sz w:val="22"/>
          <w:szCs w:val="22"/>
        </w:rPr>
      </w:pPr>
    </w:p>
    <w:p w14:paraId="6967EE9A">
      <w:pPr>
        <w:pStyle w:val="23"/>
        <w:adjustRightInd w:val="0"/>
        <w:snapToGrid w:val="0"/>
        <w:spacing w:line="400" w:lineRule="exact"/>
        <w:rPr>
          <w:rFonts w:hint="eastAsia" w:hAnsi="宋体" w:cs="宋体"/>
          <w:color w:val="auto"/>
          <w:sz w:val="22"/>
          <w:szCs w:val="22"/>
          <w:highlight w:val="none"/>
        </w:rPr>
      </w:pPr>
      <w:r>
        <w:rPr>
          <w:rFonts w:hint="eastAsia" w:hAnsi="宋体" w:cs="宋体"/>
          <w:color w:val="auto"/>
          <w:sz w:val="22"/>
          <w:szCs w:val="22"/>
          <w:highlight w:val="none"/>
        </w:rPr>
        <w:t>根据《中华人民共和国政府采购法》等有关政府采购法规，结合本次采购的实际，按照公平、公正、科学、择优的原则选择中标供应商，特制定本评标办法。</w:t>
      </w:r>
    </w:p>
    <w:p w14:paraId="1060AAC8">
      <w:pPr>
        <w:spacing w:line="360" w:lineRule="auto"/>
        <w:jc w:val="center"/>
        <w:outlineLvl w:val="1"/>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一、总则</w:t>
      </w:r>
    </w:p>
    <w:p w14:paraId="7E8B6FB2">
      <w:pPr>
        <w:pStyle w:val="23"/>
        <w:adjustRightInd w:val="0"/>
        <w:snapToGrid w:val="0"/>
        <w:spacing w:line="400" w:lineRule="exact"/>
        <w:rPr>
          <w:rFonts w:hint="eastAsia"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w:t>
      </w:r>
      <w:r>
        <w:rPr>
          <w:rFonts w:hint="eastAsia" w:hAnsi="宋体" w:cs="宋体"/>
          <w:color w:val="auto"/>
          <w:sz w:val="22"/>
          <w:szCs w:val="22"/>
          <w:highlight w:val="none"/>
          <w:lang w:eastAsia="zh-CN"/>
        </w:rPr>
        <w:t>不得泄露</w:t>
      </w:r>
      <w:r>
        <w:rPr>
          <w:rFonts w:hint="eastAsia" w:hAnsi="宋体" w:cs="宋体"/>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623CF301">
      <w:pPr>
        <w:spacing w:line="360" w:lineRule="auto"/>
        <w:jc w:val="center"/>
        <w:outlineLvl w:val="1"/>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二、评标组织</w:t>
      </w:r>
    </w:p>
    <w:p w14:paraId="4E92F151">
      <w:pPr>
        <w:pStyle w:val="23"/>
        <w:adjustRightInd w:val="0"/>
        <w:snapToGrid w:val="0"/>
        <w:spacing w:line="420" w:lineRule="atLeast"/>
        <w:rPr>
          <w:rFonts w:hint="eastAsia"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w:t>
      </w:r>
      <w:r>
        <w:rPr>
          <w:rFonts w:hint="eastAsia" w:hAnsi="宋体" w:cs="宋体"/>
          <w:color w:val="auto"/>
          <w:sz w:val="22"/>
          <w:szCs w:val="22"/>
          <w:highlight w:val="none"/>
          <w:lang w:val="en-US" w:eastAsia="zh-CN"/>
        </w:rPr>
        <w:t>7</w:t>
      </w:r>
      <w:r>
        <w:rPr>
          <w:rFonts w:hint="eastAsia" w:hAnsi="宋体" w:cs="宋体"/>
          <w:color w:val="auto"/>
          <w:sz w:val="22"/>
          <w:szCs w:val="22"/>
          <w:highlight w:val="none"/>
        </w:rPr>
        <w:t>人或以上单数，其中评审专家不得少于成员总数的三分之二；评审专家确定方式：按相关规定从专家库中抽取。评标全过程由招标管理部门监督整个开标、评标和定标过程。</w:t>
      </w:r>
    </w:p>
    <w:p w14:paraId="0C5E8D05">
      <w:pPr>
        <w:spacing w:line="360" w:lineRule="auto"/>
        <w:jc w:val="center"/>
        <w:outlineLvl w:val="1"/>
        <w:rPr>
          <w:rFonts w:hint="default" w:ascii="宋体" w:hAnsi="宋体" w:eastAsia="宋体" w:cs="宋体"/>
          <w:b/>
          <w:sz w:val="28"/>
          <w:szCs w:val="28"/>
          <w:lang w:val="en-US" w:eastAsia="zh-CN"/>
        </w:rPr>
      </w:pPr>
      <w:r>
        <w:rPr>
          <w:rFonts w:hint="eastAsia" w:ascii="宋体" w:hAnsi="宋体" w:eastAsia="宋体" w:cs="宋体"/>
          <w:b/>
          <w:sz w:val="28"/>
          <w:szCs w:val="28"/>
        </w:rPr>
        <w:t>三、</w:t>
      </w:r>
      <w:r>
        <w:rPr>
          <w:rFonts w:hint="eastAsia" w:ascii="宋体" w:hAnsi="宋体" w:eastAsia="宋体" w:cs="宋体"/>
          <w:b/>
          <w:sz w:val="28"/>
          <w:szCs w:val="28"/>
          <w:lang w:val="en-US" w:eastAsia="zh-CN"/>
        </w:rPr>
        <w:t>评标程序</w:t>
      </w:r>
    </w:p>
    <w:p w14:paraId="13A98B85">
      <w:pPr>
        <w:pStyle w:val="30"/>
        <w:snapToGrid w:val="0"/>
        <w:spacing w:line="420" w:lineRule="atLeast"/>
        <w:ind w:firstLine="44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供应商名单，并提交书面评审报告。采购人授权由评标委员会根据评审报告直接确定综合得分第一名的供应商为中标供应商。如果第一名得分相同，以报价低的优先。得分、投标报价和</w:t>
      </w:r>
      <w:r>
        <w:rPr>
          <w:rFonts w:hint="eastAsia" w:ascii="宋体" w:hAnsi="宋体" w:cs="宋体"/>
          <w:color w:val="auto"/>
          <w:sz w:val="22"/>
          <w:szCs w:val="22"/>
          <w:highlight w:val="none"/>
          <w:lang w:eastAsia="zh-CN"/>
        </w:rPr>
        <w:t>商务技术</w:t>
      </w:r>
      <w:r>
        <w:rPr>
          <w:rFonts w:hint="eastAsia" w:ascii="宋体" w:hAnsi="宋体" w:eastAsia="宋体" w:cs="宋体"/>
          <w:color w:val="auto"/>
          <w:sz w:val="22"/>
          <w:szCs w:val="22"/>
          <w:highlight w:val="none"/>
        </w:rPr>
        <w:t>得分均相同的由</w:t>
      </w:r>
      <w:r>
        <w:rPr>
          <w:rFonts w:hint="eastAsia" w:ascii="宋体" w:hAnsi="宋体" w:eastAsia="宋体" w:cs="宋体"/>
          <w:color w:val="auto"/>
          <w:sz w:val="22"/>
          <w:szCs w:val="22"/>
          <w:highlight w:val="none"/>
          <w:lang w:val="en-US" w:eastAsia="zh-CN"/>
        </w:rPr>
        <w:t>评标委员会</w:t>
      </w:r>
      <w:r>
        <w:rPr>
          <w:rFonts w:hint="eastAsia" w:ascii="宋体" w:hAnsi="宋体" w:eastAsia="宋体" w:cs="宋体"/>
          <w:color w:val="auto"/>
          <w:sz w:val="22"/>
          <w:szCs w:val="22"/>
          <w:highlight w:val="none"/>
        </w:rPr>
        <w:t>全体成员记名投票按少数服从多数的原则确定排名。</w:t>
      </w:r>
    </w:p>
    <w:p w14:paraId="21583F27">
      <w:pPr>
        <w:adjustRightInd w:val="0"/>
        <w:snapToGrid w:val="0"/>
        <w:spacing w:line="420" w:lineRule="atLeast"/>
        <w:ind w:firstLine="420"/>
        <w:rPr>
          <w:rFonts w:hint="eastAsia"/>
          <w:color w:val="auto"/>
          <w:highlight w:val="none"/>
        </w:rPr>
      </w:pPr>
      <w:r>
        <w:rPr>
          <w:rFonts w:hint="eastAsia"/>
          <w:color w:val="auto"/>
          <w:sz w:val="22"/>
          <w:szCs w:val="22"/>
          <w:highlight w:val="none"/>
        </w:rPr>
        <w:t>中标供应商放弃中标，或者因不可抗力提出不能履行合同，采购机构可以取消其中标资格。本次采购失败，依法重新组织采购。</w:t>
      </w:r>
    </w:p>
    <w:p w14:paraId="7089854C">
      <w:pPr>
        <w:adjustRightInd w:val="0"/>
        <w:snapToGrid w:val="0"/>
        <w:spacing w:before="100" w:after="50"/>
        <w:ind w:firstLine="420"/>
        <w:rPr>
          <w:rFonts w:hint="eastAsia"/>
          <w:color w:val="auto"/>
          <w:sz w:val="22"/>
          <w:szCs w:val="22"/>
          <w:highlight w:val="none"/>
        </w:rPr>
      </w:pPr>
      <w:r>
        <w:rPr>
          <w:rFonts w:hint="eastAsia"/>
          <w:b/>
          <w:color w:val="auto"/>
          <w:sz w:val="22"/>
          <w:szCs w:val="22"/>
          <w:highlight w:val="none"/>
          <w:lang w:eastAsia="zh-CN"/>
        </w:rPr>
        <w:t>其他</w:t>
      </w:r>
      <w:r>
        <w:rPr>
          <w:rFonts w:hint="eastAsia"/>
          <w:b/>
          <w:color w:val="auto"/>
          <w:sz w:val="22"/>
          <w:szCs w:val="22"/>
          <w:highlight w:val="none"/>
        </w:rPr>
        <w:t>参见本采购文件第三部分：“供应商须知”中的相关内容。</w:t>
      </w:r>
    </w:p>
    <w:p w14:paraId="431B4F96">
      <w:pPr>
        <w:spacing w:line="360" w:lineRule="auto"/>
        <w:jc w:val="center"/>
        <w:outlineLvl w:val="1"/>
        <w:rPr>
          <w:rFonts w:ascii="宋体" w:hAnsi="宋体" w:cs="宋体"/>
          <w:b/>
          <w:sz w:val="28"/>
          <w:szCs w:val="28"/>
        </w:rPr>
      </w:pPr>
      <w:r>
        <w:rPr>
          <w:rFonts w:hint="eastAsia" w:ascii="宋体" w:hAnsi="宋体" w:cs="宋体"/>
          <w:b/>
          <w:sz w:val="28"/>
          <w:szCs w:val="28"/>
        </w:rPr>
        <w:t>四、评标办法</w:t>
      </w:r>
    </w:p>
    <w:p w14:paraId="26ECD445">
      <w:pPr>
        <w:pStyle w:val="21"/>
        <w:adjustRightInd w:val="0"/>
        <w:snapToGrid w:val="0"/>
        <w:spacing w:line="360" w:lineRule="auto"/>
        <w:outlineLvl w:val="2"/>
        <w:rPr>
          <w:rFonts w:hAnsi="宋体"/>
          <w:b/>
          <w:sz w:val="22"/>
          <w:szCs w:val="22"/>
        </w:rPr>
      </w:pPr>
      <w:r>
        <w:rPr>
          <w:rFonts w:hint="eastAsia" w:hAnsi="宋体"/>
          <w:b/>
          <w:sz w:val="22"/>
          <w:szCs w:val="22"/>
        </w:rPr>
        <w:t>一．商务报价评分</w:t>
      </w:r>
      <w:r>
        <w:rPr>
          <w:rFonts w:hint="eastAsia" w:hAnsi="宋体"/>
          <w:b/>
          <w:sz w:val="22"/>
          <w:szCs w:val="22"/>
          <w:lang w:val="en-US" w:eastAsia="zh-CN"/>
        </w:rPr>
        <w:t>30</w:t>
      </w:r>
      <w:r>
        <w:rPr>
          <w:rFonts w:hint="eastAsia" w:hAnsi="宋体"/>
          <w:b/>
          <w:sz w:val="22"/>
          <w:szCs w:val="22"/>
        </w:rPr>
        <w:t>分</w:t>
      </w:r>
    </w:p>
    <w:p w14:paraId="7AD7A18D">
      <w:pPr>
        <w:pStyle w:val="21"/>
        <w:adjustRightInd w:val="0"/>
        <w:snapToGrid w:val="0"/>
        <w:spacing w:line="360" w:lineRule="auto"/>
        <w:ind w:firstLine="446" w:firstLineChars="200"/>
        <w:rPr>
          <w:rFonts w:hAnsi="宋体"/>
          <w:sz w:val="22"/>
          <w:szCs w:val="22"/>
        </w:rPr>
      </w:pPr>
      <w:r>
        <w:rPr>
          <w:rFonts w:hint="eastAsia" w:hAnsi="宋体"/>
          <w:sz w:val="22"/>
          <w:szCs w:val="22"/>
        </w:rPr>
        <w:t>1、以供应商有效投标价中的最低价为评标基准价，得满分</w:t>
      </w:r>
      <w:r>
        <w:rPr>
          <w:rFonts w:hint="eastAsia" w:hAnsi="宋体"/>
          <w:sz w:val="22"/>
          <w:szCs w:val="22"/>
          <w:lang w:val="en-US" w:eastAsia="zh-CN"/>
        </w:rPr>
        <w:t>30</w:t>
      </w:r>
      <w:r>
        <w:rPr>
          <w:rFonts w:hint="eastAsia" w:hAnsi="宋体"/>
          <w:sz w:val="22"/>
          <w:szCs w:val="22"/>
        </w:rPr>
        <w:t>分。各标段商务报价评分结算公式为:投标报价得分=(评标基准价／投标报价)×</w:t>
      </w:r>
      <w:r>
        <w:rPr>
          <w:rFonts w:hint="eastAsia" w:hAnsi="宋体"/>
          <w:sz w:val="22"/>
          <w:szCs w:val="22"/>
          <w:lang w:val="en-US" w:eastAsia="zh-CN"/>
        </w:rPr>
        <w:t>30</w:t>
      </w:r>
      <w:r>
        <w:rPr>
          <w:rFonts w:hint="eastAsia" w:hAnsi="宋体"/>
          <w:sz w:val="22"/>
          <w:szCs w:val="22"/>
        </w:rPr>
        <w:t>%×100。</w:t>
      </w:r>
    </w:p>
    <w:p w14:paraId="7A8E28B3">
      <w:pPr>
        <w:adjustRightInd w:val="0"/>
        <w:snapToGrid w:val="0"/>
        <w:spacing w:before="100" w:after="50" w:line="360" w:lineRule="auto"/>
        <w:ind w:firstLine="420"/>
        <w:rPr>
          <w:rFonts w:ascii="宋体"/>
          <w:b/>
          <w:szCs w:val="21"/>
          <w:u w:val="single"/>
        </w:rPr>
      </w:pPr>
      <w:r>
        <w:rPr>
          <w:rFonts w:hint="eastAsia" w:ascii="宋体"/>
          <w:b/>
          <w:szCs w:val="21"/>
          <w:u w:val="single"/>
        </w:rPr>
        <w:t>2、本项目依据《政府采购促进中小企业发展管理办法》（财库〔2020〕46号）规定，属于预留份额专门面向中小企业/小微企业（监狱企业，残疾人福利性单位视同小型、微型企业）采购的项目，大型企业不得参与。注：项目的服务全部由符合政策要求的中小企业/小微企业（监狱企业，残疾人福利性单位视同小型、微型企业）承担，否则不得参加本项目投标。</w:t>
      </w:r>
    </w:p>
    <w:p w14:paraId="5552806D">
      <w:pPr>
        <w:adjustRightInd w:val="0"/>
        <w:snapToGrid w:val="0"/>
        <w:spacing w:before="100" w:after="50" w:line="360" w:lineRule="auto"/>
        <w:ind w:firstLine="420"/>
        <w:rPr>
          <w:rFonts w:ascii="宋体"/>
          <w:b/>
          <w:szCs w:val="21"/>
          <w:u w:val="single"/>
        </w:rPr>
      </w:pPr>
      <w:r>
        <w:rPr>
          <w:rFonts w:hint="eastAsia" w:ascii="宋体"/>
          <w:b/>
          <w:szCs w:val="21"/>
          <w:u w:val="single"/>
        </w:rPr>
        <w:t>小微企业划分标准依据《关于印发中小企业划型标准规定的通知》（工信部联企业[2011]300号）、国家统计局关于印发《统计上大中小微型企业划分办法（2017）》的通知（国统字〔2017〕213号）规定。</w:t>
      </w:r>
    </w:p>
    <w:p w14:paraId="5298D6B6">
      <w:pPr>
        <w:pStyle w:val="21"/>
        <w:spacing w:line="360" w:lineRule="auto"/>
        <w:ind w:firstLine="426" w:firstLineChars="200"/>
        <w:rPr>
          <w:rFonts w:hAnsi="宋体" w:cs="宋体"/>
        </w:rPr>
      </w:pPr>
      <w:r>
        <w:rPr>
          <w:rFonts w:hint="eastAsia" w:hAnsi="宋体" w:cs="宋体"/>
        </w:rPr>
        <w:t>3、符合《财政部、司法部关于政府采购支持监狱企业发展有关问题的通知》（财库[2014]68 号）规定的监狱企业，由本单位提供服务参加政府采购活动时，视同小型、微型企业享受扶持政策。</w:t>
      </w:r>
    </w:p>
    <w:p w14:paraId="6E6128C7">
      <w:pPr>
        <w:pStyle w:val="21"/>
        <w:spacing w:line="360" w:lineRule="auto"/>
        <w:ind w:firstLine="426" w:firstLineChars="200"/>
        <w:rPr>
          <w:rFonts w:hAnsi="宋体" w:cs="宋体"/>
        </w:rPr>
      </w:pPr>
      <w:r>
        <w:rPr>
          <w:rFonts w:hint="eastAsia" w:hAnsi="宋体" w:cs="宋体"/>
        </w:rPr>
        <w:t>备注：（1）监狱企业证明文件：省级或以上监狱管理局、戒毒管理局（含新疆生产建设兵团）出具的属于监狱企业的证明文件。</w:t>
      </w:r>
    </w:p>
    <w:p w14:paraId="09CE5B22">
      <w:pPr>
        <w:pStyle w:val="21"/>
        <w:spacing w:line="360" w:lineRule="auto"/>
        <w:ind w:firstLine="426" w:firstLineChars="200"/>
        <w:rPr>
          <w:rFonts w:hAnsi="宋体" w:cs="宋体"/>
        </w:rPr>
      </w:pPr>
      <w:r>
        <w:rPr>
          <w:rFonts w:hint="eastAsia" w:hAnsi="宋体" w:cs="宋体"/>
        </w:rPr>
        <w:t>4、符合《财政部、民政部、中国残疾人联合会关于促进残疾人就业政府采购政策的通知》（财库[2017]141 号）规定的残疾人福利性单位，由本单位提供服务参加政府采购活动时，视同小型、微型企业享受扶持政策。</w:t>
      </w:r>
    </w:p>
    <w:p w14:paraId="0874A4D6">
      <w:pPr>
        <w:pStyle w:val="21"/>
        <w:spacing w:line="360" w:lineRule="auto"/>
        <w:ind w:firstLine="426" w:firstLineChars="200"/>
      </w:pPr>
      <w:r>
        <w:rPr>
          <w:rFonts w:hint="eastAsia" w:hAnsi="宋体" w:cs="宋体"/>
        </w:rPr>
        <w:t>备注：（1）残疾人福利性单位证明材料：残疾人福利性单位声明函。</w:t>
      </w:r>
    </w:p>
    <w:p w14:paraId="6913E8D6">
      <w:pPr>
        <w:pStyle w:val="21"/>
        <w:spacing w:line="360" w:lineRule="auto"/>
        <w:ind w:firstLine="446" w:firstLineChars="200"/>
        <w:rPr>
          <w:rFonts w:hAnsi="宋体"/>
          <w:sz w:val="22"/>
          <w:szCs w:val="22"/>
        </w:rPr>
      </w:pPr>
      <w:r>
        <w:rPr>
          <w:rFonts w:hint="eastAsia" w:hAnsi="宋体"/>
          <w:sz w:val="22"/>
          <w:szCs w:val="22"/>
          <w:lang w:val="en-US" w:eastAsia="zh-CN"/>
        </w:rPr>
        <w:t>5</w:t>
      </w:r>
      <w:r>
        <w:rPr>
          <w:rFonts w:hint="eastAsia" w:hAnsi="宋体"/>
          <w:sz w:val="22"/>
          <w:szCs w:val="22"/>
        </w:rPr>
        <w:t>、本项目采购预算及最高限价为</w:t>
      </w:r>
      <w:r>
        <w:rPr>
          <w:rFonts w:hint="eastAsia" w:hAnsi="宋体"/>
          <w:b/>
          <w:bCs/>
          <w:sz w:val="22"/>
          <w:szCs w:val="22"/>
          <w:lang w:eastAsia="zh-CN"/>
        </w:rPr>
        <w:t>1089410元</w:t>
      </w:r>
      <w:r>
        <w:rPr>
          <w:rFonts w:hint="eastAsia" w:hAnsi="宋体"/>
          <w:sz w:val="22"/>
          <w:szCs w:val="22"/>
        </w:rPr>
        <w:t>，供应商投标报价超出该最高限价的，该供应商按无效投标处理。</w:t>
      </w:r>
    </w:p>
    <w:p w14:paraId="6EBAB9CA">
      <w:pPr>
        <w:pStyle w:val="21"/>
        <w:spacing w:line="360" w:lineRule="auto"/>
        <w:ind w:firstLine="446" w:firstLineChars="200"/>
        <w:rPr>
          <w:rFonts w:hint="eastAsia" w:hAnsi="宋体"/>
          <w:b/>
          <w:bCs/>
          <w:sz w:val="22"/>
          <w:szCs w:val="22"/>
        </w:rPr>
      </w:pPr>
      <w:r>
        <w:rPr>
          <w:rFonts w:hint="eastAsia" w:hAnsi="宋体"/>
          <w:b/>
          <w:bCs/>
          <w:sz w:val="22"/>
          <w:szCs w:val="22"/>
        </w:rPr>
        <w:t>▲</w:t>
      </w:r>
      <w:r>
        <w:rPr>
          <w:rFonts w:hint="eastAsia" w:hAnsi="宋体"/>
          <w:b/>
          <w:bCs/>
          <w:sz w:val="22"/>
          <w:szCs w:val="22"/>
          <w:lang w:val="en-US" w:eastAsia="zh-CN"/>
        </w:rPr>
        <w:t>6</w:t>
      </w:r>
      <w:r>
        <w:rPr>
          <w:rFonts w:hint="eastAsia" w:hAnsi="宋体"/>
          <w:b/>
          <w:bCs/>
          <w:sz w:val="22"/>
          <w:szCs w:val="22"/>
        </w:rPr>
        <w:t>、重要提示：为防止恶意竞标的行为，评审小组认为投标供应商的报价明显低于其他通过符合性审查的投标供应商的报价，有可能影响产品质量或者不能诚信履约的，将要求投标供应商在评审现场合理的时间内提供书面说明，必要时提交相关证明材料；投标供应商不能证明其报价合理性的，评审小组将认定为无效投标。</w:t>
      </w:r>
    </w:p>
    <w:p w14:paraId="6248E29E">
      <w:pPr>
        <w:pStyle w:val="21"/>
        <w:spacing w:line="360" w:lineRule="auto"/>
        <w:ind w:firstLine="446" w:firstLineChars="200"/>
        <w:rPr>
          <w:rFonts w:hint="eastAsia" w:hAnsi="宋体"/>
          <w:b/>
          <w:bCs/>
          <w:sz w:val="22"/>
          <w:szCs w:val="22"/>
        </w:rPr>
      </w:pPr>
      <w:r>
        <w:rPr>
          <w:rFonts w:hint="eastAsia" w:hAnsi="宋体"/>
          <w:b/>
          <w:bCs/>
          <w:sz w:val="22"/>
          <w:szCs w:val="22"/>
          <w:lang w:val="en-US" w:eastAsia="zh-CN"/>
        </w:rPr>
        <w:t>6.1</w:t>
      </w:r>
      <w:r>
        <w:rPr>
          <w:rFonts w:hint="eastAsia" w:hAnsi="宋体"/>
          <w:b/>
          <w:bCs/>
          <w:sz w:val="22"/>
          <w:szCs w:val="22"/>
        </w:rPr>
        <w:t xml:space="preserve">政府采购评审中出现下列情形之一的，评审委员会应当启动异常低价投标（响应）审查程序： </w:t>
      </w:r>
    </w:p>
    <w:p w14:paraId="7CDFBB89">
      <w:pPr>
        <w:pStyle w:val="21"/>
        <w:spacing w:line="360" w:lineRule="auto"/>
        <w:ind w:firstLine="446" w:firstLineChars="200"/>
        <w:rPr>
          <w:rFonts w:hint="eastAsia" w:hAnsi="宋体"/>
          <w:b/>
          <w:bCs/>
          <w:sz w:val="22"/>
          <w:szCs w:val="22"/>
        </w:rPr>
      </w:pPr>
      <w:r>
        <w:rPr>
          <w:rFonts w:hint="eastAsia" w:hAnsi="宋体"/>
          <w:b/>
          <w:bCs/>
          <w:sz w:val="22"/>
          <w:szCs w:val="22"/>
          <w:lang w:eastAsia="zh-CN"/>
        </w:rPr>
        <w:t>（</w:t>
      </w:r>
      <w:r>
        <w:rPr>
          <w:rFonts w:hint="eastAsia" w:hAnsi="宋体"/>
          <w:b/>
          <w:bCs/>
          <w:sz w:val="22"/>
          <w:szCs w:val="22"/>
        </w:rPr>
        <w:t>1</w:t>
      </w:r>
      <w:r>
        <w:rPr>
          <w:rFonts w:hint="eastAsia" w:hAnsi="宋体"/>
          <w:b/>
          <w:bCs/>
          <w:sz w:val="22"/>
          <w:szCs w:val="22"/>
          <w:lang w:eastAsia="zh-CN"/>
        </w:rPr>
        <w:t>）</w:t>
      </w:r>
      <w:r>
        <w:rPr>
          <w:rFonts w:hint="eastAsia" w:hAnsi="宋体"/>
          <w:b/>
          <w:bCs/>
          <w:sz w:val="22"/>
          <w:szCs w:val="22"/>
        </w:rPr>
        <w:t xml:space="preserve">投标（响应）报价低于全部通过符合性审查供应商投标（响应）报价平均值50%的，即投标（响应）报价&lt;全部通过符合性审查供应商投标（响应）报价平均值×50%； </w:t>
      </w:r>
    </w:p>
    <w:p w14:paraId="28C610A3">
      <w:pPr>
        <w:pStyle w:val="21"/>
        <w:spacing w:line="360" w:lineRule="auto"/>
        <w:ind w:firstLine="446" w:firstLineChars="200"/>
        <w:rPr>
          <w:rFonts w:hint="eastAsia" w:hAnsi="宋体"/>
          <w:b/>
          <w:bCs/>
          <w:sz w:val="22"/>
          <w:szCs w:val="22"/>
        </w:rPr>
      </w:pPr>
      <w:r>
        <w:rPr>
          <w:rFonts w:hint="eastAsia" w:hAnsi="宋体"/>
          <w:b/>
          <w:bCs/>
          <w:sz w:val="22"/>
          <w:szCs w:val="22"/>
          <w:lang w:eastAsia="zh-CN"/>
        </w:rPr>
        <w:t>（</w:t>
      </w:r>
      <w:r>
        <w:rPr>
          <w:rFonts w:hint="eastAsia" w:hAnsi="宋体"/>
          <w:b/>
          <w:bCs/>
          <w:sz w:val="22"/>
          <w:szCs w:val="22"/>
        </w:rPr>
        <w:t>2</w:t>
      </w:r>
      <w:r>
        <w:rPr>
          <w:rFonts w:hint="eastAsia" w:hAnsi="宋体"/>
          <w:b/>
          <w:bCs/>
          <w:sz w:val="22"/>
          <w:szCs w:val="22"/>
          <w:lang w:eastAsia="zh-CN"/>
        </w:rPr>
        <w:t>）</w:t>
      </w:r>
      <w:r>
        <w:rPr>
          <w:rFonts w:hint="eastAsia" w:hAnsi="宋体"/>
          <w:b/>
          <w:bCs/>
          <w:sz w:val="22"/>
          <w:szCs w:val="22"/>
        </w:rPr>
        <w:t xml:space="preserve">投标（响应）报价低于通过符合性审查的次低报价供应商投标（响应）报价50%的，即投标（响应）报价&lt;通过符合性审查的次低报价供应商投标（响应）报价×50%； </w:t>
      </w:r>
    </w:p>
    <w:p w14:paraId="1CDA2716">
      <w:pPr>
        <w:pStyle w:val="21"/>
        <w:spacing w:line="360" w:lineRule="auto"/>
        <w:ind w:firstLine="446" w:firstLineChars="200"/>
        <w:rPr>
          <w:rFonts w:hint="eastAsia" w:hAnsi="宋体"/>
          <w:b/>
          <w:bCs/>
          <w:sz w:val="22"/>
          <w:szCs w:val="22"/>
        </w:rPr>
      </w:pPr>
      <w:r>
        <w:rPr>
          <w:rFonts w:hint="eastAsia" w:hAnsi="宋体"/>
          <w:b/>
          <w:bCs/>
          <w:sz w:val="22"/>
          <w:szCs w:val="22"/>
          <w:lang w:eastAsia="zh-CN"/>
        </w:rPr>
        <w:t>（</w:t>
      </w:r>
      <w:r>
        <w:rPr>
          <w:rFonts w:hint="eastAsia" w:hAnsi="宋体"/>
          <w:b/>
          <w:bCs/>
          <w:sz w:val="22"/>
          <w:szCs w:val="22"/>
        </w:rPr>
        <w:t>3</w:t>
      </w:r>
      <w:r>
        <w:rPr>
          <w:rFonts w:hint="eastAsia" w:hAnsi="宋体"/>
          <w:b/>
          <w:bCs/>
          <w:sz w:val="22"/>
          <w:szCs w:val="22"/>
          <w:lang w:eastAsia="zh-CN"/>
        </w:rPr>
        <w:t>）</w:t>
      </w:r>
      <w:r>
        <w:rPr>
          <w:rFonts w:hint="eastAsia" w:hAnsi="宋体"/>
          <w:b/>
          <w:bCs/>
          <w:sz w:val="22"/>
          <w:szCs w:val="22"/>
        </w:rPr>
        <w:t>投标（响应）报价低于采购项目最高限价</w:t>
      </w:r>
      <w:r>
        <w:rPr>
          <w:rFonts w:hint="eastAsia" w:hAnsi="宋体"/>
          <w:b/>
          <w:bCs/>
          <w:sz w:val="22"/>
          <w:szCs w:val="22"/>
          <w:lang w:val="en-US" w:eastAsia="zh-CN"/>
        </w:rPr>
        <w:t>50</w:t>
      </w:r>
      <w:r>
        <w:rPr>
          <w:rFonts w:hint="eastAsia" w:hAnsi="宋体"/>
          <w:b/>
          <w:bCs/>
          <w:sz w:val="22"/>
          <w:szCs w:val="22"/>
        </w:rPr>
        <w:t>%的，即投标（响应）报价&lt;采购项目最高限价×</w:t>
      </w:r>
      <w:r>
        <w:rPr>
          <w:rFonts w:hint="eastAsia" w:hAnsi="宋体"/>
          <w:b/>
          <w:bCs/>
          <w:sz w:val="22"/>
          <w:szCs w:val="22"/>
          <w:lang w:val="en-US" w:eastAsia="zh-CN"/>
        </w:rPr>
        <w:t>50</w:t>
      </w:r>
      <w:r>
        <w:rPr>
          <w:rFonts w:hint="eastAsia" w:hAnsi="宋体"/>
          <w:b/>
          <w:bCs/>
          <w:sz w:val="22"/>
          <w:szCs w:val="22"/>
        </w:rPr>
        <w:t xml:space="preserve">%； </w:t>
      </w:r>
    </w:p>
    <w:p w14:paraId="40640A9F">
      <w:pPr>
        <w:pStyle w:val="21"/>
        <w:spacing w:line="360" w:lineRule="auto"/>
        <w:ind w:firstLine="446" w:firstLineChars="200"/>
        <w:rPr>
          <w:rFonts w:hint="eastAsia" w:hAnsi="宋体"/>
          <w:b/>
          <w:bCs/>
          <w:sz w:val="22"/>
          <w:szCs w:val="22"/>
        </w:rPr>
      </w:pPr>
      <w:r>
        <w:rPr>
          <w:rFonts w:hint="eastAsia" w:hAnsi="宋体"/>
          <w:b/>
          <w:bCs/>
          <w:sz w:val="22"/>
          <w:szCs w:val="22"/>
          <w:lang w:val="en-US" w:eastAsia="zh-CN"/>
        </w:rPr>
        <w:t>（4）</w:t>
      </w:r>
      <w:r>
        <w:rPr>
          <w:rFonts w:hint="eastAsia" w:hAnsi="宋体"/>
          <w:b/>
          <w:bCs/>
          <w:sz w:val="22"/>
          <w:szCs w:val="22"/>
        </w:rPr>
        <w:t>评审委员会基于专业判断，认为供应商报价过低，有可能影响产品质量或者不能诚信履约的其他情形。</w:t>
      </w:r>
    </w:p>
    <w:p w14:paraId="179C933D">
      <w:pPr>
        <w:pStyle w:val="21"/>
        <w:spacing w:line="360" w:lineRule="auto"/>
        <w:ind w:firstLine="446" w:firstLineChars="200"/>
        <w:rPr>
          <w:rFonts w:hAnsi="宋体"/>
          <w:b/>
          <w:bCs/>
          <w:sz w:val="22"/>
          <w:szCs w:val="22"/>
        </w:rPr>
      </w:pPr>
      <w:r>
        <w:rPr>
          <w:rFonts w:hint="eastAsia" w:hAnsi="宋体"/>
          <w:b/>
          <w:bCs/>
          <w:sz w:val="22"/>
          <w:szCs w:val="22"/>
          <w:lang w:val="en-US" w:eastAsia="zh-CN"/>
        </w:rPr>
        <w:t>6.2</w:t>
      </w:r>
      <w:r>
        <w:rPr>
          <w:rFonts w:hint="eastAsia" w:hAnsi="宋体"/>
          <w:b/>
          <w:bCs/>
          <w:sz w:val="22"/>
          <w:szCs w:val="22"/>
        </w:rPr>
        <w:t>评审委员会启动异常低价投标（响应）审查后，属于前述第1项至第4项情形的，</w:t>
      </w:r>
      <w:r>
        <w:rPr>
          <w:rFonts w:hint="eastAsia" w:hAnsi="宋体"/>
          <w:b/>
          <w:bCs/>
          <w:sz w:val="22"/>
          <w:szCs w:val="22"/>
          <w:lang w:eastAsia="zh-CN"/>
        </w:rPr>
        <w:t>将在政采云系统发起询标</w:t>
      </w:r>
      <w:r>
        <w:rPr>
          <w:rFonts w:hint="eastAsia" w:hAnsi="宋体"/>
          <w:b/>
          <w:bCs/>
          <w:sz w:val="22"/>
          <w:szCs w:val="22"/>
        </w:rPr>
        <w:t>要求相关供应商在</w:t>
      </w:r>
      <w:r>
        <w:rPr>
          <w:rFonts w:hint="eastAsia" w:hAnsi="宋体"/>
          <w:b/>
          <w:bCs/>
          <w:sz w:val="22"/>
          <w:szCs w:val="22"/>
          <w:lang w:val="en-US" w:eastAsia="zh-CN"/>
        </w:rPr>
        <w:t>30分钟</w:t>
      </w:r>
      <w:r>
        <w:rPr>
          <w:rFonts w:hint="eastAsia" w:hAnsi="宋体"/>
          <w:b/>
          <w:bCs/>
          <w:sz w:val="22"/>
          <w:szCs w:val="22"/>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F4B2ADC">
      <w:pPr>
        <w:spacing w:line="360" w:lineRule="auto"/>
        <w:outlineLvl w:val="2"/>
        <w:rPr>
          <w:rFonts w:hAnsi="宋体"/>
          <w:b/>
          <w:sz w:val="22"/>
          <w:szCs w:val="22"/>
          <w:u w:val="single"/>
        </w:rPr>
      </w:pPr>
      <w:r>
        <w:rPr>
          <w:rFonts w:hint="eastAsia" w:hAnsi="宋体"/>
          <w:b/>
          <w:sz w:val="22"/>
          <w:szCs w:val="22"/>
          <w:u w:val="single"/>
        </w:rPr>
        <w:t>二．</w:t>
      </w:r>
      <w:r>
        <w:rPr>
          <w:rFonts w:hint="eastAsia" w:hAnsi="宋体"/>
          <w:b/>
          <w:sz w:val="22"/>
          <w:szCs w:val="22"/>
          <w:u w:val="single"/>
          <w:lang w:val="en-US" w:eastAsia="zh-CN"/>
        </w:rPr>
        <w:t>商务技术</w:t>
      </w:r>
      <w:r>
        <w:rPr>
          <w:rFonts w:hint="eastAsia" w:hAnsi="宋体"/>
          <w:b/>
          <w:sz w:val="22"/>
          <w:szCs w:val="22"/>
          <w:u w:val="single"/>
        </w:rPr>
        <w:t>综合评分</w:t>
      </w:r>
      <w:r>
        <w:rPr>
          <w:rFonts w:hint="eastAsia" w:hAnsi="宋体"/>
          <w:b/>
          <w:sz w:val="22"/>
          <w:szCs w:val="22"/>
          <w:u w:val="single"/>
          <w:lang w:val="en-US" w:eastAsia="zh-CN"/>
        </w:rPr>
        <w:t>70</w:t>
      </w:r>
      <w:r>
        <w:rPr>
          <w:rFonts w:hint="eastAsia" w:hAnsi="宋体"/>
          <w:b/>
          <w:sz w:val="22"/>
          <w:szCs w:val="22"/>
          <w:u w:val="single"/>
        </w:rPr>
        <w:t>分</w:t>
      </w:r>
    </w:p>
    <w:tbl>
      <w:tblPr>
        <w:tblStyle w:val="3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31"/>
        <w:gridCol w:w="1397"/>
        <w:gridCol w:w="4764"/>
        <w:gridCol w:w="904"/>
      </w:tblGrid>
      <w:tr w14:paraId="442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5" w:type="dxa"/>
            <w:vAlign w:val="center"/>
          </w:tcPr>
          <w:p w14:paraId="20826B78">
            <w:pPr>
              <w:pStyle w:val="21"/>
              <w:adjustRightInd w:val="0"/>
              <w:snapToGrid w:val="0"/>
              <w:jc w:val="center"/>
              <w:rPr>
                <w:rFonts w:hAnsi="宋体" w:cs="宋体"/>
                <w:sz w:val="24"/>
                <w:szCs w:val="24"/>
              </w:rPr>
            </w:pPr>
            <w:r>
              <w:rPr>
                <w:rFonts w:hint="eastAsia" w:hAnsi="宋体" w:cs="宋体"/>
                <w:sz w:val="24"/>
                <w:szCs w:val="24"/>
              </w:rPr>
              <w:t>序号</w:t>
            </w:r>
          </w:p>
        </w:tc>
        <w:tc>
          <w:tcPr>
            <w:tcW w:w="1231" w:type="dxa"/>
            <w:vAlign w:val="center"/>
          </w:tcPr>
          <w:p w14:paraId="6518A05F">
            <w:pPr>
              <w:pStyle w:val="21"/>
              <w:adjustRightInd w:val="0"/>
              <w:snapToGrid w:val="0"/>
              <w:jc w:val="center"/>
              <w:rPr>
                <w:rFonts w:hAnsi="宋体" w:cs="宋体"/>
                <w:sz w:val="24"/>
                <w:szCs w:val="24"/>
              </w:rPr>
            </w:pPr>
            <w:r>
              <w:rPr>
                <w:rFonts w:hint="eastAsia" w:hAnsi="宋体" w:cs="宋体"/>
                <w:sz w:val="24"/>
                <w:szCs w:val="24"/>
              </w:rPr>
              <w:t>评定项目</w:t>
            </w:r>
          </w:p>
        </w:tc>
        <w:tc>
          <w:tcPr>
            <w:tcW w:w="6161" w:type="dxa"/>
            <w:gridSpan w:val="2"/>
            <w:vAlign w:val="center"/>
          </w:tcPr>
          <w:p w14:paraId="77CC1057">
            <w:pPr>
              <w:pStyle w:val="21"/>
              <w:adjustRightInd w:val="0"/>
              <w:snapToGrid w:val="0"/>
              <w:jc w:val="center"/>
              <w:rPr>
                <w:rFonts w:hAnsi="宋体" w:cs="宋体"/>
                <w:sz w:val="24"/>
                <w:szCs w:val="24"/>
              </w:rPr>
            </w:pPr>
            <w:r>
              <w:rPr>
                <w:rFonts w:hint="eastAsia" w:hAnsi="宋体" w:cs="宋体"/>
                <w:sz w:val="24"/>
                <w:szCs w:val="24"/>
              </w:rPr>
              <w:t>备注</w:t>
            </w:r>
          </w:p>
        </w:tc>
        <w:tc>
          <w:tcPr>
            <w:tcW w:w="904" w:type="dxa"/>
            <w:vAlign w:val="center"/>
          </w:tcPr>
          <w:p w14:paraId="2B5F6B9D">
            <w:pPr>
              <w:pStyle w:val="21"/>
              <w:adjustRightInd w:val="0"/>
              <w:snapToGrid w:val="0"/>
              <w:jc w:val="center"/>
              <w:rPr>
                <w:rFonts w:hAnsi="宋体" w:cs="宋体"/>
                <w:sz w:val="24"/>
                <w:szCs w:val="24"/>
              </w:rPr>
            </w:pPr>
            <w:r>
              <w:rPr>
                <w:rFonts w:hint="eastAsia" w:hAnsi="宋体" w:cs="宋体"/>
                <w:sz w:val="24"/>
                <w:szCs w:val="24"/>
              </w:rPr>
              <w:t>分值</w:t>
            </w:r>
          </w:p>
          <w:p w14:paraId="4DE850B2">
            <w:pPr>
              <w:pStyle w:val="21"/>
              <w:adjustRightInd w:val="0"/>
              <w:snapToGrid w:val="0"/>
              <w:jc w:val="center"/>
              <w:rPr>
                <w:rFonts w:hAnsi="宋体" w:cs="宋体"/>
                <w:sz w:val="24"/>
                <w:szCs w:val="24"/>
              </w:rPr>
            </w:pPr>
            <w:r>
              <w:rPr>
                <w:rFonts w:hint="eastAsia" w:hAnsi="宋体" w:cs="宋体"/>
                <w:sz w:val="24"/>
                <w:szCs w:val="24"/>
              </w:rPr>
              <w:t>范围</w:t>
            </w:r>
          </w:p>
        </w:tc>
      </w:tr>
      <w:tr w14:paraId="5C37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5" w:type="dxa"/>
            <w:vAlign w:val="center"/>
          </w:tcPr>
          <w:p w14:paraId="084E5FDD">
            <w:pPr>
              <w:pStyle w:val="21"/>
              <w:adjustRightInd w:val="0"/>
              <w:snapToGrid w:val="0"/>
              <w:jc w:val="center"/>
              <w:rPr>
                <w:rFonts w:hint="eastAsia" w:hAnsi="宋体" w:eastAsia="宋体" w:cs="宋体"/>
                <w:sz w:val="24"/>
                <w:szCs w:val="24"/>
                <w:lang w:val="en-US" w:eastAsia="zh-CN"/>
              </w:rPr>
            </w:pPr>
            <w:r>
              <w:rPr>
                <w:rFonts w:hint="eastAsia" w:hAnsi="宋体" w:cs="宋体"/>
                <w:sz w:val="24"/>
                <w:szCs w:val="24"/>
                <w:lang w:val="en-US" w:eastAsia="zh-CN"/>
              </w:rPr>
              <w:t>1</w:t>
            </w:r>
          </w:p>
        </w:tc>
        <w:tc>
          <w:tcPr>
            <w:tcW w:w="1231" w:type="dxa"/>
            <w:vAlign w:val="center"/>
          </w:tcPr>
          <w:p w14:paraId="3B938BAD">
            <w:pPr>
              <w:pStyle w:val="21"/>
              <w:adjustRightInd w:val="0"/>
              <w:snapToGrid w:val="0"/>
              <w:jc w:val="center"/>
              <w:rPr>
                <w:rFonts w:hint="eastAsia" w:hAnsi="宋体" w:cs="宋体"/>
                <w:sz w:val="24"/>
                <w:szCs w:val="24"/>
              </w:rPr>
            </w:pPr>
            <w:r>
              <w:rPr>
                <w:rFonts w:hint="eastAsia" w:ascii="Times New Roman" w:hAnsi="宋体" w:eastAsia="宋体" w:cs="宋体"/>
                <w:color w:val="auto"/>
                <w:sz w:val="22"/>
                <w:szCs w:val="22"/>
                <w:lang w:val="zh-CN"/>
              </w:rPr>
              <w:t>类似业绩</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分）</w:t>
            </w:r>
          </w:p>
        </w:tc>
        <w:tc>
          <w:tcPr>
            <w:tcW w:w="6161" w:type="dxa"/>
            <w:gridSpan w:val="2"/>
            <w:vAlign w:val="center"/>
          </w:tcPr>
          <w:p w14:paraId="2F024233">
            <w:pPr>
              <w:rPr>
                <w:rFonts w:hint="eastAsia" w:ascii="宋体" w:hAnsi="宋体" w:eastAsia="宋体" w:cs="Times New Roman"/>
                <w:color w:val="000000" w:themeColor="text1"/>
                <w:kern w:val="0"/>
                <w:szCs w:val="21"/>
                <w:lang w:val="zh-CN"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根据</w:t>
            </w:r>
            <w:r>
              <w:rPr>
                <w:rFonts w:hint="eastAsia" w:ascii="宋体" w:hAnsi="宋体" w:eastAsia="宋体" w:cs="Times New Roman"/>
                <w:color w:val="000000" w:themeColor="text1"/>
                <w:kern w:val="0"/>
                <w:szCs w:val="21"/>
                <w:lang w:val="zh-CN" w:eastAsia="zh-CN"/>
                <w14:textFill>
                  <w14:solidFill>
                    <w14:schemeClr w14:val="tx1"/>
                  </w14:solidFill>
                </w14:textFill>
              </w:rPr>
              <w:t>投标人</w:t>
            </w:r>
            <w:r>
              <w:rPr>
                <w:rFonts w:hint="eastAsia" w:ascii="宋体" w:hAnsi="宋体" w:eastAsia="宋体" w:cs="Times New Roman"/>
                <w:color w:val="000000" w:themeColor="text1"/>
                <w:kern w:val="0"/>
                <w:szCs w:val="21"/>
                <w:lang w:val="en-US" w:eastAsia="zh-CN"/>
                <w14:textFill>
                  <w14:solidFill>
                    <w14:schemeClr w14:val="tx1"/>
                  </w14:solidFill>
                </w14:textFill>
              </w:rPr>
              <w:t>自2021</w:t>
            </w:r>
            <w:r>
              <w:rPr>
                <w:rFonts w:hint="eastAsia" w:ascii="宋体" w:hAnsi="宋体" w:eastAsia="宋体" w:cs="Times New Roman"/>
                <w:color w:val="000000" w:themeColor="text1"/>
                <w:kern w:val="0"/>
                <w:szCs w:val="21"/>
                <w:lang w:val="zh-CN" w:eastAsia="zh-CN"/>
                <w14:textFill>
                  <w14:solidFill>
                    <w14:schemeClr w14:val="tx1"/>
                  </w14:solidFill>
                </w14:textFill>
              </w:rPr>
              <w:t>年1月1日（以合同签订时间为准）</w:t>
            </w:r>
            <w:r>
              <w:rPr>
                <w:rFonts w:hint="eastAsia" w:ascii="宋体" w:hAnsi="宋体" w:eastAsia="宋体" w:cs="Times New Roman"/>
                <w:color w:val="000000" w:themeColor="text1"/>
                <w:kern w:val="0"/>
                <w:szCs w:val="21"/>
                <w:lang w:val="en-US" w:eastAsia="zh-CN"/>
                <w14:textFill>
                  <w14:solidFill>
                    <w14:schemeClr w14:val="tx1"/>
                  </w14:solidFill>
                </w14:textFill>
              </w:rPr>
              <w:t>以来</w:t>
            </w:r>
            <w:r>
              <w:rPr>
                <w:rFonts w:hint="eastAsia" w:ascii="宋体" w:hAnsi="宋体" w:eastAsia="宋体" w:cs="Times New Roman"/>
                <w:color w:val="000000" w:themeColor="text1"/>
                <w:kern w:val="0"/>
                <w:szCs w:val="21"/>
                <w:lang w:val="zh-CN" w:eastAsia="zh-CN"/>
                <w14:textFill>
                  <w14:solidFill>
                    <w14:schemeClr w14:val="tx1"/>
                  </w14:solidFill>
                </w14:textFill>
              </w:rPr>
              <w:t>承担的除四害专业化消杀</w:t>
            </w:r>
            <w:r>
              <w:rPr>
                <w:rFonts w:hint="eastAsia" w:ascii="宋体" w:hAnsi="宋体" w:eastAsia="宋体" w:cs="Times New Roman"/>
                <w:color w:val="000000" w:themeColor="text1"/>
                <w:kern w:val="0"/>
                <w:szCs w:val="21"/>
                <w:lang w:val="en-US" w:eastAsia="zh-CN"/>
                <w14:textFill>
                  <w14:solidFill>
                    <w14:schemeClr w14:val="tx1"/>
                  </w14:solidFill>
                </w14:textFill>
              </w:rPr>
              <w:t>类似</w:t>
            </w:r>
            <w:r>
              <w:rPr>
                <w:rFonts w:hint="eastAsia" w:ascii="宋体" w:hAnsi="宋体" w:eastAsia="宋体" w:cs="Times New Roman"/>
                <w:color w:val="000000" w:themeColor="text1"/>
                <w:kern w:val="0"/>
                <w:szCs w:val="21"/>
                <w:lang w:val="zh-CN" w:eastAsia="zh-CN"/>
                <w14:textFill>
                  <w14:solidFill>
                    <w14:schemeClr w14:val="tx1"/>
                  </w14:solidFill>
                </w14:textFill>
              </w:rPr>
              <w:t>业绩</w:t>
            </w:r>
            <w:r>
              <w:rPr>
                <w:rFonts w:hint="eastAsia" w:ascii="宋体" w:hAnsi="宋体" w:eastAsia="宋体" w:cs="Times New Roman"/>
                <w:color w:val="000000" w:themeColor="text1"/>
                <w:kern w:val="0"/>
                <w:szCs w:val="21"/>
                <w:lang w:val="en-US" w:eastAsia="zh-CN"/>
                <w14:textFill>
                  <w14:solidFill>
                    <w14:schemeClr w14:val="tx1"/>
                  </w14:solidFill>
                </w14:textFill>
              </w:rPr>
              <w:t>进行评审</w:t>
            </w:r>
            <w:r>
              <w:rPr>
                <w:rFonts w:hint="eastAsia" w:ascii="宋体" w:hAnsi="宋体" w:eastAsia="宋体" w:cs="Times New Roman"/>
                <w:color w:val="000000" w:themeColor="text1"/>
                <w:kern w:val="0"/>
                <w:szCs w:val="21"/>
                <w:lang w:val="zh-CN" w:eastAsia="zh-CN"/>
                <w14:textFill>
                  <w14:solidFill>
                    <w14:schemeClr w14:val="tx1"/>
                  </w14:solidFill>
                </w14:textFill>
              </w:rPr>
              <w:t>。</w:t>
            </w:r>
            <w:r>
              <w:rPr>
                <w:rFonts w:hint="eastAsia" w:ascii="宋体" w:hAnsi="宋体" w:eastAsia="宋体" w:cs="Times New Roman"/>
                <w:color w:val="000000" w:themeColor="text1"/>
                <w:kern w:val="0"/>
                <w:szCs w:val="21"/>
                <w:lang w:val="en-US" w:eastAsia="zh-CN"/>
                <w14:textFill>
                  <w14:solidFill>
                    <w14:schemeClr w14:val="tx1"/>
                  </w14:solidFill>
                </w14:textFill>
              </w:rPr>
              <w:t>每提供</w:t>
            </w:r>
            <w:r>
              <w:rPr>
                <w:rFonts w:hint="eastAsia" w:ascii="宋体" w:hAnsi="宋体" w:eastAsia="宋体" w:cs="Times New Roman"/>
                <w:color w:val="000000" w:themeColor="text1"/>
                <w:kern w:val="0"/>
                <w:szCs w:val="21"/>
                <w:lang w:val="zh-CN" w:eastAsia="zh-CN"/>
                <w14:textFill>
                  <w14:solidFill>
                    <w14:schemeClr w14:val="tx1"/>
                  </w14:solidFill>
                </w14:textFill>
              </w:rPr>
              <w:t>一个有效业绩得</w:t>
            </w:r>
            <w:r>
              <w:rPr>
                <w:rFonts w:hint="eastAsia" w:ascii="宋体" w:hAnsi="宋体" w:eastAsia="宋体" w:cs="Times New Roman"/>
                <w:color w:val="000000" w:themeColor="text1"/>
                <w:kern w:val="0"/>
                <w:szCs w:val="21"/>
                <w:lang w:val="en-US" w:eastAsia="zh-CN"/>
                <w14:textFill>
                  <w14:solidFill>
                    <w14:schemeClr w14:val="tx1"/>
                  </w14:solidFill>
                </w14:textFill>
              </w:rPr>
              <w:t>2</w:t>
            </w:r>
            <w:r>
              <w:rPr>
                <w:rFonts w:hint="eastAsia" w:ascii="宋体" w:hAnsi="宋体" w:eastAsia="宋体" w:cs="Times New Roman"/>
                <w:color w:val="000000" w:themeColor="text1"/>
                <w:kern w:val="0"/>
                <w:szCs w:val="21"/>
                <w:lang w:val="zh-CN" w:eastAsia="zh-CN"/>
                <w14:textFill>
                  <w14:solidFill>
                    <w14:schemeClr w14:val="tx1"/>
                  </w14:solidFill>
                </w14:textFill>
              </w:rPr>
              <w:t>分，最多得</w:t>
            </w:r>
            <w:r>
              <w:rPr>
                <w:rFonts w:hint="eastAsia" w:ascii="宋体" w:hAnsi="宋体" w:eastAsia="宋体" w:cs="Times New Roman"/>
                <w:color w:val="000000" w:themeColor="text1"/>
                <w:kern w:val="0"/>
                <w:szCs w:val="21"/>
                <w:lang w:val="en-US" w:eastAsia="zh-CN"/>
                <w14:textFill>
                  <w14:solidFill>
                    <w14:schemeClr w14:val="tx1"/>
                  </w14:solidFill>
                </w14:textFill>
              </w:rPr>
              <w:t>4分。</w:t>
            </w:r>
          </w:p>
          <w:p w14:paraId="271BC365">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lang w:val="zh-CN"/>
                <w14:textFill>
                  <w14:solidFill>
                    <w14:schemeClr w14:val="tx1"/>
                  </w14:solidFill>
                </w14:textFill>
              </w:rPr>
              <w:t>注：</w:t>
            </w:r>
            <w:r>
              <w:rPr>
                <w:rFonts w:hint="eastAsia" w:ascii="宋体" w:hAnsi="宋体" w:eastAsia="宋体" w:cs="Times New Roman"/>
                <w:b/>
                <w:bCs/>
                <w:color w:val="000000" w:themeColor="text1"/>
                <w:kern w:val="0"/>
                <w:szCs w:val="21"/>
                <w14:textFill>
                  <w14:solidFill>
                    <w14:schemeClr w14:val="tx1"/>
                  </w14:solidFill>
                </w14:textFill>
              </w:rPr>
              <w:t>续签合同不计。</w:t>
            </w:r>
            <w:r>
              <w:rPr>
                <w:rFonts w:hint="eastAsia" w:ascii="宋体" w:hAnsi="宋体" w:eastAsia="宋体" w:cs="Times New Roman"/>
                <w:b/>
                <w:bCs/>
                <w:color w:val="000000" w:themeColor="text1"/>
                <w:kern w:val="0"/>
                <w:szCs w:val="21"/>
                <w:lang w:val="zh-CN"/>
                <w14:textFill>
                  <w14:solidFill>
                    <w14:schemeClr w14:val="tx1"/>
                  </w14:solidFill>
                </w14:textFill>
              </w:rPr>
              <w:t>须提供中标通知书</w:t>
            </w:r>
            <w:r>
              <w:rPr>
                <w:rFonts w:hint="eastAsia" w:ascii="宋体" w:hAnsi="宋体" w:eastAsia="宋体" w:cs="Times New Roman"/>
                <w:b/>
                <w:bCs/>
                <w:color w:val="000000" w:themeColor="text1"/>
                <w:kern w:val="0"/>
                <w:szCs w:val="21"/>
                <w14:textFill>
                  <w14:solidFill>
                    <w14:schemeClr w14:val="tx1"/>
                  </w14:solidFill>
                </w14:textFill>
              </w:rPr>
              <w:t>或</w:t>
            </w:r>
            <w:r>
              <w:rPr>
                <w:rFonts w:hint="eastAsia" w:ascii="宋体" w:hAnsi="宋体" w:eastAsia="宋体" w:cs="Times New Roman"/>
                <w:b/>
                <w:bCs/>
                <w:color w:val="000000" w:themeColor="text1"/>
                <w:kern w:val="0"/>
                <w:szCs w:val="21"/>
                <w:lang w:val="zh-CN"/>
                <w14:textFill>
                  <w14:solidFill>
                    <w14:schemeClr w14:val="tx1"/>
                  </w14:solidFill>
                </w14:textFill>
              </w:rPr>
              <w:t>合同扫描件并加盖电子公章，</w:t>
            </w:r>
            <w:r>
              <w:rPr>
                <w:rFonts w:hint="eastAsia" w:ascii="宋体" w:hAnsi="宋体" w:eastAsia="宋体" w:cs="Times New Roman"/>
                <w:b/>
                <w:bCs/>
                <w:color w:val="000000" w:themeColor="text1"/>
                <w:kern w:val="0"/>
                <w:szCs w:val="21"/>
                <w14:textFill>
                  <w14:solidFill>
                    <w14:schemeClr w14:val="tx1"/>
                  </w14:solidFill>
                </w14:textFill>
              </w:rPr>
              <w:t>不提供不得分</w:t>
            </w:r>
            <w:r>
              <w:rPr>
                <w:rFonts w:hint="eastAsia" w:ascii="宋体" w:hAnsi="宋体" w:eastAsia="宋体" w:cs="Times New Roman"/>
                <w:b/>
                <w:bCs/>
                <w:color w:val="000000" w:themeColor="text1"/>
                <w:kern w:val="0"/>
                <w:szCs w:val="21"/>
                <w:lang w:val="zh-CN"/>
                <w14:textFill>
                  <w14:solidFill>
                    <w14:schemeClr w14:val="tx1"/>
                  </w14:solidFill>
                </w14:textFill>
              </w:rPr>
              <w:t>。</w:t>
            </w:r>
          </w:p>
        </w:tc>
        <w:tc>
          <w:tcPr>
            <w:tcW w:w="904" w:type="dxa"/>
            <w:vAlign w:val="center"/>
          </w:tcPr>
          <w:p w14:paraId="431056CD">
            <w:pPr>
              <w:pStyle w:val="21"/>
              <w:adjustRightInd w:val="0"/>
              <w:snapToGrid w:val="0"/>
              <w:jc w:val="center"/>
              <w:rPr>
                <w:rFonts w:hint="eastAsia" w:hAnsi="宋体" w:cs="宋体"/>
                <w:sz w:val="24"/>
                <w:szCs w:val="24"/>
              </w:rPr>
            </w:pPr>
            <w:r>
              <w:rPr>
                <w:rFonts w:hint="eastAsia" w:ascii="宋体" w:hAnsi="宋体" w:cs="宋体"/>
                <w:sz w:val="24"/>
              </w:rPr>
              <w:t>0-</w:t>
            </w:r>
            <w:r>
              <w:rPr>
                <w:rFonts w:hint="eastAsia" w:ascii="宋体" w:hAnsi="宋体" w:cs="宋体"/>
                <w:sz w:val="24"/>
                <w:lang w:val="en-US" w:eastAsia="zh-CN"/>
              </w:rPr>
              <w:t>4</w:t>
            </w:r>
          </w:p>
        </w:tc>
      </w:tr>
      <w:tr w14:paraId="68D2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5" w:type="dxa"/>
            <w:vAlign w:val="center"/>
          </w:tcPr>
          <w:p w14:paraId="35FF856F">
            <w:pPr>
              <w:pStyle w:val="21"/>
              <w:adjustRightInd w:val="0"/>
              <w:snapToGrid w:val="0"/>
              <w:jc w:val="center"/>
              <w:rPr>
                <w:rFonts w:hint="default" w:hAnsi="宋体" w:cs="宋体"/>
                <w:sz w:val="24"/>
                <w:szCs w:val="24"/>
                <w:lang w:val="en-US" w:eastAsia="zh-CN"/>
              </w:rPr>
            </w:pPr>
            <w:r>
              <w:rPr>
                <w:rFonts w:hint="eastAsia" w:hAnsi="宋体" w:cs="宋体"/>
                <w:sz w:val="24"/>
                <w:szCs w:val="24"/>
                <w:lang w:val="en-US" w:eastAsia="zh-CN"/>
              </w:rPr>
              <w:t>2</w:t>
            </w:r>
          </w:p>
        </w:tc>
        <w:tc>
          <w:tcPr>
            <w:tcW w:w="1231" w:type="dxa"/>
            <w:vAlign w:val="center"/>
          </w:tcPr>
          <w:p w14:paraId="10E129CF">
            <w:pPr>
              <w:pStyle w:val="21"/>
              <w:adjustRightInd w:val="0"/>
              <w:snapToGrid w:val="0"/>
              <w:jc w:val="center"/>
              <w:rPr>
                <w:rFonts w:hint="eastAsia" w:ascii="Times New Roman" w:hAnsi="宋体" w:eastAsia="宋体" w:cs="宋体"/>
                <w:color w:val="auto"/>
                <w:sz w:val="22"/>
                <w:szCs w:val="22"/>
                <w:lang w:val="zh-CN"/>
              </w:rPr>
            </w:pPr>
            <w:r>
              <w:rPr>
                <w:rFonts w:hint="eastAsia" w:hAnsi="宋体" w:cs="宋体"/>
                <w:color w:val="000000"/>
                <w:sz w:val="22"/>
                <w:szCs w:val="22"/>
              </w:rPr>
              <w:t>人员配备情况</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tc>
        <w:tc>
          <w:tcPr>
            <w:tcW w:w="6161" w:type="dxa"/>
            <w:gridSpan w:val="2"/>
            <w:vAlign w:val="center"/>
          </w:tcPr>
          <w:p w14:paraId="1FCD027F">
            <w:pPr>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1、拟</w:t>
            </w:r>
            <w:r>
              <w:rPr>
                <w:rFonts w:hint="eastAsia" w:ascii="宋体" w:hAnsi="宋体" w:eastAsia="宋体" w:cs="Times New Roman"/>
                <w:color w:val="000000" w:themeColor="text1"/>
                <w:kern w:val="0"/>
                <w:szCs w:val="21"/>
                <w:lang w:val="zh-CN" w:eastAsia="zh-CN"/>
                <w14:textFill>
                  <w14:solidFill>
                    <w14:schemeClr w14:val="tx1"/>
                  </w14:solidFill>
                </w14:textFill>
              </w:rPr>
              <w:t>投入</w:t>
            </w:r>
            <w:r>
              <w:rPr>
                <w:rFonts w:hint="eastAsia" w:ascii="宋体" w:hAnsi="宋体" w:eastAsia="宋体" w:cs="Times New Roman"/>
                <w:color w:val="000000" w:themeColor="text1"/>
                <w:kern w:val="0"/>
                <w:szCs w:val="21"/>
                <w:lang w:val="en-US" w:eastAsia="zh-CN"/>
                <w14:textFill>
                  <w14:solidFill>
                    <w14:schemeClr w14:val="tx1"/>
                  </w14:solidFill>
                </w14:textFill>
              </w:rPr>
              <w:t>项目负责人具有有害生物防制相关专业中级资格证书，得1分；具有有害生物防制相关专业高级及以上资格证书，得2分；本小项最高得2分；</w:t>
            </w:r>
          </w:p>
          <w:p w14:paraId="482B4AD6">
            <w:pPr>
              <w:rPr>
                <w:rFonts w:hint="eastAsia" w:ascii="宋体" w:hAnsi="宋体" w:eastAsia="宋体" w:cs="Times New Roman"/>
                <w:color w:val="000000" w:themeColor="text1"/>
                <w:kern w:val="0"/>
                <w:szCs w:val="21"/>
                <w:lang w:val="zh-CN"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2、</w:t>
            </w:r>
            <w:r>
              <w:rPr>
                <w:rFonts w:hint="eastAsia" w:ascii="宋体" w:hAnsi="宋体" w:eastAsia="宋体" w:cs="Times New Roman"/>
                <w:color w:val="000000" w:themeColor="text1"/>
                <w:kern w:val="0"/>
                <w:szCs w:val="21"/>
                <w:lang w:val="zh-CN" w:eastAsia="zh-CN"/>
                <w14:textFill>
                  <w14:solidFill>
                    <w14:schemeClr w14:val="tx1"/>
                  </w14:solidFill>
                </w14:textFill>
              </w:rPr>
              <w:t>提供拟投入本项目消杀技术人员</w:t>
            </w:r>
            <w:r>
              <w:rPr>
                <w:rFonts w:hint="eastAsia" w:ascii="宋体" w:hAnsi="宋体" w:eastAsia="宋体" w:cs="Times New Roman"/>
                <w:color w:val="000000" w:themeColor="text1"/>
                <w:kern w:val="0"/>
                <w:szCs w:val="21"/>
                <w:lang w:val="en-US" w:eastAsia="zh-CN"/>
                <w14:textFill>
                  <w14:solidFill>
                    <w14:schemeClr w14:val="tx1"/>
                  </w14:solidFill>
                </w14:textFill>
              </w:rPr>
              <w:t>中（除项目负责人外）每具有一名有害生物防制相关专业中级证书人员，得1分；每具有有害生物防制相关专业高级及以上证书人员，得2分。本项</w:t>
            </w:r>
            <w:r>
              <w:rPr>
                <w:rFonts w:hint="eastAsia" w:ascii="宋体" w:hAnsi="宋体" w:eastAsia="宋体" w:cs="Times New Roman"/>
                <w:color w:val="000000" w:themeColor="text1"/>
                <w:kern w:val="0"/>
                <w:szCs w:val="21"/>
                <w:lang w:val="zh-CN" w:eastAsia="zh-CN"/>
                <w14:textFill>
                  <w14:solidFill>
                    <w14:schemeClr w14:val="tx1"/>
                  </w14:solidFill>
                </w14:textFill>
              </w:rPr>
              <w:t>最高得分</w:t>
            </w:r>
            <w:r>
              <w:rPr>
                <w:rFonts w:hint="eastAsia" w:ascii="宋体" w:hAnsi="宋体" w:eastAsia="宋体" w:cs="Times New Roman"/>
                <w:color w:val="000000" w:themeColor="text1"/>
                <w:kern w:val="0"/>
                <w:szCs w:val="21"/>
                <w:lang w:val="en-US" w:eastAsia="zh-CN"/>
                <w14:textFill>
                  <w14:solidFill>
                    <w14:schemeClr w14:val="tx1"/>
                  </w14:solidFill>
                </w14:textFill>
              </w:rPr>
              <w:t>4</w:t>
            </w:r>
            <w:r>
              <w:rPr>
                <w:rFonts w:hint="eastAsia" w:ascii="宋体" w:hAnsi="宋体" w:eastAsia="宋体" w:cs="Times New Roman"/>
                <w:color w:val="000000" w:themeColor="text1"/>
                <w:kern w:val="0"/>
                <w:szCs w:val="21"/>
                <w:lang w:val="zh-CN" w:eastAsia="zh-CN"/>
                <w14:textFill>
                  <w14:solidFill>
                    <w14:schemeClr w14:val="tx1"/>
                  </w14:solidFill>
                </w14:textFill>
              </w:rPr>
              <w:t>分。同一个人不重复计分。</w:t>
            </w:r>
          </w:p>
          <w:p w14:paraId="271B99BE">
            <w:pPr>
              <w:rPr>
                <w:rFonts w:hint="eastAsia" w:ascii="宋体" w:hAnsi="宋体" w:eastAsia="宋体" w:cs="Times New Roman"/>
                <w:b/>
                <w:bCs/>
                <w:color w:val="000000" w:themeColor="text1"/>
                <w:kern w:val="0"/>
                <w:szCs w:val="21"/>
                <w:lang w:val="en-US" w:eastAsia="zh-CN"/>
                <w14:textFill>
                  <w14:solidFill>
                    <w14:schemeClr w14:val="tx1"/>
                  </w14:solidFill>
                </w14:textFill>
              </w:rPr>
            </w:pPr>
            <w:r>
              <w:rPr>
                <w:rFonts w:hint="eastAsia" w:ascii="宋体" w:hAnsi="宋体" w:eastAsia="宋体" w:cs="Times New Roman"/>
                <w:b/>
                <w:bCs/>
                <w:color w:val="000000" w:themeColor="text1"/>
                <w:kern w:val="0"/>
                <w:szCs w:val="21"/>
                <w:lang w:val="en-US" w:eastAsia="zh-CN"/>
                <w14:textFill>
                  <w14:solidFill>
                    <w14:schemeClr w14:val="tx1"/>
                  </w14:solidFill>
                </w14:textFill>
              </w:rPr>
              <w:t>注：</w:t>
            </w:r>
          </w:p>
          <w:p w14:paraId="44BC950C">
            <w:pPr>
              <w:rPr>
                <w:rFonts w:hint="eastAsia" w:ascii="宋体" w:hAnsi="宋体" w:eastAsia="宋体" w:cs="Times New Roman"/>
                <w:b/>
                <w:bCs/>
                <w:color w:val="000000" w:themeColor="text1"/>
                <w:kern w:val="0"/>
                <w:szCs w:val="21"/>
                <w:lang w:val="en-US" w:eastAsia="zh-CN"/>
                <w14:textFill>
                  <w14:solidFill>
                    <w14:schemeClr w14:val="tx1"/>
                  </w14:solidFill>
                </w14:textFill>
              </w:rPr>
            </w:pPr>
            <w:r>
              <w:rPr>
                <w:rFonts w:hint="eastAsia" w:ascii="宋体" w:hAnsi="宋体" w:eastAsia="宋体" w:cs="Times New Roman"/>
                <w:b/>
                <w:bCs/>
                <w:color w:val="000000" w:themeColor="text1"/>
                <w:kern w:val="0"/>
                <w:szCs w:val="21"/>
                <w:lang w:val="en-US" w:eastAsia="zh-CN"/>
                <w14:textFill>
                  <w14:solidFill>
                    <w14:schemeClr w14:val="tx1"/>
                  </w14:solidFill>
                </w14:textFill>
              </w:rPr>
              <w:t>1、按人员可得最高得分计取，不重复得分。</w:t>
            </w:r>
          </w:p>
          <w:p w14:paraId="0D7399D1">
            <w:pPr>
              <w:rPr>
                <w:rFonts w:hint="eastAsia" w:ascii="宋体" w:hAnsi="宋体" w:eastAsia="宋体" w:cs="Times New Roman"/>
                <w:b/>
                <w:bCs/>
                <w:color w:val="000000" w:themeColor="text1"/>
                <w:kern w:val="0"/>
                <w:szCs w:val="21"/>
                <w:lang w:val="en-US" w:eastAsia="zh-CN"/>
                <w14:textFill>
                  <w14:solidFill>
                    <w14:schemeClr w14:val="tx1"/>
                  </w14:solidFill>
                </w14:textFill>
              </w:rPr>
            </w:pPr>
            <w:r>
              <w:rPr>
                <w:rFonts w:hint="eastAsia" w:ascii="宋体" w:hAnsi="宋体" w:eastAsia="宋体" w:cs="Times New Roman"/>
                <w:b/>
                <w:bCs/>
                <w:color w:val="000000" w:themeColor="text1"/>
                <w:kern w:val="0"/>
                <w:szCs w:val="21"/>
                <w:lang w:val="en-US" w:eastAsia="zh-CN"/>
                <w14:textFill>
                  <w14:solidFill>
                    <w14:schemeClr w14:val="tx1"/>
                  </w14:solidFill>
                </w14:textFill>
              </w:rPr>
              <w:t>2、提供上述相关人员证书及在投标单位近三个月的任意一个月社保缴纳证明电子证书扫描件加盖投标单位电子签章，两者缺一不可。</w:t>
            </w:r>
          </w:p>
          <w:p w14:paraId="7A0469C4">
            <w:pPr>
              <w:rPr>
                <w:rFonts w:hint="eastAsia" w:ascii="宋体" w:hAnsi="宋体" w:eastAsia="宋体" w:cs="Times New Roman"/>
                <w:color w:val="000000" w:themeColor="text1"/>
                <w:kern w:val="0"/>
                <w:szCs w:val="21"/>
                <w:lang w:val="zh-CN"/>
                <w14:textFill>
                  <w14:solidFill>
                    <w14:schemeClr w14:val="tx1"/>
                  </w14:solidFill>
                </w14:textFill>
              </w:rPr>
            </w:pPr>
            <w:r>
              <w:rPr>
                <w:rFonts w:hint="eastAsia" w:ascii="宋体" w:hAnsi="宋体" w:eastAsia="宋体" w:cs="Times New Roman"/>
                <w:b/>
                <w:bCs/>
                <w:color w:val="000000" w:themeColor="text1"/>
                <w:kern w:val="0"/>
                <w:szCs w:val="21"/>
                <w:lang w:val="en-US" w:eastAsia="zh-CN"/>
                <w14:textFill>
                  <w14:solidFill>
                    <w14:schemeClr w14:val="tx1"/>
                  </w14:solidFill>
                </w14:textFill>
              </w:rPr>
              <w:t>3、专业技术人员证书需提供人社部门或用人单位和社会培训评价组织具体实施并颁发的职业技能等级证书扫描件加盖单位电子签章。</w:t>
            </w:r>
          </w:p>
        </w:tc>
        <w:tc>
          <w:tcPr>
            <w:tcW w:w="904" w:type="dxa"/>
            <w:vAlign w:val="center"/>
          </w:tcPr>
          <w:p w14:paraId="17699765">
            <w:pPr>
              <w:pStyle w:val="21"/>
              <w:adjustRightInd w:val="0"/>
              <w:snapToGrid w:val="0"/>
              <w:jc w:val="center"/>
              <w:rPr>
                <w:rFonts w:hint="default" w:ascii="宋体" w:hAnsi="宋体" w:eastAsia="宋体" w:cs="宋体"/>
                <w:sz w:val="24"/>
                <w:lang w:val="en-US" w:eastAsia="zh-CN"/>
              </w:rPr>
            </w:pPr>
            <w:r>
              <w:rPr>
                <w:rFonts w:hint="eastAsia" w:hAnsi="宋体" w:cs="宋体"/>
                <w:sz w:val="24"/>
                <w:lang w:val="en-US" w:eastAsia="zh-CN"/>
              </w:rPr>
              <w:t>0-6</w:t>
            </w:r>
          </w:p>
        </w:tc>
      </w:tr>
      <w:tr w14:paraId="73A6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5" w:type="dxa"/>
            <w:vAlign w:val="center"/>
          </w:tcPr>
          <w:p w14:paraId="1033E858">
            <w:pPr>
              <w:pStyle w:val="21"/>
              <w:adjustRightInd w:val="0"/>
              <w:snapToGrid w:val="0"/>
              <w:jc w:val="center"/>
              <w:rPr>
                <w:rFonts w:hint="default" w:hAnsi="宋体" w:cs="宋体"/>
                <w:sz w:val="24"/>
                <w:szCs w:val="24"/>
                <w:lang w:val="en-US" w:eastAsia="zh-CN"/>
              </w:rPr>
            </w:pPr>
            <w:r>
              <w:rPr>
                <w:rFonts w:hint="eastAsia" w:hAnsi="宋体" w:cs="宋体"/>
                <w:sz w:val="24"/>
                <w:szCs w:val="24"/>
                <w:lang w:val="en-US" w:eastAsia="zh-CN"/>
              </w:rPr>
              <w:t>3</w:t>
            </w:r>
          </w:p>
        </w:tc>
        <w:tc>
          <w:tcPr>
            <w:tcW w:w="1231" w:type="dxa"/>
            <w:vAlign w:val="center"/>
          </w:tcPr>
          <w:p w14:paraId="11B16BAE">
            <w:pPr>
              <w:pStyle w:val="21"/>
              <w:adjustRightInd w:val="0"/>
              <w:snapToGrid w:val="0"/>
              <w:jc w:val="center"/>
              <w:rPr>
                <w:rFonts w:hint="eastAsia" w:hAnsi="宋体" w:cs="宋体"/>
                <w:color w:val="000000"/>
                <w:sz w:val="22"/>
                <w:szCs w:val="22"/>
              </w:rPr>
            </w:pPr>
            <w:r>
              <w:rPr>
                <w:rFonts w:hint="eastAsia" w:hAnsi="宋体" w:cs="宋体"/>
                <w:color w:val="000000"/>
                <w:sz w:val="22"/>
                <w:szCs w:val="22"/>
                <w:lang w:val="en-US" w:eastAsia="zh-CN"/>
              </w:rPr>
              <w:t>投入本项目的消杀设备</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12</w:t>
            </w:r>
            <w:r>
              <w:rPr>
                <w:rFonts w:hint="eastAsia" w:ascii="宋体" w:hAnsi="宋体" w:eastAsia="宋体" w:cs="宋体"/>
                <w:color w:val="auto"/>
                <w:sz w:val="24"/>
              </w:rPr>
              <w:t>分）</w:t>
            </w:r>
          </w:p>
        </w:tc>
        <w:tc>
          <w:tcPr>
            <w:tcW w:w="6161" w:type="dxa"/>
            <w:gridSpan w:val="2"/>
            <w:vAlign w:val="center"/>
          </w:tcPr>
          <w:p w14:paraId="2E4310B5">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投标人提供消杀设备配备：</w:t>
            </w:r>
          </w:p>
          <w:p w14:paraId="5F1CA977">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①超低容量静电喷雾器，每提供一台得1分，最多得4分；</w:t>
            </w:r>
          </w:p>
          <w:p w14:paraId="1110E0DF">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②热烟雾机，每提供一台得1分，最多得4分；</w:t>
            </w:r>
          </w:p>
          <w:p w14:paraId="3E1513FF">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③背负式动力喷雾器，每提供一台得1分，最多得4分；</w:t>
            </w:r>
          </w:p>
          <w:p w14:paraId="5B4126BD">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本项最高得12分。</w:t>
            </w:r>
          </w:p>
          <w:p w14:paraId="385F1313">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投标文件中提供设备购置发票复印件（或扫描件）加盖公章和设备图样，否则不得分；如发票名称与要求设备名称不一致需提供相关证明材料复印件（或扫描件）加盖公章，否则不予认可。租赁的还需提供租赁合同复印件（或扫描件）加盖公章，否则不得分。）</w:t>
            </w:r>
          </w:p>
          <w:p w14:paraId="31BA3514">
            <w:pPr>
              <w:rPr>
                <w:rFonts w:hint="eastAsia" w:ascii="宋体" w:hAnsi="宋体" w:eastAsia="宋体" w:cs="Times New Roman"/>
                <w:b/>
                <w:bCs/>
                <w:color w:val="000000" w:themeColor="text1"/>
                <w:kern w:val="0"/>
                <w:szCs w:val="21"/>
                <w:lang w:val="en-US" w:eastAsia="zh-CN"/>
                <w14:textFill>
                  <w14:solidFill>
                    <w14:schemeClr w14:val="tx1"/>
                  </w14:solidFill>
                </w14:textFill>
              </w:rPr>
            </w:pPr>
            <w:r>
              <w:rPr>
                <w:rFonts w:hint="eastAsia" w:ascii="宋体" w:hAnsi="宋体" w:eastAsia="宋体" w:cs="Times New Roman"/>
                <w:b/>
                <w:bCs/>
                <w:color w:val="000000" w:themeColor="text1"/>
                <w:kern w:val="0"/>
                <w:szCs w:val="21"/>
                <w:lang w:val="en-US" w:eastAsia="zh-CN"/>
                <w14:textFill>
                  <w14:solidFill>
                    <w14:schemeClr w14:val="tx1"/>
                  </w14:solidFill>
                </w14:textFill>
              </w:rPr>
              <w:t>注：</w:t>
            </w:r>
            <w:r>
              <w:rPr>
                <w:rFonts w:hint="eastAsia" w:ascii="宋体" w:hAnsi="宋体" w:cs="Times New Roman"/>
                <w:b/>
                <w:bCs/>
                <w:color w:val="000000" w:themeColor="text1"/>
                <w:kern w:val="0"/>
                <w:szCs w:val="21"/>
                <w:lang w:val="en-US" w:eastAsia="zh-CN"/>
                <w14:textFill>
                  <w14:solidFill>
                    <w14:schemeClr w14:val="tx1"/>
                  </w14:solidFill>
                </w14:textFill>
              </w:rPr>
              <w:t>1.</w:t>
            </w:r>
            <w:r>
              <w:rPr>
                <w:rFonts w:hint="eastAsia" w:ascii="宋体" w:hAnsi="宋体" w:eastAsia="宋体" w:cs="Times New Roman"/>
                <w:b/>
                <w:bCs/>
                <w:color w:val="000000" w:themeColor="text1"/>
                <w:kern w:val="0"/>
                <w:szCs w:val="21"/>
                <w:lang w:val="en-US" w:eastAsia="zh-CN"/>
                <w14:textFill>
                  <w14:solidFill>
                    <w14:schemeClr w14:val="tx1"/>
                  </w14:solidFill>
                </w14:textFill>
              </w:rPr>
              <w:t>租赁的租赁合同期限必须覆盖本项目服务期，否则视为不满足。</w:t>
            </w:r>
            <w:r>
              <w:rPr>
                <w:rFonts w:hint="eastAsia" w:ascii="宋体" w:hAnsi="宋体" w:cs="Times New Roman"/>
                <w:b/>
                <w:bCs/>
                <w:color w:val="000000" w:themeColor="text1"/>
                <w:kern w:val="0"/>
                <w:szCs w:val="21"/>
                <w:lang w:val="en-US" w:eastAsia="zh-CN"/>
                <w14:textFill>
                  <w14:solidFill>
                    <w14:schemeClr w14:val="tx1"/>
                  </w14:solidFill>
                </w14:textFill>
              </w:rPr>
              <w:t>2.提供</w:t>
            </w:r>
            <w:r>
              <w:rPr>
                <w:rFonts w:hint="eastAsia" w:ascii="宋体" w:hAnsi="宋体" w:eastAsia="宋体" w:cs="Times New Roman"/>
                <w:b/>
                <w:bCs/>
                <w:color w:val="000000" w:themeColor="text1"/>
                <w:kern w:val="0"/>
                <w:szCs w:val="21"/>
                <w:lang w:val="en-US" w:eastAsia="zh-CN"/>
                <w14:textFill>
                  <w14:solidFill>
                    <w14:schemeClr w14:val="tx1"/>
                  </w14:solidFill>
                </w14:textFill>
              </w:rPr>
              <w:t>承诺函并加盖公章（格式自拟），承诺函须承诺在中标</w:t>
            </w:r>
            <w:r>
              <w:rPr>
                <w:rFonts w:hint="eastAsia" w:ascii="宋体" w:hAnsi="宋体" w:cs="Times New Roman"/>
                <w:b/>
                <w:bCs/>
                <w:color w:val="000000" w:themeColor="text1"/>
                <w:kern w:val="0"/>
                <w:szCs w:val="21"/>
                <w:lang w:val="en-US" w:eastAsia="zh-CN"/>
                <w14:textFill>
                  <w14:solidFill>
                    <w14:schemeClr w14:val="tx1"/>
                  </w14:solidFill>
                </w14:textFill>
              </w:rPr>
              <w:t>签订合同</w:t>
            </w:r>
            <w:r>
              <w:rPr>
                <w:rFonts w:hint="eastAsia" w:ascii="宋体" w:hAnsi="宋体" w:eastAsia="宋体" w:cs="Times New Roman"/>
                <w:b/>
                <w:bCs/>
                <w:color w:val="000000" w:themeColor="text1"/>
                <w:kern w:val="0"/>
                <w:szCs w:val="21"/>
                <w:lang w:val="en-US" w:eastAsia="zh-CN"/>
                <w14:textFill>
                  <w14:solidFill>
                    <w14:schemeClr w14:val="tx1"/>
                  </w14:solidFill>
                </w14:textFill>
              </w:rPr>
              <w:t>后10个工作日内相应设备器械到位等字眼，否则不得分。</w:t>
            </w:r>
          </w:p>
        </w:tc>
        <w:tc>
          <w:tcPr>
            <w:tcW w:w="904" w:type="dxa"/>
            <w:vAlign w:val="center"/>
          </w:tcPr>
          <w:p w14:paraId="2A885E7A">
            <w:pPr>
              <w:pStyle w:val="21"/>
              <w:adjustRightInd w:val="0"/>
              <w:snapToGrid w:val="0"/>
              <w:jc w:val="center"/>
              <w:rPr>
                <w:rFonts w:hint="default" w:hAnsi="宋体" w:cs="宋体"/>
                <w:sz w:val="24"/>
                <w:lang w:val="en-US" w:eastAsia="zh-CN"/>
              </w:rPr>
            </w:pPr>
            <w:r>
              <w:rPr>
                <w:rFonts w:hint="eastAsia" w:hAnsi="宋体" w:cs="宋体"/>
                <w:sz w:val="24"/>
                <w:lang w:val="en-US" w:eastAsia="zh-CN"/>
              </w:rPr>
              <w:t>0-12</w:t>
            </w:r>
          </w:p>
        </w:tc>
      </w:tr>
      <w:tr w14:paraId="11FB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5" w:type="dxa"/>
            <w:vAlign w:val="center"/>
          </w:tcPr>
          <w:p w14:paraId="78EB930A">
            <w:pPr>
              <w:pStyle w:val="21"/>
              <w:adjustRightInd w:val="0"/>
              <w:snapToGrid w:val="0"/>
              <w:jc w:val="center"/>
              <w:rPr>
                <w:rFonts w:hint="default" w:hAnsi="宋体" w:cs="宋体"/>
                <w:sz w:val="24"/>
                <w:szCs w:val="24"/>
                <w:lang w:val="en-US" w:eastAsia="zh-CN"/>
              </w:rPr>
            </w:pPr>
            <w:r>
              <w:rPr>
                <w:rFonts w:hint="eastAsia" w:hAnsi="宋体" w:cs="宋体"/>
                <w:sz w:val="24"/>
                <w:szCs w:val="24"/>
                <w:lang w:val="en-US" w:eastAsia="zh-CN"/>
              </w:rPr>
              <w:t>4</w:t>
            </w:r>
          </w:p>
        </w:tc>
        <w:tc>
          <w:tcPr>
            <w:tcW w:w="1231" w:type="dxa"/>
            <w:vAlign w:val="center"/>
          </w:tcPr>
          <w:p w14:paraId="285D375D">
            <w:pPr>
              <w:pStyle w:val="21"/>
              <w:adjustRightInd w:val="0"/>
              <w:snapToGrid w:val="0"/>
              <w:jc w:val="center"/>
              <w:rPr>
                <w:rFonts w:hint="eastAsia" w:hAnsi="宋体" w:cs="宋体"/>
                <w:color w:val="000000"/>
                <w:sz w:val="22"/>
                <w:szCs w:val="22"/>
              </w:rPr>
            </w:pPr>
            <w:r>
              <w:rPr>
                <w:rFonts w:hint="eastAsia" w:hAnsi="宋体" w:cs="宋体"/>
                <w:color w:val="000000"/>
                <w:sz w:val="22"/>
                <w:szCs w:val="22"/>
                <w:lang w:eastAsia="zh-CN"/>
              </w:rPr>
              <w:t>企业认证证书</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3</w:t>
            </w:r>
            <w:r>
              <w:rPr>
                <w:rFonts w:hint="eastAsia" w:ascii="宋体" w:hAnsi="宋体" w:eastAsia="宋体" w:cs="宋体"/>
                <w:color w:val="auto"/>
                <w:sz w:val="24"/>
              </w:rPr>
              <w:t>分）</w:t>
            </w:r>
          </w:p>
        </w:tc>
        <w:tc>
          <w:tcPr>
            <w:tcW w:w="6161" w:type="dxa"/>
            <w:gridSpan w:val="2"/>
            <w:vAlign w:val="center"/>
          </w:tcPr>
          <w:p w14:paraId="5882F00F">
            <w:pPr>
              <w:rPr>
                <w:rFonts w:hint="eastAsia" w:ascii="宋体" w:hAnsi="宋体" w:eastAsia="宋体" w:cs="Times New Roman"/>
                <w:b w:val="0"/>
                <w:bCs w:val="0"/>
                <w:color w:val="000000" w:themeColor="text1"/>
                <w:kern w:val="0"/>
                <w:szCs w:val="21"/>
                <w:lang w:val="en-US" w:eastAsia="zh-CN"/>
                <w14:textFill>
                  <w14:solidFill>
                    <w14:schemeClr w14:val="tx1"/>
                  </w14:solidFill>
                </w14:textFill>
              </w:rPr>
            </w:pPr>
            <w:r>
              <w:rPr>
                <w:rFonts w:hint="eastAsia" w:ascii="宋体" w:hAnsi="宋体" w:eastAsia="宋体" w:cs="Times New Roman"/>
                <w:b w:val="0"/>
                <w:bCs w:val="0"/>
                <w:color w:val="000000" w:themeColor="text1"/>
                <w:kern w:val="0"/>
                <w:szCs w:val="21"/>
                <w:lang w:val="en-US" w:eastAsia="zh-CN"/>
                <w14:textFill>
                  <w14:solidFill>
                    <w14:schemeClr w14:val="tx1"/>
                  </w14:solidFill>
                </w14:textFill>
              </w:rPr>
              <w:t>投标供应商具有质量管理体系认证、环境体系认证证书、职业健康安全管理体系认证，每具有一个得1分，最高3分。</w:t>
            </w:r>
          </w:p>
          <w:p w14:paraId="523D5641">
            <w:pPr>
              <w:rPr>
                <w:rFonts w:hint="eastAsia" w:ascii="宋体" w:hAnsi="宋体" w:eastAsia="宋体" w:cs="Times New Roman"/>
                <w:b/>
                <w:bCs/>
                <w:color w:val="000000" w:themeColor="text1"/>
                <w:kern w:val="0"/>
                <w:szCs w:val="21"/>
                <w:lang w:val="en-US" w:eastAsia="zh-CN"/>
                <w14:textFill>
                  <w14:solidFill>
                    <w14:schemeClr w14:val="tx1"/>
                  </w14:solidFill>
                </w14:textFill>
              </w:rPr>
            </w:pPr>
            <w:r>
              <w:rPr>
                <w:rFonts w:hint="eastAsia" w:ascii="宋体" w:hAnsi="宋体" w:eastAsia="宋体" w:cs="Times New Roman"/>
                <w:b/>
                <w:bCs/>
                <w:color w:val="000000" w:themeColor="text1"/>
                <w:kern w:val="0"/>
                <w:szCs w:val="21"/>
                <w:lang w:val="en-US" w:eastAsia="zh-CN"/>
                <w14:textFill>
                  <w14:solidFill>
                    <w14:schemeClr w14:val="tx1"/>
                  </w14:solidFill>
                </w14:textFill>
              </w:rPr>
              <w:t>注:须提供相关证书扫描件加盖投标单位公章，否则不得分。</w:t>
            </w:r>
          </w:p>
        </w:tc>
        <w:tc>
          <w:tcPr>
            <w:tcW w:w="904" w:type="dxa"/>
            <w:vAlign w:val="center"/>
          </w:tcPr>
          <w:p w14:paraId="6DC05614">
            <w:pPr>
              <w:pStyle w:val="21"/>
              <w:adjustRightInd w:val="0"/>
              <w:snapToGrid w:val="0"/>
              <w:jc w:val="center"/>
              <w:rPr>
                <w:rFonts w:hint="default" w:hAnsi="宋体" w:cs="宋体"/>
                <w:sz w:val="24"/>
                <w:lang w:val="en-US" w:eastAsia="zh-CN"/>
              </w:rPr>
            </w:pPr>
            <w:r>
              <w:rPr>
                <w:rFonts w:hint="eastAsia" w:hAnsi="宋体" w:cs="宋体"/>
                <w:sz w:val="24"/>
                <w:lang w:val="en-US" w:eastAsia="zh-CN"/>
              </w:rPr>
              <w:t>0-3</w:t>
            </w:r>
          </w:p>
        </w:tc>
      </w:tr>
      <w:tr w14:paraId="2D7A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5" w:type="dxa"/>
            <w:vMerge w:val="restart"/>
            <w:vAlign w:val="center"/>
          </w:tcPr>
          <w:p w14:paraId="34CD4ABA">
            <w:pPr>
              <w:pStyle w:val="21"/>
              <w:adjustRightInd w:val="0"/>
              <w:snapToGrid w:val="0"/>
              <w:jc w:val="center"/>
              <w:rPr>
                <w:rFonts w:hint="default" w:hAnsi="宋体" w:eastAsia="宋体" w:cs="宋体"/>
                <w:sz w:val="24"/>
                <w:szCs w:val="24"/>
                <w:lang w:val="en-US" w:eastAsia="zh-CN"/>
              </w:rPr>
            </w:pPr>
            <w:r>
              <w:rPr>
                <w:rFonts w:hint="eastAsia" w:hAnsi="宋体" w:cs="宋体"/>
                <w:sz w:val="24"/>
                <w:szCs w:val="24"/>
                <w:lang w:val="en-US" w:eastAsia="zh-CN"/>
              </w:rPr>
              <w:t>5</w:t>
            </w:r>
          </w:p>
        </w:tc>
        <w:tc>
          <w:tcPr>
            <w:tcW w:w="1231" w:type="dxa"/>
            <w:vMerge w:val="restart"/>
            <w:vAlign w:val="center"/>
          </w:tcPr>
          <w:p w14:paraId="379DA583">
            <w:pPr>
              <w:widowControl/>
              <w:jc w:val="center"/>
              <w:rPr>
                <w:rFonts w:hint="eastAsia" w:ascii="宋体" w:hAnsi="宋体" w:eastAsia="宋体" w:cs="Times New Roman"/>
                <w:color w:val="000000" w:themeColor="text1"/>
                <w:kern w:val="0"/>
                <w:szCs w:val="21"/>
                <w:lang w:eastAsia="zh-CN"/>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技术方案</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15</w:t>
            </w:r>
            <w:r>
              <w:rPr>
                <w:rFonts w:hint="eastAsia" w:ascii="宋体" w:hAnsi="宋体" w:eastAsia="宋体" w:cs="宋体"/>
                <w:color w:val="auto"/>
                <w:sz w:val="24"/>
              </w:rPr>
              <w:t>分）</w:t>
            </w:r>
          </w:p>
        </w:tc>
        <w:tc>
          <w:tcPr>
            <w:tcW w:w="6161" w:type="dxa"/>
            <w:gridSpan w:val="2"/>
            <w:vAlign w:val="center"/>
          </w:tcPr>
          <w:p w14:paraId="09C48F33">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1、根据供应商内部组织管理制度（工作考勤、监督管理机制及奖罚管理）完善程度由专家进行评分。</w:t>
            </w:r>
          </w:p>
          <w:p w14:paraId="1B2D89A5">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3、2、1、0分）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45908EA6">
            <w:pPr>
              <w:jc w:val="center"/>
              <w:rPr>
                <w:rFonts w:hint="default" w:ascii="宋体" w:hAnsi="宋体" w:eastAsia="宋体" w:cs="宋体"/>
                <w:sz w:val="24"/>
                <w:lang w:val="en-US" w:eastAsia="zh-CN"/>
              </w:rPr>
            </w:pPr>
            <w:r>
              <w:rPr>
                <w:rFonts w:hint="eastAsia" w:ascii="宋体" w:hAnsi="宋体" w:cs="宋体"/>
                <w:sz w:val="24"/>
              </w:rPr>
              <w:t>0</w:t>
            </w:r>
            <w:r>
              <w:rPr>
                <w:rFonts w:hint="eastAsia" w:ascii="宋体" w:hAnsi="宋体" w:cs="宋体"/>
                <w:sz w:val="24"/>
                <w:lang w:val="en-US" w:eastAsia="zh-CN"/>
              </w:rPr>
              <w:t>-3</w:t>
            </w:r>
          </w:p>
        </w:tc>
      </w:tr>
      <w:tr w14:paraId="1FD5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5" w:type="dxa"/>
            <w:vMerge w:val="continue"/>
            <w:vAlign w:val="center"/>
          </w:tcPr>
          <w:p w14:paraId="5B79F84C"/>
        </w:tc>
        <w:tc>
          <w:tcPr>
            <w:tcW w:w="1231" w:type="dxa"/>
            <w:vMerge w:val="continue"/>
            <w:vAlign w:val="center"/>
          </w:tcPr>
          <w:p w14:paraId="69C75F4A"/>
        </w:tc>
        <w:tc>
          <w:tcPr>
            <w:tcW w:w="6161" w:type="dxa"/>
            <w:gridSpan w:val="2"/>
            <w:vAlign w:val="center"/>
          </w:tcPr>
          <w:p w14:paraId="3D925895">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2、根据供应商对本项目周边社区、建筑、外环境的特点认识情况由专家进行评分。</w:t>
            </w:r>
          </w:p>
          <w:p w14:paraId="4FE1F6F1">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3、2、1、0分）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shd w:val="clear" w:color="auto" w:fill="auto"/>
            <w:vAlign w:val="center"/>
          </w:tcPr>
          <w:p w14:paraId="1491D433">
            <w:pPr>
              <w:jc w:val="center"/>
              <w:rPr>
                <w:rFonts w:hint="eastAsia" w:ascii="宋体" w:hAnsi="宋体" w:eastAsia="宋体" w:cs="宋体"/>
                <w:kern w:val="2"/>
                <w:sz w:val="24"/>
                <w:szCs w:val="24"/>
                <w:lang w:val="en-US" w:eastAsia="zh-CN" w:bidi="ar-SA"/>
              </w:rPr>
            </w:pPr>
            <w:r>
              <w:rPr>
                <w:rFonts w:hint="eastAsia" w:ascii="宋体" w:hAnsi="宋体" w:cs="宋体"/>
                <w:sz w:val="24"/>
              </w:rPr>
              <w:t>0</w:t>
            </w:r>
            <w:r>
              <w:rPr>
                <w:rFonts w:hint="eastAsia" w:ascii="宋体" w:hAnsi="宋体" w:cs="宋体"/>
                <w:sz w:val="24"/>
                <w:lang w:val="en-US" w:eastAsia="zh-CN"/>
              </w:rPr>
              <w:t>-3</w:t>
            </w:r>
          </w:p>
        </w:tc>
      </w:tr>
      <w:tr w14:paraId="314F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5" w:type="dxa"/>
            <w:vMerge w:val="continue"/>
            <w:vAlign w:val="center"/>
          </w:tcPr>
          <w:p w14:paraId="49578DFD">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7855AE6E">
            <w:pPr>
              <w:rPr>
                <w:rFonts w:hint="eastAsia" w:ascii="宋体" w:hAnsi="宋体" w:eastAsia="宋体" w:cs="Times New Roman"/>
                <w:color w:val="000000" w:themeColor="text1"/>
                <w:kern w:val="0"/>
                <w:szCs w:val="21"/>
                <w14:textFill>
                  <w14:solidFill>
                    <w14:schemeClr w14:val="tx1"/>
                  </w14:solidFill>
                </w14:textFill>
              </w:rPr>
            </w:pPr>
          </w:p>
        </w:tc>
        <w:tc>
          <w:tcPr>
            <w:tcW w:w="6161" w:type="dxa"/>
            <w:gridSpan w:val="2"/>
            <w:vAlign w:val="center"/>
          </w:tcPr>
          <w:p w14:paraId="0CCDC645">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3、根据针对本项目防治对象、种类、孳生地调查、密度监测控制方法由专家进行评分。</w:t>
            </w:r>
          </w:p>
          <w:p w14:paraId="53E16510">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3、2、1、0分）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shd w:val="clear" w:color="auto" w:fill="auto"/>
            <w:vAlign w:val="center"/>
          </w:tcPr>
          <w:p w14:paraId="398E8D9B">
            <w:pPr>
              <w:jc w:val="center"/>
              <w:rPr>
                <w:rFonts w:hint="eastAsia" w:ascii="宋体" w:hAnsi="宋体" w:eastAsia="宋体" w:cs="宋体"/>
                <w:kern w:val="2"/>
                <w:sz w:val="24"/>
                <w:szCs w:val="24"/>
                <w:lang w:val="en-US" w:eastAsia="zh-CN" w:bidi="ar-SA"/>
              </w:rPr>
            </w:pPr>
            <w:r>
              <w:rPr>
                <w:rFonts w:hint="eastAsia" w:ascii="宋体" w:hAnsi="宋体" w:cs="宋体"/>
                <w:sz w:val="24"/>
              </w:rPr>
              <w:t>0</w:t>
            </w:r>
            <w:r>
              <w:rPr>
                <w:rFonts w:hint="eastAsia" w:ascii="宋体" w:hAnsi="宋体" w:cs="宋体"/>
                <w:sz w:val="24"/>
                <w:lang w:val="en-US" w:eastAsia="zh-CN"/>
              </w:rPr>
              <w:t>-3</w:t>
            </w:r>
          </w:p>
        </w:tc>
      </w:tr>
      <w:tr w14:paraId="1B06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5" w:type="dxa"/>
            <w:vMerge w:val="continue"/>
            <w:vAlign w:val="center"/>
          </w:tcPr>
          <w:p w14:paraId="305BCF8B">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56A3259A">
            <w:pPr>
              <w:rPr>
                <w:rFonts w:hint="eastAsia" w:ascii="宋体" w:hAnsi="宋体" w:eastAsia="宋体" w:cs="Times New Roman"/>
                <w:color w:val="000000" w:themeColor="text1"/>
                <w:kern w:val="0"/>
                <w:szCs w:val="21"/>
                <w14:textFill>
                  <w14:solidFill>
                    <w14:schemeClr w14:val="tx1"/>
                  </w14:solidFill>
                </w14:textFill>
              </w:rPr>
            </w:pPr>
          </w:p>
        </w:tc>
        <w:tc>
          <w:tcPr>
            <w:tcW w:w="6161" w:type="dxa"/>
            <w:gridSpan w:val="2"/>
            <w:vAlign w:val="center"/>
          </w:tcPr>
          <w:p w14:paraId="5138B22C">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4、根据针对本项目提供的技术方案的可操作性由专家进行评分。</w:t>
            </w:r>
          </w:p>
          <w:p w14:paraId="3D1BCE9E">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3、2、1、0分）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270AB87D">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-3</w:t>
            </w:r>
          </w:p>
        </w:tc>
      </w:tr>
      <w:tr w14:paraId="2AF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5" w:type="dxa"/>
            <w:vMerge w:val="continue"/>
            <w:vAlign w:val="center"/>
          </w:tcPr>
          <w:p w14:paraId="387DD1D1">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16672BAD">
            <w:pPr>
              <w:rPr>
                <w:rFonts w:hint="eastAsia" w:ascii="宋体" w:hAnsi="宋体" w:eastAsia="宋体" w:cs="Times New Roman"/>
                <w:color w:val="000000" w:themeColor="text1"/>
                <w:kern w:val="0"/>
                <w:szCs w:val="21"/>
                <w14:textFill>
                  <w14:solidFill>
                    <w14:schemeClr w14:val="tx1"/>
                  </w14:solidFill>
                </w14:textFill>
              </w:rPr>
            </w:pPr>
          </w:p>
        </w:tc>
        <w:tc>
          <w:tcPr>
            <w:tcW w:w="6161" w:type="dxa"/>
            <w:gridSpan w:val="2"/>
            <w:vAlign w:val="center"/>
          </w:tcPr>
          <w:p w14:paraId="541F86D9">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5、根据选择药物的合理性和安全性，依据不同环境采用药物的种类、量及使用方法由专家进行评分。</w:t>
            </w:r>
          </w:p>
          <w:p w14:paraId="464B840C">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3、2、1、0分）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780130C6">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-3</w:t>
            </w:r>
          </w:p>
        </w:tc>
      </w:tr>
      <w:tr w14:paraId="351E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restart"/>
            <w:vAlign w:val="center"/>
          </w:tcPr>
          <w:p w14:paraId="6903B447">
            <w:pPr>
              <w:pStyle w:val="21"/>
              <w:adjustRightInd w:val="0"/>
              <w:snapToGrid w:val="0"/>
              <w:jc w:val="center"/>
              <w:rPr>
                <w:rFonts w:hint="eastAsia" w:hAnsi="宋体" w:eastAsia="宋体" w:cs="宋体"/>
                <w:sz w:val="24"/>
                <w:szCs w:val="24"/>
                <w:lang w:eastAsia="zh-CN"/>
              </w:rPr>
            </w:pPr>
            <w:r>
              <w:rPr>
                <w:rFonts w:hint="eastAsia" w:hAnsi="宋体" w:cs="宋体"/>
                <w:sz w:val="24"/>
                <w:szCs w:val="24"/>
                <w:lang w:val="en-US" w:eastAsia="zh-CN"/>
              </w:rPr>
              <w:t>6</w:t>
            </w:r>
          </w:p>
        </w:tc>
        <w:tc>
          <w:tcPr>
            <w:tcW w:w="1231" w:type="dxa"/>
            <w:vMerge w:val="restart"/>
            <w:vAlign w:val="center"/>
          </w:tcPr>
          <w:p w14:paraId="55E3DC74">
            <w:pPr>
              <w:widowControl/>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实施方案</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18</w:t>
            </w:r>
            <w:r>
              <w:rPr>
                <w:rFonts w:hint="eastAsia" w:ascii="宋体" w:hAnsi="宋体" w:eastAsia="宋体" w:cs="宋体"/>
                <w:color w:val="auto"/>
                <w:sz w:val="24"/>
              </w:rPr>
              <w:t>分）</w:t>
            </w:r>
          </w:p>
        </w:tc>
        <w:tc>
          <w:tcPr>
            <w:tcW w:w="7065" w:type="dxa"/>
            <w:gridSpan w:val="3"/>
            <w:vAlign w:val="center"/>
          </w:tcPr>
          <w:p w14:paraId="54ED4B15">
            <w:pPr>
              <w:jc w:val="both"/>
              <w:rPr>
                <w:rFonts w:hint="eastAsia" w:ascii="宋体" w:hAnsi="宋体" w:eastAsia="宋体" w:cs="宋体"/>
                <w:sz w:val="24"/>
                <w:lang w:eastAsia="zh-CN"/>
              </w:rPr>
            </w:pPr>
            <w:r>
              <w:rPr>
                <w:rFonts w:hint="eastAsia" w:ascii="宋体" w:hAnsi="宋体" w:eastAsia="宋体" w:cs="Times New Roman"/>
                <w:color w:val="000000" w:themeColor="text1"/>
                <w:kern w:val="0"/>
                <w:szCs w:val="21"/>
                <w14:textFill>
                  <w14:solidFill>
                    <w14:schemeClr w14:val="tx1"/>
                  </w14:solidFill>
                </w14:textFill>
              </w:rPr>
              <w:t>供应商提供整体工作思路，拟定工作安排计划，阐述按照计划实施的优势及对项目服务质量的提升能力，从而体现供应商的专业程度。</w:t>
            </w:r>
          </w:p>
        </w:tc>
      </w:tr>
      <w:tr w14:paraId="5984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436DCBC7"/>
        </w:tc>
        <w:tc>
          <w:tcPr>
            <w:tcW w:w="1231" w:type="dxa"/>
            <w:vMerge w:val="continue"/>
            <w:vAlign w:val="center"/>
          </w:tcPr>
          <w:p w14:paraId="45345051"/>
        </w:tc>
        <w:tc>
          <w:tcPr>
            <w:tcW w:w="1397" w:type="dxa"/>
            <w:vMerge w:val="restart"/>
            <w:vAlign w:val="center"/>
          </w:tcPr>
          <w:p w14:paraId="2BE26DFC">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药品管控方案（</w:t>
            </w:r>
            <w:r>
              <w:rPr>
                <w:rFonts w:hint="eastAsia" w:ascii="宋体" w:hAnsi="宋体" w:eastAsia="宋体" w:cs="Times New Roman"/>
                <w:color w:val="000000" w:themeColor="text1"/>
                <w:kern w:val="0"/>
                <w:szCs w:val="21"/>
                <w:lang w:val="en-US" w:eastAsia="zh-CN"/>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分）</w:t>
            </w:r>
          </w:p>
        </w:tc>
        <w:tc>
          <w:tcPr>
            <w:tcW w:w="4764" w:type="dxa"/>
            <w:vAlign w:val="center"/>
          </w:tcPr>
          <w:p w14:paraId="19A98CF5">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）药品管控方案重难点解决措施的有效性。</w:t>
            </w:r>
          </w:p>
          <w:p w14:paraId="4AC48367">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r>
              <w:rPr>
                <w:rFonts w:hint="eastAsia" w:ascii="宋体" w:hAnsi="宋体" w:cs="Times New Roman"/>
                <w:color w:val="000000" w:themeColor="text1"/>
                <w:kern w:val="0"/>
                <w:szCs w:val="21"/>
                <w:lang w:eastAsia="zh-CN"/>
                <w14:textFill>
                  <w14:solidFill>
                    <w14:schemeClr w14:val="tx1"/>
                  </w14:solidFill>
                </w14:textFill>
              </w:rPr>
              <w:t>。</w:t>
            </w:r>
          </w:p>
        </w:tc>
        <w:tc>
          <w:tcPr>
            <w:tcW w:w="904" w:type="dxa"/>
            <w:vAlign w:val="center"/>
          </w:tcPr>
          <w:p w14:paraId="42E4A0A3">
            <w:pPr>
              <w:jc w:val="center"/>
              <w:rPr>
                <w:rFonts w:hint="default" w:ascii="宋体" w:hAnsi="宋体" w:eastAsia="宋体" w:cs="Times New Roman"/>
                <w:color w:val="000000" w:themeColor="text1"/>
                <w:kern w:val="0"/>
                <w:szCs w:val="21"/>
                <w:lang w:val="en-US"/>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4613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48D1B273">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6BAFCCD5">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continue"/>
            <w:vAlign w:val="center"/>
          </w:tcPr>
          <w:p w14:paraId="6EDA9FE4">
            <w:pPr>
              <w:rPr>
                <w:rFonts w:hint="eastAsia" w:ascii="宋体" w:hAnsi="宋体" w:eastAsia="宋体" w:cs="Times New Roman"/>
                <w:color w:val="000000" w:themeColor="text1"/>
                <w:kern w:val="0"/>
                <w:szCs w:val="21"/>
                <w14:textFill>
                  <w14:solidFill>
                    <w14:schemeClr w14:val="tx1"/>
                  </w14:solidFill>
                </w14:textFill>
              </w:rPr>
            </w:pPr>
          </w:p>
        </w:tc>
        <w:tc>
          <w:tcPr>
            <w:tcW w:w="4764" w:type="dxa"/>
            <w:vAlign w:val="center"/>
          </w:tcPr>
          <w:p w14:paraId="47263251">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（2）药品管控方案的细化全面程度。</w:t>
            </w:r>
          </w:p>
          <w:p w14:paraId="159F2914">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754B6ECC">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00C1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4E6CC5DC">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7C9CF0E3">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continue"/>
            <w:vAlign w:val="center"/>
          </w:tcPr>
          <w:p w14:paraId="653CB893">
            <w:pPr>
              <w:rPr>
                <w:rFonts w:hint="eastAsia" w:ascii="宋体" w:hAnsi="宋体" w:eastAsia="宋体" w:cs="Times New Roman"/>
                <w:color w:val="000000" w:themeColor="text1"/>
                <w:kern w:val="0"/>
                <w:szCs w:val="21"/>
                <w14:textFill>
                  <w14:solidFill>
                    <w14:schemeClr w14:val="tx1"/>
                  </w14:solidFill>
                </w14:textFill>
              </w:rPr>
            </w:pPr>
          </w:p>
        </w:tc>
        <w:tc>
          <w:tcPr>
            <w:tcW w:w="4764" w:type="dxa"/>
            <w:vAlign w:val="center"/>
          </w:tcPr>
          <w:p w14:paraId="55CEFDE2">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（3）药品管控方案与项目实际情况的切合程度。</w:t>
            </w:r>
          </w:p>
          <w:p w14:paraId="5062ABCB">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0C87F6ED">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0BCA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62A0EAE3">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6B623970">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restart"/>
            <w:vAlign w:val="center"/>
          </w:tcPr>
          <w:p w14:paraId="19FC8D3A">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eastAsia="宋体" w:cs="Times New Roman"/>
                <w:color w:val="000000" w:themeColor="text1"/>
                <w:kern w:val="0"/>
                <w:szCs w:val="21"/>
                <w14:textFill>
                  <w14:solidFill>
                    <w14:schemeClr w14:val="tx1"/>
                  </w14:solidFill>
                </w14:textFill>
              </w:rPr>
              <w:t>“除四害”防治方案（</w:t>
            </w:r>
            <w:r>
              <w:rPr>
                <w:rFonts w:hint="eastAsia" w:ascii="宋体" w:hAnsi="宋体" w:eastAsia="宋体" w:cs="Times New Roman"/>
                <w:color w:val="000000" w:themeColor="text1"/>
                <w:kern w:val="0"/>
                <w:szCs w:val="21"/>
                <w:lang w:val="en-US" w:eastAsia="zh-CN"/>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分）</w:t>
            </w:r>
          </w:p>
        </w:tc>
        <w:tc>
          <w:tcPr>
            <w:tcW w:w="4764" w:type="dxa"/>
            <w:vAlign w:val="center"/>
          </w:tcPr>
          <w:p w14:paraId="7FCD225F">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）“除四害”防治方案重难点解决措施的有效性。</w:t>
            </w:r>
          </w:p>
          <w:p w14:paraId="5205E007">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11C30261">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48F0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659B80AB">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3EB0EEC2">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continue"/>
            <w:vAlign w:val="center"/>
          </w:tcPr>
          <w:p w14:paraId="63D55B0B">
            <w:pPr>
              <w:rPr>
                <w:rFonts w:hint="eastAsia" w:ascii="宋体" w:hAnsi="宋体" w:eastAsia="宋体" w:cs="Times New Roman"/>
                <w:color w:val="000000" w:themeColor="text1"/>
                <w:kern w:val="0"/>
                <w:szCs w:val="21"/>
                <w14:textFill>
                  <w14:solidFill>
                    <w14:schemeClr w14:val="tx1"/>
                  </w14:solidFill>
                </w14:textFill>
              </w:rPr>
            </w:pPr>
          </w:p>
        </w:tc>
        <w:tc>
          <w:tcPr>
            <w:tcW w:w="4764" w:type="dxa"/>
            <w:vAlign w:val="center"/>
          </w:tcPr>
          <w:p w14:paraId="6B63E209">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（2）“除四害”防治方案的细化全面程度。</w:t>
            </w:r>
          </w:p>
          <w:p w14:paraId="1EBECADF">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253DD441">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04A7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6B463343">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66FBE78F">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continue"/>
            <w:vAlign w:val="center"/>
          </w:tcPr>
          <w:p w14:paraId="7D38A7AF">
            <w:pPr>
              <w:rPr>
                <w:rFonts w:hint="eastAsia" w:ascii="宋体" w:hAnsi="宋体" w:eastAsia="宋体" w:cs="Times New Roman"/>
                <w:color w:val="000000" w:themeColor="text1"/>
                <w:kern w:val="0"/>
                <w:szCs w:val="21"/>
                <w14:textFill>
                  <w14:solidFill>
                    <w14:schemeClr w14:val="tx1"/>
                  </w14:solidFill>
                </w14:textFill>
              </w:rPr>
            </w:pPr>
          </w:p>
        </w:tc>
        <w:tc>
          <w:tcPr>
            <w:tcW w:w="4764" w:type="dxa"/>
            <w:vAlign w:val="center"/>
          </w:tcPr>
          <w:p w14:paraId="262F5234">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（3）“除四害”防治方案与项目实际情况的切合程度。</w:t>
            </w:r>
          </w:p>
          <w:p w14:paraId="3C890F40">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31907E2D">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6E1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55CB696B">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05D0AEF9">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restart"/>
            <w:vAlign w:val="center"/>
          </w:tcPr>
          <w:p w14:paraId="0C1EEFAD">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3、</w:t>
            </w:r>
            <w:r>
              <w:rPr>
                <w:rFonts w:hint="eastAsia" w:ascii="宋体" w:hAnsi="宋体" w:eastAsia="宋体" w:cs="Times New Roman"/>
                <w:color w:val="000000" w:themeColor="text1"/>
                <w:kern w:val="0"/>
                <w:szCs w:val="21"/>
                <w14:textFill>
                  <w14:solidFill>
                    <w14:schemeClr w14:val="tx1"/>
                  </w14:solidFill>
                </w14:textFill>
              </w:rPr>
              <w:t>“除四害”消杀方案（</w:t>
            </w:r>
            <w:r>
              <w:rPr>
                <w:rFonts w:hint="eastAsia" w:ascii="宋体" w:hAnsi="宋体" w:eastAsia="宋体" w:cs="Times New Roman"/>
                <w:color w:val="000000" w:themeColor="text1"/>
                <w:kern w:val="0"/>
                <w:szCs w:val="21"/>
                <w:lang w:val="en-US" w:eastAsia="zh-CN"/>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分）</w:t>
            </w:r>
          </w:p>
        </w:tc>
        <w:tc>
          <w:tcPr>
            <w:tcW w:w="4764" w:type="dxa"/>
            <w:vAlign w:val="center"/>
          </w:tcPr>
          <w:p w14:paraId="07633E27">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（1）“除四害”消杀方案重难点解决措施的有效性。</w:t>
            </w:r>
          </w:p>
          <w:p w14:paraId="24CAF096">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5554DA01">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3731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4902AE7D">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4E2F9192">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continue"/>
            <w:vAlign w:val="center"/>
          </w:tcPr>
          <w:p w14:paraId="61BF926E">
            <w:pPr>
              <w:rPr>
                <w:rFonts w:hint="eastAsia" w:ascii="宋体" w:hAnsi="宋体" w:eastAsia="宋体" w:cs="Times New Roman"/>
                <w:color w:val="000000" w:themeColor="text1"/>
                <w:kern w:val="0"/>
                <w:szCs w:val="21"/>
                <w14:textFill>
                  <w14:solidFill>
                    <w14:schemeClr w14:val="tx1"/>
                  </w14:solidFill>
                </w14:textFill>
              </w:rPr>
            </w:pPr>
          </w:p>
        </w:tc>
        <w:tc>
          <w:tcPr>
            <w:tcW w:w="4764" w:type="dxa"/>
            <w:vAlign w:val="center"/>
          </w:tcPr>
          <w:p w14:paraId="710324F7">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（2）“除四害”消杀方案的细化全面程度。</w:t>
            </w:r>
          </w:p>
          <w:p w14:paraId="17AD2543">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566D66F3">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5959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5" w:type="dxa"/>
            <w:vMerge w:val="continue"/>
            <w:vAlign w:val="center"/>
          </w:tcPr>
          <w:p w14:paraId="7C0D6214">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4816D2AE">
            <w:pPr>
              <w:rPr>
                <w:rFonts w:hint="eastAsia" w:ascii="宋体" w:hAnsi="宋体" w:eastAsia="宋体" w:cs="Times New Roman"/>
                <w:color w:val="000000" w:themeColor="text1"/>
                <w:kern w:val="0"/>
                <w:szCs w:val="21"/>
                <w14:textFill>
                  <w14:solidFill>
                    <w14:schemeClr w14:val="tx1"/>
                  </w14:solidFill>
                </w14:textFill>
              </w:rPr>
            </w:pPr>
          </w:p>
        </w:tc>
        <w:tc>
          <w:tcPr>
            <w:tcW w:w="1397" w:type="dxa"/>
            <w:vMerge w:val="continue"/>
            <w:vAlign w:val="center"/>
          </w:tcPr>
          <w:p w14:paraId="52A0D496">
            <w:pPr>
              <w:rPr>
                <w:rFonts w:hint="eastAsia" w:ascii="宋体" w:hAnsi="宋体" w:eastAsia="宋体" w:cs="Times New Roman"/>
                <w:color w:val="000000" w:themeColor="text1"/>
                <w:kern w:val="0"/>
                <w:szCs w:val="21"/>
                <w14:textFill>
                  <w14:solidFill>
                    <w14:schemeClr w14:val="tx1"/>
                  </w14:solidFill>
                </w14:textFill>
              </w:rPr>
            </w:pPr>
          </w:p>
        </w:tc>
        <w:tc>
          <w:tcPr>
            <w:tcW w:w="4764" w:type="dxa"/>
            <w:vAlign w:val="center"/>
          </w:tcPr>
          <w:p w14:paraId="1B9EEB45">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（3）“除四害”消杀方案与项目实际情况的切合程度。</w:t>
            </w:r>
          </w:p>
          <w:p w14:paraId="57E613E9">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0EA0F0E4">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6A9C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5" w:type="dxa"/>
            <w:vMerge w:val="restart"/>
            <w:vAlign w:val="center"/>
          </w:tcPr>
          <w:p w14:paraId="21F630BE">
            <w:pPr>
              <w:pStyle w:val="21"/>
              <w:adjustRightInd w:val="0"/>
              <w:snapToGrid w:val="0"/>
              <w:jc w:val="center"/>
              <w:rPr>
                <w:rFonts w:hint="eastAsia" w:hAnsi="宋体" w:eastAsia="宋体" w:cs="宋体"/>
                <w:sz w:val="24"/>
                <w:szCs w:val="24"/>
                <w:lang w:eastAsia="zh-CN"/>
              </w:rPr>
            </w:pPr>
            <w:r>
              <w:rPr>
                <w:rFonts w:hint="eastAsia" w:hAnsi="宋体" w:cs="宋体"/>
                <w:sz w:val="24"/>
                <w:szCs w:val="24"/>
                <w:lang w:val="en-US" w:eastAsia="zh-CN"/>
              </w:rPr>
              <w:t>7</w:t>
            </w:r>
          </w:p>
        </w:tc>
        <w:tc>
          <w:tcPr>
            <w:tcW w:w="1231" w:type="dxa"/>
            <w:vMerge w:val="restart"/>
            <w:vAlign w:val="center"/>
          </w:tcPr>
          <w:p w14:paraId="024359C9">
            <w:pPr>
              <w:widowControl/>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工作人员的综合情况</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分）</w:t>
            </w:r>
          </w:p>
        </w:tc>
        <w:tc>
          <w:tcPr>
            <w:tcW w:w="7065" w:type="dxa"/>
            <w:gridSpan w:val="3"/>
            <w:vAlign w:val="center"/>
          </w:tcPr>
          <w:p w14:paraId="45B5E35F">
            <w:pPr>
              <w:jc w:val="left"/>
              <w:rPr>
                <w:rFonts w:hint="eastAsia" w:ascii="宋体" w:hAnsi="宋体" w:eastAsia="宋体" w:cs="宋体"/>
                <w:sz w:val="24"/>
                <w:lang w:val="en-US" w:eastAsia="zh-CN"/>
              </w:rPr>
            </w:pPr>
            <w:r>
              <w:rPr>
                <w:rFonts w:hint="eastAsia" w:ascii="宋体" w:hAnsi="宋体"/>
                <w:color w:val="000000" w:themeColor="text1"/>
                <w:szCs w:val="21"/>
                <w14:textFill>
                  <w14:solidFill>
                    <w14:schemeClr w14:val="tx1"/>
                  </w14:solidFill>
                </w14:textFill>
              </w:rPr>
              <w:t>供应商提供工作人员综合情况的材料，以体现人员安排对项目质量的提升情况，</w:t>
            </w:r>
            <w:r>
              <w:rPr>
                <w:rFonts w:hint="eastAsia" w:ascii="宋体" w:hAnsi="宋体"/>
                <w:color w:val="000000" w:themeColor="text1"/>
                <w:szCs w:val="21"/>
                <w:lang w:eastAsia="zh-CN"/>
                <w14:textFill>
                  <w14:solidFill>
                    <w14:schemeClr w14:val="tx1"/>
                  </w14:solidFill>
                </w14:textFill>
              </w:rPr>
              <w:t>评标</w:t>
            </w:r>
            <w:r>
              <w:rPr>
                <w:rFonts w:hint="eastAsia" w:ascii="宋体" w:hAnsi="宋体"/>
                <w:color w:val="000000" w:themeColor="text1"/>
                <w:szCs w:val="21"/>
                <w14:textFill>
                  <w14:solidFill>
                    <w14:schemeClr w14:val="tx1"/>
                  </w14:solidFill>
                </w14:textFill>
              </w:rPr>
              <w:t>小组进行评分。</w:t>
            </w:r>
          </w:p>
        </w:tc>
      </w:tr>
      <w:tr w14:paraId="433E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5" w:type="dxa"/>
            <w:vMerge w:val="continue"/>
            <w:vAlign w:val="center"/>
          </w:tcPr>
          <w:p w14:paraId="3922B2DD"/>
        </w:tc>
        <w:tc>
          <w:tcPr>
            <w:tcW w:w="1231" w:type="dxa"/>
            <w:vMerge w:val="continue"/>
            <w:vAlign w:val="center"/>
          </w:tcPr>
          <w:p w14:paraId="3586B701"/>
        </w:tc>
        <w:tc>
          <w:tcPr>
            <w:tcW w:w="6161" w:type="dxa"/>
            <w:gridSpan w:val="2"/>
            <w:vAlign w:val="center"/>
          </w:tcPr>
          <w:p w14:paraId="62934E9E">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（1）工作人员年龄结构和人员层次组合的合理性</w:t>
            </w:r>
            <w:r>
              <w:rPr>
                <w:rFonts w:hint="eastAsia" w:ascii="宋体" w:hAnsi="宋体" w:eastAsia="宋体" w:cs="Times New Roman"/>
                <w:color w:val="000000" w:themeColor="text1"/>
                <w:kern w:val="0"/>
                <w:szCs w:val="21"/>
                <w14:textFill>
                  <w14:solidFill>
                    <w14:schemeClr w14:val="tx1"/>
                  </w14:solidFill>
                </w14:textFill>
              </w:rPr>
              <w:t>。</w:t>
            </w:r>
          </w:p>
          <w:p w14:paraId="63BDC621">
            <w:pPr>
              <w:ind w:left="-2" w:firstLine="2"/>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384ACD13">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7CD9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5" w:type="dxa"/>
            <w:vMerge w:val="continue"/>
            <w:vAlign w:val="center"/>
          </w:tcPr>
          <w:p w14:paraId="3927EA04">
            <w:pPr>
              <w:rPr>
                <w:rFonts w:hint="eastAsia" w:ascii="宋体" w:hAnsi="宋体" w:eastAsia="宋体" w:cs="Times New Roman"/>
                <w:color w:val="000000" w:themeColor="text1"/>
                <w:kern w:val="0"/>
                <w:szCs w:val="21"/>
                <w14:textFill>
                  <w14:solidFill>
                    <w14:schemeClr w14:val="tx1"/>
                  </w14:solidFill>
                </w14:textFill>
              </w:rPr>
            </w:pPr>
          </w:p>
        </w:tc>
        <w:tc>
          <w:tcPr>
            <w:tcW w:w="1231" w:type="dxa"/>
            <w:vMerge w:val="continue"/>
            <w:vAlign w:val="center"/>
          </w:tcPr>
          <w:p w14:paraId="4719B315">
            <w:pPr>
              <w:rPr>
                <w:rFonts w:hint="eastAsia" w:ascii="宋体" w:hAnsi="宋体" w:eastAsia="宋体" w:cs="Times New Roman"/>
                <w:color w:val="000000" w:themeColor="text1"/>
                <w:kern w:val="0"/>
                <w:szCs w:val="21"/>
                <w14:textFill>
                  <w14:solidFill>
                    <w14:schemeClr w14:val="tx1"/>
                  </w14:solidFill>
                </w14:textFill>
              </w:rPr>
            </w:pPr>
          </w:p>
        </w:tc>
        <w:tc>
          <w:tcPr>
            <w:tcW w:w="6161" w:type="dxa"/>
            <w:gridSpan w:val="2"/>
            <w:vAlign w:val="center"/>
          </w:tcPr>
          <w:p w14:paraId="46C8943F">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（2）工作人员的上岗标准、仪容仪表、行为着装的综合情况</w:t>
            </w:r>
            <w:r>
              <w:rPr>
                <w:rFonts w:hint="eastAsia" w:ascii="宋体" w:hAnsi="宋体" w:eastAsia="宋体" w:cs="Times New Roman"/>
                <w:color w:val="000000" w:themeColor="text1"/>
                <w:kern w:val="0"/>
                <w:szCs w:val="21"/>
                <w14:textFill>
                  <w14:solidFill>
                    <w14:schemeClr w14:val="tx1"/>
                  </w14:solidFill>
                </w14:textFill>
              </w:rPr>
              <w:t>。</w:t>
            </w:r>
          </w:p>
          <w:p w14:paraId="3E919403">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s="Times New Roman"/>
                <w:color w:val="000000" w:themeColor="text1"/>
                <w:kern w:val="0"/>
                <w:szCs w:val="21"/>
                <w:lang w:val="en-US" w:eastAsia="zh-CN"/>
                <w14:textFill>
                  <w14:solidFill>
                    <w14:schemeClr w14:val="tx1"/>
                  </w14:solidFill>
                </w14:textFill>
              </w:rPr>
              <w:t>1、0</w:t>
            </w:r>
            <w:r>
              <w:rPr>
                <w:rFonts w:hint="eastAsia" w:ascii="宋体" w:hAnsi="宋体" w:eastAsia="宋体" w:cs="Times New Roman"/>
                <w:color w:val="000000" w:themeColor="text1"/>
                <w:kern w:val="0"/>
                <w:szCs w:val="21"/>
                <w14:textFill>
                  <w14:solidFill>
                    <w14:schemeClr w14:val="tx1"/>
                  </w14:solidFill>
                </w14:textFill>
              </w:rPr>
              <w:t>分）</w:t>
            </w:r>
          </w:p>
        </w:tc>
        <w:tc>
          <w:tcPr>
            <w:tcW w:w="904" w:type="dxa"/>
            <w:vAlign w:val="center"/>
          </w:tcPr>
          <w:p w14:paraId="444AFD8A">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sz w:val="24"/>
              </w:rPr>
              <w:t>0</w:t>
            </w:r>
            <w:r>
              <w:rPr>
                <w:rFonts w:hint="eastAsia" w:ascii="宋体" w:hAnsi="宋体" w:cs="宋体"/>
                <w:sz w:val="24"/>
                <w:lang w:val="en-US" w:eastAsia="zh-CN"/>
              </w:rPr>
              <w:t>-2</w:t>
            </w:r>
          </w:p>
        </w:tc>
      </w:tr>
      <w:tr w14:paraId="0188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75" w:type="dxa"/>
            <w:vAlign w:val="center"/>
          </w:tcPr>
          <w:p w14:paraId="4C5C542C">
            <w:pPr>
              <w:pStyle w:val="21"/>
              <w:adjustRightInd w:val="0"/>
              <w:snapToGrid w:val="0"/>
              <w:jc w:val="center"/>
              <w:rPr>
                <w:rFonts w:hint="default" w:hAnsi="宋体" w:cs="宋体"/>
                <w:sz w:val="24"/>
                <w:szCs w:val="24"/>
                <w:lang w:val="en-US" w:eastAsia="zh-CN"/>
              </w:rPr>
            </w:pPr>
            <w:r>
              <w:rPr>
                <w:rFonts w:hint="eastAsia" w:hAnsi="宋体" w:cs="宋体"/>
                <w:sz w:val="24"/>
                <w:szCs w:val="24"/>
                <w:lang w:val="en-US" w:eastAsia="zh-CN"/>
              </w:rPr>
              <w:t>8</w:t>
            </w:r>
          </w:p>
        </w:tc>
        <w:tc>
          <w:tcPr>
            <w:tcW w:w="1231" w:type="dxa"/>
            <w:vAlign w:val="center"/>
          </w:tcPr>
          <w:p w14:paraId="095F30B8">
            <w:pPr>
              <w:widowControl/>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培训方案</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tc>
        <w:tc>
          <w:tcPr>
            <w:tcW w:w="6161" w:type="dxa"/>
            <w:gridSpan w:val="2"/>
            <w:vAlign w:val="center"/>
          </w:tcPr>
          <w:p w14:paraId="5856FFFF">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供应商在服务开始前应对工作人员进行岗前培训，可从培训对应的工作要点、需要达到的质量目标着手；日常工作过程中应不定时的对工作人员进行培训，可从技术培训、安全文明培训、对工作中产生的问题进行集中培训方面着手。</w:t>
            </w:r>
            <w:r>
              <w:rPr>
                <w:rFonts w:hint="eastAsia" w:ascii="宋体" w:hAnsi="宋体" w:cs="Times New Roman"/>
                <w:color w:val="000000" w:themeColor="text1"/>
                <w:kern w:val="0"/>
                <w:szCs w:val="21"/>
                <w:lang w:val="en-US" w:eastAsia="zh-CN"/>
                <w14:textFill>
                  <w14:solidFill>
                    <w14:schemeClr w14:val="tx1"/>
                  </w14:solidFill>
                </w14:textFill>
              </w:rPr>
              <w:t>根据</w:t>
            </w:r>
            <w:r>
              <w:rPr>
                <w:rFonts w:hint="eastAsia" w:ascii="宋体" w:hAnsi="宋体" w:eastAsia="宋体" w:cs="Times New Roman"/>
                <w:color w:val="000000" w:themeColor="text1"/>
                <w:kern w:val="0"/>
                <w:szCs w:val="21"/>
                <w14:textFill>
                  <w14:solidFill>
                    <w14:schemeClr w14:val="tx1"/>
                  </w14:solidFill>
                </w14:textFill>
              </w:rPr>
              <w:t>培训内容的专业性</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对服务质量的提升情况</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由专家进行评分。</w:t>
            </w:r>
          </w:p>
          <w:p w14:paraId="095B4CCB">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78BD00AC">
            <w:pPr>
              <w:jc w:val="center"/>
              <w:rPr>
                <w:rFonts w:hint="default" w:ascii="宋体" w:hAnsi="宋体" w:eastAsia="宋体" w:cs="宋体"/>
                <w:sz w:val="24"/>
                <w:lang w:val="en-US" w:eastAsia="zh-CN"/>
              </w:rPr>
            </w:pPr>
            <w:r>
              <w:rPr>
                <w:rFonts w:hint="eastAsia" w:ascii="宋体" w:hAnsi="宋体" w:cs="宋体"/>
                <w:sz w:val="24"/>
                <w:lang w:val="en-US" w:eastAsia="zh-CN"/>
              </w:rPr>
              <w:t>0-2</w:t>
            </w:r>
          </w:p>
        </w:tc>
      </w:tr>
      <w:tr w14:paraId="52C0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5" w:type="dxa"/>
            <w:shd w:val="clear" w:color="auto" w:fill="auto"/>
            <w:vAlign w:val="center"/>
          </w:tcPr>
          <w:p w14:paraId="2EDEA321">
            <w:pPr>
              <w:pStyle w:val="21"/>
              <w:adjustRightInd w:val="0"/>
              <w:snapToGrid w:val="0"/>
              <w:jc w:val="center"/>
              <w:rPr>
                <w:rFonts w:hint="eastAsia" w:ascii="宋体" w:hAnsi="宋体" w:eastAsia="宋体" w:cs="宋体"/>
                <w:kern w:val="2"/>
                <w:sz w:val="24"/>
                <w:szCs w:val="24"/>
                <w:lang w:val="en-US" w:eastAsia="zh-CN" w:bidi="ar-SA"/>
              </w:rPr>
            </w:pPr>
            <w:r>
              <w:rPr>
                <w:rFonts w:hint="eastAsia" w:hAnsi="宋体" w:cs="宋体"/>
                <w:sz w:val="24"/>
                <w:szCs w:val="24"/>
                <w:lang w:val="en-US" w:eastAsia="zh-CN"/>
              </w:rPr>
              <w:t>9</w:t>
            </w:r>
          </w:p>
        </w:tc>
        <w:tc>
          <w:tcPr>
            <w:tcW w:w="1231" w:type="dxa"/>
            <w:vAlign w:val="center"/>
          </w:tcPr>
          <w:p w14:paraId="6C449984">
            <w:pPr>
              <w:widowControl/>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工器具设备安排使用方案</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tc>
        <w:tc>
          <w:tcPr>
            <w:tcW w:w="6161" w:type="dxa"/>
            <w:gridSpan w:val="2"/>
            <w:vAlign w:val="center"/>
          </w:tcPr>
          <w:p w14:paraId="45C25EE1">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工器具设备的种类、精度、专业程度是影响服务质量的重大因素，根据项目服务的需要，供应商制定拟投入本项目工器具设备的种类清单，安排使用方案，性能情况类的佐证材料，由专家进行评分。</w:t>
            </w:r>
          </w:p>
          <w:p w14:paraId="5348B0ED">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33E803BD">
            <w:pPr>
              <w:jc w:val="center"/>
              <w:rPr>
                <w:rFonts w:hint="eastAsia" w:ascii="宋体" w:hAnsi="宋体" w:eastAsia="宋体" w:cs="宋体"/>
                <w:sz w:val="24"/>
                <w:lang w:val="en-US" w:eastAsia="zh-CN"/>
              </w:rPr>
            </w:pPr>
            <w:r>
              <w:rPr>
                <w:rFonts w:hint="eastAsia" w:ascii="宋体" w:hAnsi="宋体" w:cs="宋体"/>
                <w:sz w:val="24"/>
                <w:lang w:val="en-US" w:eastAsia="zh-CN"/>
              </w:rPr>
              <w:t>0-2</w:t>
            </w:r>
          </w:p>
        </w:tc>
      </w:tr>
      <w:tr w14:paraId="0500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5" w:type="dxa"/>
            <w:shd w:val="clear" w:color="auto" w:fill="auto"/>
            <w:vAlign w:val="center"/>
          </w:tcPr>
          <w:p w14:paraId="7C34C628">
            <w:pPr>
              <w:pStyle w:val="21"/>
              <w:adjustRightInd w:val="0"/>
              <w:snapToGrid w:val="0"/>
              <w:jc w:val="center"/>
              <w:rPr>
                <w:rFonts w:hint="default" w:ascii="宋体" w:hAnsi="宋体" w:eastAsia="宋体" w:cs="宋体"/>
                <w:kern w:val="2"/>
                <w:sz w:val="24"/>
                <w:szCs w:val="24"/>
                <w:lang w:val="en-US" w:eastAsia="zh-CN" w:bidi="ar-SA"/>
              </w:rPr>
            </w:pPr>
            <w:r>
              <w:rPr>
                <w:rFonts w:hint="eastAsia" w:hAnsi="宋体" w:cs="宋体"/>
                <w:sz w:val="24"/>
                <w:szCs w:val="24"/>
                <w:lang w:val="en-US" w:eastAsia="zh-CN"/>
              </w:rPr>
              <w:t>10</w:t>
            </w:r>
          </w:p>
        </w:tc>
        <w:tc>
          <w:tcPr>
            <w:tcW w:w="1231" w:type="dxa"/>
            <w:vAlign w:val="center"/>
          </w:tcPr>
          <w:p w14:paraId="4A523D14">
            <w:pPr>
              <w:widowControl/>
              <w:jc w:val="center"/>
              <w:rPr>
                <w:rFonts w:hint="eastAsia" w:ascii="宋体" w:hAnsi="宋体" w:eastAsia="宋体" w:cs="Times New Roman"/>
                <w:color w:val="000000" w:themeColor="text1"/>
                <w:kern w:val="0"/>
                <w:szCs w:val="21"/>
                <w14:textFill>
                  <w14:solidFill>
                    <w14:schemeClr w14:val="tx1"/>
                  </w14:solidFill>
                </w14:textFill>
              </w:rPr>
            </w:pPr>
            <w:r>
              <w:t>除四害健康教育宣传计划</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tc>
        <w:tc>
          <w:tcPr>
            <w:tcW w:w="6161" w:type="dxa"/>
            <w:gridSpan w:val="2"/>
            <w:vAlign w:val="center"/>
          </w:tcPr>
          <w:p w14:paraId="272608C6">
            <w:pPr>
              <w:rPr>
                <w:rFonts w:hint="eastAsia" w:ascii="宋体" w:hAnsi="宋体" w:eastAsia="宋体" w:cs="Times New Roman"/>
                <w:color w:val="000000" w:themeColor="text1"/>
                <w:kern w:val="0"/>
                <w:szCs w:val="21"/>
                <w14:textFill>
                  <w14:solidFill>
                    <w14:schemeClr w14:val="tx1"/>
                  </w14:solidFill>
                </w14:textFill>
              </w:rPr>
            </w:pPr>
            <w:r>
              <w:t>提供除四害健康教育宣传计划</w:t>
            </w:r>
            <w:r>
              <w:rPr>
                <w:rFonts w:hint="eastAsia"/>
                <w:lang w:eastAsia="zh-CN"/>
              </w:rPr>
              <w:t>，</w:t>
            </w:r>
            <w:r>
              <w:rPr>
                <w:rFonts w:hint="eastAsia"/>
                <w:lang w:val="en-US" w:eastAsia="zh-CN"/>
              </w:rPr>
              <w:t>根据宣传形式</w:t>
            </w:r>
            <w:r>
              <w:t>多样性</w:t>
            </w:r>
            <w:r>
              <w:rPr>
                <w:rFonts w:hint="eastAsia"/>
                <w:lang w:eastAsia="zh-CN"/>
              </w:rPr>
              <w:t>、</w:t>
            </w:r>
            <w:r>
              <w:rPr>
                <w:rFonts w:hint="eastAsia"/>
                <w:lang w:val="en-US" w:eastAsia="zh-CN"/>
              </w:rPr>
              <w:t>宣传措施的有效性</w:t>
            </w:r>
            <w:r>
              <w:rPr>
                <w:rFonts w:hint="eastAsia" w:ascii="宋体" w:hAnsi="宋体" w:eastAsia="宋体" w:cs="Times New Roman"/>
                <w:color w:val="000000" w:themeColor="text1"/>
                <w:kern w:val="0"/>
                <w:szCs w:val="21"/>
                <w14:textFill>
                  <w14:solidFill>
                    <w14:schemeClr w14:val="tx1"/>
                  </w14:solidFill>
                </w14:textFill>
              </w:rPr>
              <w:t>，由专家进行评分。</w:t>
            </w:r>
          </w:p>
          <w:p w14:paraId="3BD770FC">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29C1F905">
            <w:pPr>
              <w:jc w:val="center"/>
              <w:rPr>
                <w:rFonts w:hint="eastAsia" w:ascii="宋体" w:hAnsi="宋体" w:eastAsia="宋体" w:cs="宋体"/>
                <w:sz w:val="24"/>
                <w:lang w:val="en-US" w:eastAsia="zh-CN"/>
              </w:rPr>
            </w:pPr>
            <w:r>
              <w:rPr>
                <w:rFonts w:hint="eastAsia" w:ascii="宋体" w:hAnsi="宋体" w:cs="宋体"/>
                <w:sz w:val="24"/>
                <w:lang w:val="en-US" w:eastAsia="zh-CN"/>
              </w:rPr>
              <w:t>0-2</w:t>
            </w:r>
          </w:p>
        </w:tc>
      </w:tr>
      <w:tr w14:paraId="2BF4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5" w:type="dxa"/>
            <w:vAlign w:val="center"/>
          </w:tcPr>
          <w:p w14:paraId="1269C803">
            <w:pPr>
              <w:pStyle w:val="21"/>
              <w:adjustRightInd w:val="0"/>
              <w:snapToGrid w:val="0"/>
              <w:jc w:val="center"/>
              <w:rPr>
                <w:rFonts w:hint="default" w:hAnsi="宋体" w:eastAsia="宋体" w:cs="宋体"/>
                <w:sz w:val="24"/>
                <w:szCs w:val="24"/>
                <w:lang w:val="en-US" w:eastAsia="zh-CN"/>
              </w:rPr>
            </w:pPr>
            <w:r>
              <w:rPr>
                <w:rFonts w:hint="eastAsia" w:hAnsi="宋体" w:cs="宋体"/>
                <w:sz w:val="24"/>
                <w:szCs w:val="24"/>
                <w:lang w:val="en-US" w:eastAsia="zh-CN"/>
              </w:rPr>
              <w:t>11</w:t>
            </w:r>
          </w:p>
        </w:tc>
        <w:tc>
          <w:tcPr>
            <w:tcW w:w="1231" w:type="dxa"/>
            <w:vAlign w:val="center"/>
          </w:tcPr>
          <w:p w14:paraId="006E1A38">
            <w:pPr>
              <w:widowControl/>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售后服务</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tc>
        <w:tc>
          <w:tcPr>
            <w:tcW w:w="6161" w:type="dxa"/>
            <w:gridSpan w:val="2"/>
            <w:vAlign w:val="center"/>
          </w:tcPr>
          <w:p w14:paraId="000CA390">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 w:val="21"/>
                <w:szCs w:val="21"/>
                <w:lang w:val="en-US" w:eastAsia="zh-CN" w:bidi="ar-SA"/>
                <w14:textFill>
                  <w14:solidFill>
                    <w14:schemeClr w14:val="tx1"/>
                  </w14:solidFill>
                </w14:textFill>
              </w:rPr>
              <w:t>根据供应商提供的售后服务方案</w:t>
            </w:r>
            <w:r>
              <w:rPr>
                <w:rFonts w:hint="eastAsia" w:ascii="宋体" w:hAnsi="宋体" w:cs="Times New Roman"/>
                <w:color w:val="000000" w:themeColor="text1"/>
                <w:kern w:val="0"/>
                <w:sz w:val="21"/>
                <w:szCs w:val="21"/>
                <w:lang w:val="en-US" w:eastAsia="zh-CN" w:bidi="ar-SA"/>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由专家进行评分。</w:t>
            </w:r>
          </w:p>
          <w:p w14:paraId="5076C287">
            <w:pPr>
              <w:pStyle w:val="37"/>
              <w:tabs>
                <w:tab w:val="left" w:pos="0"/>
                <w:tab w:val="left" w:pos="993"/>
                <w:tab w:val="left" w:pos="1134"/>
              </w:tabs>
              <w:spacing w:after="0"/>
              <w:ind w:left="0" w:leftChars="0" w:firstLine="0" w:firstLineChars="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评分范围</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eastAsia="宋体" w:cs="宋体"/>
                <w:color w:val="auto"/>
                <w:sz w:val="24"/>
              </w:rPr>
              <w:t>2、1、0分）</w:t>
            </w:r>
            <w:r>
              <w:rPr>
                <w:rFonts w:hint="eastAsia" w:ascii="宋体" w:hAnsi="宋体" w:eastAsia="宋体" w:cs="Times New Roman"/>
                <w:color w:val="000000" w:themeColor="text1"/>
                <w:kern w:val="0"/>
                <w:szCs w:val="21"/>
                <w14:textFill>
                  <w14:solidFill>
                    <w14:schemeClr w14:val="tx1"/>
                  </w14:solidFill>
                </w14:textFill>
              </w:rPr>
              <w:t>。</w:t>
            </w:r>
          </w:p>
        </w:tc>
        <w:tc>
          <w:tcPr>
            <w:tcW w:w="904" w:type="dxa"/>
            <w:vAlign w:val="center"/>
          </w:tcPr>
          <w:p w14:paraId="6E335957">
            <w:pPr>
              <w:jc w:val="center"/>
              <w:rPr>
                <w:rFonts w:ascii="宋体" w:hAnsi="宋体" w:cs="宋体"/>
                <w:sz w:val="24"/>
              </w:rPr>
            </w:pPr>
            <w:r>
              <w:rPr>
                <w:rFonts w:hint="eastAsia" w:ascii="宋体" w:hAnsi="宋体" w:cs="宋体"/>
                <w:sz w:val="24"/>
                <w:lang w:val="en-US" w:eastAsia="zh-CN"/>
              </w:rPr>
              <w:t>0-2</w:t>
            </w:r>
          </w:p>
        </w:tc>
      </w:tr>
    </w:tbl>
    <w:p w14:paraId="7C2B7A6A">
      <w:pPr>
        <w:pStyle w:val="47"/>
      </w:pPr>
    </w:p>
    <w:p w14:paraId="6106FCC6">
      <w:pPr>
        <w:spacing w:line="420" w:lineRule="exact"/>
        <w:ind w:right="-106" w:rightChars="-50"/>
        <w:outlineLvl w:val="2"/>
        <w:rPr>
          <w:rFonts w:ascii="宋体" w:hAnsi="宋体" w:cs="宋体"/>
          <w:b/>
          <w:sz w:val="22"/>
          <w:szCs w:val="22"/>
        </w:rPr>
      </w:pPr>
      <w:r>
        <w:rPr>
          <w:rFonts w:hint="eastAsia" w:ascii="宋体" w:hAnsi="宋体"/>
          <w:sz w:val="22"/>
          <w:szCs w:val="22"/>
        </w:rPr>
        <w:t>三．</w:t>
      </w:r>
      <w:r>
        <w:rPr>
          <w:rFonts w:hint="eastAsia" w:ascii="宋体" w:hAnsi="宋体" w:cs="宋体"/>
          <w:b/>
          <w:sz w:val="22"/>
          <w:szCs w:val="22"/>
        </w:rPr>
        <w:t>确定中标人</w:t>
      </w:r>
    </w:p>
    <w:p w14:paraId="7B89D409">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hint="eastAsia" w:ascii="宋体" w:hAnsi="宋体" w:cs="宋体"/>
          <w:b/>
          <w:bCs/>
          <w:sz w:val="22"/>
          <w:szCs w:val="22"/>
        </w:rPr>
        <w:t>1、每个投标人最终得分=</w:t>
      </w:r>
      <w:r>
        <w:rPr>
          <w:rFonts w:hint="eastAsia" w:ascii="宋体" w:hAnsi="宋体" w:cs="宋体"/>
          <w:b/>
          <w:bCs/>
          <w:sz w:val="22"/>
          <w:szCs w:val="22"/>
          <w:lang w:eastAsia="zh-CN"/>
        </w:rPr>
        <w:t>商务技术</w:t>
      </w:r>
      <w:r>
        <w:rPr>
          <w:rFonts w:hint="eastAsia" w:ascii="宋体" w:hAnsi="宋体" w:cs="宋体"/>
          <w:b/>
          <w:bCs/>
          <w:sz w:val="22"/>
          <w:szCs w:val="22"/>
        </w:rPr>
        <w:t>部分分值（所有评标委员会成员打分的算术平均值）＋商务报价部分分值。</w:t>
      </w:r>
    </w:p>
    <w:p w14:paraId="71A34442">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hint="eastAsia" w:ascii="宋体" w:hAnsi="宋体" w:cs="宋体"/>
          <w:b/>
          <w:bCs/>
          <w:sz w:val="22"/>
          <w:szCs w:val="22"/>
        </w:rPr>
        <w:t>2、采购人授权由评标委员会根据评审报告直接确定综合得分第一名的供应商为中标供应商。如果第一名得分相同，以报价低的优先。得分、投标报价和</w:t>
      </w:r>
      <w:r>
        <w:rPr>
          <w:rFonts w:hint="eastAsia" w:ascii="宋体" w:hAnsi="宋体" w:cs="宋体"/>
          <w:b/>
          <w:bCs/>
          <w:sz w:val="22"/>
          <w:szCs w:val="22"/>
          <w:lang w:eastAsia="zh-CN"/>
        </w:rPr>
        <w:t>商务技术</w:t>
      </w:r>
      <w:r>
        <w:rPr>
          <w:rFonts w:hint="eastAsia" w:ascii="宋体" w:hAnsi="宋体" w:cs="宋体"/>
          <w:b/>
          <w:bCs/>
          <w:sz w:val="22"/>
          <w:szCs w:val="22"/>
        </w:rPr>
        <w:t>得分均相同的由</w:t>
      </w:r>
      <w:r>
        <w:rPr>
          <w:rFonts w:hint="eastAsia" w:ascii="宋体" w:hAnsi="宋体" w:cs="宋体"/>
          <w:b/>
          <w:bCs/>
          <w:sz w:val="22"/>
          <w:szCs w:val="22"/>
          <w:lang w:val="en-US" w:eastAsia="zh-CN"/>
        </w:rPr>
        <w:t>评标委员会</w:t>
      </w:r>
      <w:r>
        <w:rPr>
          <w:rFonts w:hint="eastAsia" w:ascii="宋体" w:hAnsi="宋体" w:cs="宋体"/>
          <w:b/>
          <w:bCs/>
          <w:sz w:val="22"/>
          <w:szCs w:val="22"/>
        </w:rPr>
        <w:t>全体成员记名投票按少数服从多数的原则确定排名。</w:t>
      </w:r>
    </w:p>
    <w:p w14:paraId="4BB2D5F3">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hint="eastAsia" w:ascii="宋体" w:hAnsi="宋体" w:cs="宋体"/>
          <w:b/>
          <w:bCs/>
          <w:sz w:val="22"/>
          <w:szCs w:val="22"/>
        </w:rPr>
        <w:t>3、所有分值计算保留小数点后二位，小数点后三位四舍五入。</w:t>
      </w:r>
    </w:p>
    <w:p w14:paraId="32E99751">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hint="eastAsia" w:ascii="宋体" w:hAnsi="宋体" w:cs="宋体"/>
          <w:b/>
          <w:bCs/>
          <w:sz w:val="22"/>
          <w:szCs w:val="22"/>
        </w:rPr>
        <w:t>4、评标结束后，招标人将在浙江省政府采购网、苍南县公共资源交易中心网站上公示中标结果。</w:t>
      </w:r>
    </w:p>
    <w:p w14:paraId="0D30FC4C">
      <w:pPr>
        <w:spacing w:line="420" w:lineRule="exact"/>
        <w:ind w:left="-106" w:leftChars="-50" w:right="-106" w:rightChars="-50" w:firstLine="446" w:firstLineChars="200"/>
        <w:outlineLvl w:val="2"/>
        <w:rPr>
          <w:rFonts w:ascii="宋体" w:hAnsi="宋体" w:cs="宋体"/>
          <w:b/>
          <w:sz w:val="22"/>
          <w:szCs w:val="22"/>
        </w:rPr>
      </w:pPr>
      <w:r>
        <w:rPr>
          <w:rFonts w:hint="eastAsia" w:ascii="宋体" w:hAnsi="宋体" w:cs="宋体"/>
          <w:b/>
          <w:bCs/>
          <w:sz w:val="22"/>
          <w:szCs w:val="22"/>
        </w:rPr>
        <w:t>四．</w:t>
      </w:r>
      <w:r>
        <w:rPr>
          <w:rFonts w:hint="eastAsia" w:ascii="宋体" w:hAnsi="宋体" w:cs="宋体"/>
          <w:b/>
          <w:sz w:val="22"/>
          <w:szCs w:val="22"/>
        </w:rPr>
        <w:t>投标人义务</w:t>
      </w:r>
    </w:p>
    <w:p w14:paraId="706917A0">
      <w:pPr>
        <w:spacing w:line="420" w:lineRule="exact"/>
        <w:ind w:left="-106" w:leftChars="-50" w:right="-106" w:rightChars="-50" w:firstLine="557" w:firstLineChars="250"/>
        <w:rPr>
          <w:rFonts w:ascii="宋体" w:hAnsi="宋体" w:cs="宋体"/>
          <w:bCs/>
          <w:sz w:val="22"/>
          <w:szCs w:val="22"/>
        </w:rPr>
      </w:pPr>
      <w:r>
        <w:rPr>
          <w:rFonts w:hint="eastAsia" w:ascii="宋体" w:hAnsi="宋体" w:cs="宋体"/>
          <w:bCs/>
          <w:sz w:val="22"/>
          <w:szCs w:val="22"/>
        </w:rPr>
        <w:t>投标人应随时接受评标委员会的询标，解答包括有关的商务、技术问题等。评标结束，所有评标资料存招标人备查。</w:t>
      </w:r>
    </w:p>
    <w:p w14:paraId="36C0D7A2">
      <w:pPr>
        <w:spacing w:line="360" w:lineRule="auto"/>
        <w:rPr>
          <w:rFonts w:ascii="宋体" w:hAnsi="宋体"/>
          <w:sz w:val="22"/>
          <w:szCs w:val="22"/>
        </w:rPr>
      </w:pPr>
    </w:p>
    <w:p w14:paraId="4A28152F"/>
    <w:p w14:paraId="6743D4B0">
      <w:pPr>
        <w:pStyle w:val="185"/>
        <w:widowControl w:val="0"/>
        <w:snapToGrid w:val="0"/>
        <w:spacing w:line="500" w:lineRule="exact"/>
        <w:jc w:val="center"/>
        <w:rPr>
          <w:rFonts w:hint="default" w:ascii="宋体" w:hAnsi="宋体" w:eastAsia="宋体" w:cs="宋体"/>
          <w:b/>
          <w:bCs/>
          <w:color w:val="000000"/>
          <w:sz w:val="24"/>
          <w:szCs w:val="24"/>
        </w:rPr>
      </w:pPr>
    </w:p>
    <w:p w14:paraId="1D75478D">
      <w:pPr>
        <w:widowControl/>
        <w:jc w:val="left"/>
        <w:rPr>
          <w:rFonts w:ascii="宋体" w:hAnsi="宋体" w:eastAsia="宋体" w:cs="宋体"/>
          <w:b/>
          <w:bCs/>
          <w:color w:val="000000"/>
          <w:sz w:val="24"/>
        </w:rPr>
      </w:pPr>
    </w:p>
    <w:sectPr>
      <w:headerReference r:id="rId14" w:type="default"/>
      <w:footerReference r:id="rId15" w:type="default"/>
      <w:pgSz w:w="11906" w:h="16838"/>
      <w:pgMar w:top="1440" w:right="1247" w:bottom="1440" w:left="1247" w:header="851" w:footer="992" w:gutter="0"/>
      <w:pgBorders w:offsetFrom="page">
        <w:top w:val="none" w:sz="0" w:space="0"/>
        <w:left w:val="none" w:sz="0" w:space="0"/>
        <w:bottom w:val="none" w:sz="0" w:space="0"/>
        <w:right w:val="none" w:sz="0" w:space="0"/>
      </w:pgBorders>
      <w:cols w:space="720" w:num="1"/>
      <w:docGrid w:type="linesAndChars"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E5FFF9-AC5E-4284-9562-937E7E1A9324}"/>
  </w:font>
  <w:font w:name="黑体">
    <w:panose1 w:val="02010600030101010101"/>
    <w:charset w:val="86"/>
    <w:family w:val="auto"/>
    <w:pitch w:val="default"/>
    <w:sig w:usb0="800002BF" w:usb1="38CF7CFA" w:usb2="00000016" w:usb3="00000000" w:csb0="00040001" w:csb1="00000000"/>
    <w:embedRegular r:id="rId2" w:fontKey="{8701EB26-476C-41DD-A50D-9C61D67458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3A79735-D940-4BC0-8E2A-9C1F10CEE8A7}"/>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Cambria">
    <w:panose1 w:val="02040503050406030204"/>
    <w:charset w:val="00"/>
    <w:family w:val="roman"/>
    <w:pitch w:val="default"/>
    <w:sig w:usb0="E00006FF" w:usb1="420024FF" w:usb2="02000000" w:usb3="00000000" w:csb0="2000019F" w:csb1="00000000"/>
    <w:embedRegular r:id="rId4" w:fontKey="{AEE9ECCD-A8F5-4CF1-848B-6D9DC78E53D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77DEFF95-D66C-483E-BA83-D25D00E52BF8}"/>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embedRegular r:id="rId6" w:fontKey="{66A2C496-0BE5-4D13-AB97-F7C85DD8D7A6}"/>
  </w:font>
  <w:font w:name="’Times New Roman’">
    <w:altName w:val="宋体"/>
    <w:panose1 w:val="00000000000000000000"/>
    <w:charset w:val="86"/>
    <w:family w:val="roman"/>
    <w:pitch w:val="default"/>
    <w:sig w:usb0="00000000" w:usb1="00000000" w:usb2="00000010" w:usb3="00000000" w:csb0="00040000" w:csb1="00000000"/>
    <w:embedRegular r:id="rId7" w:fontKey="{D939BB87-8B6E-478D-A760-4CA1FDD03FA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58D6">
    <w:pPr>
      <w:pStyle w:val="25"/>
      <w:ind w:right="720"/>
      <w:rPr>
        <w:rFonts w:ascii="宋体"/>
      </w:rPr>
    </w:pPr>
    <w:r>
      <w:rPr>
        <w:rStyle w:val="42"/>
        <w:rFonts w:hint="eastAsia"/>
      </w:rPr>
      <w:t xml:space="preserve">                                                             </w:t>
    </w:r>
  </w:p>
  <w:p w14:paraId="41A063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60BB">
    <w:pPr>
      <w:pStyle w:val="25"/>
    </w:pPr>
  </w:p>
  <w:p w14:paraId="3D9FBBD8">
    <w:pPr>
      <w:pStyle w:val="25"/>
      <w:ind w:right="18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459C">
    <w:pPr>
      <w:pStyle w:val="25"/>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99CA">
    <w:pPr>
      <w:pStyle w:val="2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DB23">
                          <w:pPr>
                            <w:pStyle w:val="25"/>
                          </w:pPr>
                          <w:r>
                            <w:fldChar w:fldCharType="begin"/>
                          </w:r>
                          <w:r>
                            <w:instrText xml:space="preserve"> PAGE   \* MERGEFORMAT </w:instrText>
                          </w:r>
                          <w:r>
                            <w:fldChar w:fldCharType="separate"/>
                          </w:r>
                          <w:r>
                            <w:rPr>
                              <w:lang w:val="zh-CN"/>
                            </w:rPr>
                            <w:t>58</w:t>
                          </w:r>
                          <w: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3B5DB23">
                    <w:pPr>
                      <w:pStyle w:val="25"/>
                    </w:pPr>
                    <w:r>
                      <w:fldChar w:fldCharType="begin"/>
                    </w:r>
                    <w:r>
                      <w:instrText xml:space="preserve"> PAGE   \* MERGEFORMAT </w:instrText>
                    </w:r>
                    <w:r>
                      <w:fldChar w:fldCharType="separate"/>
                    </w:r>
                    <w:r>
                      <w:rPr>
                        <w:lang w:val="zh-CN"/>
                      </w:rPr>
                      <w:t>58</w:t>
                    </w:r>
                    <w:r>
                      <w:fldChar w:fldCharType="end"/>
                    </w:r>
                    <w:r>
                      <w:rPr>
                        <w:rFonts w:hint="eastAsia"/>
                      </w:rPr>
                      <w:t xml:space="preserve">                            </w:t>
                    </w:r>
                  </w:p>
                </w:txbxContent>
              </v:textbox>
            </v:shape>
          </w:pict>
        </mc:Fallback>
      </mc:AlternateContent>
    </w:r>
  </w:p>
  <w:p w14:paraId="0EC1F635">
    <w:pPr>
      <w:pStyle w:val="25"/>
      <w:ind w:right="18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429">
    <w:pPr>
      <w:pStyle w:val="25"/>
      <w:jc w:val="right"/>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B0C76">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30B0C76">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8A87">
    <w:pPr>
      <w:pStyle w:val="25"/>
      <w:jc w:val="right"/>
      <w:rPr>
        <w:rFonts w:hint="eastAsia" w:eastAsia="宋体"/>
        <w:shd w:val="clear" w:color="FFFFFF" w:fill="D9D9D9"/>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7CFC9B">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D7CFC9B">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shd w:val="clear" w:color="FFFFFF" w:fill="D9D9D9"/>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1" name="直接连接符 1"/>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25pt;margin-top:-2.8pt;height:0pt;width:467.25pt;z-index:251660288;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5hzU9UAAAAIAQAADwAAAAAAAAABACAAAAAiAAAAZHJzL2Rvd25yZXYueG1s&#10;UEsBAhQAFAAAAAgAh07iQMnl6j77AQAA7gMAAA4AAAAAAAAAAQAgAAAAJAEAAGRycy9lMm9Eb2Mu&#10;eG1sUEsFBgAAAAAGAAYAWQEAAJEFA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4E38">
    <w:pPr>
      <w:pStyle w:val="25"/>
      <w:jc w:val="right"/>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88DD0">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AF88DD0">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D156">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9525" b="12065"/>
              <wp:wrapNone/>
              <wp:docPr id="9" name="文本框 1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63B0F6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mnYYc8BAACVAwAADgAAAAAAAAABACAAAAAfAQAAZHJz&#10;L2Uyb0RvYy54bWxQSwUGAAAAAAYABgBZAQAAYAUAAAAA&#10;">
              <v:fill on="f" focussize="0,0"/>
              <v:stroke on="f"/>
              <v:imagedata o:title=""/>
              <o:lock v:ext="edit" aspectratio="f"/>
              <v:textbox inset="0mm,0mm,0mm,0mm" style="mso-fit-shape-to-text:t;">
                <w:txbxContent>
                  <w:p w14:paraId="63B0F6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A0C7">
    <w:pPr>
      <w:pStyle w:val="28"/>
      <w:jc w:val="both"/>
      <w:rPr>
        <w:rFonts w:ascii="仿宋" w:hAnsi="仿宋" w:eastAsia="仿宋" w:cs="仿宋"/>
        <w:b/>
      </w:rPr>
    </w:pPr>
    <w:r>
      <w:rPr>
        <w:rFonts w:hint="eastAsia" w:ascii="仿宋" w:hAnsi="仿宋" w:eastAsia="仿宋" w:cs="仿宋"/>
        <w:b/>
      </w:rPr>
      <w:t>苍南县政府采购招标文件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0C8F">
    <w:pPr>
      <w:pStyle w:val="2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1516">
    <w:pPr>
      <w:pStyle w:val="28"/>
      <w:jc w:val="both"/>
      <w:rPr>
        <w:b/>
      </w:rPr>
    </w:pPr>
    <w:r>
      <w:rPr>
        <w:rFonts w:hint="eastAsia"/>
        <w:b/>
        <w:lang w:val="en-US" w:eastAsia="zh-CN"/>
      </w:rPr>
      <w:t>苍南</w:t>
    </w:r>
    <w:r>
      <w:rPr>
        <w:rFonts w:hint="eastAsia"/>
        <w:b/>
      </w:rPr>
      <w:t>县政府采购文件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6DBB">
    <w:pPr>
      <w:pStyle w:val="28"/>
      <w:shd w:val="clear" w:color="auto" w:fill="FFFFFF"/>
      <w:jc w:val="both"/>
      <w:rPr>
        <w:rFonts w:hint="eastAsia"/>
      </w:rPr>
    </w:pPr>
    <w:r>
      <w:rPr>
        <w:rFonts w:hint="eastAsia"/>
        <w:shd w:val="pct10" w:color="auto" w:fill="FFFFFF"/>
        <w:lang w:val="en-US" w:eastAsia="zh-CN"/>
      </w:rPr>
      <w:t>苍南县</w:t>
    </w:r>
    <w:r>
      <w:rPr>
        <w:rFonts w:hint="eastAsia"/>
        <w:shd w:val="pct10" w:color="auto" w:fill="FFFFFF"/>
      </w:rPr>
      <w:t>政府采购招标文件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221C">
    <w:pPr>
      <w:pStyle w:val="28"/>
      <w:jc w:val="both"/>
    </w:pPr>
    <w:r>
      <w:rPr>
        <w:rFonts w:hint="eastAsia" w:ascii="宋体"/>
        <w:b/>
      </w:rPr>
      <w:t>苍南县政府采购招标文件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01F0C"/>
    <w:multiLevelType w:val="singleLevel"/>
    <w:tmpl w:val="29C01F0C"/>
    <w:lvl w:ilvl="0" w:tentative="0">
      <w:start w:val="1"/>
      <w:numFmt w:val="chineseCounting"/>
      <w:suff w:val="nothing"/>
      <w:lvlText w:val="%1、"/>
      <w:lvlJc w:val="left"/>
      <w:rPr>
        <w:rFonts w:hint="eastAsia"/>
      </w:rPr>
    </w:lvl>
  </w:abstractNum>
  <w:abstractNum w:abstractNumId="1">
    <w:nsid w:val="39B3BFF9"/>
    <w:multiLevelType w:val="singleLevel"/>
    <w:tmpl w:val="39B3BFF9"/>
    <w:lvl w:ilvl="0" w:tentative="0">
      <w:start w:val="2"/>
      <w:numFmt w:val="decimal"/>
      <w:suff w:val="nothing"/>
      <w:lvlText w:val="%1、"/>
      <w:lvlJc w:val="left"/>
    </w:lvl>
  </w:abstractNum>
  <w:abstractNum w:abstractNumId="2">
    <w:nsid w:val="54F403B5"/>
    <w:multiLevelType w:val="singleLevel"/>
    <w:tmpl w:val="54F403B5"/>
    <w:lvl w:ilvl="0" w:tentative="0">
      <w:start w:val="1"/>
      <w:numFmt w:val="chineseCounting"/>
      <w:suff w:val="nothing"/>
      <w:lvlText w:val="%1、"/>
      <w:lvlJc w:val="left"/>
    </w:lvl>
  </w:abstractNum>
  <w:abstractNum w:abstractNumId="3">
    <w:nsid w:val="557FD3DA"/>
    <w:multiLevelType w:val="singleLevel"/>
    <w:tmpl w:val="557FD3DA"/>
    <w:lvl w:ilvl="0" w:tentative="0">
      <w:start w:val="3"/>
      <w:numFmt w:val="chineseCounting"/>
      <w:suff w:val="nothing"/>
      <w:lvlText w:val="%1、"/>
      <w:lvlJc w:val="left"/>
    </w:lvl>
  </w:abstractNum>
  <w:abstractNum w:abstractNumId="4">
    <w:nsid w:val="63197C64"/>
    <w:multiLevelType w:val="multilevel"/>
    <w:tmpl w:val="63197C64"/>
    <w:lvl w:ilvl="0" w:tentative="0">
      <w:start w:val="1"/>
      <w:numFmt w:val="japaneseCounting"/>
      <w:lvlText w:val="%1、"/>
      <w:lvlJc w:val="left"/>
      <w:pPr>
        <w:ind w:left="910" w:hanging="480"/>
      </w:pPr>
      <w:rPr>
        <w:rFonts w:hint="default"/>
        <w:b/>
      </w:r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pStyle w:val="9"/>
      <w:lvlText w:val="%6."/>
      <w:lvlJc w:val="right"/>
      <w:pPr>
        <w:ind w:left="2950" w:hanging="420"/>
      </w:pPr>
    </w:lvl>
    <w:lvl w:ilvl="6" w:tentative="0">
      <w:start w:val="1"/>
      <w:numFmt w:val="decimal"/>
      <w:pStyle w:val="11"/>
      <w:lvlText w:val="%7."/>
      <w:lvlJc w:val="left"/>
      <w:pPr>
        <w:ind w:left="3370" w:hanging="420"/>
      </w:pPr>
    </w:lvl>
    <w:lvl w:ilvl="7" w:tentative="0">
      <w:start w:val="1"/>
      <w:numFmt w:val="lowerLetter"/>
      <w:pStyle w:val="12"/>
      <w:lvlText w:val="%8)"/>
      <w:lvlJc w:val="left"/>
      <w:pPr>
        <w:ind w:left="3790" w:hanging="420"/>
      </w:pPr>
    </w:lvl>
    <w:lvl w:ilvl="8" w:tentative="0">
      <w:start w:val="1"/>
      <w:numFmt w:val="lowerRoman"/>
      <w:pStyle w:val="13"/>
      <w:lvlText w:val="%9."/>
      <w:lvlJc w:val="right"/>
      <w:pPr>
        <w:ind w:left="421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hideSpellingErrors/>
  <w:attachedTemplate r:id="rId1"/>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YjNmYzMyZjVmOWIzOTNmMWI0MWNmZWNmMjhkMjcifQ=="/>
  </w:docVars>
  <w:rsids>
    <w:rsidRoot w:val="2BC74A1F"/>
    <w:rsid w:val="00000040"/>
    <w:rsid w:val="0000024A"/>
    <w:rsid w:val="0000037D"/>
    <w:rsid w:val="0000052D"/>
    <w:rsid w:val="0000073A"/>
    <w:rsid w:val="00000BEF"/>
    <w:rsid w:val="00001077"/>
    <w:rsid w:val="0000134C"/>
    <w:rsid w:val="000015D0"/>
    <w:rsid w:val="00001637"/>
    <w:rsid w:val="000023EF"/>
    <w:rsid w:val="00002439"/>
    <w:rsid w:val="0000298A"/>
    <w:rsid w:val="00002ADE"/>
    <w:rsid w:val="00002F06"/>
    <w:rsid w:val="00002FBF"/>
    <w:rsid w:val="00003243"/>
    <w:rsid w:val="00003BD1"/>
    <w:rsid w:val="00003F19"/>
    <w:rsid w:val="00003F8F"/>
    <w:rsid w:val="000042D7"/>
    <w:rsid w:val="00004414"/>
    <w:rsid w:val="0000534C"/>
    <w:rsid w:val="0000541E"/>
    <w:rsid w:val="00005B22"/>
    <w:rsid w:val="00006C6C"/>
    <w:rsid w:val="00006EA3"/>
    <w:rsid w:val="0000743C"/>
    <w:rsid w:val="000076ED"/>
    <w:rsid w:val="0001088D"/>
    <w:rsid w:val="00010A2B"/>
    <w:rsid w:val="00010BDC"/>
    <w:rsid w:val="000112F3"/>
    <w:rsid w:val="00011FFD"/>
    <w:rsid w:val="000120ED"/>
    <w:rsid w:val="00012493"/>
    <w:rsid w:val="00012E8C"/>
    <w:rsid w:val="0001317E"/>
    <w:rsid w:val="0001395B"/>
    <w:rsid w:val="00013C26"/>
    <w:rsid w:val="00014414"/>
    <w:rsid w:val="00014983"/>
    <w:rsid w:val="00014B2E"/>
    <w:rsid w:val="00014CA4"/>
    <w:rsid w:val="00014D45"/>
    <w:rsid w:val="00014E5A"/>
    <w:rsid w:val="000150A8"/>
    <w:rsid w:val="000152C6"/>
    <w:rsid w:val="000152CF"/>
    <w:rsid w:val="0001556E"/>
    <w:rsid w:val="00015631"/>
    <w:rsid w:val="00015675"/>
    <w:rsid w:val="00015680"/>
    <w:rsid w:val="00015A0B"/>
    <w:rsid w:val="000162ED"/>
    <w:rsid w:val="000170CB"/>
    <w:rsid w:val="00017984"/>
    <w:rsid w:val="00021188"/>
    <w:rsid w:val="00021475"/>
    <w:rsid w:val="0002153A"/>
    <w:rsid w:val="000225A5"/>
    <w:rsid w:val="00022766"/>
    <w:rsid w:val="00022B07"/>
    <w:rsid w:val="00022D86"/>
    <w:rsid w:val="00022DBB"/>
    <w:rsid w:val="00023017"/>
    <w:rsid w:val="000231D4"/>
    <w:rsid w:val="00023BEF"/>
    <w:rsid w:val="0002435F"/>
    <w:rsid w:val="000249AB"/>
    <w:rsid w:val="00024BC4"/>
    <w:rsid w:val="00025662"/>
    <w:rsid w:val="00025A50"/>
    <w:rsid w:val="00025BE2"/>
    <w:rsid w:val="00025C24"/>
    <w:rsid w:val="00025D7D"/>
    <w:rsid w:val="00025DBE"/>
    <w:rsid w:val="00025E08"/>
    <w:rsid w:val="00025E19"/>
    <w:rsid w:val="000262E6"/>
    <w:rsid w:val="00026D69"/>
    <w:rsid w:val="000276A0"/>
    <w:rsid w:val="00027943"/>
    <w:rsid w:val="000300F6"/>
    <w:rsid w:val="000303DF"/>
    <w:rsid w:val="0003058E"/>
    <w:rsid w:val="0003074D"/>
    <w:rsid w:val="00031162"/>
    <w:rsid w:val="0003144F"/>
    <w:rsid w:val="00031641"/>
    <w:rsid w:val="00031C96"/>
    <w:rsid w:val="00032404"/>
    <w:rsid w:val="00032638"/>
    <w:rsid w:val="00032678"/>
    <w:rsid w:val="00033293"/>
    <w:rsid w:val="00033A18"/>
    <w:rsid w:val="00033AC1"/>
    <w:rsid w:val="00033AE0"/>
    <w:rsid w:val="00033D4E"/>
    <w:rsid w:val="00033D5F"/>
    <w:rsid w:val="000341E3"/>
    <w:rsid w:val="000345C7"/>
    <w:rsid w:val="00034A4E"/>
    <w:rsid w:val="00034B2E"/>
    <w:rsid w:val="0003526A"/>
    <w:rsid w:val="00035AB1"/>
    <w:rsid w:val="00035F79"/>
    <w:rsid w:val="00035FC6"/>
    <w:rsid w:val="0003631F"/>
    <w:rsid w:val="00036617"/>
    <w:rsid w:val="00036D01"/>
    <w:rsid w:val="0003750D"/>
    <w:rsid w:val="00037AEE"/>
    <w:rsid w:val="00037F52"/>
    <w:rsid w:val="00040242"/>
    <w:rsid w:val="0004060B"/>
    <w:rsid w:val="00040B24"/>
    <w:rsid w:val="00040D9B"/>
    <w:rsid w:val="000410D4"/>
    <w:rsid w:val="000415C2"/>
    <w:rsid w:val="00041E11"/>
    <w:rsid w:val="00041EFB"/>
    <w:rsid w:val="00041FF0"/>
    <w:rsid w:val="00042342"/>
    <w:rsid w:val="000427ED"/>
    <w:rsid w:val="00042D04"/>
    <w:rsid w:val="00042FA6"/>
    <w:rsid w:val="0004342F"/>
    <w:rsid w:val="0004411A"/>
    <w:rsid w:val="00044314"/>
    <w:rsid w:val="00044495"/>
    <w:rsid w:val="0004451D"/>
    <w:rsid w:val="00044E23"/>
    <w:rsid w:val="000454F1"/>
    <w:rsid w:val="00045AB8"/>
    <w:rsid w:val="00045CF6"/>
    <w:rsid w:val="00046351"/>
    <w:rsid w:val="000463A4"/>
    <w:rsid w:val="00046543"/>
    <w:rsid w:val="00047232"/>
    <w:rsid w:val="000479A7"/>
    <w:rsid w:val="00047B15"/>
    <w:rsid w:val="00047DC8"/>
    <w:rsid w:val="00047FE1"/>
    <w:rsid w:val="000500C9"/>
    <w:rsid w:val="000502E0"/>
    <w:rsid w:val="00050907"/>
    <w:rsid w:val="00050B3B"/>
    <w:rsid w:val="00050C27"/>
    <w:rsid w:val="0005109C"/>
    <w:rsid w:val="0005163C"/>
    <w:rsid w:val="000519A7"/>
    <w:rsid w:val="00051E79"/>
    <w:rsid w:val="00051F0C"/>
    <w:rsid w:val="0005258E"/>
    <w:rsid w:val="00052CBE"/>
    <w:rsid w:val="00052FA5"/>
    <w:rsid w:val="00053222"/>
    <w:rsid w:val="00053275"/>
    <w:rsid w:val="00053583"/>
    <w:rsid w:val="00053E25"/>
    <w:rsid w:val="000540E6"/>
    <w:rsid w:val="00054688"/>
    <w:rsid w:val="00054CED"/>
    <w:rsid w:val="00054DD5"/>
    <w:rsid w:val="0005591F"/>
    <w:rsid w:val="00056160"/>
    <w:rsid w:val="00056840"/>
    <w:rsid w:val="00056B22"/>
    <w:rsid w:val="00056B9B"/>
    <w:rsid w:val="00056F9D"/>
    <w:rsid w:val="00057875"/>
    <w:rsid w:val="00057B09"/>
    <w:rsid w:val="00057BE2"/>
    <w:rsid w:val="00057E65"/>
    <w:rsid w:val="0006013F"/>
    <w:rsid w:val="00060360"/>
    <w:rsid w:val="00060793"/>
    <w:rsid w:val="00061017"/>
    <w:rsid w:val="000627E3"/>
    <w:rsid w:val="00062F17"/>
    <w:rsid w:val="000633B1"/>
    <w:rsid w:val="000633DC"/>
    <w:rsid w:val="00063B4E"/>
    <w:rsid w:val="00063C82"/>
    <w:rsid w:val="00063E70"/>
    <w:rsid w:val="000644DD"/>
    <w:rsid w:val="00064554"/>
    <w:rsid w:val="00064684"/>
    <w:rsid w:val="00064756"/>
    <w:rsid w:val="00064A4B"/>
    <w:rsid w:val="00065908"/>
    <w:rsid w:val="00065DBB"/>
    <w:rsid w:val="0006612C"/>
    <w:rsid w:val="000661E6"/>
    <w:rsid w:val="000663C4"/>
    <w:rsid w:val="000665DB"/>
    <w:rsid w:val="00066AA1"/>
    <w:rsid w:val="00066F13"/>
    <w:rsid w:val="00066F6A"/>
    <w:rsid w:val="00067032"/>
    <w:rsid w:val="00067766"/>
    <w:rsid w:val="000678D6"/>
    <w:rsid w:val="00067A7A"/>
    <w:rsid w:val="00067F9E"/>
    <w:rsid w:val="0007044A"/>
    <w:rsid w:val="000704C9"/>
    <w:rsid w:val="0007093B"/>
    <w:rsid w:val="00070BF6"/>
    <w:rsid w:val="00071C15"/>
    <w:rsid w:val="00072692"/>
    <w:rsid w:val="00072695"/>
    <w:rsid w:val="00072828"/>
    <w:rsid w:val="00072E3D"/>
    <w:rsid w:val="00072FE4"/>
    <w:rsid w:val="0007342B"/>
    <w:rsid w:val="00073973"/>
    <w:rsid w:val="00073AA9"/>
    <w:rsid w:val="00073C11"/>
    <w:rsid w:val="00073CB5"/>
    <w:rsid w:val="00073D70"/>
    <w:rsid w:val="0007469C"/>
    <w:rsid w:val="00074B8E"/>
    <w:rsid w:val="00075404"/>
    <w:rsid w:val="00075407"/>
    <w:rsid w:val="000756D2"/>
    <w:rsid w:val="00075B92"/>
    <w:rsid w:val="00075E17"/>
    <w:rsid w:val="00076C8E"/>
    <w:rsid w:val="00076D52"/>
    <w:rsid w:val="00077F08"/>
    <w:rsid w:val="000807A5"/>
    <w:rsid w:val="00080DA7"/>
    <w:rsid w:val="00080EB8"/>
    <w:rsid w:val="000812D5"/>
    <w:rsid w:val="00081A06"/>
    <w:rsid w:val="000829ED"/>
    <w:rsid w:val="00082B0E"/>
    <w:rsid w:val="00082C89"/>
    <w:rsid w:val="00082CAE"/>
    <w:rsid w:val="00082E32"/>
    <w:rsid w:val="00083B67"/>
    <w:rsid w:val="00083BE0"/>
    <w:rsid w:val="00083BE7"/>
    <w:rsid w:val="0008412C"/>
    <w:rsid w:val="000849FF"/>
    <w:rsid w:val="00084AA5"/>
    <w:rsid w:val="000851C3"/>
    <w:rsid w:val="00085262"/>
    <w:rsid w:val="000854F6"/>
    <w:rsid w:val="00085813"/>
    <w:rsid w:val="000858C1"/>
    <w:rsid w:val="00085C15"/>
    <w:rsid w:val="00085C30"/>
    <w:rsid w:val="0008798C"/>
    <w:rsid w:val="000901AE"/>
    <w:rsid w:val="00090580"/>
    <w:rsid w:val="00090919"/>
    <w:rsid w:val="00090BC8"/>
    <w:rsid w:val="0009144B"/>
    <w:rsid w:val="0009180A"/>
    <w:rsid w:val="00091C6E"/>
    <w:rsid w:val="000928A4"/>
    <w:rsid w:val="00092DC8"/>
    <w:rsid w:val="00092E1D"/>
    <w:rsid w:val="00094355"/>
    <w:rsid w:val="000944A5"/>
    <w:rsid w:val="000946A1"/>
    <w:rsid w:val="000952B8"/>
    <w:rsid w:val="00095C41"/>
    <w:rsid w:val="0009628D"/>
    <w:rsid w:val="00096385"/>
    <w:rsid w:val="000965F6"/>
    <w:rsid w:val="000966D8"/>
    <w:rsid w:val="00096955"/>
    <w:rsid w:val="0009699C"/>
    <w:rsid w:val="00096AD1"/>
    <w:rsid w:val="00096D3A"/>
    <w:rsid w:val="00096D4D"/>
    <w:rsid w:val="00096FBD"/>
    <w:rsid w:val="00097A61"/>
    <w:rsid w:val="00097BED"/>
    <w:rsid w:val="000A0137"/>
    <w:rsid w:val="000A0345"/>
    <w:rsid w:val="000A07DD"/>
    <w:rsid w:val="000A0E77"/>
    <w:rsid w:val="000A18ED"/>
    <w:rsid w:val="000A19A1"/>
    <w:rsid w:val="000A19C7"/>
    <w:rsid w:val="000A1EDD"/>
    <w:rsid w:val="000A1F30"/>
    <w:rsid w:val="000A263D"/>
    <w:rsid w:val="000A2A40"/>
    <w:rsid w:val="000A2FD6"/>
    <w:rsid w:val="000A3530"/>
    <w:rsid w:val="000A3877"/>
    <w:rsid w:val="000A39FD"/>
    <w:rsid w:val="000A41DA"/>
    <w:rsid w:val="000A45FD"/>
    <w:rsid w:val="000A4653"/>
    <w:rsid w:val="000A4AC4"/>
    <w:rsid w:val="000A5101"/>
    <w:rsid w:val="000A5190"/>
    <w:rsid w:val="000A5CDB"/>
    <w:rsid w:val="000A694C"/>
    <w:rsid w:val="000A6E87"/>
    <w:rsid w:val="000A6EBA"/>
    <w:rsid w:val="000A7785"/>
    <w:rsid w:val="000B02DB"/>
    <w:rsid w:val="000B079B"/>
    <w:rsid w:val="000B0A5F"/>
    <w:rsid w:val="000B0DCA"/>
    <w:rsid w:val="000B0E0C"/>
    <w:rsid w:val="000B10BE"/>
    <w:rsid w:val="000B133D"/>
    <w:rsid w:val="000B1626"/>
    <w:rsid w:val="000B1F04"/>
    <w:rsid w:val="000B22CD"/>
    <w:rsid w:val="000B2854"/>
    <w:rsid w:val="000B315C"/>
    <w:rsid w:val="000B32D1"/>
    <w:rsid w:val="000B36C8"/>
    <w:rsid w:val="000B3F0E"/>
    <w:rsid w:val="000B44E7"/>
    <w:rsid w:val="000B470C"/>
    <w:rsid w:val="000B47A8"/>
    <w:rsid w:val="000B4829"/>
    <w:rsid w:val="000B53B2"/>
    <w:rsid w:val="000B5879"/>
    <w:rsid w:val="000B5F32"/>
    <w:rsid w:val="000B6795"/>
    <w:rsid w:val="000B6DB9"/>
    <w:rsid w:val="000B6F6C"/>
    <w:rsid w:val="000B7674"/>
    <w:rsid w:val="000B7784"/>
    <w:rsid w:val="000B7FA3"/>
    <w:rsid w:val="000C0EB4"/>
    <w:rsid w:val="000C102C"/>
    <w:rsid w:val="000C1161"/>
    <w:rsid w:val="000C1283"/>
    <w:rsid w:val="000C1451"/>
    <w:rsid w:val="000C16A1"/>
    <w:rsid w:val="000C1720"/>
    <w:rsid w:val="000C28C4"/>
    <w:rsid w:val="000C28CA"/>
    <w:rsid w:val="000C2B6B"/>
    <w:rsid w:val="000C33E8"/>
    <w:rsid w:val="000C33F9"/>
    <w:rsid w:val="000C3A3D"/>
    <w:rsid w:val="000C3AD7"/>
    <w:rsid w:val="000C3C85"/>
    <w:rsid w:val="000C3CFC"/>
    <w:rsid w:val="000C3E9E"/>
    <w:rsid w:val="000C4605"/>
    <w:rsid w:val="000C4692"/>
    <w:rsid w:val="000C46EC"/>
    <w:rsid w:val="000C49BE"/>
    <w:rsid w:val="000C4CC8"/>
    <w:rsid w:val="000C4E31"/>
    <w:rsid w:val="000C628C"/>
    <w:rsid w:val="000C64FA"/>
    <w:rsid w:val="000C658F"/>
    <w:rsid w:val="000C7CF0"/>
    <w:rsid w:val="000C7DD9"/>
    <w:rsid w:val="000C7E59"/>
    <w:rsid w:val="000D029E"/>
    <w:rsid w:val="000D0EB3"/>
    <w:rsid w:val="000D0FE5"/>
    <w:rsid w:val="000D11DF"/>
    <w:rsid w:val="000D12B4"/>
    <w:rsid w:val="000D158B"/>
    <w:rsid w:val="000D165E"/>
    <w:rsid w:val="000D2BCF"/>
    <w:rsid w:val="000D34A1"/>
    <w:rsid w:val="000D34FC"/>
    <w:rsid w:val="000D3557"/>
    <w:rsid w:val="000D3654"/>
    <w:rsid w:val="000D3B16"/>
    <w:rsid w:val="000D3B45"/>
    <w:rsid w:val="000D3E89"/>
    <w:rsid w:val="000D3E98"/>
    <w:rsid w:val="000D47BE"/>
    <w:rsid w:val="000D4889"/>
    <w:rsid w:val="000D4BCF"/>
    <w:rsid w:val="000D5025"/>
    <w:rsid w:val="000D505E"/>
    <w:rsid w:val="000D5101"/>
    <w:rsid w:val="000D5590"/>
    <w:rsid w:val="000D59B4"/>
    <w:rsid w:val="000D5D55"/>
    <w:rsid w:val="000D60D6"/>
    <w:rsid w:val="000D653B"/>
    <w:rsid w:val="000D6770"/>
    <w:rsid w:val="000D6E1B"/>
    <w:rsid w:val="000D7404"/>
    <w:rsid w:val="000D7FF7"/>
    <w:rsid w:val="000E0212"/>
    <w:rsid w:val="000E0C7A"/>
    <w:rsid w:val="000E2457"/>
    <w:rsid w:val="000E25E8"/>
    <w:rsid w:val="000E274B"/>
    <w:rsid w:val="000E2A01"/>
    <w:rsid w:val="000E2AD1"/>
    <w:rsid w:val="000E2C15"/>
    <w:rsid w:val="000E2ECD"/>
    <w:rsid w:val="000E32B2"/>
    <w:rsid w:val="000E3558"/>
    <w:rsid w:val="000E380E"/>
    <w:rsid w:val="000E3D70"/>
    <w:rsid w:val="000E449E"/>
    <w:rsid w:val="000E466D"/>
    <w:rsid w:val="000E47DB"/>
    <w:rsid w:val="000E4D2A"/>
    <w:rsid w:val="000E5545"/>
    <w:rsid w:val="000E5B51"/>
    <w:rsid w:val="000E5EB8"/>
    <w:rsid w:val="000E659F"/>
    <w:rsid w:val="000E6614"/>
    <w:rsid w:val="000E6853"/>
    <w:rsid w:val="000E6B95"/>
    <w:rsid w:val="000E6BD2"/>
    <w:rsid w:val="000E6C22"/>
    <w:rsid w:val="000E7287"/>
    <w:rsid w:val="000E755C"/>
    <w:rsid w:val="000E780F"/>
    <w:rsid w:val="000E7966"/>
    <w:rsid w:val="000F0035"/>
    <w:rsid w:val="000F0466"/>
    <w:rsid w:val="000F0584"/>
    <w:rsid w:val="000F0761"/>
    <w:rsid w:val="000F0BF0"/>
    <w:rsid w:val="000F1576"/>
    <w:rsid w:val="000F159E"/>
    <w:rsid w:val="000F172C"/>
    <w:rsid w:val="000F1A58"/>
    <w:rsid w:val="000F1C2F"/>
    <w:rsid w:val="000F1D2F"/>
    <w:rsid w:val="000F2090"/>
    <w:rsid w:val="000F21BF"/>
    <w:rsid w:val="000F247C"/>
    <w:rsid w:val="000F2B53"/>
    <w:rsid w:val="000F2B60"/>
    <w:rsid w:val="000F2D1E"/>
    <w:rsid w:val="000F361B"/>
    <w:rsid w:val="000F383E"/>
    <w:rsid w:val="000F3B41"/>
    <w:rsid w:val="000F4289"/>
    <w:rsid w:val="000F443F"/>
    <w:rsid w:val="000F4996"/>
    <w:rsid w:val="000F4FAA"/>
    <w:rsid w:val="000F50A6"/>
    <w:rsid w:val="000F58D2"/>
    <w:rsid w:val="000F5A9B"/>
    <w:rsid w:val="000F5BB3"/>
    <w:rsid w:val="000F5C91"/>
    <w:rsid w:val="000F653F"/>
    <w:rsid w:val="000F6711"/>
    <w:rsid w:val="000F7750"/>
    <w:rsid w:val="000F77B6"/>
    <w:rsid w:val="000F7A8B"/>
    <w:rsid w:val="00100301"/>
    <w:rsid w:val="00100568"/>
    <w:rsid w:val="001013D0"/>
    <w:rsid w:val="001019EC"/>
    <w:rsid w:val="00101A84"/>
    <w:rsid w:val="0010220E"/>
    <w:rsid w:val="00103230"/>
    <w:rsid w:val="00103560"/>
    <w:rsid w:val="001036E6"/>
    <w:rsid w:val="00103AC1"/>
    <w:rsid w:val="00103BFE"/>
    <w:rsid w:val="0010489A"/>
    <w:rsid w:val="00105460"/>
    <w:rsid w:val="00106045"/>
    <w:rsid w:val="001060B8"/>
    <w:rsid w:val="00106F14"/>
    <w:rsid w:val="001072AC"/>
    <w:rsid w:val="001076D8"/>
    <w:rsid w:val="00107824"/>
    <w:rsid w:val="00110138"/>
    <w:rsid w:val="001111F5"/>
    <w:rsid w:val="00111575"/>
    <w:rsid w:val="0011188F"/>
    <w:rsid w:val="00111B87"/>
    <w:rsid w:val="00111C13"/>
    <w:rsid w:val="00112057"/>
    <w:rsid w:val="0011213A"/>
    <w:rsid w:val="001127AB"/>
    <w:rsid w:val="001134D4"/>
    <w:rsid w:val="0011387E"/>
    <w:rsid w:val="00113D8F"/>
    <w:rsid w:val="00113E23"/>
    <w:rsid w:val="00114341"/>
    <w:rsid w:val="00114875"/>
    <w:rsid w:val="00114A5D"/>
    <w:rsid w:val="00114BA7"/>
    <w:rsid w:val="00114C93"/>
    <w:rsid w:val="00114E5C"/>
    <w:rsid w:val="001150D7"/>
    <w:rsid w:val="0011599B"/>
    <w:rsid w:val="00115D32"/>
    <w:rsid w:val="0011601D"/>
    <w:rsid w:val="00117283"/>
    <w:rsid w:val="00117497"/>
    <w:rsid w:val="001177F5"/>
    <w:rsid w:val="00117855"/>
    <w:rsid w:val="00117D9B"/>
    <w:rsid w:val="00117DAA"/>
    <w:rsid w:val="00120376"/>
    <w:rsid w:val="0012050A"/>
    <w:rsid w:val="00120A16"/>
    <w:rsid w:val="00121016"/>
    <w:rsid w:val="00121434"/>
    <w:rsid w:val="0012173F"/>
    <w:rsid w:val="001218E4"/>
    <w:rsid w:val="00121A6F"/>
    <w:rsid w:val="00121D3A"/>
    <w:rsid w:val="00121D9F"/>
    <w:rsid w:val="001222FF"/>
    <w:rsid w:val="00122602"/>
    <w:rsid w:val="00122ACC"/>
    <w:rsid w:val="00123C7A"/>
    <w:rsid w:val="001241F2"/>
    <w:rsid w:val="00124B09"/>
    <w:rsid w:val="001254AD"/>
    <w:rsid w:val="00125510"/>
    <w:rsid w:val="00125613"/>
    <w:rsid w:val="001261D4"/>
    <w:rsid w:val="001263F0"/>
    <w:rsid w:val="00126B57"/>
    <w:rsid w:val="00126C36"/>
    <w:rsid w:val="00126C8A"/>
    <w:rsid w:val="00127129"/>
    <w:rsid w:val="00127485"/>
    <w:rsid w:val="0012751D"/>
    <w:rsid w:val="00127649"/>
    <w:rsid w:val="00127700"/>
    <w:rsid w:val="001278A8"/>
    <w:rsid w:val="00127D95"/>
    <w:rsid w:val="00127DE9"/>
    <w:rsid w:val="00127E0C"/>
    <w:rsid w:val="001303EB"/>
    <w:rsid w:val="00130808"/>
    <w:rsid w:val="001308E2"/>
    <w:rsid w:val="00130E90"/>
    <w:rsid w:val="0013174E"/>
    <w:rsid w:val="0013181D"/>
    <w:rsid w:val="00131E6E"/>
    <w:rsid w:val="00131E75"/>
    <w:rsid w:val="00132493"/>
    <w:rsid w:val="00133802"/>
    <w:rsid w:val="00134A02"/>
    <w:rsid w:val="00134D88"/>
    <w:rsid w:val="0013514F"/>
    <w:rsid w:val="00135362"/>
    <w:rsid w:val="00135432"/>
    <w:rsid w:val="00135661"/>
    <w:rsid w:val="00135B6D"/>
    <w:rsid w:val="00136A3D"/>
    <w:rsid w:val="00136BDD"/>
    <w:rsid w:val="00136D77"/>
    <w:rsid w:val="0013756D"/>
    <w:rsid w:val="00137AC4"/>
    <w:rsid w:val="00137C62"/>
    <w:rsid w:val="0014045F"/>
    <w:rsid w:val="0014106B"/>
    <w:rsid w:val="00141228"/>
    <w:rsid w:val="001412EE"/>
    <w:rsid w:val="0014137B"/>
    <w:rsid w:val="00141616"/>
    <w:rsid w:val="001424C0"/>
    <w:rsid w:val="00142F41"/>
    <w:rsid w:val="00143439"/>
    <w:rsid w:val="0014343B"/>
    <w:rsid w:val="0014379C"/>
    <w:rsid w:val="00144182"/>
    <w:rsid w:val="00144AD9"/>
    <w:rsid w:val="00144D4B"/>
    <w:rsid w:val="00144D85"/>
    <w:rsid w:val="00145444"/>
    <w:rsid w:val="00145B27"/>
    <w:rsid w:val="00145F17"/>
    <w:rsid w:val="001463FF"/>
    <w:rsid w:val="00146B75"/>
    <w:rsid w:val="00146CFC"/>
    <w:rsid w:val="00147170"/>
    <w:rsid w:val="001472AC"/>
    <w:rsid w:val="0014766D"/>
    <w:rsid w:val="00147A8F"/>
    <w:rsid w:val="00147C2E"/>
    <w:rsid w:val="00151303"/>
    <w:rsid w:val="00151E2A"/>
    <w:rsid w:val="00152397"/>
    <w:rsid w:val="001524B5"/>
    <w:rsid w:val="001527EB"/>
    <w:rsid w:val="00152E78"/>
    <w:rsid w:val="00153313"/>
    <w:rsid w:val="00153453"/>
    <w:rsid w:val="00153A97"/>
    <w:rsid w:val="00153C65"/>
    <w:rsid w:val="001542E0"/>
    <w:rsid w:val="00154408"/>
    <w:rsid w:val="001546C8"/>
    <w:rsid w:val="00154956"/>
    <w:rsid w:val="001550A2"/>
    <w:rsid w:val="0015513B"/>
    <w:rsid w:val="00155248"/>
    <w:rsid w:val="001561A0"/>
    <w:rsid w:val="001569EF"/>
    <w:rsid w:val="00156DE8"/>
    <w:rsid w:val="00157C65"/>
    <w:rsid w:val="00157E2B"/>
    <w:rsid w:val="00160290"/>
    <w:rsid w:val="001609BD"/>
    <w:rsid w:val="00161065"/>
    <w:rsid w:val="0016109D"/>
    <w:rsid w:val="001610A2"/>
    <w:rsid w:val="001612EA"/>
    <w:rsid w:val="00161359"/>
    <w:rsid w:val="00161780"/>
    <w:rsid w:val="00161DA9"/>
    <w:rsid w:val="00161FAD"/>
    <w:rsid w:val="001623FA"/>
    <w:rsid w:val="001636A6"/>
    <w:rsid w:val="00163B0C"/>
    <w:rsid w:val="00163BF5"/>
    <w:rsid w:val="00163BF9"/>
    <w:rsid w:val="00163F50"/>
    <w:rsid w:val="001648A9"/>
    <w:rsid w:val="00164994"/>
    <w:rsid w:val="00164DD0"/>
    <w:rsid w:val="001652AD"/>
    <w:rsid w:val="00165734"/>
    <w:rsid w:val="00166286"/>
    <w:rsid w:val="001663B1"/>
    <w:rsid w:val="0016646C"/>
    <w:rsid w:val="00166708"/>
    <w:rsid w:val="00166A87"/>
    <w:rsid w:val="00166FFB"/>
    <w:rsid w:val="001670A3"/>
    <w:rsid w:val="00167335"/>
    <w:rsid w:val="001673C2"/>
    <w:rsid w:val="00167C05"/>
    <w:rsid w:val="001700A6"/>
    <w:rsid w:val="0017036A"/>
    <w:rsid w:val="00170403"/>
    <w:rsid w:val="00170B22"/>
    <w:rsid w:val="001710CF"/>
    <w:rsid w:val="0017111D"/>
    <w:rsid w:val="0017181F"/>
    <w:rsid w:val="001719DD"/>
    <w:rsid w:val="00171C35"/>
    <w:rsid w:val="00171F34"/>
    <w:rsid w:val="001720BD"/>
    <w:rsid w:val="0017358B"/>
    <w:rsid w:val="0017433B"/>
    <w:rsid w:val="001748C1"/>
    <w:rsid w:val="001749B4"/>
    <w:rsid w:val="00174F09"/>
    <w:rsid w:val="001756AE"/>
    <w:rsid w:val="00175932"/>
    <w:rsid w:val="00175E6D"/>
    <w:rsid w:val="0017647F"/>
    <w:rsid w:val="00176871"/>
    <w:rsid w:val="00177618"/>
    <w:rsid w:val="0017766E"/>
    <w:rsid w:val="001776E4"/>
    <w:rsid w:val="00177852"/>
    <w:rsid w:val="00177BEF"/>
    <w:rsid w:val="00177D58"/>
    <w:rsid w:val="00177DDC"/>
    <w:rsid w:val="00180523"/>
    <w:rsid w:val="001805A3"/>
    <w:rsid w:val="00180AB0"/>
    <w:rsid w:val="00180C23"/>
    <w:rsid w:val="00180D13"/>
    <w:rsid w:val="00180E00"/>
    <w:rsid w:val="00181AE0"/>
    <w:rsid w:val="00181F3E"/>
    <w:rsid w:val="00182185"/>
    <w:rsid w:val="0018255A"/>
    <w:rsid w:val="00182A9D"/>
    <w:rsid w:val="00182D5F"/>
    <w:rsid w:val="001836C7"/>
    <w:rsid w:val="001838AC"/>
    <w:rsid w:val="0018395B"/>
    <w:rsid w:val="00183C69"/>
    <w:rsid w:val="00184518"/>
    <w:rsid w:val="001847AB"/>
    <w:rsid w:val="001847EB"/>
    <w:rsid w:val="00184C47"/>
    <w:rsid w:val="00184C48"/>
    <w:rsid w:val="0018512A"/>
    <w:rsid w:val="00185401"/>
    <w:rsid w:val="001854E2"/>
    <w:rsid w:val="001855E7"/>
    <w:rsid w:val="00185BE7"/>
    <w:rsid w:val="00185F4D"/>
    <w:rsid w:val="00186B70"/>
    <w:rsid w:val="00186D12"/>
    <w:rsid w:val="0018702C"/>
    <w:rsid w:val="001872FF"/>
    <w:rsid w:val="001874B2"/>
    <w:rsid w:val="00187557"/>
    <w:rsid w:val="001878A1"/>
    <w:rsid w:val="00187A2D"/>
    <w:rsid w:val="00187C86"/>
    <w:rsid w:val="00187F67"/>
    <w:rsid w:val="001916A7"/>
    <w:rsid w:val="0019204C"/>
    <w:rsid w:val="00192177"/>
    <w:rsid w:val="0019253E"/>
    <w:rsid w:val="0019269F"/>
    <w:rsid w:val="00192E16"/>
    <w:rsid w:val="00192EEB"/>
    <w:rsid w:val="0019302F"/>
    <w:rsid w:val="00193369"/>
    <w:rsid w:val="001936FA"/>
    <w:rsid w:val="001937E4"/>
    <w:rsid w:val="00193824"/>
    <w:rsid w:val="00193EB8"/>
    <w:rsid w:val="001945B7"/>
    <w:rsid w:val="00194FC3"/>
    <w:rsid w:val="001951DE"/>
    <w:rsid w:val="001953FA"/>
    <w:rsid w:val="00195747"/>
    <w:rsid w:val="001958B4"/>
    <w:rsid w:val="00195D8C"/>
    <w:rsid w:val="00195DDB"/>
    <w:rsid w:val="00195FAA"/>
    <w:rsid w:val="0019680C"/>
    <w:rsid w:val="00196A27"/>
    <w:rsid w:val="00196EAF"/>
    <w:rsid w:val="0019720B"/>
    <w:rsid w:val="00197415"/>
    <w:rsid w:val="0019763B"/>
    <w:rsid w:val="00197AB6"/>
    <w:rsid w:val="001A00D3"/>
    <w:rsid w:val="001A01A9"/>
    <w:rsid w:val="001A0217"/>
    <w:rsid w:val="001A06DF"/>
    <w:rsid w:val="001A09E0"/>
    <w:rsid w:val="001A0E12"/>
    <w:rsid w:val="001A0E9C"/>
    <w:rsid w:val="001A1050"/>
    <w:rsid w:val="001A1671"/>
    <w:rsid w:val="001A269D"/>
    <w:rsid w:val="001A276E"/>
    <w:rsid w:val="001A2849"/>
    <w:rsid w:val="001A3205"/>
    <w:rsid w:val="001A420B"/>
    <w:rsid w:val="001A430F"/>
    <w:rsid w:val="001A485B"/>
    <w:rsid w:val="001A4D91"/>
    <w:rsid w:val="001A4F89"/>
    <w:rsid w:val="001A5976"/>
    <w:rsid w:val="001A79CC"/>
    <w:rsid w:val="001A7B72"/>
    <w:rsid w:val="001A7C88"/>
    <w:rsid w:val="001A7E81"/>
    <w:rsid w:val="001B01DE"/>
    <w:rsid w:val="001B0368"/>
    <w:rsid w:val="001B072E"/>
    <w:rsid w:val="001B12D0"/>
    <w:rsid w:val="001B181F"/>
    <w:rsid w:val="001B1D02"/>
    <w:rsid w:val="001B1E9B"/>
    <w:rsid w:val="001B29C6"/>
    <w:rsid w:val="001B2B71"/>
    <w:rsid w:val="001B2F8E"/>
    <w:rsid w:val="001B3983"/>
    <w:rsid w:val="001B3EB5"/>
    <w:rsid w:val="001B472F"/>
    <w:rsid w:val="001B47B4"/>
    <w:rsid w:val="001B4805"/>
    <w:rsid w:val="001B48C8"/>
    <w:rsid w:val="001B4994"/>
    <w:rsid w:val="001B5083"/>
    <w:rsid w:val="001B57E6"/>
    <w:rsid w:val="001B5877"/>
    <w:rsid w:val="001B5D91"/>
    <w:rsid w:val="001B65A8"/>
    <w:rsid w:val="001B692C"/>
    <w:rsid w:val="001B6C66"/>
    <w:rsid w:val="001B6DE8"/>
    <w:rsid w:val="001B71C8"/>
    <w:rsid w:val="001B7308"/>
    <w:rsid w:val="001B74D5"/>
    <w:rsid w:val="001B7777"/>
    <w:rsid w:val="001B782F"/>
    <w:rsid w:val="001B7E7E"/>
    <w:rsid w:val="001C03C2"/>
    <w:rsid w:val="001C0A6C"/>
    <w:rsid w:val="001C11B6"/>
    <w:rsid w:val="001C11BD"/>
    <w:rsid w:val="001C11DD"/>
    <w:rsid w:val="001C1809"/>
    <w:rsid w:val="001C1912"/>
    <w:rsid w:val="001C1AC5"/>
    <w:rsid w:val="001C1B75"/>
    <w:rsid w:val="001C1DC2"/>
    <w:rsid w:val="001C21F3"/>
    <w:rsid w:val="001C2257"/>
    <w:rsid w:val="001C22B9"/>
    <w:rsid w:val="001C2C39"/>
    <w:rsid w:val="001C2EB1"/>
    <w:rsid w:val="001C3A4C"/>
    <w:rsid w:val="001C4210"/>
    <w:rsid w:val="001C45DD"/>
    <w:rsid w:val="001C47E3"/>
    <w:rsid w:val="001C550E"/>
    <w:rsid w:val="001C57A1"/>
    <w:rsid w:val="001C5B4C"/>
    <w:rsid w:val="001C62E4"/>
    <w:rsid w:val="001C64A5"/>
    <w:rsid w:val="001C6A30"/>
    <w:rsid w:val="001C71C6"/>
    <w:rsid w:val="001C7B1C"/>
    <w:rsid w:val="001C7E74"/>
    <w:rsid w:val="001D0D40"/>
    <w:rsid w:val="001D150D"/>
    <w:rsid w:val="001D2999"/>
    <w:rsid w:val="001D2C85"/>
    <w:rsid w:val="001D3846"/>
    <w:rsid w:val="001D389A"/>
    <w:rsid w:val="001D3AE7"/>
    <w:rsid w:val="001D449C"/>
    <w:rsid w:val="001D5CA8"/>
    <w:rsid w:val="001D5DBE"/>
    <w:rsid w:val="001D5E18"/>
    <w:rsid w:val="001D6569"/>
    <w:rsid w:val="001D66AB"/>
    <w:rsid w:val="001D6D05"/>
    <w:rsid w:val="001D6DBA"/>
    <w:rsid w:val="001D7467"/>
    <w:rsid w:val="001D754F"/>
    <w:rsid w:val="001D75B3"/>
    <w:rsid w:val="001D77B8"/>
    <w:rsid w:val="001D794A"/>
    <w:rsid w:val="001D7952"/>
    <w:rsid w:val="001D7B51"/>
    <w:rsid w:val="001D7D2B"/>
    <w:rsid w:val="001E0641"/>
    <w:rsid w:val="001E0919"/>
    <w:rsid w:val="001E17A8"/>
    <w:rsid w:val="001E1888"/>
    <w:rsid w:val="001E1C41"/>
    <w:rsid w:val="001E1DE9"/>
    <w:rsid w:val="001E25EC"/>
    <w:rsid w:val="001E2817"/>
    <w:rsid w:val="001E35B6"/>
    <w:rsid w:val="001E37F9"/>
    <w:rsid w:val="001E3ADD"/>
    <w:rsid w:val="001E3DDA"/>
    <w:rsid w:val="001E46D3"/>
    <w:rsid w:val="001E4CBD"/>
    <w:rsid w:val="001E4FE9"/>
    <w:rsid w:val="001E5041"/>
    <w:rsid w:val="001E5102"/>
    <w:rsid w:val="001E557D"/>
    <w:rsid w:val="001E5958"/>
    <w:rsid w:val="001E5C50"/>
    <w:rsid w:val="001E5C8B"/>
    <w:rsid w:val="001E609B"/>
    <w:rsid w:val="001E6406"/>
    <w:rsid w:val="001E6497"/>
    <w:rsid w:val="001E7429"/>
    <w:rsid w:val="001E77E1"/>
    <w:rsid w:val="001E7AD4"/>
    <w:rsid w:val="001E7D38"/>
    <w:rsid w:val="001F01F3"/>
    <w:rsid w:val="001F049A"/>
    <w:rsid w:val="001F08BB"/>
    <w:rsid w:val="001F095F"/>
    <w:rsid w:val="001F0A2F"/>
    <w:rsid w:val="001F0AD8"/>
    <w:rsid w:val="001F0C29"/>
    <w:rsid w:val="001F12EC"/>
    <w:rsid w:val="001F15E6"/>
    <w:rsid w:val="001F2112"/>
    <w:rsid w:val="001F2D4C"/>
    <w:rsid w:val="001F2E1D"/>
    <w:rsid w:val="001F2F61"/>
    <w:rsid w:val="001F31FA"/>
    <w:rsid w:val="001F342C"/>
    <w:rsid w:val="001F34CF"/>
    <w:rsid w:val="001F35C9"/>
    <w:rsid w:val="001F392C"/>
    <w:rsid w:val="001F39EB"/>
    <w:rsid w:val="001F3A72"/>
    <w:rsid w:val="001F3D6B"/>
    <w:rsid w:val="001F4028"/>
    <w:rsid w:val="001F46B9"/>
    <w:rsid w:val="001F49E2"/>
    <w:rsid w:val="001F4C1C"/>
    <w:rsid w:val="001F4C67"/>
    <w:rsid w:val="001F55C9"/>
    <w:rsid w:val="001F5707"/>
    <w:rsid w:val="001F5844"/>
    <w:rsid w:val="001F59C0"/>
    <w:rsid w:val="001F61B0"/>
    <w:rsid w:val="001F6343"/>
    <w:rsid w:val="001F64C4"/>
    <w:rsid w:val="001F6A2A"/>
    <w:rsid w:val="001F6AB5"/>
    <w:rsid w:val="001F703B"/>
    <w:rsid w:val="001F7978"/>
    <w:rsid w:val="001F7A66"/>
    <w:rsid w:val="001F7B2D"/>
    <w:rsid w:val="00200F5D"/>
    <w:rsid w:val="002018ED"/>
    <w:rsid w:val="00201C9F"/>
    <w:rsid w:val="00201F04"/>
    <w:rsid w:val="00201F7F"/>
    <w:rsid w:val="00202509"/>
    <w:rsid w:val="00203063"/>
    <w:rsid w:val="00203209"/>
    <w:rsid w:val="002034B1"/>
    <w:rsid w:val="00203922"/>
    <w:rsid w:val="00203B07"/>
    <w:rsid w:val="0020458B"/>
    <w:rsid w:val="0020490C"/>
    <w:rsid w:val="002052AD"/>
    <w:rsid w:val="002053EA"/>
    <w:rsid w:val="0020540C"/>
    <w:rsid w:val="002062F3"/>
    <w:rsid w:val="00206757"/>
    <w:rsid w:val="00206C78"/>
    <w:rsid w:val="00207E85"/>
    <w:rsid w:val="0021091B"/>
    <w:rsid w:val="00210C81"/>
    <w:rsid w:val="00210CB8"/>
    <w:rsid w:val="002110D3"/>
    <w:rsid w:val="00211130"/>
    <w:rsid w:val="0021146B"/>
    <w:rsid w:val="002122AC"/>
    <w:rsid w:val="00212A97"/>
    <w:rsid w:val="00212B0F"/>
    <w:rsid w:val="00212B6C"/>
    <w:rsid w:val="00212CFC"/>
    <w:rsid w:val="00213078"/>
    <w:rsid w:val="00213665"/>
    <w:rsid w:val="002139D2"/>
    <w:rsid w:val="002139F6"/>
    <w:rsid w:val="00213D44"/>
    <w:rsid w:val="00214347"/>
    <w:rsid w:val="00214662"/>
    <w:rsid w:val="0021494B"/>
    <w:rsid w:val="00214FCA"/>
    <w:rsid w:val="002151EC"/>
    <w:rsid w:val="002152D6"/>
    <w:rsid w:val="002157EE"/>
    <w:rsid w:val="00215A25"/>
    <w:rsid w:val="00215BF3"/>
    <w:rsid w:val="00215C33"/>
    <w:rsid w:val="00215FA0"/>
    <w:rsid w:val="0021610F"/>
    <w:rsid w:val="00216268"/>
    <w:rsid w:val="002162AE"/>
    <w:rsid w:val="00216B48"/>
    <w:rsid w:val="00216D97"/>
    <w:rsid w:val="00216F19"/>
    <w:rsid w:val="00217017"/>
    <w:rsid w:val="002172B3"/>
    <w:rsid w:val="00217353"/>
    <w:rsid w:val="00217BA7"/>
    <w:rsid w:val="0022017E"/>
    <w:rsid w:val="0022113B"/>
    <w:rsid w:val="00221941"/>
    <w:rsid w:val="00221BE7"/>
    <w:rsid w:val="00221FAA"/>
    <w:rsid w:val="00222238"/>
    <w:rsid w:val="00222AEF"/>
    <w:rsid w:val="0022317E"/>
    <w:rsid w:val="0022337D"/>
    <w:rsid w:val="00223715"/>
    <w:rsid w:val="00223834"/>
    <w:rsid w:val="00223E10"/>
    <w:rsid w:val="002243C5"/>
    <w:rsid w:val="00224836"/>
    <w:rsid w:val="00225229"/>
    <w:rsid w:val="002253B1"/>
    <w:rsid w:val="002258F6"/>
    <w:rsid w:val="00225F63"/>
    <w:rsid w:val="00225FF0"/>
    <w:rsid w:val="00226658"/>
    <w:rsid w:val="00227080"/>
    <w:rsid w:val="0022770A"/>
    <w:rsid w:val="00227717"/>
    <w:rsid w:val="002278FF"/>
    <w:rsid w:val="00227A13"/>
    <w:rsid w:val="00230682"/>
    <w:rsid w:val="00230A30"/>
    <w:rsid w:val="00230C1F"/>
    <w:rsid w:val="002310DA"/>
    <w:rsid w:val="00231326"/>
    <w:rsid w:val="0023205E"/>
    <w:rsid w:val="002330E0"/>
    <w:rsid w:val="00233424"/>
    <w:rsid w:val="002339D6"/>
    <w:rsid w:val="00233A62"/>
    <w:rsid w:val="0023409C"/>
    <w:rsid w:val="00234F76"/>
    <w:rsid w:val="00235443"/>
    <w:rsid w:val="002358E1"/>
    <w:rsid w:val="002358E9"/>
    <w:rsid w:val="00235B36"/>
    <w:rsid w:val="00235D81"/>
    <w:rsid w:val="002362C8"/>
    <w:rsid w:val="00236836"/>
    <w:rsid w:val="002371AD"/>
    <w:rsid w:val="002372B1"/>
    <w:rsid w:val="00237572"/>
    <w:rsid w:val="002376DC"/>
    <w:rsid w:val="00237E64"/>
    <w:rsid w:val="002402F2"/>
    <w:rsid w:val="0024049F"/>
    <w:rsid w:val="00240DB8"/>
    <w:rsid w:val="00240F34"/>
    <w:rsid w:val="002411FB"/>
    <w:rsid w:val="00241742"/>
    <w:rsid w:val="00241A1F"/>
    <w:rsid w:val="00242125"/>
    <w:rsid w:val="002424F3"/>
    <w:rsid w:val="002426A5"/>
    <w:rsid w:val="002426F1"/>
    <w:rsid w:val="00242EE0"/>
    <w:rsid w:val="002435DF"/>
    <w:rsid w:val="00243830"/>
    <w:rsid w:val="00243FBE"/>
    <w:rsid w:val="00245065"/>
    <w:rsid w:val="0024519D"/>
    <w:rsid w:val="00245698"/>
    <w:rsid w:val="00245E36"/>
    <w:rsid w:val="002461B3"/>
    <w:rsid w:val="002464B4"/>
    <w:rsid w:val="002468F0"/>
    <w:rsid w:val="0024713F"/>
    <w:rsid w:val="00247ED7"/>
    <w:rsid w:val="002504C3"/>
    <w:rsid w:val="002508CF"/>
    <w:rsid w:val="002508FB"/>
    <w:rsid w:val="00250D61"/>
    <w:rsid w:val="0025116E"/>
    <w:rsid w:val="0025148D"/>
    <w:rsid w:val="00251A5C"/>
    <w:rsid w:val="00252296"/>
    <w:rsid w:val="00252DA5"/>
    <w:rsid w:val="00252EA6"/>
    <w:rsid w:val="0025325E"/>
    <w:rsid w:val="00253BAA"/>
    <w:rsid w:val="00253FDC"/>
    <w:rsid w:val="00254E2E"/>
    <w:rsid w:val="00255426"/>
    <w:rsid w:val="002554DC"/>
    <w:rsid w:val="00255E32"/>
    <w:rsid w:val="00256E8B"/>
    <w:rsid w:val="00256E9A"/>
    <w:rsid w:val="0025709B"/>
    <w:rsid w:val="002573A2"/>
    <w:rsid w:val="002574A6"/>
    <w:rsid w:val="00257887"/>
    <w:rsid w:val="00257CD8"/>
    <w:rsid w:val="00257D49"/>
    <w:rsid w:val="002606A3"/>
    <w:rsid w:val="002608A4"/>
    <w:rsid w:val="00260E11"/>
    <w:rsid w:val="00260E6F"/>
    <w:rsid w:val="002610D4"/>
    <w:rsid w:val="002610DE"/>
    <w:rsid w:val="00262FFD"/>
    <w:rsid w:val="00263621"/>
    <w:rsid w:val="00263D20"/>
    <w:rsid w:val="00263D34"/>
    <w:rsid w:val="00263D69"/>
    <w:rsid w:val="0026445A"/>
    <w:rsid w:val="002644EC"/>
    <w:rsid w:val="002650E4"/>
    <w:rsid w:val="0026537A"/>
    <w:rsid w:val="00265477"/>
    <w:rsid w:val="00265DEB"/>
    <w:rsid w:val="0026600C"/>
    <w:rsid w:val="00266429"/>
    <w:rsid w:val="0026651E"/>
    <w:rsid w:val="00267189"/>
    <w:rsid w:val="00267A17"/>
    <w:rsid w:val="00267DD8"/>
    <w:rsid w:val="0027001D"/>
    <w:rsid w:val="00270354"/>
    <w:rsid w:val="00270393"/>
    <w:rsid w:val="00270C0E"/>
    <w:rsid w:val="00271DEA"/>
    <w:rsid w:val="00271E3B"/>
    <w:rsid w:val="00272053"/>
    <w:rsid w:val="00272709"/>
    <w:rsid w:val="002727B4"/>
    <w:rsid w:val="002728FA"/>
    <w:rsid w:val="00272FCA"/>
    <w:rsid w:val="0027300D"/>
    <w:rsid w:val="002733F2"/>
    <w:rsid w:val="00273DD3"/>
    <w:rsid w:val="00273F02"/>
    <w:rsid w:val="002742B8"/>
    <w:rsid w:val="002743D2"/>
    <w:rsid w:val="0027458C"/>
    <w:rsid w:val="002746B9"/>
    <w:rsid w:val="00275044"/>
    <w:rsid w:val="00275323"/>
    <w:rsid w:val="00275763"/>
    <w:rsid w:val="00275A73"/>
    <w:rsid w:val="00276032"/>
    <w:rsid w:val="0027603A"/>
    <w:rsid w:val="0027611B"/>
    <w:rsid w:val="002768DE"/>
    <w:rsid w:val="002769B8"/>
    <w:rsid w:val="00276AE3"/>
    <w:rsid w:val="00277211"/>
    <w:rsid w:val="002772DA"/>
    <w:rsid w:val="00277C14"/>
    <w:rsid w:val="002801CB"/>
    <w:rsid w:val="0028075A"/>
    <w:rsid w:val="00280805"/>
    <w:rsid w:val="00280996"/>
    <w:rsid w:val="00280ACB"/>
    <w:rsid w:val="002814EF"/>
    <w:rsid w:val="00281D1B"/>
    <w:rsid w:val="00281F42"/>
    <w:rsid w:val="00282396"/>
    <w:rsid w:val="002828D0"/>
    <w:rsid w:val="00282D79"/>
    <w:rsid w:val="00282EC9"/>
    <w:rsid w:val="00282F93"/>
    <w:rsid w:val="00283129"/>
    <w:rsid w:val="0028324C"/>
    <w:rsid w:val="00283455"/>
    <w:rsid w:val="00284C84"/>
    <w:rsid w:val="00284D54"/>
    <w:rsid w:val="002851FD"/>
    <w:rsid w:val="00285B69"/>
    <w:rsid w:val="0028604D"/>
    <w:rsid w:val="0028665D"/>
    <w:rsid w:val="00286998"/>
    <w:rsid w:val="00286A68"/>
    <w:rsid w:val="00286C18"/>
    <w:rsid w:val="00286D0D"/>
    <w:rsid w:val="002871B1"/>
    <w:rsid w:val="002903C8"/>
    <w:rsid w:val="00290622"/>
    <w:rsid w:val="00290954"/>
    <w:rsid w:val="00291D11"/>
    <w:rsid w:val="002927E5"/>
    <w:rsid w:val="00292AB2"/>
    <w:rsid w:val="0029357F"/>
    <w:rsid w:val="00293AAC"/>
    <w:rsid w:val="00293E3C"/>
    <w:rsid w:val="00294145"/>
    <w:rsid w:val="002949B9"/>
    <w:rsid w:val="00294F4F"/>
    <w:rsid w:val="002950E1"/>
    <w:rsid w:val="0029537E"/>
    <w:rsid w:val="00295408"/>
    <w:rsid w:val="00295FD6"/>
    <w:rsid w:val="00295FF7"/>
    <w:rsid w:val="002962AF"/>
    <w:rsid w:val="00297134"/>
    <w:rsid w:val="00297424"/>
    <w:rsid w:val="0029765B"/>
    <w:rsid w:val="00297A12"/>
    <w:rsid w:val="00297CEC"/>
    <w:rsid w:val="002A0350"/>
    <w:rsid w:val="002A0884"/>
    <w:rsid w:val="002A0B68"/>
    <w:rsid w:val="002A10AA"/>
    <w:rsid w:val="002A1233"/>
    <w:rsid w:val="002A194A"/>
    <w:rsid w:val="002A1A36"/>
    <w:rsid w:val="002A1C0F"/>
    <w:rsid w:val="002A1F71"/>
    <w:rsid w:val="002A223B"/>
    <w:rsid w:val="002A250D"/>
    <w:rsid w:val="002A328B"/>
    <w:rsid w:val="002A33CE"/>
    <w:rsid w:val="002A34DB"/>
    <w:rsid w:val="002A38D9"/>
    <w:rsid w:val="002A3ACA"/>
    <w:rsid w:val="002A40A9"/>
    <w:rsid w:val="002A45F6"/>
    <w:rsid w:val="002A4700"/>
    <w:rsid w:val="002A474C"/>
    <w:rsid w:val="002A4B04"/>
    <w:rsid w:val="002A4E5B"/>
    <w:rsid w:val="002A5104"/>
    <w:rsid w:val="002A550C"/>
    <w:rsid w:val="002A57A9"/>
    <w:rsid w:val="002A57D1"/>
    <w:rsid w:val="002A5B83"/>
    <w:rsid w:val="002A5C8D"/>
    <w:rsid w:val="002A5E90"/>
    <w:rsid w:val="002A60EE"/>
    <w:rsid w:val="002A6A0F"/>
    <w:rsid w:val="002A7076"/>
    <w:rsid w:val="002A756B"/>
    <w:rsid w:val="002B057A"/>
    <w:rsid w:val="002B08D8"/>
    <w:rsid w:val="002B1101"/>
    <w:rsid w:val="002B1320"/>
    <w:rsid w:val="002B1769"/>
    <w:rsid w:val="002B17AC"/>
    <w:rsid w:val="002B234D"/>
    <w:rsid w:val="002B234E"/>
    <w:rsid w:val="002B24C2"/>
    <w:rsid w:val="002B24E2"/>
    <w:rsid w:val="002B2B06"/>
    <w:rsid w:val="002B2BA2"/>
    <w:rsid w:val="002B3127"/>
    <w:rsid w:val="002B3A8F"/>
    <w:rsid w:val="002B3D3A"/>
    <w:rsid w:val="002B4555"/>
    <w:rsid w:val="002B4644"/>
    <w:rsid w:val="002B49D7"/>
    <w:rsid w:val="002B4B2F"/>
    <w:rsid w:val="002B4DA2"/>
    <w:rsid w:val="002B5488"/>
    <w:rsid w:val="002B6A05"/>
    <w:rsid w:val="002B6AB2"/>
    <w:rsid w:val="002B6AED"/>
    <w:rsid w:val="002B6CBE"/>
    <w:rsid w:val="002B7631"/>
    <w:rsid w:val="002B768F"/>
    <w:rsid w:val="002B794B"/>
    <w:rsid w:val="002B7D21"/>
    <w:rsid w:val="002B7FD0"/>
    <w:rsid w:val="002C00F8"/>
    <w:rsid w:val="002C072E"/>
    <w:rsid w:val="002C07D8"/>
    <w:rsid w:val="002C124B"/>
    <w:rsid w:val="002C1856"/>
    <w:rsid w:val="002C1961"/>
    <w:rsid w:val="002C2F98"/>
    <w:rsid w:val="002C2FA0"/>
    <w:rsid w:val="002C3BE0"/>
    <w:rsid w:val="002C403C"/>
    <w:rsid w:val="002C49C0"/>
    <w:rsid w:val="002C4B2A"/>
    <w:rsid w:val="002C4ED2"/>
    <w:rsid w:val="002C5DC6"/>
    <w:rsid w:val="002C5DDB"/>
    <w:rsid w:val="002C6035"/>
    <w:rsid w:val="002C60DF"/>
    <w:rsid w:val="002C650F"/>
    <w:rsid w:val="002C663E"/>
    <w:rsid w:val="002C6A45"/>
    <w:rsid w:val="002C70F9"/>
    <w:rsid w:val="002C7312"/>
    <w:rsid w:val="002D0824"/>
    <w:rsid w:val="002D097B"/>
    <w:rsid w:val="002D09BA"/>
    <w:rsid w:val="002D0AB4"/>
    <w:rsid w:val="002D0C13"/>
    <w:rsid w:val="002D0E92"/>
    <w:rsid w:val="002D1177"/>
    <w:rsid w:val="002D1920"/>
    <w:rsid w:val="002D1E11"/>
    <w:rsid w:val="002D24B8"/>
    <w:rsid w:val="002D2556"/>
    <w:rsid w:val="002D264D"/>
    <w:rsid w:val="002D2C1D"/>
    <w:rsid w:val="002D2D7A"/>
    <w:rsid w:val="002D3214"/>
    <w:rsid w:val="002D3A94"/>
    <w:rsid w:val="002D3ED3"/>
    <w:rsid w:val="002D441C"/>
    <w:rsid w:val="002D4750"/>
    <w:rsid w:val="002D59A1"/>
    <w:rsid w:val="002D625B"/>
    <w:rsid w:val="002D652C"/>
    <w:rsid w:val="002D65EA"/>
    <w:rsid w:val="002D675F"/>
    <w:rsid w:val="002D67C2"/>
    <w:rsid w:val="002D69A9"/>
    <w:rsid w:val="002D6F6B"/>
    <w:rsid w:val="002D77A4"/>
    <w:rsid w:val="002D77AD"/>
    <w:rsid w:val="002D7AD9"/>
    <w:rsid w:val="002E0717"/>
    <w:rsid w:val="002E0BBD"/>
    <w:rsid w:val="002E11E4"/>
    <w:rsid w:val="002E12F6"/>
    <w:rsid w:val="002E2756"/>
    <w:rsid w:val="002E349A"/>
    <w:rsid w:val="002E3617"/>
    <w:rsid w:val="002E39E1"/>
    <w:rsid w:val="002E3B42"/>
    <w:rsid w:val="002E3EF1"/>
    <w:rsid w:val="002E40A9"/>
    <w:rsid w:val="002E434E"/>
    <w:rsid w:val="002E46C1"/>
    <w:rsid w:val="002E4F45"/>
    <w:rsid w:val="002E5CC3"/>
    <w:rsid w:val="002E60FB"/>
    <w:rsid w:val="002E6342"/>
    <w:rsid w:val="002E6847"/>
    <w:rsid w:val="002E6A77"/>
    <w:rsid w:val="002E6F62"/>
    <w:rsid w:val="002E73B8"/>
    <w:rsid w:val="002E75C5"/>
    <w:rsid w:val="002E783F"/>
    <w:rsid w:val="002E7D04"/>
    <w:rsid w:val="002F0207"/>
    <w:rsid w:val="002F07F2"/>
    <w:rsid w:val="002F09E0"/>
    <w:rsid w:val="002F0C2E"/>
    <w:rsid w:val="002F165E"/>
    <w:rsid w:val="002F16B7"/>
    <w:rsid w:val="002F1B45"/>
    <w:rsid w:val="002F1DA1"/>
    <w:rsid w:val="002F2D27"/>
    <w:rsid w:val="002F31CB"/>
    <w:rsid w:val="002F333C"/>
    <w:rsid w:val="002F374F"/>
    <w:rsid w:val="002F3867"/>
    <w:rsid w:val="002F3D6C"/>
    <w:rsid w:val="002F428B"/>
    <w:rsid w:val="002F42A6"/>
    <w:rsid w:val="002F4BF6"/>
    <w:rsid w:val="002F4E71"/>
    <w:rsid w:val="002F4F52"/>
    <w:rsid w:val="002F4F89"/>
    <w:rsid w:val="002F5338"/>
    <w:rsid w:val="002F65FB"/>
    <w:rsid w:val="002F6B05"/>
    <w:rsid w:val="002F6CCB"/>
    <w:rsid w:val="002F7485"/>
    <w:rsid w:val="002F7D4E"/>
    <w:rsid w:val="00300159"/>
    <w:rsid w:val="00300AEE"/>
    <w:rsid w:val="00300CBD"/>
    <w:rsid w:val="003014BF"/>
    <w:rsid w:val="00301544"/>
    <w:rsid w:val="00301B79"/>
    <w:rsid w:val="00301F87"/>
    <w:rsid w:val="003022F0"/>
    <w:rsid w:val="00302917"/>
    <w:rsid w:val="00302C90"/>
    <w:rsid w:val="00302FDF"/>
    <w:rsid w:val="003034E3"/>
    <w:rsid w:val="00303760"/>
    <w:rsid w:val="003038C2"/>
    <w:rsid w:val="00303907"/>
    <w:rsid w:val="00303A54"/>
    <w:rsid w:val="00303B2A"/>
    <w:rsid w:val="00304F92"/>
    <w:rsid w:val="00306120"/>
    <w:rsid w:val="003064B9"/>
    <w:rsid w:val="00306720"/>
    <w:rsid w:val="003068B1"/>
    <w:rsid w:val="00306E2B"/>
    <w:rsid w:val="00306E5A"/>
    <w:rsid w:val="00306FAB"/>
    <w:rsid w:val="0030705D"/>
    <w:rsid w:val="003079C5"/>
    <w:rsid w:val="00307E93"/>
    <w:rsid w:val="00310324"/>
    <w:rsid w:val="00310C3F"/>
    <w:rsid w:val="00311059"/>
    <w:rsid w:val="003114D9"/>
    <w:rsid w:val="00311B29"/>
    <w:rsid w:val="003120F1"/>
    <w:rsid w:val="0031248F"/>
    <w:rsid w:val="003124C6"/>
    <w:rsid w:val="0031258B"/>
    <w:rsid w:val="00312A25"/>
    <w:rsid w:val="00312EAF"/>
    <w:rsid w:val="00312F3C"/>
    <w:rsid w:val="003134E7"/>
    <w:rsid w:val="00313920"/>
    <w:rsid w:val="00313D5B"/>
    <w:rsid w:val="00313DBB"/>
    <w:rsid w:val="003143D2"/>
    <w:rsid w:val="0031458B"/>
    <w:rsid w:val="00314DE2"/>
    <w:rsid w:val="00315176"/>
    <w:rsid w:val="003155F3"/>
    <w:rsid w:val="00315EF5"/>
    <w:rsid w:val="003162C7"/>
    <w:rsid w:val="0031696B"/>
    <w:rsid w:val="00316C70"/>
    <w:rsid w:val="00316CCD"/>
    <w:rsid w:val="00316F05"/>
    <w:rsid w:val="003171D7"/>
    <w:rsid w:val="0031732C"/>
    <w:rsid w:val="00317366"/>
    <w:rsid w:val="00317828"/>
    <w:rsid w:val="00317D28"/>
    <w:rsid w:val="00320298"/>
    <w:rsid w:val="003204D9"/>
    <w:rsid w:val="003205AB"/>
    <w:rsid w:val="00320AC1"/>
    <w:rsid w:val="00321279"/>
    <w:rsid w:val="00321B64"/>
    <w:rsid w:val="003227DD"/>
    <w:rsid w:val="00322AFE"/>
    <w:rsid w:val="00322F4A"/>
    <w:rsid w:val="00323615"/>
    <w:rsid w:val="00324482"/>
    <w:rsid w:val="00324ED8"/>
    <w:rsid w:val="00325765"/>
    <w:rsid w:val="00325B28"/>
    <w:rsid w:val="00325D5A"/>
    <w:rsid w:val="00325F0A"/>
    <w:rsid w:val="00326269"/>
    <w:rsid w:val="00326296"/>
    <w:rsid w:val="003262CB"/>
    <w:rsid w:val="00326599"/>
    <w:rsid w:val="003265DA"/>
    <w:rsid w:val="00326B6B"/>
    <w:rsid w:val="00326E6C"/>
    <w:rsid w:val="00326FBA"/>
    <w:rsid w:val="00327AC9"/>
    <w:rsid w:val="00330506"/>
    <w:rsid w:val="00330DBF"/>
    <w:rsid w:val="00330EF8"/>
    <w:rsid w:val="003312BD"/>
    <w:rsid w:val="00331842"/>
    <w:rsid w:val="00331F94"/>
    <w:rsid w:val="00332EFA"/>
    <w:rsid w:val="00332F86"/>
    <w:rsid w:val="003331D9"/>
    <w:rsid w:val="0033338A"/>
    <w:rsid w:val="0033386B"/>
    <w:rsid w:val="003342F6"/>
    <w:rsid w:val="00334C00"/>
    <w:rsid w:val="00334D5A"/>
    <w:rsid w:val="003355B0"/>
    <w:rsid w:val="00335C1E"/>
    <w:rsid w:val="00335E9B"/>
    <w:rsid w:val="00335EBE"/>
    <w:rsid w:val="00335EFC"/>
    <w:rsid w:val="003361C4"/>
    <w:rsid w:val="0033637A"/>
    <w:rsid w:val="00337005"/>
    <w:rsid w:val="003402F1"/>
    <w:rsid w:val="003409BC"/>
    <w:rsid w:val="00340B42"/>
    <w:rsid w:val="003416E5"/>
    <w:rsid w:val="003418CD"/>
    <w:rsid w:val="00341E05"/>
    <w:rsid w:val="00342134"/>
    <w:rsid w:val="00343A43"/>
    <w:rsid w:val="00343A67"/>
    <w:rsid w:val="00343F47"/>
    <w:rsid w:val="00344DB2"/>
    <w:rsid w:val="00344F2F"/>
    <w:rsid w:val="00344FDC"/>
    <w:rsid w:val="003451EE"/>
    <w:rsid w:val="00345A1E"/>
    <w:rsid w:val="003462A8"/>
    <w:rsid w:val="003463B2"/>
    <w:rsid w:val="00346463"/>
    <w:rsid w:val="00346B2B"/>
    <w:rsid w:val="00346DD4"/>
    <w:rsid w:val="00346E8E"/>
    <w:rsid w:val="00346F02"/>
    <w:rsid w:val="00347031"/>
    <w:rsid w:val="0034704D"/>
    <w:rsid w:val="0034706E"/>
    <w:rsid w:val="00347C1C"/>
    <w:rsid w:val="00347F52"/>
    <w:rsid w:val="0035028C"/>
    <w:rsid w:val="0035037B"/>
    <w:rsid w:val="0035050B"/>
    <w:rsid w:val="00350615"/>
    <w:rsid w:val="00350654"/>
    <w:rsid w:val="003508A4"/>
    <w:rsid w:val="003508D6"/>
    <w:rsid w:val="00350DF0"/>
    <w:rsid w:val="00350ECB"/>
    <w:rsid w:val="003510E1"/>
    <w:rsid w:val="003517D0"/>
    <w:rsid w:val="00351C99"/>
    <w:rsid w:val="00351E7D"/>
    <w:rsid w:val="00351EB1"/>
    <w:rsid w:val="00352389"/>
    <w:rsid w:val="003523E1"/>
    <w:rsid w:val="003527CF"/>
    <w:rsid w:val="0035282A"/>
    <w:rsid w:val="00352AF4"/>
    <w:rsid w:val="00352F32"/>
    <w:rsid w:val="003530CE"/>
    <w:rsid w:val="003532B5"/>
    <w:rsid w:val="00353378"/>
    <w:rsid w:val="003533C0"/>
    <w:rsid w:val="00353593"/>
    <w:rsid w:val="0035367B"/>
    <w:rsid w:val="00353DCF"/>
    <w:rsid w:val="00353F01"/>
    <w:rsid w:val="00354153"/>
    <w:rsid w:val="003543D8"/>
    <w:rsid w:val="00354469"/>
    <w:rsid w:val="00354B39"/>
    <w:rsid w:val="00354CE6"/>
    <w:rsid w:val="00354D6F"/>
    <w:rsid w:val="003556D6"/>
    <w:rsid w:val="003558A4"/>
    <w:rsid w:val="00355A42"/>
    <w:rsid w:val="00355B14"/>
    <w:rsid w:val="00355C27"/>
    <w:rsid w:val="003578A4"/>
    <w:rsid w:val="00357E94"/>
    <w:rsid w:val="00360388"/>
    <w:rsid w:val="00360791"/>
    <w:rsid w:val="00360A0F"/>
    <w:rsid w:val="00360D01"/>
    <w:rsid w:val="00360D9D"/>
    <w:rsid w:val="00360DBB"/>
    <w:rsid w:val="00360E76"/>
    <w:rsid w:val="00361B97"/>
    <w:rsid w:val="00361DFF"/>
    <w:rsid w:val="00361F76"/>
    <w:rsid w:val="00362046"/>
    <w:rsid w:val="00362B44"/>
    <w:rsid w:val="00362DDE"/>
    <w:rsid w:val="00362FCC"/>
    <w:rsid w:val="003634DE"/>
    <w:rsid w:val="003635E1"/>
    <w:rsid w:val="003638B8"/>
    <w:rsid w:val="0036416D"/>
    <w:rsid w:val="00364285"/>
    <w:rsid w:val="0036477E"/>
    <w:rsid w:val="003652CE"/>
    <w:rsid w:val="003653E8"/>
    <w:rsid w:val="00365A2F"/>
    <w:rsid w:val="00365F0F"/>
    <w:rsid w:val="003662B5"/>
    <w:rsid w:val="0036710D"/>
    <w:rsid w:val="0036717E"/>
    <w:rsid w:val="00367336"/>
    <w:rsid w:val="00367BB9"/>
    <w:rsid w:val="00367CB0"/>
    <w:rsid w:val="00370019"/>
    <w:rsid w:val="003700BF"/>
    <w:rsid w:val="00370D8A"/>
    <w:rsid w:val="00370DAA"/>
    <w:rsid w:val="003710AF"/>
    <w:rsid w:val="003715C5"/>
    <w:rsid w:val="003716D2"/>
    <w:rsid w:val="00371AE4"/>
    <w:rsid w:val="003721B0"/>
    <w:rsid w:val="0037238F"/>
    <w:rsid w:val="0037293F"/>
    <w:rsid w:val="00372AB5"/>
    <w:rsid w:val="003736F7"/>
    <w:rsid w:val="0037498C"/>
    <w:rsid w:val="00374F90"/>
    <w:rsid w:val="00375684"/>
    <w:rsid w:val="003758C9"/>
    <w:rsid w:val="003763E2"/>
    <w:rsid w:val="00376577"/>
    <w:rsid w:val="00376D80"/>
    <w:rsid w:val="003772BA"/>
    <w:rsid w:val="003772BD"/>
    <w:rsid w:val="00380047"/>
    <w:rsid w:val="0038087D"/>
    <w:rsid w:val="00380B1B"/>
    <w:rsid w:val="00380E92"/>
    <w:rsid w:val="0038146D"/>
    <w:rsid w:val="00381A6E"/>
    <w:rsid w:val="00381ABB"/>
    <w:rsid w:val="00381D7F"/>
    <w:rsid w:val="00382CB6"/>
    <w:rsid w:val="00382DA2"/>
    <w:rsid w:val="00383584"/>
    <w:rsid w:val="003835AB"/>
    <w:rsid w:val="00383C5A"/>
    <w:rsid w:val="00383E7D"/>
    <w:rsid w:val="003841CD"/>
    <w:rsid w:val="00384411"/>
    <w:rsid w:val="0038462A"/>
    <w:rsid w:val="00384B80"/>
    <w:rsid w:val="00384D48"/>
    <w:rsid w:val="00385142"/>
    <w:rsid w:val="0038534C"/>
    <w:rsid w:val="00385A55"/>
    <w:rsid w:val="0038604E"/>
    <w:rsid w:val="00386117"/>
    <w:rsid w:val="0038671D"/>
    <w:rsid w:val="003869C5"/>
    <w:rsid w:val="00386B5C"/>
    <w:rsid w:val="00386E40"/>
    <w:rsid w:val="003871DE"/>
    <w:rsid w:val="00387242"/>
    <w:rsid w:val="00387576"/>
    <w:rsid w:val="003903AE"/>
    <w:rsid w:val="00390875"/>
    <w:rsid w:val="00391D9E"/>
    <w:rsid w:val="003921D5"/>
    <w:rsid w:val="0039231F"/>
    <w:rsid w:val="003925FF"/>
    <w:rsid w:val="00392803"/>
    <w:rsid w:val="00392D20"/>
    <w:rsid w:val="00393403"/>
    <w:rsid w:val="00393416"/>
    <w:rsid w:val="00393B67"/>
    <w:rsid w:val="00393F88"/>
    <w:rsid w:val="00394204"/>
    <w:rsid w:val="00394432"/>
    <w:rsid w:val="00394612"/>
    <w:rsid w:val="00394D44"/>
    <w:rsid w:val="00394E77"/>
    <w:rsid w:val="00394F2B"/>
    <w:rsid w:val="0039510C"/>
    <w:rsid w:val="0039616A"/>
    <w:rsid w:val="00396245"/>
    <w:rsid w:val="003965DD"/>
    <w:rsid w:val="00396B0B"/>
    <w:rsid w:val="00396D4B"/>
    <w:rsid w:val="00396FBE"/>
    <w:rsid w:val="0039728C"/>
    <w:rsid w:val="003976AD"/>
    <w:rsid w:val="0039775D"/>
    <w:rsid w:val="00397798"/>
    <w:rsid w:val="00397EBC"/>
    <w:rsid w:val="00397F50"/>
    <w:rsid w:val="00397F80"/>
    <w:rsid w:val="003A006E"/>
    <w:rsid w:val="003A1306"/>
    <w:rsid w:val="003A13B1"/>
    <w:rsid w:val="003A2B8F"/>
    <w:rsid w:val="003A2D7E"/>
    <w:rsid w:val="003A2EA2"/>
    <w:rsid w:val="003A310E"/>
    <w:rsid w:val="003A3208"/>
    <w:rsid w:val="003A3257"/>
    <w:rsid w:val="003A396B"/>
    <w:rsid w:val="003A4051"/>
    <w:rsid w:val="003A4163"/>
    <w:rsid w:val="003A4210"/>
    <w:rsid w:val="003A4993"/>
    <w:rsid w:val="003A4D7E"/>
    <w:rsid w:val="003A560B"/>
    <w:rsid w:val="003A56FA"/>
    <w:rsid w:val="003A5727"/>
    <w:rsid w:val="003A65DD"/>
    <w:rsid w:val="003A66F2"/>
    <w:rsid w:val="003A71AF"/>
    <w:rsid w:val="003A7302"/>
    <w:rsid w:val="003A791D"/>
    <w:rsid w:val="003B05D9"/>
    <w:rsid w:val="003B076A"/>
    <w:rsid w:val="003B0CFD"/>
    <w:rsid w:val="003B129B"/>
    <w:rsid w:val="003B1BBB"/>
    <w:rsid w:val="003B2233"/>
    <w:rsid w:val="003B2344"/>
    <w:rsid w:val="003B2608"/>
    <w:rsid w:val="003B2C7B"/>
    <w:rsid w:val="003B390E"/>
    <w:rsid w:val="003B3987"/>
    <w:rsid w:val="003B3A44"/>
    <w:rsid w:val="003B3C12"/>
    <w:rsid w:val="003B3C7F"/>
    <w:rsid w:val="003B42BE"/>
    <w:rsid w:val="003B443D"/>
    <w:rsid w:val="003B4485"/>
    <w:rsid w:val="003B4C3D"/>
    <w:rsid w:val="003B4EAE"/>
    <w:rsid w:val="003B557D"/>
    <w:rsid w:val="003B6149"/>
    <w:rsid w:val="003B62F0"/>
    <w:rsid w:val="003B6EE2"/>
    <w:rsid w:val="003B708E"/>
    <w:rsid w:val="003B71FE"/>
    <w:rsid w:val="003B776D"/>
    <w:rsid w:val="003C00D8"/>
    <w:rsid w:val="003C0520"/>
    <w:rsid w:val="003C0857"/>
    <w:rsid w:val="003C0A68"/>
    <w:rsid w:val="003C0D76"/>
    <w:rsid w:val="003C1247"/>
    <w:rsid w:val="003C34D7"/>
    <w:rsid w:val="003C39B8"/>
    <w:rsid w:val="003C39C9"/>
    <w:rsid w:val="003C4840"/>
    <w:rsid w:val="003C4D8A"/>
    <w:rsid w:val="003C4E4D"/>
    <w:rsid w:val="003C592E"/>
    <w:rsid w:val="003C5E33"/>
    <w:rsid w:val="003C66AF"/>
    <w:rsid w:val="003C68A2"/>
    <w:rsid w:val="003C6A5B"/>
    <w:rsid w:val="003C6EAE"/>
    <w:rsid w:val="003C6ED1"/>
    <w:rsid w:val="003C71DE"/>
    <w:rsid w:val="003C77E7"/>
    <w:rsid w:val="003C7FDE"/>
    <w:rsid w:val="003D02EF"/>
    <w:rsid w:val="003D0417"/>
    <w:rsid w:val="003D05E3"/>
    <w:rsid w:val="003D0C78"/>
    <w:rsid w:val="003D0D77"/>
    <w:rsid w:val="003D1479"/>
    <w:rsid w:val="003D172C"/>
    <w:rsid w:val="003D2564"/>
    <w:rsid w:val="003D28A4"/>
    <w:rsid w:val="003D4001"/>
    <w:rsid w:val="003D4143"/>
    <w:rsid w:val="003D429E"/>
    <w:rsid w:val="003D4346"/>
    <w:rsid w:val="003D48B1"/>
    <w:rsid w:val="003D518F"/>
    <w:rsid w:val="003D5213"/>
    <w:rsid w:val="003D561E"/>
    <w:rsid w:val="003D5ED3"/>
    <w:rsid w:val="003D6384"/>
    <w:rsid w:val="003D6FD2"/>
    <w:rsid w:val="003D799E"/>
    <w:rsid w:val="003D7B43"/>
    <w:rsid w:val="003E0C5B"/>
    <w:rsid w:val="003E11C0"/>
    <w:rsid w:val="003E151A"/>
    <w:rsid w:val="003E2337"/>
    <w:rsid w:val="003E24C9"/>
    <w:rsid w:val="003E24D7"/>
    <w:rsid w:val="003E25B6"/>
    <w:rsid w:val="003E2E28"/>
    <w:rsid w:val="003E2F86"/>
    <w:rsid w:val="003E3756"/>
    <w:rsid w:val="003E3DA8"/>
    <w:rsid w:val="003E3F09"/>
    <w:rsid w:val="003E3F3B"/>
    <w:rsid w:val="003E3FFF"/>
    <w:rsid w:val="003E45ED"/>
    <w:rsid w:val="003E4CDB"/>
    <w:rsid w:val="003E5052"/>
    <w:rsid w:val="003E5F45"/>
    <w:rsid w:val="003E63AE"/>
    <w:rsid w:val="003E66D9"/>
    <w:rsid w:val="003E6AF2"/>
    <w:rsid w:val="003E766A"/>
    <w:rsid w:val="003E7B50"/>
    <w:rsid w:val="003E7F6D"/>
    <w:rsid w:val="003F056D"/>
    <w:rsid w:val="003F0BDD"/>
    <w:rsid w:val="003F1539"/>
    <w:rsid w:val="003F1A86"/>
    <w:rsid w:val="003F1BA3"/>
    <w:rsid w:val="003F2510"/>
    <w:rsid w:val="003F2635"/>
    <w:rsid w:val="003F2F7C"/>
    <w:rsid w:val="003F37A7"/>
    <w:rsid w:val="003F408E"/>
    <w:rsid w:val="003F4483"/>
    <w:rsid w:val="003F44C0"/>
    <w:rsid w:val="003F49BA"/>
    <w:rsid w:val="003F4B08"/>
    <w:rsid w:val="003F53DA"/>
    <w:rsid w:val="003F56F8"/>
    <w:rsid w:val="003F58FD"/>
    <w:rsid w:val="003F5B35"/>
    <w:rsid w:val="003F5C04"/>
    <w:rsid w:val="003F5C62"/>
    <w:rsid w:val="003F5D2B"/>
    <w:rsid w:val="003F650B"/>
    <w:rsid w:val="003F6AB7"/>
    <w:rsid w:val="004005C9"/>
    <w:rsid w:val="00400701"/>
    <w:rsid w:val="00400902"/>
    <w:rsid w:val="00401039"/>
    <w:rsid w:val="004011EB"/>
    <w:rsid w:val="004014DE"/>
    <w:rsid w:val="004014E4"/>
    <w:rsid w:val="00401781"/>
    <w:rsid w:val="0040194E"/>
    <w:rsid w:val="00401A0F"/>
    <w:rsid w:val="00402250"/>
    <w:rsid w:val="004023F0"/>
    <w:rsid w:val="00402846"/>
    <w:rsid w:val="00402C63"/>
    <w:rsid w:val="00402DDC"/>
    <w:rsid w:val="00402F6D"/>
    <w:rsid w:val="00403475"/>
    <w:rsid w:val="00403516"/>
    <w:rsid w:val="004039C7"/>
    <w:rsid w:val="00403C09"/>
    <w:rsid w:val="0040445B"/>
    <w:rsid w:val="0040463A"/>
    <w:rsid w:val="0040539C"/>
    <w:rsid w:val="004059A0"/>
    <w:rsid w:val="004061EE"/>
    <w:rsid w:val="0040631D"/>
    <w:rsid w:val="00406681"/>
    <w:rsid w:val="00406695"/>
    <w:rsid w:val="00406864"/>
    <w:rsid w:val="00406CA7"/>
    <w:rsid w:val="0040711F"/>
    <w:rsid w:val="00407140"/>
    <w:rsid w:val="00407D98"/>
    <w:rsid w:val="00407E35"/>
    <w:rsid w:val="0041038F"/>
    <w:rsid w:val="00410D35"/>
    <w:rsid w:val="00411096"/>
    <w:rsid w:val="00411A9F"/>
    <w:rsid w:val="00411BB2"/>
    <w:rsid w:val="00411EFE"/>
    <w:rsid w:val="0041203C"/>
    <w:rsid w:val="0041221B"/>
    <w:rsid w:val="0041235F"/>
    <w:rsid w:val="004127E1"/>
    <w:rsid w:val="00412834"/>
    <w:rsid w:val="00414451"/>
    <w:rsid w:val="0041449C"/>
    <w:rsid w:val="00415372"/>
    <w:rsid w:val="00416965"/>
    <w:rsid w:val="00416A4B"/>
    <w:rsid w:val="0042098D"/>
    <w:rsid w:val="0042125D"/>
    <w:rsid w:val="00421E45"/>
    <w:rsid w:val="00422247"/>
    <w:rsid w:val="0042224B"/>
    <w:rsid w:val="00422311"/>
    <w:rsid w:val="00422782"/>
    <w:rsid w:val="00422F8D"/>
    <w:rsid w:val="004231C3"/>
    <w:rsid w:val="0042356F"/>
    <w:rsid w:val="00423E14"/>
    <w:rsid w:val="004246DA"/>
    <w:rsid w:val="00424E97"/>
    <w:rsid w:val="00424FFF"/>
    <w:rsid w:val="0042539E"/>
    <w:rsid w:val="00425B2B"/>
    <w:rsid w:val="00425B62"/>
    <w:rsid w:val="00425C52"/>
    <w:rsid w:val="00425F61"/>
    <w:rsid w:val="004260A4"/>
    <w:rsid w:val="00426303"/>
    <w:rsid w:val="004266A5"/>
    <w:rsid w:val="00426B60"/>
    <w:rsid w:val="004273B0"/>
    <w:rsid w:val="004276A4"/>
    <w:rsid w:val="00427CE2"/>
    <w:rsid w:val="00427D40"/>
    <w:rsid w:val="00430604"/>
    <w:rsid w:val="004306FE"/>
    <w:rsid w:val="00430A94"/>
    <w:rsid w:val="0043107C"/>
    <w:rsid w:val="00431181"/>
    <w:rsid w:val="00431F6D"/>
    <w:rsid w:val="0043204A"/>
    <w:rsid w:val="0043282E"/>
    <w:rsid w:val="004329B5"/>
    <w:rsid w:val="0043353B"/>
    <w:rsid w:val="004336CA"/>
    <w:rsid w:val="0043370B"/>
    <w:rsid w:val="00434392"/>
    <w:rsid w:val="00434B21"/>
    <w:rsid w:val="00435096"/>
    <w:rsid w:val="00435308"/>
    <w:rsid w:val="004354F5"/>
    <w:rsid w:val="00435CD5"/>
    <w:rsid w:val="00435D5E"/>
    <w:rsid w:val="00435D6E"/>
    <w:rsid w:val="00435F92"/>
    <w:rsid w:val="00435FC1"/>
    <w:rsid w:val="0043604B"/>
    <w:rsid w:val="00436091"/>
    <w:rsid w:val="00436193"/>
    <w:rsid w:val="0043631F"/>
    <w:rsid w:val="00436605"/>
    <w:rsid w:val="00436893"/>
    <w:rsid w:val="00436AB1"/>
    <w:rsid w:val="00436D86"/>
    <w:rsid w:val="00436E65"/>
    <w:rsid w:val="00436F76"/>
    <w:rsid w:val="004370EB"/>
    <w:rsid w:val="004372B5"/>
    <w:rsid w:val="004372BA"/>
    <w:rsid w:val="004377C8"/>
    <w:rsid w:val="0043790F"/>
    <w:rsid w:val="00437BD5"/>
    <w:rsid w:val="00437CCC"/>
    <w:rsid w:val="00437F4C"/>
    <w:rsid w:val="0044012A"/>
    <w:rsid w:val="00440497"/>
    <w:rsid w:val="00440595"/>
    <w:rsid w:val="00440625"/>
    <w:rsid w:val="00440856"/>
    <w:rsid w:val="00440981"/>
    <w:rsid w:val="00440AB3"/>
    <w:rsid w:val="00440DBB"/>
    <w:rsid w:val="0044116D"/>
    <w:rsid w:val="0044131D"/>
    <w:rsid w:val="004416DD"/>
    <w:rsid w:val="00441EED"/>
    <w:rsid w:val="00441F0A"/>
    <w:rsid w:val="00442623"/>
    <w:rsid w:val="00442657"/>
    <w:rsid w:val="00443018"/>
    <w:rsid w:val="004431CB"/>
    <w:rsid w:val="0044326F"/>
    <w:rsid w:val="00443302"/>
    <w:rsid w:val="00443332"/>
    <w:rsid w:val="0044367B"/>
    <w:rsid w:val="004436EE"/>
    <w:rsid w:val="00444060"/>
    <w:rsid w:val="00444413"/>
    <w:rsid w:val="004444A2"/>
    <w:rsid w:val="00444816"/>
    <w:rsid w:val="00444871"/>
    <w:rsid w:val="004453E2"/>
    <w:rsid w:val="0044638F"/>
    <w:rsid w:val="0044689A"/>
    <w:rsid w:val="00446C9E"/>
    <w:rsid w:val="00446F57"/>
    <w:rsid w:val="004470DD"/>
    <w:rsid w:val="004475DC"/>
    <w:rsid w:val="004476E9"/>
    <w:rsid w:val="00447F17"/>
    <w:rsid w:val="00450004"/>
    <w:rsid w:val="004501A7"/>
    <w:rsid w:val="004509BF"/>
    <w:rsid w:val="004514D3"/>
    <w:rsid w:val="0045159B"/>
    <w:rsid w:val="00452E8A"/>
    <w:rsid w:val="004531FF"/>
    <w:rsid w:val="004537EB"/>
    <w:rsid w:val="00454162"/>
    <w:rsid w:val="00454E64"/>
    <w:rsid w:val="004556FF"/>
    <w:rsid w:val="00455769"/>
    <w:rsid w:val="0045591E"/>
    <w:rsid w:val="00455C69"/>
    <w:rsid w:val="00455D2E"/>
    <w:rsid w:val="00455E1F"/>
    <w:rsid w:val="00455E25"/>
    <w:rsid w:val="0045694E"/>
    <w:rsid w:val="00456C62"/>
    <w:rsid w:val="00456F68"/>
    <w:rsid w:val="004606A4"/>
    <w:rsid w:val="00460C43"/>
    <w:rsid w:val="00460E97"/>
    <w:rsid w:val="00461159"/>
    <w:rsid w:val="00461269"/>
    <w:rsid w:val="00461B96"/>
    <w:rsid w:val="00462352"/>
    <w:rsid w:val="00462558"/>
    <w:rsid w:val="0046297E"/>
    <w:rsid w:val="00462A3C"/>
    <w:rsid w:val="00462E22"/>
    <w:rsid w:val="00463315"/>
    <w:rsid w:val="004639A4"/>
    <w:rsid w:val="00463AC9"/>
    <w:rsid w:val="00463BE1"/>
    <w:rsid w:val="00463FCB"/>
    <w:rsid w:val="0046489C"/>
    <w:rsid w:val="00464FD3"/>
    <w:rsid w:val="00465021"/>
    <w:rsid w:val="0046540E"/>
    <w:rsid w:val="00465A27"/>
    <w:rsid w:val="00465E57"/>
    <w:rsid w:val="00466538"/>
    <w:rsid w:val="00466651"/>
    <w:rsid w:val="00466E5B"/>
    <w:rsid w:val="00467519"/>
    <w:rsid w:val="0046786D"/>
    <w:rsid w:val="0046797E"/>
    <w:rsid w:val="00467AEC"/>
    <w:rsid w:val="00467E5F"/>
    <w:rsid w:val="004708B9"/>
    <w:rsid w:val="00471271"/>
    <w:rsid w:val="00471363"/>
    <w:rsid w:val="004716AA"/>
    <w:rsid w:val="004716D4"/>
    <w:rsid w:val="00471B33"/>
    <w:rsid w:val="00472234"/>
    <w:rsid w:val="00472A00"/>
    <w:rsid w:val="004734A4"/>
    <w:rsid w:val="00473503"/>
    <w:rsid w:val="00473554"/>
    <w:rsid w:val="00473778"/>
    <w:rsid w:val="004746F7"/>
    <w:rsid w:val="00474A7F"/>
    <w:rsid w:val="00474CEB"/>
    <w:rsid w:val="00474EA4"/>
    <w:rsid w:val="0047530B"/>
    <w:rsid w:val="00475523"/>
    <w:rsid w:val="00475577"/>
    <w:rsid w:val="00475643"/>
    <w:rsid w:val="00475F20"/>
    <w:rsid w:val="0047639D"/>
    <w:rsid w:val="004765F6"/>
    <w:rsid w:val="004766E3"/>
    <w:rsid w:val="004769B6"/>
    <w:rsid w:val="00476B0E"/>
    <w:rsid w:val="004776A9"/>
    <w:rsid w:val="00477F3F"/>
    <w:rsid w:val="00480A25"/>
    <w:rsid w:val="00480EE5"/>
    <w:rsid w:val="00481424"/>
    <w:rsid w:val="00481775"/>
    <w:rsid w:val="00481EAC"/>
    <w:rsid w:val="00482AA3"/>
    <w:rsid w:val="00482E45"/>
    <w:rsid w:val="00482F12"/>
    <w:rsid w:val="00482F8F"/>
    <w:rsid w:val="00483364"/>
    <w:rsid w:val="00483765"/>
    <w:rsid w:val="004838B4"/>
    <w:rsid w:val="00483CA2"/>
    <w:rsid w:val="00484330"/>
    <w:rsid w:val="004847CF"/>
    <w:rsid w:val="00484C1B"/>
    <w:rsid w:val="00484CCB"/>
    <w:rsid w:val="00484F62"/>
    <w:rsid w:val="004850D0"/>
    <w:rsid w:val="00485145"/>
    <w:rsid w:val="004853DE"/>
    <w:rsid w:val="00485AAD"/>
    <w:rsid w:val="004860E6"/>
    <w:rsid w:val="004860FB"/>
    <w:rsid w:val="004861B3"/>
    <w:rsid w:val="0048629F"/>
    <w:rsid w:val="004866A9"/>
    <w:rsid w:val="00486EF7"/>
    <w:rsid w:val="004871D3"/>
    <w:rsid w:val="00487236"/>
    <w:rsid w:val="00487687"/>
    <w:rsid w:val="004878E1"/>
    <w:rsid w:val="00487E58"/>
    <w:rsid w:val="00487E97"/>
    <w:rsid w:val="00487EBA"/>
    <w:rsid w:val="00491AF2"/>
    <w:rsid w:val="00491BB7"/>
    <w:rsid w:val="00492A71"/>
    <w:rsid w:val="00492D39"/>
    <w:rsid w:val="00492D77"/>
    <w:rsid w:val="00492F6B"/>
    <w:rsid w:val="004934A1"/>
    <w:rsid w:val="004942C3"/>
    <w:rsid w:val="00494652"/>
    <w:rsid w:val="004949C7"/>
    <w:rsid w:val="00494ADD"/>
    <w:rsid w:val="00494EE9"/>
    <w:rsid w:val="00494F10"/>
    <w:rsid w:val="00494F28"/>
    <w:rsid w:val="004950DB"/>
    <w:rsid w:val="00495115"/>
    <w:rsid w:val="00495512"/>
    <w:rsid w:val="00495A41"/>
    <w:rsid w:val="00495C8C"/>
    <w:rsid w:val="00495F14"/>
    <w:rsid w:val="00496547"/>
    <w:rsid w:val="004967C8"/>
    <w:rsid w:val="00496846"/>
    <w:rsid w:val="00496873"/>
    <w:rsid w:val="00496A4B"/>
    <w:rsid w:val="00496A8E"/>
    <w:rsid w:val="00496A90"/>
    <w:rsid w:val="004970F5"/>
    <w:rsid w:val="00497423"/>
    <w:rsid w:val="00497565"/>
    <w:rsid w:val="004975CE"/>
    <w:rsid w:val="00497871"/>
    <w:rsid w:val="004978EC"/>
    <w:rsid w:val="004A06DE"/>
    <w:rsid w:val="004A0756"/>
    <w:rsid w:val="004A129A"/>
    <w:rsid w:val="004A1863"/>
    <w:rsid w:val="004A18F7"/>
    <w:rsid w:val="004A27C3"/>
    <w:rsid w:val="004A2FA6"/>
    <w:rsid w:val="004A31FA"/>
    <w:rsid w:val="004A320D"/>
    <w:rsid w:val="004A3343"/>
    <w:rsid w:val="004A3B6D"/>
    <w:rsid w:val="004A3F33"/>
    <w:rsid w:val="004A3FCB"/>
    <w:rsid w:val="004A40F9"/>
    <w:rsid w:val="004A43E0"/>
    <w:rsid w:val="004A486F"/>
    <w:rsid w:val="004A4D5C"/>
    <w:rsid w:val="004A4F69"/>
    <w:rsid w:val="004A51AA"/>
    <w:rsid w:val="004A5E0D"/>
    <w:rsid w:val="004A6766"/>
    <w:rsid w:val="004A7CCA"/>
    <w:rsid w:val="004B0696"/>
    <w:rsid w:val="004B0727"/>
    <w:rsid w:val="004B0800"/>
    <w:rsid w:val="004B0A6B"/>
    <w:rsid w:val="004B0C07"/>
    <w:rsid w:val="004B0E0C"/>
    <w:rsid w:val="004B102B"/>
    <w:rsid w:val="004B1D4F"/>
    <w:rsid w:val="004B1FEA"/>
    <w:rsid w:val="004B21CD"/>
    <w:rsid w:val="004B2593"/>
    <w:rsid w:val="004B2E48"/>
    <w:rsid w:val="004B3047"/>
    <w:rsid w:val="004B380F"/>
    <w:rsid w:val="004B3FAE"/>
    <w:rsid w:val="004B401C"/>
    <w:rsid w:val="004B49B3"/>
    <w:rsid w:val="004B5127"/>
    <w:rsid w:val="004B5801"/>
    <w:rsid w:val="004B5A48"/>
    <w:rsid w:val="004B5C57"/>
    <w:rsid w:val="004B6D71"/>
    <w:rsid w:val="004B71E6"/>
    <w:rsid w:val="004B7517"/>
    <w:rsid w:val="004B75CB"/>
    <w:rsid w:val="004B7663"/>
    <w:rsid w:val="004B791E"/>
    <w:rsid w:val="004B7A47"/>
    <w:rsid w:val="004B7A50"/>
    <w:rsid w:val="004B7D33"/>
    <w:rsid w:val="004C0049"/>
    <w:rsid w:val="004C00AD"/>
    <w:rsid w:val="004C044E"/>
    <w:rsid w:val="004C1794"/>
    <w:rsid w:val="004C1A03"/>
    <w:rsid w:val="004C1DB4"/>
    <w:rsid w:val="004C1FD1"/>
    <w:rsid w:val="004C23F0"/>
    <w:rsid w:val="004C240E"/>
    <w:rsid w:val="004C266E"/>
    <w:rsid w:val="004C2B62"/>
    <w:rsid w:val="004C2C5E"/>
    <w:rsid w:val="004C31FD"/>
    <w:rsid w:val="004C41AF"/>
    <w:rsid w:val="004C4B7A"/>
    <w:rsid w:val="004C4CFB"/>
    <w:rsid w:val="004C5230"/>
    <w:rsid w:val="004C5373"/>
    <w:rsid w:val="004C5B2C"/>
    <w:rsid w:val="004C5EAF"/>
    <w:rsid w:val="004C600A"/>
    <w:rsid w:val="004C6EF8"/>
    <w:rsid w:val="004C7134"/>
    <w:rsid w:val="004C736B"/>
    <w:rsid w:val="004C7385"/>
    <w:rsid w:val="004C7AB5"/>
    <w:rsid w:val="004D0144"/>
    <w:rsid w:val="004D014C"/>
    <w:rsid w:val="004D0899"/>
    <w:rsid w:val="004D090E"/>
    <w:rsid w:val="004D09E7"/>
    <w:rsid w:val="004D0BD1"/>
    <w:rsid w:val="004D0EBF"/>
    <w:rsid w:val="004D1AF5"/>
    <w:rsid w:val="004D2B5F"/>
    <w:rsid w:val="004D31A3"/>
    <w:rsid w:val="004D456D"/>
    <w:rsid w:val="004D45F0"/>
    <w:rsid w:val="004D4923"/>
    <w:rsid w:val="004D4E3B"/>
    <w:rsid w:val="004D53F4"/>
    <w:rsid w:val="004D545D"/>
    <w:rsid w:val="004D573A"/>
    <w:rsid w:val="004D5B8F"/>
    <w:rsid w:val="004D5F44"/>
    <w:rsid w:val="004D616C"/>
    <w:rsid w:val="004D61F7"/>
    <w:rsid w:val="004D621D"/>
    <w:rsid w:val="004D6264"/>
    <w:rsid w:val="004D667C"/>
    <w:rsid w:val="004D678F"/>
    <w:rsid w:val="004D68D5"/>
    <w:rsid w:val="004D69C9"/>
    <w:rsid w:val="004D6C85"/>
    <w:rsid w:val="004D721B"/>
    <w:rsid w:val="004D73D9"/>
    <w:rsid w:val="004D75BF"/>
    <w:rsid w:val="004D7C7E"/>
    <w:rsid w:val="004D7E4F"/>
    <w:rsid w:val="004D7F05"/>
    <w:rsid w:val="004E0359"/>
    <w:rsid w:val="004E05BE"/>
    <w:rsid w:val="004E05CF"/>
    <w:rsid w:val="004E11B4"/>
    <w:rsid w:val="004E1638"/>
    <w:rsid w:val="004E1B7A"/>
    <w:rsid w:val="004E1BC4"/>
    <w:rsid w:val="004E1DAF"/>
    <w:rsid w:val="004E1FB4"/>
    <w:rsid w:val="004E22F5"/>
    <w:rsid w:val="004E25FF"/>
    <w:rsid w:val="004E28F2"/>
    <w:rsid w:val="004E3258"/>
    <w:rsid w:val="004E3BDC"/>
    <w:rsid w:val="004E3FA5"/>
    <w:rsid w:val="004E405C"/>
    <w:rsid w:val="004E406B"/>
    <w:rsid w:val="004E5785"/>
    <w:rsid w:val="004E5AD8"/>
    <w:rsid w:val="004E68EB"/>
    <w:rsid w:val="004E6F9E"/>
    <w:rsid w:val="004E702C"/>
    <w:rsid w:val="004E73F2"/>
    <w:rsid w:val="004E7C66"/>
    <w:rsid w:val="004F0550"/>
    <w:rsid w:val="004F0AC7"/>
    <w:rsid w:val="004F0D03"/>
    <w:rsid w:val="004F0F6C"/>
    <w:rsid w:val="004F1884"/>
    <w:rsid w:val="004F1DAE"/>
    <w:rsid w:val="004F2801"/>
    <w:rsid w:val="004F2B52"/>
    <w:rsid w:val="004F3566"/>
    <w:rsid w:val="004F3715"/>
    <w:rsid w:val="004F3865"/>
    <w:rsid w:val="004F4AD5"/>
    <w:rsid w:val="004F4D08"/>
    <w:rsid w:val="004F50DD"/>
    <w:rsid w:val="004F55E6"/>
    <w:rsid w:val="004F648A"/>
    <w:rsid w:val="004F68F1"/>
    <w:rsid w:val="004F6915"/>
    <w:rsid w:val="004F6981"/>
    <w:rsid w:val="004F69D6"/>
    <w:rsid w:val="004F6FB7"/>
    <w:rsid w:val="004F7E0C"/>
    <w:rsid w:val="00500D7C"/>
    <w:rsid w:val="00500D86"/>
    <w:rsid w:val="005015C5"/>
    <w:rsid w:val="00501724"/>
    <w:rsid w:val="00501E7C"/>
    <w:rsid w:val="00502593"/>
    <w:rsid w:val="00502E00"/>
    <w:rsid w:val="00503166"/>
    <w:rsid w:val="00504328"/>
    <w:rsid w:val="00505170"/>
    <w:rsid w:val="00505709"/>
    <w:rsid w:val="005058D3"/>
    <w:rsid w:val="00505BC7"/>
    <w:rsid w:val="00505CD4"/>
    <w:rsid w:val="005060FC"/>
    <w:rsid w:val="00506646"/>
    <w:rsid w:val="005067B2"/>
    <w:rsid w:val="00506DC5"/>
    <w:rsid w:val="005071A7"/>
    <w:rsid w:val="00507961"/>
    <w:rsid w:val="00507D17"/>
    <w:rsid w:val="00507EA6"/>
    <w:rsid w:val="00507FED"/>
    <w:rsid w:val="005107D0"/>
    <w:rsid w:val="00510A37"/>
    <w:rsid w:val="00511223"/>
    <w:rsid w:val="0051176D"/>
    <w:rsid w:val="0051195B"/>
    <w:rsid w:val="00511AF7"/>
    <w:rsid w:val="00512165"/>
    <w:rsid w:val="005127E6"/>
    <w:rsid w:val="0051362C"/>
    <w:rsid w:val="00513638"/>
    <w:rsid w:val="00513674"/>
    <w:rsid w:val="005136A0"/>
    <w:rsid w:val="005136F4"/>
    <w:rsid w:val="005137AE"/>
    <w:rsid w:val="005141E6"/>
    <w:rsid w:val="005142C1"/>
    <w:rsid w:val="005143A3"/>
    <w:rsid w:val="00514A26"/>
    <w:rsid w:val="00514DF6"/>
    <w:rsid w:val="00515854"/>
    <w:rsid w:val="00515B9E"/>
    <w:rsid w:val="005162C4"/>
    <w:rsid w:val="005165FA"/>
    <w:rsid w:val="005169DB"/>
    <w:rsid w:val="0051707F"/>
    <w:rsid w:val="0051741C"/>
    <w:rsid w:val="00517786"/>
    <w:rsid w:val="00517E3D"/>
    <w:rsid w:val="0052079F"/>
    <w:rsid w:val="005214DD"/>
    <w:rsid w:val="00521725"/>
    <w:rsid w:val="0052180F"/>
    <w:rsid w:val="00521DF8"/>
    <w:rsid w:val="0052211B"/>
    <w:rsid w:val="005223DF"/>
    <w:rsid w:val="005227A3"/>
    <w:rsid w:val="00522C4B"/>
    <w:rsid w:val="005232A6"/>
    <w:rsid w:val="00523309"/>
    <w:rsid w:val="00523D34"/>
    <w:rsid w:val="00524051"/>
    <w:rsid w:val="00524BE2"/>
    <w:rsid w:val="00525096"/>
    <w:rsid w:val="005251C1"/>
    <w:rsid w:val="00525295"/>
    <w:rsid w:val="00525865"/>
    <w:rsid w:val="00525CC8"/>
    <w:rsid w:val="00525E28"/>
    <w:rsid w:val="00526021"/>
    <w:rsid w:val="00526577"/>
    <w:rsid w:val="0052665A"/>
    <w:rsid w:val="0052698D"/>
    <w:rsid w:val="00526A12"/>
    <w:rsid w:val="00526F1A"/>
    <w:rsid w:val="0052718C"/>
    <w:rsid w:val="00527B27"/>
    <w:rsid w:val="005307E8"/>
    <w:rsid w:val="00530804"/>
    <w:rsid w:val="00530EE5"/>
    <w:rsid w:val="0053133D"/>
    <w:rsid w:val="005318FF"/>
    <w:rsid w:val="00532057"/>
    <w:rsid w:val="00532919"/>
    <w:rsid w:val="00532A95"/>
    <w:rsid w:val="00532D57"/>
    <w:rsid w:val="00532E67"/>
    <w:rsid w:val="005334F2"/>
    <w:rsid w:val="00533984"/>
    <w:rsid w:val="00533C7C"/>
    <w:rsid w:val="005343ED"/>
    <w:rsid w:val="00534831"/>
    <w:rsid w:val="005355BF"/>
    <w:rsid w:val="00535D6A"/>
    <w:rsid w:val="005365BB"/>
    <w:rsid w:val="00536D52"/>
    <w:rsid w:val="005375B3"/>
    <w:rsid w:val="00540227"/>
    <w:rsid w:val="0054046D"/>
    <w:rsid w:val="005404EF"/>
    <w:rsid w:val="005409B0"/>
    <w:rsid w:val="00540D21"/>
    <w:rsid w:val="00540F32"/>
    <w:rsid w:val="00541D34"/>
    <w:rsid w:val="0054211C"/>
    <w:rsid w:val="0054283D"/>
    <w:rsid w:val="005435CC"/>
    <w:rsid w:val="00543602"/>
    <w:rsid w:val="00543EE7"/>
    <w:rsid w:val="005442AC"/>
    <w:rsid w:val="0054447B"/>
    <w:rsid w:val="0054455A"/>
    <w:rsid w:val="00544A45"/>
    <w:rsid w:val="00544DB7"/>
    <w:rsid w:val="00545291"/>
    <w:rsid w:val="00545784"/>
    <w:rsid w:val="00545982"/>
    <w:rsid w:val="00545E33"/>
    <w:rsid w:val="00546E52"/>
    <w:rsid w:val="00546EA7"/>
    <w:rsid w:val="00546EC6"/>
    <w:rsid w:val="00546F4D"/>
    <w:rsid w:val="00546F8D"/>
    <w:rsid w:val="00547305"/>
    <w:rsid w:val="0054746E"/>
    <w:rsid w:val="0054791A"/>
    <w:rsid w:val="00547939"/>
    <w:rsid w:val="00547D40"/>
    <w:rsid w:val="0055009A"/>
    <w:rsid w:val="00550137"/>
    <w:rsid w:val="005502D1"/>
    <w:rsid w:val="0055061A"/>
    <w:rsid w:val="005507FA"/>
    <w:rsid w:val="00550BE2"/>
    <w:rsid w:val="00550EDA"/>
    <w:rsid w:val="0055136B"/>
    <w:rsid w:val="005515C2"/>
    <w:rsid w:val="005515E6"/>
    <w:rsid w:val="00551675"/>
    <w:rsid w:val="00551811"/>
    <w:rsid w:val="00551CB5"/>
    <w:rsid w:val="005523A8"/>
    <w:rsid w:val="005524E9"/>
    <w:rsid w:val="00553312"/>
    <w:rsid w:val="005538F1"/>
    <w:rsid w:val="00553976"/>
    <w:rsid w:val="00553CE0"/>
    <w:rsid w:val="00553ED8"/>
    <w:rsid w:val="00553F0E"/>
    <w:rsid w:val="00553F27"/>
    <w:rsid w:val="00553FEF"/>
    <w:rsid w:val="00554597"/>
    <w:rsid w:val="005548F3"/>
    <w:rsid w:val="0055558F"/>
    <w:rsid w:val="005557AD"/>
    <w:rsid w:val="00555927"/>
    <w:rsid w:val="00555AF2"/>
    <w:rsid w:val="00555B12"/>
    <w:rsid w:val="0055689A"/>
    <w:rsid w:val="00556C70"/>
    <w:rsid w:val="0055701A"/>
    <w:rsid w:val="00557C4E"/>
    <w:rsid w:val="00557D3E"/>
    <w:rsid w:val="00560249"/>
    <w:rsid w:val="005602F8"/>
    <w:rsid w:val="0056095F"/>
    <w:rsid w:val="00560E0C"/>
    <w:rsid w:val="005613BB"/>
    <w:rsid w:val="00561473"/>
    <w:rsid w:val="005631AB"/>
    <w:rsid w:val="00563551"/>
    <w:rsid w:val="0056360D"/>
    <w:rsid w:val="00563940"/>
    <w:rsid w:val="00563BFB"/>
    <w:rsid w:val="0056400E"/>
    <w:rsid w:val="0056404F"/>
    <w:rsid w:val="005647E7"/>
    <w:rsid w:val="00564927"/>
    <w:rsid w:val="00564996"/>
    <w:rsid w:val="00564C9E"/>
    <w:rsid w:val="00565465"/>
    <w:rsid w:val="00565ADD"/>
    <w:rsid w:val="0056669D"/>
    <w:rsid w:val="00566962"/>
    <w:rsid w:val="00567032"/>
    <w:rsid w:val="00567503"/>
    <w:rsid w:val="00567667"/>
    <w:rsid w:val="00567C84"/>
    <w:rsid w:val="00570C7C"/>
    <w:rsid w:val="00570FB0"/>
    <w:rsid w:val="00571002"/>
    <w:rsid w:val="005711DC"/>
    <w:rsid w:val="00571E81"/>
    <w:rsid w:val="00572088"/>
    <w:rsid w:val="005720DE"/>
    <w:rsid w:val="00573138"/>
    <w:rsid w:val="00573166"/>
    <w:rsid w:val="005734E3"/>
    <w:rsid w:val="0057353A"/>
    <w:rsid w:val="005735E0"/>
    <w:rsid w:val="00573B90"/>
    <w:rsid w:val="00573C70"/>
    <w:rsid w:val="00574825"/>
    <w:rsid w:val="00574869"/>
    <w:rsid w:val="005748D0"/>
    <w:rsid w:val="005757B8"/>
    <w:rsid w:val="00575849"/>
    <w:rsid w:val="00575AC9"/>
    <w:rsid w:val="00575EBB"/>
    <w:rsid w:val="00576A20"/>
    <w:rsid w:val="005771ED"/>
    <w:rsid w:val="00577C0F"/>
    <w:rsid w:val="005808ED"/>
    <w:rsid w:val="005809DD"/>
    <w:rsid w:val="00580E9C"/>
    <w:rsid w:val="00580F0C"/>
    <w:rsid w:val="00580FD9"/>
    <w:rsid w:val="00581B90"/>
    <w:rsid w:val="00581C0F"/>
    <w:rsid w:val="00581F60"/>
    <w:rsid w:val="005820B0"/>
    <w:rsid w:val="00582203"/>
    <w:rsid w:val="0058246E"/>
    <w:rsid w:val="00583E69"/>
    <w:rsid w:val="00583F8B"/>
    <w:rsid w:val="00584B85"/>
    <w:rsid w:val="005856C9"/>
    <w:rsid w:val="00587F4F"/>
    <w:rsid w:val="00590152"/>
    <w:rsid w:val="00590584"/>
    <w:rsid w:val="00590A98"/>
    <w:rsid w:val="00590AD3"/>
    <w:rsid w:val="00590AD4"/>
    <w:rsid w:val="00590C07"/>
    <w:rsid w:val="00590EDC"/>
    <w:rsid w:val="00590FF8"/>
    <w:rsid w:val="00591419"/>
    <w:rsid w:val="005915B6"/>
    <w:rsid w:val="00592484"/>
    <w:rsid w:val="00592540"/>
    <w:rsid w:val="00592C1E"/>
    <w:rsid w:val="00592D5A"/>
    <w:rsid w:val="0059342B"/>
    <w:rsid w:val="00593594"/>
    <w:rsid w:val="0059387B"/>
    <w:rsid w:val="005942B3"/>
    <w:rsid w:val="00594462"/>
    <w:rsid w:val="005951B1"/>
    <w:rsid w:val="0059548D"/>
    <w:rsid w:val="00595B27"/>
    <w:rsid w:val="0059610B"/>
    <w:rsid w:val="00596701"/>
    <w:rsid w:val="005967E0"/>
    <w:rsid w:val="005969AB"/>
    <w:rsid w:val="00596DE9"/>
    <w:rsid w:val="00597202"/>
    <w:rsid w:val="005972B5"/>
    <w:rsid w:val="0059743C"/>
    <w:rsid w:val="005975C1"/>
    <w:rsid w:val="0059768B"/>
    <w:rsid w:val="005976DF"/>
    <w:rsid w:val="005A002A"/>
    <w:rsid w:val="005A026D"/>
    <w:rsid w:val="005A02C6"/>
    <w:rsid w:val="005A0CB7"/>
    <w:rsid w:val="005A113B"/>
    <w:rsid w:val="005A15DB"/>
    <w:rsid w:val="005A1B55"/>
    <w:rsid w:val="005A2954"/>
    <w:rsid w:val="005A2AE7"/>
    <w:rsid w:val="005A2D31"/>
    <w:rsid w:val="005A30EC"/>
    <w:rsid w:val="005A312D"/>
    <w:rsid w:val="005A32A2"/>
    <w:rsid w:val="005A3475"/>
    <w:rsid w:val="005A3638"/>
    <w:rsid w:val="005A39CF"/>
    <w:rsid w:val="005A4FBB"/>
    <w:rsid w:val="005A5166"/>
    <w:rsid w:val="005A528C"/>
    <w:rsid w:val="005A5568"/>
    <w:rsid w:val="005A597D"/>
    <w:rsid w:val="005A67C5"/>
    <w:rsid w:val="005A6CAE"/>
    <w:rsid w:val="005A7016"/>
    <w:rsid w:val="005A7A10"/>
    <w:rsid w:val="005A7E09"/>
    <w:rsid w:val="005B04E8"/>
    <w:rsid w:val="005B0CB6"/>
    <w:rsid w:val="005B101A"/>
    <w:rsid w:val="005B1546"/>
    <w:rsid w:val="005B1A26"/>
    <w:rsid w:val="005B1C9A"/>
    <w:rsid w:val="005B25A8"/>
    <w:rsid w:val="005B27FF"/>
    <w:rsid w:val="005B295D"/>
    <w:rsid w:val="005B29EC"/>
    <w:rsid w:val="005B29FE"/>
    <w:rsid w:val="005B35BE"/>
    <w:rsid w:val="005B376C"/>
    <w:rsid w:val="005B39E2"/>
    <w:rsid w:val="005B3EF9"/>
    <w:rsid w:val="005B44BC"/>
    <w:rsid w:val="005B495E"/>
    <w:rsid w:val="005B4D56"/>
    <w:rsid w:val="005B4F50"/>
    <w:rsid w:val="005B5099"/>
    <w:rsid w:val="005B5306"/>
    <w:rsid w:val="005B5980"/>
    <w:rsid w:val="005B600F"/>
    <w:rsid w:val="005B6192"/>
    <w:rsid w:val="005B658B"/>
    <w:rsid w:val="005B660E"/>
    <w:rsid w:val="005B6810"/>
    <w:rsid w:val="005B7000"/>
    <w:rsid w:val="005B734F"/>
    <w:rsid w:val="005C024E"/>
    <w:rsid w:val="005C04C3"/>
    <w:rsid w:val="005C0D10"/>
    <w:rsid w:val="005C1738"/>
    <w:rsid w:val="005C1F65"/>
    <w:rsid w:val="005C22D7"/>
    <w:rsid w:val="005C2DCB"/>
    <w:rsid w:val="005C3201"/>
    <w:rsid w:val="005C38E5"/>
    <w:rsid w:val="005C39F6"/>
    <w:rsid w:val="005C3A84"/>
    <w:rsid w:val="005C3DB7"/>
    <w:rsid w:val="005C3F4D"/>
    <w:rsid w:val="005C458C"/>
    <w:rsid w:val="005C45E2"/>
    <w:rsid w:val="005C474E"/>
    <w:rsid w:val="005C4F80"/>
    <w:rsid w:val="005C4FBD"/>
    <w:rsid w:val="005C52D5"/>
    <w:rsid w:val="005C5759"/>
    <w:rsid w:val="005C5CDF"/>
    <w:rsid w:val="005C5FC1"/>
    <w:rsid w:val="005C62BB"/>
    <w:rsid w:val="005C6371"/>
    <w:rsid w:val="005C64F3"/>
    <w:rsid w:val="005C6588"/>
    <w:rsid w:val="005C6DBC"/>
    <w:rsid w:val="005C6FF2"/>
    <w:rsid w:val="005C7032"/>
    <w:rsid w:val="005C72C4"/>
    <w:rsid w:val="005C7A96"/>
    <w:rsid w:val="005D0005"/>
    <w:rsid w:val="005D032C"/>
    <w:rsid w:val="005D0756"/>
    <w:rsid w:val="005D120C"/>
    <w:rsid w:val="005D139E"/>
    <w:rsid w:val="005D13A0"/>
    <w:rsid w:val="005D19EA"/>
    <w:rsid w:val="005D1AC6"/>
    <w:rsid w:val="005D1EF1"/>
    <w:rsid w:val="005D2143"/>
    <w:rsid w:val="005D2262"/>
    <w:rsid w:val="005D2732"/>
    <w:rsid w:val="005D29C8"/>
    <w:rsid w:val="005D2AEE"/>
    <w:rsid w:val="005D2B17"/>
    <w:rsid w:val="005D3053"/>
    <w:rsid w:val="005D346D"/>
    <w:rsid w:val="005D4193"/>
    <w:rsid w:val="005D45F0"/>
    <w:rsid w:val="005D4CFF"/>
    <w:rsid w:val="005D52DD"/>
    <w:rsid w:val="005D5616"/>
    <w:rsid w:val="005D5EE2"/>
    <w:rsid w:val="005D6479"/>
    <w:rsid w:val="005D69FC"/>
    <w:rsid w:val="005D7391"/>
    <w:rsid w:val="005D75CD"/>
    <w:rsid w:val="005D7EE5"/>
    <w:rsid w:val="005D7FC7"/>
    <w:rsid w:val="005E0810"/>
    <w:rsid w:val="005E0B4C"/>
    <w:rsid w:val="005E1265"/>
    <w:rsid w:val="005E1782"/>
    <w:rsid w:val="005E185D"/>
    <w:rsid w:val="005E1BFD"/>
    <w:rsid w:val="005E1D81"/>
    <w:rsid w:val="005E1DDB"/>
    <w:rsid w:val="005E2079"/>
    <w:rsid w:val="005E2507"/>
    <w:rsid w:val="005E32A5"/>
    <w:rsid w:val="005E3454"/>
    <w:rsid w:val="005E3CB1"/>
    <w:rsid w:val="005E3ED8"/>
    <w:rsid w:val="005E3F10"/>
    <w:rsid w:val="005E3FFD"/>
    <w:rsid w:val="005E4378"/>
    <w:rsid w:val="005E4927"/>
    <w:rsid w:val="005E49C0"/>
    <w:rsid w:val="005E4C15"/>
    <w:rsid w:val="005E4E28"/>
    <w:rsid w:val="005E4E90"/>
    <w:rsid w:val="005E55EA"/>
    <w:rsid w:val="005E58A3"/>
    <w:rsid w:val="005E63E3"/>
    <w:rsid w:val="005E7126"/>
    <w:rsid w:val="005E743B"/>
    <w:rsid w:val="005E785C"/>
    <w:rsid w:val="005F0030"/>
    <w:rsid w:val="005F00D5"/>
    <w:rsid w:val="005F0358"/>
    <w:rsid w:val="005F0431"/>
    <w:rsid w:val="005F048A"/>
    <w:rsid w:val="005F0F0E"/>
    <w:rsid w:val="005F17E4"/>
    <w:rsid w:val="005F1802"/>
    <w:rsid w:val="005F1DF2"/>
    <w:rsid w:val="005F227B"/>
    <w:rsid w:val="005F2950"/>
    <w:rsid w:val="005F2C9B"/>
    <w:rsid w:val="005F34F3"/>
    <w:rsid w:val="005F371C"/>
    <w:rsid w:val="005F3781"/>
    <w:rsid w:val="005F39AA"/>
    <w:rsid w:val="005F39D1"/>
    <w:rsid w:val="005F3D92"/>
    <w:rsid w:val="005F464A"/>
    <w:rsid w:val="005F46D4"/>
    <w:rsid w:val="005F4CB7"/>
    <w:rsid w:val="005F4D77"/>
    <w:rsid w:val="005F4DD5"/>
    <w:rsid w:val="005F5095"/>
    <w:rsid w:val="005F5166"/>
    <w:rsid w:val="005F5509"/>
    <w:rsid w:val="005F60DA"/>
    <w:rsid w:val="005F6AB2"/>
    <w:rsid w:val="005F6C36"/>
    <w:rsid w:val="005F71EE"/>
    <w:rsid w:val="005F74DC"/>
    <w:rsid w:val="006001C0"/>
    <w:rsid w:val="00600341"/>
    <w:rsid w:val="0060109F"/>
    <w:rsid w:val="006015C4"/>
    <w:rsid w:val="00602109"/>
    <w:rsid w:val="0060237C"/>
    <w:rsid w:val="00602840"/>
    <w:rsid w:val="00602F35"/>
    <w:rsid w:val="00602F97"/>
    <w:rsid w:val="006037DD"/>
    <w:rsid w:val="00603C6F"/>
    <w:rsid w:val="00603D68"/>
    <w:rsid w:val="00604564"/>
    <w:rsid w:val="006048FE"/>
    <w:rsid w:val="00604D29"/>
    <w:rsid w:val="00604E62"/>
    <w:rsid w:val="00604E6E"/>
    <w:rsid w:val="006052F0"/>
    <w:rsid w:val="00605497"/>
    <w:rsid w:val="0060574D"/>
    <w:rsid w:val="00606128"/>
    <w:rsid w:val="0060669B"/>
    <w:rsid w:val="00606B78"/>
    <w:rsid w:val="00606C3C"/>
    <w:rsid w:val="00606E90"/>
    <w:rsid w:val="006076A8"/>
    <w:rsid w:val="0060781B"/>
    <w:rsid w:val="006109F5"/>
    <w:rsid w:val="006115AC"/>
    <w:rsid w:val="006117FD"/>
    <w:rsid w:val="00611E6D"/>
    <w:rsid w:val="00612193"/>
    <w:rsid w:val="0061252D"/>
    <w:rsid w:val="006127DD"/>
    <w:rsid w:val="00612C06"/>
    <w:rsid w:val="00612E5C"/>
    <w:rsid w:val="00613000"/>
    <w:rsid w:val="006131B6"/>
    <w:rsid w:val="0061331D"/>
    <w:rsid w:val="00613920"/>
    <w:rsid w:val="00613D69"/>
    <w:rsid w:val="00614236"/>
    <w:rsid w:val="006143BB"/>
    <w:rsid w:val="0061449A"/>
    <w:rsid w:val="00614545"/>
    <w:rsid w:val="006147FA"/>
    <w:rsid w:val="00614C60"/>
    <w:rsid w:val="00614D77"/>
    <w:rsid w:val="00614F48"/>
    <w:rsid w:val="00615880"/>
    <w:rsid w:val="006159DD"/>
    <w:rsid w:val="00615CAF"/>
    <w:rsid w:val="00615D6A"/>
    <w:rsid w:val="00615E0F"/>
    <w:rsid w:val="0061617C"/>
    <w:rsid w:val="00616C35"/>
    <w:rsid w:val="006175D1"/>
    <w:rsid w:val="006175E9"/>
    <w:rsid w:val="006179F4"/>
    <w:rsid w:val="00617B2B"/>
    <w:rsid w:val="006200DA"/>
    <w:rsid w:val="006205A0"/>
    <w:rsid w:val="006218E7"/>
    <w:rsid w:val="00621C9F"/>
    <w:rsid w:val="00622F41"/>
    <w:rsid w:val="006231FD"/>
    <w:rsid w:val="0062340C"/>
    <w:rsid w:val="00623512"/>
    <w:rsid w:val="006239EF"/>
    <w:rsid w:val="00623D2C"/>
    <w:rsid w:val="00623DC0"/>
    <w:rsid w:val="00624400"/>
    <w:rsid w:val="00624449"/>
    <w:rsid w:val="00624611"/>
    <w:rsid w:val="00624AD6"/>
    <w:rsid w:val="00624C50"/>
    <w:rsid w:val="00624D5D"/>
    <w:rsid w:val="006257D1"/>
    <w:rsid w:val="006258FD"/>
    <w:rsid w:val="00625BC2"/>
    <w:rsid w:val="00626488"/>
    <w:rsid w:val="0062658E"/>
    <w:rsid w:val="00626A7D"/>
    <w:rsid w:val="00626B3D"/>
    <w:rsid w:val="00626E47"/>
    <w:rsid w:val="00627E76"/>
    <w:rsid w:val="00627FCD"/>
    <w:rsid w:val="00630130"/>
    <w:rsid w:val="00630184"/>
    <w:rsid w:val="0063020D"/>
    <w:rsid w:val="006302C8"/>
    <w:rsid w:val="00630408"/>
    <w:rsid w:val="006304CF"/>
    <w:rsid w:val="006313C5"/>
    <w:rsid w:val="0063160F"/>
    <w:rsid w:val="00631C83"/>
    <w:rsid w:val="00631E0A"/>
    <w:rsid w:val="0063224B"/>
    <w:rsid w:val="00632334"/>
    <w:rsid w:val="006325BB"/>
    <w:rsid w:val="00632A7C"/>
    <w:rsid w:val="00632DC1"/>
    <w:rsid w:val="00632DE0"/>
    <w:rsid w:val="00633517"/>
    <w:rsid w:val="0063364F"/>
    <w:rsid w:val="0063365C"/>
    <w:rsid w:val="00633808"/>
    <w:rsid w:val="00633AF3"/>
    <w:rsid w:val="00634362"/>
    <w:rsid w:val="00634DF9"/>
    <w:rsid w:val="00634EBF"/>
    <w:rsid w:val="00635029"/>
    <w:rsid w:val="0063513A"/>
    <w:rsid w:val="0063540A"/>
    <w:rsid w:val="0063567B"/>
    <w:rsid w:val="00635744"/>
    <w:rsid w:val="00635CB3"/>
    <w:rsid w:val="00635E4A"/>
    <w:rsid w:val="00635F54"/>
    <w:rsid w:val="006360FA"/>
    <w:rsid w:val="0063670A"/>
    <w:rsid w:val="00637BED"/>
    <w:rsid w:val="00640BB7"/>
    <w:rsid w:val="00640D42"/>
    <w:rsid w:val="00641968"/>
    <w:rsid w:val="006419F9"/>
    <w:rsid w:val="00641B7C"/>
    <w:rsid w:val="00641CD8"/>
    <w:rsid w:val="00642167"/>
    <w:rsid w:val="006426B4"/>
    <w:rsid w:val="00642C10"/>
    <w:rsid w:val="00642DA2"/>
    <w:rsid w:val="00642EB7"/>
    <w:rsid w:val="00642F81"/>
    <w:rsid w:val="006430C1"/>
    <w:rsid w:val="00643EEF"/>
    <w:rsid w:val="006441CD"/>
    <w:rsid w:val="00644448"/>
    <w:rsid w:val="00644654"/>
    <w:rsid w:val="0064496D"/>
    <w:rsid w:val="00645B37"/>
    <w:rsid w:val="006461AF"/>
    <w:rsid w:val="0064688D"/>
    <w:rsid w:val="00647942"/>
    <w:rsid w:val="00650255"/>
    <w:rsid w:val="006509E2"/>
    <w:rsid w:val="00650B22"/>
    <w:rsid w:val="00650C2E"/>
    <w:rsid w:val="00650CBD"/>
    <w:rsid w:val="00651853"/>
    <w:rsid w:val="00651B17"/>
    <w:rsid w:val="00651C68"/>
    <w:rsid w:val="00652135"/>
    <w:rsid w:val="00652392"/>
    <w:rsid w:val="00652943"/>
    <w:rsid w:val="00652B9B"/>
    <w:rsid w:val="00652C31"/>
    <w:rsid w:val="00652DF9"/>
    <w:rsid w:val="00653730"/>
    <w:rsid w:val="0065435B"/>
    <w:rsid w:val="006546C7"/>
    <w:rsid w:val="0065525A"/>
    <w:rsid w:val="00655F75"/>
    <w:rsid w:val="00656136"/>
    <w:rsid w:val="006562E4"/>
    <w:rsid w:val="00656BEA"/>
    <w:rsid w:val="006571CF"/>
    <w:rsid w:val="00657837"/>
    <w:rsid w:val="00657AF9"/>
    <w:rsid w:val="00657B71"/>
    <w:rsid w:val="006602C9"/>
    <w:rsid w:val="006606C5"/>
    <w:rsid w:val="006608DB"/>
    <w:rsid w:val="00660F41"/>
    <w:rsid w:val="00661330"/>
    <w:rsid w:val="006613D5"/>
    <w:rsid w:val="0066150B"/>
    <w:rsid w:val="0066185B"/>
    <w:rsid w:val="00661BAE"/>
    <w:rsid w:val="006623B9"/>
    <w:rsid w:val="0066262E"/>
    <w:rsid w:val="0066271A"/>
    <w:rsid w:val="00662C9B"/>
    <w:rsid w:val="00662DB9"/>
    <w:rsid w:val="00662DF7"/>
    <w:rsid w:val="00662FEC"/>
    <w:rsid w:val="006631C9"/>
    <w:rsid w:val="006637EA"/>
    <w:rsid w:val="0066391A"/>
    <w:rsid w:val="00663B7D"/>
    <w:rsid w:val="00663FD3"/>
    <w:rsid w:val="006647A2"/>
    <w:rsid w:val="0066482E"/>
    <w:rsid w:val="00664C6B"/>
    <w:rsid w:val="006654A4"/>
    <w:rsid w:val="0066559A"/>
    <w:rsid w:val="00665E83"/>
    <w:rsid w:val="00665F09"/>
    <w:rsid w:val="00666012"/>
    <w:rsid w:val="00666233"/>
    <w:rsid w:val="00666470"/>
    <w:rsid w:val="00666FA3"/>
    <w:rsid w:val="006674F8"/>
    <w:rsid w:val="0066758D"/>
    <w:rsid w:val="00667777"/>
    <w:rsid w:val="00667829"/>
    <w:rsid w:val="00667941"/>
    <w:rsid w:val="00667BA3"/>
    <w:rsid w:val="00667D24"/>
    <w:rsid w:val="00667F98"/>
    <w:rsid w:val="00670429"/>
    <w:rsid w:val="00670902"/>
    <w:rsid w:val="00670F4A"/>
    <w:rsid w:val="006713F1"/>
    <w:rsid w:val="006715A5"/>
    <w:rsid w:val="00671613"/>
    <w:rsid w:val="00671D68"/>
    <w:rsid w:val="00671FF7"/>
    <w:rsid w:val="00672062"/>
    <w:rsid w:val="006721C0"/>
    <w:rsid w:val="00672C3F"/>
    <w:rsid w:val="00673481"/>
    <w:rsid w:val="006734DC"/>
    <w:rsid w:val="00673A20"/>
    <w:rsid w:val="00673C92"/>
    <w:rsid w:val="00673D8A"/>
    <w:rsid w:val="00674441"/>
    <w:rsid w:val="0067447B"/>
    <w:rsid w:val="0067514F"/>
    <w:rsid w:val="006757C8"/>
    <w:rsid w:val="00675980"/>
    <w:rsid w:val="00675A61"/>
    <w:rsid w:val="00675D82"/>
    <w:rsid w:val="00675E39"/>
    <w:rsid w:val="00675F73"/>
    <w:rsid w:val="006766AD"/>
    <w:rsid w:val="00676DAE"/>
    <w:rsid w:val="0068042D"/>
    <w:rsid w:val="0068046D"/>
    <w:rsid w:val="006805EB"/>
    <w:rsid w:val="006807D4"/>
    <w:rsid w:val="00680DF0"/>
    <w:rsid w:val="00681226"/>
    <w:rsid w:val="006814C5"/>
    <w:rsid w:val="006816E1"/>
    <w:rsid w:val="006817A2"/>
    <w:rsid w:val="00681B44"/>
    <w:rsid w:val="00682462"/>
    <w:rsid w:val="00682468"/>
    <w:rsid w:val="00682A1A"/>
    <w:rsid w:val="00682E2F"/>
    <w:rsid w:val="00683007"/>
    <w:rsid w:val="0068315E"/>
    <w:rsid w:val="00683662"/>
    <w:rsid w:val="00683A75"/>
    <w:rsid w:val="00683D31"/>
    <w:rsid w:val="00684741"/>
    <w:rsid w:val="0068556B"/>
    <w:rsid w:val="006856F2"/>
    <w:rsid w:val="00685AD3"/>
    <w:rsid w:val="00685AF3"/>
    <w:rsid w:val="00685AFB"/>
    <w:rsid w:val="00685F3E"/>
    <w:rsid w:val="0068687E"/>
    <w:rsid w:val="00686B8F"/>
    <w:rsid w:val="00686F22"/>
    <w:rsid w:val="00686F3B"/>
    <w:rsid w:val="00687578"/>
    <w:rsid w:val="006878F5"/>
    <w:rsid w:val="00687E8F"/>
    <w:rsid w:val="00687F4D"/>
    <w:rsid w:val="00690C59"/>
    <w:rsid w:val="00691B82"/>
    <w:rsid w:val="00691CF5"/>
    <w:rsid w:val="00691DAC"/>
    <w:rsid w:val="0069249A"/>
    <w:rsid w:val="0069296F"/>
    <w:rsid w:val="00692AF1"/>
    <w:rsid w:val="00692E45"/>
    <w:rsid w:val="0069306B"/>
    <w:rsid w:val="0069340D"/>
    <w:rsid w:val="00693B1C"/>
    <w:rsid w:val="006942A9"/>
    <w:rsid w:val="00694C0D"/>
    <w:rsid w:val="00694ED8"/>
    <w:rsid w:val="006952FF"/>
    <w:rsid w:val="006954CC"/>
    <w:rsid w:val="00695CA6"/>
    <w:rsid w:val="00696259"/>
    <w:rsid w:val="00696353"/>
    <w:rsid w:val="00696639"/>
    <w:rsid w:val="006969A0"/>
    <w:rsid w:val="00696BC5"/>
    <w:rsid w:val="00696C31"/>
    <w:rsid w:val="00696DB9"/>
    <w:rsid w:val="00696EDC"/>
    <w:rsid w:val="0069749D"/>
    <w:rsid w:val="00697887"/>
    <w:rsid w:val="006A0060"/>
    <w:rsid w:val="006A027D"/>
    <w:rsid w:val="006A03D5"/>
    <w:rsid w:val="006A04B6"/>
    <w:rsid w:val="006A0B24"/>
    <w:rsid w:val="006A14A6"/>
    <w:rsid w:val="006A1A2C"/>
    <w:rsid w:val="006A1CCB"/>
    <w:rsid w:val="006A1DFE"/>
    <w:rsid w:val="006A2737"/>
    <w:rsid w:val="006A2937"/>
    <w:rsid w:val="006A2BA0"/>
    <w:rsid w:val="006A3B51"/>
    <w:rsid w:val="006A4E2B"/>
    <w:rsid w:val="006A4E80"/>
    <w:rsid w:val="006A5009"/>
    <w:rsid w:val="006A6167"/>
    <w:rsid w:val="006A61C5"/>
    <w:rsid w:val="006A65F7"/>
    <w:rsid w:val="006A6803"/>
    <w:rsid w:val="006A6B72"/>
    <w:rsid w:val="006A7690"/>
    <w:rsid w:val="006B0670"/>
    <w:rsid w:val="006B0731"/>
    <w:rsid w:val="006B079F"/>
    <w:rsid w:val="006B097F"/>
    <w:rsid w:val="006B0AD2"/>
    <w:rsid w:val="006B0CAC"/>
    <w:rsid w:val="006B0F8A"/>
    <w:rsid w:val="006B1A95"/>
    <w:rsid w:val="006B1C0C"/>
    <w:rsid w:val="006B23E5"/>
    <w:rsid w:val="006B2EF7"/>
    <w:rsid w:val="006B30C6"/>
    <w:rsid w:val="006B30EC"/>
    <w:rsid w:val="006B329A"/>
    <w:rsid w:val="006B3A73"/>
    <w:rsid w:val="006B444D"/>
    <w:rsid w:val="006B5117"/>
    <w:rsid w:val="006B54FF"/>
    <w:rsid w:val="006B5C75"/>
    <w:rsid w:val="006B5E26"/>
    <w:rsid w:val="006B644D"/>
    <w:rsid w:val="006B66BB"/>
    <w:rsid w:val="006B6A90"/>
    <w:rsid w:val="006B6BB7"/>
    <w:rsid w:val="006B6FAA"/>
    <w:rsid w:val="006B70CE"/>
    <w:rsid w:val="006B7235"/>
    <w:rsid w:val="006B74A8"/>
    <w:rsid w:val="006B75C1"/>
    <w:rsid w:val="006B781A"/>
    <w:rsid w:val="006B7C9D"/>
    <w:rsid w:val="006C01E4"/>
    <w:rsid w:val="006C07C3"/>
    <w:rsid w:val="006C0CB5"/>
    <w:rsid w:val="006C121C"/>
    <w:rsid w:val="006C1800"/>
    <w:rsid w:val="006C187A"/>
    <w:rsid w:val="006C2502"/>
    <w:rsid w:val="006C2F44"/>
    <w:rsid w:val="006C3267"/>
    <w:rsid w:val="006C33DA"/>
    <w:rsid w:val="006C3B04"/>
    <w:rsid w:val="006C4706"/>
    <w:rsid w:val="006C49D5"/>
    <w:rsid w:val="006C557E"/>
    <w:rsid w:val="006C58B4"/>
    <w:rsid w:val="006C58E4"/>
    <w:rsid w:val="006C5FD1"/>
    <w:rsid w:val="006C6D10"/>
    <w:rsid w:val="006C6F44"/>
    <w:rsid w:val="006C70BD"/>
    <w:rsid w:val="006C795D"/>
    <w:rsid w:val="006C7C49"/>
    <w:rsid w:val="006D0394"/>
    <w:rsid w:val="006D04E5"/>
    <w:rsid w:val="006D0DE5"/>
    <w:rsid w:val="006D0E15"/>
    <w:rsid w:val="006D10BF"/>
    <w:rsid w:val="006D1311"/>
    <w:rsid w:val="006D152E"/>
    <w:rsid w:val="006D1BD1"/>
    <w:rsid w:val="006D280E"/>
    <w:rsid w:val="006D2E2C"/>
    <w:rsid w:val="006D374A"/>
    <w:rsid w:val="006D3B0F"/>
    <w:rsid w:val="006D3D72"/>
    <w:rsid w:val="006D402D"/>
    <w:rsid w:val="006D4505"/>
    <w:rsid w:val="006D4DB5"/>
    <w:rsid w:val="006D5142"/>
    <w:rsid w:val="006D566C"/>
    <w:rsid w:val="006D5721"/>
    <w:rsid w:val="006D5B5C"/>
    <w:rsid w:val="006D6056"/>
    <w:rsid w:val="006D6576"/>
    <w:rsid w:val="006D6973"/>
    <w:rsid w:val="006D7103"/>
    <w:rsid w:val="006D7ACF"/>
    <w:rsid w:val="006D7BA7"/>
    <w:rsid w:val="006D7C64"/>
    <w:rsid w:val="006D7F14"/>
    <w:rsid w:val="006D7F85"/>
    <w:rsid w:val="006E00C1"/>
    <w:rsid w:val="006E0151"/>
    <w:rsid w:val="006E0699"/>
    <w:rsid w:val="006E0C9D"/>
    <w:rsid w:val="006E1287"/>
    <w:rsid w:val="006E151E"/>
    <w:rsid w:val="006E17CD"/>
    <w:rsid w:val="006E1C65"/>
    <w:rsid w:val="006E1E26"/>
    <w:rsid w:val="006E2004"/>
    <w:rsid w:val="006E288B"/>
    <w:rsid w:val="006E29AA"/>
    <w:rsid w:val="006E3032"/>
    <w:rsid w:val="006E390A"/>
    <w:rsid w:val="006E4493"/>
    <w:rsid w:val="006E4872"/>
    <w:rsid w:val="006E4D26"/>
    <w:rsid w:val="006E56F2"/>
    <w:rsid w:val="006E57E1"/>
    <w:rsid w:val="006E5820"/>
    <w:rsid w:val="006E5882"/>
    <w:rsid w:val="006E5D0B"/>
    <w:rsid w:val="006E60E4"/>
    <w:rsid w:val="006E643E"/>
    <w:rsid w:val="006E6972"/>
    <w:rsid w:val="006E6DC0"/>
    <w:rsid w:val="006E7088"/>
    <w:rsid w:val="006E765F"/>
    <w:rsid w:val="006E7BB3"/>
    <w:rsid w:val="006F0349"/>
    <w:rsid w:val="006F15EE"/>
    <w:rsid w:val="006F19B4"/>
    <w:rsid w:val="006F1B6A"/>
    <w:rsid w:val="006F1CCA"/>
    <w:rsid w:val="006F2823"/>
    <w:rsid w:val="006F2BB4"/>
    <w:rsid w:val="006F2EE0"/>
    <w:rsid w:val="006F3D36"/>
    <w:rsid w:val="006F3EEC"/>
    <w:rsid w:val="006F453A"/>
    <w:rsid w:val="006F4C0B"/>
    <w:rsid w:val="006F5295"/>
    <w:rsid w:val="006F56EE"/>
    <w:rsid w:val="006F593A"/>
    <w:rsid w:val="006F5D29"/>
    <w:rsid w:val="006F5FC0"/>
    <w:rsid w:val="006F61E3"/>
    <w:rsid w:val="006F653A"/>
    <w:rsid w:val="006F6609"/>
    <w:rsid w:val="006F6A13"/>
    <w:rsid w:val="006F7335"/>
    <w:rsid w:val="006F760B"/>
    <w:rsid w:val="006F7DBB"/>
    <w:rsid w:val="006F7E3F"/>
    <w:rsid w:val="006F7E52"/>
    <w:rsid w:val="007005B8"/>
    <w:rsid w:val="007005CE"/>
    <w:rsid w:val="007009C9"/>
    <w:rsid w:val="00700E2D"/>
    <w:rsid w:val="00700E3C"/>
    <w:rsid w:val="00701191"/>
    <w:rsid w:val="00701879"/>
    <w:rsid w:val="00702230"/>
    <w:rsid w:val="00702248"/>
    <w:rsid w:val="0070228E"/>
    <w:rsid w:val="00702D17"/>
    <w:rsid w:val="00702DDF"/>
    <w:rsid w:val="00702EFE"/>
    <w:rsid w:val="0070329E"/>
    <w:rsid w:val="00703D18"/>
    <w:rsid w:val="00703F72"/>
    <w:rsid w:val="0070445D"/>
    <w:rsid w:val="007044F3"/>
    <w:rsid w:val="00704919"/>
    <w:rsid w:val="00704C32"/>
    <w:rsid w:val="00704D81"/>
    <w:rsid w:val="0070549A"/>
    <w:rsid w:val="007064AB"/>
    <w:rsid w:val="007068EC"/>
    <w:rsid w:val="00706AD2"/>
    <w:rsid w:val="00706F21"/>
    <w:rsid w:val="00707168"/>
    <w:rsid w:val="0070763B"/>
    <w:rsid w:val="007105F6"/>
    <w:rsid w:val="007108EC"/>
    <w:rsid w:val="00710CC6"/>
    <w:rsid w:val="00711588"/>
    <w:rsid w:val="0071190F"/>
    <w:rsid w:val="007119F7"/>
    <w:rsid w:val="00711CCC"/>
    <w:rsid w:val="00711ECD"/>
    <w:rsid w:val="0071223F"/>
    <w:rsid w:val="00712591"/>
    <w:rsid w:val="0071279E"/>
    <w:rsid w:val="007129E4"/>
    <w:rsid w:val="00712F11"/>
    <w:rsid w:val="007130BD"/>
    <w:rsid w:val="00713389"/>
    <w:rsid w:val="0071370B"/>
    <w:rsid w:val="0071388A"/>
    <w:rsid w:val="0071390F"/>
    <w:rsid w:val="007147BA"/>
    <w:rsid w:val="00714A21"/>
    <w:rsid w:val="00714D65"/>
    <w:rsid w:val="00715171"/>
    <w:rsid w:val="00716079"/>
    <w:rsid w:val="00716091"/>
    <w:rsid w:val="007161AB"/>
    <w:rsid w:val="007164BD"/>
    <w:rsid w:val="007167D7"/>
    <w:rsid w:val="00717765"/>
    <w:rsid w:val="00717ADB"/>
    <w:rsid w:val="00717B4D"/>
    <w:rsid w:val="00717CFE"/>
    <w:rsid w:val="00720070"/>
    <w:rsid w:val="007208A3"/>
    <w:rsid w:val="00720B4A"/>
    <w:rsid w:val="00720ED4"/>
    <w:rsid w:val="00721061"/>
    <w:rsid w:val="00721DA4"/>
    <w:rsid w:val="00721EC7"/>
    <w:rsid w:val="00722596"/>
    <w:rsid w:val="00722BB6"/>
    <w:rsid w:val="00723134"/>
    <w:rsid w:val="007234A9"/>
    <w:rsid w:val="00723627"/>
    <w:rsid w:val="00723746"/>
    <w:rsid w:val="00723801"/>
    <w:rsid w:val="00723869"/>
    <w:rsid w:val="0072395C"/>
    <w:rsid w:val="00723A89"/>
    <w:rsid w:val="00724393"/>
    <w:rsid w:val="007243EF"/>
    <w:rsid w:val="00724523"/>
    <w:rsid w:val="007248FE"/>
    <w:rsid w:val="00724F71"/>
    <w:rsid w:val="007257BA"/>
    <w:rsid w:val="00725A71"/>
    <w:rsid w:val="0072689A"/>
    <w:rsid w:val="00726D4F"/>
    <w:rsid w:val="0072736C"/>
    <w:rsid w:val="00727939"/>
    <w:rsid w:val="007279FC"/>
    <w:rsid w:val="00727D54"/>
    <w:rsid w:val="00730C01"/>
    <w:rsid w:val="00730C9E"/>
    <w:rsid w:val="00731590"/>
    <w:rsid w:val="0073180B"/>
    <w:rsid w:val="00731D64"/>
    <w:rsid w:val="00732489"/>
    <w:rsid w:val="0073323B"/>
    <w:rsid w:val="00733595"/>
    <w:rsid w:val="00733851"/>
    <w:rsid w:val="007339ED"/>
    <w:rsid w:val="007349D8"/>
    <w:rsid w:val="00734C22"/>
    <w:rsid w:val="0073511A"/>
    <w:rsid w:val="007356F4"/>
    <w:rsid w:val="00735835"/>
    <w:rsid w:val="00735C61"/>
    <w:rsid w:val="007361AA"/>
    <w:rsid w:val="0073620E"/>
    <w:rsid w:val="0073643F"/>
    <w:rsid w:val="007368C9"/>
    <w:rsid w:val="00737CD2"/>
    <w:rsid w:val="00740263"/>
    <w:rsid w:val="007406CC"/>
    <w:rsid w:val="007415BE"/>
    <w:rsid w:val="00741E85"/>
    <w:rsid w:val="00741E9C"/>
    <w:rsid w:val="00741F16"/>
    <w:rsid w:val="00742157"/>
    <w:rsid w:val="0074236A"/>
    <w:rsid w:val="0074255B"/>
    <w:rsid w:val="007429D6"/>
    <w:rsid w:val="00743149"/>
    <w:rsid w:val="00743274"/>
    <w:rsid w:val="00743E59"/>
    <w:rsid w:val="007440FC"/>
    <w:rsid w:val="007447CB"/>
    <w:rsid w:val="007456AC"/>
    <w:rsid w:val="00745AFF"/>
    <w:rsid w:val="007463D5"/>
    <w:rsid w:val="007466B6"/>
    <w:rsid w:val="0074692C"/>
    <w:rsid w:val="00746AB1"/>
    <w:rsid w:val="007471FB"/>
    <w:rsid w:val="0074742E"/>
    <w:rsid w:val="00747707"/>
    <w:rsid w:val="0075031D"/>
    <w:rsid w:val="007505D0"/>
    <w:rsid w:val="00750DD8"/>
    <w:rsid w:val="00751AC7"/>
    <w:rsid w:val="00751B93"/>
    <w:rsid w:val="00751ED6"/>
    <w:rsid w:val="007520BE"/>
    <w:rsid w:val="00752FCA"/>
    <w:rsid w:val="00753215"/>
    <w:rsid w:val="007532E2"/>
    <w:rsid w:val="007535E1"/>
    <w:rsid w:val="007536B2"/>
    <w:rsid w:val="00753BA3"/>
    <w:rsid w:val="007541DD"/>
    <w:rsid w:val="0075420A"/>
    <w:rsid w:val="00754F4E"/>
    <w:rsid w:val="007556CE"/>
    <w:rsid w:val="007557C1"/>
    <w:rsid w:val="0075588B"/>
    <w:rsid w:val="007559AB"/>
    <w:rsid w:val="00755F43"/>
    <w:rsid w:val="00756280"/>
    <w:rsid w:val="007564AA"/>
    <w:rsid w:val="00756903"/>
    <w:rsid w:val="00756942"/>
    <w:rsid w:val="00756A93"/>
    <w:rsid w:val="00757433"/>
    <w:rsid w:val="00757622"/>
    <w:rsid w:val="00757BAD"/>
    <w:rsid w:val="00757BE3"/>
    <w:rsid w:val="007605CD"/>
    <w:rsid w:val="00760781"/>
    <w:rsid w:val="00760922"/>
    <w:rsid w:val="007609E0"/>
    <w:rsid w:val="00760B25"/>
    <w:rsid w:val="00761AD1"/>
    <w:rsid w:val="00761CDE"/>
    <w:rsid w:val="0076221C"/>
    <w:rsid w:val="0076242C"/>
    <w:rsid w:val="00762916"/>
    <w:rsid w:val="00762C05"/>
    <w:rsid w:val="007636DC"/>
    <w:rsid w:val="00763BCC"/>
    <w:rsid w:val="0076435D"/>
    <w:rsid w:val="00764A2A"/>
    <w:rsid w:val="00764EF3"/>
    <w:rsid w:val="00764F08"/>
    <w:rsid w:val="0076500C"/>
    <w:rsid w:val="00765316"/>
    <w:rsid w:val="00765512"/>
    <w:rsid w:val="0076552C"/>
    <w:rsid w:val="007659BA"/>
    <w:rsid w:val="00765B5B"/>
    <w:rsid w:val="00765FB9"/>
    <w:rsid w:val="007661F3"/>
    <w:rsid w:val="00766216"/>
    <w:rsid w:val="00766F4E"/>
    <w:rsid w:val="00766FB1"/>
    <w:rsid w:val="007676DC"/>
    <w:rsid w:val="00767AE4"/>
    <w:rsid w:val="007700BA"/>
    <w:rsid w:val="0077078A"/>
    <w:rsid w:val="007708FB"/>
    <w:rsid w:val="00770A92"/>
    <w:rsid w:val="00770FC3"/>
    <w:rsid w:val="00771670"/>
    <w:rsid w:val="0077257F"/>
    <w:rsid w:val="007730AD"/>
    <w:rsid w:val="0077329C"/>
    <w:rsid w:val="0077429F"/>
    <w:rsid w:val="00774675"/>
    <w:rsid w:val="00774B06"/>
    <w:rsid w:val="00774CBF"/>
    <w:rsid w:val="00774DB0"/>
    <w:rsid w:val="00774E8C"/>
    <w:rsid w:val="007756C7"/>
    <w:rsid w:val="00776809"/>
    <w:rsid w:val="00776985"/>
    <w:rsid w:val="00776D2D"/>
    <w:rsid w:val="00776FB0"/>
    <w:rsid w:val="00780DE3"/>
    <w:rsid w:val="0078180A"/>
    <w:rsid w:val="0078199F"/>
    <w:rsid w:val="00781A5F"/>
    <w:rsid w:val="00781DCF"/>
    <w:rsid w:val="00782078"/>
    <w:rsid w:val="00782083"/>
    <w:rsid w:val="00782C6E"/>
    <w:rsid w:val="007832AA"/>
    <w:rsid w:val="0078353F"/>
    <w:rsid w:val="00783901"/>
    <w:rsid w:val="00783FF8"/>
    <w:rsid w:val="007840B1"/>
    <w:rsid w:val="007846B2"/>
    <w:rsid w:val="00784A69"/>
    <w:rsid w:val="007851E0"/>
    <w:rsid w:val="0078548A"/>
    <w:rsid w:val="00786AAF"/>
    <w:rsid w:val="007879CE"/>
    <w:rsid w:val="00790239"/>
    <w:rsid w:val="007902B0"/>
    <w:rsid w:val="0079100F"/>
    <w:rsid w:val="007918A0"/>
    <w:rsid w:val="007919FA"/>
    <w:rsid w:val="00791EA2"/>
    <w:rsid w:val="00793186"/>
    <w:rsid w:val="0079333F"/>
    <w:rsid w:val="00793502"/>
    <w:rsid w:val="00794438"/>
    <w:rsid w:val="00794520"/>
    <w:rsid w:val="007947A4"/>
    <w:rsid w:val="00794B6F"/>
    <w:rsid w:val="00794DC5"/>
    <w:rsid w:val="00794EE4"/>
    <w:rsid w:val="007954EF"/>
    <w:rsid w:val="00796F07"/>
    <w:rsid w:val="0079724F"/>
    <w:rsid w:val="0079738C"/>
    <w:rsid w:val="0079769D"/>
    <w:rsid w:val="00797CD4"/>
    <w:rsid w:val="007A0483"/>
    <w:rsid w:val="007A09DC"/>
    <w:rsid w:val="007A0B2E"/>
    <w:rsid w:val="007A11A0"/>
    <w:rsid w:val="007A134F"/>
    <w:rsid w:val="007A1937"/>
    <w:rsid w:val="007A1EBA"/>
    <w:rsid w:val="007A1EFC"/>
    <w:rsid w:val="007A2061"/>
    <w:rsid w:val="007A3451"/>
    <w:rsid w:val="007A4712"/>
    <w:rsid w:val="007A566D"/>
    <w:rsid w:val="007A5743"/>
    <w:rsid w:val="007A6162"/>
    <w:rsid w:val="007A66E8"/>
    <w:rsid w:val="007A67F2"/>
    <w:rsid w:val="007A6BA2"/>
    <w:rsid w:val="007A758F"/>
    <w:rsid w:val="007A7A31"/>
    <w:rsid w:val="007A7D65"/>
    <w:rsid w:val="007A7E7D"/>
    <w:rsid w:val="007B0430"/>
    <w:rsid w:val="007B0524"/>
    <w:rsid w:val="007B0BF6"/>
    <w:rsid w:val="007B14C4"/>
    <w:rsid w:val="007B160F"/>
    <w:rsid w:val="007B18B4"/>
    <w:rsid w:val="007B1C56"/>
    <w:rsid w:val="007B1ED0"/>
    <w:rsid w:val="007B1F86"/>
    <w:rsid w:val="007B323C"/>
    <w:rsid w:val="007B3A3A"/>
    <w:rsid w:val="007B3C3B"/>
    <w:rsid w:val="007B3FB2"/>
    <w:rsid w:val="007B3FDB"/>
    <w:rsid w:val="007B4265"/>
    <w:rsid w:val="007B437A"/>
    <w:rsid w:val="007B45EB"/>
    <w:rsid w:val="007B47BA"/>
    <w:rsid w:val="007B47D4"/>
    <w:rsid w:val="007B54A6"/>
    <w:rsid w:val="007B56CD"/>
    <w:rsid w:val="007B57D4"/>
    <w:rsid w:val="007B587D"/>
    <w:rsid w:val="007B5ADD"/>
    <w:rsid w:val="007B5BB7"/>
    <w:rsid w:val="007B5BCA"/>
    <w:rsid w:val="007B5DE2"/>
    <w:rsid w:val="007B5FA0"/>
    <w:rsid w:val="007B6869"/>
    <w:rsid w:val="007B686F"/>
    <w:rsid w:val="007B6ABC"/>
    <w:rsid w:val="007B7264"/>
    <w:rsid w:val="007B74EB"/>
    <w:rsid w:val="007B77A8"/>
    <w:rsid w:val="007B7D07"/>
    <w:rsid w:val="007C001A"/>
    <w:rsid w:val="007C11CA"/>
    <w:rsid w:val="007C159E"/>
    <w:rsid w:val="007C1B1B"/>
    <w:rsid w:val="007C1DF9"/>
    <w:rsid w:val="007C2A73"/>
    <w:rsid w:val="007C2BC2"/>
    <w:rsid w:val="007C2F8F"/>
    <w:rsid w:val="007C306C"/>
    <w:rsid w:val="007C30A7"/>
    <w:rsid w:val="007C332B"/>
    <w:rsid w:val="007C3C95"/>
    <w:rsid w:val="007C44B8"/>
    <w:rsid w:val="007C4F9C"/>
    <w:rsid w:val="007C51CC"/>
    <w:rsid w:val="007C548E"/>
    <w:rsid w:val="007C568A"/>
    <w:rsid w:val="007C6148"/>
    <w:rsid w:val="007C622C"/>
    <w:rsid w:val="007C6A16"/>
    <w:rsid w:val="007C6A22"/>
    <w:rsid w:val="007C6B42"/>
    <w:rsid w:val="007C785B"/>
    <w:rsid w:val="007C7EE4"/>
    <w:rsid w:val="007C7F14"/>
    <w:rsid w:val="007D02E6"/>
    <w:rsid w:val="007D03AB"/>
    <w:rsid w:val="007D063A"/>
    <w:rsid w:val="007D0676"/>
    <w:rsid w:val="007D06D4"/>
    <w:rsid w:val="007D1112"/>
    <w:rsid w:val="007D1AEB"/>
    <w:rsid w:val="007D1EE0"/>
    <w:rsid w:val="007D2A76"/>
    <w:rsid w:val="007D3209"/>
    <w:rsid w:val="007D3725"/>
    <w:rsid w:val="007D37CC"/>
    <w:rsid w:val="007D4081"/>
    <w:rsid w:val="007D4BCF"/>
    <w:rsid w:val="007D4D28"/>
    <w:rsid w:val="007D6B4E"/>
    <w:rsid w:val="007D7817"/>
    <w:rsid w:val="007E0CE3"/>
    <w:rsid w:val="007E0D4D"/>
    <w:rsid w:val="007E15CD"/>
    <w:rsid w:val="007E21B9"/>
    <w:rsid w:val="007E23BA"/>
    <w:rsid w:val="007E2491"/>
    <w:rsid w:val="007E287D"/>
    <w:rsid w:val="007E311A"/>
    <w:rsid w:val="007E3679"/>
    <w:rsid w:val="007E372F"/>
    <w:rsid w:val="007E3EBE"/>
    <w:rsid w:val="007E466B"/>
    <w:rsid w:val="007E53F5"/>
    <w:rsid w:val="007E545B"/>
    <w:rsid w:val="007E576A"/>
    <w:rsid w:val="007E57A0"/>
    <w:rsid w:val="007E6236"/>
    <w:rsid w:val="007E6AB4"/>
    <w:rsid w:val="007E6D7B"/>
    <w:rsid w:val="007E72F5"/>
    <w:rsid w:val="007E76FE"/>
    <w:rsid w:val="007F08EB"/>
    <w:rsid w:val="007F09D1"/>
    <w:rsid w:val="007F1BAA"/>
    <w:rsid w:val="007F24AA"/>
    <w:rsid w:val="007F25A5"/>
    <w:rsid w:val="007F2D8F"/>
    <w:rsid w:val="007F2E5B"/>
    <w:rsid w:val="007F3158"/>
    <w:rsid w:val="007F3473"/>
    <w:rsid w:val="007F4950"/>
    <w:rsid w:val="007F4FBF"/>
    <w:rsid w:val="007F517E"/>
    <w:rsid w:val="007F5304"/>
    <w:rsid w:val="007F5789"/>
    <w:rsid w:val="007F5C33"/>
    <w:rsid w:val="007F5CAC"/>
    <w:rsid w:val="007F644F"/>
    <w:rsid w:val="007F669C"/>
    <w:rsid w:val="007F6B25"/>
    <w:rsid w:val="007F6D1E"/>
    <w:rsid w:val="007F770B"/>
    <w:rsid w:val="0080018D"/>
    <w:rsid w:val="00800B96"/>
    <w:rsid w:val="00800C48"/>
    <w:rsid w:val="00800D66"/>
    <w:rsid w:val="00800FC3"/>
    <w:rsid w:val="00801032"/>
    <w:rsid w:val="00801365"/>
    <w:rsid w:val="008013FC"/>
    <w:rsid w:val="008018FF"/>
    <w:rsid w:val="008019B7"/>
    <w:rsid w:val="00801B3D"/>
    <w:rsid w:val="00801C91"/>
    <w:rsid w:val="00801D17"/>
    <w:rsid w:val="00801D2F"/>
    <w:rsid w:val="00801E30"/>
    <w:rsid w:val="00802077"/>
    <w:rsid w:val="008020FF"/>
    <w:rsid w:val="00802AD9"/>
    <w:rsid w:val="00802C03"/>
    <w:rsid w:val="008033D1"/>
    <w:rsid w:val="00803492"/>
    <w:rsid w:val="008034C7"/>
    <w:rsid w:val="00803657"/>
    <w:rsid w:val="008036BA"/>
    <w:rsid w:val="008039B9"/>
    <w:rsid w:val="00803F2D"/>
    <w:rsid w:val="008043E4"/>
    <w:rsid w:val="008044FD"/>
    <w:rsid w:val="00804520"/>
    <w:rsid w:val="00805D2B"/>
    <w:rsid w:val="0080620E"/>
    <w:rsid w:val="00806C32"/>
    <w:rsid w:val="00807011"/>
    <w:rsid w:val="008075CE"/>
    <w:rsid w:val="00807D27"/>
    <w:rsid w:val="00807DBA"/>
    <w:rsid w:val="00810258"/>
    <w:rsid w:val="0081035D"/>
    <w:rsid w:val="00810360"/>
    <w:rsid w:val="00810512"/>
    <w:rsid w:val="00810905"/>
    <w:rsid w:val="00810AB6"/>
    <w:rsid w:val="00810B53"/>
    <w:rsid w:val="00811F1C"/>
    <w:rsid w:val="0081232F"/>
    <w:rsid w:val="00812DF9"/>
    <w:rsid w:val="00812E1C"/>
    <w:rsid w:val="0081325D"/>
    <w:rsid w:val="0081326B"/>
    <w:rsid w:val="00814622"/>
    <w:rsid w:val="0081491E"/>
    <w:rsid w:val="00815101"/>
    <w:rsid w:val="008152C2"/>
    <w:rsid w:val="008159F0"/>
    <w:rsid w:val="00815BD1"/>
    <w:rsid w:val="00815D84"/>
    <w:rsid w:val="00815FE9"/>
    <w:rsid w:val="00816A3A"/>
    <w:rsid w:val="00816C2F"/>
    <w:rsid w:val="00816F6D"/>
    <w:rsid w:val="008170D6"/>
    <w:rsid w:val="008173D7"/>
    <w:rsid w:val="00817AEB"/>
    <w:rsid w:val="00817C08"/>
    <w:rsid w:val="00817DB2"/>
    <w:rsid w:val="00820030"/>
    <w:rsid w:val="00820A11"/>
    <w:rsid w:val="00821517"/>
    <w:rsid w:val="008219FF"/>
    <w:rsid w:val="00821A25"/>
    <w:rsid w:val="00821C1A"/>
    <w:rsid w:val="0082314A"/>
    <w:rsid w:val="00823482"/>
    <w:rsid w:val="0082383D"/>
    <w:rsid w:val="008238CD"/>
    <w:rsid w:val="00823E28"/>
    <w:rsid w:val="00824339"/>
    <w:rsid w:val="00824594"/>
    <w:rsid w:val="00824DBE"/>
    <w:rsid w:val="00825253"/>
    <w:rsid w:val="00825834"/>
    <w:rsid w:val="0082646D"/>
    <w:rsid w:val="0082669C"/>
    <w:rsid w:val="00826740"/>
    <w:rsid w:val="00826922"/>
    <w:rsid w:val="00826BF9"/>
    <w:rsid w:val="00826C0C"/>
    <w:rsid w:val="00826D6B"/>
    <w:rsid w:val="008271EC"/>
    <w:rsid w:val="00827D7D"/>
    <w:rsid w:val="00827F42"/>
    <w:rsid w:val="008300B2"/>
    <w:rsid w:val="00830D0D"/>
    <w:rsid w:val="0083100A"/>
    <w:rsid w:val="0083119D"/>
    <w:rsid w:val="00832224"/>
    <w:rsid w:val="0083255C"/>
    <w:rsid w:val="00832918"/>
    <w:rsid w:val="00832A32"/>
    <w:rsid w:val="00832BA9"/>
    <w:rsid w:val="00832E64"/>
    <w:rsid w:val="00832EA8"/>
    <w:rsid w:val="008331E8"/>
    <w:rsid w:val="0083378A"/>
    <w:rsid w:val="008338C6"/>
    <w:rsid w:val="00833BB4"/>
    <w:rsid w:val="0083401A"/>
    <w:rsid w:val="008349EB"/>
    <w:rsid w:val="00834BAB"/>
    <w:rsid w:val="00834E3C"/>
    <w:rsid w:val="00834FB4"/>
    <w:rsid w:val="008350D2"/>
    <w:rsid w:val="00835210"/>
    <w:rsid w:val="008358FD"/>
    <w:rsid w:val="00835A85"/>
    <w:rsid w:val="00835AB1"/>
    <w:rsid w:val="00835FD0"/>
    <w:rsid w:val="00835FE8"/>
    <w:rsid w:val="008361C4"/>
    <w:rsid w:val="0083649E"/>
    <w:rsid w:val="008368E1"/>
    <w:rsid w:val="0083691E"/>
    <w:rsid w:val="00837444"/>
    <w:rsid w:val="008375FC"/>
    <w:rsid w:val="00837C79"/>
    <w:rsid w:val="0084060B"/>
    <w:rsid w:val="00841470"/>
    <w:rsid w:val="00842006"/>
    <w:rsid w:val="00842375"/>
    <w:rsid w:val="00842632"/>
    <w:rsid w:val="0084264F"/>
    <w:rsid w:val="00842876"/>
    <w:rsid w:val="00843020"/>
    <w:rsid w:val="00843301"/>
    <w:rsid w:val="00843980"/>
    <w:rsid w:val="00843BA4"/>
    <w:rsid w:val="00843DD1"/>
    <w:rsid w:val="00843ECC"/>
    <w:rsid w:val="00844887"/>
    <w:rsid w:val="00844CA1"/>
    <w:rsid w:val="00844F79"/>
    <w:rsid w:val="0084588A"/>
    <w:rsid w:val="0084599D"/>
    <w:rsid w:val="00845BE5"/>
    <w:rsid w:val="00845C0E"/>
    <w:rsid w:val="00845CF0"/>
    <w:rsid w:val="00845D42"/>
    <w:rsid w:val="00845FEA"/>
    <w:rsid w:val="00846120"/>
    <w:rsid w:val="00846F01"/>
    <w:rsid w:val="00847709"/>
    <w:rsid w:val="00847735"/>
    <w:rsid w:val="00847825"/>
    <w:rsid w:val="00850370"/>
    <w:rsid w:val="00850D08"/>
    <w:rsid w:val="00850F49"/>
    <w:rsid w:val="00850FFA"/>
    <w:rsid w:val="00851176"/>
    <w:rsid w:val="008513F2"/>
    <w:rsid w:val="008515AD"/>
    <w:rsid w:val="00851894"/>
    <w:rsid w:val="00851B0F"/>
    <w:rsid w:val="00852438"/>
    <w:rsid w:val="00853923"/>
    <w:rsid w:val="0085498A"/>
    <w:rsid w:val="00855215"/>
    <w:rsid w:val="00855711"/>
    <w:rsid w:val="008559AB"/>
    <w:rsid w:val="00855CEB"/>
    <w:rsid w:val="008562D1"/>
    <w:rsid w:val="0085704B"/>
    <w:rsid w:val="00857071"/>
    <w:rsid w:val="0085711E"/>
    <w:rsid w:val="0085726B"/>
    <w:rsid w:val="008572C8"/>
    <w:rsid w:val="00857918"/>
    <w:rsid w:val="00857968"/>
    <w:rsid w:val="00857B7B"/>
    <w:rsid w:val="00860354"/>
    <w:rsid w:val="00860E39"/>
    <w:rsid w:val="008612F9"/>
    <w:rsid w:val="00861FB8"/>
    <w:rsid w:val="008631A6"/>
    <w:rsid w:val="0086337E"/>
    <w:rsid w:val="0086354B"/>
    <w:rsid w:val="0086385C"/>
    <w:rsid w:val="00863A72"/>
    <w:rsid w:val="00864092"/>
    <w:rsid w:val="008641D0"/>
    <w:rsid w:val="008642A0"/>
    <w:rsid w:val="008642C0"/>
    <w:rsid w:val="00864660"/>
    <w:rsid w:val="008647D5"/>
    <w:rsid w:val="0086498E"/>
    <w:rsid w:val="008649BD"/>
    <w:rsid w:val="00864DCF"/>
    <w:rsid w:val="0086520C"/>
    <w:rsid w:val="00865408"/>
    <w:rsid w:val="00865804"/>
    <w:rsid w:val="00865897"/>
    <w:rsid w:val="008658FC"/>
    <w:rsid w:val="00866038"/>
    <w:rsid w:val="008669F3"/>
    <w:rsid w:val="0086755B"/>
    <w:rsid w:val="008675D8"/>
    <w:rsid w:val="00867BC2"/>
    <w:rsid w:val="00870121"/>
    <w:rsid w:val="008706B8"/>
    <w:rsid w:val="00870800"/>
    <w:rsid w:val="00870BA8"/>
    <w:rsid w:val="00870CD8"/>
    <w:rsid w:val="0087109A"/>
    <w:rsid w:val="0087139D"/>
    <w:rsid w:val="00871E8F"/>
    <w:rsid w:val="00871E9C"/>
    <w:rsid w:val="00871FC1"/>
    <w:rsid w:val="0087209F"/>
    <w:rsid w:val="008722CC"/>
    <w:rsid w:val="0087282D"/>
    <w:rsid w:val="008737EB"/>
    <w:rsid w:val="00873B9E"/>
    <w:rsid w:val="00873E60"/>
    <w:rsid w:val="00873FFD"/>
    <w:rsid w:val="00874880"/>
    <w:rsid w:val="00874AB5"/>
    <w:rsid w:val="00874FCD"/>
    <w:rsid w:val="00875175"/>
    <w:rsid w:val="00875619"/>
    <w:rsid w:val="00875F40"/>
    <w:rsid w:val="008761D6"/>
    <w:rsid w:val="00876306"/>
    <w:rsid w:val="0087660B"/>
    <w:rsid w:val="00877259"/>
    <w:rsid w:val="008774BE"/>
    <w:rsid w:val="008778B8"/>
    <w:rsid w:val="00877D10"/>
    <w:rsid w:val="00880243"/>
    <w:rsid w:val="00880771"/>
    <w:rsid w:val="00880812"/>
    <w:rsid w:val="008808CC"/>
    <w:rsid w:val="00880ABC"/>
    <w:rsid w:val="00880BC8"/>
    <w:rsid w:val="00880E54"/>
    <w:rsid w:val="008812C5"/>
    <w:rsid w:val="0088154B"/>
    <w:rsid w:val="00881AD2"/>
    <w:rsid w:val="00882345"/>
    <w:rsid w:val="00882566"/>
    <w:rsid w:val="0088257C"/>
    <w:rsid w:val="00883524"/>
    <w:rsid w:val="008835A2"/>
    <w:rsid w:val="008835DB"/>
    <w:rsid w:val="00884686"/>
    <w:rsid w:val="00884B2C"/>
    <w:rsid w:val="00885537"/>
    <w:rsid w:val="00885637"/>
    <w:rsid w:val="008857C7"/>
    <w:rsid w:val="00885B56"/>
    <w:rsid w:val="00885BA1"/>
    <w:rsid w:val="00885D17"/>
    <w:rsid w:val="0088647A"/>
    <w:rsid w:val="00886B29"/>
    <w:rsid w:val="00886C4D"/>
    <w:rsid w:val="008900F7"/>
    <w:rsid w:val="0089087B"/>
    <w:rsid w:val="00890D3E"/>
    <w:rsid w:val="00891078"/>
    <w:rsid w:val="00891A19"/>
    <w:rsid w:val="00891BE6"/>
    <w:rsid w:val="00891DAF"/>
    <w:rsid w:val="00892239"/>
    <w:rsid w:val="00892D9A"/>
    <w:rsid w:val="00892EC1"/>
    <w:rsid w:val="008937F4"/>
    <w:rsid w:val="00893A33"/>
    <w:rsid w:val="00894045"/>
    <w:rsid w:val="008941B0"/>
    <w:rsid w:val="008943BE"/>
    <w:rsid w:val="00894CA2"/>
    <w:rsid w:val="0089591C"/>
    <w:rsid w:val="00895A94"/>
    <w:rsid w:val="00895CB7"/>
    <w:rsid w:val="00895FC9"/>
    <w:rsid w:val="008968C6"/>
    <w:rsid w:val="00897686"/>
    <w:rsid w:val="00897FD9"/>
    <w:rsid w:val="008A020B"/>
    <w:rsid w:val="008A0AF3"/>
    <w:rsid w:val="008A0D02"/>
    <w:rsid w:val="008A0F48"/>
    <w:rsid w:val="008A102C"/>
    <w:rsid w:val="008A16F6"/>
    <w:rsid w:val="008A19AD"/>
    <w:rsid w:val="008A1A4E"/>
    <w:rsid w:val="008A1B20"/>
    <w:rsid w:val="008A1C38"/>
    <w:rsid w:val="008A2A9F"/>
    <w:rsid w:val="008A301C"/>
    <w:rsid w:val="008A3169"/>
    <w:rsid w:val="008A3907"/>
    <w:rsid w:val="008A3A2B"/>
    <w:rsid w:val="008A4643"/>
    <w:rsid w:val="008A4C88"/>
    <w:rsid w:val="008A50FE"/>
    <w:rsid w:val="008A5468"/>
    <w:rsid w:val="008A560B"/>
    <w:rsid w:val="008A57F8"/>
    <w:rsid w:val="008A5B0C"/>
    <w:rsid w:val="008A6218"/>
    <w:rsid w:val="008A65D9"/>
    <w:rsid w:val="008A67F4"/>
    <w:rsid w:val="008A6D58"/>
    <w:rsid w:val="008A6F48"/>
    <w:rsid w:val="008A7109"/>
    <w:rsid w:val="008A743C"/>
    <w:rsid w:val="008A74BE"/>
    <w:rsid w:val="008A795A"/>
    <w:rsid w:val="008A7A70"/>
    <w:rsid w:val="008A7B33"/>
    <w:rsid w:val="008B0329"/>
    <w:rsid w:val="008B0361"/>
    <w:rsid w:val="008B1DF2"/>
    <w:rsid w:val="008B2C25"/>
    <w:rsid w:val="008B31C9"/>
    <w:rsid w:val="008B373E"/>
    <w:rsid w:val="008B37DF"/>
    <w:rsid w:val="008B3C22"/>
    <w:rsid w:val="008B4662"/>
    <w:rsid w:val="008B4F0E"/>
    <w:rsid w:val="008B50D8"/>
    <w:rsid w:val="008B52C3"/>
    <w:rsid w:val="008B5735"/>
    <w:rsid w:val="008B6BB8"/>
    <w:rsid w:val="008B6F63"/>
    <w:rsid w:val="008B780C"/>
    <w:rsid w:val="008B79E4"/>
    <w:rsid w:val="008B7BD3"/>
    <w:rsid w:val="008B7E38"/>
    <w:rsid w:val="008C03A6"/>
    <w:rsid w:val="008C05E9"/>
    <w:rsid w:val="008C10A6"/>
    <w:rsid w:val="008C11C3"/>
    <w:rsid w:val="008C1529"/>
    <w:rsid w:val="008C15FC"/>
    <w:rsid w:val="008C18B1"/>
    <w:rsid w:val="008C1BED"/>
    <w:rsid w:val="008C1E2D"/>
    <w:rsid w:val="008C21CD"/>
    <w:rsid w:val="008C253F"/>
    <w:rsid w:val="008C2E53"/>
    <w:rsid w:val="008C3783"/>
    <w:rsid w:val="008C39F9"/>
    <w:rsid w:val="008C3AA6"/>
    <w:rsid w:val="008C3D33"/>
    <w:rsid w:val="008C3E48"/>
    <w:rsid w:val="008C3E79"/>
    <w:rsid w:val="008C4B69"/>
    <w:rsid w:val="008C4C5C"/>
    <w:rsid w:val="008C5FB3"/>
    <w:rsid w:val="008C697A"/>
    <w:rsid w:val="008C70B3"/>
    <w:rsid w:val="008C7860"/>
    <w:rsid w:val="008C798E"/>
    <w:rsid w:val="008C7E60"/>
    <w:rsid w:val="008D044A"/>
    <w:rsid w:val="008D0DD4"/>
    <w:rsid w:val="008D0E2D"/>
    <w:rsid w:val="008D133E"/>
    <w:rsid w:val="008D1B8D"/>
    <w:rsid w:val="008D21E3"/>
    <w:rsid w:val="008D37EB"/>
    <w:rsid w:val="008D3B53"/>
    <w:rsid w:val="008D3DD9"/>
    <w:rsid w:val="008D46AD"/>
    <w:rsid w:val="008D4F2D"/>
    <w:rsid w:val="008D5032"/>
    <w:rsid w:val="008D51A1"/>
    <w:rsid w:val="008D5314"/>
    <w:rsid w:val="008D5656"/>
    <w:rsid w:val="008D5C4D"/>
    <w:rsid w:val="008D6136"/>
    <w:rsid w:val="008D647E"/>
    <w:rsid w:val="008D684C"/>
    <w:rsid w:val="008D6B58"/>
    <w:rsid w:val="008D73FE"/>
    <w:rsid w:val="008D7613"/>
    <w:rsid w:val="008E0039"/>
    <w:rsid w:val="008E0431"/>
    <w:rsid w:val="008E05EA"/>
    <w:rsid w:val="008E063B"/>
    <w:rsid w:val="008E1154"/>
    <w:rsid w:val="008E1391"/>
    <w:rsid w:val="008E14B6"/>
    <w:rsid w:val="008E22BA"/>
    <w:rsid w:val="008E2A93"/>
    <w:rsid w:val="008E2BEC"/>
    <w:rsid w:val="008E3057"/>
    <w:rsid w:val="008E32FC"/>
    <w:rsid w:val="008E4020"/>
    <w:rsid w:val="008E4618"/>
    <w:rsid w:val="008E4889"/>
    <w:rsid w:val="008E4906"/>
    <w:rsid w:val="008E4A9B"/>
    <w:rsid w:val="008E4E8F"/>
    <w:rsid w:val="008E5105"/>
    <w:rsid w:val="008E511D"/>
    <w:rsid w:val="008E51B2"/>
    <w:rsid w:val="008E53DF"/>
    <w:rsid w:val="008E54BE"/>
    <w:rsid w:val="008E5CE3"/>
    <w:rsid w:val="008E6450"/>
    <w:rsid w:val="008E6C8D"/>
    <w:rsid w:val="008E6CE5"/>
    <w:rsid w:val="008E737E"/>
    <w:rsid w:val="008E744D"/>
    <w:rsid w:val="008E7B3E"/>
    <w:rsid w:val="008E7E73"/>
    <w:rsid w:val="008F0164"/>
    <w:rsid w:val="008F0893"/>
    <w:rsid w:val="008F0D5E"/>
    <w:rsid w:val="008F12D9"/>
    <w:rsid w:val="008F248C"/>
    <w:rsid w:val="008F277C"/>
    <w:rsid w:val="008F2921"/>
    <w:rsid w:val="008F2B15"/>
    <w:rsid w:val="008F2CF4"/>
    <w:rsid w:val="008F2D09"/>
    <w:rsid w:val="008F3998"/>
    <w:rsid w:val="008F3C72"/>
    <w:rsid w:val="008F4342"/>
    <w:rsid w:val="008F454E"/>
    <w:rsid w:val="008F4917"/>
    <w:rsid w:val="008F4C49"/>
    <w:rsid w:val="008F4D58"/>
    <w:rsid w:val="008F529D"/>
    <w:rsid w:val="008F557D"/>
    <w:rsid w:val="008F5609"/>
    <w:rsid w:val="008F5878"/>
    <w:rsid w:val="008F5915"/>
    <w:rsid w:val="008F5AE0"/>
    <w:rsid w:val="008F5D80"/>
    <w:rsid w:val="008F5DDE"/>
    <w:rsid w:val="008F5E25"/>
    <w:rsid w:val="008F61A0"/>
    <w:rsid w:val="008F6462"/>
    <w:rsid w:val="008F6747"/>
    <w:rsid w:val="008F6B05"/>
    <w:rsid w:val="008F716A"/>
    <w:rsid w:val="008F75F7"/>
    <w:rsid w:val="008F78D5"/>
    <w:rsid w:val="009003C5"/>
    <w:rsid w:val="0090047E"/>
    <w:rsid w:val="00900DF7"/>
    <w:rsid w:val="009016D4"/>
    <w:rsid w:val="00901882"/>
    <w:rsid w:val="00901E5B"/>
    <w:rsid w:val="00902478"/>
    <w:rsid w:val="009026C9"/>
    <w:rsid w:val="00902962"/>
    <w:rsid w:val="009029B5"/>
    <w:rsid w:val="00902A03"/>
    <w:rsid w:val="00902CAD"/>
    <w:rsid w:val="009035A9"/>
    <w:rsid w:val="00903D73"/>
    <w:rsid w:val="0090454A"/>
    <w:rsid w:val="00904F69"/>
    <w:rsid w:val="00904FBC"/>
    <w:rsid w:val="00905538"/>
    <w:rsid w:val="00905689"/>
    <w:rsid w:val="00905981"/>
    <w:rsid w:val="00905C04"/>
    <w:rsid w:val="00907546"/>
    <w:rsid w:val="00907AEB"/>
    <w:rsid w:val="00907D76"/>
    <w:rsid w:val="009100B2"/>
    <w:rsid w:val="00910C7B"/>
    <w:rsid w:val="00910E69"/>
    <w:rsid w:val="009112F1"/>
    <w:rsid w:val="0091163B"/>
    <w:rsid w:val="009119A9"/>
    <w:rsid w:val="00911B80"/>
    <w:rsid w:val="00911F25"/>
    <w:rsid w:val="00911FBC"/>
    <w:rsid w:val="0091282D"/>
    <w:rsid w:val="009128F1"/>
    <w:rsid w:val="00912B4A"/>
    <w:rsid w:val="0091318D"/>
    <w:rsid w:val="00913801"/>
    <w:rsid w:val="00913870"/>
    <w:rsid w:val="00913DAD"/>
    <w:rsid w:val="00913E08"/>
    <w:rsid w:val="009144C7"/>
    <w:rsid w:val="00914841"/>
    <w:rsid w:val="00914964"/>
    <w:rsid w:val="00915123"/>
    <w:rsid w:val="009155B4"/>
    <w:rsid w:val="00915C9C"/>
    <w:rsid w:val="00916201"/>
    <w:rsid w:val="009168AD"/>
    <w:rsid w:val="009168AF"/>
    <w:rsid w:val="00916974"/>
    <w:rsid w:val="00916BDA"/>
    <w:rsid w:val="00916C9D"/>
    <w:rsid w:val="0091747A"/>
    <w:rsid w:val="0091757A"/>
    <w:rsid w:val="00917682"/>
    <w:rsid w:val="009179A7"/>
    <w:rsid w:val="00920157"/>
    <w:rsid w:val="00920195"/>
    <w:rsid w:val="0092047A"/>
    <w:rsid w:val="0092049D"/>
    <w:rsid w:val="0092054B"/>
    <w:rsid w:val="00920ABC"/>
    <w:rsid w:val="00921FE6"/>
    <w:rsid w:val="0092229E"/>
    <w:rsid w:val="009223A7"/>
    <w:rsid w:val="00922628"/>
    <w:rsid w:val="0092320A"/>
    <w:rsid w:val="00923617"/>
    <w:rsid w:val="00923762"/>
    <w:rsid w:val="00924661"/>
    <w:rsid w:val="00924AF0"/>
    <w:rsid w:val="00924C5B"/>
    <w:rsid w:val="00925EF8"/>
    <w:rsid w:val="00925EFE"/>
    <w:rsid w:val="00926620"/>
    <w:rsid w:val="00927044"/>
    <w:rsid w:val="00927199"/>
    <w:rsid w:val="009279A0"/>
    <w:rsid w:val="00927D25"/>
    <w:rsid w:val="0093028A"/>
    <w:rsid w:val="0093076E"/>
    <w:rsid w:val="00930828"/>
    <w:rsid w:val="00931370"/>
    <w:rsid w:val="009319BC"/>
    <w:rsid w:val="00931B2D"/>
    <w:rsid w:val="00931B6B"/>
    <w:rsid w:val="00931BC8"/>
    <w:rsid w:val="00931D13"/>
    <w:rsid w:val="00932859"/>
    <w:rsid w:val="00932B83"/>
    <w:rsid w:val="00932EC3"/>
    <w:rsid w:val="009335ED"/>
    <w:rsid w:val="00933601"/>
    <w:rsid w:val="009336EC"/>
    <w:rsid w:val="0093383D"/>
    <w:rsid w:val="00933C59"/>
    <w:rsid w:val="00934470"/>
    <w:rsid w:val="00934A83"/>
    <w:rsid w:val="009352C6"/>
    <w:rsid w:val="0093548A"/>
    <w:rsid w:val="0093569C"/>
    <w:rsid w:val="0093590A"/>
    <w:rsid w:val="00935DD9"/>
    <w:rsid w:val="00935E3D"/>
    <w:rsid w:val="00935F62"/>
    <w:rsid w:val="00935FCC"/>
    <w:rsid w:val="00936113"/>
    <w:rsid w:val="009364AD"/>
    <w:rsid w:val="00936662"/>
    <w:rsid w:val="00936D2E"/>
    <w:rsid w:val="00937A9B"/>
    <w:rsid w:val="00940A81"/>
    <w:rsid w:val="00940CDE"/>
    <w:rsid w:val="00940DE9"/>
    <w:rsid w:val="00941096"/>
    <w:rsid w:val="0094197E"/>
    <w:rsid w:val="00941A25"/>
    <w:rsid w:val="00941A79"/>
    <w:rsid w:val="00941D64"/>
    <w:rsid w:val="009426B7"/>
    <w:rsid w:val="00942B4B"/>
    <w:rsid w:val="00942DA4"/>
    <w:rsid w:val="00942FBF"/>
    <w:rsid w:val="009432AB"/>
    <w:rsid w:val="009432D2"/>
    <w:rsid w:val="009434DB"/>
    <w:rsid w:val="00943B43"/>
    <w:rsid w:val="00943B83"/>
    <w:rsid w:val="00944251"/>
    <w:rsid w:val="009444AD"/>
    <w:rsid w:val="0094450A"/>
    <w:rsid w:val="00944806"/>
    <w:rsid w:val="00944A3E"/>
    <w:rsid w:val="00944D05"/>
    <w:rsid w:val="00944E68"/>
    <w:rsid w:val="00945025"/>
    <w:rsid w:val="0094549E"/>
    <w:rsid w:val="00945728"/>
    <w:rsid w:val="0094588F"/>
    <w:rsid w:val="00945A29"/>
    <w:rsid w:val="00945D9C"/>
    <w:rsid w:val="00947022"/>
    <w:rsid w:val="00947178"/>
    <w:rsid w:val="009471F1"/>
    <w:rsid w:val="0094737B"/>
    <w:rsid w:val="00947BC1"/>
    <w:rsid w:val="00950569"/>
    <w:rsid w:val="00950830"/>
    <w:rsid w:val="00950F82"/>
    <w:rsid w:val="00951089"/>
    <w:rsid w:val="0095115A"/>
    <w:rsid w:val="00951F9E"/>
    <w:rsid w:val="009521F6"/>
    <w:rsid w:val="009524D9"/>
    <w:rsid w:val="009525C8"/>
    <w:rsid w:val="00952C35"/>
    <w:rsid w:val="00952EAD"/>
    <w:rsid w:val="00953157"/>
    <w:rsid w:val="009531B9"/>
    <w:rsid w:val="0095339E"/>
    <w:rsid w:val="009536D8"/>
    <w:rsid w:val="00953CD0"/>
    <w:rsid w:val="00953CDF"/>
    <w:rsid w:val="00954D5B"/>
    <w:rsid w:val="009550CB"/>
    <w:rsid w:val="009554C9"/>
    <w:rsid w:val="00955556"/>
    <w:rsid w:val="00955CCB"/>
    <w:rsid w:val="0095608E"/>
    <w:rsid w:val="0095697B"/>
    <w:rsid w:val="00957359"/>
    <w:rsid w:val="00957E52"/>
    <w:rsid w:val="0096039E"/>
    <w:rsid w:val="009611DF"/>
    <w:rsid w:val="00961487"/>
    <w:rsid w:val="00961982"/>
    <w:rsid w:val="009619F2"/>
    <w:rsid w:val="00962378"/>
    <w:rsid w:val="009626A9"/>
    <w:rsid w:val="009627B4"/>
    <w:rsid w:val="00962DF5"/>
    <w:rsid w:val="00963425"/>
    <w:rsid w:val="00963EF3"/>
    <w:rsid w:val="00964ADF"/>
    <w:rsid w:val="00964B15"/>
    <w:rsid w:val="00964D7E"/>
    <w:rsid w:val="00964E8D"/>
    <w:rsid w:val="009656BE"/>
    <w:rsid w:val="0096577F"/>
    <w:rsid w:val="009665EC"/>
    <w:rsid w:val="009672B4"/>
    <w:rsid w:val="009672DA"/>
    <w:rsid w:val="0096749C"/>
    <w:rsid w:val="00967572"/>
    <w:rsid w:val="00967A67"/>
    <w:rsid w:val="00967A9A"/>
    <w:rsid w:val="0097034A"/>
    <w:rsid w:val="00970CB9"/>
    <w:rsid w:val="00971552"/>
    <w:rsid w:val="0097235B"/>
    <w:rsid w:val="00972A53"/>
    <w:rsid w:val="00972BB4"/>
    <w:rsid w:val="00972C0B"/>
    <w:rsid w:val="00972E2C"/>
    <w:rsid w:val="0097302D"/>
    <w:rsid w:val="00973257"/>
    <w:rsid w:val="00973871"/>
    <w:rsid w:val="00973A01"/>
    <w:rsid w:val="00973BB0"/>
    <w:rsid w:val="00973E64"/>
    <w:rsid w:val="00974427"/>
    <w:rsid w:val="00974494"/>
    <w:rsid w:val="00974554"/>
    <w:rsid w:val="00974633"/>
    <w:rsid w:val="009753E9"/>
    <w:rsid w:val="00975743"/>
    <w:rsid w:val="00975995"/>
    <w:rsid w:val="00976C8C"/>
    <w:rsid w:val="00976FAD"/>
    <w:rsid w:val="0097727B"/>
    <w:rsid w:val="00980218"/>
    <w:rsid w:val="00980222"/>
    <w:rsid w:val="0098032D"/>
    <w:rsid w:val="00980D9F"/>
    <w:rsid w:val="009821E0"/>
    <w:rsid w:val="0098250C"/>
    <w:rsid w:val="00982521"/>
    <w:rsid w:val="009825BE"/>
    <w:rsid w:val="009827F3"/>
    <w:rsid w:val="00982DFA"/>
    <w:rsid w:val="0098343D"/>
    <w:rsid w:val="009834DE"/>
    <w:rsid w:val="00983716"/>
    <w:rsid w:val="00983E46"/>
    <w:rsid w:val="00983E81"/>
    <w:rsid w:val="009848D6"/>
    <w:rsid w:val="009852CA"/>
    <w:rsid w:val="00985449"/>
    <w:rsid w:val="00985A67"/>
    <w:rsid w:val="00985ABD"/>
    <w:rsid w:val="00985E89"/>
    <w:rsid w:val="009869C2"/>
    <w:rsid w:val="00986B78"/>
    <w:rsid w:val="00986C57"/>
    <w:rsid w:val="00986D10"/>
    <w:rsid w:val="0098757A"/>
    <w:rsid w:val="00987A1B"/>
    <w:rsid w:val="00990189"/>
    <w:rsid w:val="009901A2"/>
    <w:rsid w:val="0099032A"/>
    <w:rsid w:val="00990728"/>
    <w:rsid w:val="00991083"/>
    <w:rsid w:val="00991B2C"/>
    <w:rsid w:val="00991F10"/>
    <w:rsid w:val="009921EE"/>
    <w:rsid w:val="0099223A"/>
    <w:rsid w:val="009924CC"/>
    <w:rsid w:val="00992699"/>
    <w:rsid w:val="00993024"/>
    <w:rsid w:val="00993218"/>
    <w:rsid w:val="0099364A"/>
    <w:rsid w:val="00993747"/>
    <w:rsid w:val="00993FE4"/>
    <w:rsid w:val="009947E4"/>
    <w:rsid w:val="00995171"/>
    <w:rsid w:val="0099526E"/>
    <w:rsid w:val="0099542D"/>
    <w:rsid w:val="0099569A"/>
    <w:rsid w:val="00995CBE"/>
    <w:rsid w:val="00995CDE"/>
    <w:rsid w:val="009966ED"/>
    <w:rsid w:val="0099677E"/>
    <w:rsid w:val="00996FB3"/>
    <w:rsid w:val="0099725A"/>
    <w:rsid w:val="0099790B"/>
    <w:rsid w:val="00997A07"/>
    <w:rsid w:val="009A007F"/>
    <w:rsid w:val="009A00BB"/>
    <w:rsid w:val="009A0161"/>
    <w:rsid w:val="009A0289"/>
    <w:rsid w:val="009A02AC"/>
    <w:rsid w:val="009A048B"/>
    <w:rsid w:val="009A069F"/>
    <w:rsid w:val="009A0713"/>
    <w:rsid w:val="009A0FD5"/>
    <w:rsid w:val="009A18AD"/>
    <w:rsid w:val="009A1F85"/>
    <w:rsid w:val="009A2B71"/>
    <w:rsid w:val="009A2F70"/>
    <w:rsid w:val="009A3F4B"/>
    <w:rsid w:val="009A47C6"/>
    <w:rsid w:val="009A4A84"/>
    <w:rsid w:val="009A4ECA"/>
    <w:rsid w:val="009A5B9E"/>
    <w:rsid w:val="009A5FC1"/>
    <w:rsid w:val="009A6248"/>
    <w:rsid w:val="009A6658"/>
    <w:rsid w:val="009A7252"/>
    <w:rsid w:val="009A742B"/>
    <w:rsid w:val="009A7805"/>
    <w:rsid w:val="009A7C64"/>
    <w:rsid w:val="009A7D52"/>
    <w:rsid w:val="009B07EB"/>
    <w:rsid w:val="009B0C79"/>
    <w:rsid w:val="009B1380"/>
    <w:rsid w:val="009B1626"/>
    <w:rsid w:val="009B17CE"/>
    <w:rsid w:val="009B1A0C"/>
    <w:rsid w:val="009B2C50"/>
    <w:rsid w:val="009B354C"/>
    <w:rsid w:val="009B3657"/>
    <w:rsid w:val="009B4195"/>
    <w:rsid w:val="009B47A6"/>
    <w:rsid w:val="009B5E5A"/>
    <w:rsid w:val="009B6467"/>
    <w:rsid w:val="009B6668"/>
    <w:rsid w:val="009B6683"/>
    <w:rsid w:val="009B6859"/>
    <w:rsid w:val="009B691C"/>
    <w:rsid w:val="009B7790"/>
    <w:rsid w:val="009B78D0"/>
    <w:rsid w:val="009B79A0"/>
    <w:rsid w:val="009C026E"/>
    <w:rsid w:val="009C04B0"/>
    <w:rsid w:val="009C0A96"/>
    <w:rsid w:val="009C0C23"/>
    <w:rsid w:val="009C0CE4"/>
    <w:rsid w:val="009C0F4F"/>
    <w:rsid w:val="009C1827"/>
    <w:rsid w:val="009C1DBE"/>
    <w:rsid w:val="009C1EA6"/>
    <w:rsid w:val="009C24E6"/>
    <w:rsid w:val="009C3125"/>
    <w:rsid w:val="009C31AC"/>
    <w:rsid w:val="009C3BCF"/>
    <w:rsid w:val="009C4432"/>
    <w:rsid w:val="009C4575"/>
    <w:rsid w:val="009C494B"/>
    <w:rsid w:val="009C4960"/>
    <w:rsid w:val="009C4A51"/>
    <w:rsid w:val="009C4FBD"/>
    <w:rsid w:val="009C5A21"/>
    <w:rsid w:val="009C6085"/>
    <w:rsid w:val="009C62F5"/>
    <w:rsid w:val="009C68C3"/>
    <w:rsid w:val="009C6CFC"/>
    <w:rsid w:val="009C7977"/>
    <w:rsid w:val="009C7C0E"/>
    <w:rsid w:val="009D0024"/>
    <w:rsid w:val="009D02DF"/>
    <w:rsid w:val="009D06FE"/>
    <w:rsid w:val="009D0BC6"/>
    <w:rsid w:val="009D0BCA"/>
    <w:rsid w:val="009D1641"/>
    <w:rsid w:val="009D1D2A"/>
    <w:rsid w:val="009D1FA5"/>
    <w:rsid w:val="009D20AE"/>
    <w:rsid w:val="009D219D"/>
    <w:rsid w:val="009D35E3"/>
    <w:rsid w:val="009D36F0"/>
    <w:rsid w:val="009D383F"/>
    <w:rsid w:val="009D3A80"/>
    <w:rsid w:val="009D439E"/>
    <w:rsid w:val="009D4676"/>
    <w:rsid w:val="009D46E6"/>
    <w:rsid w:val="009D4CCF"/>
    <w:rsid w:val="009D4E4F"/>
    <w:rsid w:val="009D5303"/>
    <w:rsid w:val="009D5369"/>
    <w:rsid w:val="009D6013"/>
    <w:rsid w:val="009D6150"/>
    <w:rsid w:val="009D69FA"/>
    <w:rsid w:val="009D6E91"/>
    <w:rsid w:val="009D70B1"/>
    <w:rsid w:val="009D73BD"/>
    <w:rsid w:val="009D78D0"/>
    <w:rsid w:val="009D795E"/>
    <w:rsid w:val="009E01CF"/>
    <w:rsid w:val="009E07ED"/>
    <w:rsid w:val="009E0FF5"/>
    <w:rsid w:val="009E15F2"/>
    <w:rsid w:val="009E1BA7"/>
    <w:rsid w:val="009E21ED"/>
    <w:rsid w:val="009E236A"/>
    <w:rsid w:val="009E23E0"/>
    <w:rsid w:val="009E2B34"/>
    <w:rsid w:val="009E2DE8"/>
    <w:rsid w:val="009E3005"/>
    <w:rsid w:val="009E321F"/>
    <w:rsid w:val="009E35BC"/>
    <w:rsid w:val="009E35FA"/>
    <w:rsid w:val="009E3AFE"/>
    <w:rsid w:val="009E3BC9"/>
    <w:rsid w:val="009E42D7"/>
    <w:rsid w:val="009E4C97"/>
    <w:rsid w:val="009E4F30"/>
    <w:rsid w:val="009E5467"/>
    <w:rsid w:val="009E5727"/>
    <w:rsid w:val="009E58DD"/>
    <w:rsid w:val="009E6161"/>
    <w:rsid w:val="009E617A"/>
    <w:rsid w:val="009E732D"/>
    <w:rsid w:val="009F01DD"/>
    <w:rsid w:val="009F04AB"/>
    <w:rsid w:val="009F0644"/>
    <w:rsid w:val="009F08FE"/>
    <w:rsid w:val="009F112C"/>
    <w:rsid w:val="009F17C6"/>
    <w:rsid w:val="009F188A"/>
    <w:rsid w:val="009F2177"/>
    <w:rsid w:val="009F2341"/>
    <w:rsid w:val="009F2909"/>
    <w:rsid w:val="009F2B08"/>
    <w:rsid w:val="009F31D2"/>
    <w:rsid w:val="009F3782"/>
    <w:rsid w:val="009F3B1E"/>
    <w:rsid w:val="009F4306"/>
    <w:rsid w:val="009F4B09"/>
    <w:rsid w:val="009F4C4C"/>
    <w:rsid w:val="009F4FF4"/>
    <w:rsid w:val="009F55B5"/>
    <w:rsid w:val="009F5CE6"/>
    <w:rsid w:val="009F62DE"/>
    <w:rsid w:val="009F67DC"/>
    <w:rsid w:val="009F6A01"/>
    <w:rsid w:val="009F6B39"/>
    <w:rsid w:val="009F7170"/>
    <w:rsid w:val="009F72B2"/>
    <w:rsid w:val="009F76C2"/>
    <w:rsid w:val="009F7A24"/>
    <w:rsid w:val="009F7AEC"/>
    <w:rsid w:val="009F7B56"/>
    <w:rsid w:val="00A00319"/>
    <w:rsid w:val="00A01366"/>
    <w:rsid w:val="00A01F38"/>
    <w:rsid w:val="00A020DB"/>
    <w:rsid w:val="00A0222B"/>
    <w:rsid w:val="00A022DC"/>
    <w:rsid w:val="00A02343"/>
    <w:rsid w:val="00A02C6F"/>
    <w:rsid w:val="00A02DD3"/>
    <w:rsid w:val="00A03AE4"/>
    <w:rsid w:val="00A03E7D"/>
    <w:rsid w:val="00A03F6F"/>
    <w:rsid w:val="00A04915"/>
    <w:rsid w:val="00A049FF"/>
    <w:rsid w:val="00A04C41"/>
    <w:rsid w:val="00A0582D"/>
    <w:rsid w:val="00A05B5C"/>
    <w:rsid w:val="00A05CD0"/>
    <w:rsid w:val="00A05CE5"/>
    <w:rsid w:val="00A05E38"/>
    <w:rsid w:val="00A0640C"/>
    <w:rsid w:val="00A0660B"/>
    <w:rsid w:val="00A066DD"/>
    <w:rsid w:val="00A06C81"/>
    <w:rsid w:val="00A06EB9"/>
    <w:rsid w:val="00A07038"/>
    <w:rsid w:val="00A0721A"/>
    <w:rsid w:val="00A07331"/>
    <w:rsid w:val="00A0744F"/>
    <w:rsid w:val="00A0789F"/>
    <w:rsid w:val="00A079A1"/>
    <w:rsid w:val="00A07BC6"/>
    <w:rsid w:val="00A07F90"/>
    <w:rsid w:val="00A10741"/>
    <w:rsid w:val="00A1151A"/>
    <w:rsid w:val="00A1153C"/>
    <w:rsid w:val="00A11C72"/>
    <w:rsid w:val="00A121A4"/>
    <w:rsid w:val="00A122D6"/>
    <w:rsid w:val="00A125D0"/>
    <w:rsid w:val="00A125ED"/>
    <w:rsid w:val="00A12A03"/>
    <w:rsid w:val="00A12A69"/>
    <w:rsid w:val="00A13233"/>
    <w:rsid w:val="00A1329F"/>
    <w:rsid w:val="00A13662"/>
    <w:rsid w:val="00A14659"/>
    <w:rsid w:val="00A14718"/>
    <w:rsid w:val="00A1476C"/>
    <w:rsid w:val="00A148E3"/>
    <w:rsid w:val="00A14F46"/>
    <w:rsid w:val="00A15BA6"/>
    <w:rsid w:val="00A163BF"/>
    <w:rsid w:val="00A1655D"/>
    <w:rsid w:val="00A16719"/>
    <w:rsid w:val="00A168C0"/>
    <w:rsid w:val="00A178D6"/>
    <w:rsid w:val="00A179C3"/>
    <w:rsid w:val="00A17E77"/>
    <w:rsid w:val="00A2039F"/>
    <w:rsid w:val="00A20504"/>
    <w:rsid w:val="00A2097B"/>
    <w:rsid w:val="00A20A5C"/>
    <w:rsid w:val="00A20B15"/>
    <w:rsid w:val="00A20DFB"/>
    <w:rsid w:val="00A21CA2"/>
    <w:rsid w:val="00A226E5"/>
    <w:rsid w:val="00A22864"/>
    <w:rsid w:val="00A23224"/>
    <w:rsid w:val="00A232BB"/>
    <w:rsid w:val="00A2336E"/>
    <w:rsid w:val="00A2343E"/>
    <w:rsid w:val="00A23873"/>
    <w:rsid w:val="00A23E39"/>
    <w:rsid w:val="00A23F34"/>
    <w:rsid w:val="00A23FB6"/>
    <w:rsid w:val="00A24578"/>
    <w:rsid w:val="00A24A94"/>
    <w:rsid w:val="00A24C64"/>
    <w:rsid w:val="00A24F2A"/>
    <w:rsid w:val="00A25229"/>
    <w:rsid w:val="00A2545F"/>
    <w:rsid w:val="00A25772"/>
    <w:rsid w:val="00A25918"/>
    <w:rsid w:val="00A259DB"/>
    <w:rsid w:val="00A25AFC"/>
    <w:rsid w:val="00A25E0A"/>
    <w:rsid w:val="00A25F63"/>
    <w:rsid w:val="00A26058"/>
    <w:rsid w:val="00A266A0"/>
    <w:rsid w:val="00A26A11"/>
    <w:rsid w:val="00A26BEE"/>
    <w:rsid w:val="00A273D4"/>
    <w:rsid w:val="00A275F7"/>
    <w:rsid w:val="00A279ED"/>
    <w:rsid w:val="00A27EEF"/>
    <w:rsid w:val="00A303D4"/>
    <w:rsid w:val="00A30622"/>
    <w:rsid w:val="00A30B1F"/>
    <w:rsid w:val="00A310DF"/>
    <w:rsid w:val="00A31CD7"/>
    <w:rsid w:val="00A31D4A"/>
    <w:rsid w:val="00A31EF3"/>
    <w:rsid w:val="00A31FF8"/>
    <w:rsid w:val="00A3200A"/>
    <w:rsid w:val="00A3202D"/>
    <w:rsid w:val="00A32A3E"/>
    <w:rsid w:val="00A32F42"/>
    <w:rsid w:val="00A32F58"/>
    <w:rsid w:val="00A33F9C"/>
    <w:rsid w:val="00A34772"/>
    <w:rsid w:val="00A350CF"/>
    <w:rsid w:val="00A35B6C"/>
    <w:rsid w:val="00A36938"/>
    <w:rsid w:val="00A36DB0"/>
    <w:rsid w:val="00A36E7F"/>
    <w:rsid w:val="00A3703A"/>
    <w:rsid w:val="00A371D6"/>
    <w:rsid w:val="00A372E6"/>
    <w:rsid w:val="00A37C60"/>
    <w:rsid w:val="00A40791"/>
    <w:rsid w:val="00A410A2"/>
    <w:rsid w:val="00A4135C"/>
    <w:rsid w:val="00A41B74"/>
    <w:rsid w:val="00A41D5C"/>
    <w:rsid w:val="00A41F2E"/>
    <w:rsid w:val="00A41FD7"/>
    <w:rsid w:val="00A421EF"/>
    <w:rsid w:val="00A42260"/>
    <w:rsid w:val="00A42A8A"/>
    <w:rsid w:val="00A43085"/>
    <w:rsid w:val="00A431E5"/>
    <w:rsid w:val="00A43638"/>
    <w:rsid w:val="00A4454F"/>
    <w:rsid w:val="00A449F9"/>
    <w:rsid w:val="00A44A31"/>
    <w:rsid w:val="00A44A8C"/>
    <w:rsid w:val="00A44B05"/>
    <w:rsid w:val="00A44F4B"/>
    <w:rsid w:val="00A45128"/>
    <w:rsid w:val="00A45541"/>
    <w:rsid w:val="00A45A09"/>
    <w:rsid w:val="00A45C5A"/>
    <w:rsid w:val="00A46B2A"/>
    <w:rsid w:val="00A46B40"/>
    <w:rsid w:val="00A47063"/>
    <w:rsid w:val="00A47B60"/>
    <w:rsid w:val="00A500CF"/>
    <w:rsid w:val="00A50504"/>
    <w:rsid w:val="00A50727"/>
    <w:rsid w:val="00A50C02"/>
    <w:rsid w:val="00A50CA8"/>
    <w:rsid w:val="00A50CEB"/>
    <w:rsid w:val="00A5111B"/>
    <w:rsid w:val="00A5193C"/>
    <w:rsid w:val="00A51CA6"/>
    <w:rsid w:val="00A52496"/>
    <w:rsid w:val="00A52CEC"/>
    <w:rsid w:val="00A52FBA"/>
    <w:rsid w:val="00A532EB"/>
    <w:rsid w:val="00A538DB"/>
    <w:rsid w:val="00A540ED"/>
    <w:rsid w:val="00A5471D"/>
    <w:rsid w:val="00A54861"/>
    <w:rsid w:val="00A54A10"/>
    <w:rsid w:val="00A54B24"/>
    <w:rsid w:val="00A55813"/>
    <w:rsid w:val="00A55DA6"/>
    <w:rsid w:val="00A5675A"/>
    <w:rsid w:val="00A5680A"/>
    <w:rsid w:val="00A57136"/>
    <w:rsid w:val="00A57E17"/>
    <w:rsid w:val="00A60DB8"/>
    <w:rsid w:val="00A60EB6"/>
    <w:rsid w:val="00A6104A"/>
    <w:rsid w:val="00A610F8"/>
    <w:rsid w:val="00A61D46"/>
    <w:rsid w:val="00A6203C"/>
    <w:rsid w:val="00A62335"/>
    <w:rsid w:val="00A624BA"/>
    <w:rsid w:val="00A627B5"/>
    <w:rsid w:val="00A6332D"/>
    <w:rsid w:val="00A648FC"/>
    <w:rsid w:val="00A64A06"/>
    <w:rsid w:val="00A64B6B"/>
    <w:rsid w:val="00A64CF1"/>
    <w:rsid w:val="00A64FFF"/>
    <w:rsid w:val="00A65593"/>
    <w:rsid w:val="00A65C29"/>
    <w:rsid w:val="00A6629E"/>
    <w:rsid w:val="00A664D1"/>
    <w:rsid w:val="00A675CD"/>
    <w:rsid w:val="00A67698"/>
    <w:rsid w:val="00A67883"/>
    <w:rsid w:val="00A67BC9"/>
    <w:rsid w:val="00A67BF3"/>
    <w:rsid w:val="00A67BFF"/>
    <w:rsid w:val="00A7047B"/>
    <w:rsid w:val="00A70580"/>
    <w:rsid w:val="00A70DC2"/>
    <w:rsid w:val="00A71466"/>
    <w:rsid w:val="00A71728"/>
    <w:rsid w:val="00A7201A"/>
    <w:rsid w:val="00A72885"/>
    <w:rsid w:val="00A72E19"/>
    <w:rsid w:val="00A73346"/>
    <w:rsid w:val="00A737AC"/>
    <w:rsid w:val="00A73C47"/>
    <w:rsid w:val="00A74028"/>
    <w:rsid w:val="00A742BA"/>
    <w:rsid w:val="00A7439A"/>
    <w:rsid w:val="00A74467"/>
    <w:rsid w:val="00A749B8"/>
    <w:rsid w:val="00A74A2B"/>
    <w:rsid w:val="00A75053"/>
    <w:rsid w:val="00A754D8"/>
    <w:rsid w:val="00A7583C"/>
    <w:rsid w:val="00A7596E"/>
    <w:rsid w:val="00A75A27"/>
    <w:rsid w:val="00A760CE"/>
    <w:rsid w:val="00A77377"/>
    <w:rsid w:val="00A7739A"/>
    <w:rsid w:val="00A7739F"/>
    <w:rsid w:val="00A776E0"/>
    <w:rsid w:val="00A77750"/>
    <w:rsid w:val="00A77893"/>
    <w:rsid w:val="00A77CDE"/>
    <w:rsid w:val="00A80715"/>
    <w:rsid w:val="00A80AD5"/>
    <w:rsid w:val="00A80D38"/>
    <w:rsid w:val="00A80D8A"/>
    <w:rsid w:val="00A80F09"/>
    <w:rsid w:val="00A811F6"/>
    <w:rsid w:val="00A812D3"/>
    <w:rsid w:val="00A81CB3"/>
    <w:rsid w:val="00A81F6B"/>
    <w:rsid w:val="00A81F81"/>
    <w:rsid w:val="00A82A6C"/>
    <w:rsid w:val="00A82D9F"/>
    <w:rsid w:val="00A832AA"/>
    <w:rsid w:val="00A83581"/>
    <w:rsid w:val="00A836D0"/>
    <w:rsid w:val="00A8371D"/>
    <w:rsid w:val="00A83F0A"/>
    <w:rsid w:val="00A840C0"/>
    <w:rsid w:val="00A845B1"/>
    <w:rsid w:val="00A847AC"/>
    <w:rsid w:val="00A84D41"/>
    <w:rsid w:val="00A84F91"/>
    <w:rsid w:val="00A850DA"/>
    <w:rsid w:val="00A85305"/>
    <w:rsid w:val="00A853E6"/>
    <w:rsid w:val="00A85593"/>
    <w:rsid w:val="00A8594B"/>
    <w:rsid w:val="00A85BD1"/>
    <w:rsid w:val="00A861D3"/>
    <w:rsid w:val="00A8639E"/>
    <w:rsid w:val="00A86483"/>
    <w:rsid w:val="00A8648E"/>
    <w:rsid w:val="00A87110"/>
    <w:rsid w:val="00A87234"/>
    <w:rsid w:val="00A87761"/>
    <w:rsid w:val="00A87E36"/>
    <w:rsid w:val="00A90332"/>
    <w:rsid w:val="00A905F4"/>
    <w:rsid w:val="00A90620"/>
    <w:rsid w:val="00A90E24"/>
    <w:rsid w:val="00A925F2"/>
    <w:rsid w:val="00A9268E"/>
    <w:rsid w:val="00A927CF"/>
    <w:rsid w:val="00A937C7"/>
    <w:rsid w:val="00A93A23"/>
    <w:rsid w:val="00A93AA2"/>
    <w:rsid w:val="00A93CB3"/>
    <w:rsid w:val="00A93E7F"/>
    <w:rsid w:val="00A940B2"/>
    <w:rsid w:val="00A9417F"/>
    <w:rsid w:val="00A94246"/>
    <w:rsid w:val="00A946AD"/>
    <w:rsid w:val="00A94758"/>
    <w:rsid w:val="00A94772"/>
    <w:rsid w:val="00A94CA6"/>
    <w:rsid w:val="00A9501E"/>
    <w:rsid w:val="00A9553C"/>
    <w:rsid w:val="00A95565"/>
    <w:rsid w:val="00A958D3"/>
    <w:rsid w:val="00A95E96"/>
    <w:rsid w:val="00A95E9F"/>
    <w:rsid w:val="00A9619E"/>
    <w:rsid w:val="00A963AB"/>
    <w:rsid w:val="00A9664D"/>
    <w:rsid w:val="00A96759"/>
    <w:rsid w:val="00A969F5"/>
    <w:rsid w:val="00A96C6A"/>
    <w:rsid w:val="00A96EFD"/>
    <w:rsid w:val="00A9712B"/>
    <w:rsid w:val="00A971FE"/>
    <w:rsid w:val="00A97BB4"/>
    <w:rsid w:val="00A97D16"/>
    <w:rsid w:val="00AA02BA"/>
    <w:rsid w:val="00AA068B"/>
    <w:rsid w:val="00AA06F0"/>
    <w:rsid w:val="00AA0B5B"/>
    <w:rsid w:val="00AA102F"/>
    <w:rsid w:val="00AA13A5"/>
    <w:rsid w:val="00AA149D"/>
    <w:rsid w:val="00AA16A5"/>
    <w:rsid w:val="00AA1BE4"/>
    <w:rsid w:val="00AA1C9F"/>
    <w:rsid w:val="00AA2416"/>
    <w:rsid w:val="00AA26F7"/>
    <w:rsid w:val="00AA27EF"/>
    <w:rsid w:val="00AA3341"/>
    <w:rsid w:val="00AA3547"/>
    <w:rsid w:val="00AA3607"/>
    <w:rsid w:val="00AA36E9"/>
    <w:rsid w:val="00AA3847"/>
    <w:rsid w:val="00AA3AEA"/>
    <w:rsid w:val="00AA3C3C"/>
    <w:rsid w:val="00AA3C58"/>
    <w:rsid w:val="00AA4181"/>
    <w:rsid w:val="00AA4592"/>
    <w:rsid w:val="00AA4746"/>
    <w:rsid w:val="00AA4790"/>
    <w:rsid w:val="00AA4DD1"/>
    <w:rsid w:val="00AA5409"/>
    <w:rsid w:val="00AA5B02"/>
    <w:rsid w:val="00AA5C1B"/>
    <w:rsid w:val="00AA703D"/>
    <w:rsid w:val="00AA7473"/>
    <w:rsid w:val="00AA75CF"/>
    <w:rsid w:val="00AB0750"/>
    <w:rsid w:val="00AB087D"/>
    <w:rsid w:val="00AB0CEA"/>
    <w:rsid w:val="00AB10AC"/>
    <w:rsid w:val="00AB1482"/>
    <w:rsid w:val="00AB1E4B"/>
    <w:rsid w:val="00AB1F61"/>
    <w:rsid w:val="00AB2164"/>
    <w:rsid w:val="00AB2245"/>
    <w:rsid w:val="00AB27CB"/>
    <w:rsid w:val="00AB2AC0"/>
    <w:rsid w:val="00AB2B15"/>
    <w:rsid w:val="00AB2F1D"/>
    <w:rsid w:val="00AB39FA"/>
    <w:rsid w:val="00AB3D52"/>
    <w:rsid w:val="00AB3D65"/>
    <w:rsid w:val="00AB3F6F"/>
    <w:rsid w:val="00AB4521"/>
    <w:rsid w:val="00AB52E2"/>
    <w:rsid w:val="00AB5B15"/>
    <w:rsid w:val="00AB5F81"/>
    <w:rsid w:val="00AB6C3C"/>
    <w:rsid w:val="00AB74A1"/>
    <w:rsid w:val="00AB781E"/>
    <w:rsid w:val="00AC1339"/>
    <w:rsid w:val="00AC1559"/>
    <w:rsid w:val="00AC1912"/>
    <w:rsid w:val="00AC1A81"/>
    <w:rsid w:val="00AC21BC"/>
    <w:rsid w:val="00AC287F"/>
    <w:rsid w:val="00AC33BF"/>
    <w:rsid w:val="00AC3CA3"/>
    <w:rsid w:val="00AC3DBD"/>
    <w:rsid w:val="00AC421B"/>
    <w:rsid w:val="00AC4BBD"/>
    <w:rsid w:val="00AC4E7D"/>
    <w:rsid w:val="00AC4FC7"/>
    <w:rsid w:val="00AC5099"/>
    <w:rsid w:val="00AC5C27"/>
    <w:rsid w:val="00AC5D3A"/>
    <w:rsid w:val="00AC5F14"/>
    <w:rsid w:val="00AC623F"/>
    <w:rsid w:val="00AC633B"/>
    <w:rsid w:val="00AC7586"/>
    <w:rsid w:val="00AC77A3"/>
    <w:rsid w:val="00AC77AA"/>
    <w:rsid w:val="00AC7912"/>
    <w:rsid w:val="00AC79B3"/>
    <w:rsid w:val="00AC7E17"/>
    <w:rsid w:val="00AD00AB"/>
    <w:rsid w:val="00AD03EB"/>
    <w:rsid w:val="00AD0C54"/>
    <w:rsid w:val="00AD166B"/>
    <w:rsid w:val="00AD27A4"/>
    <w:rsid w:val="00AD28D2"/>
    <w:rsid w:val="00AD2D3E"/>
    <w:rsid w:val="00AD349E"/>
    <w:rsid w:val="00AD3670"/>
    <w:rsid w:val="00AD3C07"/>
    <w:rsid w:val="00AD3C18"/>
    <w:rsid w:val="00AD3F85"/>
    <w:rsid w:val="00AD4116"/>
    <w:rsid w:val="00AD4320"/>
    <w:rsid w:val="00AD46F9"/>
    <w:rsid w:val="00AD5406"/>
    <w:rsid w:val="00AD570A"/>
    <w:rsid w:val="00AD5A03"/>
    <w:rsid w:val="00AD6757"/>
    <w:rsid w:val="00AD6ACE"/>
    <w:rsid w:val="00AD6CFF"/>
    <w:rsid w:val="00AE015E"/>
    <w:rsid w:val="00AE01A7"/>
    <w:rsid w:val="00AE0797"/>
    <w:rsid w:val="00AE0E3F"/>
    <w:rsid w:val="00AE161C"/>
    <w:rsid w:val="00AE1C70"/>
    <w:rsid w:val="00AE24CD"/>
    <w:rsid w:val="00AE2970"/>
    <w:rsid w:val="00AE2EC7"/>
    <w:rsid w:val="00AE314B"/>
    <w:rsid w:val="00AE3E82"/>
    <w:rsid w:val="00AE4039"/>
    <w:rsid w:val="00AE4914"/>
    <w:rsid w:val="00AE4B05"/>
    <w:rsid w:val="00AE5043"/>
    <w:rsid w:val="00AE53F1"/>
    <w:rsid w:val="00AE5910"/>
    <w:rsid w:val="00AE593F"/>
    <w:rsid w:val="00AE6A0E"/>
    <w:rsid w:val="00AE6FB3"/>
    <w:rsid w:val="00AE70B1"/>
    <w:rsid w:val="00AE71FA"/>
    <w:rsid w:val="00AE7338"/>
    <w:rsid w:val="00AE7830"/>
    <w:rsid w:val="00AE7C25"/>
    <w:rsid w:val="00AF0CCF"/>
    <w:rsid w:val="00AF13CA"/>
    <w:rsid w:val="00AF16DC"/>
    <w:rsid w:val="00AF1C62"/>
    <w:rsid w:val="00AF202B"/>
    <w:rsid w:val="00AF23AE"/>
    <w:rsid w:val="00AF2AEE"/>
    <w:rsid w:val="00AF2E61"/>
    <w:rsid w:val="00AF3126"/>
    <w:rsid w:val="00AF318A"/>
    <w:rsid w:val="00AF31C9"/>
    <w:rsid w:val="00AF36E8"/>
    <w:rsid w:val="00AF3779"/>
    <w:rsid w:val="00AF38CC"/>
    <w:rsid w:val="00AF38D7"/>
    <w:rsid w:val="00AF3E60"/>
    <w:rsid w:val="00AF3F4E"/>
    <w:rsid w:val="00AF4491"/>
    <w:rsid w:val="00AF46E8"/>
    <w:rsid w:val="00AF49BF"/>
    <w:rsid w:val="00AF52B0"/>
    <w:rsid w:val="00AF56D9"/>
    <w:rsid w:val="00AF5A71"/>
    <w:rsid w:val="00AF5D82"/>
    <w:rsid w:val="00AF5EC7"/>
    <w:rsid w:val="00AF651C"/>
    <w:rsid w:val="00AF6A66"/>
    <w:rsid w:val="00AF6F4D"/>
    <w:rsid w:val="00AF778E"/>
    <w:rsid w:val="00AF79FC"/>
    <w:rsid w:val="00AF7C58"/>
    <w:rsid w:val="00AF7FBB"/>
    <w:rsid w:val="00B00D2A"/>
    <w:rsid w:val="00B00EA0"/>
    <w:rsid w:val="00B0128F"/>
    <w:rsid w:val="00B0164B"/>
    <w:rsid w:val="00B0167E"/>
    <w:rsid w:val="00B01836"/>
    <w:rsid w:val="00B01AF2"/>
    <w:rsid w:val="00B01B42"/>
    <w:rsid w:val="00B01E1B"/>
    <w:rsid w:val="00B02841"/>
    <w:rsid w:val="00B03182"/>
    <w:rsid w:val="00B03228"/>
    <w:rsid w:val="00B03DA1"/>
    <w:rsid w:val="00B03F40"/>
    <w:rsid w:val="00B04194"/>
    <w:rsid w:val="00B04215"/>
    <w:rsid w:val="00B04A8E"/>
    <w:rsid w:val="00B05864"/>
    <w:rsid w:val="00B05BC8"/>
    <w:rsid w:val="00B05C45"/>
    <w:rsid w:val="00B0659F"/>
    <w:rsid w:val="00B06998"/>
    <w:rsid w:val="00B06CA7"/>
    <w:rsid w:val="00B07003"/>
    <w:rsid w:val="00B075FE"/>
    <w:rsid w:val="00B07751"/>
    <w:rsid w:val="00B07CFD"/>
    <w:rsid w:val="00B1043F"/>
    <w:rsid w:val="00B1058C"/>
    <w:rsid w:val="00B106A9"/>
    <w:rsid w:val="00B10EC0"/>
    <w:rsid w:val="00B124C6"/>
    <w:rsid w:val="00B126E4"/>
    <w:rsid w:val="00B127A8"/>
    <w:rsid w:val="00B12B50"/>
    <w:rsid w:val="00B13325"/>
    <w:rsid w:val="00B1365A"/>
    <w:rsid w:val="00B1371D"/>
    <w:rsid w:val="00B13AE1"/>
    <w:rsid w:val="00B14A2E"/>
    <w:rsid w:val="00B14D18"/>
    <w:rsid w:val="00B14E0D"/>
    <w:rsid w:val="00B1540E"/>
    <w:rsid w:val="00B1577F"/>
    <w:rsid w:val="00B1585A"/>
    <w:rsid w:val="00B15DD9"/>
    <w:rsid w:val="00B160D7"/>
    <w:rsid w:val="00B161A3"/>
    <w:rsid w:val="00B16A62"/>
    <w:rsid w:val="00B16F4B"/>
    <w:rsid w:val="00B1709D"/>
    <w:rsid w:val="00B175A7"/>
    <w:rsid w:val="00B17900"/>
    <w:rsid w:val="00B20007"/>
    <w:rsid w:val="00B2065F"/>
    <w:rsid w:val="00B20E03"/>
    <w:rsid w:val="00B20ED6"/>
    <w:rsid w:val="00B21019"/>
    <w:rsid w:val="00B21B08"/>
    <w:rsid w:val="00B221AF"/>
    <w:rsid w:val="00B2221C"/>
    <w:rsid w:val="00B2234B"/>
    <w:rsid w:val="00B22767"/>
    <w:rsid w:val="00B2283F"/>
    <w:rsid w:val="00B22CEC"/>
    <w:rsid w:val="00B23361"/>
    <w:rsid w:val="00B238E3"/>
    <w:rsid w:val="00B242EA"/>
    <w:rsid w:val="00B24336"/>
    <w:rsid w:val="00B252E5"/>
    <w:rsid w:val="00B258F9"/>
    <w:rsid w:val="00B25C5A"/>
    <w:rsid w:val="00B25F5C"/>
    <w:rsid w:val="00B25FAD"/>
    <w:rsid w:val="00B2635D"/>
    <w:rsid w:val="00B272F0"/>
    <w:rsid w:val="00B2745F"/>
    <w:rsid w:val="00B278FB"/>
    <w:rsid w:val="00B2799A"/>
    <w:rsid w:val="00B3061A"/>
    <w:rsid w:val="00B30901"/>
    <w:rsid w:val="00B30B5A"/>
    <w:rsid w:val="00B30FD6"/>
    <w:rsid w:val="00B31A6D"/>
    <w:rsid w:val="00B327D4"/>
    <w:rsid w:val="00B32835"/>
    <w:rsid w:val="00B32878"/>
    <w:rsid w:val="00B3295F"/>
    <w:rsid w:val="00B32C9E"/>
    <w:rsid w:val="00B32EB9"/>
    <w:rsid w:val="00B3314F"/>
    <w:rsid w:val="00B33689"/>
    <w:rsid w:val="00B33DAD"/>
    <w:rsid w:val="00B3487A"/>
    <w:rsid w:val="00B34AC2"/>
    <w:rsid w:val="00B35101"/>
    <w:rsid w:val="00B359A1"/>
    <w:rsid w:val="00B35DBB"/>
    <w:rsid w:val="00B36D35"/>
    <w:rsid w:val="00B37EE4"/>
    <w:rsid w:val="00B4010C"/>
    <w:rsid w:val="00B4053B"/>
    <w:rsid w:val="00B41EE5"/>
    <w:rsid w:val="00B42545"/>
    <w:rsid w:val="00B42808"/>
    <w:rsid w:val="00B429E0"/>
    <w:rsid w:val="00B42C93"/>
    <w:rsid w:val="00B43FEA"/>
    <w:rsid w:val="00B44693"/>
    <w:rsid w:val="00B44806"/>
    <w:rsid w:val="00B44B41"/>
    <w:rsid w:val="00B44CED"/>
    <w:rsid w:val="00B44FBE"/>
    <w:rsid w:val="00B45440"/>
    <w:rsid w:val="00B456A4"/>
    <w:rsid w:val="00B45A5A"/>
    <w:rsid w:val="00B46499"/>
    <w:rsid w:val="00B4672E"/>
    <w:rsid w:val="00B46A55"/>
    <w:rsid w:val="00B4700F"/>
    <w:rsid w:val="00B50312"/>
    <w:rsid w:val="00B50543"/>
    <w:rsid w:val="00B5057F"/>
    <w:rsid w:val="00B51666"/>
    <w:rsid w:val="00B51D71"/>
    <w:rsid w:val="00B52BE0"/>
    <w:rsid w:val="00B53290"/>
    <w:rsid w:val="00B535AE"/>
    <w:rsid w:val="00B53B19"/>
    <w:rsid w:val="00B53CED"/>
    <w:rsid w:val="00B53DB7"/>
    <w:rsid w:val="00B547D1"/>
    <w:rsid w:val="00B557E9"/>
    <w:rsid w:val="00B5588C"/>
    <w:rsid w:val="00B574B0"/>
    <w:rsid w:val="00B57833"/>
    <w:rsid w:val="00B57DB5"/>
    <w:rsid w:val="00B57E13"/>
    <w:rsid w:val="00B60D0C"/>
    <w:rsid w:val="00B6103C"/>
    <w:rsid w:val="00B610BB"/>
    <w:rsid w:val="00B61190"/>
    <w:rsid w:val="00B6150F"/>
    <w:rsid w:val="00B61539"/>
    <w:rsid w:val="00B6175D"/>
    <w:rsid w:val="00B61766"/>
    <w:rsid w:val="00B62106"/>
    <w:rsid w:val="00B62623"/>
    <w:rsid w:val="00B626F5"/>
    <w:rsid w:val="00B62E76"/>
    <w:rsid w:val="00B634B7"/>
    <w:rsid w:val="00B635E5"/>
    <w:rsid w:val="00B63B4F"/>
    <w:rsid w:val="00B63B70"/>
    <w:rsid w:val="00B63F6B"/>
    <w:rsid w:val="00B640F5"/>
    <w:rsid w:val="00B649AB"/>
    <w:rsid w:val="00B64A15"/>
    <w:rsid w:val="00B65020"/>
    <w:rsid w:val="00B659FF"/>
    <w:rsid w:val="00B65BF3"/>
    <w:rsid w:val="00B65C37"/>
    <w:rsid w:val="00B65D54"/>
    <w:rsid w:val="00B65D63"/>
    <w:rsid w:val="00B65F93"/>
    <w:rsid w:val="00B663A2"/>
    <w:rsid w:val="00B66498"/>
    <w:rsid w:val="00B66962"/>
    <w:rsid w:val="00B674CC"/>
    <w:rsid w:val="00B67B6E"/>
    <w:rsid w:val="00B67CD0"/>
    <w:rsid w:val="00B67EB5"/>
    <w:rsid w:val="00B706CD"/>
    <w:rsid w:val="00B70A81"/>
    <w:rsid w:val="00B71578"/>
    <w:rsid w:val="00B715AA"/>
    <w:rsid w:val="00B71994"/>
    <w:rsid w:val="00B727DF"/>
    <w:rsid w:val="00B72A94"/>
    <w:rsid w:val="00B72BC6"/>
    <w:rsid w:val="00B73517"/>
    <w:rsid w:val="00B73626"/>
    <w:rsid w:val="00B737BB"/>
    <w:rsid w:val="00B7390A"/>
    <w:rsid w:val="00B744AC"/>
    <w:rsid w:val="00B748B8"/>
    <w:rsid w:val="00B74922"/>
    <w:rsid w:val="00B74964"/>
    <w:rsid w:val="00B74EEE"/>
    <w:rsid w:val="00B75600"/>
    <w:rsid w:val="00B75908"/>
    <w:rsid w:val="00B75BF9"/>
    <w:rsid w:val="00B76162"/>
    <w:rsid w:val="00B761F9"/>
    <w:rsid w:val="00B7652B"/>
    <w:rsid w:val="00B76C37"/>
    <w:rsid w:val="00B77C11"/>
    <w:rsid w:val="00B80441"/>
    <w:rsid w:val="00B804CB"/>
    <w:rsid w:val="00B80CA6"/>
    <w:rsid w:val="00B80D42"/>
    <w:rsid w:val="00B812B7"/>
    <w:rsid w:val="00B81524"/>
    <w:rsid w:val="00B81B87"/>
    <w:rsid w:val="00B82014"/>
    <w:rsid w:val="00B82490"/>
    <w:rsid w:val="00B826A6"/>
    <w:rsid w:val="00B82962"/>
    <w:rsid w:val="00B82980"/>
    <w:rsid w:val="00B83228"/>
    <w:rsid w:val="00B84088"/>
    <w:rsid w:val="00B843F5"/>
    <w:rsid w:val="00B84463"/>
    <w:rsid w:val="00B8473F"/>
    <w:rsid w:val="00B849B3"/>
    <w:rsid w:val="00B84CB5"/>
    <w:rsid w:val="00B84EF5"/>
    <w:rsid w:val="00B863FC"/>
    <w:rsid w:val="00B8660F"/>
    <w:rsid w:val="00B8685F"/>
    <w:rsid w:val="00B869AF"/>
    <w:rsid w:val="00B874EB"/>
    <w:rsid w:val="00B87A87"/>
    <w:rsid w:val="00B907A6"/>
    <w:rsid w:val="00B90E20"/>
    <w:rsid w:val="00B90FB5"/>
    <w:rsid w:val="00B91379"/>
    <w:rsid w:val="00B918BE"/>
    <w:rsid w:val="00B91EDD"/>
    <w:rsid w:val="00B92242"/>
    <w:rsid w:val="00B92889"/>
    <w:rsid w:val="00B92D1F"/>
    <w:rsid w:val="00B930AF"/>
    <w:rsid w:val="00B9336C"/>
    <w:rsid w:val="00B9346B"/>
    <w:rsid w:val="00B93607"/>
    <w:rsid w:val="00B93C57"/>
    <w:rsid w:val="00B948D2"/>
    <w:rsid w:val="00B94A45"/>
    <w:rsid w:val="00B94B6F"/>
    <w:rsid w:val="00B94E31"/>
    <w:rsid w:val="00B9576E"/>
    <w:rsid w:val="00B95B90"/>
    <w:rsid w:val="00B95C9B"/>
    <w:rsid w:val="00B963DF"/>
    <w:rsid w:val="00B9698E"/>
    <w:rsid w:val="00B969D9"/>
    <w:rsid w:val="00B96B62"/>
    <w:rsid w:val="00B97DBF"/>
    <w:rsid w:val="00BA0533"/>
    <w:rsid w:val="00BA056C"/>
    <w:rsid w:val="00BA0720"/>
    <w:rsid w:val="00BA098C"/>
    <w:rsid w:val="00BA0C31"/>
    <w:rsid w:val="00BA0E27"/>
    <w:rsid w:val="00BA15B1"/>
    <w:rsid w:val="00BA15B3"/>
    <w:rsid w:val="00BA1D52"/>
    <w:rsid w:val="00BA1FA8"/>
    <w:rsid w:val="00BA26D8"/>
    <w:rsid w:val="00BA28D6"/>
    <w:rsid w:val="00BA2C01"/>
    <w:rsid w:val="00BA3203"/>
    <w:rsid w:val="00BA346C"/>
    <w:rsid w:val="00BA4306"/>
    <w:rsid w:val="00BA4730"/>
    <w:rsid w:val="00BA489B"/>
    <w:rsid w:val="00BA496E"/>
    <w:rsid w:val="00BA54F8"/>
    <w:rsid w:val="00BA565B"/>
    <w:rsid w:val="00BA5E33"/>
    <w:rsid w:val="00BA7050"/>
    <w:rsid w:val="00BA714A"/>
    <w:rsid w:val="00BA77DB"/>
    <w:rsid w:val="00BA77DF"/>
    <w:rsid w:val="00BA79A6"/>
    <w:rsid w:val="00BA7C0E"/>
    <w:rsid w:val="00BA7E52"/>
    <w:rsid w:val="00BB01FE"/>
    <w:rsid w:val="00BB0347"/>
    <w:rsid w:val="00BB0682"/>
    <w:rsid w:val="00BB0B5D"/>
    <w:rsid w:val="00BB0EFD"/>
    <w:rsid w:val="00BB14F8"/>
    <w:rsid w:val="00BB248B"/>
    <w:rsid w:val="00BB3021"/>
    <w:rsid w:val="00BB3D7D"/>
    <w:rsid w:val="00BB4154"/>
    <w:rsid w:val="00BB43F0"/>
    <w:rsid w:val="00BB4B4E"/>
    <w:rsid w:val="00BB4EE9"/>
    <w:rsid w:val="00BB4F2F"/>
    <w:rsid w:val="00BB5731"/>
    <w:rsid w:val="00BB5735"/>
    <w:rsid w:val="00BB60B7"/>
    <w:rsid w:val="00BB695A"/>
    <w:rsid w:val="00BB6BDC"/>
    <w:rsid w:val="00BB6C3F"/>
    <w:rsid w:val="00BB6E62"/>
    <w:rsid w:val="00BB75A3"/>
    <w:rsid w:val="00BB77DC"/>
    <w:rsid w:val="00BB7808"/>
    <w:rsid w:val="00BB7BCC"/>
    <w:rsid w:val="00BB7C9F"/>
    <w:rsid w:val="00BC046D"/>
    <w:rsid w:val="00BC0D10"/>
    <w:rsid w:val="00BC0D3F"/>
    <w:rsid w:val="00BC0E2D"/>
    <w:rsid w:val="00BC146B"/>
    <w:rsid w:val="00BC1935"/>
    <w:rsid w:val="00BC1AA7"/>
    <w:rsid w:val="00BC1EC7"/>
    <w:rsid w:val="00BC1F7A"/>
    <w:rsid w:val="00BC22A7"/>
    <w:rsid w:val="00BC2EFF"/>
    <w:rsid w:val="00BC30F4"/>
    <w:rsid w:val="00BC3423"/>
    <w:rsid w:val="00BC36FD"/>
    <w:rsid w:val="00BC3BF3"/>
    <w:rsid w:val="00BC3C92"/>
    <w:rsid w:val="00BC3D8C"/>
    <w:rsid w:val="00BC4064"/>
    <w:rsid w:val="00BC417B"/>
    <w:rsid w:val="00BC4C08"/>
    <w:rsid w:val="00BC530D"/>
    <w:rsid w:val="00BC5482"/>
    <w:rsid w:val="00BC54CC"/>
    <w:rsid w:val="00BC5748"/>
    <w:rsid w:val="00BC5DE4"/>
    <w:rsid w:val="00BC6206"/>
    <w:rsid w:val="00BC6536"/>
    <w:rsid w:val="00BC6812"/>
    <w:rsid w:val="00BC7554"/>
    <w:rsid w:val="00BC762C"/>
    <w:rsid w:val="00BC77D0"/>
    <w:rsid w:val="00BC7884"/>
    <w:rsid w:val="00BD007A"/>
    <w:rsid w:val="00BD008F"/>
    <w:rsid w:val="00BD03DE"/>
    <w:rsid w:val="00BD03F9"/>
    <w:rsid w:val="00BD0EB3"/>
    <w:rsid w:val="00BD0EDC"/>
    <w:rsid w:val="00BD0EDF"/>
    <w:rsid w:val="00BD16AE"/>
    <w:rsid w:val="00BD16EA"/>
    <w:rsid w:val="00BD2279"/>
    <w:rsid w:val="00BD2BED"/>
    <w:rsid w:val="00BD2C91"/>
    <w:rsid w:val="00BD30AD"/>
    <w:rsid w:val="00BD3278"/>
    <w:rsid w:val="00BD36ED"/>
    <w:rsid w:val="00BD3985"/>
    <w:rsid w:val="00BD3A9F"/>
    <w:rsid w:val="00BD3C46"/>
    <w:rsid w:val="00BD3FEF"/>
    <w:rsid w:val="00BD493D"/>
    <w:rsid w:val="00BD49A9"/>
    <w:rsid w:val="00BD4B11"/>
    <w:rsid w:val="00BD5130"/>
    <w:rsid w:val="00BD5A33"/>
    <w:rsid w:val="00BD5E52"/>
    <w:rsid w:val="00BD5E9E"/>
    <w:rsid w:val="00BD62BD"/>
    <w:rsid w:val="00BD65D0"/>
    <w:rsid w:val="00BD65FB"/>
    <w:rsid w:val="00BD692B"/>
    <w:rsid w:val="00BD703A"/>
    <w:rsid w:val="00BD7D78"/>
    <w:rsid w:val="00BD7F10"/>
    <w:rsid w:val="00BD7F73"/>
    <w:rsid w:val="00BE1222"/>
    <w:rsid w:val="00BE1870"/>
    <w:rsid w:val="00BE1C09"/>
    <w:rsid w:val="00BE26B2"/>
    <w:rsid w:val="00BE3119"/>
    <w:rsid w:val="00BE350C"/>
    <w:rsid w:val="00BE3594"/>
    <w:rsid w:val="00BE3B94"/>
    <w:rsid w:val="00BE3C7B"/>
    <w:rsid w:val="00BE4540"/>
    <w:rsid w:val="00BE463E"/>
    <w:rsid w:val="00BE57B5"/>
    <w:rsid w:val="00BE5CD2"/>
    <w:rsid w:val="00BE5D31"/>
    <w:rsid w:val="00BE6907"/>
    <w:rsid w:val="00BE6FE5"/>
    <w:rsid w:val="00BE75CE"/>
    <w:rsid w:val="00BE7664"/>
    <w:rsid w:val="00BE779E"/>
    <w:rsid w:val="00BE7BDB"/>
    <w:rsid w:val="00BE7BF9"/>
    <w:rsid w:val="00BF0B8E"/>
    <w:rsid w:val="00BF10D2"/>
    <w:rsid w:val="00BF182C"/>
    <w:rsid w:val="00BF1B50"/>
    <w:rsid w:val="00BF2AF4"/>
    <w:rsid w:val="00BF35B9"/>
    <w:rsid w:val="00BF3988"/>
    <w:rsid w:val="00BF3A29"/>
    <w:rsid w:val="00BF3C3F"/>
    <w:rsid w:val="00BF3C78"/>
    <w:rsid w:val="00BF4055"/>
    <w:rsid w:val="00BF4331"/>
    <w:rsid w:val="00BF482A"/>
    <w:rsid w:val="00BF48CA"/>
    <w:rsid w:val="00BF4E8D"/>
    <w:rsid w:val="00BF5AC6"/>
    <w:rsid w:val="00BF6605"/>
    <w:rsid w:val="00BF6761"/>
    <w:rsid w:val="00BF6AAF"/>
    <w:rsid w:val="00BF6B3A"/>
    <w:rsid w:val="00BF79BE"/>
    <w:rsid w:val="00BF7E07"/>
    <w:rsid w:val="00BF7F08"/>
    <w:rsid w:val="00C00078"/>
    <w:rsid w:val="00C001A8"/>
    <w:rsid w:val="00C002BF"/>
    <w:rsid w:val="00C00424"/>
    <w:rsid w:val="00C00612"/>
    <w:rsid w:val="00C00B72"/>
    <w:rsid w:val="00C01470"/>
    <w:rsid w:val="00C01690"/>
    <w:rsid w:val="00C02A47"/>
    <w:rsid w:val="00C02CE6"/>
    <w:rsid w:val="00C02CEC"/>
    <w:rsid w:val="00C02D80"/>
    <w:rsid w:val="00C0319A"/>
    <w:rsid w:val="00C034C5"/>
    <w:rsid w:val="00C0373E"/>
    <w:rsid w:val="00C037EA"/>
    <w:rsid w:val="00C03824"/>
    <w:rsid w:val="00C03981"/>
    <w:rsid w:val="00C03F69"/>
    <w:rsid w:val="00C0401F"/>
    <w:rsid w:val="00C04440"/>
    <w:rsid w:val="00C04B08"/>
    <w:rsid w:val="00C04DB5"/>
    <w:rsid w:val="00C04F09"/>
    <w:rsid w:val="00C05535"/>
    <w:rsid w:val="00C06201"/>
    <w:rsid w:val="00C069EE"/>
    <w:rsid w:val="00C069FE"/>
    <w:rsid w:val="00C06D8E"/>
    <w:rsid w:val="00C06DCB"/>
    <w:rsid w:val="00C0797E"/>
    <w:rsid w:val="00C07A07"/>
    <w:rsid w:val="00C10166"/>
    <w:rsid w:val="00C10334"/>
    <w:rsid w:val="00C105A7"/>
    <w:rsid w:val="00C10F8F"/>
    <w:rsid w:val="00C118B2"/>
    <w:rsid w:val="00C11C98"/>
    <w:rsid w:val="00C1223B"/>
    <w:rsid w:val="00C12388"/>
    <w:rsid w:val="00C124CF"/>
    <w:rsid w:val="00C1288C"/>
    <w:rsid w:val="00C129D9"/>
    <w:rsid w:val="00C12FEB"/>
    <w:rsid w:val="00C1361D"/>
    <w:rsid w:val="00C13E5D"/>
    <w:rsid w:val="00C13E63"/>
    <w:rsid w:val="00C140C0"/>
    <w:rsid w:val="00C14920"/>
    <w:rsid w:val="00C15497"/>
    <w:rsid w:val="00C1569E"/>
    <w:rsid w:val="00C16395"/>
    <w:rsid w:val="00C16799"/>
    <w:rsid w:val="00C173BD"/>
    <w:rsid w:val="00C175D2"/>
    <w:rsid w:val="00C17825"/>
    <w:rsid w:val="00C20099"/>
    <w:rsid w:val="00C201DF"/>
    <w:rsid w:val="00C20478"/>
    <w:rsid w:val="00C2067C"/>
    <w:rsid w:val="00C206E4"/>
    <w:rsid w:val="00C20F43"/>
    <w:rsid w:val="00C21748"/>
    <w:rsid w:val="00C22C98"/>
    <w:rsid w:val="00C22CD3"/>
    <w:rsid w:val="00C22DF6"/>
    <w:rsid w:val="00C22E7E"/>
    <w:rsid w:val="00C233F9"/>
    <w:rsid w:val="00C23541"/>
    <w:rsid w:val="00C23776"/>
    <w:rsid w:val="00C23928"/>
    <w:rsid w:val="00C23AC5"/>
    <w:rsid w:val="00C23D17"/>
    <w:rsid w:val="00C243EC"/>
    <w:rsid w:val="00C2453B"/>
    <w:rsid w:val="00C25316"/>
    <w:rsid w:val="00C25C83"/>
    <w:rsid w:val="00C2608F"/>
    <w:rsid w:val="00C26A95"/>
    <w:rsid w:val="00C26FAD"/>
    <w:rsid w:val="00C270F5"/>
    <w:rsid w:val="00C27C62"/>
    <w:rsid w:val="00C27E9A"/>
    <w:rsid w:val="00C27F1F"/>
    <w:rsid w:val="00C27F21"/>
    <w:rsid w:val="00C3011A"/>
    <w:rsid w:val="00C301E4"/>
    <w:rsid w:val="00C316B8"/>
    <w:rsid w:val="00C3184D"/>
    <w:rsid w:val="00C319A2"/>
    <w:rsid w:val="00C3225B"/>
    <w:rsid w:val="00C3246E"/>
    <w:rsid w:val="00C32E37"/>
    <w:rsid w:val="00C32EEE"/>
    <w:rsid w:val="00C3350E"/>
    <w:rsid w:val="00C33D2D"/>
    <w:rsid w:val="00C33DB6"/>
    <w:rsid w:val="00C33F90"/>
    <w:rsid w:val="00C34019"/>
    <w:rsid w:val="00C344E0"/>
    <w:rsid w:val="00C346AD"/>
    <w:rsid w:val="00C3508E"/>
    <w:rsid w:val="00C351A0"/>
    <w:rsid w:val="00C355A8"/>
    <w:rsid w:val="00C35629"/>
    <w:rsid w:val="00C35EE6"/>
    <w:rsid w:val="00C360DA"/>
    <w:rsid w:val="00C36251"/>
    <w:rsid w:val="00C364D7"/>
    <w:rsid w:val="00C36873"/>
    <w:rsid w:val="00C36B8C"/>
    <w:rsid w:val="00C36E26"/>
    <w:rsid w:val="00C375AE"/>
    <w:rsid w:val="00C400E3"/>
    <w:rsid w:val="00C406C6"/>
    <w:rsid w:val="00C409ED"/>
    <w:rsid w:val="00C40ABC"/>
    <w:rsid w:val="00C40DC8"/>
    <w:rsid w:val="00C415F9"/>
    <w:rsid w:val="00C41844"/>
    <w:rsid w:val="00C424A5"/>
    <w:rsid w:val="00C425EF"/>
    <w:rsid w:val="00C4284E"/>
    <w:rsid w:val="00C42A10"/>
    <w:rsid w:val="00C42E0E"/>
    <w:rsid w:val="00C4334A"/>
    <w:rsid w:val="00C43612"/>
    <w:rsid w:val="00C44113"/>
    <w:rsid w:val="00C4418F"/>
    <w:rsid w:val="00C44C01"/>
    <w:rsid w:val="00C44E77"/>
    <w:rsid w:val="00C451B8"/>
    <w:rsid w:val="00C4526F"/>
    <w:rsid w:val="00C452F8"/>
    <w:rsid w:val="00C4576A"/>
    <w:rsid w:val="00C45A9B"/>
    <w:rsid w:val="00C45D7B"/>
    <w:rsid w:val="00C45FC8"/>
    <w:rsid w:val="00C4613C"/>
    <w:rsid w:val="00C46DBE"/>
    <w:rsid w:val="00C4795E"/>
    <w:rsid w:val="00C47E4D"/>
    <w:rsid w:val="00C504DC"/>
    <w:rsid w:val="00C50C04"/>
    <w:rsid w:val="00C50E18"/>
    <w:rsid w:val="00C515EE"/>
    <w:rsid w:val="00C517B0"/>
    <w:rsid w:val="00C51C49"/>
    <w:rsid w:val="00C51D93"/>
    <w:rsid w:val="00C51F1D"/>
    <w:rsid w:val="00C5255F"/>
    <w:rsid w:val="00C52762"/>
    <w:rsid w:val="00C52EAD"/>
    <w:rsid w:val="00C52ED2"/>
    <w:rsid w:val="00C53157"/>
    <w:rsid w:val="00C53722"/>
    <w:rsid w:val="00C54FDB"/>
    <w:rsid w:val="00C553AB"/>
    <w:rsid w:val="00C556D6"/>
    <w:rsid w:val="00C566AF"/>
    <w:rsid w:val="00C56789"/>
    <w:rsid w:val="00C5685E"/>
    <w:rsid w:val="00C5716D"/>
    <w:rsid w:val="00C573D4"/>
    <w:rsid w:val="00C57417"/>
    <w:rsid w:val="00C57CC9"/>
    <w:rsid w:val="00C57FB6"/>
    <w:rsid w:val="00C60924"/>
    <w:rsid w:val="00C60941"/>
    <w:rsid w:val="00C609DC"/>
    <w:rsid w:val="00C61AA1"/>
    <w:rsid w:val="00C61E07"/>
    <w:rsid w:val="00C6269F"/>
    <w:rsid w:val="00C6302F"/>
    <w:rsid w:val="00C63111"/>
    <w:rsid w:val="00C6346B"/>
    <w:rsid w:val="00C63903"/>
    <w:rsid w:val="00C639AB"/>
    <w:rsid w:val="00C644E6"/>
    <w:rsid w:val="00C64F0A"/>
    <w:rsid w:val="00C65298"/>
    <w:rsid w:val="00C65524"/>
    <w:rsid w:val="00C65772"/>
    <w:rsid w:val="00C65AC4"/>
    <w:rsid w:val="00C65AE6"/>
    <w:rsid w:val="00C65F46"/>
    <w:rsid w:val="00C666E2"/>
    <w:rsid w:val="00C66E2F"/>
    <w:rsid w:val="00C67237"/>
    <w:rsid w:val="00C67337"/>
    <w:rsid w:val="00C67997"/>
    <w:rsid w:val="00C67C1C"/>
    <w:rsid w:val="00C701BC"/>
    <w:rsid w:val="00C70560"/>
    <w:rsid w:val="00C70BCD"/>
    <w:rsid w:val="00C70F01"/>
    <w:rsid w:val="00C7130B"/>
    <w:rsid w:val="00C72116"/>
    <w:rsid w:val="00C7211C"/>
    <w:rsid w:val="00C7256A"/>
    <w:rsid w:val="00C725E1"/>
    <w:rsid w:val="00C73466"/>
    <w:rsid w:val="00C7374A"/>
    <w:rsid w:val="00C74473"/>
    <w:rsid w:val="00C74509"/>
    <w:rsid w:val="00C74D30"/>
    <w:rsid w:val="00C74DCC"/>
    <w:rsid w:val="00C752C1"/>
    <w:rsid w:val="00C75404"/>
    <w:rsid w:val="00C757E9"/>
    <w:rsid w:val="00C7596C"/>
    <w:rsid w:val="00C75A3C"/>
    <w:rsid w:val="00C75DCE"/>
    <w:rsid w:val="00C76085"/>
    <w:rsid w:val="00C7617A"/>
    <w:rsid w:val="00C7646C"/>
    <w:rsid w:val="00C76E28"/>
    <w:rsid w:val="00C77146"/>
    <w:rsid w:val="00C772F3"/>
    <w:rsid w:val="00C7785D"/>
    <w:rsid w:val="00C778E3"/>
    <w:rsid w:val="00C77A03"/>
    <w:rsid w:val="00C77E82"/>
    <w:rsid w:val="00C77EE6"/>
    <w:rsid w:val="00C77F9E"/>
    <w:rsid w:val="00C803DA"/>
    <w:rsid w:val="00C8067A"/>
    <w:rsid w:val="00C8097B"/>
    <w:rsid w:val="00C80C88"/>
    <w:rsid w:val="00C80CAB"/>
    <w:rsid w:val="00C813AA"/>
    <w:rsid w:val="00C819B8"/>
    <w:rsid w:val="00C8244F"/>
    <w:rsid w:val="00C828B4"/>
    <w:rsid w:val="00C82ADC"/>
    <w:rsid w:val="00C82B6C"/>
    <w:rsid w:val="00C82D49"/>
    <w:rsid w:val="00C8320A"/>
    <w:rsid w:val="00C832B7"/>
    <w:rsid w:val="00C832BF"/>
    <w:rsid w:val="00C8360A"/>
    <w:rsid w:val="00C83D9C"/>
    <w:rsid w:val="00C83DC4"/>
    <w:rsid w:val="00C83EA2"/>
    <w:rsid w:val="00C83F12"/>
    <w:rsid w:val="00C841D1"/>
    <w:rsid w:val="00C84394"/>
    <w:rsid w:val="00C843A3"/>
    <w:rsid w:val="00C84456"/>
    <w:rsid w:val="00C84B67"/>
    <w:rsid w:val="00C85AD3"/>
    <w:rsid w:val="00C864ED"/>
    <w:rsid w:val="00C8657E"/>
    <w:rsid w:val="00C867C8"/>
    <w:rsid w:val="00C87114"/>
    <w:rsid w:val="00C87472"/>
    <w:rsid w:val="00C87648"/>
    <w:rsid w:val="00C87A24"/>
    <w:rsid w:val="00C90093"/>
    <w:rsid w:val="00C904A7"/>
    <w:rsid w:val="00C914AC"/>
    <w:rsid w:val="00C91860"/>
    <w:rsid w:val="00C92040"/>
    <w:rsid w:val="00C927B8"/>
    <w:rsid w:val="00C9383A"/>
    <w:rsid w:val="00C94620"/>
    <w:rsid w:val="00C94D99"/>
    <w:rsid w:val="00C95074"/>
    <w:rsid w:val="00C9523F"/>
    <w:rsid w:val="00C9563C"/>
    <w:rsid w:val="00C96022"/>
    <w:rsid w:val="00C960B3"/>
    <w:rsid w:val="00C96A38"/>
    <w:rsid w:val="00C971F9"/>
    <w:rsid w:val="00C97542"/>
    <w:rsid w:val="00C978B8"/>
    <w:rsid w:val="00CA0AAC"/>
    <w:rsid w:val="00CA0ADE"/>
    <w:rsid w:val="00CA0E4E"/>
    <w:rsid w:val="00CA1412"/>
    <w:rsid w:val="00CA1565"/>
    <w:rsid w:val="00CA15A9"/>
    <w:rsid w:val="00CA1F8F"/>
    <w:rsid w:val="00CA2670"/>
    <w:rsid w:val="00CA27F8"/>
    <w:rsid w:val="00CA2AA8"/>
    <w:rsid w:val="00CA3739"/>
    <w:rsid w:val="00CA3A02"/>
    <w:rsid w:val="00CA3AAB"/>
    <w:rsid w:val="00CA3CD9"/>
    <w:rsid w:val="00CA5039"/>
    <w:rsid w:val="00CA58CC"/>
    <w:rsid w:val="00CA5EC0"/>
    <w:rsid w:val="00CA5FFF"/>
    <w:rsid w:val="00CA62C6"/>
    <w:rsid w:val="00CA636E"/>
    <w:rsid w:val="00CA674A"/>
    <w:rsid w:val="00CA6943"/>
    <w:rsid w:val="00CA75D1"/>
    <w:rsid w:val="00CA7687"/>
    <w:rsid w:val="00CA79E2"/>
    <w:rsid w:val="00CA7B77"/>
    <w:rsid w:val="00CA7E4D"/>
    <w:rsid w:val="00CB0277"/>
    <w:rsid w:val="00CB08EF"/>
    <w:rsid w:val="00CB0A80"/>
    <w:rsid w:val="00CB0D8A"/>
    <w:rsid w:val="00CB0DF4"/>
    <w:rsid w:val="00CB1540"/>
    <w:rsid w:val="00CB1B54"/>
    <w:rsid w:val="00CB1DF6"/>
    <w:rsid w:val="00CB20E7"/>
    <w:rsid w:val="00CB20F7"/>
    <w:rsid w:val="00CB226E"/>
    <w:rsid w:val="00CB250B"/>
    <w:rsid w:val="00CB2804"/>
    <w:rsid w:val="00CB323D"/>
    <w:rsid w:val="00CB33F1"/>
    <w:rsid w:val="00CB3E57"/>
    <w:rsid w:val="00CB4F12"/>
    <w:rsid w:val="00CB5A10"/>
    <w:rsid w:val="00CB5C06"/>
    <w:rsid w:val="00CB5F9C"/>
    <w:rsid w:val="00CB60E0"/>
    <w:rsid w:val="00CB6169"/>
    <w:rsid w:val="00CB6176"/>
    <w:rsid w:val="00CB6918"/>
    <w:rsid w:val="00CB6DC6"/>
    <w:rsid w:val="00CB74B7"/>
    <w:rsid w:val="00CB77A0"/>
    <w:rsid w:val="00CB77A9"/>
    <w:rsid w:val="00CB7D39"/>
    <w:rsid w:val="00CB7E97"/>
    <w:rsid w:val="00CB7EBD"/>
    <w:rsid w:val="00CC00A3"/>
    <w:rsid w:val="00CC00F9"/>
    <w:rsid w:val="00CC01F3"/>
    <w:rsid w:val="00CC05D5"/>
    <w:rsid w:val="00CC0A00"/>
    <w:rsid w:val="00CC101B"/>
    <w:rsid w:val="00CC1392"/>
    <w:rsid w:val="00CC1BF8"/>
    <w:rsid w:val="00CC2014"/>
    <w:rsid w:val="00CC2BB5"/>
    <w:rsid w:val="00CC2C25"/>
    <w:rsid w:val="00CC2DB4"/>
    <w:rsid w:val="00CC2E2E"/>
    <w:rsid w:val="00CC3503"/>
    <w:rsid w:val="00CC36E6"/>
    <w:rsid w:val="00CC3717"/>
    <w:rsid w:val="00CC377A"/>
    <w:rsid w:val="00CC39E8"/>
    <w:rsid w:val="00CC3FC0"/>
    <w:rsid w:val="00CC44DF"/>
    <w:rsid w:val="00CC44E9"/>
    <w:rsid w:val="00CC47E8"/>
    <w:rsid w:val="00CC5504"/>
    <w:rsid w:val="00CC58EF"/>
    <w:rsid w:val="00CC5BF3"/>
    <w:rsid w:val="00CC6176"/>
    <w:rsid w:val="00CC64A3"/>
    <w:rsid w:val="00CC7433"/>
    <w:rsid w:val="00CD062F"/>
    <w:rsid w:val="00CD07BE"/>
    <w:rsid w:val="00CD11DD"/>
    <w:rsid w:val="00CD121E"/>
    <w:rsid w:val="00CD15B2"/>
    <w:rsid w:val="00CD18D8"/>
    <w:rsid w:val="00CD1968"/>
    <w:rsid w:val="00CD25CB"/>
    <w:rsid w:val="00CD29ED"/>
    <w:rsid w:val="00CD2D58"/>
    <w:rsid w:val="00CD3089"/>
    <w:rsid w:val="00CD3124"/>
    <w:rsid w:val="00CD3FD2"/>
    <w:rsid w:val="00CD46E1"/>
    <w:rsid w:val="00CD49F5"/>
    <w:rsid w:val="00CD4FCB"/>
    <w:rsid w:val="00CD55AF"/>
    <w:rsid w:val="00CD586F"/>
    <w:rsid w:val="00CD58AB"/>
    <w:rsid w:val="00CD5A10"/>
    <w:rsid w:val="00CD5CFB"/>
    <w:rsid w:val="00CD63C0"/>
    <w:rsid w:val="00CD6D0B"/>
    <w:rsid w:val="00CD7175"/>
    <w:rsid w:val="00CD748E"/>
    <w:rsid w:val="00CD7620"/>
    <w:rsid w:val="00CD7CA9"/>
    <w:rsid w:val="00CD7F27"/>
    <w:rsid w:val="00CE0032"/>
    <w:rsid w:val="00CE025F"/>
    <w:rsid w:val="00CE0984"/>
    <w:rsid w:val="00CE0EAE"/>
    <w:rsid w:val="00CE102D"/>
    <w:rsid w:val="00CE1AAC"/>
    <w:rsid w:val="00CE1D21"/>
    <w:rsid w:val="00CE1F4F"/>
    <w:rsid w:val="00CE1F5A"/>
    <w:rsid w:val="00CE209A"/>
    <w:rsid w:val="00CE2174"/>
    <w:rsid w:val="00CE21D9"/>
    <w:rsid w:val="00CE2A09"/>
    <w:rsid w:val="00CE31A7"/>
    <w:rsid w:val="00CE42E1"/>
    <w:rsid w:val="00CE443B"/>
    <w:rsid w:val="00CE468E"/>
    <w:rsid w:val="00CE494C"/>
    <w:rsid w:val="00CE50EC"/>
    <w:rsid w:val="00CE52B1"/>
    <w:rsid w:val="00CE5BB8"/>
    <w:rsid w:val="00CE5E7C"/>
    <w:rsid w:val="00CE5ED5"/>
    <w:rsid w:val="00CE60DF"/>
    <w:rsid w:val="00CE66BD"/>
    <w:rsid w:val="00CE6E03"/>
    <w:rsid w:val="00CE6E6E"/>
    <w:rsid w:val="00CE7791"/>
    <w:rsid w:val="00CE7B95"/>
    <w:rsid w:val="00CF09FC"/>
    <w:rsid w:val="00CF0A54"/>
    <w:rsid w:val="00CF0CFE"/>
    <w:rsid w:val="00CF0D79"/>
    <w:rsid w:val="00CF0E4B"/>
    <w:rsid w:val="00CF107B"/>
    <w:rsid w:val="00CF112E"/>
    <w:rsid w:val="00CF125D"/>
    <w:rsid w:val="00CF14C8"/>
    <w:rsid w:val="00CF1523"/>
    <w:rsid w:val="00CF1E90"/>
    <w:rsid w:val="00CF1FC7"/>
    <w:rsid w:val="00CF2002"/>
    <w:rsid w:val="00CF2370"/>
    <w:rsid w:val="00CF2751"/>
    <w:rsid w:val="00CF2E62"/>
    <w:rsid w:val="00CF3914"/>
    <w:rsid w:val="00CF3DB7"/>
    <w:rsid w:val="00CF47F2"/>
    <w:rsid w:val="00CF4BAA"/>
    <w:rsid w:val="00CF4C29"/>
    <w:rsid w:val="00CF5601"/>
    <w:rsid w:val="00CF599D"/>
    <w:rsid w:val="00CF5E04"/>
    <w:rsid w:val="00CF64CE"/>
    <w:rsid w:val="00CF661A"/>
    <w:rsid w:val="00CF6D59"/>
    <w:rsid w:val="00CF745A"/>
    <w:rsid w:val="00CF74D9"/>
    <w:rsid w:val="00CF7643"/>
    <w:rsid w:val="00CF778F"/>
    <w:rsid w:val="00CF7AC6"/>
    <w:rsid w:val="00D000EB"/>
    <w:rsid w:val="00D00178"/>
    <w:rsid w:val="00D004EA"/>
    <w:rsid w:val="00D013CB"/>
    <w:rsid w:val="00D017AB"/>
    <w:rsid w:val="00D02EA9"/>
    <w:rsid w:val="00D038FF"/>
    <w:rsid w:val="00D04BA1"/>
    <w:rsid w:val="00D05E48"/>
    <w:rsid w:val="00D06017"/>
    <w:rsid w:val="00D0681F"/>
    <w:rsid w:val="00D06E6B"/>
    <w:rsid w:val="00D076C6"/>
    <w:rsid w:val="00D102D7"/>
    <w:rsid w:val="00D10C5F"/>
    <w:rsid w:val="00D10F11"/>
    <w:rsid w:val="00D11275"/>
    <w:rsid w:val="00D1143B"/>
    <w:rsid w:val="00D11E14"/>
    <w:rsid w:val="00D12036"/>
    <w:rsid w:val="00D1257A"/>
    <w:rsid w:val="00D1259C"/>
    <w:rsid w:val="00D12866"/>
    <w:rsid w:val="00D130B1"/>
    <w:rsid w:val="00D1319F"/>
    <w:rsid w:val="00D135B0"/>
    <w:rsid w:val="00D13788"/>
    <w:rsid w:val="00D137C3"/>
    <w:rsid w:val="00D1386D"/>
    <w:rsid w:val="00D140BD"/>
    <w:rsid w:val="00D1433A"/>
    <w:rsid w:val="00D14536"/>
    <w:rsid w:val="00D1508B"/>
    <w:rsid w:val="00D156E9"/>
    <w:rsid w:val="00D1593E"/>
    <w:rsid w:val="00D15D93"/>
    <w:rsid w:val="00D15EB2"/>
    <w:rsid w:val="00D15FAF"/>
    <w:rsid w:val="00D163C0"/>
    <w:rsid w:val="00D1678B"/>
    <w:rsid w:val="00D16B3D"/>
    <w:rsid w:val="00D17376"/>
    <w:rsid w:val="00D174A1"/>
    <w:rsid w:val="00D177E8"/>
    <w:rsid w:val="00D17C19"/>
    <w:rsid w:val="00D17D15"/>
    <w:rsid w:val="00D17D47"/>
    <w:rsid w:val="00D17F02"/>
    <w:rsid w:val="00D2032D"/>
    <w:rsid w:val="00D20A2C"/>
    <w:rsid w:val="00D210DA"/>
    <w:rsid w:val="00D21744"/>
    <w:rsid w:val="00D21BE2"/>
    <w:rsid w:val="00D21EE4"/>
    <w:rsid w:val="00D2291C"/>
    <w:rsid w:val="00D22C5F"/>
    <w:rsid w:val="00D22F9B"/>
    <w:rsid w:val="00D23101"/>
    <w:rsid w:val="00D234DC"/>
    <w:rsid w:val="00D234FF"/>
    <w:rsid w:val="00D23BB0"/>
    <w:rsid w:val="00D24054"/>
    <w:rsid w:val="00D24127"/>
    <w:rsid w:val="00D246D1"/>
    <w:rsid w:val="00D24BA0"/>
    <w:rsid w:val="00D251FB"/>
    <w:rsid w:val="00D2542D"/>
    <w:rsid w:val="00D2592F"/>
    <w:rsid w:val="00D26D5B"/>
    <w:rsid w:val="00D26DEB"/>
    <w:rsid w:val="00D26F9E"/>
    <w:rsid w:val="00D272F7"/>
    <w:rsid w:val="00D27319"/>
    <w:rsid w:val="00D278C2"/>
    <w:rsid w:val="00D27AC5"/>
    <w:rsid w:val="00D27E1E"/>
    <w:rsid w:val="00D27EAB"/>
    <w:rsid w:val="00D30D0F"/>
    <w:rsid w:val="00D30F89"/>
    <w:rsid w:val="00D31AAE"/>
    <w:rsid w:val="00D31D55"/>
    <w:rsid w:val="00D31ECE"/>
    <w:rsid w:val="00D31F00"/>
    <w:rsid w:val="00D320B0"/>
    <w:rsid w:val="00D32223"/>
    <w:rsid w:val="00D328B2"/>
    <w:rsid w:val="00D32D4E"/>
    <w:rsid w:val="00D32DE0"/>
    <w:rsid w:val="00D32F38"/>
    <w:rsid w:val="00D330B8"/>
    <w:rsid w:val="00D33117"/>
    <w:rsid w:val="00D33131"/>
    <w:rsid w:val="00D33532"/>
    <w:rsid w:val="00D34057"/>
    <w:rsid w:val="00D3413F"/>
    <w:rsid w:val="00D342C9"/>
    <w:rsid w:val="00D342FB"/>
    <w:rsid w:val="00D3463E"/>
    <w:rsid w:val="00D34FBC"/>
    <w:rsid w:val="00D35246"/>
    <w:rsid w:val="00D35B27"/>
    <w:rsid w:val="00D36050"/>
    <w:rsid w:val="00D36855"/>
    <w:rsid w:val="00D36A61"/>
    <w:rsid w:val="00D36DA6"/>
    <w:rsid w:val="00D37182"/>
    <w:rsid w:val="00D3768E"/>
    <w:rsid w:val="00D37C65"/>
    <w:rsid w:val="00D40127"/>
    <w:rsid w:val="00D40BB3"/>
    <w:rsid w:val="00D40BD2"/>
    <w:rsid w:val="00D4109B"/>
    <w:rsid w:val="00D4114C"/>
    <w:rsid w:val="00D41523"/>
    <w:rsid w:val="00D41571"/>
    <w:rsid w:val="00D41776"/>
    <w:rsid w:val="00D41799"/>
    <w:rsid w:val="00D41816"/>
    <w:rsid w:val="00D41879"/>
    <w:rsid w:val="00D41EE9"/>
    <w:rsid w:val="00D41FB4"/>
    <w:rsid w:val="00D42070"/>
    <w:rsid w:val="00D420A6"/>
    <w:rsid w:val="00D420D4"/>
    <w:rsid w:val="00D420D9"/>
    <w:rsid w:val="00D42339"/>
    <w:rsid w:val="00D42827"/>
    <w:rsid w:val="00D428D2"/>
    <w:rsid w:val="00D42A1D"/>
    <w:rsid w:val="00D43133"/>
    <w:rsid w:val="00D43617"/>
    <w:rsid w:val="00D436AF"/>
    <w:rsid w:val="00D43D34"/>
    <w:rsid w:val="00D43F1A"/>
    <w:rsid w:val="00D43F23"/>
    <w:rsid w:val="00D44434"/>
    <w:rsid w:val="00D448BA"/>
    <w:rsid w:val="00D44B26"/>
    <w:rsid w:val="00D44FEB"/>
    <w:rsid w:val="00D45C25"/>
    <w:rsid w:val="00D45DC5"/>
    <w:rsid w:val="00D45FAE"/>
    <w:rsid w:val="00D4600B"/>
    <w:rsid w:val="00D464E4"/>
    <w:rsid w:val="00D46B4E"/>
    <w:rsid w:val="00D46B58"/>
    <w:rsid w:val="00D46C05"/>
    <w:rsid w:val="00D46DA7"/>
    <w:rsid w:val="00D47214"/>
    <w:rsid w:val="00D515C2"/>
    <w:rsid w:val="00D51764"/>
    <w:rsid w:val="00D51983"/>
    <w:rsid w:val="00D51F78"/>
    <w:rsid w:val="00D52056"/>
    <w:rsid w:val="00D522A2"/>
    <w:rsid w:val="00D529A1"/>
    <w:rsid w:val="00D529DD"/>
    <w:rsid w:val="00D52AB7"/>
    <w:rsid w:val="00D53209"/>
    <w:rsid w:val="00D53212"/>
    <w:rsid w:val="00D53939"/>
    <w:rsid w:val="00D53981"/>
    <w:rsid w:val="00D541BF"/>
    <w:rsid w:val="00D54335"/>
    <w:rsid w:val="00D545AA"/>
    <w:rsid w:val="00D546BD"/>
    <w:rsid w:val="00D547A3"/>
    <w:rsid w:val="00D549A7"/>
    <w:rsid w:val="00D552A1"/>
    <w:rsid w:val="00D55824"/>
    <w:rsid w:val="00D55C30"/>
    <w:rsid w:val="00D55EAA"/>
    <w:rsid w:val="00D5635A"/>
    <w:rsid w:val="00D564C2"/>
    <w:rsid w:val="00D5687A"/>
    <w:rsid w:val="00D5728B"/>
    <w:rsid w:val="00D573C9"/>
    <w:rsid w:val="00D575D2"/>
    <w:rsid w:val="00D57DA2"/>
    <w:rsid w:val="00D57DDD"/>
    <w:rsid w:val="00D6032C"/>
    <w:rsid w:val="00D6051E"/>
    <w:rsid w:val="00D60F3F"/>
    <w:rsid w:val="00D6186D"/>
    <w:rsid w:val="00D618CF"/>
    <w:rsid w:val="00D61D41"/>
    <w:rsid w:val="00D62B1E"/>
    <w:rsid w:val="00D62DEE"/>
    <w:rsid w:val="00D62ED6"/>
    <w:rsid w:val="00D63089"/>
    <w:rsid w:val="00D63485"/>
    <w:rsid w:val="00D64132"/>
    <w:rsid w:val="00D64229"/>
    <w:rsid w:val="00D643B0"/>
    <w:rsid w:val="00D646F0"/>
    <w:rsid w:val="00D65EB9"/>
    <w:rsid w:val="00D6606B"/>
    <w:rsid w:val="00D661F0"/>
    <w:rsid w:val="00D66478"/>
    <w:rsid w:val="00D66C2B"/>
    <w:rsid w:val="00D67172"/>
    <w:rsid w:val="00D67A32"/>
    <w:rsid w:val="00D67CBB"/>
    <w:rsid w:val="00D702EE"/>
    <w:rsid w:val="00D70597"/>
    <w:rsid w:val="00D708FA"/>
    <w:rsid w:val="00D709CF"/>
    <w:rsid w:val="00D709D2"/>
    <w:rsid w:val="00D70D04"/>
    <w:rsid w:val="00D70FA0"/>
    <w:rsid w:val="00D716D1"/>
    <w:rsid w:val="00D71E2A"/>
    <w:rsid w:val="00D7236A"/>
    <w:rsid w:val="00D727B0"/>
    <w:rsid w:val="00D72B23"/>
    <w:rsid w:val="00D72BDF"/>
    <w:rsid w:val="00D72D45"/>
    <w:rsid w:val="00D73CF9"/>
    <w:rsid w:val="00D742FD"/>
    <w:rsid w:val="00D74415"/>
    <w:rsid w:val="00D74697"/>
    <w:rsid w:val="00D7481E"/>
    <w:rsid w:val="00D74FB3"/>
    <w:rsid w:val="00D75041"/>
    <w:rsid w:val="00D7521C"/>
    <w:rsid w:val="00D758A2"/>
    <w:rsid w:val="00D75A1D"/>
    <w:rsid w:val="00D75BFD"/>
    <w:rsid w:val="00D7646B"/>
    <w:rsid w:val="00D76E22"/>
    <w:rsid w:val="00D77020"/>
    <w:rsid w:val="00D77495"/>
    <w:rsid w:val="00D77623"/>
    <w:rsid w:val="00D77F65"/>
    <w:rsid w:val="00D77FAE"/>
    <w:rsid w:val="00D8024C"/>
    <w:rsid w:val="00D80675"/>
    <w:rsid w:val="00D80831"/>
    <w:rsid w:val="00D80EF4"/>
    <w:rsid w:val="00D81828"/>
    <w:rsid w:val="00D818AC"/>
    <w:rsid w:val="00D821F6"/>
    <w:rsid w:val="00D82309"/>
    <w:rsid w:val="00D82C99"/>
    <w:rsid w:val="00D830BE"/>
    <w:rsid w:val="00D8348C"/>
    <w:rsid w:val="00D834E4"/>
    <w:rsid w:val="00D848F0"/>
    <w:rsid w:val="00D85177"/>
    <w:rsid w:val="00D8524A"/>
    <w:rsid w:val="00D8559D"/>
    <w:rsid w:val="00D85999"/>
    <w:rsid w:val="00D85A5B"/>
    <w:rsid w:val="00D85F59"/>
    <w:rsid w:val="00D86248"/>
    <w:rsid w:val="00D863E2"/>
    <w:rsid w:val="00D86AFB"/>
    <w:rsid w:val="00D86FB8"/>
    <w:rsid w:val="00D87070"/>
    <w:rsid w:val="00D8746C"/>
    <w:rsid w:val="00D87AC3"/>
    <w:rsid w:val="00D87B58"/>
    <w:rsid w:val="00D902A9"/>
    <w:rsid w:val="00D90350"/>
    <w:rsid w:val="00D90392"/>
    <w:rsid w:val="00D904C4"/>
    <w:rsid w:val="00D9086F"/>
    <w:rsid w:val="00D909B0"/>
    <w:rsid w:val="00D90C7B"/>
    <w:rsid w:val="00D912F2"/>
    <w:rsid w:val="00D91518"/>
    <w:rsid w:val="00D91A88"/>
    <w:rsid w:val="00D9217E"/>
    <w:rsid w:val="00D92E5A"/>
    <w:rsid w:val="00D932EB"/>
    <w:rsid w:val="00D9365B"/>
    <w:rsid w:val="00D93913"/>
    <w:rsid w:val="00D93D08"/>
    <w:rsid w:val="00D93D65"/>
    <w:rsid w:val="00D94576"/>
    <w:rsid w:val="00D94702"/>
    <w:rsid w:val="00D9472C"/>
    <w:rsid w:val="00D94D57"/>
    <w:rsid w:val="00D94ECD"/>
    <w:rsid w:val="00D95611"/>
    <w:rsid w:val="00D95719"/>
    <w:rsid w:val="00D95741"/>
    <w:rsid w:val="00D95970"/>
    <w:rsid w:val="00D95DE2"/>
    <w:rsid w:val="00D9643F"/>
    <w:rsid w:val="00D96E69"/>
    <w:rsid w:val="00D975B3"/>
    <w:rsid w:val="00D976EE"/>
    <w:rsid w:val="00D97C0B"/>
    <w:rsid w:val="00DA021B"/>
    <w:rsid w:val="00DA0905"/>
    <w:rsid w:val="00DA0E28"/>
    <w:rsid w:val="00DA0E44"/>
    <w:rsid w:val="00DA11D2"/>
    <w:rsid w:val="00DA1D24"/>
    <w:rsid w:val="00DA1D59"/>
    <w:rsid w:val="00DA1DC7"/>
    <w:rsid w:val="00DA1FC1"/>
    <w:rsid w:val="00DA287D"/>
    <w:rsid w:val="00DA2E28"/>
    <w:rsid w:val="00DA34B1"/>
    <w:rsid w:val="00DA36B9"/>
    <w:rsid w:val="00DA3822"/>
    <w:rsid w:val="00DA3A5E"/>
    <w:rsid w:val="00DA3BE4"/>
    <w:rsid w:val="00DA47BF"/>
    <w:rsid w:val="00DA48A9"/>
    <w:rsid w:val="00DA541F"/>
    <w:rsid w:val="00DA56A5"/>
    <w:rsid w:val="00DA5921"/>
    <w:rsid w:val="00DA5D81"/>
    <w:rsid w:val="00DA5DC8"/>
    <w:rsid w:val="00DA5E7E"/>
    <w:rsid w:val="00DA6098"/>
    <w:rsid w:val="00DA6429"/>
    <w:rsid w:val="00DA6BD3"/>
    <w:rsid w:val="00DA70C0"/>
    <w:rsid w:val="00DA7178"/>
    <w:rsid w:val="00DA7319"/>
    <w:rsid w:val="00DA735B"/>
    <w:rsid w:val="00DA77A3"/>
    <w:rsid w:val="00DA7B28"/>
    <w:rsid w:val="00DA7C54"/>
    <w:rsid w:val="00DB0B13"/>
    <w:rsid w:val="00DB0B91"/>
    <w:rsid w:val="00DB1355"/>
    <w:rsid w:val="00DB17A6"/>
    <w:rsid w:val="00DB236B"/>
    <w:rsid w:val="00DB2DB4"/>
    <w:rsid w:val="00DB2F94"/>
    <w:rsid w:val="00DB3118"/>
    <w:rsid w:val="00DB31BD"/>
    <w:rsid w:val="00DB37DB"/>
    <w:rsid w:val="00DB42EC"/>
    <w:rsid w:val="00DB484E"/>
    <w:rsid w:val="00DB4CA2"/>
    <w:rsid w:val="00DB5C60"/>
    <w:rsid w:val="00DB6393"/>
    <w:rsid w:val="00DB64E1"/>
    <w:rsid w:val="00DB6AC5"/>
    <w:rsid w:val="00DB6B05"/>
    <w:rsid w:val="00DB6EE6"/>
    <w:rsid w:val="00DB702E"/>
    <w:rsid w:val="00DB70B9"/>
    <w:rsid w:val="00DB70DD"/>
    <w:rsid w:val="00DB739D"/>
    <w:rsid w:val="00DB74E9"/>
    <w:rsid w:val="00DB7AC7"/>
    <w:rsid w:val="00DC0347"/>
    <w:rsid w:val="00DC0BFE"/>
    <w:rsid w:val="00DC0E9D"/>
    <w:rsid w:val="00DC164C"/>
    <w:rsid w:val="00DC1845"/>
    <w:rsid w:val="00DC1A2B"/>
    <w:rsid w:val="00DC1B68"/>
    <w:rsid w:val="00DC1BA0"/>
    <w:rsid w:val="00DC2557"/>
    <w:rsid w:val="00DC29A1"/>
    <w:rsid w:val="00DC2BAD"/>
    <w:rsid w:val="00DC2C0D"/>
    <w:rsid w:val="00DC30D5"/>
    <w:rsid w:val="00DC3947"/>
    <w:rsid w:val="00DC3A69"/>
    <w:rsid w:val="00DC3EC8"/>
    <w:rsid w:val="00DC3EEC"/>
    <w:rsid w:val="00DC4271"/>
    <w:rsid w:val="00DC45F5"/>
    <w:rsid w:val="00DC53A5"/>
    <w:rsid w:val="00DC5854"/>
    <w:rsid w:val="00DC5BE2"/>
    <w:rsid w:val="00DC5EE7"/>
    <w:rsid w:val="00DC6701"/>
    <w:rsid w:val="00DC6845"/>
    <w:rsid w:val="00DC785C"/>
    <w:rsid w:val="00DD02C5"/>
    <w:rsid w:val="00DD041A"/>
    <w:rsid w:val="00DD1281"/>
    <w:rsid w:val="00DD159E"/>
    <w:rsid w:val="00DD1CA4"/>
    <w:rsid w:val="00DD2341"/>
    <w:rsid w:val="00DD2570"/>
    <w:rsid w:val="00DD2B0B"/>
    <w:rsid w:val="00DD317E"/>
    <w:rsid w:val="00DD31D9"/>
    <w:rsid w:val="00DD3AA9"/>
    <w:rsid w:val="00DD4DA9"/>
    <w:rsid w:val="00DD5402"/>
    <w:rsid w:val="00DD566C"/>
    <w:rsid w:val="00DD59A9"/>
    <w:rsid w:val="00DD5A7C"/>
    <w:rsid w:val="00DD5EBA"/>
    <w:rsid w:val="00DD6081"/>
    <w:rsid w:val="00DD66CE"/>
    <w:rsid w:val="00DD6981"/>
    <w:rsid w:val="00DD7299"/>
    <w:rsid w:val="00DD781D"/>
    <w:rsid w:val="00DD7873"/>
    <w:rsid w:val="00DD79A1"/>
    <w:rsid w:val="00DE046B"/>
    <w:rsid w:val="00DE0C36"/>
    <w:rsid w:val="00DE101D"/>
    <w:rsid w:val="00DE17C5"/>
    <w:rsid w:val="00DE1AD5"/>
    <w:rsid w:val="00DE2204"/>
    <w:rsid w:val="00DE276A"/>
    <w:rsid w:val="00DE2AA4"/>
    <w:rsid w:val="00DE2C34"/>
    <w:rsid w:val="00DE2D53"/>
    <w:rsid w:val="00DE2F80"/>
    <w:rsid w:val="00DE33A1"/>
    <w:rsid w:val="00DE33B7"/>
    <w:rsid w:val="00DE3570"/>
    <w:rsid w:val="00DE372D"/>
    <w:rsid w:val="00DE3962"/>
    <w:rsid w:val="00DE39A5"/>
    <w:rsid w:val="00DE4386"/>
    <w:rsid w:val="00DE454D"/>
    <w:rsid w:val="00DE47A4"/>
    <w:rsid w:val="00DE5446"/>
    <w:rsid w:val="00DE5A32"/>
    <w:rsid w:val="00DE5F46"/>
    <w:rsid w:val="00DE68C1"/>
    <w:rsid w:val="00DE6E9C"/>
    <w:rsid w:val="00DE6FFD"/>
    <w:rsid w:val="00DE70D1"/>
    <w:rsid w:val="00DE7336"/>
    <w:rsid w:val="00DE7842"/>
    <w:rsid w:val="00DE7D50"/>
    <w:rsid w:val="00DF0074"/>
    <w:rsid w:val="00DF0D1D"/>
    <w:rsid w:val="00DF0F84"/>
    <w:rsid w:val="00DF1A03"/>
    <w:rsid w:val="00DF1BB8"/>
    <w:rsid w:val="00DF21D4"/>
    <w:rsid w:val="00DF2414"/>
    <w:rsid w:val="00DF25E4"/>
    <w:rsid w:val="00DF2B85"/>
    <w:rsid w:val="00DF2BDD"/>
    <w:rsid w:val="00DF30D0"/>
    <w:rsid w:val="00DF340A"/>
    <w:rsid w:val="00DF3450"/>
    <w:rsid w:val="00DF393D"/>
    <w:rsid w:val="00DF3A83"/>
    <w:rsid w:val="00DF3AC9"/>
    <w:rsid w:val="00DF3CDF"/>
    <w:rsid w:val="00DF3CF0"/>
    <w:rsid w:val="00DF4AA1"/>
    <w:rsid w:val="00DF5076"/>
    <w:rsid w:val="00DF529A"/>
    <w:rsid w:val="00DF5470"/>
    <w:rsid w:val="00DF54C0"/>
    <w:rsid w:val="00DF5B3B"/>
    <w:rsid w:val="00DF5C80"/>
    <w:rsid w:val="00DF5EFB"/>
    <w:rsid w:val="00DF6285"/>
    <w:rsid w:val="00DF64F1"/>
    <w:rsid w:val="00DF6538"/>
    <w:rsid w:val="00DF6772"/>
    <w:rsid w:val="00DF67B7"/>
    <w:rsid w:val="00DF6AA4"/>
    <w:rsid w:val="00DF6AE7"/>
    <w:rsid w:val="00DF7072"/>
    <w:rsid w:val="00DF70A7"/>
    <w:rsid w:val="00DF777F"/>
    <w:rsid w:val="00DF77A5"/>
    <w:rsid w:val="00E00924"/>
    <w:rsid w:val="00E0098B"/>
    <w:rsid w:val="00E00AFF"/>
    <w:rsid w:val="00E012A5"/>
    <w:rsid w:val="00E0196C"/>
    <w:rsid w:val="00E01DE5"/>
    <w:rsid w:val="00E02066"/>
    <w:rsid w:val="00E022AD"/>
    <w:rsid w:val="00E0255D"/>
    <w:rsid w:val="00E02BF6"/>
    <w:rsid w:val="00E03820"/>
    <w:rsid w:val="00E03AD8"/>
    <w:rsid w:val="00E03E18"/>
    <w:rsid w:val="00E03F95"/>
    <w:rsid w:val="00E04594"/>
    <w:rsid w:val="00E051D6"/>
    <w:rsid w:val="00E0552E"/>
    <w:rsid w:val="00E05E67"/>
    <w:rsid w:val="00E062FD"/>
    <w:rsid w:val="00E06EEF"/>
    <w:rsid w:val="00E079BB"/>
    <w:rsid w:val="00E07D91"/>
    <w:rsid w:val="00E105A5"/>
    <w:rsid w:val="00E10799"/>
    <w:rsid w:val="00E10A77"/>
    <w:rsid w:val="00E10CE2"/>
    <w:rsid w:val="00E113B2"/>
    <w:rsid w:val="00E1152D"/>
    <w:rsid w:val="00E12914"/>
    <w:rsid w:val="00E12B46"/>
    <w:rsid w:val="00E12B65"/>
    <w:rsid w:val="00E12B87"/>
    <w:rsid w:val="00E13130"/>
    <w:rsid w:val="00E13C7E"/>
    <w:rsid w:val="00E13CDC"/>
    <w:rsid w:val="00E13DD9"/>
    <w:rsid w:val="00E14046"/>
    <w:rsid w:val="00E14A09"/>
    <w:rsid w:val="00E14F57"/>
    <w:rsid w:val="00E15077"/>
    <w:rsid w:val="00E15175"/>
    <w:rsid w:val="00E153C4"/>
    <w:rsid w:val="00E15A99"/>
    <w:rsid w:val="00E1607C"/>
    <w:rsid w:val="00E1654C"/>
    <w:rsid w:val="00E16D5D"/>
    <w:rsid w:val="00E1715D"/>
    <w:rsid w:val="00E17293"/>
    <w:rsid w:val="00E2086E"/>
    <w:rsid w:val="00E2095C"/>
    <w:rsid w:val="00E20B07"/>
    <w:rsid w:val="00E20E79"/>
    <w:rsid w:val="00E210E2"/>
    <w:rsid w:val="00E21E55"/>
    <w:rsid w:val="00E2254C"/>
    <w:rsid w:val="00E22CC9"/>
    <w:rsid w:val="00E22D7F"/>
    <w:rsid w:val="00E22DAC"/>
    <w:rsid w:val="00E23955"/>
    <w:rsid w:val="00E23DC3"/>
    <w:rsid w:val="00E241F3"/>
    <w:rsid w:val="00E2421E"/>
    <w:rsid w:val="00E24927"/>
    <w:rsid w:val="00E24CAB"/>
    <w:rsid w:val="00E25BD7"/>
    <w:rsid w:val="00E25C04"/>
    <w:rsid w:val="00E2604D"/>
    <w:rsid w:val="00E26133"/>
    <w:rsid w:val="00E26AD3"/>
    <w:rsid w:val="00E26BA4"/>
    <w:rsid w:val="00E26D60"/>
    <w:rsid w:val="00E315F5"/>
    <w:rsid w:val="00E31679"/>
    <w:rsid w:val="00E32514"/>
    <w:rsid w:val="00E326AD"/>
    <w:rsid w:val="00E328CC"/>
    <w:rsid w:val="00E331CE"/>
    <w:rsid w:val="00E332AA"/>
    <w:rsid w:val="00E3392D"/>
    <w:rsid w:val="00E3395E"/>
    <w:rsid w:val="00E34598"/>
    <w:rsid w:val="00E34B4F"/>
    <w:rsid w:val="00E34E25"/>
    <w:rsid w:val="00E357F9"/>
    <w:rsid w:val="00E359C0"/>
    <w:rsid w:val="00E35ABE"/>
    <w:rsid w:val="00E35D12"/>
    <w:rsid w:val="00E35F96"/>
    <w:rsid w:val="00E36722"/>
    <w:rsid w:val="00E37345"/>
    <w:rsid w:val="00E37799"/>
    <w:rsid w:val="00E37DA1"/>
    <w:rsid w:val="00E402E1"/>
    <w:rsid w:val="00E408AB"/>
    <w:rsid w:val="00E40A38"/>
    <w:rsid w:val="00E40C54"/>
    <w:rsid w:val="00E41111"/>
    <w:rsid w:val="00E4132B"/>
    <w:rsid w:val="00E413DA"/>
    <w:rsid w:val="00E42C4A"/>
    <w:rsid w:val="00E4370B"/>
    <w:rsid w:val="00E43A5C"/>
    <w:rsid w:val="00E43A7F"/>
    <w:rsid w:val="00E43EA2"/>
    <w:rsid w:val="00E44164"/>
    <w:rsid w:val="00E4489D"/>
    <w:rsid w:val="00E44D21"/>
    <w:rsid w:val="00E44F8B"/>
    <w:rsid w:val="00E454AD"/>
    <w:rsid w:val="00E455C9"/>
    <w:rsid w:val="00E45926"/>
    <w:rsid w:val="00E45F9A"/>
    <w:rsid w:val="00E4656C"/>
    <w:rsid w:val="00E4692A"/>
    <w:rsid w:val="00E46AFE"/>
    <w:rsid w:val="00E46C15"/>
    <w:rsid w:val="00E46CC2"/>
    <w:rsid w:val="00E46F80"/>
    <w:rsid w:val="00E470EB"/>
    <w:rsid w:val="00E472F8"/>
    <w:rsid w:val="00E475D8"/>
    <w:rsid w:val="00E47858"/>
    <w:rsid w:val="00E4796C"/>
    <w:rsid w:val="00E506AF"/>
    <w:rsid w:val="00E50F59"/>
    <w:rsid w:val="00E5147A"/>
    <w:rsid w:val="00E515AA"/>
    <w:rsid w:val="00E516A8"/>
    <w:rsid w:val="00E51A54"/>
    <w:rsid w:val="00E51E8C"/>
    <w:rsid w:val="00E52A4E"/>
    <w:rsid w:val="00E52BA8"/>
    <w:rsid w:val="00E53617"/>
    <w:rsid w:val="00E539D2"/>
    <w:rsid w:val="00E53B5D"/>
    <w:rsid w:val="00E5404D"/>
    <w:rsid w:val="00E542D5"/>
    <w:rsid w:val="00E54567"/>
    <w:rsid w:val="00E5493E"/>
    <w:rsid w:val="00E5499E"/>
    <w:rsid w:val="00E54A30"/>
    <w:rsid w:val="00E54BA2"/>
    <w:rsid w:val="00E54FD1"/>
    <w:rsid w:val="00E5511B"/>
    <w:rsid w:val="00E554EC"/>
    <w:rsid w:val="00E559D4"/>
    <w:rsid w:val="00E561E0"/>
    <w:rsid w:val="00E56741"/>
    <w:rsid w:val="00E5689D"/>
    <w:rsid w:val="00E57084"/>
    <w:rsid w:val="00E5723C"/>
    <w:rsid w:val="00E60ACE"/>
    <w:rsid w:val="00E60D31"/>
    <w:rsid w:val="00E60ED7"/>
    <w:rsid w:val="00E6133C"/>
    <w:rsid w:val="00E616CF"/>
    <w:rsid w:val="00E618E0"/>
    <w:rsid w:val="00E62AE2"/>
    <w:rsid w:val="00E62F19"/>
    <w:rsid w:val="00E62F5F"/>
    <w:rsid w:val="00E63033"/>
    <w:rsid w:val="00E63471"/>
    <w:rsid w:val="00E63477"/>
    <w:rsid w:val="00E63AED"/>
    <w:rsid w:val="00E63FEA"/>
    <w:rsid w:val="00E6448A"/>
    <w:rsid w:val="00E645A7"/>
    <w:rsid w:val="00E650AE"/>
    <w:rsid w:val="00E65715"/>
    <w:rsid w:val="00E65987"/>
    <w:rsid w:val="00E65EF1"/>
    <w:rsid w:val="00E66173"/>
    <w:rsid w:val="00E662A1"/>
    <w:rsid w:val="00E66902"/>
    <w:rsid w:val="00E675BE"/>
    <w:rsid w:val="00E67979"/>
    <w:rsid w:val="00E67F3E"/>
    <w:rsid w:val="00E709C3"/>
    <w:rsid w:val="00E71393"/>
    <w:rsid w:val="00E715AC"/>
    <w:rsid w:val="00E71C64"/>
    <w:rsid w:val="00E7205F"/>
    <w:rsid w:val="00E73A5F"/>
    <w:rsid w:val="00E741CD"/>
    <w:rsid w:val="00E743F6"/>
    <w:rsid w:val="00E7474C"/>
    <w:rsid w:val="00E749E1"/>
    <w:rsid w:val="00E74F01"/>
    <w:rsid w:val="00E75534"/>
    <w:rsid w:val="00E75CF1"/>
    <w:rsid w:val="00E76009"/>
    <w:rsid w:val="00E760BE"/>
    <w:rsid w:val="00E76155"/>
    <w:rsid w:val="00E763A3"/>
    <w:rsid w:val="00E766E8"/>
    <w:rsid w:val="00E76796"/>
    <w:rsid w:val="00E76C41"/>
    <w:rsid w:val="00E7758E"/>
    <w:rsid w:val="00E77957"/>
    <w:rsid w:val="00E77B67"/>
    <w:rsid w:val="00E77D63"/>
    <w:rsid w:val="00E77F9F"/>
    <w:rsid w:val="00E802C5"/>
    <w:rsid w:val="00E80453"/>
    <w:rsid w:val="00E80E30"/>
    <w:rsid w:val="00E80EBA"/>
    <w:rsid w:val="00E8146B"/>
    <w:rsid w:val="00E81B4E"/>
    <w:rsid w:val="00E81C2F"/>
    <w:rsid w:val="00E82459"/>
    <w:rsid w:val="00E824AC"/>
    <w:rsid w:val="00E828AD"/>
    <w:rsid w:val="00E82DE8"/>
    <w:rsid w:val="00E8349C"/>
    <w:rsid w:val="00E8356D"/>
    <w:rsid w:val="00E83EDA"/>
    <w:rsid w:val="00E8408B"/>
    <w:rsid w:val="00E843B9"/>
    <w:rsid w:val="00E84517"/>
    <w:rsid w:val="00E84AE1"/>
    <w:rsid w:val="00E84BE3"/>
    <w:rsid w:val="00E85007"/>
    <w:rsid w:val="00E850A9"/>
    <w:rsid w:val="00E852FB"/>
    <w:rsid w:val="00E85977"/>
    <w:rsid w:val="00E85B67"/>
    <w:rsid w:val="00E86122"/>
    <w:rsid w:val="00E865B5"/>
    <w:rsid w:val="00E86CE5"/>
    <w:rsid w:val="00E86F20"/>
    <w:rsid w:val="00E86FE1"/>
    <w:rsid w:val="00E873BB"/>
    <w:rsid w:val="00E87409"/>
    <w:rsid w:val="00E877F8"/>
    <w:rsid w:val="00E87A03"/>
    <w:rsid w:val="00E90760"/>
    <w:rsid w:val="00E90BF2"/>
    <w:rsid w:val="00E910DF"/>
    <w:rsid w:val="00E91450"/>
    <w:rsid w:val="00E91471"/>
    <w:rsid w:val="00E9180E"/>
    <w:rsid w:val="00E91B95"/>
    <w:rsid w:val="00E91FFA"/>
    <w:rsid w:val="00E92048"/>
    <w:rsid w:val="00E92708"/>
    <w:rsid w:val="00E9278A"/>
    <w:rsid w:val="00E92830"/>
    <w:rsid w:val="00E92B51"/>
    <w:rsid w:val="00E92D11"/>
    <w:rsid w:val="00E92E36"/>
    <w:rsid w:val="00E92FCC"/>
    <w:rsid w:val="00E935BE"/>
    <w:rsid w:val="00E941C0"/>
    <w:rsid w:val="00E944E5"/>
    <w:rsid w:val="00E95085"/>
    <w:rsid w:val="00E951B5"/>
    <w:rsid w:val="00E951F3"/>
    <w:rsid w:val="00E95222"/>
    <w:rsid w:val="00E95AC3"/>
    <w:rsid w:val="00E9603B"/>
    <w:rsid w:val="00E9661D"/>
    <w:rsid w:val="00E9714C"/>
    <w:rsid w:val="00E976AC"/>
    <w:rsid w:val="00EA03D7"/>
    <w:rsid w:val="00EA09A4"/>
    <w:rsid w:val="00EA0B8C"/>
    <w:rsid w:val="00EA0F9F"/>
    <w:rsid w:val="00EA103D"/>
    <w:rsid w:val="00EA14C5"/>
    <w:rsid w:val="00EA162A"/>
    <w:rsid w:val="00EA1CA5"/>
    <w:rsid w:val="00EA1CE3"/>
    <w:rsid w:val="00EA21D0"/>
    <w:rsid w:val="00EA2727"/>
    <w:rsid w:val="00EA2DB7"/>
    <w:rsid w:val="00EA2E43"/>
    <w:rsid w:val="00EA2F63"/>
    <w:rsid w:val="00EA3D0B"/>
    <w:rsid w:val="00EA41E8"/>
    <w:rsid w:val="00EA45D6"/>
    <w:rsid w:val="00EA5233"/>
    <w:rsid w:val="00EA53F1"/>
    <w:rsid w:val="00EA5625"/>
    <w:rsid w:val="00EA6252"/>
    <w:rsid w:val="00EA683D"/>
    <w:rsid w:val="00EA7070"/>
    <w:rsid w:val="00EA7086"/>
    <w:rsid w:val="00EA738B"/>
    <w:rsid w:val="00EB1892"/>
    <w:rsid w:val="00EB1C04"/>
    <w:rsid w:val="00EB23C4"/>
    <w:rsid w:val="00EB2E60"/>
    <w:rsid w:val="00EB34BE"/>
    <w:rsid w:val="00EB3B20"/>
    <w:rsid w:val="00EB3B65"/>
    <w:rsid w:val="00EB3C9C"/>
    <w:rsid w:val="00EB42FA"/>
    <w:rsid w:val="00EB4DD2"/>
    <w:rsid w:val="00EB5F92"/>
    <w:rsid w:val="00EB621A"/>
    <w:rsid w:val="00EB6852"/>
    <w:rsid w:val="00EB6BAE"/>
    <w:rsid w:val="00EB6F4E"/>
    <w:rsid w:val="00EB71A5"/>
    <w:rsid w:val="00EB72F6"/>
    <w:rsid w:val="00EB753C"/>
    <w:rsid w:val="00EB77E0"/>
    <w:rsid w:val="00EC0002"/>
    <w:rsid w:val="00EC00DC"/>
    <w:rsid w:val="00EC0548"/>
    <w:rsid w:val="00EC11FD"/>
    <w:rsid w:val="00EC153D"/>
    <w:rsid w:val="00EC1A34"/>
    <w:rsid w:val="00EC2A91"/>
    <w:rsid w:val="00EC2ADD"/>
    <w:rsid w:val="00EC2F30"/>
    <w:rsid w:val="00EC334D"/>
    <w:rsid w:val="00EC33B8"/>
    <w:rsid w:val="00EC33DA"/>
    <w:rsid w:val="00EC34C4"/>
    <w:rsid w:val="00EC3B62"/>
    <w:rsid w:val="00EC4169"/>
    <w:rsid w:val="00EC4175"/>
    <w:rsid w:val="00EC44CB"/>
    <w:rsid w:val="00EC4D96"/>
    <w:rsid w:val="00EC51E5"/>
    <w:rsid w:val="00EC56FF"/>
    <w:rsid w:val="00EC62ED"/>
    <w:rsid w:val="00EC6481"/>
    <w:rsid w:val="00EC6540"/>
    <w:rsid w:val="00EC6A00"/>
    <w:rsid w:val="00EC6BC6"/>
    <w:rsid w:val="00EC6DAE"/>
    <w:rsid w:val="00EC7075"/>
    <w:rsid w:val="00ED0494"/>
    <w:rsid w:val="00ED0E68"/>
    <w:rsid w:val="00ED147B"/>
    <w:rsid w:val="00ED187E"/>
    <w:rsid w:val="00ED1A38"/>
    <w:rsid w:val="00ED1AEF"/>
    <w:rsid w:val="00ED1FEC"/>
    <w:rsid w:val="00ED213F"/>
    <w:rsid w:val="00ED2154"/>
    <w:rsid w:val="00ED2DFE"/>
    <w:rsid w:val="00ED34FC"/>
    <w:rsid w:val="00ED367B"/>
    <w:rsid w:val="00ED3710"/>
    <w:rsid w:val="00ED4371"/>
    <w:rsid w:val="00ED43C5"/>
    <w:rsid w:val="00ED43DB"/>
    <w:rsid w:val="00ED444C"/>
    <w:rsid w:val="00ED4741"/>
    <w:rsid w:val="00ED4A30"/>
    <w:rsid w:val="00ED4AA4"/>
    <w:rsid w:val="00ED4B13"/>
    <w:rsid w:val="00ED4FC7"/>
    <w:rsid w:val="00ED50B2"/>
    <w:rsid w:val="00ED5106"/>
    <w:rsid w:val="00ED535B"/>
    <w:rsid w:val="00ED586A"/>
    <w:rsid w:val="00ED63B2"/>
    <w:rsid w:val="00ED6809"/>
    <w:rsid w:val="00ED6EEE"/>
    <w:rsid w:val="00ED70A0"/>
    <w:rsid w:val="00ED7E42"/>
    <w:rsid w:val="00ED7F6F"/>
    <w:rsid w:val="00ED7F8A"/>
    <w:rsid w:val="00ED7FFD"/>
    <w:rsid w:val="00EE0584"/>
    <w:rsid w:val="00EE0889"/>
    <w:rsid w:val="00EE0CBB"/>
    <w:rsid w:val="00EE14AD"/>
    <w:rsid w:val="00EE1626"/>
    <w:rsid w:val="00EE17EA"/>
    <w:rsid w:val="00EE1913"/>
    <w:rsid w:val="00EE1959"/>
    <w:rsid w:val="00EE19A3"/>
    <w:rsid w:val="00EE1FA8"/>
    <w:rsid w:val="00EE2084"/>
    <w:rsid w:val="00EE28C9"/>
    <w:rsid w:val="00EE2FCE"/>
    <w:rsid w:val="00EE42DF"/>
    <w:rsid w:val="00EE4732"/>
    <w:rsid w:val="00EE4899"/>
    <w:rsid w:val="00EE49A8"/>
    <w:rsid w:val="00EE5192"/>
    <w:rsid w:val="00EE59A9"/>
    <w:rsid w:val="00EE59DA"/>
    <w:rsid w:val="00EE61E1"/>
    <w:rsid w:val="00EE6A93"/>
    <w:rsid w:val="00EE7A63"/>
    <w:rsid w:val="00EE7AFC"/>
    <w:rsid w:val="00EE7E9F"/>
    <w:rsid w:val="00EF04E3"/>
    <w:rsid w:val="00EF067C"/>
    <w:rsid w:val="00EF0811"/>
    <w:rsid w:val="00EF0969"/>
    <w:rsid w:val="00EF1829"/>
    <w:rsid w:val="00EF192C"/>
    <w:rsid w:val="00EF1C7A"/>
    <w:rsid w:val="00EF1DC6"/>
    <w:rsid w:val="00EF24AF"/>
    <w:rsid w:val="00EF24FB"/>
    <w:rsid w:val="00EF2795"/>
    <w:rsid w:val="00EF27B7"/>
    <w:rsid w:val="00EF29E2"/>
    <w:rsid w:val="00EF2F25"/>
    <w:rsid w:val="00EF3A1C"/>
    <w:rsid w:val="00EF3C97"/>
    <w:rsid w:val="00EF3FD9"/>
    <w:rsid w:val="00EF44A3"/>
    <w:rsid w:val="00EF467D"/>
    <w:rsid w:val="00EF4E33"/>
    <w:rsid w:val="00EF4F2C"/>
    <w:rsid w:val="00EF5326"/>
    <w:rsid w:val="00EF537C"/>
    <w:rsid w:val="00EF55E3"/>
    <w:rsid w:val="00EF5641"/>
    <w:rsid w:val="00EF5D84"/>
    <w:rsid w:val="00EF6D8C"/>
    <w:rsid w:val="00EF7007"/>
    <w:rsid w:val="00EF729C"/>
    <w:rsid w:val="00EF75E3"/>
    <w:rsid w:val="00EF762E"/>
    <w:rsid w:val="00EF7C0C"/>
    <w:rsid w:val="00F000CD"/>
    <w:rsid w:val="00F00185"/>
    <w:rsid w:val="00F0031B"/>
    <w:rsid w:val="00F003B2"/>
    <w:rsid w:val="00F00561"/>
    <w:rsid w:val="00F0065C"/>
    <w:rsid w:val="00F0068D"/>
    <w:rsid w:val="00F008EC"/>
    <w:rsid w:val="00F009CE"/>
    <w:rsid w:val="00F0113B"/>
    <w:rsid w:val="00F01F20"/>
    <w:rsid w:val="00F02090"/>
    <w:rsid w:val="00F029BD"/>
    <w:rsid w:val="00F029CF"/>
    <w:rsid w:val="00F02B55"/>
    <w:rsid w:val="00F02BB4"/>
    <w:rsid w:val="00F03966"/>
    <w:rsid w:val="00F0420B"/>
    <w:rsid w:val="00F04825"/>
    <w:rsid w:val="00F04B3D"/>
    <w:rsid w:val="00F04E74"/>
    <w:rsid w:val="00F05603"/>
    <w:rsid w:val="00F0580A"/>
    <w:rsid w:val="00F05B41"/>
    <w:rsid w:val="00F05BDE"/>
    <w:rsid w:val="00F05C31"/>
    <w:rsid w:val="00F05E0C"/>
    <w:rsid w:val="00F060D1"/>
    <w:rsid w:val="00F062F9"/>
    <w:rsid w:val="00F06478"/>
    <w:rsid w:val="00F07340"/>
    <w:rsid w:val="00F07BF2"/>
    <w:rsid w:val="00F07C9C"/>
    <w:rsid w:val="00F10249"/>
    <w:rsid w:val="00F105E5"/>
    <w:rsid w:val="00F1067B"/>
    <w:rsid w:val="00F1086F"/>
    <w:rsid w:val="00F109C5"/>
    <w:rsid w:val="00F11713"/>
    <w:rsid w:val="00F120BC"/>
    <w:rsid w:val="00F1298C"/>
    <w:rsid w:val="00F12A6A"/>
    <w:rsid w:val="00F12AEC"/>
    <w:rsid w:val="00F12CB1"/>
    <w:rsid w:val="00F12D9F"/>
    <w:rsid w:val="00F131ED"/>
    <w:rsid w:val="00F134F9"/>
    <w:rsid w:val="00F1353E"/>
    <w:rsid w:val="00F137DF"/>
    <w:rsid w:val="00F13933"/>
    <w:rsid w:val="00F13A98"/>
    <w:rsid w:val="00F14033"/>
    <w:rsid w:val="00F14264"/>
    <w:rsid w:val="00F1437A"/>
    <w:rsid w:val="00F14D3C"/>
    <w:rsid w:val="00F14FE9"/>
    <w:rsid w:val="00F15052"/>
    <w:rsid w:val="00F158FE"/>
    <w:rsid w:val="00F15F6F"/>
    <w:rsid w:val="00F15F84"/>
    <w:rsid w:val="00F16630"/>
    <w:rsid w:val="00F16B3B"/>
    <w:rsid w:val="00F16D19"/>
    <w:rsid w:val="00F17283"/>
    <w:rsid w:val="00F173EF"/>
    <w:rsid w:val="00F175FD"/>
    <w:rsid w:val="00F17E8A"/>
    <w:rsid w:val="00F17ED9"/>
    <w:rsid w:val="00F20143"/>
    <w:rsid w:val="00F20215"/>
    <w:rsid w:val="00F2031B"/>
    <w:rsid w:val="00F20535"/>
    <w:rsid w:val="00F20B52"/>
    <w:rsid w:val="00F20FEF"/>
    <w:rsid w:val="00F210F3"/>
    <w:rsid w:val="00F212BA"/>
    <w:rsid w:val="00F2134E"/>
    <w:rsid w:val="00F21F1F"/>
    <w:rsid w:val="00F224E0"/>
    <w:rsid w:val="00F22BDF"/>
    <w:rsid w:val="00F2349B"/>
    <w:rsid w:val="00F23573"/>
    <w:rsid w:val="00F23575"/>
    <w:rsid w:val="00F2386D"/>
    <w:rsid w:val="00F23CE5"/>
    <w:rsid w:val="00F23D89"/>
    <w:rsid w:val="00F246A4"/>
    <w:rsid w:val="00F247E6"/>
    <w:rsid w:val="00F24B66"/>
    <w:rsid w:val="00F24B8A"/>
    <w:rsid w:val="00F255BE"/>
    <w:rsid w:val="00F25631"/>
    <w:rsid w:val="00F25CA9"/>
    <w:rsid w:val="00F264D4"/>
    <w:rsid w:val="00F267B9"/>
    <w:rsid w:val="00F267D1"/>
    <w:rsid w:val="00F26ADC"/>
    <w:rsid w:val="00F26B34"/>
    <w:rsid w:val="00F26B72"/>
    <w:rsid w:val="00F26F49"/>
    <w:rsid w:val="00F2725E"/>
    <w:rsid w:val="00F2747C"/>
    <w:rsid w:val="00F274E2"/>
    <w:rsid w:val="00F27FCD"/>
    <w:rsid w:val="00F301F0"/>
    <w:rsid w:val="00F30654"/>
    <w:rsid w:val="00F3130F"/>
    <w:rsid w:val="00F3141C"/>
    <w:rsid w:val="00F316FB"/>
    <w:rsid w:val="00F318FB"/>
    <w:rsid w:val="00F31B59"/>
    <w:rsid w:val="00F3239A"/>
    <w:rsid w:val="00F323C9"/>
    <w:rsid w:val="00F339CD"/>
    <w:rsid w:val="00F33DE1"/>
    <w:rsid w:val="00F347DB"/>
    <w:rsid w:val="00F347F3"/>
    <w:rsid w:val="00F348F8"/>
    <w:rsid w:val="00F34A35"/>
    <w:rsid w:val="00F34A36"/>
    <w:rsid w:val="00F35283"/>
    <w:rsid w:val="00F3560E"/>
    <w:rsid w:val="00F35B6A"/>
    <w:rsid w:val="00F36236"/>
    <w:rsid w:val="00F368D3"/>
    <w:rsid w:val="00F36918"/>
    <w:rsid w:val="00F36B28"/>
    <w:rsid w:val="00F36C11"/>
    <w:rsid w:val="00F36D01"/>
    <w:rsid w:val="00F3739B"/>
    <w:rsid w:val="00F37804"/>
    <w:rsid w:val="00F37D69"/>
    <w:rsid w:val="00F40340"/>
    <w:rsid w:val="00F407D5"/>
    <w:rsid w:val="00F40FC1"/>
    <w:rsid w:val="00F41094"/>
    <w:rsid w:val="00F4116E"/>
    <w:rsid w:val="00F4134D"/>
    <w:rsid w:val="00F414BD"/>
    <w:rsid w:val="00F41572"/>
    <w:rsid w:val="00F4159E"/>
    <w:rsid w:val="00F41C74"/>
    <w:rsid w:val="00F42DC6"/>
    <w:rsid w:val="00F42E1E"/>
    <w:rsid w:val="00F4320A"/>
    <w:rsid w:val="00F438AB"/>
    <w:rsid w:val="00F43D73"/>
    <w:rsid w:val="00F44947"/>
    <w:rsid w:val="00F452E1"/>
    <w:rsid w:val="00F45385"/>
    <w:rsid w:val="00F45710"/>
    <w:rsid w:val="00F46DF2"/>
    <w:rsid w:val="00F474C2"/>
    <w:rsid w:val="00F477C2"/>
    <w:rsid w:val="00F501CA"/>
    <w:rsid w:val="00F505D7"/>
    <w:rsid w:val="00F50A00"/>
    <w:rsid w:val="00F50A46"/>
    <w:rsid w:val="00F50ADE"/>
    <w:rsid w:val="00F50B3B"/>
    <w:rsid w:val="00F50C61"/>
    <w:rsid w:val="00F50D15"/>
    <w:rsid w:val="00F50E1D"/>
    <w:rsid w:val="00F50EDF"/>
    <w:rsid w:val="00F50F20"/>
    <w:rsid w:val="00F513A9"/>
    <w:rsid w:val="00F51690"/>
    <w:rsid w:val="00F51F13"/>
    <w:rsid w:val="00F52332"/>
    <w:rsid w:val="00F52530"/>
    <w:rsid w:val="00F529C1"/>
    <w:rsid w:val="00F52D9F"/>
    <w:rsid w:val="00F5310F"/>
    <w:rsid w:val="00F5313C"/>
    <w:rsid w:val="00F53184"/>
    <w:rsid w:val="00F53298"/>
    <w:rsid w:val="00F53392"/>
    <w:rsid w:val="00F533A8"/>
    <w:rsid w:val="00F535E0"/>
    <w:rsid w:val="00F53B63"/>
    <w:rsid w:val="00F53CF4"/>
    <w:rsid w:val="00F53D9D"/>
    <w:rsid w:val="00F53F7D"/>
    <w:rsid w:val="00F542BD"/>
    <w:rsid w:val="00F54335"/>
    <w:rsid w:val="00F54EAB"/>
    <w:rsid w:val="00F54F16"/>
    <w:rsid w:val="00F54F25"/>
    <w:rsid w:val="00F56343"/>
    <w:rsid w:val="00F566FB"/>
    <w:rsid w:val="00F56BB1"/>
    <w:rsid w:val="00F56D7A"/>
    <w:rsid w:val="00F56E29"/>
    <w:rsid w:val="00F56E90"/>
    <w:rsid w:val="00F577CB"/>
    <w:rsid w:val="00F57B66"/>
    <w:rsid w:val="00F60535"/>
    <w:rsid w:val="00F60698"/>
    <w:rsid w:val="00F606DA"/>
    <w:rsid w:val="00F60A63"/>
    <w:rsid w:val="00F60DEC"/>
    <w:rsid w:val="00F610B5"/>
    <w:rsid w:val="00F613F4"/>
    <w:rsid w:val="00F61652"/>
    <w:rsid w:val="00F61825"/>
    <w:rsid w:val="00F61CF3"/>
    <w:rsid w:val="00F62150"/>
    <w:rsid w:val="00F62339"/>
    <w:rsid w:val="00F62422"/>
    <w:rsid w:val="00F62B38"/>
    <w:rsid w:val="00F63B18"/>
    <w:rsid w:val="00F63B2A"/>
    <w:rsid w:val="00F64527"/>
    <w:rsid w:val="00F64644"/>
    <w:rsid w:val="00F6472F"/>
    <w:rsid w:val="00F64B75"/>
    <w:rsid w:val="00F65507"/>
    <w:rsid w:val="00F65EE0"/>
    <w:rsid w:val="00F663EA"/>
    <w:rsid w:val="00F66B9D"/>
    <w:rsid w:val="00F672D8"/>
    <w:rsid w:val="00F67388"/>
    <w:rsid w:val="00F678D9"/>
    <w:rsid w:val="00F67DA7"/>
    <w:rsid w:val="00F67FF1"/>
    <w:rsid w:val="00F70352"/>
    <w:rsid w:val="00F70563"/>
    <w:rsid w:val="00F7073A"/>
    <w:rsid w:val="00F70768"/>
    <w:rsid w:val="00F7322D"/>
    <w:rsid w:val="00F73352"/>
    <w:rsid w:val="00F73EE4"/>
    <w:rsid w:val="00F73FDB"/>
    <w:rsid w:val="00F74165"/>
    <w:rsid w:val="00F741F2"/>
    <w:rsid w:val="00F743AE"/>
    <w:rsid w:val="00F74B7A"/>
    <w:rsid w:val="00F7562B"/>
    <w:rsid w:val="00F7585F"/>
    <w:rsid w:val="00F75D68"/>
    <w:rsid w:val="00F75F69"/>
    <w:rsid w:val="00F75F6C"/>
    <w:rsid w:val="00F7668F"/>
    <w:rsid w:val="00F76ADD"/>
    <w:rsid w:val="00F76B80"/>
    <w:rsid w:val="00F76C91"/>
    <w:rsid w:val="00F76E88"/>
    <w:rsid w:val="00F7724F"/>
    <w:rsid w:val="00F811DD"/>
    <w:rsid w:val="00F813FA"/>
    <w:rsid w:val="00F814F5"/>
    <w:rsid w:val="00F819CB"/>
    <w:rsid w:val="00F82251"/>
    <w:rsid w:val="00F8231C"/>
    <w:rsid w:val="00F82461"/>
    <w:rsid w:val="00F8268C"/>
    <w:rsid w:val="00F82BDF"/>
    <w:rsid w:val="00F83321"/>
    <w:rsid w:val="00F83478"/>
    <w:rsid w:val="00F834B3"/>
    <w:rsid w:val="00F836A9"/>
    <w:rsid w:val="00F83BD8"/>
    <w:rsid w:val="00F83BF5"/>
    <w:rsid w:val="00F83C6F"/>
    <w:rsid w:val="00F83DA8"/>
    <w:rsid w:val="00F83DE6"/>
    <w:rsid w:val="00F842FB"/>
    <w:rsid w:val="00F84857"/>
    <w:rsid w:val="00F84D5C"/>
    <w:rsid w:val="00F84E18"/>
    <w:rsid w:val="00F84EC7"/>
    <w:rsid w:val="00F857E1"/>
    <w:rsid w:val="00F85DBF"/>
    <w:rsid w:val="00F85F67"/>
    <w:rsid w:val="00F877A1"/>
    <w:rsid w:val="00F878FA"/>
    <w:rsid w:val="00F87AF7"/>
    <w:rsid w:val="00F87EEB"/>
    <w:rsid w:val="00F904BC"/>
    <w:rsid w:val="00F9053A"/>
    <w:rsid w:val="00F905C8"/>
    <w:rsid w:val="00F90FA7"/>
    <w:rsid w:val="00F912F4"/>
    <w:rsid w:val="00F91C9F"/>
    <w:rsid w:val="00F91DED"/>
    <w:rsid w:val="00F91E1E"/>
    <w:rsid w:val="00F9293B"/>
    <w:rsid w:val="00F9294B"/>
    <w:rsid w:val="00F92AAD"/>
    <w:rsid w:val="00F92B91"/>
    <w:rsid w:val="00F92DE2"/>
    <w:rsid w:val="00F935A7"/>
    <w:rsid w:val="00F93626"/>
    <w:rsid w:val="00F93AA1"/>
    <w:rsid w:val="00F93B49"/>
    <w:rsid w:val="00F93E7C"/>
    <w:rsid w:val="00F93FAE"/>
    <w:rsid w:val="00F943F0"/>
    <w:rsid w:val="00F9488E"/>
    <w:rsid w:val="00F951AB"/>
    <w:rsid w:val="00F955E6"/>
    <w:rsid w:val="00F958D3"/>
    <w:rsid w:val="00F96236"/>
    <w:rsid w:val="00F96BFC"/>
    <w:rsid w:val="00F96C55"/>
    <w:rsid w:val="00F96E5A"/>
    <w:rsid w:val="00F96EC0"/>
    <w:rsid w:val="00F96F19"/>
    <w:rsid w:val="00F970DC"/>
    <w:rsid w:val="00F975B5"/>
    <w:rsid w:val="00F976E9"/>
    <w:rsid w:val="00F97AF3"/>
    <w:rsid w:val="00F97F19"/>
    <w:rsid w:val="00FA0CE9"/>
    <w:rsid w:val="00FA117C"/>
    <w:rsid w:val="00FA125F"/>
    <w:rsid w:val="00FA1522"/>
    <w:rsid w:val="00FA1795"/>
    <w:rsid w:val="00FA18A4"/>
    <w:rsid w:val="00FA1F44"/>
    <w:rsid w:val="00FA20DA"/>
    <w:rsid w:val="00FA2D38"/>
    <w:rsid w:val="00FA2EBB"/>
    <w:rsid w:val="00FA3099"/>
    <w:rsid w:val="00FA350C"/>
    <w:rsid w:val="00FA367C"/>
    <w:rsid w:val="00FA4149"/>
    <w:rsid w:val="00FA439D"/>
    <w:rsid w:val="00FA4B18"/>
    <w:rsid w:val="00FA4DD6"/>
    <w:rsid w:val="00FA4F90"/>
    <w:rsid w:val="00FA4F9D"/>
    <w:rsid w:val="00FA5EFF"/>
    <w:rsid w:val="00FA665F"/>
    <w:rsid w:val="00FA6FB8"/>
    <w:rsid w:val="00FA7794"/>
    <w:rsid w:val="00FA7D23"/>
    <w:rsid w:val="00FB037E"/>
    <w:rsid w:val="00FB0E0C"/>
    <w:rsid w:val="00FB1091"/>
    <w:rsid w:val="00FB1724"/>
    <w:rsid w:val="00FB211E"/>
    <w:rsid w:val="00FB2364"/>
    <w:rsid w:val="00FB2CA7"/>
    <w:rsid w:val="00FB3030"/>
    <w:rsid w:val="00FB3037"/>
    <w:rsid w:val="00FB331C"/>
    <w:rsid w:val="00FB3595"/>
    <w:rsid w:val="00FB3B6B"/>
    <w:rsid w:val="00FB47D3"/>
    <w:rsid w:val="00FB4F03"/>
    <w:rsid w:val="00FB5287"/>
    <w:rsid w:val="00FB55D3"/>
    <w:rsid w:val="00FB5747"/>
    <w:rsid w:val="00FB589A"/>
    <w:rsid w:val="00FB5E86"/>
    <w:rsid w:val="00FB63DD"/>
    <w:rsid w:val="00FB6F0F"/>
    <w:rsid w:val="00FB6F13"/>
    <w:rsid w:val="00FB6FAF"/>
    <w:rsid w:val="00FB71DF"/>
    <w:rsid w:val="00FB752D"/>
    <w:rsid w:val="00FB784F"/>
    <w:rsid w:val="00FB7AC9"/>
    <w:rsid w:val="00FB7C35"/>
    <w:rsid w:val="00FB7F05"/>
    <w:rsid w:val="00FC011C"/>
    <w:rsid w:val="00FC015E"/>
    <w:rsid w:val="00FC0DB5"/>
    <w:rsid w:val="00FC1C14"/>
    <w:rsid w:val="00FC27AC"/>
    <w:rsid w:val="00FC2913"/>
    <w:rsid w:val="00FC2BBC"/>
    <w:rsid w:val="00FC33A8"/>
    <w:rsid w:val="00FC3878"/>
    <w:rsid w:val="00FC3D82"/>
    <w:rsid w:val="00FC4143"/>
    <w:rsid w:val="00FC428D"/>
    <w:rsid w:val="00FC43C4"/>
    <w:rsid w:val="00FC44A3"/>
    <w:rsid w:val="00FC49DF"/>
    <w:rsid w:val="00FC4B38"/>
    <w:rsid w:val="00FC530B"/>
    <w:rsid w:val="00FC555B"/>
    <w:rsid w:val="00FC562C"/>
    <w:rsid w:val="00FC5FE6"/>
    <w:rsid w:val="00FC6361"/>
    <w:rsid w:val="00FC6A8E"/>
    <w:rsid w:val="00FC6FF5"/>
    <w:rsid w:val="00FC7115"/>
    <w:rsid w:val="00FC7DAD"/>
    <w:rsid w:val="00FD0920"/>
    <w:rsid w:val="00FD1269"/>
    <w:rsid w:val="00FD1495"/>
    <w:rsid w:val="00FD1589"/>
    <w:rsid w:val="00FD1F92"/>
    <w:rsid w:val="00FD232E"/>
    <w:rsid w:val="00FD2643"/>
    <w:rsid w:val="00FD2894"/>
    <w:rsid w:val="00FD297B"/>
    <w:rsid w:val="00FD2ED4"/>
    <w:rsid w:val="00FD2FA3"/>
    <w:rsid w:val="00FD3085"/>
    <w:rsid w:val="00FD38FB"/>
    <w:rsid w:val="00FD3A2C"/>
    <w:rsid w:val="00FD3F53"/>
    <w:rsid w:val="00FD4604"/>
    <w:rsid w:val="00FD493D"/>
    <w:rsid w:val="00FD4AF5"/>
    <w:rsid w:val="00FD4FB3"/>
    <w:rsid w:val="00FD6548"/>
    <w:rsid w:val="00FD6780"/>
    <w:rsid w:val="00FD6FE0"/>
    <w:rsid w:val="00FD75B0"/>
    <w:rsid w:val="00FE04E0"/>
    <w:rsid w:val="00FE06C4"/>
    <w:rsid w:val="00FE09CE"/>
    <w:rsid w:val="00FE0EE4"/>
    <w:rsid w:val="00FE13DA"/>
    <w:rsid w:val="00FE15F7"/>
    <w:rsid w:val="00FE2022"/>
    <w:rsid w:val="00FE2029"/>
    <w:rsid w:val="00FE2522"/>
    <w:rsid w:val="00FE2687"/>
    <w:rsid w:val="00FE278D"/>
    <w:rsid w:val="00FE3609"/>
    <w:rsid w:val="00FE38FF"/>
    <w:rsid w:val="00FE3B31"/>
    <w:rsid w:val="00FE3F73"/>
    <w:rsid w:val="00FE4042"/>
    <w:rsid w:val="00FE4936"/>
    <w:rsid w:val="00FE4B29"/>
    <w:rsid w:val="00FE4C5D"/>
    <w:rsid w:val="00FE507F"/>
    <w:rsid w:val="00FE5262"/>
    <w:rsid w:val="00FE5544"/>
    <w:rsid w:val="00FE5624"/>
    <w:rsid w:val="00FE5829"/>
    <w:rsid w:val="00FE6364"/>
    <w:rsid w:val="00FE6912"/>
    <w:rsid w:val="00FE694D"/>
    <w:rsid w:val="00FE69CD"/>
    <w:rsid w:val="00FE7009"/>
    <w:rsid w:val="00FF03EA"/>
    <w:rsid w:val="00FF05D7"/>
    <w:rsid w:val="00FF110F"/>
    <w:rsid w:val="00FF15C4"/>
    <w:rsid w:val="00FF18CE"/>
    <w:rsid w:val="00FF1BBA"/>
    <w:rsid w:val="00FF1F55"/>
    <w:rsid w:val="00FF20E4"/>
    <w:rsid w:val="00FF2C8E"/>
    <w:rsid w:val="00FF2D42"/>
    <w:rsid w:val="00FF3939"/>
    <w:rsid w:val="00FF3943"/>
    <w:rsid w:val="00FF3B89"/>
    <w:rsid w:val="00FF3E33"/>
    <w:rsid w:val="00FF4737"/>
    <w:rsid w:val="00FF4D20"/>
    <w:rsid w:val="00FF4D97"/>
    <w:rsid w:val="00FF51AD"/>
    <w:rsid w:val="00FF5B84"/>
    <w:rsid w:val="00FF5F58"/>
    <w:rsid w:val="00FF604E"/>
    <w:rsid w:val="00FF6902"/>
    <w:rsid w:val="00FF717F"/>
    <w:rsid w:val="00FF740D"/>
    <w:rsid w:val="00FF7A36"/>
    <w:rsid w:val="00FF7AEC"/>
    <w:rsid w:val="00FF7E55"/>
    <w:rsid w:val="012810B4"/>
    <w:rsid w:val="012E1152"/>
    <w:rsid w:val="01303AC5"/>
    <w:rsid w:val="01372215"/>
    <w:rsid w:val="01782E3F"/>
    <w:rsid w:val="019C4925"/>
    <w:rsid w:val="01BE7E04"/>
    <w:rsid w:val="01C84669"/>
    <w:rsid w:val="01CF62C6"/>
    <w:rsid w:val="02247ACE"/>
    <w:rsid w:val="026257D8"/>
    <w:rsid w:val="027E226E"/>
    <w:rsid w:val="028F7400"/>
    <w:rsid w:val="02C31979"/>
    <w:rsid w:val="02CC7D21"/>
    <w:rsid w:val="02E844F1"/>
    <w:rsid w:val="030D4945"/>
    <w:rsid w:val="03273D57"/>
    <w:rsid w:val="03665C61"/>
    <w:rsid w:val="036F68F5"/>
    <w:rsid w:val="03790380"/>
    <w:rsid w:val="037D11B5"/>
    <w:rsid w:val="038A1BB2"/>
    <w:rsid w:val="03F17F5C"/>
    <w:rsid w:val="042802D1"/>
    <w:rsid w:val="0445110D"/>
    <w:rsid w:val="044F1833"/>
    <w:rsid w:val="0486237A"/>
    <w:rsid w:val="049F3623"/>
    <w:rsid w:val="04FB6932"/>
    <w:rsid w:val="05002592"/>
    <w:rsid w:val="050E156F"/>
    <w:rsid w:val="052E5949"/>
    <w:rsid w:val="05603153"/>
    <w:rsid w:val="05917C65"/>
    <w:rsid w:val="059E7538"/>
    <w:rsid w:val="05E91B92"/>
    <w:rsid w:val="05EF03F3"/>
    <w:rsid w:val="062743D4"/>
    <w:rsid w:val="06406E25"/>
    <w:rsid w:val="0663745A"/>
    <w:rsid w:val="06663D12"/>
    <w:rsid w:val="06751B58"/>
    <w:rsid w:val="06766D44"/>
    <w:rsid w:val="06897EFF"/>
    <w:rsid w:val="069074E0"/>
    <w:rsid w:val="069550CB"/>
    <w:rsid w:val="06A00E08"/>
    <w:rsid w:val="06A109A1"/>
    <w:rsid w:val="06AA7092"/>
    <w:rsid w:val="06B043AE"/>
    <w:rsid w:val="06FB6255"/>
    <w:rsid w:val="07014CED"/>
    <w:rsid w:val="07133C6D"/>
    <w:rsid w:val="07244737"/>
    <w:rsid w:val="07315350"/>
    <w:rsid w:val="073F42DF"/>
    <w:rsid w:val="074833CE"/>
    <w:rsid w:val="07523C62"/>
    <w:rsid w:val="077C1812"/>
    <w:rsid w:val="079A5410"/>
    <w:rsid w:val="07A62D33"/>
    <w:rsid w:val="07B06241"/>
    <w:rsid w:val="07BE2F48"/>
    <w:rsid w:val="07DE1E85"/>
    <w:rsid w:val="07F04A04"/>
    <w:rsid w:val="07F10452"/>
    <w:rsid w:val="08403A8C"/>
    <w:rsid w:val="084A5DB4"/>
    <w:rsid w:val="08777BCA"/>
    <w:rsid w:val="08BC764D"/>
    <w:rsid w:val="08E10665"/>
    <w:rsid w:val="08E315D1"/>
    <w:rsid w:val="08EA41E4"/>
    <w:rsid w:val="09174507"/>
    <w:rsid w:val="093B14AD"/>
    <w:rsid w:val="093D2D44"/>
    <w:rsid w:val="09813BD9"/>
    <w:rsid w:val="09B12F3A"/>
    <w:rsid w:val="09CA0CE0"/>
    <w:rsid w:val="0A051A18"/>
    <w:rsid w:val="0A1E4C25"/>
    <w:rsid w:val="0A25677B"/>
    <w:rsid w:val="0A400FCB"/>
    <w:rsid w:val="0A8C2DB6"/>
    <w:rsid w:val="0A914B76"/>
    <w:rsid w:val="0A93759F"/>
    <w:rsid w:val="0AAF13E4"/>
    <w:rsid w:val="0ABE0C39"/>
    <w:rsid w:val="0AE651DB"/>
    <w:rsid w:val="0AF76101"/>
    <w:rsid w:val="0B2E3E17"/>
    <w:rsid w:val="0B3222C4"/>
    <w:rsid w:val="0B3B55ED"/>
    <w:rsid w:val="0BB2187A"/>
    <w:rsid w:val="0BB35A1E"/>
    <w:rsid w:val="0BF56AD4"/>
    <w:rsid w:val="0C065DC3"/>
    <w:rsid w:val="0C171CB6"/>
    <w:rsid w:val="0C264442"/>
    <w:rsid w:val="0C580A85"/>
    <w:rsid w:val="0C872065"/>
    <w:rsid w:val="0C9C7AFF"/>
    <w:rsid w:val="0C9F66CF"/>
    <w:rsid w:val="0CA17AC9"/>
    <w:rsid w:val="0CD93263"/>
    <w:rsid w:val="0CEE6BB5"/>
    <w:rsid w:val="0D1825D7"/>
    <w:rsid w:val="0D5F452C"/>
    <w:rsid w:val="0D8C70A2"/>
    <w:rsid w:val="0DF67AA2"/>
    <w:rsid w:val="0E131B86"/>
    <w:rsid w:val="0E1C5AFD"/>
    <w:rsid w:val="0E5B4641"/>
    <w:rsid w:val="0E7771D7"/>
    <w:rsid w:val="0E9617B6"/>
    <w:rsid w:val="0EA238A8"/>
    <w:rsid w:val="0EC9231D"/>
    <w:rsid w:val="0EE77C21"/>
    <w:rsid w:val="0F07594E"/>
    <w:rsid w:val="0F0D5446"/>
    <w:rsid w:val="0F404DE2"/>
    <w:rsid w:val="0F6E5284"/>
    <w:rsid w:val="0F7A71CC"/>
    <w:rsid w:val="0F832192"/>
    <w:rsid w:val="0FB762FF"/>
    <w:rsid w:val="0FE671CE"/>
    <w:rsid w:val="100B6D70"/>
    <w:rsid w:val="10575305"/>
    <w:rsid w:val="10922F51"/>
    <w:rsid w:val="10C01E90"/>
    <w:rsid w:val="10D40DDB"/>
    <w:rsid w:val="1106262D"/>
    <w:rsid w:val="115C181C"/>
    <w:rsid w:val="116D19CE"/>
    <w:rsid w:val="11D50CC6"/>
    <w:rsid w:val="11E23663"/>
    <w:rsid w:val="11E46932"/>
    <w:rsid w:val="12312A6C"/>
    <w:rsid w:val="124C4706"/>
    <w:rsid w:val="125F29A7"/>
    <w:rsid w:val="12683B20"/>
    <w:rsid w:val="128D7DED"/>
    <w:rsid w:val="12A951F3"/>
    <w:rsid w:val="12B83BBB"/>
    <w:rsid w:val="12BD0645"/>
    <w:rsid w:val="12D66183"/>
    <w:rsid w:val="12DB3F70"/>
    <w:rsid w:val="12FE7EC7"/>
    <w:rsid w:val="130C6F7E"/>
    <w:rsid w:val="13555C66"/>
    <w:rsid w:val="1364255A"/>
    <w:rsid w:val="1396377B"/>
    <w:rsid w:val="13A22600"/>
    <w:rsid w:val="13A551EC"/>
    <w:rsid w:val="13E64BE3"/>
    <w:rsid w:val="146F31AA"/>
    <w:rsid w:val="14717E92"/>
    <w:rsid w:val="149E2B37"/>
    <w:rsid w:val="14D71ACD"/>
    <w:rsid w:val="15266A82"/>
    <w:rsid w:val="152D05F0"/>
    <w:rsid w:val="15307601"/>
    <w:rsid w:val="153672F4"/>
    <w:rsid w:val="15423AEF"/>
    <w:rsid w:val="154A6E5D"/>
    <w:rsid w:val="154E022A"/>
    <w:rsid w:val="15513A15"/>
    <w:rsid w:val="157516DB"/>
    <w:rsid w:val="15BA08DB"/>
    <w:rsid w:val="15C33C0E"/>
    <w:rsid w:val="15E862C7"/>
    <w:rsid w:val="160A4EC2"/>
    <w:rsid w:val="16190641"/>
    <w:rsid w:val="16684C65"/>
    <w:rsid w:val="16C25D4A"/>
    <w:rsid w:val="16D451C7"/>
    <w:rsid w:val="16DF591A"/>
    <w:rsid w:val="1711267C"/>
    <w:rsid w:val="178B013F"/>
    <w:rsid w:val="17FB6783"/>
    <w:rsid w:val="181C294C"/>
    <w:rsid w:val="189D21D3"/>
    <w:rsid w:val="191F7F2D"/>
    <w:rsid w:val="19757BC9"/>
    <w:rsid w:val="197E4362"/>
    <w:rsid w:val="19D54C8B"/>
    <w:rsid w:val="19D814CD"/>
    <w:rsid w:val="19E37146"/>
    <w:rsid w:val="19EC0A79"/>
    <w:rsid w:val="1A275AAF"/>
    <w:rsid w:val="1A74056A"/>
    <w:rsid w:val="1AD05CA5"/>
    <w:rsid w:val="1AF54BF4"/>
    <w:rsid w:val="1B09712C"/>
    <w:rsid w:val="1B0B4F2F"/>
    <w:rsid w:val="1B307AC9"/>
    <w:rsid w:val="1B3C7454"/>
    <w:rsid w:val="1B43310F"/>
    <w:rsid w:val="1B554688"/>
    <w:rsid w:val="1B7A5DC8"/>
    <w:rsid w:val="1BDE215A"/>
    <w:rsid w:val="1C1C4183"/>
    <w:rsid w:val="1C3217C2"/>
    <w:rsid w:val="1C4A2486"/>
    <w:rsid w:val="1C6B487E"/>
    <w:rsid w:val="1C7E0285"/>
    <w:rsid w:val="1C9306A1"/>
    <w:rsid w:val="1C9B6DBA"/>
    <w:rsid w:val="1CA13D9D"/>
    <w:rsid w:val="1CAA1DD0"/>
    <w:rsid w:val="1CD13F56"/>
    <w:rsid w:val="1CDB6B83"/>
    <w:rsid w:val="1CFF0AC4"/>
    <w:rsid w:val="1D0535BD"/>
    <w:rsid w:val="1D1E6354"/>
    <w:rsid w:val="1D573F2A"/>
    <w:rsid w:val="1DAD7D29"/>
    <w:rsid w:val="1DC64DB1"/>
    <w:rsid w:val="1DEC6059"/>
    <w:rsid w:val="1E0D46C3"/>
    <w:rsid w:val="1E17240A"/>
    <w:rsid w:val="1E6148D5"/>
    <w:rsid w:val="1E853DD6"/>
    <w:rsid w:val="1E9120C3"/>
    <w:rsid w:val="1EBE722A"/>
    <w:rsid w:val="1EC81864"/>
    <w:rsid w:val="1EFE71D5"/>
    <w:rsid w:val="1F03616A"/>
    <w:rsid w:val="1F0F0F80"/>
    <w:rsid w:val="1F23393A"/>
    <w:rsid w:val="1F3031B6"/>
    <w:rsid w:val="1F88553E"/>
    <w:rsid w:val="1FDE2C12"/>
    <w:rsid w:val="20233D54"/>
    <w:rsid w:val="202C124B"/>
    <w:rsid w:val="203211B0"/>
    <w:rsid w:val="204E7DB5"/>
    <w:rsid w:val="20603997"/>
    <w:rsid w:val="210221FB"/>
    <w:rsid w:val="21380A48"/>
    <w:rsid w:val="216965EE"/>
    <w:rsid w:val="21784670"/>
    <w:rsid w:val="21D96933"/>
    <w:rsid w:val="21E05413"/>
    <w:rsid w:val="21E4296E"/>
    <w:rsid w:val="21F62C07"/>
    <w:rsid w:val="22462A8A"/>
    <w:rsid w:val="22492D0B"/>
    <w:rsid w:val="22535AF3"/>
    <w:rsid w:val="226A3676"/>
    <w:rsid w:val="22A9727C"/>
    <w:rsid w:val="22D618ED"/>
    <w:rsid w:val="22FC68C8"/>
    <w:rsid w:val="231935E9"/>
    <w:rsid w:val="23252270"/>
    <w:rsid w:val="23855D3E"/>
    <w:rsid w:val="23BF43F4"/>
    <w:rsid w:val="23CD6176"/>
    <w:rsid w:val="23D305B4"/>
    <w:rsid w:val="240555B7"/>
    <w:rsid w:val="24421CE9"/>
    <w:rsid w:val="245C5FE8"/>
    <w:rsid w:val="24711863"/>
    <w:rsid w:val="24764C99"/>
    <w:rsid w:val="247F4021"/>
    <w:rsid w:val="24A96974"/>
    <w:rsid w:val="24CE6828"/>
    <w:rsid w:val="24D10633"/>
    <w:rsid w:val="253912CC"/>
    <w:rsid w:val="25592B49"/>
    <w:rsid w:val="257B08BB"/>
    <w:rsid w:val="259C7109"/>
    <w:rsid w:val="25A03144"/>
    <w:rsid w:val="25FC1F6A"/>
    <w:rsid w:val="26151358"/>
    <w:rsid w:val="261720A5"/>
    <w:rsid w:val="262268B4"/>
    <w:rsid w:val="26280C50"/>
    <w:rsid w:val="26312EC9"/>
    <w:rsid w:val="26327CD9"/>
    <w:rsid w:val="263D1880"/>
    <w:rsid w:val="26A16A73"/>
    <w:rsid w:val="26A92908"/>
    <w:rsid w:val="26BC55DB"/>
    <w:rsid w:val="26E82B3C"/>
    <w:rsid w:val="27134D2B"/>
    <w:rsid w:val="27462431"/>
    <w:rsid w:val="274F43F6"/>
    <w:rsid w:val="27734588"/>
    <w:rsid w:val="27862152"/>
    <w:rsid w:val="2790513A"/>
    <w:rsid w:val="27B8547D"/>
    <w:rsid w:val="27DC0EB5"/>
    <w:rsid w:val="27F86FBE"/>
    <w:rsid w:val="281F2789"/>
    <w:rsid w:val="28292E99"/>
    <w:rsid w:val="283C1372"/>
    <w:rsid w:val="28467CDC"/>
    <w:rsid w:val="284F644F"/>
    <w:rsid w:val="289C18BC"/>
    <w:rsid w:val="28B22E09"/>
    <w:rsid w:val="28C341AD"/>
    <w:rsid w:val="2912245D"/>
    <w:rsid w:val="293566D6"/>
    <w:rsid w:val="29542715"/>
    <w:rsid w:val="29614F29"/>
    <w:rsid w:val="2974249E"/>
    <w:rsid w:val="299D31DF"/>
    <w:rsid w:val="29AE359D"/>
    <w:rsid w:val="29DC078A"/>
    <w:rsid w:val="29E60E97"/>
    <w:rsid w:val="29FE173C"/>
    <w:rsid w:val="2A656E6E"/>
    <w:rsid w:val="2A777D8B"/>
    <w:rsid w:val="2A865ADA"/>
    <w:rsid w:val="2A981D84"/>
    <w:rsid w:val="2AA048F1"/>
    <w:rsid w:val="2B024833"/>
    <w:rsid w:val="2B171B1A"/>
    <w:rsid w:val="2B2E240D"/>
    <w:rsid w:val="2B45031B"/>
    <w:rsid w:val="2BC3769E"/>
    <w:rsid w:val="2BC74A1F"/>
    <w:rsid w:val="2BD549E1"/>
    <w:rsid w:val="2BDD2C3E"/>
    <w:rsid w:val="2BDD3977"/>
    <w:rsid w:val="2BE66513"/>
    <w:rsid w:val="2C00300F"/>
    <w:rsid w:val="2C0E3E59"/>
    <w:rsid w:val="2C5C3619"/>
    <w:rsid w:val="2C763713"/>
    <w:rsid w:val="2C8B40B3"/>
    <w:rsid w:val="2C9E4F24"/>
    <w:rsid w:val="2CB057AA"/>
    <w:rsid w:val="2CC63168"/>
    <w:rsid w:val="2CC763D1"/>
    <w:rsid w:val="2CD23AFF"/>
    <w:rsid w:val="2CEB6B9B"/>
    <w:rsid w:val="2D224A97"/>
    <w:rsid w:val="2D366263"/>
    <w:rsid w:val="2D6A0110"/>
    <w:rsid w:val="2D6F1195"/>
    <w:rsid w:val="2D736E31"/>
    <w:rsid w:val="2D90164A"/>
    <w:rsid w:val="2DAA4A7C"/>
    <w:rsid w:val="2DE955A4"/>
    <w:rsid w:val="2E132621"/>
    <w:rsid w:val="2EBA0CEE"/>
    <w:rsid w:val="2EC05B23"/>
    <w:rsid w:val="2EC851B9"/>
    <w:rsid w:val="2EDD131D"/>
    <w:rsid w:val="2EE25C61"/>
    <w:rsid w:val="2F315CBA"/>
    <w:rsid w:val="2F6F7D2B"/>
    <w:rsid w:val="2F91593C"/>
    <w:rsid w:val="2FE2558D"/>
    <w:rsid w:val="301C65F2"/>
    <w:rsid w:val="30373064"/>
    <w:rsid w:val="307042BC"/>
    <w:rsid w:val="307A6987"/>
    <w:rsid w:val="3085678E"/>
    <w:rsid w:val="30936254"/>
    <w:rsid w:val="30CA4A43"/>
    <w:rsid w:val="30E3186A"/>
    <w:rsid w:val="311F485A"/>
    <w:rsid w:val="312E4BF3"/>
    <w:rsid w:val="31393A47"/>
    <w:rsid w:val="313C01F1"/>
    <w:rsid w:val="31480433"/>
    <w:rsid w:val="31496359"/>
    <w:rsid w:val="31574FC5"/>
    <w:rsid w:val="31864A53"/>
    <w:rsid w:val="318A6E9C"/>
    <w:rsid w:val="31980F75"/>
    <w:rsid w:val="319A7BD1"/>
    <w:rsid w:val="31BB5300"/>
    <w:rsid w:val="31BE50E7"/>
    <w:rsid w:val="31FB53A0"/>
    <w:rsid w:val="32220E91"/>
    <w:rsid w:val="32466711"/>
    <w:rsid w:val="32534937"/>
    <w:rsid w:val="32D64FC7"/>
    <w:rsid w:val="33217179"/>
    <w:rsid w:val="3339709F"/>
    <w:rsid w:val="334B4B3A"/>
    <w:rsid w:val="338400CD"/>
    <w:rsid w:val="33C20582"/>
    <w:rsid w:val="33E34F9B"/>
    <w:rsid w:val="342005A6"/>
    <w:rsid w:val="34546879"/>
    <w:rsid w:val="34A83ECC"/>
    <w:rsid w:val="34B0481F"/>
    <w:rsid w:val="34BD4147"/>
    <w:rsid w:val="34DE220C"/>
    <w:rsid w:val="34FD54BC"/>
    <w:rsid w:val="35334C35"/>
    <w:rsid w:val="3592207D"/>
    <w:rsid w:val="363B174E"/>
    <w:rsid w:val="365638E3"/>
    <w:rsid w:val="36932329"/>
    <w:rsid w:val="3698148B"/>
    <w:rsid w:val="369E2CA4"/>
    <w:rsid w:val="379C13B8"/>
    <w:rsid w:val="37AC1CF1"/>
    <w:rsid w:val="37AF33BA"/>
    <w:rsid w:val="37D065F7"/>
    <w:rsid w:val="37DC0EC1"/>
    <w:rsid w:val="37F526F2"/>
    <w:rsid w:val="37FA104F"/>
    <w:rsid w:val="382A6BB8"/>
    <w:rsid w:val="383C1FD5"/>
    <w:rsid w:val="38710F3B"/>
    <w:rsid w:val="3882562A"/>
    <w:rsid w:val="389773BE"/>
    <w:rsid w:val="38AF1DA5"/>
    <w:rsid w:val="38F33EFB"/>
    <w:rsid w:val="391C3B94"/>
    <w:rsid w:val="392C73C4"/>
    <w:rsid w:val="39520D78"/>
    <w:rsid w:val="39613732"/>
    <w:rsid w:val="396E2E01"/>
    <w:rsid w:val="39A138F9"/>
    <w:rsid w:val="39AE31FE"/>
    <w:rsid w:val="39BF6067"/>
    <w:rsid w:val="39DE7F87"/>
    <w:rsid w:val="3A0504B0"/>
    <w:rsid w:val="3A062581"/>
    <w:rsid w:val="3A15327D"/>
    <w:rsid w:val="3A1A494F"/>
    <w:rsid w:val="3A2D6DB5"/>
    <w:rsid w:val="3A505BEA"/>
    <w:rsid w:val="3A777BB8"/>
    <w:rsid w:val="3A833277"/>
    <w:rsid w:val="3A916DA7"/>
    <w:rsid w:val="3AEE029B"/>
    <w:rsid w:val="3AFD377C"/>
    <w:rsid w:val="3B060895"/>
    <w:rsid w:val="3B1D4ADF"/>
    <w:rsid w:val="3B1F72B8"/>
    <w:rsid w:val="3B5C239F"/>
    <w:rsid w:val="3BE9030F"/>
    <w:rsid w:val="3C097934"/>
    <w:rsid w:val="3C332FEE"/>
    <w:rsid w:val="3C6633F5"/>
    <w:rsid w:val="3C831C4D"/>
    <w:rsid w:val="3CB91057"/>
    <w:rsid w:val="3CEA631B"/>
    <w:rsid w:val="3D037D43"/>
    <w:rsid w:val="3D0E16F8"/>
    <w:rsid w:val="3D302F90"/>
    <w:rsid w:val="3D402D06"/>
    <w:rsid w:val="3D5C3370"/>
    <w:rsid w:val="3DBC685D"/>
    <w:rsid w:val="3DCE3E6E"/>
    <w:rsid w:val="3DDF0ED2"/>
    <w:rsid w:val="3DE91F16"/>
    <w:rsid w:val="3DED0E54"/>
    <w:rsid w:val="3DF92307"/>
    <w:rsid w:val="3E3B396C"/>
    <w:rsid w:val="3E4D0A07"/>
    <w:rsid w:val="3E567526"/>
    <w:rsid w:val="3E614CE2"/>
    <w:rsid w:val="3E700EFF"/>
    <w:rsid w:val="3E8F4E69"/>
    <w:rsid w:val="3EAF2A88"/>
    <w:rsid w:val="3F161284"/>
    <w:rsid w:val="3F1865B2"/>
    <w:rsid w:val="3F2F4DE1"/>
    <w:rsid w:val="3F30132F"/>
    <w:rsid w:val="3F517ACE"/>
    <w:rsid w:val="3F7A7493"/>
    <w:rsid w:val="3F877A8D"/>
    <w:rsid w:val="3FE03B95"/>
    <w:rsid w:val="3FF952D9"/>
    <w:rsid w:val="40245174"/>
    <w:rsid w:val="402F4976"/>
    <w:rsid w:val="40686A1A"/>
    <w:rsid w:val="40717F3A"/>
    <w:rsid w:val="407910FE"/>
    <w:rsid w:val="408847A8"/>
    <w:rsid w:val="40A91276"/>
    <w:rsid w:val="40E12095"/>
    <w:rsid w:val="40E84F9F"/>
    <w:rsid w:val="4104162F"/>
    <w:rsid w:val="410B27D1"/>
    <w:rsid w:val="41255DE0"/>
    <w:rsid w:val="41405083"/>
    <w:rsid w:val="41432DC5"/>
    <w:rsid w:val="41815A97"/>
    <w:rsid w:val="41AC1751"/>
    <w:rsid w:val="41BA7B21"/>
    <w:rsid w:val="41D2400B"/>
    <w:rsid w:val="421333C8"/>
    <w:rsid w:val="422F4A19"/>
    <w:rsid w:val="423362A3"/>
    <w:rsid w:val="423727AF"/>
    <w:rsid w:val="42462F17"/>
    <w:rsid w:val="42586B9E"/>
    <w:rsid w:val="425C623D"/>
    <w:rsid w:val="42682B01"/>
    <w:rsid w:val="426A48ED"/>
    <w:rsid w:val="428C0B42"/>
    <w:rsid w:val="42C9785F"/>
    <w:rsid w:val="42D02437"/>
    <w:rsid w:val="42E71EA3"/>
    <w:rsid w:val="433707BE"/>
    <w:rsid w:val="4374370A"/>
    <w:rsid w:val="43B503B6"/>
    <w:rsid w:val="43B66EEE"/>
    <w:rsid w:val="43C67D82"/>
    <w:rsid w:val="43D25175"/>
    <w:rsid w:val="43F635CF"/>
    <w:rsid w:val="43F95922"/>
    <w:rsid w:val="44166896"/>
    <w:rsid w:val="44284D2D"/>
    <w:rsid w:val="44302701"/>
    <w:rsid w:val="444078CC"/>
    <w:rsid w:val="44623562"/>
    <w:rsid w:val="449556E6"/>
    <w:rsid w:val="44FA1385"/>
    <w:rsid w:val="45611A6C"/>
    <w:rsid w:val="456638CC"/>
    <w:rsid w:val="459B292C"/>
    <w:rsid w:val="45D438AF"/>
    <w:rsid w:val="45D92B9B"/>
    <w:rsid w:val="464D38DE"/>
    <w:rsid w:val="468C0CA6"/>
    <w:rsid w:val="46BC6B44"/>
    <w:rsid w:val="46D66D51"/>
    <w:rsid w:val="46DA7ADB"/>
    <w:rsid w:val="472D7D27"/>
    <w:rsid w:val="47C53793"/>
    <w:rsid w:val="47D17602"/>
    <w:rsid w:val="47F92430"/>
    <w:rsid w:val="48254FD3"/>
    <w:rsid w:val="484E49E0"/>
    <w:rsid w:val="486B0028"/>
    <w:rsid w:val="48AA5170"/>
    <w:rsid w:val="48C52C9E"/>
    <w:rsid w:val="491A75B7"/>
    <w:rsid w:val="496D09DF"/>
    <w:rsid w:val="4A1B2595"/>
    <w:rsid w:val="4A3459A1"/>
    <w:rsid w:val="4A677462"/>
    <w:rsid w:val="4A6F439F"/>
    <w:rsid w:val="4A905EF9"/>
    <w:rsid w:val="4ACA3C0F"/>
    <w:rsid w:val="4ADE7E52"/>
    <w:rsid w:val="4B0F45A7"/>
    <w:rsid w:val="4B1C6BBA"/>
    <w:rsid w:val="4B3B24B9"/>
    <w:rsid w:val="4B5B49FE"/>
    <w:rsid w:val="4B5F25AA"/>
    <w:rsid w:val="4B7127E4"/>
    <w:rsid w:val="4B7D553E"/>
    <w:rsid w:val="4B7D6F18"/>
    <w:rsid w:val="4B865766"/>
    <w:rsid w:val="4C122217"/>
    <w:rsid w:val="4C170309"/>
    <w:rsid w:val="4C3C7FD1"/>
    <w:rsid w:val="4C515534"/>
    <w:rsid w:val="4CA02E7A"/>
    <w:rsid w:val="4CA26BF2"/>
    <w:rsid w:val="4CB37C9A"/>
    <w:rsid w:val="4CC562F8"/>
    <w:rsid w:val="4CFB026D"/>
    <w:rsid w:val="4CFD651E"/>
    <w:rsid w:val="4D382790"/>
    <w:rsid w:val="4D6E11CA"/>
    <w:rsid w:val="4D7D31BB"/>
    <w:rsid w:val="4D8E78CF"/>
    <w:rsid w:val="4D97278D"/>
    <w:rsid w:val="4DA910A0"/>
    <w:rsid w:val="4E0D19E8"/>
    <w:rsid w:val="4E61159A"/>
    <w:rsid w:val="4E685C19"/>
    <w:rsid w:val="4E7152A7"/>
    <w:rsid w:val="4E8F55DE"/>
    <w:rsid w:val="4EFD0A57"/>
    <w:rsid w:val="4F1B75E7"/>
    <w:rsid w:val="4F8C5D21"/>
    <w:rsid w:val="4F9464D9"/>
    <w:rsid w:val="4F9E6226"/>
    <w:rsid w:val="4FA35CE3"/>
    <w:rsid w:val="4FCC062E"/>
    <w:rsid w:val="4FD2675A"/>
    <w:rsid w:val="4FED4628"/>
    <w:rsid w:val="4FED67CD"/>
    <w:rsid w:val="4FF02D8E"/>
    <w:rsid w:val="500B7791"/>
    <w:rsid w:val="50224539"/>
    <w:rsid w:val="50323E9E"/>
    <w:rsid w:val="503D11B0"/>
    <w:rsid w:val="50777854"/>
    <w:rsid w:val="507E7A1A"/>
    <w:rsid w:val="50D43FF8"/>
    <w:rsid w:val="50E57E8F"/>
    <w:rsid w:val="51247153"/>
    <w:rsid w:val="51256043"/>
    <w:rsid w:val="51286640"/>
    <w:rsid w:val="51326C27"/>
    <w:rsid w:val="5150683C"/>
    <w:rsid w:val="51663407"/>
    <w:rsid w:val="51703893"/>
    <w:rsid w:val="51857A9E"/>
    <w:rsid w:val="51885F2B"/>
    <w:rsid w:val="518C16AD"/>
    <w:rsid w:val="51916E82"/>
    <w:rsid w:val="51C82CF3"/>
    <w:rsid w:val="51DE1232"/>
    <w:rsid w:val="520A65AB"/>
    <w:rsid w:val="52181704"/>
    <w:rsid w:val="525B6B2A"/>
    <w:rsid w:val="52624E01"/>
    <w:rsid w:val="52791361"/>
    <w:rsid w:val="5294522F"/>
    <w:rsid w:val="52A870F2"/>
    <w:rsid w:val="52AC10AB"/>
    <w:rsid w:val="52B17B9B"/>
    <w:rsid w:val="52B518B6"/>
    <w:rsid w:val="52DE6F3C"/>
    <w:rsid w:val="52F5648D"/>
    <w:rsid w:val="53266F58"/>
    <w:rsid w:val="53715D18"/>
    <w:rsid w:val="537829FC"/>
    <w:rsid w:val="53876B42"/>
    <w:rsid w:val="539320DA"/>
    <w:rsid w:val="53990E46"/>
    <w:rsid w:val="53B57357"/>
    <w:rsid w:val="542D7105"/>
    <w:rsid w:val="5458487B"/>
    <w:rsid w:val="54AE6826"/>
    <w:rsid w:val="54D21F1B"/>
    <w:rsid w:val="54EB0271"/>
    <w:rsid w:val="550B27BD"/>
    <w:rsid w:val="552503C0"/>
    <w:rsid w:val="552D54C7"/>
    <w:rsid w:val="55332E6F"/>
    <w:rsid w:val="55354F42"/>
    <w:rsid w:val="554C731E"/>
    <w:rsid w:val="55512483"/>
    <w:rsid w:val="558D2B3A"/>
    <w:rsid w:val="560046B1"/>
    <w:rsid w:val="56187F25"/>
    <w:rsid w:val="565B16AC"/>
    <w:rsid w:val="56653ACF"/>
    <w:rsid w:val="56C97FE2"/>
    <w:rsid w:val="56DB61B8"/>
    <w:rsid w:val="56EF3D5E"/>
    <w:rsid w:val="57022CF8"/>
    <w:rsid w:val="5768498C"/>
    <w:rsid w:val="57905C6F"/>
    <w:rsid w:val="57A30832"/>
    <w:rsid w:val="581138FA"/>
    <w:rsid w:val="583767B6"/>
    <w:rsid w:val="583F79EB"/>
    <w:rsid w:val="584D65AC"/>
    <w:rsid w:val="585C3C05"/>
    <w:rsid w:val="586C0DBB"/>
    <w:rsid w:val="588A2A6F"/>
    <w:rsid w:val="58B959EF"/>
    <w:rsid w:val="58C51702"/>
    <w:rsid w:val="58C8758C"/>
    <w:rsid w:val="58ED4252"/>
    <w:rsid w:val="590A4BE6"/>
    <w:rsid w:val="591D0A96"/>
    <w:rsid w:val="592B46F5"/>
    <w:rsid w:val="592B561E"/>
    <w:rsid w:val="594612D3"/>
    <w:rsid w:val="5988716F"/>
    <w:rsid w:val="59E72A17"/>
    <w:rsid w:val="59FD7B5D"/>
    <w:rsid w:val="5A4B62D3"/>
    <w:rsid w:val="5A580710"/>
    <w:rsid w:val="5A5D3700"/>
    <w:rsid w:val="5A7661FB"/>
    <w:rsid w:val="5AC42F60"/>
    <w:rsid w:val="5AC672ED"/>
    <w:rsid w:val="5ACB702A"/>
    <w:rsid w:val="5ACC5A43"/>
    <w:rsid w:val="5AD54F88"/>
    <w:rsid w:val="5B913733"/>
    <w:rsid w:val="5BC06D87"/>
    <w:rsid w:val="5BC44781"/>
    <w:rsid w:val="5BC621D1"/>
    <w:rsid w:val="5C1C041F"/>
    <w:rsid w:val="5C222F34"/>
    <w:rsid w:val="5C6F4617"/>
    <w:rsid w:val="5CE93289"/>
    <w:rsid w:val="5CF35248"/>
    <w:rsid w:val="5D321A3F"/>
    <w:rsid w:val="5D70790B"/>
    <w:rsid w:val="5D85483D"/>
    <w:rsid w:val="5D8D2FA6"/>
    <w:rsid w:val="5DA64136"/>
    <w:rsid w:val="5DAD3649"/>
    <w:rsid w:val="5E0D15B7"/>
    <w:rsid w:val="5E596964"/>
    <w:rsid w:val="5EC071C6"/>
    <w:rsid w:val="5ECB5DB2"/>
    <w:rsid w:val="5F041103"/>
    <w:rsid w:val="5F096FA4"/>
    <w:rsid w:val="5F0C1D94"/>
    <w:rsid w:val="5F391555"/>
    <w:rsid w:val="5F481FA0"/>
    <w:rsid w:val="5F6B5B1E"/>
    <w:rsid w:val="5F6E2CEC"/>
    <w:rsid w:val="5F9E3788"/>
    <w:rsid w:val="5FDC7041"/>
    <w:rsid w:val="600E201D"/>
    <w:rsid w:val="601B6A92"/>
    <w:rsid w:val="606322BF"/>
    <w:rsid w:val="607D5554"/>
    <w:rsid w:val="608416F8"/>
    <w:rsid w:val="608A0CC5"/>
    <w:rsid w:val="60CD03BF"/>
    <w:rsid w:val="612C1F48"/>
    <w:rsid w:val="61C34229"/>
    <w:rsid w:val="61CD6551"/>
    <w:rsid w:val="61F92CAE"/>
    <w:rsid w:val="62076DD7"/>
    <w:rsid w:val="622565E7"/>
    <w:rsid w:val="6277164E"/>
    <w:rsid w:val="629043AA"/>
    <w:rsid w:val="62EE1BE2"/>
    <w:rsid w:val="631B72A6"/>
    <w:rsid w:val="63287260"/>
    <w:rsid w:val="636C4FAE"/>
    <w:rsid w:val="6378713A"/>
    <w:rsid w:val="63DD5450"/>
    <w:rsid w:val="63E654C5"/>
    <w:rsid w:val="64745CF1"/>
    <w:rsid w:val="650D18FD"/>
    <w:rsid w:val="6531659D"/>
    <w:rsid w:val="65470F70"/>
    <w:rsid w:val="655D5961"/>
    <w:rsid w:val="65667FCD"/>
    <w:rsid w:val="656C6271"/>
    <w:rsid w:val="65953340"/>
    <w:rsid w:val="659930A3"/>
    <w:rsid w:val="65A65A0B"/>
    <w:rsid w:val="65C36135"/>
    <w:rsid w:val="65D5728D"/>
    <w:rsid w:val="660E71D5"/>
    <w:rsid w:val="662175FB"/>
    <w:rsid w:val="66835660"/>
    <w:rsid w:val="669B756E"/>
    <w:rsid w:val="669D7C03"/>
    <w:rsid w:val="66AC26D6"/>
    <w:rsid w:val="66AD7A35"/>
    <w:rsid w:val="66AF26B9"/>
    <w:rsid w:val="66BA6C3E"/>
    <w:rsid w:val="66D41C46"/>
    <w:rsid w:val="67694A84"/>
    <w:rsid w:val="676D4DB3"/>
    <w:rsid w:val="677E783A"/>
    <w:rsid w:val="677F5452"/>
    <w:rsid w:val="6791093C"/>
    <w:rsid w:val="67CC79ED"/>
    <w:rsid w:val="67E16BB7"/>
    <w:rsid w:val="682B1D3A"/>
    <w:rsid w:val="683F44CD"/>
    <w:rsid w:val="686E7D63"/>
    <w:rsid w:val="68840DA2"/>
    <w:rsid w:val="68866F70"/>
    <w:rsid w:val="68907DEF"/>
    <w:rsid w:val="68AA6895"/>
    <w:rsid w:val="68BE670A"/>
    <w:rsid w:val="69040007"/>
    <w:rsid w:val="69054339"/>
    <w:rsid w:val="691A5C56"/>
    <w:rsid w:val="692232AC"/>
    <w:rsid w:val="693764BC"/>
    <w:rsid w:val="6965454E"/>
    <w:rsid w:val="696E0A9A"/>
    <w:rsid w:val="698B7AAE"/>
    <w:rsid w:val="69B014EB"/>
    <w:rsid w:val="69E80755"/>
    <w:rsid w:val="6A2230DF"/>
    <w:rsid w:val="6A4D208A"/>
    <w:rsid w:val="6A6C2B26"/>
    <w:rsid w:val="6A836410"/>
    <w:rsid w:val="6A841BD5"/>
    <w:rsid w:val="6AB627F9"/>
    <w:rsid w:val="6ADC678A"/>
    <w:rsid w:val="6ADE7537"/>
    <w:rsid w:val="6AF705F9"/>
    <w:rsid w:val="6B210322"/>
    <w:rsid w:val="6B492BC6"/>
    <w:rsid w:val="6B5171D9"/>
    <w:rsid w:val="6B7C465A"/>
    <w:rsid w:val="6B8E7601"/>
    <w:rsid w:val="6BAB63A9"/>
    <w:rsid w:val="6BB776A5"/>
    <w:rsid w:val="6BD069E3"/>
    <w:rsid w:val="6BD760FB"/>
    <w:rsid w:val="6BDD67A1"/>
    <w:rsid w:val="6C0A7E10"/>
    <w:rsid w:val="6C655675"/>
    <w:rsid w:val="6C6E197C"/>
    <w:rsid w:val="6C730708"/>
    <w:rsid w:val="6C7C5C0E"/>
    <w:rsid w:val="6C9D7FAD"/>
    <w:rsid w:val="6CE04246"/>
    <w:rsid w:val="6D243891"/>
    <w:rsid w:val="6D7F39C8"/>
    <w:rsid w:val="6D875C64"/>
    <w:rsid w:val="6DAA3701"/>
    <w:rsid w:val="6DC265BB"/>
    <w:rsid w:val="6DDB258C"/>
    <w:rsid w:val="6E220CAB"/>
    <w:rsid w:val="6E260E89"/>
    <w:rsid w:val="6E3A0174"/>
    <w:rsid w:val="6E4F33B0"/>
    <w:rsid w:val="6E7560DC"/>
    <w:rsid w:val="6E7B6E4B"/>
    <w:rsid w:val="6E992732"/>
    <w:rsid w:val="6ED010F5"/>
    <w:rsid w:val="6ED13F5D"/>
    <w:rsid w:val="6ED646F6"/>
    <w:rsid w:val="6EF31A6C"/>
    <w:rsid w:val="6EFC4430"/>
    <w:rsid w:val="6F2908C4"/>
    <w:rsid w:val="6F405E7F"/>
    <w:rsid w:val="6F8017DB"/>
    <w:rsid w:val="6F8B0CB3"/>
    <w:rsid w:val="701073F2"/>
    <w:rsid w:val="70174388"/>
    <w:rsid w:val="70B725E0"/>
    <w:rsid w:val="70C27A56"/>
    <w:rsid w:val="70F558A5"/>
    <w:rsid w:val="710B4B11"/>
    <w:rsid w:val="71220EF5"/>
    <w:rsid w:val="712534EB"/>
    <w:rsid w:val="712E01DD"/>
    <w:rsid w:val="714E69CF"/>
    <w:rsid w:val="7180295A"/>
    <w:rsid w:val="71B90B83"/>
    <w:rsid w:val="71C03E33"/>
    <w:rsid w:val="71F24BC0"/>
    <w:rsid w:val="72273572"/>
    <w:rsid w:val="723530EA"/>
    <w:rsid w:val="72356D4C"/>
    <w:rsid w:val="723B658D"/>
    <w:rsid w:val="723B659C"/>
    <w:rsid w:val="72A238AA"/>
    <w:rsid w:val="72A5692D"/>
    <w:rsid w:val="72AE3C93"/>
    <w:rsid w:val="72B061BD"/>
    <w:rsid w:val="72C602BA"/>
    <w:rsid w:val="72F125F8"/>
    <w:rsid w:val="73130605"/>
    <w:rsid w:val="732019DE"/>
    <w:rsid w:val="733F0D8F"/>
    <w:rsid w:val="73751E99"/>
    <w:rsid w:val="73BF14B6"/>
    <w:rsid w:val="73C60A8E"/>
    <w:rsid w:val="73D7567E"/>
    <w:rsid w:val="73E12E48"/>
    <w:rsid w:val="740F06CD"/>
    <w:rsid w:val="74177616"/>
    <w:rsid w:val="741A0007"/>
    <w:rsid w:val="745F79D2"/>
    <w:rsid w:val="747B7BA5"/>
    <w:rsid w:val="74A7715E"/>
    <w:rsid w:val="74BE7A92"/>
    <w:rsid w:val="7562469E"/>
    <w:rsid w:val="758220D8"/>
    <w:rsid w:val="759336B3"/>
    <w:rsid w:val="75D27C98"/>
    <w:rsid w:val="75DE50B5"/>
    <w:rsid w:val="760B4F58"/>
    <w:rsid w:val="760F51BE"/>
    <w:rsid w:val="766213AE"/>
    <w:rsid w:val="76766876"/>
    <w:rsid w:val="769A3B45"/>
    <w:rsid w:val="76D01312"/>
    <w:rsid w:val="76D95D10"/>
    <w:rsid w:val="76EB7264"/>
    <w:rsid w:val="76EB7514"/>
    <w:rsid w:val="770C2D36"/>
    <w:rsid w:val="771520C9"/>
    <w:rsid w:val="771F394D"/>
    <w:rsid w:val="7762467D"/>
    <w:rsid w:val="77625757"/>
    <w:rsid w:val="777B4D57"/>
    <w:rsid w:val="7795186B"/>
    <w:rsid w:val="77D00208"/>
    <w:rsid w:val="78421556"/>
    <w:rsid w:val="7849515C"/>
    <w:rsid w:val="78B128DA"/>
    <w:rsid w:val="78C11590"/>
    <w:rsid w:val="78E0235F"/>
    <w:rsid w:val="793608B6"/>
    <w:rsid w:val="793F1F32"/>
    <w:rsid w:val="7956473D"/>
    <w:rsid w:val="798D65EB"/>
    <w:rsid w:val="798F64CB"/>
    <w:rsid w:val="79A838E4"/>
    <w:rsid w:val="79B71C33"/>
    <w:rsid w:val="79C659F5"/>
    <w:rsid w:val="79DA536E"/>
    <w:rsid w:val="7A3731F1"/>
    <w:rsid w:val="7A4B7598"/>
    <w:rsid w:val="7A7B26AD"/>
    <w:rsid w:val="7AAB5F67"/>
    <w:rsid w:val="7AAF0E1A"/>
    <w:rsid w:val="7AD7365B"/>
    <w:rsid w:val="7AF20495"/>
    <w:rsid w:val="7B0C28AB"/>
    <w:rsid w:val="7B422D68"/>
    <w:rsid w:val="7BAA79FC"/>
    <w:rsid w:val="7BC10593"/>
    <w:rsid w:val="7BC53272"/>
    <w:rsid w:val="7C254E76"/>
    <w:rsid w:val="7C2A25DC"/>
    <w:rsid w:val="7C333FF5"/>
    <w:rsid w:val="7C637D77"/>
    <w:rsid w:val="7C711E8C"/>
    <w:rsid w:val="7C7E1A3F"/>
    <w:rsid w:val="7C9077AB"/>
    <w:rsid w:val="7CA81343"/>
    <w:rsid w:val="7CBB37E8"/>
    <w:rsid w:val="7D1E192A"/>
    <w:rsid w:val="7D6D1996"/>
    <w:rsid w:val="7D792980"/>
    <w:rsid w:val="7DB57BC7"/>
    <w:rsid w:val="7DCD4D64"/>
    <w:rsid w:val="7DE81CDA"/>
    <w:rsid w:val="7E0721C6"/>
    <w:rsid w:val="7E1F0DC1"/>
    <w:rsid w:val="7E3322A7"/>
    <w:rsid w:val="7E9E58E2"/>
    <w:rsid w:val="7F361BCE"/>
    <w:rsid w:val="7F474042"/>
    <w:rsid w:val="7F6E6B10"/>
    <w:rsid w:val="7F8908F3"/>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48"/>
    <w:qFormat/>
    <w:uiPriority w:val="0"/>
    <w:pPr>
      <w:keepNext/>
      <w:jc w:val="center"/>
      <w:outlineLvl w:val="0"/>
    </w:pPr>
    <w:rPr>
      <w:sz w:val="28"/>
    </w:rPr>
  </w:style>
  <w:style w:type="paragraph" w:styleId="6">
    <w:name w:val="heading 2"/>
    <w:basedOn w:val="1"/>
    <w:next w:val="1"/>
    <w:link w:val="132"/>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140"/>
    <w:qFormat/>
    <w:uiPriority w:val="0"/>
    <w:pPr>
      <w:keepNext/>
      <w:keepLines/>
      <w:spacing w:before="260" w:after="260" w:line="416" w:lineRule="auto"/>
      <w:outlineLvl w:val="2"/>
    </w:pPr>
    <w:rPr>
      <w:b/>
      <w:bCs/>
      <w:sz w:val="32"/>
      <w:szCs w:val="32"/>
    </w:rPr>
  </w:style>
  <w:style w:type="paragraph" w:styleId="8">
    <w:name w:val="heading 4"/>
    <w:basedOn w:val="1"/>
    <w:next w:val="1"/>
    <w:link w:val="170"/>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0"/>
    <w:link w:val="122"/>
    <w:qFormat/>
    <w:uiPriority w:val="0"/>
    <w:pPr>
      <w:keepNext/>
      <w:keepLines/>
      <w:numPr>
        <w:ilvl w:val="5"/>
        <w:numId w:val="1"/>
      </w:numPr>
      <w:tabs>
        <w:tab w:val="left" w:pos="1152"/>
      </w:tabs>
      <w:spacing w:before="240" w:after="64" w:line="320" w:lineRule="auto"/>
      <w:jc w:val="left"/>
      <w:outlineLvl w:val="5"/>
    </w:pPr>
    <w:rPr>
      <w:rFonts w:ascii="Arial" w:hAnsi="Arial" w:eastAsia="黑体"/>
      <w:b/>
      <w:bCs/>
      <w:spacing w:val="6"/>
      <w:sz w:val="24"/>
    </w:rPr>
  </w:style>
  <w:style w:type="paragraph" w:styleId="11">
    <w:name w:val="heading 7"/>
    <w:basedOn w:val="1"/>
    <w:next w:val="10"/>
    <w:link w:val="128"/>
    <w:qFormat/>
    <w:uiPriority w:val="0"/>
    <w:pPr>
      <w:keepNext/>
      <w:keepLines/>
      <w:numPr>
        <w:ilvl w:val="6"/>
        <w:numId w:val="1"/>
      </w:numPr>
      <w:tabs>
        <w:tab w:val="left" w:pos="1296"/>
      </w:tabs>
      <w:spacing w:before="240" w:after="64" w:line="320" w:lineRule="auto"/>
      <w:jc w:val="left"/>
      <w:outlineLvl w:val="6"/>
    </w:pPr>
    <w:rPr>
      <w:b/>
      <w:bCs/>
      <w:spacing w:val="6"/>
      <w:sz w:val="24"/>
    </w:rPr>
  </w:style>
  <w:style w:type="paragraph" w:styleId="12">
    <w:name w:val="heading 8"/>
    <w:basedOn w:val="1"/>
    <w:next w:val="10"/>
    <w:link w:val="146"/>
    <w:qFormat/>
    <w:uiPriority w:val="0"/>
    <w:pPr>
      <w:keepNext/>
      <w:keepLines/>
      <w:numPr>
        <w:ilvl w:val="7"/>
        <w:numId w:val="1"/>
      </w:numPr>
      <w:tabs>
        <w:tab w:val="left" w:pos="1440"/>
      </w:tabs>
      <w:spacing w:before="240" w:after="64" w:line="320" w:lineRule="auto"/>
      <w:jc w:val="left"/>
      <w:outlineLvl w:val="7"/>
    </w:pPr>
    <w:rPr>
      <w:rFonts w:ascii="Arial" w:hAnsi="Arial" w:eastAsia="黑体"/>
      <w:spacing w:val="6"/>
      <w:sz w:val="24"/>
    </w:rPr>
  </w:style>
  <w:style w:type="paragraph" w:styleId="13">
    <w:name w:val="heading 9"/>
    <w:basedOn w:val="1"/>
    <w:next w:val="10"/>
    <w:link w:val="125"/>
    <w:qFormat/>
    <w:uiPriority w:val="0"/>
    <w:pPr>
      <w:keepNext/>
      <w:keepLines/>
      <w:numPr>
        <w:ilvl w:val="8"/>
        <w:numId w:val="1"/>
      </w:numPr>
      <w:tabs>
        <w:tab w:val="left" w:pos="1584"/>
      </w:tabs>
      <w:spacing w:before="240" w:after="64" w:line="320" w:lineRule="auto"/>
      <w:jc w:val="left"/>
      <w:outlineLvl w:val="8"/>
    </w:pPr>
    <w:rPr>
      <w:rFonts w:ascii="Arial" w:hAnsi="Arial" w:eastAsia="黑体"/>
      <w:spacing w:val="6"/>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autoSpaceDE w:val="0"/>
      <w:autoSpaceDN w:val="0"/>
      <w:adjustRightInd w:val="0"/>
      <w:ind w:firstLine="420" w:firstLineChars="100"/>
      <w:jc w:val="left"/>
    </w:pPr>
    <w:rPr>
      <w:kern w:val="0"/>
      <w:sz w:val="20"/>
      <w:szCs w:val="20"/>
    </w:rPr>
  </w:style>
  <w:style w:type="paragraph" w:styleId="3">
    <w:name w:val="Body Text"/>
    <w:basedOn w:val="1"/>
    <w:next w:val="2"/>
    <w:link w:val="171"/>
    <w:qFormat/>
    <w:uiPriority w:val="99"/>
  </w:style>
  <w:style w:type="paragraph" w:styleId="4">
    <w:name w:val="toc 6"/>
    <w:basedOn w:val="1"/>
    <w:next w:val="1"/>
    <w:qFormat/>
    <w:uiPriority w:val="0"/>
    <w:pPr>
      <w:ind w:left="2100"/>
    </w:pPr>
    <w:rPr>
      <w:szCs w:val="20"/>
    </w:rPr>
  </w:style>
  <w:style w:type="paragraph" w:styleId="10">
    <w:name w:val="Normal Indent"/>
    <w:basedOn w:val="1"/>
    <w:link w:val="164"/>
    <w:qFormat/>
    <w:uiPriority w:val="0"/>
    <w:pPr>
      <w:ind w:firstLine="420" w:firstLineChars="200"/>
    </w:pPr>
  </w:style>
  <w:style w:type="paragraph" w:styleId="14">
    <w:name w:val="List Bullet"/>
    <w:basedOn w:val="1"/>
    <w:qFormat/>
    <w:uiPriority w:val="0"/>
    <w:pPr>
      <w:spacing w:line="360" w:lineRule="auto"/>
    </w:pPr>
    <w:rPr>
      <w:rFonts w:ascii="宋体" w:hAnsi="宋体"/>
      <w:sz w:val="20"/>
      <w:szCs w:val="20"/>
    </w:rPr>
  </w:style>
  <w:style w:type="paragraph" w:styleId="15">
    <w:name w:val="Document Map"/>
    <w:basedOn w:val="1"/>
    <w:link w:val="141"/>
    <w:qFormat/>
    <w:uiPriority w:val="0"/>
    <w:pPr>
      <w:shd w:val="clear" w:color="auto" w:fill="000080"/>
    </w:p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link w:val="145"/>
    <w:qFormat/>
    <w:uiPriority w:val="0"/>
    <w:pPr>
      <w:jc w:val="left"/>
    </w:pPr>
  </w:style>
  <w:style w:type="paragraph" w:styleId="18">
    <w:name w:val="Body Text Indent"/>
    <w:basedOn w:val="1"/>
    <w:next w:val="1"/>
    <w:link w:val="151"/>
    <w:qFormat/>
    <w:uiPriority w:val="0"/>
    <w:pPr>
      <w:spacing w:after="120"/>
      <w:ind w:left="420" w:leftChars="200"/>
    </w:pPr>
  </w:style>
  <w:style w:type="paragraph" w:styleId="19">
    <w:name w:val="Block Text"/>
    <w:basedOn w:val="1"/>
    <w:unhideWhenUsed/>
    <w:qFormat/>
    <w:uiPriority w:val="99"/>
    <w:pPr>
      <w:spacing w:beforeLines="50" w:afterLines="50"/>
      <w:ind w:left="426" w:right="-11" w:hanging="426" w:hangingChars="203"/>
    </w:pPr>
    <w:rPr>
      <w:rFonts w:eastAsia="楷体_GB2312"/>
    </w:rPr>
  </w:style>
  <w:style w:type="paragraph" w:styleId="20">
    <w:name w:val="toc 5"/>
    <w:basedOn w:val="1"/>
    <w:next w:val="1"/>
    <w:semiHidden/>
    <w:qFormat/>
    <w:uiPriority w:val="0"/>
    <w:pPr>
      <w:spacing w:line="280" w:lineRule="exact"/>
      <w:jc w:val="right"/>
    </w:pPr>
  </w:style>
  <w:style w:type="paragraph" w:styleId="21">
    <w:name w:val="Plain Text"/>
    <w:basedOn w:val="1"/>
    <w:next w:val="1"/>
    <w:link w:val="142"/>
    <w:qFormat/>
    <w:uiPriority w:val="0"/>
    <w:rPr>
      <w:rFonts w:ascii="宋体" w:hAnsi="Courier New"/>
      <w:szCs w:val="21"/>
    </w:rPr>
  </w:style>
  <w:style w:type="paragraph" w:styleId="22">
    <w:name w:val="Date"/>
    <w:basedOn w:val="1"/>
    <w:next w:val="1"/>
    <w:link w:val="119"/>
    <w:qFormat/>
    <w:uiPriority w:val="0"/>
    <w:pPr>
      <w:ind w:left="100" w:leftChars="2500"/>
    </w:pPr>
    <w:rPr>
      <w:color w:val="000000"/>
      <w:sz w:val="24"/>
    </w:rPr>
  </w:style>
  <w:style w:type="paragraph" w:styleId="23">
    <w:name w:val="Body Text Indent 2"/>
    <w:basedOn w:val="1"/>
    <w:link w:val="138"/>
    <w:qFormat/>
    <w:uiPriority w:val="99"/>
    <w:pPr>
      <w:widowControl/>
      <w:spacing w:line="480" w:lineRule="atLeast"/>
      <w:ind w:firstLine="480"/>
    </w:pPr>
  </w:style>
  <w:style w:type="paragraph" w:styleId="24">
    <w:name w:val="Balloon Text"/>
    <w:basedOn w:val="1"/>
    <w:link w:val="120"/>
    <w:qFormat/>
    <w:uiPriority w:val="0"/>
    <w:rPr>
      <w:sz w:val="18"/>
      <w:szCs w:val="18"/>
    </w:rPr>
  </w:style>
  <w:style w:type="paragraph" w:styleId="25">
    <w:name w:val="footer"/>
    <w:basedOn w:val="1"/>
    <w:next w:val="26"/>
    <w:link w:val="144"/>
    <w:unhideWhenUsed/>
    <w:qFormat/>
    <w:uiPriority w:val="99"/>
    <w:pPr>
      <w:tabs>
        <w:tab w:val="center" w:pos="4153"/>
        <w:tab w:val="right" w:pos="8306"/>
      </w:tabs>
      <w:snapToGrid w:val="0"/>
      <w:jc w:val="left"/>
    </w:pPr>
    <w:rPr>
      <w:sz w:val="18"/>
      <w:szCs w:val="18"/>
    </w:rPr>
  </w:style>
  <w:style w:type="paragraph" w:styleId="26">
    <w:name w:val="toc 2"/>
    <w:basedOn w:val="1"/>
    <w:next w:val="1"/>
    <w:qFormat/>
    <w:uiPriority w:val="0"/>
    <w:pPr>
      <w:ind w:left="210"/>
      <w:jc w:val="left"/>
    </w:pPr>
    <w:rPr>
      <w:rFonts w:ascii="Calibri" w:hAnsi="Calibri" w:cs="Calibri"/>
      <w:smallCaps/>
      <w:sz w:val="20"/>
    </w:rPr>
  </w:style>
  <w:style w:type="paragraph" w:styleId="27">
    <w:name w:val="envelope return"/>
    <w:basedOn w:val="1"/>
    <w:qFormat/>
    <w:uiPriority w:val="0"/>
    <w:pPr>
      <w:snapToGrid w:val="0"/>
    </w:pPr>
    <w:rPr>
      <w:rFonts w:ascii="Arial" w:hAnsi="Arial"/>
    </w:rPr>
  </w:style>
  <w:style w:type="paragraph" w:styleId="28">
    <w:name w:val="header"/>
    <w:basedOn w:val="1"/>
    <w:link w:val="13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List"/>
    <w:basedOn w:val="1"/>
    <w:qFormat/>
    <w:uiPriority w:val="0"/>
    <w:pPr>
      <w:ind w:left="200" w:hanging="200" w:hangingChars="200"/>
    </w:pPr>
    <w:rPr>
      <w:sz w:val="28"/>
    </w:rPr>
  </w:style>
  <w:style w:type="paragraph" w:styleId="30">
    <w:name w:val="Body Text Indent 3"/>
    <w:basedOn w:val="1"/>
    <w:link w:val="153"/>
    <w:qFormat/>
    <w:uiPriority w:val="99"/>
    <w:pPr>
      <w:autoSpaceDE w:val="0"/>
      <w:autoSpaceDN w:val="0"/>
      <w:spacing w:line="400" w:lineRule="atLeast"/>
      <w:ind w:firstLine="443" w:firstLineChars="200"/>
      <w:textAlignment w:val="bottom"/>
    </w:pPr>
    <w:rPr>
      <w:sz w:val="16"/>
      <w:szCs w:val="16"/>
    </w:rPr>
  </w:style>
  <w:style w:type="paragraph" w:styleId="31">
    <w:name w:val="index 7"/>
    <w:basedOn w:val="1"/>
    <w:next w:val="1"/>
    <w:qFormat/>
    <w:uiPriority w:val="0"/>
    <w:pPr>
      <w:autoSpaceDE/>
      <w:autoSpaceDN/>
      <w:adjustRightInd/>
      <w:ind w:left="1200" w:leftChars="1200"/>
    </w:pPr>
    <w:rPr>
      <w:color w:val="auto"/>
      <w:kern w:val="2"/>
      <w:szCs w:val="24"/>
    </w:rPr>
  </w:style>
  <w:style w:type="paragraph" w:styleId="32">
    <w:name w:val="Body Text 2"/>
    <w:basedOn w:val="1"/>
    <w:link w:val="157"/>
    <w:qFormat/>
    <w:uiPriority w:val="0"/>
    <w:pPr>
      <w:spacing w:after="120" w:line="480" w:lineRule="auto"/>
    </w:pPr>
  </w:style>
  <w:style w:type="paragraph" w:styleId="33">
    <w:name w:val="HTML Preformatted"/>
    <w:basedOn w:val="1"/>
    <w:link w:val="12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35">
    <w:name w:val="Title"/>
    <w:basedOn w:val="1"/>
    <w:next w:val="1"/>
    <w:link w:val="136"/>
    <w:qFormat/>
    <w:uiPriority w:val="0"/>
    <w:pPr>
      <w:spacing w:before="240" w:after="60"/>
      <w:jc w:val="center"/>
      <w:outlineLvl w:val="0"/>
    </w:pPr>
    <w:rPr>
      <w:rFonts w:ascii="Arial" w:hAnsi="Arial"/>
      <w:sz w:val="32"/>
      <w:szCs w:val="32"/>
    </w:rPr>
  </w:style>
  <w:style w:type="paragraph" w:styleId="36">
    <w:name w:val="annotation subject"/>
    <w:basedOn w:val="17"/>
    <w:next w:val="17"/>
    <w:link w:val="158"/>
    <w:qFormat/>
    <w:uiPriority w:val="0"/>
    <w:rPr>
      <w:b/>
      <w:bCs/>
    </w:rPr>
  </w:style>
  <w:style w:type="paragraph" w:styleId="37">
    <w:name w:val="Body Text First Indent 2"/>
    <w:basedOn w:val="18"/>
    <w:qFormat/>
    <w:uiPriority w:val="0"/>
    <w:pPr>
      <w:ind w:firstLine="420" w:firstLineChars="200"/>
    </w:p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qFormat/>
    <w:uiPriority w:val="0"/>
    <w:rPr>
      <w:color w:val="333333"/>
      <w:u w:val="none"/>
    </w:rPr>
  </w:style>
  <w:style w:type="character" w:styleId="44">
    <w:name w:val="Emphasis"/>
    <w:qFormat/>
    <w:uiPriority w:val="0"/>
    <w:rPr>
      <w:i/>
      <w:iCs/>
    </w:rPr>
  </w:style>
  <w:style w:type="character" w:styleId="45">
    <w:name w:val="Hyperlink"/>
    <w:basedOn w:val="40"/>
    <w:qFormat/>
    <w:uiPriority w:val="0"/>
    <w:rPr>
      <w:color w:val="333333"/>
      <w:u w:val="none"/>
    </w:rPr>
  </w:style>
  <w:style w:type="character" w:styleId="46">
    <w:name w:val="annotation reference"/>
    <w:qFormat/>
    <w:uiPriority w:val="0"/>
    <w:rPr>
      <w:sz w:val="21"/>
      <w:szCs w:val="21"/>
    </w:rPr>
  </w:style>
  <w:style w:type="paragraph" w:customStyle="1" w:styleId="47">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8">
    <w:name w:val="表格文字"/>
    <w:basedOn w:val="49"/>
    <w:next w:val="3"/>
    <w:qFormat/>
    <w:uiPriority w:val="0"/>
    <w:pPr>
      <w:jc w:val="left"/>
      <w:textAlignment w:val="top"/>
    </w:pPr>
    <w:rPr>
      <w:sz w:val="18"/>
    </w:rPr>
  </w:style>
  <w:style w:type="paragraph" w:customStyle="1" w:styleId="49">
    <w:name w:val="表格文字（两侧对齐）"/>
    <w:basedOn w:val="1"/>
    <w:qFormat/>
    <w:uiPriority w:val="0"/>
    <w:pPr>
      <w:snapToGrid w:val="0"/>
    </w:pPr>
    <w:rPr>
      <w:sz w:val="20"/>
      <w:szCs w:val="20"/>
    </w:rPr>
  </w:style>
  <w:style w:type="paragraph" w:customStyle="1" w:styleId="50">
    <w:name w:val="Char Char1"/>
    <w:basedOn w:val="1"/>
    <w:qFormat/>
    <w:uiPriority w:val="0"/>
  </w:style>
  <w:style w:type="paragraph" w:customStyle="1" w:styleId="51">
    <w:name w:val="Char Char Char Char Char Char Char Char Char Char Char Char Char"/>
    <w:basedOn w:val="1"/>
    <w:qFormat/>
    <w:uiPriority w:val="0"/>
    <w:rPr>
      <w:rFonts w:ascii="Tahoma" w:hAnsi="Tahoma"/>
      <w:sz w:val="24"/>
      <w:szCs w:val="20"/>
    </w:rPr>
  </w:style>
  <w:style w:type="paragraph" w:customStyle="1" w:styleId="52">
    <w:name w:val="xl14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55">
    <w:name w:val="_Style 9"/>
    <w:basedOn w:val="1"/>
    <w:qFormat/>
    <w:uiPriority w:val="0"/>
  </w:style>
  <w:style w:type="paragraph" w:customStyle="1" w:styleId="5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
    <w:name w:val="正文－恩普"/>
    <w:basedOn w:val="10"/>
    <w:qFormat/>
    <w:uiPriority w:val="0"/>
    <w:pPr>
      <w:spacing w:line="360" w:lineRule="auto"/>
      <w:ind w:firstLine="200"/>
    </w:pPr>
  </w:style>
  <w:style w:type="paragraph" w:customStyle="1" w:styleId="58">
    <w:name w:val="xl125"/>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59">
    <w:name w:val="样式 正文首行缩进 + 首行缩进:  1 字符"/>
    <w:basedOn w:val="1"/>
    <w:next w:val="60"/>
    <w:qFormat/>
    <w:uiPriority w:val="0"/>
    <w:pPr>
      <w:spacing w:line="360" w:lineRule="auto"/>
      <w:ind w:firstLine="200" w:firstLineChars="200"/>
    </w:pPr>
    <w:rPr>
      <w:rFonts w:cs="宋体"/>
      <w:sz w:val="24"/>
      <w:szCs w:val="20"/>
    </w:rPr>
  </w:style>
  <w:style w:type="paragraph" w:customStyle="1" w:styleId="60">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1">
    <w:name w:val="金保首页2"/>
    <w:basedOn w:val="1"/>
    <w:next w:val="1"/>
    <w:qFormat/>
    <w:uiPriority w:val="0"/>
    <w:pPr>
      <w:jc w:val="center"/>
    </w:pPr>
    <w:rPr>
      <w:rFonts w:ascii="Tahoma" w:hAnsi="Tahoma" w:eastAsia="黑体"/>
      <w:b/>
      <w:bCs/>
      <w:sz w:val="72"/>
      <w:szCs w:val="72"/>
    </w:rPr>
  </w:style>
  <w:style w:type="paragraph" w:customStyle="1" w:styleId="62">
    <w:name w:val="Body Text(ch)"/>
    <w:basedOn w:val="1"/>
    <w:next w:val="3"/>
    <w:qFormat/>
    <w:uiPriority w:val="0"/>
    <w:pPr>
      <w:spacing w:line="500" w:lineRule="exact"/>
      <w:jc w:val="center"/>
    </w:pPr>
  </w:style>
  <w:style w:type="paragraph" w:customStyle="1" w:styleId="63">
    <w:name w:val="Char1 Char Char Char"/>
    <w:basedOn w:val="1"/>
    <w:qFormat/>
    <w:uiPriority w:val="0"/>
    <w:rPr>
      <w:rFonts w:ascii="Tahoma" w:hAnsi="Tahoma"/>
      <w:sz w:val="24"/>
      <w:szCs w:val="20"/>
    </w:rPr>
  </w:style>
  <w:style w:type="paragraph" w:customStyle="1" w:styleId="6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
    <w:name w:val="Char Char Char Char Char Char Char Char Char1 Char"/>
    <w:basedOn w:val="1"/>
    <w:qFormat/>
    <w:uiPriority w:val="0"/>
    <w:rPr>
      <w:rFonts w:ascii="仿宋_GB2312" w:eastAsia="仿宋_GB2312"/>
      <w:b/>
      <w:sz w:val="32"/>
      <w:szCs w:val="32"/>
    </w:rPr>
  </w:style>
  <w:style w:type="paragraph" w:customStyle="1" w:styleId="66">
    <w:name w:val="表格标题"/>
    <w:basedOn w:val="1"/>
    <w:qFormat/>
    <w:uiPriority w:val="0"/>
    <w:pPr>
      <w:jc w:val="center"/>
    </w:pPr>
    <w:rPr>
      <w:b/>
    </w:rPr>
  </w:style>
  <w:style w:type="paragraph" w:customStyle="1" w:styleId="6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p0"/>
    <w:basedOn w:val="1"/>
    <w:qFormat/>
    <w:uiPriority w:val="0"/>
    <w:pPr>
      <w:widowControl/>
    </w:pPr>
    <w:rPr>
      <w:kern w:val="0"/>
      <w:szCs w:val="21"/>
    </w:rPr>
  </w:style>
  <w:style w:type="paragraph" w:customStyle="1" w:styleId="69">
    <w:name w:val="金保标题1"/>
    <w:basedOn w:val="5"/>
    <w:next w:val="1"/>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7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px12l140"/>
    <w:basedOn w:val="1"/>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72">
    <w:name w:val="Char1 Char Char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5">
    <w:name w:val="xl143"/>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76">
    <w:name w:val="列表段落1"/>
    <w:basedOn w:val="1"/>
    <w:link w:val="179"/>
    <w:qFormat/>
    <w:uiPriority w:val="34"/>
    <w:pPr>
      <w:ind w:firstLine="420" w:firstLineChars="200"/>
    </w:pPr>
    <w:rPr>
      <w:rFonts w:ascii="Calibri" w:hAnsi="Calibri"/>
      <w:szCs w:val="22"/>
    </w:rPr>
  </w:style>
  <w:style w:type="paragraph" w:customStyle="1" w:styleId="77">
    <w:name w:val="xl12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8">
    <w:name w:val="xl123"/>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9">
    <w:name w:val="Char1 Char Char Char Char Char Char"/>
    <w:basedOn w:val="1"/>
    <w:qFormat/>
    <w:uiPriority w:val="0"/>
    <w:rPr>
      <w:rFonts w:ascii="Tahoma" w:hAnsi="Tahoma"/>
      <w:sz w:val="24"/>
      <w:szCs w:val="20"/>
    </w:rPr>
  </w:style>
  <w:style w:type="paragraph" w:customStyle="1" w:styleId="80">
    <w:name w:val="Char Char Char"/>
    <w:basedOn w:val="1"/>
    <w:qFormat/>
    <w:uiPriority w:val="0"/>
  </w:style>
  <w:style w:type="paragraph" w:customStyle="1" w:styleId="8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小点说明"/>
    <w:basedOn w:val="1"/>
    <w:qFormat/>
    <w:uiPriority w:val="0"/>
    <w:pPr>
      <w:adjustRightInd w:val="0"/>
      <w:snapToGrid w:val="0"/>
    </w:pPr>
    <w:rPr>
      <w:rFonts w:ascii="仿宋_GB2312" w:eastAsia="仿宋_GB2312"/>
      <w:color w:val="000000"/>
      <w:szCs w:val="18"/>
    </w:rPr>
  </w:style>
  <w:style w:type="paragraph" w:customStyle="1" w:styleId="83">
    <w:name w:val="xl132"/>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说正文文字"/>
    <w:basedOn w:val="3"/>
    <w:qFormat/>
    <w:uiPriority w:val="0"/>
    <w:pPr>
      <w:widowControl/>
      <w:spacing w:line="360" w:lineRule="auto"/>
      <w:ind w:left="320" w:leftChars="200" w:firstLine="460" w:firstLineChars="200"/>
    </w:pPr>
    <w:rPr>
      <w:rFonts w:ascii="宋体" w:hAnsi="宋体"/>
      <w:bCs/>
      <w:spacing w:val="-5"/>
      <w:kern w:val="0"/>
    </w:rPr>
  </w:style>
  <w:style w:type="paragraph" w:customStyle="1" w:styleId="85">
    <w:name w:val="金保标题2"/>
    <w:basedOn w:val="6"/>
    <w:next w:val="1"/>
    <w:link w:val="154"/>
    <w:qFormat/>
    <w:uiPriority w:val="0"/>
    <w:pPr>
      <w:tabs>
        <w:tab w:val="left" w:pos="576"/>
      </w:tabs>
      <w:spacing w:line="360" w:lineRule="auto"/>
      <w:ind w:left="576" w:hanging="576"/>
    </w:pPr>
    <w:rPr>
      <w:rFonts w:ascii="Times New Roman" w:hAnsi="Times New Roman"/>
      <w:sz w:val="28"/>
      <w:szCs w:val="28"/>
    </w:rPr>
  </w:style>
  <w:style w:type="paragraph" w:customStyle="1" w:styleId="86">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8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SANGFOR_6_正文"/>
    <w:basedOn w:val="1"/>
    <w:qFormat/>
    <w:uiPriority w:val="0"/>
    <w:pPr>
      <w:spacing w:line="360" w:lineRule="auto"/>
      <w:ind w:firstLine="200" w:firstLineChars="200"/>
    </w:pPr>
  </w:style>
  <w:style w:type="paragraph" w:customStyle="1" w:styleId="90">
    <w:name w:val="Char Char Char Char1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xl137"/>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
    <w:name w:val="Char Char1 Char Char Char Char Char Char"/>
    <w:basedOn w:val="1"/>
    <w:qFormat/>
    <w:uiPriority w:val="0"/>
    <w:pPr>
      <w:widowControl/>
      <w:jc w:val="left"/>
    </w:pPr>
    <w:rPr>
      <w:rFonts w:ascii="Verdana" w:hAnsi="Verdana" w:eastAsia="仿宋_GB2312"/>
      <w:kern w:val="0"/>
      <w:sz w:val="28"/>
      <w:szCs w:val="20"/>
      <w:lang w:eastAsia="en-US"/>
    </w:rPr>
  </w:style>
  <w:style w:type="paragraph" w:customStyle="1" w:styleId="9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95">
    <w:name w:val="Char Char5 Char"/>
    <w:basedOn w:val="15"/>
    <w:qFormat/>
    <w:uiPriority w:val="0"/>
    <w:rPr>
      <w:rFonts w:ascii="Tahoma" w:hAnsi="Tahoma"/>
      <w:sz w:val="24"/>
    </w:rPr>
  </w:style>
  <w:style w:type="paragraph" w:customStyle="1" w:styleId="9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
    <w:name w:val="xl136"/>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98">
    <w:name w:val="_Style 23"/>
    <w:basedOn w:val="1"/>
    <w:qFormat/>
    <w:uiPriority w:val="0"/>
  </w:style>
  <w:style w:type="paragraph" w:customStyle="1" w:styleId="99">
    <w:name w:val="xl142"/>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02">
    <w:name w:val="Char Char"/>
    <w:basedOn w:val="1"/>
    <w:qFormat/>
    <w:uiPriority w:val="0"/>
    <w:rPr>
      <w:rFonts w:ascii="仿宋_GB2312" w:eastAsia="仿宋_GB2312"/>
      <w:b/>
      <w:sz w:val="32"/>
      <w:szCs w:val="32"/>
    </w:rPr>
  </w:style>
  <w:style w:type="paragraph" w:customStyle="1" w:styleId="10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4">
    <w:name w:val="mod_selection1"/>
    <w:basedOn w:val="1"/>
    <w:qFormat/>
    <w:uiPriority w:val="0"/>
    <w:pPr>
      <w:widowControl/>
      <w:ind w:left="75"/>
      <w:jc w:val="left"/>
    </w:pPr>
    <w:rPr>
      <w:rFonts w:ascii="Arial" w:hAnsi="Arial" w:cs="Arial"/>
      <w:b/>
      <w:bCs/>
      <w:kern w:val="0"/>
      <w:sz w:val="20"/>
      <w:szCs w:val="20"/>
    </w:rPr>
  </w:style>
  <w:style w:type="paragraph" w:customStyle="1" w:styleId="105">
    <w:name w:val="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06">
    <w:name w:val="Table Text"/>
    <w:basedOn w:val="1"/>
    <w:qFormat/>
    <w:uiPriority w:val="0"/>
    <w:rPr>
      <w:sz w:val="18"/>
    </w:rPr>
  </w:style>
  <w:style w:type="paragraph" w:customStyle="1" w:styleId="107">
    <w:name w:val="Char11"/>
    <w:basedOn w:val="1"/>
    <w:qFormat/>
    <w:uiPriority w:val="0"/>
    <w:rPr>
      <w:rFonts w:ascii="仿宋_GB2312" w:eastAsia="仿宋_GB2312"/>
      <w:b/>
      <w:sz w:val="32"/>
      <w:szCs w:val="32"/>
    </w:rPr>
  </w:style>
  <w:style w:type="paragraph" w:customStyle="1" w:styleId="10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1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12">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
    <w:name w:val="Char Char9"/>
    <w:basedOn w:val="1"/>
    <w:qFormat/>
    <w:uiPriority w:val="0"/>
    <w:rPr>
      <w:rFonts w:ascii="宋体" w:hAnsi="宋体" w:cs="宋体"/>
      <w:b/>
      <w:bCs/>
      <w:color w:val="000000"/>
      <w:sz w:val="22"/>
      <w:szCs w:val="22"/>
    </w:rPr>
  </w:style>
  <w:style w:type="paragraph" w:customStyle="1" w:styleId="114">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115">
    <w:name w:val="表内文字"/>
    <w:basedOn w:val="1"/>
    <w:qFormat/>
    <w:uiPriority w:val="0"/>
    <w:pPr>
      <w:spacing w:line="500" w:lineRule="atLeast"/>
      <w:jc w:val="center"/>
    </w:pPr>
    <w:rPr>
      <w:rFonts w:ascii="Arial" w:hAnsi="Arial" w:eastAsia="楷体_GB2312" w:cs="Arial"/>
      <w:sz w:val="28"/>
    </w:rPr>
  </w:style>
  <w:style w:type="paragraph" w:customStyle="1" w:styleId="116">
    <w:name w:val="Char2"/>
    <w:basedOn w:val="1"/>
    <w:qFormat/>
    <w:uiPriority w:val="0"/>
    <w:rPr>
      <w:rFonts w:ascii="仿宋_GB2312" w:eastAsia="仿宋_GB2312"/>
      <w:b/>
      <w:sz w:val="32"/>
      <w:szCs w:val="32"/>
    </w:rPr>
  </w:style>
  <w:style w:type="paragraph" w:customStyle="1" w:styleId="11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8">
    <w:name w:val="mark11"/>
    <w:basedOn w:val="40"/>
    <w:qFormat/>
    <w:uiPriority w:val="0"/>
  </w:style>
  <w:style w:type="character" w:customStyle="1" w:styleId="119">
    <w:name w:val="日期 字符"/>
    <w:link w:val="22"/>
    <w:qFormat/>
    <w:uiPriority w:val="0"/>
    <w:rPr>
      <w:rFonts w:ascii="Times New Roman" w:hAnsi="Times New Roman"/>
      <w:color w:val="000000"/>
      <w:kern w:val="2"/>
      <w:sz w:val="24"/>
      <w:szCs w:val="24"/>
    </w:rPr>
  </w:style>
  <w:style w:type="character" w:customStyle="1" w:styleId="120">
    <w:name w:val="批注框文本 字符"/>
    <w:link w:val="24"/>
    <w:qFormat/>
    <w:uiPriority w:val="0"/>
    <w:rPr>
      <w:rFonts w:ascii="Times New Roman" w:hAnsi="Times New Roman"/>
      <w:kern w:val="2"/>
      <w:sz w:val="18"/>
      <w:szCs w:val="18"/>
    </w:rPr>
  </w:style>
  <w:style w:type="character" w:customStyle="1" w:styleId="121">
    <w:name w:val="正文文本缩进 2 Char1"/>
    <w:semiHidden/>
    <w:qFormat/>
    <w:uiPriority w:val="99"/>
    <w:rPr>
      <w:rFonts w:ascii="Times New Roman" w:hAnsi="Times New Roman"/>
      <w:kern w:val="2"/>
      <w:sz w:val="21"/>
      <w:szCs w:val="24"/>
    </w:rPr>
  </w:style>
  <w:style w:type="character" w:customStyle="1" w:styleId="122">
    <w:name w:val="标题 6 字符"/>
    <w:link w:val="9"/>
    <w:qFormat/>
    <w:uiPriority w:val="0"/>
    <w:rPr>
      <w:rFonts w:ascii="Arial" w:hAnsi="Arial" w:eastAsia="黑体"/>
      <w:b/>
      <w:bCs/>
      <w:spacing w:val="6"/>
      <w:kern w:val="2"/>
      <w:sz w:val="24"/>
      <w:szCs w:val="24"/>
    </w:rPr>
  </w:style>
  <w:style w:type="character" w:customStyle="1" w:styleId="123">
    <w:name w:val="Footer1 Char"/>
    <w:qFormat/>
    <w:uiPriority w:val="0"/>
    <w:rPr>
      <w:rFonts w:eastAsia="宋体"/>
      <w:kern w:val="2"/>
      <w:sz w:val="18"/>
      <w:szCs w:val="18"/>
      <w:lang w:val="en-US" w:eastAsia="zh-CN" w:bidi="ar-SA"/>
    </w:rPr>
  </w:style>
  <w:style w:type="character" w:customStyle="1" w:styleId="124">
    <w:name w:val="b titlename wangputoptitle"/>
    <w:basedOn w:val="40"/>
    <w:qFormat/>
    <w:uiPriority w:val="0"/>
  </w:style>
  <w:style w:type="character" w:customStyle="1" w:styleId="125">
    <w:name w:val="标题 9 字符"/>
    <w:link w:val="13"/>
    <w:qFormat/>
    <w:uiPriority w:val="0"/>
    <w:rPr>
      <w:rFonts w:ascii="Arial" w:hAnsi="Arial" w:eastAsia="黑体"/>
      <w:spacing w:val="6"/>
      <w:kern w:val="2"/>
      <w:sz w:val="24"/>
      <w:szCs w:val="24"/>
    </w:rPr>
  </w:style>
  <w:style w:type="character" w:customStyle="1" w:styleId="126">
    <w:name w:val="font21"/>
    <w:qFormat/>
    <w:uiPriority w:val="0"/>
    <w:rPr>
      <w:rFonts w:hint="eastAsia" w:ascii="宋体" w:hAnsi="宋体" w:eastAsia="宋体" w:cs="宋体"/>
      <w:color w:val="000000"/>
      <w:sz w:val="24"/>
      <w:szCs w:val="24"/>
      <w:u w:val="none"/>
    </w:rPr>
  </w:style>
  <w:style w:type="character" w:customStyle="1" w:styleId="127">
    <w:name w:val="HTML 预设格式 字符"/>
    <w:link w:val="33"/>
    <w:qFormat/>
    <w:uiPriority w:val="0"/>
    <w:rPr>
      <w:rFonts w:ascii="宋体" w:hAnsi="宋体" w:cs="宋体"/>
      <w:sz w:val="24"/>
      <w:szCs w:val="24"/>
    </w:rPr>
  </w:style>
  <w:style w:type="character" w:customStyle="1" w:styleId="128">
    <w:name w:val="标题 7 字符"/>
    <w:link w:val="11"/>
    <w:qFormat/>
    <w:uiPriority w:val="0"/>
    <w:rPr>
      <w:rFonts w:ascii="Times New Roman" w:hAnsi="Times New Roman"/>
      <w:b/>
      <w:bCs/>
      <w:spacing w:val="6"/>
      <w:kern w:val="2"/>
      <w:sz w:val="24"/>
      <w:szCs w:val="24"/>
    </w:rPr>
  </w:style>
  <w:style w:type="character" w:customStyle="1" w:styleId="129">
    <w:name w:val="第一层条 Char Char"/>
    <w:qFormat/>
    <w:uiPriority w:val="0"/>
    <w:rPr>
      <w:rFonts w:ascii="Arial" w:hAnsi="Arial" w:eastAsia="黑体"/>
      <w:b/>
      <w:bCs/>
      <w:kern w:val="2"/>
      <w:sz w:val="32"/>
      <w:szCs w:val="32"/>
    </w:rPr>
  </w:style>
  <w:style w:type="character" w:customStyle="1" w:styleId="130">
    <w:name w:val="apple-style-span"/>
    <w:basedOn w:val="40"/>
    <w:qFormat/>
    <w:uiPriority w:val="0"/>
  </w:style>
  <w:style w:type="character" w:customStyle="1" w:styleId="131">
    <w:name w:val="标题 2 Char"/>
    <w:qFormat/>
    <w:uiPriority w:val="0"/>
    <w:rPr>
      <w:rFonts w:ascii="Cambria" w:hAnsi="Cambria" w:eastAsia="宋体" w:cs="Times New Roman"/>
      <w:b/>
      <w:bCs/>
      <w:kern w:val="2"/>
      <w:sz w:val="32"/>
      <w:szCs w:val="32"/>
    </w:rPr>
  </w:style>
  <w:style w:type="character" w:customStyle="1" w:styleId="132">
    <w:name w:val="标题 2 字符"/>
    <w:link w:val="6"/>
    <w:qFormat/>
    <w:uiPriority w:val="0"/>
    <w:rPr>
      <w:rFonts w:ascii="Arial" w:hAnsi="Arial" w:eastAsia="黑体"/>
      <w:b/>
      <w:bCs/>
      <w:kern w:val="2"/>
      <w:sz w:val="32"/>
      <w:szCs w:val="32"/>
    </w:rPr>
  </w:style>
  <w:style w:type="character" w:customStyle="1" w:styleId="133">
    <w:name w:val="批注文字 Char"/>
    <w:qFormat/>
    <w:uiPriority w:val="0"/>
    <w:rPr>
      <w:rFonts w:eastAsia="宋体"/>
      <w:kern w:val="2"/>
      <w:sz w:val="21"/>
      <w:szCs w:val="24"/>
      <w:lang w:val="en-US" w:eastAsia="zh-CN" w:bidi="ar-SA"/>
    </w:rPr>
  </w:style>
  <w:style w:type="character" w:customStyle="1" w:styleId="134">
    <w:name w:val="unnamed51"/>
    <w:qFormat/>
    <w:uiPriority w:val="0"/>
    <w:rPr>
      <w:sz w:val="22"/>
      <w:szCs w:val="22"/>
    </w:rPr>
  </w:style>
  <w:style w:type="character" w:customStyle="1" w:styleId="135">
    <w:name w:val="style551"/>
    <w:qFormat/>
    <w:uiPriority w:val="0"/>
    <w:rPr>
      <w:rFonts w:hint="default" w:ascii="Arial" w:hAnsi="Arial" w:cs="Arial"/>
      <w:color w:val="333333"/>
      <w:sz w:val="24"/>
      <w:szCs w:val="24"/>
    </w:rPr>
  </w:style>
  <w:style w:type="character" w:customStyle="1" w:styleId="136">
    <w:name w:val="标题 字符"/>
    <w:link w:val="35"/>
    <w:qFormat/>
    <w:uiPriority w:val="0"/>
    <w:rPr>
      <w:rFonts w:ascii="Arial" w:hAnsi="Arial" w:cs="Arial"/>
      <w:kern w:val="2"/>
      <w:sz w:val="32"/>
      <w:szCs w:val="32"/>
    </w:rPr>
  </w:style>
  <w:style w:type="character" w:customStyle="1" w:styleId="137">
    <w:name w:val="页眉 字符"/>
    <w:link w:val="28"/>
    <w:qFormat/>
    <w:uiPriority w:val="99"/>
    <w:rPr>
      <w:rFonts w:ascii="Times New Roman" w:hAnsi="Times New Roman"/>
      <w:kern w:val="2"/>
      <w:sz w:val="18"/>
      <w:szCs w:val="18"/>
    </w:rPr>
  </w:style>
  <w:style w:type="character" w:customStyle="1" w:styleId="138">
    <w:name w:val="正文文本缩进 2 字符"/>
    <w:link w:val="23"/>
    <w:qFormat/>
    <w:uiPriority w:val="0"/>
    <w:rPr>
      <w:rFonts w:ascii="宋体"/>
      <w:sz w:val="24"/>
    </w:rPr>
  </w:style>
  <w:style w:type="character" w:customStyle="1" w:styleId="139">
    <w:name w:val="font31"/>
    <w:qFormat/>
    <w:uiPriority w:val="0"/>
    <w:rPr>
      <w:rFonts w:hint="default" w:ascii="Arial" w:hAnsi="Arial" w:cs="Arial"/>
      <w:color w:val="000000"/>
      <w:sz w:val="16"/>
      <w:szCs w:val="16"/>
      <w:u w:val="none"/>
    </w:rPr>
  </w:style>
  <w:style w:type="character" w:customStyle="1" w:styleId="140">
    <w:name w:val="标题 3 字符"/>
    <w:link w:val="7"/>
    <w:qFormat/>
    <w:uiPriority w:val="0"/>
    <w:rPr>
      <w:rFonts w:ascii="Times New Roman" w:hAnsi="Times New Roman"/>
      <w:b/>
      <w:bCs/>
      <w:kern w:val="2"/>
      <w:sz w:val="32"/>
      <w:szCs w:val="32"/>
    </w:rPr>
  </w:style>
  <w:style w:type="character" w:customStyle="1" w:styleId="141">
    <w:name w:val="文档结构图 字符"/>
    <w:link w:val="15"/>
    <w:qFormat/>
    <w:uiPriority w:val="0"/>
    <w:rPr>
      <w:rFonts w:ascii="Times New Roman" w:hAnsi="Times New Roman"/>
      <w:kern w:val="2"/>
      <w:sz w:val="21"/>
      <w:szCs w:val="24"/>
      <w:shd w:val="clear" w:color="auto" w:fill="000080"/>
    </w:rPr>
  </w:style>
  <w:style w:type="character" w:customStyle="1" w:styleId="142">
    <w:name w:val="纯文本 字符"/>
    <w:link w:val="21"/>
    <w:qFormat/>
    <w:uiPriority w:val="99"/>
    <w:rPr>
      <w:rFonts w:ascii="宋体" w:hAnsi="Courier New"/>
      <w:kern w:val="2"/>
      <w:sz w:val="21"/>
    </w:rPr>
  </w:style>
  <w:style w:type="character" w:customStyle="1" w:styleId="143">
    <w:name w:val="12blk1"/>
    <w:qFormat/>
    <w:uiPriority w:val="0"/>
    <w:rPr>
      <w:rFonts w:hint="default" w:ascii="_x000B__x000C_" w:hAnsi="_x000B__x000C_"/>
      <w:color w:val="000000"/>
      <w:sz w:val="24"/>
      <w:szCs w:val="24"/>
      <w:u w:val="none"/>
    </w:rPr>
  </w:style>
  <w:style w:type="character" w:customStyle="1" w:styleId="144">
    <w:name w:val="页脚 字符"/>
    <w:link w:val="25"/>
    <w:qFormat/>
    <w:uiPriority w:val="99"/>
    <w:rPr>
      <w:rFonts w:ascii="Times New Roman" w:hAnsi="Times New Roman"/>
      <w:kern w:val="2"/>
      <w:sz w:val="18"/>
      <w:szCs w:val="18"/>
    </w:rPr>
  </w:style>
  <w:style w:type="character" w:customStyle="1" w:styleId="145">
    <w:name w:val="批注文字 字符"/>
    <w:link w:val="17"/>
    <w:qFormat/>
    <w:uiPriority w:val="0"/>
    <w:rPr>
      <w:rFonts w:ascii="Times New Roman" w:hAnsi="Times New Roman"/>
      <w:kern w:val="2"/>
      <w:sz w:val="21"/>
      <w:szCs w:val="24"/>
    </w:rPr>
  </w:style>
  <w:style w:type="character" w:customStyle="1" w:styleId="146">
    <w:name w:val="标题 8 字符"/>
    <w:link w:val="12"/>
    <w:qFormat/>
    <w:uiPriority w:val="0"/>
    <w:rPr>
      <w:rFonts w:ascii="Arial" w:hAnsi="Arial" w:eastAsia="黑体"/>
      <w:spacing w:val="6"/>
      <w:kern w:val="2"/>
      <w:sz w:val="24"/>
      <w:szCs w:val="24"/>
    </w:rPr>
  </w:style>
  <w:style w:type="character" w:customStyle="1" w:styleId="147">
    <w:name w:val="纯文本 Char1"/>
    <w:qFormat/>
    <w:uiPriority w:val="0"/>
    <w:rPr>
      <w:rFonts w:ascii="宋体" w:hAnsi="Courier New" w:cs="Courier New"/>
      <w:kern w:val="2"/>
      <w:sz w:val="21"/>
      <w:szCs w:val="21"/>
    </w:rPr>
  </w:style>
  <w:style w:type="character" w:customStyle="1" w:styleId="148">
    <w:name w:val="标题 1 字符"/>
    <w:link w:val="5"/>
    <w:qFormat/>
    <w:uiPriority w:val="0"/>
    <w:rPr>
      <w:rFonts w:ascii="Times New Roman" w:hAnsi="Times New Roman"/>
      <w:kern w:val="2"/>
      <w:sz w:val="28"/>
      <w:szCs w:val="24"/>
    </w:rPr>
  </w:style>
  <w:style w:type="character" w:customStyle="1" w:styleId="149">
    <w:name w:val="标题 Char"/>
    <w:qFormat/>
    <w:uiPriority w:val="0"/>
    <w:rPr>
      <w:rFonts w:ascii="Cambria" w:hAnsi="Cambria" w:cs="Times New Roman"/>
      <w:b/>
      <w:bCs/>
      <w:kern w:val="2"/>
      <w:sz w:val="32"/>
      <w:szCs w:val="32"/>
    </w:rPr>
  </w:style>
  <w:style w:type="character" w:customStyle="1" w:styleId="150">
    <w:name w:val="普通文字 Char Char2"/>
    <w:qFormat/>
    <w:uiPriority w:val="0"/>
    <w:rPr>
      <w:rFonts w:ascii="宋体" w:hAnsi="Courier New" w:eastAsia="宋体"/>
      <w:kern w:val="2"/>
      <w:sz w:val="21"/>
      <w:lang w:val="en-US" w:eastAsia="zh-CN" w:bidi="ar-SA"/>
    </w:rPr>
  </w:style>
  <w:style w:type="character" w:customStyle="1" w:styleId="151">
    <w:name w:val="正文文本缩进 字符"/>
    <w:link w:val="18"/>
    <w:qFormat/>
    <w:uiPriority w:val="0"/>
    <w:rPr>
      <w:rFonts w:ascii="Times New Roman" w:hAnsi="Times New Roman"/>
      <w:kern w:val="2"/>
      <w:sz w:val="21"/>
      <w:szCs w:val="24"/>
    </w:rPr>
  </w:style>
  <w:style w:type="character" w:customStyle="1" w:styleId="152">
    <w:name w:val="Char Char6"/>
    <w:qFormat/>
    <w:uiPriority w:val="0"/>
    <w:rPr>
      <w:rFonts w:eastAsia="宋体"/>
      <w:kern w:val="2"/>
      <w:sz w:val="18"/>
      <w:szCs w:val="18"/>
      <w:lang w:val="en-US" w:eastAsia="zh-CN" w:bidi="ar-SA"/>
    </w:rPr>
  </w:style>
  <w:style w:type="character" w:customStyle="1" w:styleId="153">
    <w:name w:val="正文文本缩进 3 字符"/>
    <w:link w:val="30"/>
    <w:qFormat/>
    <w:uiPriority w:val="0"/>
    <w:rPr>
      <w:rFonts w:eastAsia="黑体"/>
      <w:color w:val="000000"/>
      <w:kern w:val="2"/>
      <w:sz w:val="24"/>
      <w:szCs w:val="24"/>
    </w:rPr>
  </w:style>
  <w:style w:type="character" w:customStyle="1" w:styleId="154">
    <w:name w:val="金保标题2 Char"/>
    <w:link w:val="85"/>
    <w:qFormat/>
    <w:uiPriority w:val="0"/>
    <w:rPr>
      <w:rFonts w:eastAsia="黑体"/>
      <w:b/>
      <w:bCs/>
      <w:kern w:val="2"/>
      <w:sz w:val="28"/>
      <w:szCs w:val="28"/>
    </w:rPr>
  </w:style>
  <w:style w:type="character" w:customStyle="1" w:styleId="155">
    <w:name w:val="font3"/>
    <w:basedOn w:val="40"/>
    <w:qFormat/>
    <w:uiPriority w:val="0"/>
  </w:style>
  <w:style w:type="character" w:customStyle="1" w:styleId="156">
    <w:name w:val="apple-converted-space"/>
    <w:basedOn w:val="40"/>
    <w:qFormat/>
    <w:uiPriority w:val="0"/>
  </w:style>
  <w:style w:type="character" w:customStyle="1" w:styleId="157">
    <w:name w:val="正文文本 2 字符"/>
    <w:link w:val="32"/>
    <w:qFormat/>
    <w:uiPriority w:val="0"/>
    <w:rPr>
      <w:rFonts w:ascii="Times New Roman" w:hAnsi="Times New Roman"/>
      <w:kern w:val="2"/>
      <w:sz w:val="21"/>
      <w:szCs w:val="24"/>
    </w:rPr>
  </w:style>
  <w:style w:type="character" w:customStyle="1" w:styleId="158">
    <w:name w:val="批注主题 字符"/>
    <w:link w:val="36"/>
    <w:qFormat/>
    <w:uiPriority w:val="0"/>
    <w:rPr>
      <w:rFonts w:ascii="Times New Roman" w:hAnsi="Times New Roman"/>
      <w:b/>
      <w:bCs/>
      <w:kern w:val="2"/>
      <w:sz w:val="21"/>
      <w:szCs w:val="24"/>
    </w:rPr>
  </w:style>
  <w:style w:type="character" w:customStyle="1" w:styleId="159">
    <w:name w:val="hang1"/>
    <w:basedOn w:val="40"/>
    <w:qFormat/>
    <w:uiPriority w:val="0"/>
  </w:style>
  <w:style w:type="character" w:customStyle="1" w:styleId="160">
    <w:name w:val="正文文本 Char1"/>
    <w:semiHidden/>
    <w:qFormat/>
    <w:uiPriority w:val="99"/>
    <w:rPr>
      <w:rFonts w:ascii="Times New Roman" w:hAnsi="Times New Roman"/>
      <w:kern w:val="2"/>
      <w:sz w:val="21"/>
      <w:szCs w:val="24"/>
    </w:rPr>
  </w:style>
  <w:style w:type="character" w:customStyle="1" w:styleId="161">
    <w:name w:val="普通文字 Char Char1"/>
    <w:qFormat/>
    <w:uiPriority w:val="0"/>
    <w:rPr>
      <w:rFonts w:ascii="宋体" w:hAnsi="Courier New" w:eastAsia="宋体"/>
      <w:kern w:val="2"/>
      <w:sz w:val="21"/>
      <w:lang w:val="en-US" w:eastAsia="zh-CN" w:bidi="ar-SA"/>
    </w:rPr>
  </w:style>
  <w:style w:type="character" w:customStyle="1" w:styleId="162">
    <w:name w:val="样式 宋体 小四"/>
    <w:qFormat/>
    <w:uiPriority w:val="0"/>
    <w:rPr>
      <w:rFonts w:ascii="宋体" w:hAnsi="宋体"/>
      <w:spacing w:val="6"/>
      <w:sz w:val="24"/>
      <w:szCs w:val="24"/>
    </w:rPr>
  </w:style>
  <w:style w:type="character" w:customStyle="1" w:styleId="163">
    <w:name w:val="content1"/>
    <w:qFormat/>
    <w:uiPriority w:val="0"/>
    <w:rPr>
      <w:rFonts w:hint="default" w:ascii="ˎ̥" w:hAnsi="ˎ̥"/>
      <w:color w:val="000000"/>
      <w:sz w:val="22"/>
      <w:szCs w:val="22"/>
      <w:u w:val="none"/>
    </w:rPr>
  </w:style>
  <w:style w:type="character" w:customStyle="1" w:styleId="164">
    <w:name w:val="正文缩进 字符"/>
    <w:link w:val="10"/>
    <w:qFormat/>
    <w:uiPriority w:val="0"/>
    <w:rPr>
      <w:kern w:val="2"/>
      <w:sz w:val="21"/>
      <w:szCs w:val="24"/>
    </w:rPr>
  </w:style>
  <w:style w:type="character" w:customStyle="1" w:styleId="165">
    <w:name w:val="font11"/>
    <w:qFormat/>
    <w:uiPriority w:val="0"/>
    <w:rPr>
      <w:rFonts w:hint="default" w:ascii="Times New Roman" w:hAnsi="Times New Roman" w:cs="Times New Roman"/>
      <w:color w:val="000000"/>
      <w:sz w:val="24"/>
      <w:szCs w:val="24"/>
      <w:u w:val="none"/>
    </w:rPr>
  </w:style>
  <w:style w:type="character" w:customStyle="1" w:styleId="166">
    <w:name w:val="style661"/>
    <w:qFormat/>
    <w:uiPriority w:val="0"/>
    <w:rPr>
      <w:color w:val="000000"/>
      <w:sz w:val="18"/>
      <w:szCs w:val="18"/>
    </w:rPr>
  </w:style>
  <w:style w:type="character" w:customStyle="1" w:styleId="167">
    <w:name w:val="正文文本缩进 3 Char1"/>
    <w:semiHidden/>
    <w:qFormat/>
    <w:uiPriority w:val="99"/>
    <w:rPr>
      <w:rFonts w:ascii="Times New Roman" w:hAnsi="Times New Roman"/>
      <w:kern w:val="2"/>
      <w:sz w:val="16"/>
      <w:szCs w:val="16"/>
    </w:rPr>
  </w:style>
  <w:style w:type="character" w:customStyle="1" w:styleId="168">
    <w:name w:val="普通文字 Char Char"/>
    <w:qFormat/>
    <w:uiPriority w:val="0"/>
    <w:rPr>
      <w:rFonts w:ascii="宋体" w:hAnsi="Courier New" w:eastAsia="宋体"/>
      <w:kern w:val="2"/>
      <w:sz w:val="21"/>
      <w:lang w:val="en-US" w:eastAsia="zh-CN" w:bidi="ar-SA"/>
    </w:rPr>
  </w:style>
  <w:style w:type="character" w:customStyle="1" w:styleId="169">
    <w:name w:val="wj1"/>
    <w:qFormat/>
    <w:uiPriority w:val="0"/>
    <w:rPr>
      <w:color w:val="000000"/>
      <w:sz w:val="18"/>
      <w:szCs w:val="18"/>
      <w:u w:val="none"/>
    </w:rPr>
  </w:style>
  <w:style w:type="character" w:customStyle="1" w:styleId="170">
    <w:name w:val="标题 4 字符"/>
    <w:link w:val="8"/>
    <w:qFormat/>
    <w:uiPriority w:val="0"/>
    <w:rPr>
      <w:rFonts w:ascii="Arial" w:hAnsi="Arial" w:eastAsia="黑体"/>
      <w:b/>
      <w:bCs/>
      <w:kern w:val="2"/>
      <w:sz w:val="28"/>
      <w:szCs w:val="28"/>
    </w:rPr>
  </w:style>
  <w:style w:type="character" w:customStyle="1" w:styleId="171">
    <w:name w:val="正文文本 字符"/>
    <w:link w:val="3"/>
    <w:qFormat/>
    <w:uiPriority w:val="0"/>
    <w:rPr>
      <w:rFonts w:ascii="Arial" w:hAnsi="Arial"/>
      <w:bCs/>
      <w:kern w:val="2"/>
      <w:sz w:val="24"/>
      <w:szCs w:val="24"/>
    </w:rPr>
  </w:style>
  <w:style w:type="character" w:customStyle="1" w:styleId="172">
    <w:name w:val="Char Char5"/>
    <w:qFormat/>
    <w:uiPriority w:val="0"/>
    <w:rPr>
      <w:rFonts w:ascii="Arial" w:hAnsi="Arial" w:eastAsia="宋体" w:cs="Arial"/>
      <w:kern w:val="2"/>
      <w:sz w:val="32"/>
      <w:szCs w:val="32"/>
      <w:lang w:val="en-US" w:eastAsia="zh-CN" w:bidi="ar-SA"/>
    </w:rPr>
  </w:style>
  <w:style w:type="character" w:customStyle="1" w:styleId="173">
    <w:name w:val="Char Char Char1"/>
    <w:qFormat/>
    <w:uiPriority w:val="0"/>
    <w:rPr>
      <w:rFonts w:ascii="宋体" w:hAnsi="Courier New" w:eastAsia="宋体"/>
      <w:kern w:val="2"/>
      <w:sz w:val="21"/>
      <w:lang w:val="en-US" w:eastAsia="zh-CN" w:bidi="ar-SA"/>
    </w:rPr>
  </w:style>
  <w:style w:type="paragraph" w:customStyle="1" w:styleId="174">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5">
    <w:name w:val="页脚 Char1"/>
    <w:qFormat/>
    <w:uiPriority w:val="0"/>
    <w:rPr>
      <w:kern w:val="2"/>
      <w:sz w:val="18"/>
      <w:szCs w:val="18"/>
    </w:rPr>
  </w:style>
  <w:style w:type="paragraph" w:customStyle="1" w:styleId="176">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77">
    <w:name w:val="Table Paragraph"/>
    <w:basedOn w:val="1"/>
    <w:qFormat/>
    <w:uiPriority w:val="1"/>
    <w:rPr>
      <w:rFonts w:ascii="仿宋" w:hAnsi="仿宋" w:eastAsia="仿宋" w:cs="仿宋"/>
      <w:lang w:val="zh-CN" w:bidi="zh-CN"/>
    </w:rPr>
  </w:style>
  <w:style w:type="paragraph" w:customStyle="1" w:styleId="178">
    <w:name w:val="文档正文"/>
    <w:basedOn w:val="1"/>
    <w:qFormat/>
    <w:uiPriority w:val="0"/>
    <w:pPr>
      <w:adjustRightInd w:val="0"/>
      <w:spacing w:before="60" w:after="60" w:line="360" w:lineRule="atLeast"/>
      <w:ind w:firstLine="482"/>
      <w:textAlignment w:val="baseline"/>
    </w:pPr>
    <w:rPr>
      <w:rFonts w:asciiTheme="minorHAnsi" w:hAnsiTheme="minorHAnsi" w:eastAsiaTheme="minorEastAsia" w:cstheme="minorBidi"/>
      <w:sz w:val="24"/>
      <w:szCs w:val="22"/>
    </w:rPr>
  </w:style>
  <w:style w:type="character" w:customStyle="1" w:styleId="179">
    <w:name w:val="列表段落 字符"/>
    <w:link w:val="76"/>
    <w:qFormat/>
    <w:uiPriority w:val="34"/>
    <w:rPr>
      <w:rFonts w:ascii="Calibri" w:hAnsi="Calibri" w:eastAsia="宋体" w:cs="Times New Roman"/>
      <w:kern w:val="2"/>
      <w:sz w:val="21"/>
      <w:szCs w:val="22"/>
    </w:rPr>
  </w:style>
  <w:style w:type="paragraph" w:customStyle="1" w:styleId="180">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181">
    <w:name w:val="纯文本 Char2"/>
    <w:qFormat/>
    <w:uiPriority w:val="0"/>
    <w:rPr>
      <w:rFonts w:ascii="宋体" w:hAnsi="Courier New" w:eastAsia="仿宋_GB2312" w:cs="宋体"/>
      <w:b/>
      <w:bCs/>
      <w:color w:val="000000"/>
      <w:sz w:val="21"/>
      <w:lang w:val="en-US" w:eastAsia="zh-CN" w:bidi="ar-SA"/>
    </w:rPr>
  </w:style>
  <w:style w:type="paragraph" w:customStyle="1" w:styleId="182">
    <w:name w:val="列表段落11"/>
    <w:basedOn w:val="1"/>
    <w:qFormat/>
    <w:uiPriority w:val="0"/>
    <w:pPr>
      <w:widowControl/>
      <w:ind w:firstLine="420" w:firstLineChars="200"/>
    </w:pPr>
    <w:rPr>
      <w:rFonts w:ascii="Calibri" w:hAnsi="Calibri" w:eastAsiaTheme="minorEastAsia" w:cstheme="minorBidi"/>
      <w:szCs w:val="22"/>
    </w:rPr>
  </w:style>
  <w:style w:type="character" w:customStyle="1" w:styleId="183">
    <w:name w:val="font61"/>
    <w:basedOn w:val="40"/>
    <w:qFormat/>
    <w:uiPriority w:val="0"/>
    <w:rPr>
      <w:rFonts w:hint="eastAsia" w:ascii="宋体" w:hAnsi="宋体" w:eastAsia="宋体" w:cs="宋体"/>
      <w:color w:val="000000"/>
      <w:sz w:val="20"/>
      <w:szCs w:val="20"/>
      <w:u w:val="none"/>
    </w:rPr>
  </w:style>
  <w:style w:type="paragraph" w:customStyle="1" w:styleId="184">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85">
    <w:name w:val="纯文本1"/>
    <w:basedOn w:val="184"/>
    <w:qFormat/>
    <w:uiPriority w:val="0"/>
    <w:pPr>
      <w:widowControl/>
      <w:jc w:val="left"/>
    </w:pPr>
    <w:rPr>
      <w:rFonts w:ascii="宋体" w:hAnsi="Courier New"/>
    </w:rPr>
  </w:style>
  <w:style w:type="paragraph" w:customStyle="1" w:styleId="186">
    <w:name w:val="p15"/>
    <w:basedOn w:val="1"/>
    <w:qFormat/>
    <w:uiPriority w:val="0"/>
    <w:pPr>
      <w:widowControl/>
    </w:pPr>
  </w:style>
  <w:style w:type="paragraph" w:customStyle="1" w:styleId="187">
    <w:name w:val="Plain Text"/>
    <w:basedOn w:val="188"/>
    <w:qFormat/>
    <w:uiPriority w:val="0"/>
    <w:rPr>
      <w:rFonts w:hint="eastAsia" w:ascii="宋体" w:hAnsi="Courier New"/>
      <w:kern w:val="2"/>
      <w:sz w:val="21"/>
      <w:lang w:val="en-US" w:eastAsia="zh-CN" w:bidi="ar-SA"/>
    </w:rPr>
  </w:style>
  <w:style w:type="paragraph" w:customStyle="1" w:styleId="188">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esktop\&#33485;&#21335;&#21439;&#30334;&#37324;&#24179;&#27700;&#20844;&#22253;&#32511;&#21270;&#20859;&#25252;&#20445;&#27905;&#39033;&#30446;12.14&#65288;&#20462;&#2591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F28E5-B89A-49BF-911B-1DA2C7FB39E9}">
  <ds:schemaRefs/>
</ds:datastoreItem>
</file>

<file path=docProps/app.xml><?xml version="1.0" encoding="utf-8"?>
<Properties xmlns="http://schemas.openxmlformats.org/officeDocument/2006/extended-properties" xmlns:vt="http://schemas.openxmlformats.org/officeDocument/2006/docPropsVTypes">
  <Template>苍南县百里平水公园绿化养护保洁项目12.14（修改）</Template>
  <Company>Sky123.Org</Company>
  <Pages>73</Pages>
  <Words>28439</Words>
  <Characters>29884</Characters>
  <Lines>339</Lines>
  <Paragraphs>95</Paragraphs>
  <TotalTime>11</TotalTime>
  <ScaleCrop>false</ScaleCrop>
  <LinksUpToDate>false</LinksUpToDate>
  <CharactersWithSpaces>30127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2020-03-16T08:05:00Z</dcterms:created>
  <dc:creator>Administrator</dc:creator>
  <cp:lastModifiedBy>33</cp:lastModifiedBy>
  <cp:lastPrinted>2026-05-26T04:55:00Z</cp:lastPrinted>
  <dcterms:modified xsi:type="dcterms:W3CDTF">2026-06-04T04:23:11Z</dcterms:modified>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40674624B32F4E71ABB7F04469B210D4_13</vt:lpwstr>
  </property>
  <property fmtid="{D5CDD505-2E9C-101B-9397-08002B2CF9AE}" pid="4" name="KSOTemplateDocerSaveRecord">
    <vt:lpwstr>eyJoZGlkIjoiYWUwODY3Mzc5N2JkYTBmNGQ4NTdkZTNlYjcyMjc1N2UiLCJ1c2VySWQiOiI1NTY2NDg0NjgifQ==</vt:lpwstr>
  </property>
</Properties>
</file>