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0EA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询价函</w:t>
      </w:r>
    </w:p>
    <w:p w14:paraId="16089E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52"/>
          <w:lang w:val="en-US" w:eastAsia="zh-CN"/>
        </w:rPr>
      </w:pPr>
    </w:p>
    <w:p w14:paraId="0773C87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各供应商：</w:t>
      </w:r>
    </w:p>
    <w:p w14:paraId="4358C09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我司拟就</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b/>
          <w:bCs/>
          <w:kern w:val="2"/>
          <w:sz w:val="32"/>
          <w:szCs w:val="32"/>
          <w:highlight w:val="none"/>
          <w:u w:val="single"/>
          <w:lang w:val="en-US" w:eastAsia="zh-CN" w:bidi="ar-SA"/>
        </w:rPr>
        <w:t>深圳市罗湖区莲塘05-20保障房</w:t>
      </w:r>
      <w:r>
        <w:rPr>
          <w:rFonts w:hint="eastAsia" w:ascii="仿宋_GB2312" w:hAnsi="仿宋_GB2312" w:eastAsia="仿宋_GB2312" w:cs="仿宋_GB2312"/>
          <w:b/>
          <w:bCs/>
          <w:kern w:val="2"/>
          <w:sz w:val="32"/>
          <w:szCs w:val="32"/>
          <w:highlight w:val="none"/>
          <w:u w:val="single"/>
          <w:lang w:val="en-US" w:eastAsia="zh-CN"/>
        </w:rPr>
        <w:t>保洁绿化、四害消杀</w:t>
      </w:r>
      <w:r>
        <w:rPr>
          <w:rFonts w:hint="eastAsia" w:ascii="仿宋_GB2312" w:hAnsi="仿宋_GB2312" w:eastAsia="仿宋_GB2312" w:cs="仿宋_GB2312"/>
          <w:b/>
          <w:bCs/>
          <w:kern w:val="2"/>
          <w:sz w:val="32"/>
          <w:szCs w:val="32"/>
          <w:highlight w:val="none"/>
          <w:u w:val="single"/>
          <w:lang w:val="en-US" w:eastAsia="zh-CN" w:bidi="ar-SA"/>
        </w:rPr>
        <w:t>服务项目</w:t>
      </w:r>
      <w:r>
        <w:rPr>
          <w:rFonts w:hint="eastAsia" w:ascii="仿宋_GB2312" w:hAnsi="仿宋_GB2312" w:eastAsia="仿宋_GB2312" w:cs="仿宋_GB2312"/>
          <w:sz w:val="32"/>
          <w:szCs w:val="32"/>
          <w:highlight w:val="none"/>
          <w:u w:val="none"/>
          <w:lang w:val="en-US" w:eastAsia="zh-CN"/>
        </w:rPr>
        <w:t>”进行公开询价，欢迎贵公司就以下采购内容</w:t>
      </w:r>
      <w:r>
        <w:rPr>
          <w:rFonts w:hint="eastAsia" w:ascii="仿宋_GB2312" w:hAnsi="仿宋_GB2312" w:eastAsia="仿宋_GB2312" w:cs="仿宋_GB2312"/>
          <w:sz w:val="32"/>
          <w:szCs w:val="32"/>
          <w:highlight w:val="none"/>
          <w:lang w:val="en-US" w:eastAsia="zh-CN"/>
        </w:rPr>
        <w:t>进行报价。现将有关事项说明如下：</w:t>
      </w:r>
    </w:p>
    <w:p w14:paraId="7315B922">
      <w:pPr>
        <w:pStyle w:val="8"/>
        <w:spacing w:line="560" w:lineRule="exact"/>
        <w:ind w:firstLine="643" w:firstLineChars="200"/>
        <w:jc w:val="both"/>
        <w:rPr>
          <w:rFonts w:hint="default"/>
          <w:lang w:val="en-US" w:eastAsia="zh-CN"/>
        </w:rPr>
      </w:pPr>
      <w:r>
        <w:rPr>
          <w:rFonts w:hint="eastAsia" w:ascii="仿宋_GB2312" w:hAnsi="仿宋_GB2312" w:eastAsia="仿宋_GB2312" w:cs="仿宋_GB2312"/>
          <w:b/>
          <w:bCs/>
          <w:sz w:val="32"/>
          <w:szCs w:val="32"/>
          <w:highlight w:val="none"/>
          <w:u w:val="none"/>
          <w:lang w:val="en-US" w:eastAsia="zh-CN"/>
        </w:rPr>
        <w:t>项目名称：</w:t>
      </w:r>
      <w:r>
        <w:rPr>
          <w:rFonts w:hint="eastAsia" w:ascii="仿宋_GB2312" w:hAnsi="仿宋_GB2312" w:eastAsia="仿宋_GB2312" w:cs="仿宋_GB2312"/>
          <w:b/>
          <w:bCs/>
          <w:kern w:val="2"/>
          <w:sz w:val="32"/>
          <w:szCs w:val="32"/>
          <w:highlight w:val="none"/>
          <w:u w:val="single"/>
          <w:lang w:val="en-US" w:eastAsia="zh-CN" w:bidi="ar-SA"/>
        </w:rPr>
        <w:t>深圳市罗湖区莲塘05-20保障房</w:t>
      </w:r>
      <w:r>
        <w:rPr>
          <w:rFonts w:hint="eastAsia" w:ascii="仿宋_GB2312" w:hAnsi="仿宋_GB2312" w:eastAsia="仿宋_GB2312" w:cs="仿宋_GB2312"/>
          <w:b/>
          <w:bCs/>
          <w:kern w:val="2"/>
          <w:sz w:val="32"/>
          <w:szCs w:val="32"/>
          <w:highlight w:val="none"/>
          <w:u w:val="single"/>
          <w:lang w:val="en-US" w:eastAsia="zh-CN"/>
        </w:rPr>
        <w:t>保洁绿化、四害消杀</w:t>
      </w:r>
      <w:r>
        <w:rPr>
          <w:rFonts w:hint="eastAsia" w:ascii="仿宋_GB2312" w:hAnsi="仿宋_GB2312" w:eastAsia="仿宋_GB2312" w:cs="仿宋_GB2312"/>
          <w:b/>
          <w:bCs/>
          <w:kern w:val="2"/>
          <w:sz w:val="32"/>
          <w:szCs w:val="32"/>
          <w:highlight w:val="none"/>
          <w:u w:val="single"/>
          <w:lang w:val="en-US" w:eastAsia="zh-CN" w:bidi="ar-SA"/>
        </w:rPr>
        <w:t>服务项目</w:t>
      </w:r>
    </w:p>
    <w:p w14:paraId="77AD35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2"/>
          <w:sz w:val="32"/>
          <w:szCs w:val="32"/>
          <w:highlight w:val="none"/>
          <w:u w:val="none"/>
          <w:lang w:val="en-US" w:eastAsia="zh-CN" w:bidi="ar-SA"/>
        </w:rPr>
      </w:pPr>
      <w:r>
        <w:rPr>
          <w:rFonts w:hint="eastAsia" w:ascii="仿宋_GB2312" w:hAnsi="仿宋_GB2312" w:eastAsia="仿宋_GB2312" w:cs="仿宋_GB2312"/>
          <w:b/>
          <w:bCs/>
          <w:kern w:val="2"/>
          <w:sz w:val="32"/>
          <w:szCs w:val="32"/>
          <w:highlight w:val="none"/>
          <w:u w:val="none"/>
          <w:lang w:val="en-US" w:eastAsia="zh-CN" w:bidi="ar-SA"/>
        </w:rPr>
        <w:t>二、项目概况：</w:t>
      </w:r>
    </w:p>
    <w:p w14:paraId="3B3AF119">
      <w:pPr>
        <w:pStyle w:val="2"/>
        <w:numPr>
          <w:ilvl w:val="0"/>
          <w:numId w:val="0"/>
        </w:numPr>
        <w:spacing w:line="560" w:lineRule="exact"/>
        <w:ind w:firstLine="640" w:firstLineChars="200"/>
        <w:jc w:val="both"/>
        <w:rPr>
          <w:rFonts w:hint="eastAsia" w:ascii="仿宋_GB2312" w:hAnsi="仿宋_GB2312" w:eastAsia="仿宋_GB2312" w:cs="仿宋_GB2312"/>
          <w:b/>
          <w:bCs/>
          <w:color w:val="000000" w:themeColor="text1"/>
          <w:kern w:val="2"/>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b w:val="0"/>
          <w:bCs w:val="0"/>
          <w:sz w:val="32"/>
          <w:szCs w:val="32"/>
          <w:highlight w:val="none"/>
          <w:u w:val="none"/>
        </w:rPr>
        <w:t>本项目位于莲云家园法定图则05-20地块，建设用地面积5346.80㎡，总建筑面积约3.6万㎡，容积率4.6，建筑功能为保障性住房。建筑布局为地上含2栋住宅楼共354户(其中一房一厅306户、两房两厅48户)及裙房配套功能房</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sz w:val="32"/>
          <w:szCs w:val="32"/>
          <w:highlight w:val="none"/>
          <w:u w:val="none"/>
        </w:rPr>
        <w:t>规划车位共计224个。</w:t>
      </w:r>
    </w:p>
    <w:p w14:paraId="31B64F8E">
      <w:pPr>
        <w:pStyle w:val="2"/>
        <w:numPr>
          <w:ilvl w:val="0"/>
          <w:numId w:val="0"/>
        </w:numPr>
        <w:spacing w:line="560" w:lineRule="exact"/>
        <w:ind w:firstLine="643" w:firstLineChars="200"/>
        <w:jc w:val="both"/>
        <w:rPr>
          <w:rFonts w:hint="eastAsia" w:ascii="仿宋_GB2312" w:hAnsi="仿宋_GB2312" w:eastAsia="仿宋_GB2312" w:cs="仿宋_GB2312"/>
          <w:b/>
          <w:bCs/>
          <w:color w:val="000000" w:themeColor="text1"/>
          <w:kern w:val="2"/>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u w:val="none"/>
          <w:lang w:val="en-US" w:eastAsia="zh-CN" w:bidi="ar-SA"/>
          <w14:textFill>
            <w14:solidFill>
              <w14:schemeClr w14:val="tx1"/>
            </w14:solidFill>
          </w14:textFill>
        </w:rPr>
        <w:t>三、服务范围：</w:t>
      </w:r>
    </w:p>
    <w:p w14:paraId="41F0FD08">
      <w:pPr>
        <w:pStyle w:val="2"/>
        <w:spacing w:line="560" w:lineRule="exact"/>
        <w:ind w:firstLine="640" w:firstLineChars="200"/>
        <w:jc w:val="both"/>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本次</w:t>
      </w:r>
      <w:r>
        <w:rPr>
          <w:rFonts w:hint="eastAsia" w:ascii="仿宋_GB2312" w:hAnsi="仿宋_GB2312" w:eastAsia="仿宋_GB2312" w:cs="仿宋_GB2312"/>
          <w:b w:val="0"/>
          <w:bCs w:val="0"/>
          <w:sz w:val="32"/>
          <w:szCs w:val="32"/>
          <w:lang w:val="en-US" w:eastAsia="zh-CN"/>
        </w:rPr>
        <w:t>服务</w:t>
      </w:r>
      <w:r>
        <w:rPr>
          <w:rFonts w:hint="eastAsia" w:ascii="仿宋_GB2312" w:hAnsi="仿宋_GB2312" w:eastAsia="仿宋_GB2312" w:cs="仿宋_GB2312"/>
          <w:kern w:val="2"/>
          <w:sz w:val="32"/>
          <w:szCs w:val="32"/>
          <w:highlight w:val="none"/>
          <w:u w:val="none"/>
          <w:lang w:val="en-US" w:eastAsia="zh-CN" w:bidi="ar-SA"/>
        </w:rPr>
        <w:t>范围：</w:t>
      </w:r>
      <w:r>
        <w:rPr>
          <w:rFonts w:hint="eastAsia" w:ascii="仿宋_GB2312" w:hAnsi="仿宋_GB2312" w:eastAsia="仿宋_GB2312" w:cs="仿宋_GB2312"/>
          <w:b/>
          <w:bCs/>
          <w:kern w:val="2"/>
          <w:sz w:val="32"/>
          <w:szCs w:val="32"/>
          <w:highlight w:val="none"/>
          <w:u w:val="single"/>
          <w:lang w:val="en-US" w:eastAsia="zh-CN" w:bidi="ar-SA"/>
        </w:rPr>
        <w:t>深圳市罗湖区莲塘05-20保障房</w:t>
      </w:r>
      <w:r>
        <w:rPr>
          <w:rFonts w:hint="eastAsia" w:ascii="仿宋_GB2312" w:hAnsi="仿宋_GB2312" w:eastAsia="仿宋_GB2312" w:cs="仿宋_GB2312"/>
          <w:b/>
          <w:bCs/>
          <w:kern w:val="2"/>
          <w:sz w:val="32"/>
          <w:szCs w:val="32"/>
          <w:highlight w:val="none"/>
          <w:u w:val="single"/>
          <w:lang w:val="en-US" w:eastAsia="zh-CN"/>
        </w:rPr>
        <w:t>保洁绿化、四害消杀</w:t>
      </w:r>
      <w:r>
        <w:rPr>
          <w:rFonts w:hint="eastAsia" w:ascii="仿宋_GB2312" w:hAnsi="仿宋_GB2312" w:eastAsia="仿宋_GB2312" w:cs="仿宋_GB2312"/>
          <w:b/>
          <w:bCs/>
          <w:kern w:val="2"/>
          <w:sz w:val="32"/>
          <w:szCs w:val="32"/>
          <w:highlight w:val="none"/>
          <w:u w:val="single"/>
          <w:lang w:val="en-US" w:eastAsia="zh-CN" w:bidi="ar-SA"/>
        </w:rPr>
        <w:t>服务项目</w:t>
      </w:r>
      <w:r>
        <w:rPr>
          <w:rFonts w:hint="eastAsia" w:ascii="仿宋_GB2312" w:hAnsi="仿宋_GB2312" w:eastAsia="仿宋_GB2312" w:cs="仿宋_GB2312"/>
          <w:kern w:val="2"/>
          <w:sz w:val="32"/>
          <w:szCs w:val="32"/>
          <w:highlight w:val="none"/>
          <w:u w:val="none"/>
          <w:lang w:val="en-US" w:eastAsia="zh-CN" w:bidi="ar-SA"/>
        </w:rPr>
        <w:t>。</w:t>
      </w:r>
    </w:p>
    <w:p w14:paraId="791C5B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四、项目预算限额：</w:t>
      </w:r>
      <w:r>
        <w:rPr>
          <w:rFonts w:hint="eastAsia" w:ascii="仿宋_GB2312" w:hAnsi="仿宋_GB2312" w:eastAsia="仿宋_GB2312" w:cs="仿宋_GB2312"/>
          <w:sz w:val="32"/>
          <w:szCs w:val="32"/>
          <w:highlight w:val="none"/>
          <w:u w:val="none"/>
          <w:lang w:val="en-US" w:eastAsia="zh-CN"/>
        </w:rPr>
        <w:t>人民币228000元（上限价）</w:t>
      </w:r>
    </w:p>
    <w:p w14:paraId="1F6BA7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FF0000"/>
          <w:sz w:val="32"/>
          <w:szCs w:val="32"/>
          <w:highlight w:val="yellow"/>
          <w:u w:val="none"/>
          <w:lang w:val="en-US" w:eastAsia="zh-CN"/>
        </w:rPr>
      </w:pPr>
      <w:r>
        <w:rPr>
          <w:rFonts w:hint="eastAsia" w:ascii="仿宋_GB2312" w:hAnsi="仿宋_GB2312" w:eastAsia="仿宋_GB2312" w:cs="仿宋_GB2312"/>
          <w:b/>
          <w:bCs/>
          <w:sz w:val="32"/>
          <w:szCs w:val="32"/>
          <w:highlight w:val="none"/>
          <w:u w:val="none"/>
          <w:lang w:val="en-US" w:eastAsia="zh-CN"/>
        </w:rPr>
        <w:t>五、采购内容：</w:t>
      </w:r>
      <w:r>
        <w:rPr>
          <w:rFonts w:hint="eastAsia" w:ascii="仿宋_GB2312" w:hAnsi="仿宋_GB2312" w:eastAsia="仿宋_GB2312" w:cs="仿宋_GB2312"/>
          <w:sz w:val="32"/>
          <w:szCs w:val="32"/>
          <w:highlight w:val="none"/>
          <w:u w:val="none"/>
          <w:lang w:val="en-US" w:eastAsia="zh-CN"/>
        </w:rPr>
        <w:t>包括但不限于以下内容</w:t>
      </w:r>
    </w:p>
    <w:p w14:paraId="5FE06A58">
      <w:pPr>
        <w:numPr>
          <w:ilvl w:val="0"/>
          <w:numId w:val="0"/>
        </w:numPr>
        <w:spacing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1.人员要求：保洁员2人、绿化员1人</w:t>
      </w:r>
    </w:p>
    <w:p w14:paraId="29A5B014">
      <w:pPr>
        <w:numPr>
          <w:ilvl w:val="0"/>
          <w:numId w:val="0"/>
        </w:numPr>
        <w:spacing w:line="56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2.工作要求：</w:t>
      </w:r>
      <w:r>
        <w:rPr>
          <w:rFonts w:hint="eastAsia" w:ascii="仿宋_GB2312" w:hAnsi="仿宋_GB2312" w:eastAsia="仿宋_GB2312" w:cs="仿宋_GB2312"/>
          <w:b w:val="0"/>
          <w:bCs w:val="0"/>
          <w:sz w:val="32"/>
          <w:szCs w:val="32"/>
          <w:highlight w:val="none"/>
        </w:rPr>
        <w:t>住宅公共区域(楼道、电梯厅)每日清洁2 次，电梯轿厢每日消毒1次;车位区域每日清洁1次、每周冲洗1次；绿化区域按季节浇水(夏季每日1次、其他季节每2日1次)，每2个月修剪1次、每季度施肥1次，病虫害48小时内处置;垃圾分类合规率100%，垃圾清运</w:t>
      </w:r>
      <w:r>
        <w:rPr>
          <w:rFonts w:hint="eastAsia" w:ascii="仿宋_GB2312" w:hAnsi="仿宋_GB2312" w:eastAsia="仿宋_GB2312" w:cs="仿宋_GB2312"/>
          <w:b w:val="0"/>
          <w:bCs w:val="0"/>
          <w:sz w:val="32"/>
          <w:szCs w:val="32"/>
          <w:highlight w:val="none"/>
          <w:lang w:val="en-US" w:eastAsia="zh-CN"/>
        </w:rPr>
        <w:t>日产日清</w:t>
      </w:r>
      <w:r>
        <w:rPr>
          <w:rFonts w:hint="eastAsia" w:ascii="仿宋_GB2312" w:hAnsi="仿宋_GB2312" w:eastAsia="仿宋_GB2312" w:cs="仿宋_GB2312"/>
          <w:b w:val="0"/>
          <w:bCs w:val="0"/>
          <w:sz w:val="32"/>
          <w:szCs w:val="32"/>
          <w:highlight w:val="none"/>
        </w:rPr>
        <w:t>。</w:t>
      </w:r>
    </w:p>
    <w:p w14:paraId="108FD1B5">
      <w:pPr>
        <w:pStyle w:val="2"/>
        <w:spacing w:line="560" w:lineRule="exact"/>
        <w:ind w:firstLine="643" w:firstLineChars="200"/>
        <w:jc w:val="both"/>
        <w:rPr>
          <w:rFonts w:hint="eastAsia" w:ascii="仿宋_GB2312" w:hAnsi="仿宋_GB2312" w:eastAsia="仿宋_GB2312" w:cs="仿宋_GB2312"/>
          <w:b/>
          <w:bCs/>
          <w:kern w:val="2"/>
          <w:sz w:val="32"/>
          <w:szCs w:val="32"/>
          <w:highlight w:val="none"/>
          <w:u w:val="none"/>
          <w:lang w:val="en-US" w:eastAsia="zh-CN" w:bidi="ar-SA"/>
        </w:rPr>
      </w:pPr>
      <w:r>
        <w:rPr>
          <w:rFonts w:hint="eastAsia" w:ascii="仿宋_GB2312" w:hAnsi="仿宋_GB2312" w:eastAsia="仿宋_GB2312" w:cs="仿宋_GB2312"/>
          <w:b/>
          <w:bCs/>
          <w:kern w:val="2"/>
          <w:sz w:val="32"/>
          <w:szCs w:val="32"/>
          <w:highlight w:val="none"/>
          <w:u w:val="none"/>
          <w:lang w:val="en-US" w:eastAsia="zh-CN" w:bidi="ar-SA"/>
        </w:rPr>
        <w:t>六、供应商应具备的条件</w:t>
      </w:r>
    </w:p>
    <w:p w14:paraId="74E55688">
      <w:pPr>
        <w:numPr>
          <w:ilvl w:val="0"/>
          <w:numId w:val="0"/>
        </w:numPr>
        <w:spacing w:line="56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1、必须为中华人民共和国境内注册并合法运营的独立法人机构。</w:t>
      </w:r>
    </w:p>
    <w:p w14:paraId="4D306F79">
      <w:pPr>
        <w:numPr>
          <w:ilvl w:val="0"/>
          <w:numId w:val="0"/>
        </w:numPr>
        <w:spacing w:line="56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b w:val="0"/>
          <w:bCs w:val="0"/>
          <w:color w:val="auto"/>
          <w:kern w:val="2"/>
          <w:sz w:val="32"/>
          <w:szCs w:val="32"/>
          <w:highlight w:val="none"/>
          <w:lang w:val="en-US" w:eastAsia="zh-CN" w:bidi="ar"/>
        </w:rPr>
        <w:t>在信用中国网站（www.creditchina.gov.cn）未被列入失信被执行人、深圳市政府采购监督管理网（http://zfcg.sz.gov.cn/）未被列入政府采购严重违法失信行为记录名单。</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 xml:space="preserve">    3、具有保洁（清洁）服务、有害生物防制(治)或病媒生物防治服务及绿化服务等相关经营范围（需提供市场监督管理局中经营范围的截图或企查查中经营范围的截图，并加盖公章）。</w:t>
      </w:r>
    </w:p>
    <w:p w14:paraId="7FCB3D5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4、本项目不接受联合体投标，不允许转包、分包。</w:t>
      </w:r>
    </w:p>
    <w:p w14:paraId="4BACB218">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649" w:firstLineChars="202"/>
        <w:jc w:val="left"/>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七、服务期限：</w:t>
      </w:r>
      <w:r>
        <w:rPr>
          <w:rFonts w:hint="eastAsia" w:ascii="仿宋_GB2312" w:hAnsi="仿宋_GB2312" w:eastAsia="仿宋_GB2312" w:cs="仿宋_GB2312"/>
          <w:sz w:val="32"/>
          <w:szCs w:val="32"/>
          <w:highlight w:val="none"/>
          <w:lang w:val="en-US" w:eastAsia="zh-CN"/>
        </w:rPr>
        <w:t>自合同签订生效后服务期12个月，</w:t>
      </w:r>
      <w:r>
        <w:rPr>
          <w:rFonts w:hint="eastAsia" w:ascii="仿宋_GB2312" w:hAnsi="仿宋_GB2312" w:eastAsia="仿宋_GB2312" w:cs="仿宋_GB2312"/>
          <w:b w:val="0"/>
          <w:bCs w:val="0"/>
          <w:kern w:val="2"/>
          <w:sz w:val="32"/>
          <w:szCs w:val="32"/>
          <w:highlight w:val="none"/>
          <w:lang w:val="en-US" w:eastAsia="zh-CN" w:bidi="ar-SA"/>
        </w:rPr>
        <w:t>招标人可视履约情况及自身意愿续约一年</w:t>
      </w:r>
      <w:r>
        <w:rPr>
          <w:rFonts w:hint="eastAsia" w:ascii="仿宋_GB2312" w:hAnsi="仿宋_GB2312" w:eastAsia="仿宋_GB2312" w:cs="仿宋_GB2312"/>
          <w:sz w:val="32"/>
          <w:szCs w:val="32"/>
          <w:highlight w:val="none"/>
          <w:lang w:val="en-US" w:eastAsia="zh-CN"/>
        </w:rPr>
        <w:t>。</w:t>
      </w:r>
    </w:p>
    <w:p w14:paraId="604C00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八、特别提醒</w:t>
      </w:r>
    </w:p>
    <w:p w14:paraId="323454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（一）报价要求</w:t>
      </w:r>
    </w:p>
    <w:p w14:paraId="17CDF3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sz w:val="32"/>
          <w:szCs w:val="32"/>
          <w:highlight w:val="none"/>
          <w:u w:val="none"/>
          <w:lang w:val="en-US" w:eastAsia="zh-CN"/>
        </w:rPr>
        <w:t>报价一经认可，即为签订合同的最终依据。请各供应商按附件报价函格式进行填写，并加盖公章和企业简介、营业执照、法人身份证复印件、授权委托书、授权人身份证复印件、相关资质证书等</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，于2026年6月8日10:3</w:t>
      </w:r>
      <w:bookmarkStart w:id="0" w:name="_GoBack"/>
      <w:bookmarkEnd w:id="0"/>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0前联系柳工:0755-82491559</w:t>
      </w:r>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并将相关文件寄送至深圳市罗湖区清水河一路罗湖投控大厦B座9楼903</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，逾期视为放弃参与本项目报价。</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纸质版报价文件两份，同时需将报价文件盖章扫描版以U盘方式递交，U盘同纸质版报价文件统一密封。</w:t>
      </w:r>
    </w:p>
    <w:p w14:paraId="706D066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报价须知</w:t>
      </w:r>
    </w:p>
    <w:p w14:paraId="431BED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outlineLvl w:val="9"/>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（1）</w:t>
      </w:r>
      <w:r>
        <w:rPr>
          <w:rFonts w:hint="eastAsia" w:ascii="仿宋_GB2312" w:hAnsi="仿宋_GB2312" w:eastAsia="仿宋_GB2312" w:cs="仿宋_GB2312"/>
          <w:kern w:val="2"/>
          <w:sz w:val="32"/>
          <w:szCs w:val="32"/>
          <w:highlight w:val="none"/>
          <w:u w:val="none"/>
          <w:lang w:val="en-US" w:eastAsia="zh-CN" w:bidi="ar-SA"/>
        </w:rPr>
        <w:t>本次报价为一次性报价，报价人如对本询价函报价，即表示认可我方提出的要求，且不可撤回。否则，该报价人将被记入不诚信报价人名单，在今后规定的时间内不得参与我方组织的任何招标活动。</w:t>
      </w:r>
    </w:p>
    <w:p w14:paraId="63822D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（2）询价函、报价函均为采购合同的组成部分。</w:t>
      </w:r>
    </w:p>
    <w:p w14:paraId="4080BC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3）报价人在采购过程中应遵守诚实信用的原则，在采购及合同履行过程中，如发现报价人有欺诈等不诚实行为及违反合同约定等行为，将会受到列入黑名单、网上通报等处理。希望各竞投报价人在认真阅读询价函内容后再进行报价。</w:t>
      </w:r>
    </w:p>
    <w:p w14:paraId="3DDBEC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九、联系方式</w:t>
      </w:r>
    </w:p>
    <w:p w14:paraId="3D4693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联系人：柳工</w:t>
      </w:r>
    </w:p>
    <w:p w14:paraId="1F6B0C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outlineLvl w:val="9"/>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kern w:val="2"/>
          <w:sz w:val="32"/>
          <w:szCs w:val="32"/>
          <w:highlight w:val="none"/>
          <w:u w:val="none"/>
          <w:lang w:val="en-US" w:eastAsia="zh-CN" w:bidi="ar-SA"/>
        </w:rPr>
        <w:t>联系电话：0755-82491559</w:t>
      </w:r>
    </w:p>
    <w:p w14:paraId="4EBE19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outlineLvl w:val="9"/>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项目联系人：刘裕辉</w:t>
      </w:r>
    </w:p>
    <w:p w14:paraId="6BC2C0A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outlineLvl w:val="9"/>
        <w:rPr>
          <w:rFonts w:hint="default"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项目联系电话：0755-82299048</w:t>
      </w:r>
    </w:p>
    <w:p w14:paraId="74F329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baseline"/>
        <w:outlineLvl w:val="9"/>
        <w:rPr>
          <w:rFonts w:hint="eastAsia" w:ascii="仿宋_GB2312" w:hAnsi="仿宋_GB2312" w:eastAsia="仿宋_GB2312" w:cs="仿宋_GB2312"/>
          <w:kern w:val="2"/>
          <w:sz w:val="32"/>
          <w:szCs w:val="32"/>
          <w:highlight w:val="none"/>
          <w:u w:val="none"/>
          <w:lang w:val="en-US" w:eastAsia="zh-CN" w:bidi="ar-SA"/>
        </w:rPr>
      </w:pPr>
    </w:p>
    <w:p w14:paraId="7F7562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附件：1.评审办法；</w:t>
      </w:r>
    </w:p>
    <w:p w14:paraId="7FF56A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2.报价函；</w:t>
      </w:r>
    </w:p>
    <w:p w14:paraId="2F5818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3.征信承诺书；</w:t>
      </w:r>
    </w:p>
    <w:p w14:paraId="327D0759">
      <w:pPr>
        <w:pStyle w:val="8"/>
        <w:spacing w:line="560" w:lineRule="exact"/>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highlight w:val="none"/>
          <w:u w:val="none"/>
          <w:lang w:val="en-US" w:eastAsia="zh-CN"/>
        </w:rPr>
        <w:t xml:space="preserve">          4.</w:t>
      </w:r>
      <w:r>
        <w:rPr>
          <w:rFonts w:hint="eastAsia" w:ascii="仿宋_GB2312" w:hAnsi="仿宋_GB2312" w:eastAsia="仿宋_GB2312" w:cs="仿宋_GB2312"/>
          <w:b w:val="0"/>
          <w:bCs w:val="0"/>
          <w:sz w:val="32"/>
          <w:szCs w:val="40"/>
          <w:highlight w:val="none"/>
          <w:lang w:val="en-US" w:eastAsia="zh-CN"/>
        </w:rPr>
        <w:t>总公司对分公司的授权函(固定格式)(总公司投标的无需提交)</w:t>
      </w:r>
      <w:r>
        <w:rPr>
          <w:rFonts w:hint="eastAsia" w:ascii="仿宋_GB2312" w:hAnsi="仿宋_GB2312" w:eastAsia="仿宋_GB2312" w:cs="仿宋_GB2312"/>
          <w:lang w:val="en-US" w:eastAsia="zh-CN"/>
        </w:rPr>
        <w:t>；</w:t>
      </w:r>
    </w:p>
    <w:p w14:paraId="33B98577">
      <w:pPr>
        <w:pStyle w:val="8"/>
        <w:spacing w:line="560" w:lineRule="exact"/>
        <w:ind w:firstLine="1600" w:firstLineChars="500"/>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5.报价清单；</w:t>
      </w:r>
    </w:p>
    <w:p w14:paraId="25CCBE3F">
      <w:pPr>
        <w:pStyle w:val="2"/>
        <w:spacing w:line="560" w:lineRule="exact"/>
        <w:ind w:firstLine="1600" w:firstLineChars="500"/>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highlight w:val="none"/>
          <w:u w:val="none"/>
          <w:lang w:val="en-US" w:eastAsia="zh-CN"/>
        </w:rPr>
        <w:t>其他资料。</w:t>
      </w:r>
    </w:p>
    <w:p w14:paraId="300F41DD">
      <w:pPr>
        <w:pStyle w:val="2"/>
        <w:spacing w:line="560" w:lineRule="exact"/>
        <w:ind w:firstLine="1600" w:firstLineChars="500"/>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 xml:space="preserve">           </w:t>
      </w:r>
    </w:p>
    <w:p w14:paraId="4C9924BD">
      <w:pPr>
        <w:pStyle w:val="2"/>
        <w:spacing w:line="560" w:lineRule="exact"/>
        <w:ind w:firstLine="1600" w:firstLineChars="500"/>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 xml:space="preserve">                                                 </w:t>
      </w:r>
    </w:p>
    <w:p w14:paraId="414C6A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采购单位：深圳市正阳投资开发有限公司</w:t>
      </w:r>
    </w:p>
    <w:p w14:paraId="6E58E5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560" w:firstLineChars="800"/>
        <w:jc w:val="lef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 xml:space="preserve">                    2026年6月1日</w:t>
      </w:r>
    </w:p>
    <w:p w14:paraId="6E55971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highlight w:val="none"/>
          <w:u w:val="none"/>
          <w:lang w:val="en-US" w:eastAsia="zh-CN"/>
        </w:rPr>
      </w:pPr>
    </w:p>
    <w:p w14:paraId="3647B4B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highlight w:val="none"/>
          <w:u w:val="none"/>
          <w:lang w:val="en-US" w:eastAsia="zh-CN"/>
        </w:rPr>
      </w:pPr>
    </w:p>
    <w:p w14:paraId="734074A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highlight w:val="none"/>
          <w:u w:val="none"/>
          <w:lang w:val="en-US" w:eastAsia="zh-CN"/>
        </w:rPr>
      </w:pPr>
    </w:p>
    <w:p w14:paraId="39CAEC2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highlight w:val="none"/>
          <w:u w:val="none"/>
          <w:lang w:val="en-US" w:eastAsia="zh-CN"/>
        </w:rPr>
      </w:pPr>
    </w:p>
    <w:p w14:paraId="0DF5E81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highlight w:val="none"/>
          <w:u w:val="none"/>
          <w:lang w:val="en-US" w:eastAsia="zh-CN"/>
        </w:rPr>
      </w:pPr>
    </w:p>
    <w:p w14:paraId="36DD3B7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highlight w:val="none"/>
          <w:u w:val="none"/>
          <w:lang w:val="en-US" w:eastAsia="zh-CN"/>
        </w:rPr>
      </w:pPr>
    </w:p>
    <w:p w14:paraId="0C2B9BB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highlight w:val="none"/>
          <w:u w:val="none"/>
          <w:lang w:val="en-US" w:eastAsia="zh-CN"/>
        </w:rPr>
      </w:pPr>
    </w:p>
    <w:p w14:paraId="7C796FE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highlight w:val="none"/>
          <w:u w:val="none"/>
          <w:lang w:val="en-US" w:eastAsia="zh-CN"/>
        </w:rPr>
      </w:pPr>
    </w:p>
    <w:p w14:paraId="3C00F8C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highlight w:val="none"/>
          <w:u w:val="none"/>
          <w:lang w:val="en-US" w:eastAsia="zh-CN"/>
        </w:rPr>
      </w:pPr>
    </w:p>
    <w:p w14:paraId="3F0F2E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highlight w:val="none"/>
          <w:u w:val="none"/>
          <w:lang w:val="en-US" w:eastAsia="zh-CN"/>
        </w:rPr>
      </w:pPr>
    </w:p>
    <w:p w14:paraId="0F36341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highlight w:val="none"/>
          <w:u w:val="none"/>
          <w:lang w:val="en-US" w:eastAsia="zh-CN"/>
        </w:rPr>
      </w:pPr>
    </w:p>
    <w:p w14:paraId="190F3DA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highlight w:val="none"/>
          <w:u w:val="none"/>
          <w:lang w:val="en-US" w:eastAsia="zh-CN"/>
        </w:rPr>
      </w:pPr>
    </w:p>
    <w:p w14:paraId="11C1413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highlight w:val="none"/>
          <w:u w:val="none"/>
          <w:lang w:val="en-US" w:eastAsia="zh-CN"/>
        </w:rPr>
      </w:pPr>
    </w:p>
    <w:p w14:paraId="1D47681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highlight w:val="none"/>
          <w:u w:val="none"/>
          <w:lang w:val="en-US" w:eastAsia="zh-CN"/>
        </w:rPr>
      </w:pPr>
    </w:p>
    <w:p w14:paraId="4C9ADCC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highlight w:val="none"/>
          <w:u w:val="none"/>
          <w:lang w:val="en-US" w:eastAsia="zh-CN"/>
        </w:rPr>
      </w:pPr>
    </w:p>
    <w:p w14:paraId="52AA446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highlight w:val="none"/>
          <w:u w:val="none"/>
          <w:lang w:val="en-US" w:eastAsia="zh-CN"/>
        </w:rPr>
      </w:pPr>
    </w:p>
    <w:p w14:paraId="0EE1511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highlight w:val="none"/>
          <w:u w:val="none"/>
          <w:lang w:val="en-US" w:eastAsia="zh-CN"/>
        </w:rPr>
      </w:pPr>
    </w:p>
    <w:p w14:paraId="717AB69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highlight w:val="none"/>
          <w:u w:val="none"/>
          <w:lang w:val="en-US" w:eastAsia="zh-CN"/>
        </w:rPr>
      </w:pPr>
    </w:p>
    <w:p w14:paraId="727EE6C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highlight w:val="none"/>
          <w:u w:val="none"/>
          <w:lang w:val="en-US" w:eastAsia="zh-CN"/>
        </w:rPr>
      </w:pPr>
    </w:p>
    <w:p w14:paraId="7CF8F32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highlight w:val="none"/>
          <w:u w:val="none"/>
          <w:lang w:val="en-US" w:eastAsia="zh-CN"/>
        </w:rPr>
      </w:pPr>
      <w:r>
        <w:rPr>
          <w:rFonts w:hint="eastAsia" w:ascii="仿宋_GB2312" w:hAnsi="仿宋_GB2312" w:eastAsia="仿宋_GB2312" w:cs="仿宋_GB2312"/>
          <w:sz w:val="30"/>
          <w:szCs w:val="30"/>
          <w:highlight w:val="none"/>
          <w:u w:val="none"/>
          <w:lang w:val="en-US" w:eastAsia="zh-CN"/>
        </w:rPr>
        <w:t>附件1：</w:t>
      </w:r>
    </w:p>
    <w:p w14:paraId="4FEC7C65">
      <w:pPr>
        <w:pStyle w:val="8"/>
        <w:rPr>
          <w:rFonts w:hint="eastAsia"/>
          <w:highlight w:val="none"/>
          <w:lang w:val="en-US" w:eastAsia="zh-CN"/>
        </w:rPr>
      </w:pPr>
    </w:p>
    <w:p w14:paraId="6EA7565E">
      <w:pPr>
        <w:pStyle w:val="4"/>
        <w:numPr>
          <w:ilvl w:val="1"/>
          <w:numId w:val="0"/>
        </w:numPr>
        <w:spacing w:line="300" w:lineRule="auto"/>
        <w:ind w:leftChars="0"/>
        <w:jc w:val="center"/>
        <w:rPr>
          <w:rFonts w:ascii="宋体" w:hAnsi="宋体"/>
          <w:bCs/>
          <w:color w:val="auto"/>
          <w:sz w:val="32"/>
          <w:szCs w:val="32"/>
          <w:highlight w:val="none"/>
        </w:rPr>
      </w:pPr>
      <w:r>
        <w:rPr>
          <w:rFonts w:hint="eastAsia" w:ascii="宋体" w:hAnsi="宋体"/>
          <w:bCs/>
          <w:color w:val="auto"/>
          <w:sz w:val="32"/>
          <w:szCs w:val="32"/>
          <w:highlight w:val="none"/>
        </w:rPr>
        <w:t>评审办法</w:t>
      </w:r>
    </w:p>
    <w:p w14:paraId="3DA17320">
      <w:pPr>
        <w:spacing w:line="300" w:lineRule="auto"/>
        <w:rPr>
          <w:rFonts w:hint="eastAsia" w:hAnsi="宋体"/>
          <w:b/>
          <w:bCs/>
          <w:color w:val="auto"/>
          <w:sz w:val="22"/>
          <w:szCs w:val="22"/>
          <w:highlight w:val="none"/>
        </w:rPr>
      </w:pPr>
      <w:r>
        <w:rPr>
          <w:rFonts w:hint="eastAsia" w:hAnsi="宋体"/>
          <w:b/>
          <w:bCs/>
          <w:color w:val="auto"/>
          <w:sz w:val="22"/>
          <w:szCs w:val="22"/>
          <w:highlight w:val="none"/>
        </w:rPr>
        <w:t>一、评标委员会的组成</w:t>
      </w:r>
    </w:p>
    <w:p w14:paraId="47E64785">
      <w:pPr>
        <w:spacing w:line="30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招标人按照有关规定成立</w:t>
      </w:r>
      <w:r>
        <w:rPr>
          <w:rFonts w:hint="eastAsia" w:hAnsi="宋体"/>
          <w:bCs/>
          <w:color w:val="auto"/>
          <w:sz w:val="22"/>
          <w:szCs w:val="22"/>
          <w:highlight w:val="none"/>
          <w:lang w:val="en-US" w:eastAsia="zh-CN"/>
        </w:rPr>
        <w:t>评审</w:t>
      </w:r>
      <w:r>
        <w:rPr>
          <w:rFonts w:hint="eastAsia" w:hAnsi="宋体"/>
          <w:bCs/>
          <w:color w:val="auto"/>
          <w:sz w:val="22"/>
          <w:szCs w:val="22"/>
          <w:highlight w:val="none"/>
        </w:rPr>
        <w:t>委员会，成员包括招标人代表以及其他部门有关技术、经济等方面的专家组成。</w:t>
      </w:r>
    </w:p>
    <w:p w14:paraId="1AE3C4FF">
      <w:pPr>
        <w:spacing w:line="300" w:lineRule="auto"/>
        <w:rPr>
          <w:rFonts w:hint="eastAsia" w:ascii="宋体" w:hAnsi="宋体"/>
          <w:color w:val="auto"/>
          <w:szCs w:val="21"/>
          <w:highlight w:val="none"/>
        </w:rPr>
      </w:pPr>
      <w:r>
        <w:rPr>
          <w:rFonts w:hint="eastAsia" w:ascii="宋体" w:hAnsi="宋体"/>
          <w:b/>
          <w:color w:val="auto"/>
          <w:szCs w:val="28"/>
          <w:highlight w:val="none"/>
        </w:rPr>
        <w:t>二、评标方法</w:t>
      </w:r>
    </w:p>
    <w:p w14:paraId="1338111B">
      <w:pPr>
        <w:spacing w:line="300" w:lineRule="auto"/>
        <w:rPr>
          <w:rFonts w:hint="eastAsia" w:ascii="宋体" w:hAnsi="宋体"/>
          <w:b/>
          <w:color w:val="auto"/>
          <w:sz w:val="22"/>
          <w:szCs w:val="22"/>
          <w:highlight w:val="none"/>
        </w:rPr>
      </w:pPr>
      <w:r>
        <w:rPr>
          <w:rFonts w:hint="eastAsia" w:ascii="宋体" w:hAnsi="宋体"/>
          <w:color w:val="auto"/>
          <w:sz w:val="22"/>
          <w:szCs w:val="22"/>
          <w:highlight w:val="none"/>
        </w:rPr>
        <w:t>1、本项目的评标办法采用：</w:t>
      </w:r>
      <w:r>
        <w:rPr>
          <w:rFonts w:hint="eastAsia" w:ascii="宋体" w:hAnsi="宋体"/>
          <w:b/>
          <w:bCs/>
          <w:color w:val="auto"/>
          <w:sz w:val="22"/>
          <w:szCs w:val="22"/>
          <w:highlight w:val="none"/>
          <w:lang w:val="en-US" w:eastAsia="zh-CN"/>
        </w:rPr>
        <w:t>综合评分</w:t>
      </w:r>
      <w:r>
        <w:rPr>
          <w:rFonts w:hint="eastAsia" w:ascii="宋体" w:hAnsi="宋体"/>
          <w:b/>
          <w:bCs/>
          <w:color w:val="auto"/>
          <w:sz w:val="22"/>
          <w:szCs w:val="22"/>
          <w:highlight w:val="none"/>
        </w:rPr>
        <w:t>法</w:t>
      </w:r>
      <w:r>
        <w:rPr>
          <w:rFonts w:hint="eastAsia" w:ascii="宋体" w:hAnsi="宋体"/>
          <w:b/>
          <w:color w:val="auto"/>
          <w:sz w:val="22"/>
          <w:szCs w:val="22"/>
          <w:highlight w:val="none"/>
        </w:rPr>
        <w:t>。</w:t>
      </w:r>
    </w:p>
    <w:p w14:paraId="739A1E0E">
      <w:pPr>
        <w:spacing w:line="300" w:lineRule="auto"/>
        <w:rPr>
          <w:color w:val="auto"/>
          <w:sz w:val="22"/>
          <w:szCs w:val="22"/>
          <w:highlight w:val="none"/>
        </w:rPr>
      </w:pPr>
      <w:r>
        <w:rPr>
          <w:rFonts w:hint="eastAsia"/>
          <w:color w:val="auto"/>
          <w:sz w:val="22"/>
          <w:szCs w:val="22"/>
          <w:highlight w:val="none"/>
        </w:rPr>
        <w:t>2、</w:t>
      </w:r>
      <w:r>
        <w:rPr>
          <w:color w:val="auto"/>
          <w:sz w:val="22"/>
          <w:szCs w:val="22"/>
          <w:highlight w:val="none"/>
        </w:rPr>
        <w:t>中标人数量</w:t>
      </w:r>
      <w:r>
        <w:rPr>
          <w:rFonts w:hint="eastAsia"/>
          <w:color w:val="auto"/>
          <w:sz w:val="22"/>
          <w:szCs w:val="22"/>
          <w:highlight w:val="none"/>
        </w:rPr>
        <w:t>：1家；候选</w:t>
      </w:r>
      <w:r>
        <w:rPr>
          <w:color w:val="auto"/>
          <w:sz w:val="22"/>
          <w:szCs w:val="22"/>
          <w:highlight w:val="none"/>
        </w:rPr>
        <w:t>中标人数量：</w:t>
      </w:r>
      <w:r>
        <w:rPr>
          <w:rFonts w:hint="eastAsia"/>
          <w:color w:val="auto"/>
          <w:sz w:val="22"/>
          <w:szCs w:val="22"/>
          <w:highlight w:val="none"/>
        </w:rPr>
        <w:t>3</w:t>
      </w:r>
      <w:r>
        <w:rPr>
          <w:color w:val="auto"/>
          <w:sz w:val="22"/>
          <w:szCs w:val="22"/>
          <w:highlight w:val="none"/>
        </w:rPr>
        <w:t>家</w:t>
      </w:r>
      <w:r>
        <w:rPr>
          <w:rFonts w:hint="eastAsia"/>
          <w:color w:val="auto"/>
          <w:sz w:val="22"/>
          <w:szCs w:val="22"/>
          <w:highlight w:val="none"/>
        </w:rPr>
        <w:t>或3家以上</w:t>
      </w:r>
      <w:r>
        <w:rPr>
          <w:color w:val="auto"/>
          <w:sz w:val="22"/>
          <w:szCs w:val="22"/>
          <w:highlight w:val="none"/>
        </w:rPr>
        <w:t>。</w:t>
      </w:r>
    </w:p>
    <w:p w14:paraId="6FACAA26">
      <w:pPr>
        <w:pStyle w:val="2"/>
        <w:rPr>
          <w:rFonts w:hint="eastAsia"/>
          <w:color w:val="auto"/>
          <w:sz w:val="22"/>
          <w:szCs w:val="22"/>
          <w:highlight w:val="none"/>
          <w:lang w:val="en-US" w:eastAsia="zh-CN"/>
        </w:rPr>
      </w:pPr>
      <w:r>
        <w:rPr>
          <w:rFonts w:hint="eastAsia"/>
          <w:color w:val="auto"/>
          <w:sz w:val="22"/>
          <w:szCs w:val="22"/>
          <w:highlight w:val="none"/>
          <w:lang w:val="en-US" w:eastAsia="zh-CN"/>
        </w:rPr>
        <w:t>3、评标委员会对满足招标文件实质要求的投标文件，按照得分由高到低的顺序推荐中标候选人。</w:t>
      </w:r>
    </w:p>
    <w:p w14:paraId="4A8811C3">
      <w:pPr>
        <w:spacing w:line="300" w:lineRule="auto"/>
        <w:rPr>
          <w:rFonts w:hint="eastAsia"/>
          <w:color w:val="auto"/>
          <w:sz w:val="22"/>
          <w:szCs w:val="22"/>
          <w:highlight w:val="none"/>
        </w:rPr>
      </w:pPr>
      <w:r>
        <w:rPr>
          <w:color w:val="auto"/>
          <w:sz w:val="22"/>
          <w:szCs w:val="22"/>
          <w:highlight w:val="none"/>
        </w:rPr>
        <w:t>4</w:t>
      </w:r>
      <w:r>
        <w:rPr>
          <w:rFonts w:hint="eastAsia"/>
          <w:color w:val="auto"/>
          <w:sz w:val="22"/>
          <w:szCs w:val="22"/>
          <w:highlight w:val="none"/>
        </w:rPr>
        <w:t>、评审统一按照下列公式计算：</w:t>
      </w:r>
    </w:p>
    <w:p w14:paraId="24380E63">
      <w:pPr>
        <w:spacing w:line="300" w:lineRule="auto"/>
        <w:ind w:firstLine="440" w:firstLineChars="200"/>
        <w:rPr>
          <w:rFonts w:hint="eastAsia"/>
          <w:color w:val="auto"/>
          <w:sz w:val="22"/>
          <w:szCs w:val="22"/>
          <w:highlight w:val="none"/>
        </w:rPr>
      </w:pPr>
      <w:r>
        <w:rPr>
          <w:rFonts w:hint="eastAsia"/>
          <w:color w:val="auto"/>
          <w:sz w:val="22"/>
          <w:szCs w:val="22"/>
          <w:highlight w:val="none"/>
        </w:rPr>
        <w:t>基准价:</w:t>
      </w:r>
    </w:p>
    <w:p w14:paraId="290512DF">
      <w:pPr>
        <w:spacing w:line="300" w:lineRule="auto"/>
        <w:ind w:firstLine="442" w:firstLineChars="200"/>
        <w:rPr>
          <w:rFonts w:hint="eastAsia"/>
          <w:b/>
          <w:bCs/>
          <w:color w:val="auto"/>
          <w:sz w:val="22"/>
          <w:szCs w:val="22"/>
          <w:highlight w:val="none"/>
        </w:rPr>
      </w:pPr>
      <w:r>
        <w:rPr>
          <w:rFonts w:hint="eastAsia"/>
          <w:b/>
          <w:bCs/>
          <w:color w:val="auto"/>
          <w:sz w:val="22"/>
          <w:szCs w:val="22"/>
          <w:highlight w:val="none"/>
        </w:rPr>
        <w:t>基准价为所有投标报价 (或评标价) 最小值。</w:t>
      </w:r>
    </w:p>
    <w:p w14:paraId="4244E499">
      <w:pPr>
        <w:spacing w:line="300" w:lineRule="auto"/>
        <w:ind w:firstLine="440" w:firstLineChars="200"/>
        <w:rPr>
          <w:rFonts w:hint="default" w:eastAsia="宋体"/>
          <w:color w:val="auto"/>
          <w:sz w:val="22"/>
          <w:szCs w:val="22"/>
          <w:highlight w:val="none"/>
          <w:lang w:val="en-US" w:eastAsia="zh-CN"/>
        </w:rPr>
      </w:pPr>
      <w:r>
        <w:rPr>
          <w:rFonts w:hint="eastAsia"/>
          <w:color w:val="auto"/>
          <w:sz w:val="22"/>
          <w:szCs w:val="22"/>
          <w:highlight w:val="none"/>
        </w:rPr>
        <w:t>投标报价得分=(评标基准价／投标报价)×100×</w:t>
      </w:r>
      <w:r>
        <w:rPr>
          <w:rFonts w:hint="eastAsia"/>
          <w:color w:val="auto"/>
          <w:sz w:val="22"/>
          <w:szCs w:val="22"/>
          <w:highlight w:val="none"/>
          <w:lang w:val="en-US" w:eastAsia="zh-CN"/>
        </w:rPr>
        <w:t>60%</w:t>
      </w:r>
    </w:p>
    <w:p w14:paraId="53E8A3BF">
      <w:pPr>
        <w:spacing w:line="300" w:lineRule="auto"/>
        <w:ind w:firstLine="440" w:firstLineChars="200"/>
        <w:rPr>
          <w:rFonts w:hint="eastAsia"/>
          <w:color w:val="auto"/>
          <w:sz w:val="22"/>
          <w:szCs w:val="22"/>
          <w:highlight w:val="none"/>
        </w:rPr>
      </w:pPr>
      <w:r>
        <w:rPr>
          <w:rFonts w:hint="eastAsia"/>
          <w:color w:val="auto"/>
          <w:sz w:val="22"/>
          <w:szCs w:val="22"/>
          <w:highlight w:val="none"/>
        </w:rPr>
        <w:t>评标总得分＝F1×A1＋F2×A2＋……＋Fn×An</w:t>
      </w:r>
    </w:p>
    <w:p w14:paraId="21A756EF">
      <w:pPr>
        <w:spacing w:line="300" w:lineRule="auto"/>
        <w:ind w:firstLine="440" w:firstLineChars="200"/>
        <w:rPr>
          <w:rFonts w:hint="eastAsia"/>
          <w:color w:val="auto"/>
          <w:sz w:val="22"/>
          <w:szCs w:val="22"/>
          <w:highlight w:val="none"/>
        </w:rPr>
      </w:pPr>
      <w:r>
        <w:rPr>
          <w:rFonts w:hint="eastAsia"/>
          <w:color w:val="auto"/>
          <w:sz w:val="22"/>
          <w:szCs w:val="22"/>
          <w:highlight w:val="none"/>
        </w:rPr>
        <w:t>F1、F2……Fn分别为各项评审因素的得分；</w:t>
      </w:r>
    </w:p>
    <w:p w14:paraId="74CE8E71">
      <w:pPr>
        <w:spacing w:line="300" w:lineRule="auto"/>
        <w:ind w:firstLine="440" w:firstLineChars="200"/>
        <w:rPr>
          <w:rFonts w:hint="eastAsia"/>
          <w:color w:val="auto"/>
          <w:sz w:val="22"/>
          <w:szCs w:val="22"/>
          <w:highlight w:val="none"/>
        </w:rPr>
      </w:pPr>
      <w:r>
        <w:rPr>
          <w:rFonts w:hint="eastAsia"/>
          <w:color w:val="auto"/>
          <w:sz w:val="22"/>
          <w:szCs w:val="22"/>
          <w:highlight w:val="none"/>
        </w:rPr>
        <w:t>A1、A2、……An 分别为各项评审因素所占的权重(A1＋A2＋……＋An＝1)。</w:t>
      </w:r>
    </w:p>
    <w:p w14:paraId="466A2C3F">
      <w:pPr>
        <w:pStyle w:val="8"/>
        <w:tabs>
          <w:tab w:val="left" w:pos="2138"/>
        </w:tabs>
        <w:rPr>
          <w:rFonts w:hint="eastAsia"/>
          <w:color w:val="auto"/>
          <w:sz w:val="22"/>
          <w:szCs w:val="22"/>
          <w:highlight w:val="none"/>
        </w:rPr>
      </w:pPr>
      <w:r>
        <w:rPr>
          <w:rFonts w:hint="eastAsia" w:ascii="Times New Roman"/>
          <w:color w:val="auto"/>
          <w:sz w:val="22"/>
          <w:szCs w:val="22"/>
          <w:highlight w:val="none"/>
        </w:rPr>
        <w:t>评标过程中，不得去掉报价中的最高报价和最低报价。</w:t>
      </w:r>
    </w:p>
    <w:p w14:paraId="7C410B22">
      <w:pPr>
        <w:spacing w:line="300" w:lineRule="auto"/>
        <w:rPr>
          <w:b/>
          <w:bCs/>
          <w:color w:val="auto"/>
          <w:sz w:val="22"/>
          <w:szCs w:val="22"/>
          <w:highlight w:val="none"/>
        </w:rPr>
      </w:pPr>
      <w:r>
        <w:rPr>
          <w:rFonts w:hint="eastAsia"/>
          <w:color w:val="auto"/>
          <w:sz w:val="22"/>
          <w:szCs w:val="22"/>
          <w:highlight w:val="none"/>
        </w:rPr>
        <w:t>5、候选中标人按评审后得分由高到低顺序排列；得分相同的，按投标报价由低到高顺序排列；得分且投标报价相同的，按技术指标或服务方案优劣顺序排列；得分且投标报价相同的且技术指标或服务方案优劣相同的，</w:t>
      </w:r>
      <w:r>
        <w:rPr>
          <w:bCs/>
          <w:color w:val="auto"/>
          <w:sz w:val="22"/>
          <w:szCs w:val="22"/>
          <w:highlight w:val="none"/>
        </w:rPr>
        <w:t>采取随机抽取方式确定</w:t>
      </w:r>
      <w:r>
        <w:rPr>
          <w:rFonts w:hint="eastAsia"/>
          <w:bCs/>
          <w:color w:val="auto"/>
          <w:sz w:val="22"/>
          <w:szCs w:val="22"/>
          <w:highlight w:val="none"/>
        </w:rPr>
        <w:t>候选</w:t>
      </w:r>
      <w:r>
        <w:rPr>
          <w:bCs/>
          <w:color w:val="auto"/>
          <w:sz w:val="22"/>
          <w:szCs w:val="22"/>
          <w:highlight w:val="none"/>
        </w:rPr>
        <w:t>中标人推荐资格</w:t>
      </w:r>
      <w:r>
        <w:rPr>
          <w:rFonts w:hint="eastAsia"/>
          <w:bCs/>
          <w:color w:val="auto"/>
          <w:sz w:val="22"/>
          <w:szCs w:val="22"/>
          <w:highlight w:val="none"/>
        </w:rPr>
        <w:t>。</w:t>
      </w:r>
    </w:p>
    <w:p w14:paraId="4185A1B1">
      <w:pPr>
        <w:spacing w:line="300" w:lineRule="auto"/>
        <w:rPr>
          <w:rFonts w:hint="eastAsia"/>
          <w:color w:val="auto"/>
          <w:sz w:val="22"/>
          <w:szCs w:val="22"/>
          <w:highlight w:val="none"/>
        </w:rPr>
      </w:pPr>
      <w:r>
        <w:rPr>
          <w:rFonts w:hint="eastAsia"/>
          <w:color w:val="auto"/>
          <w:sz w:val="22"/>
          <w:szCs w:val="22"/>
          <w:highlight w:val="none"/>
        </w:rPr>
        <w:t>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9A03C35">
      <w:pPr>
        <w:spacing w:line="300" w:lineRule="auto"/>
        <w:rPr>
          <w:rFonts w:hint="eastAsia"/>
          <w:color w:val="auto"/>
          <w:sz w:val="22"/>
          <w:szCs w:val="22"/>
          <w:highlight w:val="none"/>
        </w:rPr>
      </w:pPr>
      <w:r>
        <w:rPr>
          <w:color w:val="auto"/>
          <w:sz w:val="22"/>
          <w:szCs w:val="22"/>
          <w:highlight w:val="none"/>
        </w:rPr>
        <w:t>7</w:t>
      </w:r>
      <w:r>
        <w:rPr>
          <w:rFonts w:hint="eastAsia"/>
          <w:color w:val="auto"/>
          <w:sz w:val="22"/>
          <w:szCs w:val="22"/>
          <w:highlight w:val="none"/>
        </w:rPr>
        <w:t>、评标专家应对通过投标文件初审进入评标程序的投标文件先评技术标、再评商务标；</w:t>
      </w:r>
    </w:p>
    <w:p w14:paraId="5D5EFD32">
      <w:pPr>
        <w:spacing w:line="300" w:lineRule="auto"/>
        <w:rPr>
          <w:rFonts w:hint="eastAsia" w:ascii="宋体" w:hAnsi="宋体" w:eastAsia="宋体" w:cs="宋体"/>
          <w:b/>
          <w:bCs/>
          <w:color w:val="auto"/>
          <w:kern w:val="0"/>
          <w:sz w:val="28"/>
          <w:szCs w:val="28"/>
          <w:highlight w:val="none"/>
          <w:lang w:val="en-US" w:eastAsia="zh-CN" w:bidi="ar"/>
        </w:rPr>
      </w:pPr>
      <w:r>
        <w:rPr>
          <w:color w:val="auto"/>
          <w:sz w:val="22"/>
          <w:szCs w:val="22"/>
          <w:highlight w:val="none"/>
        </w:rPr>
        <w:t>8</w:t>
      </w:r>
      <w:r>
        <w:rPr>
          <w:rFonts w:hint="eastAsia"/>
          <w:color w:val="auto"/>
          <w:sz w:val="22"/>
          <w:szCs w:val="22"/>
          <w:highlight w:val="none"/>
        </w:rPr>
        <w:t>、评标专家需按招标文件规定的评审标准对投标人提交的投标文件进行评审，投标文件中与评审标准无关的内容不作为评审内容。</w:t>
      </w:r>
    </w:p>
    <w:p w14:paraId="0F4F9652">
      <w:pPr>
        <w:pStyle w:val="8"/>
        <w:keepNext w:val="0"/>
        <w:keepLines w:val="0"/>
        <w:pageBreakBefore w:val="0"/>
        <w:widowControl w:val="0"/>
        <w:tabs>
          <w:tab w:val="left" w:pos="2138"/>
        </w:tabs>
        <w:kinsoku/>
        <w:wordWrap/>
        <w:overflowPunct/>
        <w:topLinePunct w:val="0"/>
        <w:autoSpaceDE/>
        <w:autoSpaceDN/>
        <w:bidi w:val="0"/>
        <w:adjustRightInd/>
        <w:snapToGrid w:val="0"/>
        <w:spacing w:before="0" w:beforeLines="100" w:after="0"/>
        <w:jc w:val="center"/>
        <w:textAlignment w:val="auto"/>
        <w:outlineLvl w:val="2"/>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评分细则表</w:t>
      </w:r>
    </w:p>
    <w:tbl>
      <w:tblPr>
        <w:tblStyle w:val="11"/>
        <w:tblpPr w:leftFromText="180" w:rightFromText="180" w:vertAnchor="text" w:horzAnchor="margin" w:tblpXSpec="center" w:tblpY="346"/>
        <w:tblW w:w="93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20" w:type="dxa"/>
          <w:left w:w="108" w:type="dxa"/>
          <w:bottom w:w="20" w:type="dxa"/>
          <w:right w:w="108" w:type="dxa"/>
        </w:tblCellMar>
      </w:tblPr>
      <w:tblGrid>
        <w:gridCol w:w="680"/>
        <w:gridCol w:w="680"/>
        <w:gridCol w:w="2835"/>
        <w:gridCol w:w="681"/>
        <w:gridCol w:w="4480"/>
      </w:tblGrid>
      <w:tr w14:paraId="427D8E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7656382">
            <w:pPr>
              <w:widowControl w:val="0"/>
              <w:wordWrap w:val="0"/>
              <w:jc w:val="center"/>
              <w:rPr>
                <w:rFonts w:ascii="Calibri" w:hAnsi="Calibri" w:cs="Times New Roman"/>
                <w:b/>
                <w:bCs/>
                <w:color w:val="auto"/>
                <w:kern w:val="2"/>
                <w:sz w:val="21"/>
                <w:szCs w:val="22"/>
                <w:highlight w:val="none"/>
              </w:rPr>
            </w:pPr>
            <w:r>
              <w:rPr>
                <w:rFonts w:ascii="Calibri" w:hAnsi="Calibri" w:cs="Times New Roman"/>
                <w:b/>
                <w:bCs/>
                <w:color w:val="auto"/>
                <w:kern w:val="2"/>
                <w:sz w:val="21"/>
                <w:szCs w:val="22"/>
                <w:highlight w:val="none"/>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AAC9E2E">
            <w:pPr>
              <w:widowControl w:val="0"/>
              <w:wordWrap w:val="0"/>
              <w:jc w:val="center"/>
              <w:rPr>
                <w:rFonts w:ascii="Calibri" w:hAnsi="Calibri" w:cs="Times New Roman"/>
                <w:b/>
                <w:bCs/>
                <w:color w:val="auto"/>
                <w:kern w:val="2"/>
                <w:sz w:val="21"/>
                <w:szCs w:val="22"/>
                <w:highlight w:val="none"/>
              </w:rPr>
            </w:pPr>
            <w:r>
              <w:rPr>
                <w:rFonts w:ascii="Calibri" w:hAnsi="Calibri" w:cs="Times New Roman"/>
                <w:b/>
                <w:bCs/>
                <w:color w:val="auto"/>
                <w:kern w:val="2"/>
                <w:sz w:val="21"/>
                <w:szCs w:val="22"/>
                <w:highlight w:val="none"/>
              </w:rPr>
              <w:t>评分项</w:t>
            </w:r>
          </w:p>
        </w:tc>
        <w:tc>
          <w:tcPr>
            <w:tcW w:w="448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15AE6AB">
            <w:pPr>
              <w:widowControl w:val="0"/>
              <w:wordWrap w:val="0"/>
              <w:jc w:val="center"/>
              <w:rPr>
                <w:rFonts w:ascii="Calibri" w:hAnsi="Calibri" w:cs="Times New Roman"/>
                <w:b/>
                <w:bCs/>
                <w:color w:val="auto"/>
                <w:kern w:val="2"/>
                <w:sz w:val="21"/>
                <w:szCs w:val="22"/>
                <w:highlight w:val="none"/>
              </w:rPr>
            </w:pPr>
            <w:r>
              <w:rPr>
                <w:rFonts w:ascii="Calibri" w:hAnsi="Calibri" w:cs="Times New Roman"/>
                <w:b/>
                <w:bCs/>
                <w:color w:val="auto"/>
                <w:kern w:val="2"/>
                <w:sz w:val="21"/>
                <w:szCs w:val="22"/>
                <w:highlight w:val="none"/>
              </w:rPr>
              <w:t>权重</w:t>
            </w:r>
          </w:p>
        </w:tc>
      </w:tr>
      <w:tr w14:paraId="2979B6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trHeight w:val="659" w:hRule="atLeast"/>
          <w:jc w:val="center"/>
        </w:trPr>
        <w:tc>
          <w:tcPr>
            <w:tcW w:w="680"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4E9D968A">
            <w:pPr>
              <w:widowControl w:val="0"/>
              <w:wordWrap w:val="0"/>
              <w:jc w:val="center"/>
              <w:rPr>
                <w:rFonts w:ascii="Calibri" w:hAnsi="Calibri" w:cs="Times New Roman"/>
                <w:b/>
                <w:bCs/>
                <w:color w:val="auto"/>
                <w:kern w:val="2"/>
                <w:sz w:val="21"/>
                <w:szCs w:val="22"/>
                <w:highlight w:val="none"/>
              </w:rPr>
            </w:pPr>
            <w:r>
              <w:rPr>
                <w:rFonts w:ascii="Calibri" w:hAnsi="Calibri" w:cs="Times New Roman"/>
                <w:b/>
                <w:bCs/>
                <w:color w:val="auto"/>
                <w:kern w:val="2"/>
                <w:sz w:val="21"/>
                <w:szCs w:val="22"/>
                <w:highlight w:val="none"/>
              </w:rPr>
              <w:t>1</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7C23821E">
            <w:pPr>
              <w:widowControl w:val="0"/>
              <w:wordWrap w:val="0"/>
              <w:jc w:val="center"/>
              <w:rPr>
                <w:rFonts w:ascii="Calibri" w:hAnsi="Calibri" w:cs="Times New Roman"/>
                <w:b/>
                <w:bCs/>
                <w:color w:val="auto"/>
                <w:kern w:val="2"/>
                <w:sz w:val="21"/>
                <w:szCs w:val="22"/>
                <w:highlight w:val="none"/>
              </w:rPr>
            </w:pPr>
            <w:r>
              <w:rPr>
                <w:rFonts w:ascii="Calibri" w:hAnsi="Calibri" w:cs="Times New Roman"/>
                <w:b/>
                <w:bCs/>
                <w:color w:val="auto"/>
                <w:kern w:val="2"/>
                <w:sz w:val="21"/>
                <w:szCs w:val="22"/>
                <w:highlight w:val="none"/>
              </w:rPr>
              <w:t>价格</w:t>
            </w:r>
          </w:p>
        </w:tc>
        <w:tc>
          <w:tcPr>
            <w:tcW w:w="4480"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50A0C0D3">
            <w:pPr>
              <w:widowControl w:val="0"/>
              <w:wordWrap w:val="0"/>
              <w:jc w:val="center"/>
              <w:rPr>
                <w:rFonts w:hint="default" w:ascii="Calibri" w:hAnsi="Calibri" w:eastAsia="宋体" w:cs="Times New Roman"/>
                <w:b/>
                <w:bCs/>
                <w:color w:val="auto"/>
                <w:kern w:val="2"/>
                <w:sz w:val="21"/>
                <w:szCs w:val="22"/>
                <w:highlight w:val="none"/>
                <w:lang w:val="en-US" w:eastAsia="zh-CN"/>
              </w:rPr>
            </w:pPr>
            <w:r>
              <w:rPr>
                <w:rFonts w:hint="eastAsia" w:ascii="Calibri" w:hAnsi="Calibri" w:cs="Times New Roman"/>
                <w:b/>
                <w:bCs/>
                <w:color w:val="auto"/>
                <w:kern w:val="2"/>
                <w:sz w:val="21"/>
                <w:szCs w:val="22"/>
                <w:highlight w:val="none"/>
                <w:lang w:val="en-US" w:eastAsia="zh-CN"/>
              </w:rPr>
              <w:t>60评标时，评委将根据投标人的税前报价(或扣除增值税后的报价)进行评审。)</w:t>
            </w:r>
          </w:p>
        </w:tc>
      </w:tr>
      <w:tr w14:paraId="20D766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shd w:val="clear" w:color="auto" w:fill="auto"/>
            <w:noWrap w:val="0"/>
            <w:vAlign w:val="center"/>
          </w:tcPr>
          <w:p w14:paraId="1A8CB21D">
            <w:pPr>
              <w:widowControl w:val="0"/>
              <w:wordWrap w:val="0"/>
              <w:jc w:val="center"/>
              <w:rPr>
                <w:rFonts w:ascii="Calibri" w:hAnsi="Calibri" w:cs="Times New Roman"/>
                <w:b/>
                <w:bCs/>
                <w:color w:val="auto"/>
                <w:kern w:val="2"/>
                <w:sz w:val="21"/>
                <w:szCs w:val="22"/>
                <w:highlight w:val="none"/>
              </w:rPr>
            </w:pPr>
            <w:r>
              <w:rPr>
                <w:rFonts w:ascii="Calibri" w:hAnsi="Calibri" w:cs="Times New Roman"/>
                <w:b/>
                <w:bCs/>
                <w:color w:val="auto"/>
                <w:kern w:val="2"/>
                <w:sz w:val="21"/>
                <w:szCs w:val="22"/>
                <w:highlight w:val="none"/>
              </w:rPr>
              <w:t>2</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7E50B954">
            <w:pPr>
              <w:widowControl w:val="0"/>
              <w:wordWrap w:val="0"/>
              <w:jc w:val="center"/>
              <w:rPr>
                <w:rFonts w:ascii="Calibri" w:hAnsi="Calibri" w:cs="Times New Roman"/>
                <w:b/>
                <w:bCs/>
                <w:color w:val="auto"/>
                <w:kern w:val="2"/>
                <w:sz w:val="21"/>
                <w:szCs w:val="22"/>
                <w:highlight w:val="none"/>
              </w:rPr>
            </w:pPr>
            <w:r>
              <w:rPr>
                <w:rFonts w:ascii="Calibri" w:hAnsi="Calibri" w:cs="Times New Roman"/>
                <w:b/>
                <w:bCs/>
                <w:color w:val="auto"/>
                <w:kern w:val="2"/>
                <w:sz w:val="21"/>
                <w:szCs w:val="22"/>
                <w:highlight w:val="none"/>
              </w:rPr>
              <w:t>技术部分</w:t>
            </w:r>
          </w:p>
        </w:tc>
        <w:tc>
          <w:tcPr>
            <w:tcW w:w="4480"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0EA47403">
            <w:pPr>
              <w:widowControl w:val="0"/>
              <w:wordWrap w:val="0"/>
              <w:jc w:val="center"/>
              <w:rPr>
                <w:rFonts w:hint="default"/>
                <w:lang w:val="en-US" w:eastAsia="zh-CN"/>
              </w:rPr>
            </w:pPr>
            <w:r>
              <w:rPr>
                <w:rFonts w:hint="eastAsia"/>
                <w:lang w:val="en-US" w:eastAsia="zh-CN"/>
              </w:rPr>
              <w:t>25</w:t>
            </w:r>
          </w:p>
        </w:tc>
      </w:tr>
      <w:tr w14:paraId="3F49E3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auto"/>
            <w:noWrap w:val="0"/>
            <w:vAlign w:val="center"/>
          </w:tcPr>
          <w:p w14:paraId="7A015BAF">
            <w:pPr>
              <w:widowControl w:val="0"/>
              <w:jc w:val="both"/>
              <w:rPr>
                <w:rFonts w:ascii="Calibri" w:hAnsi="Calibri" w:cs="Times New Roman"/>
                <w:b/>
                <w:bCs/>
                <w:color w:val="auto"/>
                <w:kern w:val="2"/>
                <w:sz w:val="21"/>
                <w:szCs w:val="22"/>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A135566">
            <w:pPr>
              <w:widowControl w:val="0"/>
              <w:wordWrap w:val="0"/>
              <w:jc w:val="center"/>
              <w:rPr>
                <w:rFonts w:ascii="Calibri" w:hAnsi="Calibri" w:cs="Times New Roman"/>
                <w:color w:val="auto"/>
                <w:kern w:val="2"/>
                <w:sz w:val="21"/>
                <w:szCs w:val="21"/>
                <w:highlight w:val="none"/>
              </w:rPr>
            </w:pPr>
            <w:r>
              <w:rPr>
                <w:rFonts w:ascii="Calibri" w:hAnsi="Calibri" w:cs="Times New Roman"/>
                <w:color w:val="auto"/>
                <w:kern w:val="2"/>
                <w:sz w:val="21"/>
                <w:szCs w:val="21"/>
                <w:highlight w:val="none"/>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CF217C0">
            <w:pPr>
              <w:widowControl w:val="0"/>
              <w:wordWrap w:val="0"/>
              <w:jc w:val="center"/>
              <w:rPr>
                <w:rFonts w:ascii="Calibri" w:hAnsi="Calibri" w:cs="Times New Roman"/>
                <w:color w:val="auto"/>
                <w:kern w:val="2"/>
                <w:sz w:val="21"/>
                <w:szCs w:val="21"/>
                <w:highlight w:val="none"/>
              </w:rPr>
            </w:pPr>
            <w:r>
              <w:rPr>
                <w:rFonts w:ascii="Calibri" w:hAnsi="Calibri" w:cs="Times New Roman"/>
                <w:color w:val="auto"/>
                <w:kern w:val="2"/>
                <w:sz w:val="21"/>
                <w:szCs w:val="21"/>
                <w:highlight w:val="none"/>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5669BCD9">
            <w:pPr>
              <w:widowControl w:val="0"/>
              <w:wordWrap w:val="0"/>
              <w:jc w:val="center"/>
              <w:rPr>
                <w:rFonts w:ascii="Calibri" w:hAnsi="Calibri" w:cs="Times New Roman"/>
                <w:color w:val="auto"/>
                <w:kern w:val="2"/>
                <w:sz w:val="21"/>
                <w:szCs w:val="21"/>
                <w:highlight w:val="none"/>
              </w:rPr>
            </w:pPr>
            <w:r>
              <w:rPr>
                <w:rFonts w:ascii="Calibri" w:hAnsi="Calibri" w:cs="Times New Roman"/>
                <w:color w:val="auto"/>
                <w:kern w:val="2"/>
                <w:sz w:val="21"/>
                <w:szCs w:val="21"/>
                <w:highlight w:val="none"/>
              </w:rPr>
              <w:t>权重</w:t>
            </w:r>
          </w:p>
        </w:tc>
        <w:tc>
          <w:tcPr>
            <w:tcW w:w="4480"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443CE8C">
            <w:pPr>
              <w:widowControl w:val="0"/>
              <w:wordWrap w:val="0"/>
              <w:jc w:val="center"/>
              <w:rPr>
                <w:rFonts w:ascii="Calibri" w:hAnsi="Calibri" w:cs="Times New Roman"/>
                <w:color w:val="auto"/>
                <w:kern w:val="2"/>
                <w:sz w:val="21"/>
                <w:szCs w:val="21"/>
                <w:highlight w:val="none"/>
              </w:rPr>
            </w:pPr>
            <w:r>
              <w:rPr>
                <w:rFonts w:ascii="Calibri" w:hAnsi="Calibri" w:cs="Times New Roman"/>
                <w:color w:val="auto"/>
                <w:kern w:val="2"/>
                <w:sz w:val="21"/>
                <w:szCs w:val="21"/>
                <w:highlight w:val="none"/>
              </w:rPr>
              <w:t>评分准则</w:t>
            </w:r>
          </w:p>
        </w:tc>
      </w:tr>
      <w:tr w14:paraId="3DFB75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trHeight w:val="1945" w:hRule="atLeast"/>
          <w:jc w:val="center"/>
        </w:trPr>
        <w:tc>
          <w:tcPr>
            <w:tcW w:w="680" w:type="dxa"/>
            <w:vMerge w:val="continue"/>
            <w:tcBorders>
              <w:left w:val="single" w:color="000000" w:sz="8" w:space="0"/>
              <w:right w:val="single" w:color="000000" w:sz="8" w:space="0"/>
            </w:tcBorders>
            <w:shd w:val="clear" w:color="auto" w:fill="auto"/>
            <w:noWrap w:val="0"/>
            <w:vAlign w:val="center"/>
          </w:tcPr>
          <w:p w14:paraId="4156100E">
            <w:pPr>
              <w:widowControl w:val="0"/>
              <w:jc w:val="both"/>
              <w:rPr>
                <w:rFonts w:ascii="Calibri" w:hAnsi="Calibri" w:cs="Times New Roman"/>
                <w:b/>
                <w:bCs/>
                <w:color w:val="auto"/>
                <w:kern w:val="2"/>
                <w:sz w:val="21"/>
                <w:szCs w:val="22"/>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CB9E18B">
            <w:pPr>
              <w:widowControl w:val="0"/>
              <w:wordWrap w:val="0"/>
              <w:jc w:val="center"/>
              <w:rPr>
                <w:rFonts w:hint="default" w:ascii="Calibri" w:hAnsi="Calibri" w:eastAsia="宋体" w:cs="Times New Roman"/>
                <w:color w:val="auto"/>
                <w:kern w:val="2"/>
                <w:sz w:val="21"/>
                <w:szCs w:val="21"/>
                <w:highlight w:val="none"/>
                <w:lang w:val="en-US" w:eastAsia="zh-CN"/>
              </w:rPr>
            </w:pPr>
            <w:r>
              <w:rPr>
                <w:rFonts w:hint="eastAsia" w:ascii="Calibri" w:hAnsi="Calibri" w:eastAsia="宋体" w:cs="Times New Roman"/>
                <w:color w:val="auto"/>
                <w:kern w:val="2"/>
                <w:sz w:val="21"/>
                <w:szCs w:val="21"/>
                <w:highlight w:val="none"/>
                <w:lang w:val="en-US" w:eastAsia="zh-CN"/>
              </w:rPr>
              <w:t>1</w:t>
            </w:r>
          </w:p>
        </w:tc>
        <w:tc>
          <w:tcPr>
            <w:tcW w:w="283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F262D16">
            <w:pPr>
              <w:widowControl w:val="0"/>
              <w:wordWrap w:val="0"/>
              <w:jc w:val="center"/>
              <w:rPr>
                <w:rFonts w:hint="default" w:ascii="Calibri" w:hAnsi="Calibri" w:cs="Times New Roman" w:eastAsiaTheme="minorEastAsia"/>
                <w:color w:val="auto"/>
                <w:kern w:val="2"/>
                <w:sz w:val="21"/>
                <w:szCs w:val="21"/>
                <w:highlight w:val="none"/>
                <w:lang w:val="en-US" w:eastAsia="zh-CN"/>
              </w:rPr>
            </w:pPr>
            <w:r>
              <w:rPr>
                <w:rFonts w:ascii="Calibri" w:hAnsi="Calibri" w:cs="Times New Roman"/>
                <w:color w:val="auto"/>
                <w:kern w:val="2"/>
                <w:sz w:val="21"/>
                <w:szCs w:val="21"/>
                <w:highlight w:val="none"/>
              </w:rPr>
              <w:t>项目</w:t>
            </w:r>
            <w:r>
              <w:rPr>
                <w:rFonts w:hint="eastAsia" w:ascii="Calibri" w:hAnsi="Calibri" w:cs="Times New Roman"/>
                <w:color w:val="auto"/>
                <w:kern w:val="2"/>
                <w:sz w:val="21"/>
                <w:szCs w:val="21"/>
                <w:highlight w:val="none"/>
                <w:lang w:val="en-US" w:eastAsia="zh-CN"/>
              </w:rPr>
              <w:t>服务</w:t>
            </w:r>
            <w:r>
              <w:rPr>
                <w:rFonts w:ascii="Calibri" w:hAnsi="Calibri" w:cs="Times New Roman"/>
                <w:color w:val="auto"/>
                <w:kern w:val="2"/>
                <w:sz w:val="21"/>
                <w:szCs w:val="21"/>
                <w:highlight w:val="none"/>
              </w:rPr>
              <w:t>方案</w:t>
            </w:r>
          </w:p>
        </w:tc>
        <w:tc>
          <w:tcPr>
            <w:tcW w:w="681"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4278EF6">
            <w:pPr>
              <w:widowControl w:val="0"/>
              <w:wordWrap w:val="0"/>
              <w:jc w:val="center"/>
              <w:rPr>
                <w:rFonts w:hint="default" w:ascii="Calibri" w:hAnsi="Calibri" w:eastAsia="宋体" w:cs="Times New Roman"/>
                <w:color w:val="auto"/>
                <w:kern w:val="2"/>
                <w:sz w:val="21"/>
                <w:szCs w:val="21"/>
                <w:highlight w:val="none"/>
                <w:lang w:val="en-US" w:eastAsia="zh-CN"/>
              </w:rPr>
            </w:pPr>
            <w:r>
              <w:rPr>
                <w:rFonts w:hint="eastAsia" w:ascii="Calibri" w:hAnsi="Calibri" w:cs="Times New Roman"/>
                <w:color w:val="auto"/>
                <w:kern w:val="2"/>
                <w:sz w:val="21"/>
                <w:szCs w:val="21"/>
                <w:highlight w:val="none"/>
                <w:lang w:val="en-US" w:eastAsia="zh-CN"/>
              </w:rPr>
              <w:t>15</w:t>
            </w:r>
          </w:p>
        </w:tc>
        <w:tc>
          <w:tcPr>
            <w:tcW w:w="4480" w:type="dxa"/>
            <w:tcBorders>
              <w:top w:val="outset" w:color="000000" w:sz="6" w:space="0"/>
              <w:left w:val="outset" w:color="000000" w:sz="6" w:space="0"/>
              <w:bottom w:val="outset" w:color="000000" w:sz="6" w:space="0"/>
              <w:right w:val="outset" w:color="000000" w:sz="6" w:space="0"/>
            </w:tcBorders>
            <w:shd w:val="clear" w:color="auto" w:fill="auto"/>
            <w:noWrap w:val="0"/>
            <w:vAlign w:val="top"/>
          </w:tcPr>
          <w:p w14:paraId="344EA914">
            <w:pPr>
              <w:widowControl w:val="0"/>
              <w:wordWrap w:val="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（一）评审内容：</w:t>
            </w:r>
          </w:p>
          <w:p w14:paraId="2A6982DB">
            <w:pPr>
              <w:widowControl w:val="0"/>
              <w:wordWrap w:val="0"/>
              <w:jc w:val="both"/>
              <w:rPr>
                <w:rFonts w:hint="eastAsia" w:ascii="Calibri" w:hAnsi="Calibri" w:cs="Times New Roman"/>
                <w:color w:val="auto"/>
                <w:kern w:val="2"/>
                <w:sz w:val="21"/>
                <w:szCs w:val="21"/>
                <w:highlight w:val="none"/>
                <w:lang w:eastAsia="zh-CN"/>
              </w:rPr>
            </w:pPr>
            <w:r>
              <w:rPr>
                <w:rFonts w:hint="eastAsia" w:ascii="Calibri" w:hAnsi="Calibri" w:cs="Times New Roman"/>
                <w:color w:val="auto"/>
                <w:kern w:val="2"/>
                <w:sz w:val="21"/>
                <w:szCs w:val="21"/>
                <w:highlight w:val="none"/>
                <w:lang w:eastAsia="zh-CN"/>
              </w:rPr>
              <w:t>（</w:t>
            </w:r>
            <w:r>
              <w:rPr>
                <w:rFonts w:hint="eastAsia" w:ascii="Calibri" w:hAnsi="Calibri" w:cs="Times New Roman"/>
                <w:color w:val="auto"/>
                <w:kern w:val="2"/>
                <w:sz w:val="21"/>
                <w:szCs w:val="21"/>
                <w:highlight w:val="none"/>
              </w:rPr>
              <w:t>1）保洁</w:t>
            </w:r>
            <w:r>
              <w:rPr>
                <w:rFonts w:hint="eastAsia" w:ascii="Calibri" w:hAnsi="Calibri" w:cs="Times New Roman"/>
                <w:color w:val="auto"/>
                <w:kern w:val="2"/>
                <w:sz w:val="21"/>
                <w:szCs w:val="21"/>
                <w:highlight w:val="none"/>
                <w:lang w:val="en-US" w:eastAsia="zh-CN"/>
              </w:rPr>
              <w:t>服务</w:t>
            </w:r>
            <w:r>
              <w:rPr>
                <w:rFonts w:hint="eastAsia" w:ascii="Calibri" w:hAnsi="Calibri" w:cs="Times New Roman"/>
                <w:color w:val="auto"/>
                <w:kern w:val="2"/>
                <w:sz w:val="21"/>
                <w:szCs w:val="21"/>
                <w:highlight w:val="none"/>
              </w:rPr>
              <w:t>现场管理措施</w:t>
            </w:r>
            <w:r>
              <w:rPr>
                <w:rFonts w:hint="eastAsia" w:ascii="Calibri" w:hAnsi="Calibri" w:cs="Times New Roman"/>
                <w:color w:val="auto"/>
                <w:kern w:val="2"/>
                <w:sz w:val="21"/>
                <w:szCs w:val="21"/>
                <w:highlight w:val="none"/>
                <w:lang w:eastAsia="zh-CN"/>
              </w:rPr>
              <w:t>；</w:t>
            </w:r>
          </w:p>
          <w:p w14:paraId="72DC8DFF">
            <w:pPr>
              <w:widowControl w:val="0"/>
              <w:wordWrap w:val="0"/>
              <w:jc w:val="both"/>
              <w:rPr>
                <w:rFonts w:hint="eastAsia" w:ascii="Calibri" w:hAnsi="Calibri" w:cs="Times New Roman"/>
                <w:color w:val="auto"/>
                <w:kern w:val="2"/>
                <w:sz w:val="21"/>
                <w:szCs w:val="21"/>
                <w:highlight w:val="none"/>
                <w:lang w:val="en-US" w:eastAsia="zh-CN"/>
              </w:rPr>
            </w:pPr>
            <w:r>
              <w:rPr>
                <w:rFonts w:hint="eastAsia" w:ascii="Calibri" w:hAnsi="Calibri" w:cs="Times New Roman"/>
                <w:color w:val="auto"/>
                <w:kern w:val="2"/>
                <w:sz w:val="21"/>
                <w:szCs w:val="21"/>
                <w:highlight w:val="none"/>
                <w:lang w:val="en-US" w:eastAsia="zh-CN"/>
              </w:rPr>
              <w:t>（2）有害生物防治</w:t>
            </w:r>
            <w:r>
              <w:rPr>
                <w:rFonts w:hint="eastAsia" w:ascii="Calibri" w:hAnsi="Calibri" w:cs="Times New Roman"/>
                <w:color w:val="auto"/>
                <w:kern w:val="2"/>
                <w:sz w:val="21"/>
                <w:szCs w:val="21"/>
                <w:highlight w:val="none"/>
              </w:rPr>
              <w:t>现场管理措施</w:t>
            </w:r>
            <w:r>
              <w:rPr>
                <w:rFonts w:hint="eastAsia" w:ascii="Calibri" w:hAnsi="Calibri" w:cs="Times New Roman"/>
                <w:color w:val="auto"/>
                <w:kern w:val="2"/>
                <w:sz w:val="21"/>
                <w:szCs w:val="21"/>
                <w:highlight w:val="none"/>
                <w:lang w:eastAsia="zh-CN"/>
              </w:rPr>
              <w:t>；</w:t>
            </w:r>
          </w:p>
          <w:p w14:paraId="0E938693">
            <w:pPr>
              <w:widowControl w:val="0"/>
              <w:wordWrap w:val="0"/>
              <w:jc w:val="both"/>
              <w:rPr>
                <w:rFonts w:hint="eastAsia" w:ascii="Calibri" w:hAnsi="Calibri" w:cs="Times New Roman"/>
                <w:color w:val="auto"/>
                <w:kern w:val="2"/>
                <w:sz w:val="21"/>
                <w:szCs w:val="21"/>
                <w:highlight w:val="none"/>
                <w:lang w:eastAsia="zh-CN"/>
              </w:rPr>
            </w:pPr>
            <w:r>
              <w:rPr>
                <w:rFonts w:hint="eastAsia" w:ascii="Calibri" w:hAnsi="Calibri" w:cs="Times New Roman"/>
                <w:color w:val="auto"/>
                <w:kern w:val="2"/>
                <w:sz w:val="21"/>
                <w:szCs w:val="21"/>
                <w:highlight w:val="none"/>
                <w:lang w:val="en-US" w:eastAsia="zh-CN"/>
              </w:rPr>
              <w:t>（3）绿化</w:t>
            </w:r>
            <w:r>
              <w:rPr>
                <w:rFonts w:hint="eastAsia" w:ascii="Calibri" w:hAnsi="Calibri" w:cs="Times New Roman"/>
                <w:color w:val="auto"/>
                <w:kern w:val="2"/>
                <w:sz w:val="21"/>
                <w:szCs w:val="21"/>
                <w:highlight w:val="none"/>
              </w:rPr>
              <w:t>服务现场管理措施</w:t>
            </w:r>
            <w:r>
              <w:rPr>
                <w:rFonts w:hint="eastAsia" w:ascii="Calibri" w:hAnsi="Calibri" w:cs="Times New Roman"/>
                <w:color w:val="auto"/>
                <w:kern w:val="2"/>
                <w:sz w:val="21"/>
                <w:szCs w:val="21"/>
                <w:highlight w:val="none"/>
                <w:lang w:eastAsia="zh-CN"/>
              </w:rPr>
              <w:t>；</w:t>
            </w:r>
          </w:p>
          <w:p w14:paraId="37F5130A">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（二）评审标准：</w:t>
            </w:r>
          </w:p>
          <w:p w14:paraId="6C3F764F">
            <w:pPr>
              <w:widowControl w:val="0"/>
              <w:wordWrap w:val="0"/>
              <w:jc w:val="both"/>
              <w:rPr>
                <w:rFonts w:hint="default" w:eastAsia="宋体"/>
                <w:color w:val="auto"/>
                <w:highlight w:val="none"/>
                <w:lang w:val="en-US" w:eastAsia="zh-CN"/>
              </w:rPr>
            </w:pPr>
            <w:r>
              <w:rPr>
                <w:rFonts w:hint="eastAsia"/>
                <w:color w:val="auto"/>
                <w:highlight w:val="none"/>
              </w:rPr>
              <w:t>未提供响应方案不得分。</w:t>
            </w:r>
            <w:r>
              <w:rPr>
                <w:rFonts w:hint="eastAsia"/>
                <w:color w:val="auto"/>
                <w:highlight w:val="none"/>
                <w:lang w:val="en-US" w:eastAsia="zh-CN"/>
              </w:rPr>
              <w:t>专家根据内容合理性评分：</w:t>
            </w:r>
          </w:p>
          <w:p w14:paraId="296AC572">
            <w:pPr>
              <w:widowControl w:val="0"/>
              <w:wordWrap w:val="0"/>
              <w:jc w:val="both"/>
              <w:rPr>
                <w:rFonts w:hint="eastAsia"/>
                <w:color w:val="auto"/>
                <w:highlight w:val="none"/>
                <w:lang w:val="en-US" w:eastAsia="zh-CN"/>
              </w:rPr>
            </w:pPr>
            <w:r>
              <w:rPr>
                <w:rFonts w:hint="eastAsia"/>
                <w:color w:val="auto"/>
                <w:highlight w:val="none"/>
                <w:lang w:val="en-US" w:eastAsia="zh-CN"/>
              </w:rPr>
              <w:t>评价为优得15分</w:t>
            </w:r>
          </w:p>
          <w:p w14:paraId="0AA56C30">
            <w:pPr>
              <w:widowControl w:val="0"/>
              <w:wordWrap w:val="0"/>
              <w:jc w:val="both"/>
              <w:rPr>
                <w:rFonts w:hint="eastAsia"/>
                <w:color w:val="auto"/>
                <w:highlight w:val="none"/>
                <w:lang w:val="en-US" w:eastAsia="zh-CN"/>
              </w:rPr>
            </w:pPr>
            <w:r>
              <w:rPr>
                <w:rFonts w:hint="eastAsia"/>
                <w:color w:val="auto"/>
                <w:highlight w:val="none"/>
                <w:lang w:val="en-US" w:eastAsia="zh-CN"/>
              </w:rPr>
              <w:t>评价为良得10分</w:t>
            </w:r>
          </w:p>
          <w:p w14:paraId="284DA20A">
            <w:pPr>
              <w:widowControl w:val="0"/>
              <w:wordWrap w:val="0"/>
              <w:jc w:val="both"/>
              <w:rPr>
                <w:rFonts w:hint="eastAsia"/>
                <w:color w:val="auto"/>
                <w:highlight w:val="none"/>
                <w:lang w:val="en-US" w:eastAsia="zh-CN"/>
              </w:rPr>
            </w:pPr>
            <w:r>
              <w:rPr>
                <w:rFonts w:hint="eastAsia"/>
                <w:color w:val="auto"/>
                <w:highlight w:val="none"/>
                <w:lang w:val="en-US" w:eastAsia="zh-CN"/>
              </w:rPr>
              <w:t>评价为中得5分</w:t>
            </w:r>
          </w:p>
          <w:p w14:paraId="624623B9">
            <w:pPr>
              <w:widowControl w:val="0"/>
              <w:wordWrap w:val="0"/>
              <w:jc w:val="left"/>
              <w:rPr>
                <w:rFonts w:hint="eastAsia" w:ascii="Calibri" w:hAnsi="Calibri" w:cs="Times New Roman"/>
                <w:color w:val="auto"/>
                <w:kern w:val="2"/>
                <w:sz w:val="21"/>
                <w:szCs w:val="21"/>
                <w:highlight w:val="none"/>
              </w:rPr>
            </w:pPr>
            <w:r>
              <w:rPr>
                <w:rFonts w:hint="eastAsia"/>
                <w:color w:val="auto"/>
                <w:highlight w:val="none"/>
                <w:lang w:val="en-US" w:eastAsia="zh-CN"/>
              </w:rPr>
              <w:t>评价为差不得分</w:t>
            </w:r>
          </w:p>
        </w:tc>
      </w:tr>
      <w:tr w14:paraId="44561F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trHeight w:val="90" w:hRule="atLeast"/>
          <w:jc w:val="center"/>
        </w:trPr>
        <w:tc>
          <w:tcPr>
            <w:tcW w:w="680" w:type="dxa"/>
            <w:vMerge w:val="continue"/>
            <w:tcBorders>
              <w:left w:val="single" w:color="000000" w:sz="8" w:space="0"/>
              <w:right w:val="single" w:color="000000" w:sz="8" w:space="0"/>
            </w:tcBorders>
            <w:shd w:val="clear" w:color="auto" w:fill="auto"/>
            <w:noWrap w:val="0"/>
            <w:vAlign w:val="center"/>
          </w:tcPr>
          <w:p w14:paraId="70A5DB73">
            <w:pPr>
              <w:widowControl w:val="0"/>
              <w:jc w:val="both"/>
              <w:rPr>
                <w:rFonts w:ascii="Calibri" w:hAnsi="Calibri" w:cs="Times New Roman"/>
                <w:b/>
                <w:bCs/>
                <w:color w:val="auto"/>
                <w:kern w:val="2"/>
                <w:sz w:val="21"/>
                <w:szCs w:val="22"/>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072CB287">
            <w:pPr>
              <w:widowControl w:val="0"/>
              <w:wordWrap w:val="0"/>
              <w:jc w:val="center"/>
              <w:rPr>
                <w:rFonts w:hint="default" w:ascii="Calibri" w:hAnsi="Calibri" w:eastAsia="宋体" w:cs="Times New Roman"/>
                <w:color w:val="auto"/>
                <w:kern w:val="2"/>
                <w:sz w:val="21"/>
                <w:szCs w:val="21"/>
                <w:highlight w:val="none"/>
                <w:lang w:val="en-US" w:eastAsia="zh-CN"/>
              </w:rPr>
            </w:pPr>
            <w:r>
              <w:rPr>
                <w:rFonts w:hint="eastAsia" w:ascii="Calibri" w:hAnsi="Calibri" w:eastAsia="宋体" w:cs="Times New Roman"/>
                <w:color w:val="auto"/>
                <w:kern w:val="2"/>
                <w:sz w:val="21"/>
                <w:szCs w:val="21"/>
                <w:highlight w:val="none"/>
                <w:lang w:val="en-US" w:eastAsia="zh-CN"/>
              </w:rPr>
              <w:t>2</w:t>
            </w:r>
          </w:p>
        </w:tc>
        <w:tc>
          <w:tcPr>
            <w:tcW w:w="283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78F26D88">
            <w:pPr>
              <w:widowControl w:val="0"/>
              <w:wordWrap w:val="0"/>
              <w:jc w:val="center"/>
              <w:rPr>
                <w:rFonts w:hint="default" w:ascii="Calibri" w:hAnsi="Calibri" w:cs="Times New Roman"/>
                <w:kern w:val="2"/>
                <w:sz w:val="21"/>
                <w:szCs w:val="21"/>
                <w:highlight w:val="none"/>
                <w:lang w:val="en-US" w:eastAsia="zh-CN"/>
              </w:rPr>
            </w:pPr>
            <w:r>
              <w:rPr>
                <w:rFonts w:hint="eastAsia" w:ascii="宋体" w:hAnsi="宋体"/>
                <w:color w:val="000000"/>
                <w:kern w:val="0"/>
                <w:szCs w:val="21"/>
                <w:lang w:val="en-US" w:eastAsia="zh-CN"/>
              </w:rPr>
              <w:t>应急响应时间</w:t>
            </w:r>
          </w:p>
        </w:tc>
        <w:tc>
          <w:tcPr>
            <w:tcW w:w="681"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443629D1">
            <w:pPr>
              <w:widowControl w:val="0"/>
              <w:wordWrap w:val="0"/>
              <w:jc w:val="center"/>
              <w:rPr>
                <w:rFonts w:hint="default" w:ascii="Calibri" w:hAnsi="Calibri" w:cs="Times New Roman"/>
                <w:color w:val="auto"/>
                <w:kern w:val="2"/>
                <w:sz w:val="21"/>
                <w:szCs w:val="21"/>
                <w:highlight w:val="none"/>
                <w:lang w:val="en-US" w:eastAsia="zh-CN"/>
              </w:rPr>
            </w:pPr>
            <w:r>
              <w:rPr>
                <w:rFonts w:hint="eastAsia" w:ascii="Calibri" w:hAnsi="Calibri" w:cs="Times New Roman"/>
                <w:color w:val="auto"/>
                <w:kern w:val="2"/>
                <w:sz w:val="21"/>
                <w:szCs w:val="21"/>
                <w:highlight w:val="none"/>
                <w:lang w:val="en-US" w:eastAsia="zh-CN"/>
              </w:rPr>
              <w:t>10</w:t>
            </w:r>
          </w:p>
        </w:tc>
        <w:tc>
          <w:tcPr>
            <w:tcW w:w="4480" w:type="dxa"/>
            <w:tcBorders>
              <w:top w:val="outset" w:color="000000" w:sz="6" w:space="0"/>
              <w:left w:val="outset" w:color="000000" w:sz="6" w:space="0"/>
              <w:bottom w:val="outset" w:color="000000" w:sz="6" w:space="0"/>
              <w:right w:val="outset" w:color="000000" w:sz="6" w:space="0"/>
            </w:tcBorders>
            <w:shd w:val="clear" w:color="auto" w:fill="auto"/>
            <w:noWrap w:val="0"/>
            <w:vAlign w:val="top"/>
          </w:tcPr>
          <w:p w14:paraId="4F6E8807">
            <w:pPr>
              <w:widowControl w:val="0"/>
              <w:wordWrap w:val="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（一）评审内容：</w:t>
            </w:r>
          </w:p>
          <w:p w14:paraId="7921CE1F">
            <w:pPr>
              <w:widowControl w:val="0"/>
              <w:wordWrap w:val="0"/>
              <w:jc w:val="left"/>
              <w:rPr>
                <w:rFonts w:ascii="宋体" w:hAnsi="宋体" w:eastAsia="宋体" w:cs="宋体"/>
                <w:sz w:val="24"/>
                <w:szCs w:val="24"/>
              </w:rPr>
            </w:pPr>
            <w:r>
              <w:rPr>
                <w:rFonts w:hint="eastAsia" w:ascii="宋体" w:hAnsi="宋体" w:eastAsia="宋体" w:cs="宋体"/>
                <w:sz w:val="24"/>
                <w:szCs w:val="24"/>
                <w:lang w:val="en-US" w:eastAsia="zh-CN"/>
              </w:rPr>
              <w:t>针对</w:t>
            </w:r>
            <w:r>
              <w:rPr>
                <w:rFonts w:ascii="宋体" w:hAnsi="宋体" w:eastAsia="宋体" w:cs="宋体"/>
                <w:sz w:val="24"/>
                <w:szCs w:val="24"/>
              </w:rPr>
              <w:t>污水外溢、大面积污渍、暴雨积水、树木倒伏、断枝、病虫害爆发、活动突击保洁等</w:t>
            </w:r>
            <w:r>
              <w:rPr>
                <w:rFonts w:hint="eastAsia" w:ascii="宋体" w:hAnsi="宋体" w:eastAsia="宋体" w:cs="宋体"/>
                <w:sz w:val="24"/>
                <w:szCs w:val="24"/>
                <w:lang w:val="en-US" w:eastAsia="zh-CN"/>
              </w:rPr>
              <w:t>突发情况。</w:t>
            </w:r>
            <w:r>
              <w:rPr>
                <w:rFonts w:hint="default" w:ascii="宋体" w:hAnsi="宋体" w:eastAsia="宋体" w:cs="宋体"/>
                <w:sz w:val="24"/>
                <w:lang w:val="en-US" w:eastAsia="zh-CN"/>
              </w:rPr>
              <w:t>承诺出现突发情况时</w:t>
            </w:r>
            <w:r>
              <w:rPr>
                <w:rFonts w:hint="eastAsia" w:ascii="宋体" w:hAnsi="宋体" w:eastAsia="宋体" w:cs="宋体"/>
                <w:sz w:val="24"/>
                <w:lang w:val="en-US" w:eastAsia="zh-CN"/>
              </w:rPr>
              <w:t>，额外配备作业人员参与作业</w:t>
            </w:r>
            <w:r>
              <w:rPr>
                <w:rFonts w:hint="eastAsia" w:ascii="宋体" w:hAnsi="宋体" w:eastAsia="宋体" w:cs="宋体"/>
                <w:sz w:val="24"/>
                <w:szCs w:val="24"/>
                <w:lang w:val="en-US" w:eastAsia="zh-CN"/>
              </w:rPr>
              <w:t>服务响应时间</w:t>
            </w:r>
            <w:r>
              <w:rPr>
                <w:rFonts w:ascii="宋体" w:hAnsi="宋体" w:eastAsia="宋体" w:cs="宋体"/>
                <w:sz w:val="24"/>
                <w:szCs w:val="24"/>
              </w:rPr>
              <w:t>。</w:t>
            </w:r>
          </w:p>
          <w:p w14:paraId="4AA33BE7">
            <w:pPr>
              <w:widowControl w:val="0"/>
              <w:wordWrap w:val="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（二）评审标准：</w:t>
            </w:r>
          </w:p>
          <w:p w14:paraId="6E7E1FBF">
            <w:pPr>
              <w:widowControl w:val="0"/>
              <w:wordWrap w:val="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cstheme="minorEastAsia"/>
                <w:color w:val="auto"/>
                <w:highlight w:val="none"/>
                <w:lang w:val="en-US" w:eastAsia="zh-CN"/>
              </w:rPr>
              <w:t>提供应急响应时间承诺函（格式自拟）</w:t>
            </w:r>
            <w:r>
              <w:rPr>
                <w:rFonts w:hint="eastAsia" w:asciiTheme="minorEastAsia" w:hAnsiTheme="minorEastAsia" w:eastAsiaTheme="minorEastAsia" w:cstheme="minorEastAsia"/>
                <w:color w:val="auto"/>
                <w:highlight w:val="none"/>
                <w:lang w:val="en-US" w:eastAsia="zh-CN"/>
              </w:rPr>
              <w:t>：</w:t>
            </w:r>
          </w:p>
          <w:p w14:paraId="1A884BFF">
            <w:pPr>
              <w:widowControl w:val="0"/>
              <w:wordWrap w:val="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cstheme="minorEastAsia"/>
                <w:color w:val="auto"/>
                <w:highlight w:val="none"/>
                <w:lang w:val="en-US" w:eastAsia="zh-CN"/>
              </w:rPr>
              <w:t>承诺2小时内到场的</w:t>
            </w:r>
            <w:r>
              <w:rPr>
                <w:rFonts w:hint="eastAsia" w:asciiTheme="minorEastAsia" w:hAnsiTheme="minorEastAsia" w:eastAsiaTheme="minorEastAsia" w:cstheme="minorEastAsia"/>
                <w:color w:val="auto"/>
                <w:highlight w:val="none"/>
                <w:lang w:val="en-US" w:eastAsia="zh-CN"/>
              </w:rPr>
              <w:t>得</w:t>
            </w:r>
            <w:r>
              <w:rPr>
                <w:rFonts w:hint="eastAsia" w:asciiTheme="minorEastAsia" w:hAnsi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lang w:val="en-US" w:eastAsia="zh-CN"/>
              </w:rPr>
              <w:t>分；</w:t>
            </w:r>
          </w:p>
          <w:p w14:paraId="72790745">
            <w:pPr>
              <w:widowControl w:val="0"/>
              <w:wordWrap w:val="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cstheme="minorEastAsia"/>
                <w:color w:val="auto"/>
                <w:highlight w:val="none"/>
                <w:lang w:val="en-US" w:eastAsia="zh-CN"/>
              </w:rPr>
              <w:t>承诺3小时内到场的7</w:t>
            </w:r>
            <w:r>
              <w:rPr>
                <w:rFonts w:hint="eastAsia" w:asciiTheme="minorEastAsia" w:hAnsiTheme="minorEastAsia" w:eastAsiaTheme="minorEastAsia" w:cstheme="minorEastAsia"/>
                <w:color w:val="auto"/>
                <w:highlight w:val="none"/>
                <w:lang w:val="en-US" w:eastAsia="zh-CN"/>
              </w:rPr>
              <w:t>分；</w:t>
            </w:r>
          </w:p>
          <w:p w14:paraId="6ABD0016">
            <w:pPr>
              <w:widowControl w:val="0"/>
              <w:wordWrap w:val="0"/>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cstheme="minorEastAsia"/>
                <w:color w:val="auto"/>
                <w:highlight w:val="none"/>
                <w:lang w:val="en-US" w:eastAsia="zh-CN"/>
              </w:rPr>
              <w:t>承诺5小时内到场的3</w:t>
            </w:r>
            <w:r>
              <w:rPr>
                <w:rFonts w:hint="eastAsia" w:asciiTheme="minorEastAsia" w:hAnsiTheme="minorEastAsia" w:eastAsiaTheme="minorEastAsia" w:cstheme="minorEastAsia"/>
                <w:color w:val="auto"/>
                <w:highlight w:val="none"/>
                <w:lang w:val="en-US" w:eastAsia="zh-CN"/>
              </w:rPr>
              <w:t>分；</w:t>
            </w:r>
          </w:p>
          <w:p w14:paraId="57FB5CBC">
            <w:pPr>
              <w:widowControl w:val="0"/>
              <w:wordWrap w:val="0"/>
              <w:jc w:val="left"/>
              <w:rPr>
                <w:rFonts w:hint="default"/>
                <w:highlight w:val="none"/>
                <w:lang w:val="en-US" w:eastAsia="zh-CN"/>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cstheme="minorEastAsia"/>
                <w:color w:val="auto"/>
                <w:highlight w:val="none"/>
                <w:lang w:val="en-US" w:eastAsia="zh-CN"/>
              </w:rPr>
              <w:t>承诺5小时以上的</w:t>
            </w:r>
            <w:r>
              <w:rPr>
                <w:rFonts w:hint="eastAsia" w:asciiTheme="minorEastAsia" w:hAnsiTheme="minorEastAsia" w:eastAsiaTheme="minorEastAsia" w:cstheme="minorEastAsia"/>
                <w:color w:val="auto"/>
                <w:highlight w:val="none"/>
                <w:lang w:val="en-US" w:eastAsia="zh-CN"/>
              </w:rPr>
              <w:t>不得分。</w:t>
            </w:r>
          </w:p>
        </w:tc>
      </w:tr>
      <w:tr w14:paraId="1E33D5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494C26E">
            <w:pPr>
              <w:widowControl w:val="0"/>
              <w:wordWrap w:val="0"/>
              <w:jc w:val="center"/>
              <w:rPr>
                <w:rFonts w:ascii="Calibri" w:hAnsi="Calibri" w:cs="Times New Roman"/>
                <w:b/>
                <w:bCs/>
                <w:color w:val="auto"/>
                <w:kern w:val="2"/>
                <w:sz w:val="21"/>
                <w:szCs w:val="22"/>
                <w:highlight w:val="none"/>
              </w:rPr>
            </w:pPr>
            <w:r>
              <w:rPr>
                <w:rFonts w:ascii="Calibri" w:hAnsi="Calibri" w:cs="Times New Roman"/>
                <w:b/>
                <w:bCs/>
                <w:color w:val="auto"/>
                <w:kern w:val="2"/>
                <w:sz w:val="21"/>
                <w:szCs w:val="22"/>
                <w:highlight w:val="none"/>
              </w:rPr>
              <w:t>3</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1D66E15A">
            <w:pPr>
              <w:widowControl w:val="0"/>
              <w:wordWrap w:val="0"/>
              <w:jc w:val="center"/>
              <w:rPr>
                <w:rFonts w:ascii="Calibri" w:hAnsi="Calibri" w:cs="Times New Roman"/>
                <w:b/>
                <w:bCs/>
                <w:color w:val="auto"/>
                <w:kern w:val="2"/>
                <w:sz w:val="21"/>
                <w:szCs w:val="22"/>
                <w:highlight w:val="none"/>
              </w:rPr>
            </w:pPr>
            <w:r>
              <w:rPr>
                <w:rFonts w:hint="eastAsia" w:ascii="Calibri" w:hAnsi="Calibri" w:cs="Times New Roman"/>
                <w:b/>
                <w:bCs/>
                <w:color w:val="auto"/>
                <w:kern w:val="2"/>
                <w:sz w:val="21"/>
                <w:szCs w:val="22"/>
                <w:highlight w:val="none"/>
                <w:lang w:val="en-US" w:eastAsia="zh-CN"/>
              </w:rPr>
              <w:t>资信</w:t>
            </w:r>
            <w:r>
              <w:rPr>
                <w:rFonts w:ascii="Calibri" w:hAnsi="Calibri" w:cs="Times New Roman"/>
                <w:b/>
                <w:bCs/>
                <w:color w:val="auto"/>
                <w:kern w:val="2"/>
                <w:sz w:val="21"/>
                <w:szCs w:val="22"/>
                <w:highlight w:val="none"/>
              </w:rPr>
              <w:t>部分</w:t>
            </w:r>
          </w:p>
        </w:tc>
        <w:tc>
          <w:tcPr>
            <w:tcW w:w="4480"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2627F96D">
            <w:pPr>
              <w:widowControl w:val="0"/>
              <w:wordWrap w:val="0"/>
              <w:jc w:val="center"/>
              <w:rPr>
                <w:rFonts w:hint="default" w:ascii="Calibri" w:hAnsi="Calibri" w:eastAsia="宋体" w:cs="Times New Roman"/>
                <w:b/>
                <w:bCs/>
                <w:color w:val="auto"/>
                <w:kern w:val="2"/>
                <w:sz w:val="21"/>
                <w:szCs w:val="22"/>
                <w:highlight w:val="none"/>
                <w:lang w:val="en-US" w:eastAsia="zh-CN"/>
              </w:rPr>
            </w:pPr>
            <w:r>
              <w:rPr>
                <w:rFonts w:hint="eastAsia" w:ascii="Calibri" w:hAnsi="Calibri" w:eastAsia="宋体" w:cs="Times New Roman"/>
                <w:b/>
                <w:bCs/>
                <w:color w:val="auto"/>
                <w:kern w:val="2"/>
                <w:sz w:val="21"/>
                <w:szCs w:val="22"/>
                <w:highlight w:val="none"/>
                <w:lang w:val="en-US" w:eastAsia="zh-CN"/>
              </w:rPr>
              <w:t>15</w:t>
            </w:r>
          </w:p>
        </w:tc>
      </w:tr>
      <w:tr w14:paraId="379EF4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0E97B97">
            <w:pPr>
              <w:widowControl w:val="0"/>
              <w:jc w:val="both"/>
              <w:rPr>
                <w:rFonts w:ascii="Calibri" w:hAnsi="Calibri" w:cs="Times New Roman"/>
                <w:b/>
                <w:bCs/>
                <w:color w:val="auto"/>
                <w:kern w:val="2"/>
                <w:sz w:val="21"/>
                <w:szCs w:val="22"/>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277CA167">
            <w:pPr>
              <w:widowControl w:val="0"/>
              <w:wordWrap w:val="0"/>
              <w:jc w:val="center"/>
              <w:rPr>
                <w:rFonts w:ascii="Calibri" w:hAnsi="Calibri" w:cs="Times New Roman"/>
                <w:color w:val="auto"/>
                <w:kern w:val="2"/>
                <w:sz w:val="21"/>
                <w:szCs w:val="21"/>
                <w:highlight w:val="none"/>
              </w:rPr>
            </w:pPr>
            <w:r>
              <w:rPr>
                <w:rFonts w:ascii="Calibri" w:hAnsi="Calibri" w:cs="Times New Roman"/>
                <w:color w:val="auto"/>
                <w:kern w:val="2"/>
                <w:sz w:val="21"/>
                <w:szCs w:val="21"/>
                <w:highlight w:val="none"/>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3152FEA9">
            <w:pPr>
              <w:widowControl w:val="0"/>
              <w:wordWrap w:val="0"/>
              <w:jc w:val="center"/>
              <w:rPr>
                <w:rFonts w:ascii="Calibri" w:hAnsi="Calibri" w:cs="Times New Roman"/>
                <w:color w:val="auto"/>
                <w:kern w:val="2"/>
                <w:sz w:val="21"/>
                <w:szCs w:val="21"/>
                <w:highlight w:val="none"/>
              </w:rPr>
            </w:pPr>
            <w:r>
              <w:rPr>
                <w:rFonts w:ascii="Calibri" w:hAnsi="Calibri" w:cs="Times New Roman"/>
                <w:color w:val="auto"/>
                <w:kern w:val="2"/>
                <w:sz w:val="21"/>
                <w:szCs w:val="21"/>
                <w:highlight w:val="none"/>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6913DEFD">
            <w:pPr>
              <w:widowControl w:val="0"/>
              <w:wordWrap w:val="0"/>
              <w:jc w:val="center"/>
              <w:rPr>
                <w:rFonts w:ascii="Calibri" w:hAnsi="Calibri" w:cs="Times New Roman"/>
                <w:color w:val="auto"/>
                <w:kern w:val="2"/>
                <w:sz w:val="21"/>
                <w:szCs w:val="21"/>
                <w:highlight w:val="none"/>
              </w:rPr>
            </w:pPr>
            <w:r>
              <w:rPr>
                <w:rFonts w:ascii="Calibri" w:hAnsi="Calibri" w:cs="Times New Roman"/>
                <w:color w:val="auto"/>
                <w:kern w:val="2"/>
                <w:sz w:val="21"/>
                <w:szCs w:val="21"/>
                <w:highlight w:val="none"/>
              </w:rPr>
              <w:t>权重</w:t>
            </w:r>
          </w:p>
        </w:tc>
        <w:tc>
          <w:tcPr>
            <w:tcW w:w="4480"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14:paraId="1EE7F0F4">
            <w:pPr>
              <w:widowControl w:val="0"/>
              <w:wordWrap w:val="0"/>
              <w:jc w:val="center"/>
              <w:rPr>
                <w:rFonts w:ascii="Calibri" w:hAnsi="Calibri" w:cs="Times New Roman"/>
                <w:color w:val="auto"/>
                <w:kern w:val="2"/>
                <w:sz w:val="21"/>
                <w:szCs w:val="21"/>
                <w:highlight w:val="none"/>
              </w:rPr>
            </w:pPr>
            <w:r>
              <w:rPr>
                <w:rFonts w:ascii="Calibri" w:hAnsi="Calibri" w:cs="Times New Roman"/>
                <w:color w:val="auto"/>
                <w:kern w:val="2"/>
                <w:sz w:val="21"/>
                <w:szCs w:val="21"/>
                <w:highlight w:val="none"/>
              </w:rPr>
              <w:t>评分准则</w:t>
            </w:r>
          </w:p>
        </w:tc>
      </w:tr>
      <w:tr w14:paraId="19E4E7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20" w:type="dxa"/>
            <w:left w:w="108" w:type="dxa"/>
            <w:bottom w:w="20" w:type="dxa"/>
            <w:right w:w="108" w:type="dxa"/>
          </w:tblCellMar>
        </w:tblPrEx>
        <w:trPr>
          <w:trHeight w:val="1917" w:hRule="atLeast"/>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980380">
            <w:pPr>
              <w:rPr>
                <w:rFonts w:ascii="Calibri" w:hAnsi="Calibri"/>
                <w:b/>
                <w:bCs/>
                <w:szCs w:val="22"/>
                <w:highlight w:val="none"/>
              </w:rPr>
            </w:pPr>
          </w:p>
        </w:tc>
        <w:tc>
          <w:tcPr>
            <w:tcW w:w="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F5EAF">
            <w:pPr>
              <w:wordWrap w:val="0"/>
              <w:jc w:val="center"/>
              <w:rPr>
                <w:rFonts w:hint="eastAsia" w:ascii="Calibri" w:hAnsi="Calibri" w:eastAsiaTheme="minorEastAsia"/>
                <w:szCs w:val="21"/>
                <w:highlight w:val="none"/>
                <w:lang w:val="en-US" w:eastAsia="zh-CN"/>
              </w:rPr>
            </w:pPr>
            <w:r>
              <w:rPr>
                <w:rFonts w:hint="eastAsia" w:ascii="Calibri" w:hAnsi="Calibri"/>
                <w:szCs w:val="21"/>
                <w:highlight w:val="none"/>
                <w:lang w:val="en-US" w:eastAsia="zh-CN"/>
              </w:rPr>
              <w:t>1</w:t>
            </w:r>
          </w:p>
        </w:tc>
        <w:tc>
          <w:tcPr>
            <w:tcW w:w="28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AEB59">
            <w:pPr>
              <w:keepNext w:val="0"/>
              <w:keepLines w:val="0"/>
              <w:widowControl/>
              <w:suppressLineNumbers w:val="0"/>
              <w:jc w:val="center"/>
              <w:rPr>
                <w:color w:val="auto"/>
                <w:highlight w:val="none"/>
              </w:rPr>
            </w:pPr>
            <w:r>
              <w:rPr>
                <w:rFonts w:hint="eastAsia" w:ascii="宋体" w:hAnsi="宋体" w:eastAsia="宋体" w:cs="宋体"/>
                <w:color w:val="auto"/>
                <w:kern w:val="0"/>
                <w:sz w:val="21"/>
                <w:szCs w:val="21"/>
                <w:highlight w:val="none"/>
                <w:lang w:val="en-US" w:eastAsia="zh-CN" w:bidi="ar"/>
              </w:rPr>
              <w:t>同类业绩</w:t>
            </w:r>
          </w:p>
          <w:p w14:paraId="5ED0B4D1">
            <w:pPr>
              <w:wordWrap w:val="0"/>
              <w:jc w:val="center"/>
              <w:rPr>
                <w:rFonts w:hint="default" w:ascii="Calibri" w:hAnsi="Calibri" w:eastAsiaTheme="minorEastAsia"/>
                <w:szCs w:val="21"/>
                <w:highlight w:val="none"/>
                <w:lang w:val="en-US" w:eastAsia="zh-CN"/>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382DC">
            <w:pPr>
              <w:wordWrap w:val="0"/>
              <w:jc w:val="center"/>
              <w:rPr>
                <w:rFonts w:hint="default" w:ascii="Calibri" w:hAnsi="Calibri" w:eastAsiaTheme="minorEastAsia"/>
                <w:szCs w:val="21"/>
                <w:highlight w:val="none"/>
                <w:lang w:val="en-US" w:eastAsia="zh-CN"/>
              </w:rPr>
            </w:pPr>
            <w:r>
              <w:rPr>
                <w:rFonts w:hint="eastAsia" w:ascii="Calibri" w:hAnsi="Calibri"/>
                <w:szCs w:val="21"/>
                <w:highlight w:val="none"/>
                <w:lang w:val="en-US" w:eastAsia="zh-CN"/>
              </w:rPr>
              <w:t>15</w:t>
            </w:r>
          </w:p>
        </w:tc>
        <w:tc>
          <w:tcPr>
            <w:tcW w:w="4480" w:type="dxa"/>
            <w:tcBorders>
              <w:top w:val="single" w:color="000000" w:sz="8" w:space="0"/>
              <w:left w:val="single" w:color="000000" w:sz="8" w:space="0"/>
              <w:bottom w:val="single" w:color="000000" w:sz="8" w:space="0"/>
              <w:right w:val="single" w:color="000000" w:sz="8" w:space="0"/>
            </w:tcBorders>
            <w:shd w:val="clear" w:color="auto" w:fill="auto"/>
          </w:tcPr>
          <w:p w14:paraId="45AF6598">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（一）评审标准： </w:t>
            </w:r>
          </w:p>
          <w:p w14:paraId="742D139B">
            <w:pPr>
              <w:keepNext w:val="0"/>
              <w:keepLines w:val="0"/>
              <w:widowControl/>
              <w:suppressLineNumbers w:val="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具有</w:t>
            </w:r>
            <w:r>
              <w:rPr>
                <w:rFonts w:hint="eastAsia" w:ascii="宋体" w:hAnsi="宋体" w:eastAsia="宋体" w:cs="Times New Roman"/>
                <w:color w:val="000000"/>
                <w:lang w:val="en-US" w:eastAsia="zh-CN"/>
              </w:rPr>
              <w:t>保洁(清洁)服务、有害生物防制（治）或病媒生物防治服务及绿化服务</w:t>
            </w:r>
            <w:r>
              <w:rPr>
                <w:rFonts w:hint="eastAsia" w:cs="Times New Roman"/>
                <w:color w:val="auto"/>
                <w:highlight w:val="none"/>
                <w:lang w:val="en-US" w:eastAsia="zh-CN"/>
              </w:rPr>
              <w:t>同类</w:t>
            </w:r>
            <w:r>
              <w:rPr>
                <w:rFonts w:hint="eastAsia" w:ascii="Times New Roman" w:hAnsi="Times New Roman" w:eastAsia="宋体" w:cs="Times New Roman"/>
                <w:color w:val="auto"/>
                <w:highlight w:val="none"/>
                <w:lang w:val="en-US" w:eastAsia="zh-CN"/>
              </w:rPr>
              <w:t>项目业绩，满足1项得7分；超过1项部分每多一项，加4分。最高得15分。</w:t>
            </w:r>
            <w:r>
              <w:rPr>
                <w:rFonts w:hint="eastAsia" w:ascii="宋体" w:hAnsi="宋体" w:cs="宋体"/>
                <w:color w:val="000000"/>
                <w:kern w:val="0"/>
                <w:szCs w:val="21"/>
              </w:rPr>
              <w:t>（同时提供包含保洁、</w:t>
            </w:r>
            <w:r>
              <w:rPr>
                <w:rFonts w:hint="eastAsia" w:ascii="宋体" w:hAnsi="宋体" w:eastAsia="宋体" w:cs="Times New Roman"/>
                <w:color w:val="000000"/>
                <w:lang w:val="en-US" w:eastAsia="zh-CN"/>
              </w:rPr>
              <w:t>有害生物防制（治）或病媒生物防治服务、绿化服务</w:t>
            </w:r>
            <w:r>
              <w:rPr>
                <w:rFonts w:hint="eastAsia" w:ascii="宋体" w:hAnsi="宋体" w:cs="宋体"/>
                <w:color w:val="000000"/>
                <w:kern w:val="0"/>
                <w:szCs w:val="21"/>
              </w:rPr>
              <w:t>的不同项目合同计算为一个业绩，也可为独立项目合同分别包含保洁、消杀内容。示例：合同项目A为保洁合同、合同项目</w:t>
            </w:r>
            <w:r>
              <w:rPr>
                <w:rFonts w:hint="eastAsia" w:ascii="宋体" w:hAnsi="宋体" w:cs="宋体"/>
                <w:color w:val="000000"/>
                <w:kern w:val="0"/>
                <w:szCs w:val="21"/>
                <w:lang w:val="en-US" w:eastAsia="zh-CN"/>
              </w:rPr>
              <w:t>B</w:t>
            </w:r>
            <w:r>
              <w:rPr>
                <w:rFonts w:hint="eastAsia" w:ascii="宋体" w:hAnsi="宋体" w:cs="宋体"/>
                <w:color w:val="000000"/>
                <w:kern w:val="0"/>
                <w:szCs w:val="21"/>
              </w:rPr>
              <w:t>为</w:t>
            </w:r>
            <w:r>
              <w:rPr>
                <w:rFonts w:hint="eastAsia" w:ascii="宋体" w:hAnsi="宋体" w:eastAsia="宋体" w:cs="Times New Roman"/>
                <w:color w:val="000000"/>
                <w:lang w:val="en-US" w:eastAsia="zh-CN"/>
              </w:rPr>
              <w:t>有害生物防制（治）或病媒生物防治服务、</w:t>
            </w:r>
            <w:r>
              <w:rPr>
                <w:rFonts w:hint="eastAsia" w:ascii="宋体" w:hAnsi="宋体" w:cs="宋体"/>
                <w:color w:val="000000"/>
                <w:kern w:val="0"/>
                <w:szCs w:val="21"/>
              </w:rPr>
              <w:t>项目合同</w:t>
            </w:r>
            <w:r>
              <w:rPr>
                <w:rFonts w:hint="eastAsia" w:ascii="宋体" w:hAnsi="宋体" w:cs="宋体"/>
                <w:color w:val="000000"/>
                <w:kern w:val="0"/>
                <w:szCs w:val="21"/>
                <w:lang w:val="en-US" w:eastAsia="zh-CN"/>
              </w:rPr>
              <w:t>C</w:t>
            </w:r>
            <w:r>
              <w:rPr>
                <w:rFonts w:hint="eastAsia" w:ascii="宋体" w:hAnsi="宋体" w:cs="宋体"/>
                <w:color w:val="000000"/>
                <w:kern w:val="0"/>
                <w:szCs w:val="21"/>
              </w:rPr>
              <w:t>为</w:t>
            </w:r>
            <w:r>
              <w:rPr>
                <w:rFonts w:hint="eastAsia" w:ascii="宋体" w:hAnsi="宋体" w:cs="宋体"/>
                <w:color w:val="000000"/>
                <w:kern w:val="0"/>
                <w:szCs w:val="21"/>
                <w:lang w:val="en-US" w:eastAsia="zh-CN"/>
              </w:rPr>
              <w:t>绿化服务</w:t>
            </w:r>
            <w:r>
              <w:rPr>
                <w:rFonts w:hint="eastAsia" w:ascii="宋体" w:hAnsi="宋体" w:cs="宋体"/>
                <w:color w:val="000000"/>
                <w:kern w:val="0"/>
                <w:szCs w:val="21"/>
              </w:rPr>
              <w:t>合同</w:t>
            </w:r>
            <w:r>
              <w:rPr>
                <w:rFonts w:hint="eastAsia" w:ascii="宋体" w:hAnsi="宋体" w:cs="宋体"/>
                <w:color w:val="000000"/>
                <w:kern w:val="0"/>
                <w:szCs w:val="21"/>
                <w:lang w:eastAsia="zh-CN"/>
              </w:rPr>
              <w:t>，</w:t>
            </w:r>
            <w:r>
              <w:rPr>
                <w:rFonts w:hint="eastAsia" w:ascii="宋体" w:hAnsi="宋体" w:cs="宋体"/>
                <w:color w:val="000000"/>
                <w:kern w:val="0"/>
                <w:szCs w:val="21"/>
              </w:rPr>
              <w:t>则项目合同AB</w:t>
            </w:r>
            <w:r>
              <w:rPr>
                <w:rFonts w:hint="eastAsia" w:ascii="宋体" w:hAnsi="宋体" w:cs="宋体"/>
                <w:color w:val="000000"/>
                <w:kern w:val="0"/>
                <w:szCs w:val="21"/>
                <w:lang w:val="en-US" w:eastAsia="zh-CN"/>
              </w:rPr>
              <w:t>C</w:t>
            </w:r>
            <w:r>
              <w:rPr>
                <w:rFonts w:hint="eastAsia" w:ascii="宋体" w:hAnsi="宋体" w:cs="宋体"/>
                <w:color w:val="000000"/>
                <w:kern w:val="0"/>
                <w:szCs w:val="21"/>
              </w:rPr>
              <w:t>组合可视为一个业绩，同一项目合同（包括续签合同）不重复计分。）</w:t>
            </w:r>
          </w:p>
          <w:p w14:paraId="75BC5B63">
            <w:pPr>
              <w:keepNext w:val="0"/>
              <w:keepLines w:val="0"/>
              <w:widowControl/>
              <w:suppressLineNumbers w:val="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 xml:space="preserve">（二）证明文件： </w:t>
            </w:r>
          </w:p>
          <w:p w14:paraId="444C923B">
            <w:pPr>
              <w:keepNext w:val="0"/>
              <w:keepLines w:val="0"/>
              <w:widowControl/>
              <w:suppressLineNumbers w:val="0"/>
              <w:jc w:val="left"/>
              <w:rPr>
                <w:color w:val="auto"/>
                <w:highlight w:val="none"/>
              </w:rPr>
            </w:pPr>
            <w:r>
              <w:rPr>
                <w:rFonts w:hint="eastAsia"/>
                <w:color w:val="auto"/>
                <w:highlight w:val="none"/>
                <w:lang w:val="en-US" w:eastAsia="zh-CN"/>
              </w:rPr>
              <w:t xml:space="preserve">提供项目合同复印件。未提供或提供的不符 </w:t>
            </w:r>
          </w:p>
          <w:p w14:paraId="659DE72A">
            <w:pPr>
              <w:widowControl/>
              <w:jc w:val="left"/>
              <w:rPr>
                <w:rFonts w:ascii="Calibri" w:hAnsi="Calibri"/>
                <w:szCs w:val="21"/>
                <w:highlight w:val="none"/>
              </w:rPr>
            </w:pPr>
            <w:r>
              <w:rPr>
                <w:rFonts w:hint="eastAsia"/>
                <w:color w:val="auto"/>
                <w:highlight w:val="none"/>
                <w:lang w:val="en-US" w:eastAsia="zh-CN"/>
              </w:rPr>
              <w:t>合或提供不清晰导致专家无法判断的均不得分</w:t>
            </w:r>
          </w:p>
        </w:tc>
      </w:tr>
    </w:tbl>
    <w:p w14:paraId="70347E02">
      <w:pPr>
        <w:rPr>
          <w:highlight w:val="none"/>
        </w:rPr>
      </w:pPr>
    </w:p>
    <w:p w14:paraId="5C09A3B0">
      <w:pPr>
        <w:pStyle w:val="8"/>
        <w:keepNext w:val="0"/>
        <w:keepLines w:val="0"/>
        <w:pageBreakBefore w:val="0"/>
        <w:widowControl w:val="0"/>
        <w:tabs>
          <w:tab w:val="left" w:pos="2138"/>
        </w:tabs>
        <w:kinsoku/>
        <w:wordWrap/>
        <w:overflowPunct/>
        <w:topLinePunct w:val="0"/>
        <w:autoSpaceDE/>
        <w:autoSpaceDN/>
        <w:bidi w:val="0"/>
        <w:adjustRightInd/>
        <w:spacing w:before="72" w:line="360" w:lineRule="auto"/>
        <w:textAlignment w:val="auto"/>
        <w:rPr>
          <w:color w:val="auto"/>
          <w:highlight w:val="none"/>
        </w:rPr>
      </w:pPr>
      <w:r>
        <w:rPr>
          <w:color w:val="auto"/>
          <w:highlight w:val="none"/>
        </w:rPr>
        <w:t xml:space="preserve">备注： </w:t>
      </w:r>
    </w:p>
    <w:p w14:paraId="7D4AFA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lang w:val="en-US" w:eastAsia="zh-CN"/>
        </w:rPr>
        <w:t>1.</w:t>
      </w:r>
      <w:r>
        <w:rPr>
          <w:color w:val="auto"/>
          <w:highlight w:val="none"/>
        </w:rPr>
        <w:t>每一项的得分均不能超过该项最高分值。</w:t>
      </w:r>
    </w:p>
    <w:p w14:paraId="0F0C5D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lang w:val="en-US" w:eastAsia="zh-CN"/>
        </w:rPr>
        <w:t>2.缺项</w:t>
      </w:r>
      <w:r>
        <w:rPr>
          <w:color w:val="auto"/>
          <w:highlight w:val="none"/>
        </w:rPr>
        <w:t xml:space="preserve">则该项为 0 分或不合格为 0 分。 </w:t>
      </w:r>
    </w:p>
    <w:p w14:paraId="072E19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color w:val="auto"/>
          <w:highlight w:val="none"/>
          <w:lang w:val="en-US" w:eastAsia="zh-CN"/>
        </w:rPr>
        <w:t>3.</w:t>
      </w:r>
      <w:r>
        <w:rPr>
          <w:color w:val="auto"/>
          <w:highlight w:val="none"/>
        </w:rPr>
        <w:t xml:space="preserve">客观评分项，所有评审专家应当统一打分分值；主观评分项，评审专家应当按照打分标准独立打分。 </w:t>
      </w:r>
    </w:p>
    <w:p w14:paraId="49B3C51B">
      <w:pPr>
        <w:rPr>
          <w:color w:val="auto"/>
          <w:highlight w:val="none"/>
        </w:rPr>
      </w:pPr>
    </w:p>
    <w:p w14:paraId="4F817302">
      <w:pPr>
        <w:topLinePunct/>
        <w:adjustRightInd w:val="0"/>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rPr>
        <w:t>以下空白。</w:t>
      </w:r>
    </w:p>
    <w:p w14:paraId="7BEECB1D">
      <w:pPr>
        <w:pStyle w:val="2"/>
        <w:rPr>
          <w:rFonts w:hint="eastAsia"/>
        </w:rPr>
      </w:pPr>
    </w:p>
    <w:p w14:paraId="5A80811A">
      <w:pPr>
        <w:pStyle w:val="2"/>
        <w:rPr>
          <w:rFonts w:hint="default"/>
          <w:color w:val="auto"/>
          <w:sz w:val="22"/>
          <w:szCs w:val="22"/>
          <w:highlight w:val="none"/>
          <w:lang w:val="en-US" w:eastAsia="zh-CN"/>
        </w:rPr>
      </w:pPr>
    </w:p>
    <w:p w14:paraId="43F3D2FC">
      <w:pPr>
        <w:topLinePunct/>
        <w:adjustRightInd w:val="0"/>
        <w:snapToGrid w:val="0"/>
        <w:spacing w:line="360" w:lineRule="auto"/>
        <w:ind w:firstLine="420" w:firstLineChars="200"/>
        <w:rPr>
          <w:rFonts w:hint="eastAsia" w:ascii="宋体" w:hAnsi="宋体" w:eastAsia="宋体" w:cs="宋体"/>
          <w:kern w:val="0"/>
          <w:szCs w:val="21"/>
          <w:highlight w:val="none"/>
        </w:rPr>
      </w:pPr>
    </w:p>
    <w:p w14:paraId="036AE64F">
      <w:pPr>
        <w:topLinePunct/>
        <w:adjustRightInd w:val="0"/>
        <w:snapToGrid w:val="0"/>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招   标   人：</w:t>
      </w:r>
      <w:r>
        <w:rPr>
          <w:rFonts w:hint="eastAsia" w:ascii="宋体" w:hAnsi="宋体" w:eastAsia="宋体" w:cs="宋体"/>
          <w:color w:val="auto"/>
          <w:szCs w:val="21"/>
          <w:highlight w:val="none"/>
          <w:u w:val="single"/>
          <w:lang w:val="en-US" w:eastAsia="zh-CN" w:bidi="ar"/>
        </w:rPr>
        <w:t>深圳市正阳投资开发有限公司</w:t>
      </w:r>
    </w:p>
    <w:p w14:paraId="7F86404C">
      <w:pPr>
        <w:topLinePunct/>
        <w:adjustRightInd w:val="0"/>
        <w:snapToGrid w:val="0"/>
        <w:spacing w:line="360" w:lineRule="auto"/>
        <w:rPr>
          <w:rFonts w:hint="eastAsia" w:ascii="宋体" w:hAnsi="宋体" w:eastAsia="宋体" w:cs="宋体"/>
          <w:color w:val="auto"/>
          <w:kern w:val="0"/>
          <w:szCs w:val="21"/>
          <w:highlight w:val="none"/>
        </w:rPr>
      </w:pPr>
    </w:p>
    <w:p w14:paraId="5B834C18">
      <w:pPr>
        <w:topLinePunct/>
        <w:adjustRightInd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编制日期：</w:t>
      </w:r>
      <w:r>
        <w:rPr>
          <w:rFonts w:hint="eastAsia" w:ascii="宋体" w:hAnsi="宋体" w:eastAsia="宋体" w:cs="宋体"/>
          <w:color w:val="auto"/>
          <w:szCs w:val="21"/>
          <w:highlight w:val="none"/>
          <w:u w:val="single"/>
          <w:lang w:bidi="ar"/>
        </w:rPr>
        <w:t xml:space="preserve">      </w:t>
      </w:r>
    </w:p>
    <w:p w14:paraId="71FA1C8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u w:val="none"/>
          <w:lang w:val="en-US" w:eastAsia="zh-CN"/>
        </w:rPr>
      </w:pPr>
    </w:p>
    <w:p w14:paraId="2F0BB96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u w:val="none"/>
          <w:lang w:val="en-US" w:eastAsia="zh-CN"/>
        </w:rPr>
      </w:pPr>
    </w:p>
    <w:p w14:paraId="0BD4DA4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u w:val="none"/>
          <w:lang w:val="en-US" w:eastAsia="zh-CN"/>
        </w:rPr>
      </w:pPr>
    </w:p>
    <w:p w14:paraId="16FF4DB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u w:val="none"/>
          <w:lang w:val="en-US" w:eastAsia="zh-CN"/>
        </w:rPr>
      </w:pPr>
    </w:p>
    <w:p w14:paraId="566024C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u w:val="none"/>
          <w:lang w:val="en-US" w:eastAsia="zh-CN"/>
        </w:rPr>
      </w:pPr>
    </w:p>
    <w:p w14:paraId="382A04A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u w:val="none"/>
          <w:lang w:val="en-US" w:eastAsia="zh-CN"/>
        </w:rPr>
      </w:pPr>
    </w:p>
    <w:p w14:paraId="08C8690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u w:val="none"/>
          <w:lang w:val="en-US" w:eastAsia="zh-CN"/>
        </w:rPr>
      </w:pPr>
    </w:p>
    <w:p w14:paraId="6D77E43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u w:val="none"/>
          <w:lang w:val="en-US" w:eastAsia="zh-CN"/>
        </w:rPr>
      </w:pPr>
    </w:p>
    <w:p w14:paraId="1A774F4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u w:val="none"/>
          <w:lang w:val="en-US" w:eastAsia="zh-CN"/>
        </w:rPr>
      </w:pPr>
    </w:p>
    <w:p w14:paraId="5BE997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附件2：</w:t>
      </w:r>
    </w:p>
    <w:p w14:paraId="43E538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u w:val="none"/>
          <w:lang w:val="en-US" w:eastAsia="zh-CN"/>
        </w:rPr>
      </w:pPr>
      <w:r>
        <w:rPr>
          <w:rFonts w:hint="eastAsia" w:ascii="方正小标宋简体" w:hAnsi="方正小标宋简体" w:eastAsia="方正小标宋简体" w:cs="方正小标宋简体"/>
          <w:sz w:val="32"/>
          <w:szCs w:val="32"/>
          <w:u w:val="none"/>
          <w:lang w:val="en-US" w:eastAsia="zh-CN"/>
        </w:rPr>
        <w:t>报价函</w:t>
      </w:r>
    </w:p>
    <w:p w14:paraId="4607C9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14:paraId="2AB3FC3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深圳市正阳投资开发有限公司：</w:t>
      </w:r>
    </w:p>
    <w:p w14:paraId="14DCDD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贵司询价函我司已收悉，决定参与报价，现就“</w:t>
      </w:r>
      <w:r>
        <w:rPr>
          <w:rFonts w:hint="eastAsia" w:ascii="仿宋_GB2312" w:hAnsi="仿宋_GB2312" w:eastAsia="仿宋_GB2312" w:cs="仿宋_GB2312"/>
          <w:b/>
          <w:bCs/>
          <w:kern w:val="2"/>
          <w:sz w:val="32"/>
          <w:szCs w:val="32"/>
          <w:highlight w:val="none"/>
          <w:u w:val="single"/>
          <w:lang w:val="en-US" w:eastAsia="zh-CN" w:bidi="ar-SA"/>
        </w:rPr>
        <w:t>深圳市罗湖区莲塘05-20保障房</w:t>
      </w:r>
      <w:r>
        <w:rPr>
          <w:rFonts w:hint="eastAsia" w:ascii="仿宋_GB2312" w:hAnsi="仿宋_GB2312" w:eastAsia="仿宋_GB2312" w:cs="仿宋_GB2312"/>
          <w:b/>
          <w:bCs/>
          <w:kern w:val="2"/>
          <w:sz w:val="32"/>
          <w:szCs w:val="32"/>
          <w:highlight w:val="none"/>
          <w:u w:val="single"/>
          <w:lang w:val="en-US" w:eastAsia="zh-CN"/>
        </w:rPr>
        <w:t>保洁绿化、四害消杀</w:t>
      </w:r>
      <w:r>
        <w:rPr>
          <w:rFonts w:hint="eastAsia" w:ascii="仿宋_GB2312" w:hAnsi="仿宋_GB2312" w:eastAsia="仿宋_GB2312" w:cs="仿宋_GB2312"/>
          <w:b/>
          <w:bCs/>
          <w:kern w:val="2"/>
          <w:sz w:val="32"/>
          <w:szCs w:val="32"/>
          <w:highlight w:val="none"/>
          <w:u w:val="single"/>
          <w:lang w:val="en-US" w:eastAsia="zh-CN" w:bidi="ar-SA"/>
        </w:rPr>
        <w:t>服务项目</w:t>
      </w:r>
      <w:r>
        <w:rPr>
          <w:rFonts w:hint="eastAsia" w:ascii="仿宋_GB2312" w:hAnsi="仿宋_GB2312" w:eastAsia="仿宋_GB2312" w:cs="仿宋_GB2312"/>
          <w:sz w:val="32"/>
          <w:szCs w:val="32"/>
          <w:u w:val="none"/>
          <w:lang w:val="en-US" w:eastAsia="zh-CN"/>
        </w:rPr>
        <w:t>”报价如下：</w:t>
      </w:r>
    </w:p>
    <w:p w14:paraId="30C3E8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一、我方愿意按照询价函规定的各项要求，向贵司提供相应服务，本次服务报价为XX元，总价为人民币XX元（含</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%增值税价），</w:t>
      </w:r>
      <w:r>
        <w:rPr>
          <w:rFonts w:hint="eastAsia" w:ascii="仿宋_GB2312" w:hAnsi="仿宋_GB2312" w:eastAsia="仿宋_GB2312" w:cs="仿宋_GB2312"/>
          <w:sz w:val="32"/>
          <w:szCs w:val="32"/>
          <w:highlight w:val="yellow"/>
          <w:u w:val="none"/>
          <w:lang w:val="en-US" w:eastAsia="zh-CN"/>
        </w:rPr>
        <w:t>该报价包含</w:t>
      </w:r>
      <w:r>
        <w:rPr>
          <w:rFonts w:hint="eastAsia" w:ascii="仿宋_GB2312" w:hAnsi="仿宋_GB2312" w:eastAsia="仿宋_GB2312" w:cs="仿宋_GB2312"/>
          <w:kern w:val="2"/>
          <w:sz w:val="32"/>
          <w:szCs w:val="32"/>
          <w:highlight w:val="yellow"/>
          <w:u w:val="none"/>
          <w:lang w:val="en-US" w:eastAsia="zh-CN" w:bidi="ar-SA"/>
        </w:rPr>
        <w:t>人工费</w:t>
      </w:r>
      <w:r>
        <w:rPr>
          <w:rFonts w:hint="eastAsia" w:ascii="仿宋_GB2312" w:hAnsi="仿宋_GB2312" w:eastAsia="仿宋_GB2312" w:cs="仿宋_GB2312"/>
          <w:sz w:val="32"/>
          <w:szCs w:val="32"/>
          <w:highlight w:val="yellow"/>
          <w:u w:val="none"/>
          <w:lang w:val="en-US" w:eastAsia="zh-CN"/>
        </w:rPr>
        <w:t>、工具采购、材料损耗、垃圾清运、</w:t>
      </w:r>
      <w:r>
        <w:rPr>
          <w:rFonts w:hint="eastAsia" w:ascii="仿宋_GB2312" w:hAnsi="仿宋_GB2312" w:eastAsia="仿宋_GB2312" w:cs="仿宋_GB2312"/>
          <w:sz w:val="32"/>
          <w:szCs w:val="32"/>
          <w:u w:val="none"/>
          <w:lang w:val="en-US" w:eastAsia="zh-CN"/>
        </w:rPr>
        <w:t>税费等为完成“第五项采购内容”约定工作的一切费用；</w:t>
      </w:r>
    </w:p>
    <w:p w14:paraId="0DF98C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二、一旦我方中标，双方合同签字生效后，我方将严格履行合同规定的职责和义务，保证按照合同要求贵司要求提供服务。</w:t>
      </w:r>
    </w:p>
    <w:p w14:paraId="26FF6E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三、我方为本项目提交的报价文件一式两份，具备同等效力。</w:t>
      </w:r>
    </w:p>
    <w:p w14:paraId="327DD4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四、我方提供给贵单位的与本项目采购有关的文件资料，保证文件资料的真实性和准确性。</w:t>
      </w:r>
    </w:p>
    <w:p w14:paraId="2C9DB3E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u w:val="none"/>
          <w:lang w:val="en-US" w:eastAsia="zh-CN"/>
        </w:rPr>
      </w:pPr>
    </w:p>
    <w:p w14:paraId="1BED48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报价人名称（公章）：</w:t>
      </w:r>
    </w:p>
    <w:p w14:paraId="0814B6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法定代表人或委托代理人签名：</w:t>
      </w:r>
    </w:p>
    <w:p w14:paraId="2AC9BB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p>
    <w:p w14:paraId="240741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通讯地址：  </w:t>
      </w:r>
    </w:p>
    <w:p w14:paraId="69A94A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联系人及联系方式：</w:t>
      </w:r>
    </w:p>
    <w:p w14:paraId="4A5CA629">
      <w:pPr>
        <w:pStyle w:val="2"/>
        <w:rPr>
          <w:rFonts w:hint="eastAsia" w:ascii="仿宋_GB2312" w:hAnsi="仿宋_GB2312" w:eastAsia="仿宋_GB2312" w:cs="仿宋_GB2312"/>
          <w:sz w:val="30"/>
          <w:szCs w:val="30"/>
          <w:u w:val="none"/>
          <w:lang w:val="en-US" w:eastAsia="zh-CN"/>
        </w:rPr>
      </w:pPr>
    </w:p>
    <w:p w14:paraId="5875F0DB">
      <w:pPr>
        <w:spacing w:line="300" w:lineRule="auto"/>
        <w:jc w:val="both"/>
        <w:rPr>
          <w:rFonts w:hint="eastAsia" w:ascii="仿宋" w:hAnsi="仿宋" w:eastAsia="仿宋" w:cs="仿宋"/>
          <w:sz w:val="32"/>
          <w:szCs w:val="40"/>
          <w:highlight w:val="none"/>
        </w:rPr>
      </w:pPr>
    </w:p>
    <w:p w14:paraId="20B55A36">
      <w:pPr>
        <w:spacing w:line="300" w:lineRule="auto"/>
        <w:jc w:val="both"/>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rPr>
        <w:t>附件</w:t>
      </w:r>
      <w:r>
        <w:rPr>
          <w:rFonts w:hint="eastAsia" w:ascii="仿宋" w:hAnsi="仿宋" w:eastAsia="仿宋" w:cs="仿宋"/>
          <w:sz w:val="32"/>
          <w:szCs w:val="40"/>
          <w:highlight w:val="none"/>
          <w:lang w:val="en-US" w:eastAsia="zh-CN"/>
        </w:rPr>
        <w:t>3</w:t>
      </w:r>
      <w:r>
        <w:rPr>
          <w:rFonts w:hint="eastAsia" w:ascii="仿宋" w:hAnsi="仿宋" w:eastAsia="仿宋" w:cs="仿宋"/>
          <w:sz w:val="32"/>
          <w:szCs w:val="40"/>
          <w:highlight w:val="none"/>
        </w:rPr>
        <w:t>：</w:t>
      </w:r>
      <w:r>
        <w:rPr>
          <w:rFonts w:hint="eastAsia" w:ascii="仿宋" w:hAnsi="仿宋" w:eastAsia="仿宋" w:cs="仿宋"/>
          <w:sz w:val="32"/>
          <w:szCs w:val="40"/>
          <w:highlight w:val="none"/>
          <w:lang w:val="en-US" w:eastAsia="zh-CN"/>
        </w:rPr>
        <w:t xml:space="preserve"> </w:t>
      </w:r>
    </w:p>
    <w:p w14:paraId="63B879DC">
      <w:pPr>
        <w:spacing w:line="300" w:lineRule="auto"/>
        <w:jc w:val="center"/>
        <w:rPr>
          <w:bCs/>
          <w:color w:val="000000"/>
          <w:sz w:val="32"/>
          <w:szCs w:val="32"/>
        </w:rPr>
      </w:pPr>
      <w:r>
        <w:rPr>
          <w:rFonts w:hint="eastAsia"/>
          <w:bCs/>
          <w:color w:val="000000"/>
          <w:sz w:val="32"/>
          <w:szCs w:val="32"/>
          <w:lang w:val="en-US" w:eastAsia="zh-CN"/>
        </w:rPr>
        <w:t>征信</w:t>
      </w:r>
      <w:r>
        <w:rPr>
          <w:rFonts w:hint="eastAsia"/>
          <w:bCs/>
          <w:color w:val="000000"/>
          <w:sz w:val="32"/>
          <w:szCs w:val="32"/>
        </w:rPr>
        <w:t>承诺书</w:t>
      </w:r>
    </w:p>
    <w:p w14:paraId="676595BC">
      <w:pPr>
        <w:wordWrap w:val="0"/>
        <w:jc w:val="left"/>
        <w:rPr>
          <w:color w:val="000000"/>
        </w:rPr>
      </w:pPr>
    </w:p>
    <w:p w14:paraId="32261343">
      <w:pPr>
        <w:wordWrap w:val="0"/>
        <w:jc w:val="left"/>
        <w:rPr>
          <w:color w:val="000000"/>
        </w:rPr>
      </w:pPr>
      <w:r>
        <w:rPr>
          <w:rFonts w:hint="eastAsia"/>
          <w:color w:val="000000"/>
        </w:rPr>
        <w:t>项目名称：</w:t>
      </w:r>
      <w:r>
        <w:rPr>
          <w:rFonts w:hint="eastAsia"/>
          <w:color w:val="000000"/>
          <w:szCs w:val="21"/>
          <w:u w:val="single"/>
        </w:rPr>
        <w:t xml:space="preserve">                        </w:t>
      </w:r>
      <w:r>
        <w:rPr>
          <w:rFonts w:hint="eastAsia"/>
          <w:color w:val="000000"/>
        </w:rPr>
        <w:t>项目编号：</w:t>
      </w:r>
      <w:r>
        <w:rPr>
          <w:rFonts w:hint="eastAsia"/>
          <w:color w:val="000000"/>
          <w:szCs w:val="21"/>
          <w:u w:val="single"/>
        </w:rPr>
        <w:t xml:space="preserve">                        </w:t>
      </w:r>
    </w:p>
    <w:p w14:paraId="7A623B53">
      <w:pPr>
        <w:rPr>
          <w:b/>
          <w:color w:val="000000"/>
        </w:rPr>
      </w:pPr>
      <w:r>
        <w:rPr>
          <w:rFonts w:hint="eastAsia"/>
          <w:b/>
          <w:color w:val="000000"/>
        </w:rPr>
        <w:t>主要内容应包括但不限于以下内容：</w:t>
      </w:r>
    </w:p>
    <w:p w14:paraId="38F813EA">
      <w:pPr>
        <w:ind w:left="-2" w:leftChars="-1" w:firstLine="426" w:firstLineChars="203"/>
        <w:rPr>
          <w:bCs/>
          <w:color w:val="000000"/>
          <w:szCs w:val="21"/>
          <w:lang w:val="en-GB"/>
        </w:rPr>
      </w:pPr>
      <w:r>
        <w:rPr>
          <w:rFonts w:hint="eastAsia"/>
          <w:bCs/>
          <w:color w:val="000000"/>
          <w:szCs w:val="21"/>
          <w:lang w:val="en-GB"/>
        </w:rPr>
        <w:t>（一）被纪检监察部门立案调查，违法违规事实成立的；</w:t>
      </w:r>
    </w:p>
    <w:p w14:paraId="4030C399">
      <w:pPr>
        <w:ind w:left="-2" w:leftChars="-1" w:firstLine="426" w:firstLineChars="203"/>
        <w:rPr>
          <w:bCs/>
          <w:color w:val="000000"/>
          <w:szCs w:val="21"/>
          <w:lang w:val="en-GB"/>
        </w:rPr>
      </w:pPr>
      <w:r>
        <w:rPr>
          <w:rFonts w:hint="eastAsia"/>
          <w:bCs/>
          <w:color w:val="000000"/>
          <w:szCs w:val="21"/>
          <w:lang w:val="en-GB"/>
        </w:rPr>
        <w:t>（二）未按规定签订、履行</w:t>
      </w:r>
      <w:r>
        <w:rPr>
          <w:rFonts w:hint="eastAsia"/>
          <w:bCs/>
          <w:color w:val="000000"/>
          <w:szCs w:val="21"/>
          <w:lang w:val="en-GB" w:eastAsia="zh-CN"/>
        </w:rPr>
        <w:t>招标</w:t>
      </w:r>
      <w:r>
        <w:rPr>
          <w:rFonts w:hint="eastAsia"/>
          <w:bCs/>
          <w:color w:val="000000"/>
          <w:szCs w:val="21"/>
          <w:lang w:val="en-GB"/>
        </w:rPr>
        <w:t>合同，造成严重后果的；</w:t>
      </w:r>
    </w:p>
    <w:p w14:paraId="11032A96">
      <w:pPr>
        <w:ind w:left="-2" w:leftChars="-1" w:firstLine="426" w:firstLineChars="203"/>
        <w:rPr>
          <w:bCs/>
          <w:color w:val="000000"/>
          <w:szCs w:val="21"/>
          <w:lang w:val="en-GB"/>
        </w:rPr>
      </w:pPr>
      <w:r>
        <w:rPr>
          <w:rFonts w:hint="eastAsia"/>
          <w:bCs/>
          <w:color w:val="000000"/>
          <w:szCs w:val="21"/>
          <w:lang w:val="en-GB"/>
        </w:rPr>
        <w:t>（三）隐瞒真实情况，提供虚假资料的；</w:t>
      </w:r>
    </w:p>
    <w:p w14:paraId="3AD043A4">
      <w:pPr>
        <w:ind w:left="-2" w:leftChars="-1" w:firstLine="426" w:firstLineChars="203"/>
        <w:rPr>
          <w:bCs/>
          <w:color w:val="000000"/>
          <w:szCs w:val="21"/>
          <w:lang w:val="en-GB"/>
        </w:rPr>
      </w:pPr>
      <w:r>
        <w:rPr>
          <w:rFonts w:hint="eastAsia"/>
          <w:bCs/>
          <w:color w:val="000000"/>
          <w:szCs w:val="21"/>
          <w:lang w:val="en-GB"/>
        </w:rPr>
        <w:t>（四）以非法手段排斥其他供应商参与竞争的；</w:t>
      </w:r>
    </w:p>
    <w:p w14:paraId="248D25A8">
      <w:pPr>
        <w:ind w:left="-2" w:leftChars="-1" w:firstLine="426" w:firstLineChars="203"/>
        <w:rPr>
          <w:bCs/>
          <w:color w:val="000000"/>
          <w:szCs w:val="21"/>
          <w:lang w:val="en-GB"/>
        </w:rPr>
      </w:pPr>
      <w:r>
        <w:rPr>
          <w:rFonts w:hint="eastAsia"/>
          <w:bCs/>
          <w:color w:val="000000"/>
          <w:szCs w:val="21"/>
          <w:lang w:val="en-GB"/>
        </w:rPr>
        <w:t>（五）与其他</w:t>
      </w:r>
      <w:r>
        <w:rPr>
          <w:rFonts w:hint="eastAsia"/>
          <w:bCs/>
          <w:color w:val="000000"/>
          <w:szCs w:val="21"/>
          <w:lang w:val="en-GB" w:eastAsia="zh-CN"/>
        </w:rPr>
        <w:t>招标</w:t>
      </w:r>
      <w:r>
        <w:rPr>
          <w:rFonts w:hint="eastAsia"/>
          <w:bCs/>
          <w:color w:val="000000"/>
          <w:szCs w:val="21"/>
          <w:lang w:val="en-GB"/>
        </w:rPr>
        <w:t>参加人串通投标的；</w:t>
      </w:r>
    </w:p>
    <w:p w14:paraId="741E8801">
      <w:pPr>
        <w:ind w:left="-2" w:leftChars="-1" w:firstLine="426" w:firstLineChars="203"/>
        <w:rPr>
          <w:bCs/>
          <w:color w:val="000000"/>
          <w:szCs w:val="21"/>
          <w:lang w:val="en-GB"/>
        </w:rPr>
      </w:pPr>
      <w:r>
        <w:rPr>
          <w:rFonts w:hint="eastAsia"/>
          <w:bCs/>
          <w:color w:val="000000"/>
          <w:szCs w:val="21"/>
          <w:lang w:val="en-GB"/>
        </w:rPr>
        <w:t>（六）在</w:t>
      </w:r>
      <w:r>
        <w:rPr>
          <w:rFonts w:hint="eastAsia"/>
          <w:bCs/>
          <w:color w:val="000000"/>
          <w:szCs w:val="21"/>
          <w:lang w:val="en-GB" w:eastAsia="zh-CN"/>
        </w:rPr>
        <w:t>招标</w:t>
      </w:r>
      <w:r>
        <w:rPr>
          <w:rFonts w:hint="eastAsia"/>
          <w:bCs/>
          <w:color w:val="000000"/>
          <w:szCs w:val="21"/>
          <w:lang w:val="en-GB"/>
        </w:rPr>
        <w:t>活动中应当回避而未回避的；</w:t>
      </w:r>
    </w:p>
    <w:p w14:paraId="3C89136F">
      <w:pPr>
        <w:ind w:left="-2" w:leftChars="-1" w:firstLine="426" w:firstLineChars="203"/>
        <w:rPr>
          <w:bCs/>
          <w:color w:val="000000"/>
          <w:szCs w:val="21"/>
          <w:lang w:val="en-GB"/>
        </w:rPr>
      </w:pPr>
      <w:r>
        <w:rPr>
          <w:rFonts w:hint="eastAsia"/>
          <w:bCs/>
          <w:color w:val="000000"/>
          <w:szCs w:val="21"/>
          <w:lang w:val="en-GB"/>
        </w:rPr>
        <w:t>（七）恶意投诉的；</w:t>
      </w:r>
    </w:p>
    <w:p w14:paraId="2D43C3A6">
      <w:pPr>
        <w:ind w:left="-2" w:leftChars="-1" w:firstLine="426" w:firstLineChars="203"/>
        <w:rPr>
          <w:bCs/>
          <w:color w:val="000000"/>
          <w:szCs w:val="21"/>
          <w:lang w:val="en-GB"/>
        </w:rPr>
      </w:pPr>
      <w:r>
        <w:rPr>
          <w:rFonts w:hint="eastAsia"/>
          <w:bCs/>
          <w:color w:val="000000"/>
          <w:szCs w:val="21"/>
          <w:lang w:val="en-GB"/>
        </w:rPr>
        <w:t>（八）向</w:t>
      </w:r>
      <w:r>
        <w:rPr>
          <w:rFonts w:hint="eastAsia"/>
          <w:bCs/>
          <w:color w:val="000000"/>
          <w:szCs w:val="21"/>
          <w:lang w:val="en-GB" w:eastAsia="zh-CN"/>
        </w:rPr>
        <w:t>招标</w:t>
      </w:r>
      <w:r>
        <w:rPr>
          <w:rFonts w:hint="eastAsia"/>
          <w:bCs/>
          <w:color w:val="000000"/>
          <w:szCs w:val="21"/>
          <w:lang w:val="en-GB"/>
        </w:rPr>
        <w:t>项目相关人行贿或者提供其他不当利益的；</w:t>
      </w:r>
    </w:p>
    <w:p w14:paraId="73A2708D">
      <w:pPr>
        <w:ind w:left="-2" w:leftChars="-1" w:firstLine="426" w:firstLineChars="203"/>
        <w:rPr>
          <w:bCs/>
          <w:color w:val="000000"/>
          <w:szCs w:val="21"/>
          <w:lang w:val="en-GB"/>
        </w:rPr>
      </w:pPr>
      <w:r>
        <w:rPr>
          <w:rFonts w:hint="eastAsia"/>
          <w:bCs/>
          <w:color w:val="000000"/>
          <w:szCs w:val="21"/>
          <w:lang w:val="en-GB"/>
        </w:rPr>
        <w:t>（九）阻碍、抗拒主管部门监督检查的；</w:t>
      </w:r>
    </w:p>
    <w:p w14:paraId="5C2A70FD">
      <w:pPr>
        <w:ind w:left="-2" w:leftChars="-1" w:firstLine="426" w:firstLineChars="203"/>
        <w:rPr>
          <w:bCs/>
          <w:color w:val="000000"/>
          <w:szCs w:val="21"/>
          <w:lang w:val="en-GB"/>
        </w:rPr>
      </w:pPr>
      <w:r>
        <w:rPr>
          <w:rFonts w:hint="eastAsia"/>
          <w:bCs/>
          <w:color w:val="000000"/>
          <w:szCs w:val="21"/>
          <w:lang w:val="en-GB"/>
        </w:rPr>
        <w:t>（十）履约检查不及格或评价为差的；</w:t>
      </w:r>
    </w:p>
    <w:p w14:paraId="751F588A">
      <w:pPr>
        <w:ind w:left="-2" w:leftChars="-1" w:firstLine="426" w:firstLineChars="203"/>
        <w:rPr>
          <w:bCs/>
          <w:color w:val="000000"/>
          <w:szCs w:val="21"/>
          <w:lang w:val="en-GB"/>
        </w:rPr>
      </w:pPr>
      <w:r>
        <w:rPr>
          <w:rFonts w:hint="eastAsia"/>
          <w:bCs/>
          <w:color w:val="000000"/>
          <w:szCs w:val="21"/>
          <w:lang w:val="en-GB"/>
        </w:rPr>
        <w:t>（十一）主管部门认定的其他情形。</w:t>
      </w:r>
    </w:p>
    <w:p w14:paraId="0FEF39E6">
      <w:pPr>
        <w:ind w:left="-2" w:leftChars="-1" w:firstLine="420" w:firstLineChars="200"/>
        <w:rPr>
          <w:bCs/>
          <w:color w:val="000000"/>
          <w:szCs w:val="21"/>
          <w:lang w:val="en-GB"/>
        </w:rPr>
      </w:pPr>
      <w:r>
        <w:rPr>
          <w:rFonts w:hint="eastAsia"/>
          <w:bCs/>
          <w:color w:val="000000"/>
          <w:szCs w:val="21"/>
          <w:lang w:val="en-GB"/>
        </w:rPr>
        <w:t>如我司在</w:t>
      </w:r>
      <w:r>
        <w:rPr>
          <w:rFonts w:hint="eastAsia"/>
          <w:bCs/>
          <w:color w:val="000000"/>
          <w:szCs w:val="21"/>
          <w:lang w:val="en-US" w:eastAsia="zh-CN"/>
        </w:rPr>
        <w:t>公告</w:t>
      </w:r>
      <w:r>
        <w:rPr>
          <w:rFonts w:hint="eastAsia"/>
          <w:bCs/>
          <w:color w:val="000000"/>
          <w:szCs w:val="21"/>
          <w:lang w:val="en-GB"/>
        </w:rPr>
        <w:t>日前三年内存在上述行为超出法定追诉时效未被追诉、或者上述情节轻微未给予禁止参加</w:t>
      </w:r>
      <w:r>
        <w:rPr>
          <w:rFonts w:hint="eastAsia"/>
          <w:bCs/>
          <w:color w:val="000000"/>
          <w:szCs w:val="21"/>
          <w:lang w:val="en-GB" w:eastAsia="zh-CN"/>
        </w:rPr>
        <w:t>招标</w:t>
      </w:r>
      <w:r>
        <w:rPr>
          <w:rFonts w:hint="eastAsia"/>
          <w:bCs/>
          <w:color w:val="000000"/>
          <w:szCs w:val="21"/>
          <w:lang w:val="en-GB"/>
        </w:rPr>
        <w:t>活动的行政处罚，我司自愿承担虚假应标以及其他一切不利的法律后果。</w:t>
      </w:r>
    </w:p>
    <w:p w14:paraId="6090DB33">
      <w:pPr>
        <w:ind w:left="-2" w:leftChars="-1" w:firstLine="420" w:firstLineChars="200"/>
        <w:rPr>
          <w:rFonts w:hint="default"/>
          <w:bCs/>
          <w:color w:val="000000"/>
          <w:szCs w:val="21"/>
          <w:lang w:val="en-US" w:eastAsia="zh-CN"/>
        </w:rPr>
      </w:pPr>
      <w:r>
        <w:rPr>
          <w:rFonts w:hint="eastAsia"/>
          <w:bCs/>
          <w:color w:val="000000"/>
          <w:szCs w:val="21"/>
          <w:lang w:val="en-US" w:eastAsia="zh-CN"/>
        </w:rPr>
        <w:t>同时我司承诺在招采活动中及后续合同签订、合同执行过程中，如采购单位在征信网站或相关平台查到我司三年内存在征信问题，我司愿接受采购人的取消中标资格、终止项目合同等一切与本项目相关的处罚，并承担法律责任。</w:t>
      </w:r>
    </w:p>
    <w:p w14:paraId="35F67F32">
      <w:pPr>
        <w:pStyle w:val="2"/>
        <w:rPr>
          <w:rFonts w:hint="eastAsia"/>
          <w:color w:val="000000"/>
          <w:spacing w:val="4"/>
          <w:u w:val="single"/>
          <w:lang w:val="en-US" w:eastAsia="zh-CN"/>
        </w:rPr>
      </w:pPr>
    </w:p>
    <w:p w14:paraId="1A3C003F">
      <w:pPr>
        <w:pStyle w:val="2"/>
        <w:rPr>
          <w:rFonts w:hint="eastAsia"/>
          <w:color w:val="000000"/>
          <w:spacing w:val="4"/>
          <w:u w:val="single"/>
          <w:lang w:val="en-US" w:eastAsia="zh-CN"/>
        </w:rPr>
      </w:pPr>
    </w:p>
    <w:p w14:paraId="2AACF593">
      <w:pPr>
        <w:pStyle w:val="2"/>
        <w:rPr>
          <w:rFonts w:hint="eastAsia"/>
          <w:color w:val="000000"/>
          <w:spacing w:val="4"/>
          <w:u w:val="single"/>
          <w:lang w:val="en-US" w:eastAsia="zh-CN"/>
        </w:rPr>
      </w:pPr>
    </w:p>
    <w:p w14:paraId="354DA9AC">
      <w:pPr>
        <w:pStyle w:val="2"/>
        <w:rPr>
          <w:rFonts w:hint="default"/>
          <w:color w:val="000000"/>
          <w:spacing w:val="4"/>
          <w:u w:val="single"/>
          <w:lang w:val="en-US" w:eastAsia="zh-CN"/>
        </w:rPr>
      </w:pPr>
    </w:p>
    <w:p w14:paraId="59D0BCA5">
      <w:pPr>
        <w:ind w:firstLine="420"/>
        <w:rPr>
          <w:color w:val="000000"/>
          <w:u w:val="single"/>
        </w:rPr>
      </w:pPr>
      <w:r>
        <w:rPr>
          <w:rFonts w:hint="eastAsia"/>
          <w:color w:val="000000"/>
          <w:lang w:val="en-US" w:eastAsia="zh-CN"/>
        </w:rPr>
        <w:t>承诺</w:t>
      </w:r>
      <w:r>
        <w:rPr>
          <w:rFonts w:hint="eastAsia"/>
          <w:color w:val="000000"/>
        </w:rPr>
        <w:t>单位名称：</w:t>
      </w:r>
      <w:r>
        <w:rPr>
          <w:rFonts w:hint="eastAsia"/>
          <w:color w:val="000000"/>
          <w:szCs w:val="21"/>
          <w:u w:val="single"/>
        </w:rPr>
        <w:t xml:space="preserve">                        </w:t>
      </w:r>
    </w:p>
    <w:p w14:paraId="746ACBAA">
      <w:pPr>
        <w:ind w:firstLine="420"/>
        <w:rPr>
          <w:color w:val="000000"/>
          <w:u w:val="single"/>
        </w:rPr>
      </w:pPr>
      <w:r>
        <w:rPr>
          <w:rFonts w:hint="eastAsia"/>
          <w:color w:val="000000"/>
        </w:rPr>
        <w:t>法定代表人或投标人授权代表（签名或盖章）：</w:t>
      </w:r>
      <w:r>
        <w:rPr>
          <w:rFonts w:hint="eastAsia"/>
          <w:color w:val="000000"/>
          <w:szCs w:val="21"/>
          <w:u w:val="single"/>
        </w:rPr>
        <w:t xml:space="preserve">                        </w:t>
      </w:r>
    </w:p>
    <w:p w14:paraId="243C6AC3">
      <w:pPr>
        <w:ind w:firstLine="420"/>
        <w:rPr>
          <w:color w:val="000000"/>
          <w:u w:val="single"/>
        </w:rPr>
      </w:pPr>
      <w:r>
        <w:rPr>
          <w:rFonts w:hint="eastAsia"/>
          <w:color w:val="000000"/>
        </w:rPr>
        <w:t>单位地址：</w:t>
      </w:r>
      <w:r>
        <w:rPr>
          <w:rFonts w:hint="eastAsia"/>
          <w:color w:val="000000"/>
          <w:szCs w:val="21"/>
          <w:u w:val="single"/>
        </w:rPr>
        <w:t xml:space="preserve">                        </w:t>
      </w:r>
    </w:p>
    <w:p w14:paraId="302514F2">
      <w:pPr>
        <w:ind w:firstLine="420"/>
        <w:rPr>
          <w:color w:val="000000"/>
          <w:u w:val="single"/>
        </w:rPr>
      </w:pPr>
      <w:r>
        <w:rPr>
          <w:rFonts w:hint="eastAsia"/>
          <w:color w:val="000000"/>
        </w:rPr>
        <w:t>单位公章：</w:t>
      </w:r>
      <w:r>
        <w:rPr>
          <w:rFonts w:hint="eastAsia"/>
          <w:color w:val="000000"/>
          <w:szCs w:val="21"/>
          <w:u w:val="single"/>
        </w:rPr>
        <w:t xml:space="preserve">                        </w:t>
      </w:r>
    </w:p>
    <w:p w14:paraId="1B07D8C3">
      <w:pPr>
        <w:ind w:firstLine="420"/>
        <w:rPr>
          <w:color w:val="000000"/>
          <w:u w:val="single"/>
        </w:rPr>
      </w:pPr>
      <w:r>
        <w:rPr>
          <w:rFonts w:hint="eastAsia"/>
          <w:color w:val="000000"/>
        </w:rPr>
        <w:t>邮政编码：</w:t>
      </w:r>
      <w:r>
        <w:rPr>
          <w:rFonts w:hint="eastAsia"/>
          <w:color w:val="000000"/>
          <w:szCs w:val="21"/>
          <w:u w:val="single"/>
        </w:rPr>
        <w:t xml:space="preserve">                        </w:t>
      </w:r>
      <w:r>
        <w:rPr>
          <w:rFonts w:hint="eastAsia"/>
          <w:color w:val="000000"/>
        </w:rPr>
        <w:t>日期：</w:t>
      </w:r>
      <w:r>
        <w:rPr>
          <w:rFonts w:hint="eastAsia"/>
          <w:color w:val="000000"/>
          <w:szCs w:val="21"/>
          <w:u w:val="single"/>
        </w:rPr>
        <w:t xml:space="preserve">                        </w:t>
      </w:r>
    </w:p>
    <w:p w14:paraId="53E7BA49">
      <w:pPr>
        <w:ind w:firstLine="420"/>
        <w:rPr>
          <w:rFonts w:hint="eastAsia"/>
          <w:color w:val="000000"/>
          <w:szCs w:val="21"/>
          <w:u w:val="single"/>
        </w:rPr>
      </w:pPr>
      <w:r>
        <w:rPr>
          <w:rFonts w:hint="eastAsia"/>
          <w:color w:val="000000"/>
        </w:rPr>
        <w:t>联系电话：</w:t>
      </w:r>
      <w:r>
        <w:rPr>
          <w:rFonts w:hint="eastAsia"/>
          <w:color w:val="000000"/>
          <w:szCs w:val="21"/>
          <w:u w:val="single"/>
        </w:rPr>
        <w:t xml:space="preserve">                        </w:t>
      </w:r>
    </w:p>
    <w:p w14:paraId="4107D0D7"/>
    <w:p w14:paraId="555F3AA1">
      <w:pPr>
        <w:jc w:val="both"/>
        <w:rPr>
          <w:rFonts w:hint="eastAsia" w:ascii="仿宋" w:hAnsi="仿宋" w:eastAsia="仿宋" w:cs="仿宋"/>
          <w:sz w:val="32"/>
          <w:szCs w:val="40"/>
          <w:highlight w:val="none"/>
          <w:lang w:val="en-US" w:eastAsia="zh-CN"/>
        </w:rPr>
      </w:pPr>
    </w:p>
    <w:p w14:paraId="6E32F9F5">
      <w:pPr>
        <w:jc w:val="both"/>
        <w:rPr>
          <w:rFonts w:hint="eastAsia" w:ascii="仿宋" w:hAnsi="仿宋" w:eastAsia="仿宋" w:cs="仿宋"/>
          <w:sz w:val="32"/>
          <w:szCs w:val="40"/>
          <w:highlight w:val="none"/>
          <w:lang w:val="en-US" w:eastAsia="zh-CN"/>
        </w:rPr>
      </w:pPr>
    </w:p>
    <w:p w14:paraId="711E891F">
      <w:pPr>
        <w:jc w:val="both"/>
        <w:rPr>
          <w:rFonts w:hint="eastAsia" w:ascii="仿宋" w:hAnsi="仿宋" w:eastAsia="仿宋" w:cs="仿宋"/>
          <w:sz w:val="32"/>
          <w:szCs w:val="40"/>
          <w:highlight w:val="none"/>
          <w:lang w:val="en-US" w:eastAsia="zh-CN"/>
        </w:rPr>
      </w:pPr>
    </w:p>
    <w:p w14:paraId="48EB7DC4">
      <w:pPr>
        <w:jc w:val="both"/>
        <w:rPr>
          <w:rFonts w:hint="eastAsia" w:ascii="仿宋" w:hAnsi="仿宋" w:eastAsia="仿宋" w:cs="仿宋"/>
          <w:sz w:val="32"/>
          <w:szCs w:val="40"/>
          <w:highlight w:val="none"/>
          <w:lang w:val="en-US" w:eastAsia="zh-CN"/>
        </w:rPr>
      </w:pPr>
    </w:p>
    <w:p w14:paraId="60641E68">
      <w:pPr>
        <w:jc w:val="both"/>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附件4：</w:t>
      </w:r>
      <w:r>
        <w:rPr>
          <w:rFonts w:hint="eastAsia" w:ascii="仿宋" w:hAnsi="仿宋" w:eastAsia="仿宋" w:cs="仿宋"/>
          <w:b/>
          <w:bCs/>
          <w:sz w:val="32"/>
          <w:szCs w:val="40"/>
          <w:highlight w:val="none"/>
          <w:lang w:val="en-US" w:eastAsia="zh-CN"/>
        </w:rPr>
        <w:t>总公司对分公司的授权函(固定格式)(总公司投标的无需提交)</w:t>
      </w:r>
    </w:p>
    <w:p w14:paraId="2A07B1D3">
      <w:pPr>
        <w:jc w:val="center"/>
        <w:rPr>
          <w:rFonts w:hint="eastAsia"/>
          <w:sz w:val="52"/>
          <w:szCs w:val="52"/>
          <w:lang w:val="en-US" w:eastAsia="zh-CN"/>
        </w:rPr>
      </w:pPr>
      <w:r>
        <w:rPr>
          <w:rFonts w:hint="eastAsia"/>
          <w:sz w:val="52"/>
          <w:szCs w:val="52"/>
          <w:lang w:val="en-US" w:eastAsia="zh-CN"/>
        </w:rPr>
        <w:t>总公司对分公司的授权函</w:t>
      </w:r>
    </w:p>
    <w:p w14:paraId="6D9B63E0">
      <w:pPr>
        <w:jc w:val="center"/>
        <w:rPr>
          <w:rFonts w:hint="eastAsia"/>
          <w:sz w:val="52"/>
          <w:szCs w:val="52"/>
          <w:lang w:val="en-US" w:eastAsia="zh-CN"/>
        </w:rPr>
      </w:pPr>
    </w:p>
    <w:p w14:paraId="5B8F488D">
      <w:pPr>
        <w:jc w:val="both"/>
        <w:rPr>
          <w:rFonts w:hint="eastAsia"/>
          <w:sz w:val="28"/>
          <w:szCs w:val="28"/>
          <w:u w:val="single"/>
          <w:lang w:val="en-US" w:eastAsia="zh-CN"/>
        </w:rPr>
      </w:pPr>
      <w:r>
        <w:rPr>
          <w:rFonts w:hint="eastAsia"/>
          <w:sz w:val="28"/>
          <w:szCs w:val="28"/>
          <w:lang w:val="en-US" w:eastAsia="zh-CN"/>
        </w:rPr>
        <w:t>致：</w:t>
      </w:r>
      <w:r>
        <w:rPr>
          <w:rFonts w:hint="eastAsia"/>
          <w:sz w:val="28"/>
          <w:szCs w:val="28"/>
          <w:u w:val="single"/>
          <w:lang w:val="en-US" w:eastAsia="zh-CN"/>
        </w:rPr>
        <w:t>深圳市正阳投资开发有限公司</w:t>
      </w:r>
    </w:p>
    <w:p w14:paraId="669E88F2">
      <w:pPr>
        <w:jc w:val="both"/>
        <w:rPr>
          <w:rFonts w:hint="eastAsia"/>
          <w:sz w:val="28"/>
          <w:szCs w:val="28"/>
          <w:u w:val="none"/>
          <w:lang w:val="en-US" w:eastAsia="zh-CN"/>
        </w:rPr>
      </w:pPr>
      <w:r>
        <w:rPr>
          <w:rFonts w:hint="eastAsia"/>
          <w:sz w:val="28"/>
          <w:szCs w:val="28"/>
          <w:u w:val="none"/>
          <w:lang w:val="en-US" w:eastAsia="zh-CN"/>
        </w:rPr>
        <w:t xml:space="preserve">   今有：</w:t>
      </w:r>
      <w:r>
        <w:rPr>
          <w:rFonts w:hint="eastAsia"/>
          <w:sz w:val="28"/>
          <w:szCs w:val="28"/>
          <w:u w:val="single"/>
          <w:lang w:val="en-US" w:eastAsia="zh-CN"/>
        </w:rPr>
        <w:t xml:space="preserve"> XXXXX有限公司XXX分公司 </w:t>
      </w:r>
      <w:r>
        <w:rPr>
          <w:rFonts w:hint="eastAsia"/>
          <w:sz w:val="28"/>
          <w:szCs w:val="28"/>
          <w:u w:val="none"/>
          <w:lang w:val="en-US" w:eastAsia="zh-CN"/>
        </w:rPr>
        <w:t>为我司：</w:t>
      </w:r>
      <w:r>
        <w:rPr>
          <w:rFonts w:hint="eastAsia"/>
          <w:sz w:val="28"/>
          <w:szCs w:val="28"/>
          <w:u w:val="single"/>
          <w:lang w:val="en-US" w:eastAsia="zh-CN"/>
        </w:rPr>
        <w:t xml:space="preserve"> </w:t>
      </w:r>
      <w:r>
        <w:rPr>
          <w:rFonts w:hint="eastAsia" w:ascii="宋体" w:hAnsi="宋体" w:eastAsia="宋体" w:cs="宋体"/>
          <w:color w:val="auto"/>
          <w:sz w:val="28"/>
          <w:szCs w:val="28"/>
          <w:u w:val="single"/>
          <w:lang w:val="en-US" w:eastAsia="zh-CN"/>
        </w:rPr>
        <w:t>XXXX有限公司</w:t>
      </w:r>
      <w:r>
        <w:rPr>
          <w:rFonts w:hint="eastAsia"/>
          <w:sz w:val="28"/>
          <w:szCs w:val="28"/>
          <w:u w:val="single"/>
          <w:lang w:val="en-US" w:eastAsia="zh-CN"/>
        </w:rPr>
        <w:t xml:space="preserve"> </w:t>
      </w:r>
      <w:r>
        <w:rPr>
          <w:rFonts w:hint="eastAsia"/>
          <w:sz w:val="28"/>
          <w:szCs w:val="28"/>
          <w:u w:val="none"/>
          <w:lang w:val="en-US" w:eastAsia="zh-CN"/>
        </w:rPr>
        <w:t>的分支机构，现授权</w:t>
      </w:r>
      <w:r>
        <w:rPr>
          <w:rFonts w:hint="eastAsia"/>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XXXX有限公司XXX分公司 </w:t>
      </w:r>
      <w:r>
        <w:rPr>
          <w:rFonts w:hint="eastAsia"/>
          <w:sz w:val="28"/>
          <w:szCs w:val="28"/>
          <w:u w:val="none"/>
          <w:lang w:val="en-US" w:eastAsia="zh-CN"/>
        </w:rPr>
        <w:t>使用我司资质代表我司参与</w:t>
      </w:r>
      <w:r>
        <w:rPr>
          <w:rFonts w:hint="eastAsia"/>
          <w:sz w:val="28"/>
          <w:szCs w:val="28"/>
          <w:u w:val="single"/>
          <w:lang w:val="en-US" w:eastAsia="zh-CN"/>
        </w:rPr>
        <w:t xml:space="preserve">  XXXXXXX项目 </w:t>
      </w:r>
      <w:r>
        <w:rPr>
          <w:rFonts w:hint="eastAsia"/>
          <w:sz w:val="28"/>
          <w:szCs w:val="28"/>
          <w:u w:val="none"/>
          <w:lang w:val="en-US" w:eastAsia="zh-CN"/>
        </w:rPr>
        <w:t>的投标（含询价报价），如有幸中标，我司授权</w:t>
      </w:r>
      <w:r>
        <w:rPr>
          <w:rFonts w:hint="eastAsia"/>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XXXX有限公司XXX分公司 </w:t>
      </w:r>
      <w:r>
        <w:rPr>
          <w:rFonts w:hint="eastAsia" w:ascii="宋体" w:hAnsi="宋体" w:eastAsia="宋体" w:cs="宋体"/>
          <w:color w:val="auto"/>
          <w:sz w:val="28"/>
          <w:szCs w:val="28"/>
          <w:u w:val="none"/>
          <w:lang w:val="en-US" w:eastAsia="zh-CN"/>
        </w:rPr>
        <w:t>代表我司与贵司签订合同。</w:t>
      </w:r>
      <w:r>
        <w:rPr>
          <w:rFonts w:hint="eastAsia"/>
          <w:sz w:val="28"/>
          <w:szCs w:val="28"/>
          <w:u w:val="none"/>
          <w:lang w:val="en-US" w:eastAsia="zh-CN"/>
        </w:rPr>
        <w:t>因</w:t>
      </w:r>
      <w:r>
        <w:rPr>
          <w:rFonts w:hint="eastAsia"/>
          <w:sz w:val="28"/>
          <w:szCs w:val="28"/>
          <w:u w:val="single"/>
          <w:lang w:val="en-US" w:eastAsia="zh-CN"/>
        </w:rPr>
        <w:t xml:space="preserve"> XXXXX有限公司XXX分公司 </w:t>
      </w:r>
      <w:r>
        <w:rPr>
          <w:rFonts w:hint="eastAsia"/>
          <w:sz w:val="28"/>
          <w:szCs w:val="28"/>
          <w:u w:val="none"/>
          <w:lang w:val="en-US" w:eastAsia="zh-CN"/>
        </w:rPr>
        <w:t>没有法人资格或者不是独立法人，其投标行为及后续签订合同的经济法律民事责任由本公司承担。</w:t>
      </w:r>
    </w:p>
    <w:p w14:paraId="17FDD097">
      <w:pPr>
        <w:jc w:val="both"/>
        <w:rPr>
          <w:rFonts w:hint="eastAsia"/>
          <w:sz w:val="28"/>
          <w:szCs w:val="28"/>
          <w:u w:val="none"/>
          <w:lang w:val="en-US" w:eastAsia="zh-CN"/>
        </w:rPr>
      </w:pPr>
      <w:r>
        <w:rPr>
          <w:rFonts w:hint="eastAsia"/>
          <w:sz w:val="28"/>
          <w:szCs w:val="28"/>
          <w:u w:val="none"/>
          <w:lang w:val="en-US" w:eastAsia="zh-CN"/>
        </w:rPr>
        <w:t xml:space="preserve">  </w:t>
      </w:r>
    </w:p>
    <w:p w14:paraId="4E3D98A1">
      <w:pPr>
        <w:jc w:val="both"/>
        <w:rPr>
          <w:rFonts w:hint="eastAsia"/>
          <w:sz w:val="28"/>
          <w:szCs w:val="28"/>
          <w:u w:val="none"/>
          <w:lang w:val="en-US" w:eastAsia="zh-CN"/>
        </w:rPr>
      </w:pPr>
    </w:p>
    <w:p w14:paraId="04A66E22">
      <w:pPr>
        <w:jc w:val="right"/>
        <w:rPr>
          <w:rFonts w:hint="eastAsia"/>
          <w:sz w:val="28"/>
          <w:szCs w:val="28"/>
          <w:u w:val="none"/>
          <w:lang w:val="en-US" w:eastAsia="zh-CN"/>
        </w:rPr>
      </w:pPr>
      <w:r>
        <w:rPr>
          <w:rFonts w:hint="eastAsia"/>
          <w:sz w:val="28"/>
          <w:szCs w:val="28"/>
          <w:u w:val="none"/>
          <w:lang w:val="en-US" w:eastAsia="zh-CN"/>
        </w:rPr>
        <w:t xml:space="preserve">               授权单位（加盖公章）：</w:t>
      </w:r>
      <w:r>
        <w:rPr>
          <w:rFonts w:hint="eastAsia"/>
          <w:sz w:val="28"/>
          <w:szCs w:val="28"/>
          <w:u w:val="single"/>
          <w:lang w:val="en-US" w:eastAsia="zh-CN"/>
        </w:rPr>
        <w:t>XXXXXXX有限公司</w:t>
      </w:r>
    </w:p>
    <w:p w14:paraId="11F51637">
      <w:pPr>
        <w:pStyle w:val="8"/>
        <w:tabs>
          <w:tab w:val="left" w:pos="2138"/>
        </w:tabs>
        <w:rPr>
          <w:color w:val="auto"/>
        </w:rPr>
      </w:pPr>
      <w:r>
        <w:rPr>
          <w:rFonts w:hint="eastAsia"/>
          <w:sz w:val="28"/>
          <w:szCs w:val="28"/>
          <w:u w:val="none"/>
          <w:lang w:val="en-US" w:eastAsia="zh-CN"/>
        </w:rPr>
        <w:t xml:space="preserve">                          授权日期：2026年XX月XX日</w:t>
      </w:r>
    </w:p>
    <w:p w14:paraId="6B8D755D">
      <w:pPr>
        <w:spacing w:line="560" w:lineRule="exact"/>
        <w:jc w:val="left"/>
        <w:rPr>
          <w:rFonts w:hint="eastAsia" w:ascii="仿宋" w:hAnsi="仿宋" w:eastAsia="仿宋" w:cs="仿宋"/>
          <w:sz w:val="32"/>
          <w:szCs w:val="40"/>
          <w:highlight w:val="none"/>
          <w:lang w:val="en-US" w:eastAsia="zh-CN"/>
        </w:rPr>
      </w:pPr>
    </w:p>
    <w:p w14:paraId="289B1380">
      <w:pPr>
        <w:spacing w:line="560" w:lineRule="exact"/>
        <w:jc w:val="left"/>
        <w:rPr>
          <w:rFonts w:hint="eastAsia" w:ascii="仿宋" w:hAnsi="仿宋" w:eastAsia="仿宋" w:cs="仿宋"/>
          <w:sz w:val="32"/>
          <w:szCs w:val="40"/>
          <w:highlight w:val="none"/>
          <w:lang w:val="en-US" w:eastAsia="zh-CN"/>
        </w:rPr>
      </w:pPr>
    </w:p>
    <w:p w14:paraId="3FB28ADB">
      <w:pPr>
        <w:spacing w:line="560" w:lineRule="exact"/>
        <w:jc w:val="left"/>
        <w:rPr>
          <w:rFonts w:hint="eastAsia" w:ascii="仿宋" w:hAnsi="仿宋" w:eastAsia="仿宋" w:cs="仿宋"/>
          <w:sz w:val="32"/>
          <w:szCs w:val="40"/>
          <w:highlight w:val="none"/>
          <w:lang w:val="en-US" w:eastAsia="zh-CN"/>
        </w:rPr>
      </w:pPr>
    </w:p>
    <w:p w14:paraId="46F06B3B">
      <w:pPr>
        <w:spacing w:line="560" w:lineRule="exact"/>
        <w:jc w:val="left"/>
        <w:rPr>
          <w:rFonts w:hint="eastAsia" w:ascii="仿宋" w:hAnsi="仿宋" w:eastAsia="仿宋" w:cs="仿宋"/>
          <w:sz w:val="32"/>
          <w:szCs w:val="40"/>
          <w:highlight w:val="none"/>
          <w:lang w:val="en-US" w:eastAsia="zh-CN"/>
        </w:rPr>
      </w:pPr>
    </w:p>
    <w:p w14:paraId="0B216911">
      <w:pPr>
        <w:spacing w:line="560" w:lineRule="exact"/>
        <w:jc w:val="left"/>
        <w:rPr>
          <w:rFonts w:hint="eastAsia" w:ascii="仿宋" w:hAnsi="仿宋" w:eastAsia="仿宋" w:cs="仿宋"/>
          <w:sz w:val="32"/>
          <w:szCs w:val="40"/>
          <w:highlight w:val="none"/>
          <w:lang w:val="en-US" w:eastAsia="zh-CN"/>
        </w:rPr>
      </w:pPr>
    </w:p>
    <w:p w14:paraId="2C2DF904">
      <w:pPr>
        <w:spacing w:line="560" w:lineRule="exact"/>
        <w:jc w:val="left"/>
        <w:rPr>
          <w:rFonts w:hint="eastAsia" w:ascii="仿宋" w:hAnsi="仿宋" w:eastAsia="仿宋" w:cs="仿宋"/>
          <w:sz w:val="32"/>
          <w:szCs w:val="40"/>
          <w:highlight w:val="none"/>
          <w:lang w:val="en-US" w:eastAsia="zh-CN"/>
        </w:rPr>
      </w:pPr>
      <w:r>
        <w:rPr>
          <w:rFonts w:hint="eastAsia" w:ascii="仿宋" w:hAnsi="仿宋" w:eastAsia="仿宋" w:cs="仿宋"/>
          <w:sz w:val="32"/>
          <w:szCs w:val="40"/>
          <w:highlight w:val="none"/>
          <w:lang w:val="en-US" w:eastAsia="zh-CN"/>
        </w:rPr>
        <w:t>附件5：报价清单</w:t>
      </w:r>
    </w:p>
    <w:tbl>
      <w:tblPr>
        <w:tblStyle w:val="11"/>
        <w:tblW w:w="5146"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027"/>
        <w:gridCol w:w="853"/>
        <w:gridCol w:w="1369"/>
        <w:gridCol w:w="1475"/>
        <w:gridCol w:w="1493"/>
        <w:gridCol w:w="1351"/>
      </w:tblGrid>
      <w:tr w14:paraId="27E078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06" w:type="pct"/>
            <w:tcBorders>
              <w:top w:val="double" w:color="auto" w:sz="4" w:space="0"/>
              <w:bottom w:val="single" w:color="auto" w:sz="4" w:space="0"/>
            </w:tcBorders>
            <w:noWrap w:val="0"/>
            <w:vAlign w:val="center"/>
          </w:tcPr>
          <w:p w14:paraId="08D6D8D5">
            <w:pPr>
              <w:jc w:val="center"/>
              <w:rPr>
                <w:rFonts w:hint="eastAsia" w:eastAsia="宋体"/>
                <w:snapToGrid w:val="0"/>
                <w:kern w:val="0"/>
                <w:lang w:eastAsia="zh-CN"/>
              </w:rPr>
            </w:pPr>
            <w:r>
              <w:rPr>
                <w:rFonts w:hint="eastAsia"/>
                <w:snapToGrid w:val="0"/>
                <w:kern w:val="0"/>
                <w:lang w:val="en-US" w:eastAsia="zh-CN"/>
              </w:rPr>
              <w:t>序号</w:t>
            </w:r>
          </w:p>
        </w:tc>
        <w:tc>
          <w:tcPr>
            <w:tcW w:w="1086" w:type="pct"/>
            <w:tcBorders>
              <w:top w:val="double" w:color="auto" w:sz="4" w:space="0"/>
              <w:bottom w:val="single" w:color="auto" w:sz="4" w:space="0"/>
            </w:tcBorders>
            <w:noWrap w:val="0"/>
            <w:vAlign w:val="center"/>
          </w:tcPr>
          <w:p w14:paraId="4910C384">
            <w:pPr>
              <w:jc w:val="center"/>
              <w:rPr>
                <w:rFonts w:hint="eastAsia" w:eastAsia="宋体"/>
                <w:snapToGrid w:val="0"/>
                <w:kern w:val="0"/>
                <w:lang w:eastAsia="zh-CN"/>
              </w:rPr>
            </w:pPr>
            <w:r>
              <w:rPr>
                <w:rFonts w:hint="eastAsia"/>
                <w:snapToGrid w:val="0"/>
                <w:kern w:val="0"/>
                <w:lang w:val="en-US" w:eastAsia="zh-CN"/>
              </w:rPr>
              <w:t>名称</w:t>
            </w:r>
          </w:p>
        </w:tc>
        <w:tc>
          <w:tcPr>
            <w:tcW w:w="457" w:type="pct"/>
            <w:tcBorders>
              <w:top w:val="double" w:color="auto" w:sz="4" w:space="0"/>
              <w:bottom w:val="single" w:color="auto" w:sz="4" w:space="0"/>
            </w:tcBorders>
            <w:noWrap w:val="0"/>
            <w:vAlign w:val="center"/>
          </w:tcPr>
          <w:p w14:paraId="4834A2D1">
            <w:pPr>
              <w:jc w:val="center"/>
              <w:rPr>
                <w:rFonts w:hint="default" w:eastAsia="宋体"/>
                <w:snapToGrid w:val="0"/>
                <w:kern w:val="0"/>
                <w:lang w:val="en-US" w:eastAsia="zh-CN"/>
              </w:rPr>
            </w:pPr>
            <w:r>
              <w:rPr>
                <w:rFonts w:hint="eastAsia"/>
                <w:snapToGrid w:val="0"/>
                <w:kern w:val="0"/>
                <w:lang w:val="en-US" w:eastAsia="zh-CN"/>
              </w:rPr>
              <w:t>数量</w:t>
            </w:r>
          </w:p>
        </w:tc>
        <w:tc>
          <w:tcPr>
            <w:tcW w:w="733" w:type="pct"/>
            <w:tcBorders>
              <w:top w:val="double" w:color="auto" w:sz="4" w:space="0"/>
              <w:bottom w:val="single" w:color="auto" w:sz="4" w:space="0"/>
            </w:tcBorders>
            <w:noWrap w:val="0"/>
            <w:vAlign w:val="center"/>
          </w:tcPr>
          <w:p w14:paraId="1C03AC6D">
            <w:pPr>
              <w:jc w:val="center"/>
              <w:rPr>
                <w:rFonts w:hint="eastAsia" w:eastAsia="宋体"/>
                <w:snapToGrid w:val="0"/>
                <w:kern w:val="0"/>
                <w:lang w:eastAsia="zh-CN"/>
              </w:rPr>
            </w:pPr>
            <w:r>
              <w:rPr>
                <w:rFonts w:hint="eastAsia"/>
                <w:snapToGrid w:val="0"/>
                <w:kern w:val="0"/>
                <w:lang w:val="en-US" w:eastAsia="zh-CN"/>
              </w:rPr>
              <w:t>单位</w:t>
            </w:r>
          </w:p>
        </w:tc>
        <w:tc>
          <w:tcPr>
            <w:tcW w:w="790" w:type="pct"/>
            <w:tcBorders>
              <w:top w:val="double" w:color="auto" w:sz="4" w:space="0"/>
              <w:bottom w:val="single" w:color="auto" w:sz="4" w:space="0"/>
            </w:tcBorders>
            <w:noWrap w:val="0"/>
            <w:vAlign w:val="center"/>
          </w:tcPr>
          <w:p w14:paraId="1D95433A">
            <w:pPr>
              <w:jc w:val="center"/>
              <w:rPr>
                <w:rFonts w:hint="default" w:eastAsia="宋体"/>
                <w:snapToGrid w:val="0"/>
                <w:kern w:val="0"/>
                <w:lang w:val="en-US" w:eastAsia="zh-CN"/>
              </w:rPr>
            </w:pPr>
            <w:r>
              <w:rPr>
                <w:rFonts w:hint="eastAsia"/>
                <w:snapToGrid w:val="0"/>
                <w:kern w:val="0"/>
                <w:lang w:val="en-US" w:eastAsia="zh-CN"/>
              </w:rPr>
              <w:t>小计（元/月）</w:t>
            </w:r>
          </w:p>
        </w:tc>
        <w:tc>
          <w:tcPr>
            <w:tcW w:w="800" w:type="pct"/>
            <w:tcBorders>
              <w:top w:val="double" w:color="auto" w:sz="4" w:space="0"/>
              <w:bottom w:val="single" w:color="auto" w:sz="4" w:space="0"/>
            </w:tcBorders>
            <w:noWrap w:val="0"/>
            <w:vAlign w:val="center"/>
          </w:tcPr>
          <w:p w14:paraId="544315D5">
            <w:pPr>
              <w:jc w:val="center"/>
              <w:rPr>
                <w:rFonts w:hint="default" w:eastAsia="宋体"/>
                <w:snapToGrid w:val="0"/>
                <w:kern w:val="0"/>
                <w:lang w:val="en-US" w:eastAsia="zh-CN"/>
              </w:rPr>
            </w:pPr>
            <w:r>
              <w:rPr>
                <w:rFonts w:hint="eastAsia"/>
                <w:snapToGrid w:val="0"/>
                <w:kern w:val="0"/>
                <w:lang w:val="en-US" w:eastAsia="zh-CN"/>
              </w:rPr>
              <w:t>合计（元/年）</w:t>
            </w:r>
          </w:p>
        </w:tc>
        <w:tc>
          <w:tcPr>
            <w:tcW w:w="724" w:type="pct"/>
            <w:tcBorders>
              <w:top w:val="double" w:color="auto" w:sz="4" w:space="0"/>
              <w:bottom w:val="single" w:color="auto" w:sz="4" w:space="0"/>
            </w:tcBorders>
            <w:noWrap w:val="0"/>
            <w:vAlign w:val="center"/>
          </w:tcPr>
          <w:p w14:paraId="3B37E39D">
            <w:pPr>
              <w:jc w:val="center"/>
              <w:rPr>
                <w:rFonts w:hint="default"/>
                <w:snapToGrid w:val="0"/>
                <w:kern w:val="0"/>
                <w:lang w:val="en-US" w:eastAsia="zh-CN"/>
              </w:rPr>
            </w:pPr>
            <w:r>
              <w:rPr>
                <w:rFonts w:hint="eastAsia"/>
                <w:snapToGrid w:val="0"/>
                <w:kern w:val="0"/>
                <w:lang w:val="en-US" w:eastAsia="zh-CN"/>
              </w:rPr>
              <w:t>备注</w:t>
            </w:r>
          </w:p>
        </w:tc>
      </w:tr>
      <w:tr w14:paraId="1838B2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406" w:type="pct"/>
            <w:tcBorders>
              <w:top w:val="single" w:color="auto" w:sz="4" w:space="0"/>
              <w:bottom w:val="single" w:color="auto" w:sz="4" w:space="0"/>
            </w:tcBorders>
            <w:noWrap w:val="0"/>
            <w:vAlign w:val="center"/>
          </w:tcPr>
          <w:p w14:paraId="6F5F7DDE">
            <w:pPr>
              <w:jc w:val="center"/>
              <w:rPr>
                <w:rFonts w:hint="eastAsia" w:eastAsia="宋体"/>
                <w:snapToGrid w:val="0"/>
                <w:kern w:val="0"/>
                <w:u w:val="single"/>
                <w:lang w:val="en-US" w:eastAsia="zh-CN"/>
              </w:rPr>
            </w:pPr>
            <w:r>
              <w:rPr>
                <w:rFonts w:hint="eastAsia"/>
                <w:snapToGrid w:val="0"/>
                <w:kern w:val="0"/>
                <w:u w:val="single"/>
                <w:lang w:val="en-US" w:eastAsia="zh-CN"/>
              </w:rPr>
              <w:t>1</w:t>
            </w:r>
          </w:p>
        </w:tc>
        <w:tc>
          <w:tcPr>
            <w:tcW w:w="1086" w:type="pct"/>
            <w:tcBorders>
              <w:top w:val="single" w:color="auto" w:sz="4" w:space="0"/>
              <w:bottom w:val="single" w:color="auto" w:sz="4" w:space="0"/>
            </w:tcBorders>
            <w:noWrap w:val="0"/>
            <w:vAlign w:val="center"/>
          </w:tcPr>
          <w:p w14:paraId="2850640B">
            <w:pPr>
              <w:jc w:val="center"/>
              <w:rPr>
                <w:rFonts w:hint="eastAsia" w:eastAsia="宋体"/>
                <w:snapToGrid w:val="0"/>
                <w:kern w:val="0"/>
                <w:lang w:val="en-US" w:eastAsia="zh-CN"/>
              </w:rPr>
            </w:pPr>
            <w:r>
              <w:rPr>
                <w:rFonts w:hint="eastAsia"/>
                <w:snapToGrid w:val="0"/>
                <w:kern w:val="0"/>
                <w:lang w:val="en-US" w:eastAsia="zh-CN"/>
              </w:rPr>
              <w:t>保洁员</w:t>
            </w:r>
          </w:p>
        </w:tc>
        <w:tc>
          <w:tcPr>
            <w:tcW w:w="457" w:type="pct"/>
            <w:tcBorders>
              <w:top w:val="single" w:color="auto" w:sz="4" w:space="0"/>
              <w:bottom w:val="single" w:color="auto" w:sz="4" w:space="0"/>
            </w:tcBorders>
            <w:noWrap w:val="0"/>
            <w:vAlign w:val="center"/>
          </w:tcPr>
          <w:p w14:paraId="7819C9BE">
            <w:pPr>
              <w:rPr>
                <w:rFonts w:hint="eastAsia"/>
                <w:snapToGrid w:val="0"/>
                <w:kern w:val="0"/>
              </w:rPr>
            </w:pPr>
            <w:r>
              <w:rPr>
                <w:rFonts w:hint="eastAsia" w:ascii="Times New Roman" w:hAnsi="Times New Roman" w:eastAsia="宋体" w:cs="Times New Roman"/>
                <w:lang w:val="en-US" w:eastAsia="zh-CN"/>
              </w:rPr>
              <w:t>2</w:t>
            </w:r>
          </w:p>
        </w:tc>
        <w:tc>
          <w:tcPr>
            <w:tcW w:w="733" w:type="pct"/>
            <w:tcBorders>
              <w:top w:val="single" w:color="auto" w:sz="4" w:space="0"/>
              <w:bottom w:val="single" w:color="auto" w:sz="4" w:space="0"/>
            </w:tcBorders>
            <w:noWrap w:val="0"/>
            <w:vAlign w:val="center"/>
          </w:tcPr>
          <w:p w14:paraId="50F3EC54">
            <w:pPr>
              <w:ind w:firstLine="210" w:firstLineChars="100"/>
              <w:rPr>
                <w:rFonts w:hint="default" w:eastAsia="宋体"/>
                <w:snapToGrid w:val="0"/>
                <w:kern w:val="0"/>
                <w:lang w:val="en-US" w:eastAsia="zh-CN"/>
              </w:rPr>
            </w:pPr>
            <w:r>
              <w:rPr>
                <w:rFonts w:hint="eastAsia"/>
                <w:snapToGrid w:val="0"/>
                <w:kern w:val="0"/>
                <w:lang w:val="en-US" w:eastAsia="zh-CN"/>
              </w:rPr>
              <w:t>元/人/月</w:t>
            </w:r>
          </w:p>
        </w:tc>
        <w:tc>
          <w:tcPr>
            <w:tcW w:w="790" w:type="pct"/>
            <w:tcBorders>
              <w:top w:val="single" w:color="auto" w:sz="4" w:space="0"/>
              <w:bottom w:val="single" w:color="auto" w:sz="4" w:space="0"/>
            </w:tcBorders>
            <w:noWrap w:val="0"/>
            <w:vAlign w:val="center"/>
          </w:tcPr>
          <w:p w14:paraId="6507E0AD">
            <w:pPr>
              <w:ind w:firstLine="210" w:firstLineChars="100"/>
              <w:rPr>
                <w:rFonts w:hint="default"/>
                <w:snapToGrid w:val="0"/>
                <w:kern w:val="0"/>
                <w:lang w:val="en-US" w:eastAsia="zh-CN"/>
              </w:rPr>
            </w:pPr>
          </w:p>
        </w:tc>
        <w:tc>
          <w:tcPr>
            <w:tcW w:w="800" w:type="pct"/>
            <w:tcBorders>
              <w:top w:val="single" w:color="auto" w:sz="4" w:space="0"/>
              <w:bottom w:val="single" w:color="auto" w:sz="4" w:space="0"/>
            </w:tcBorders>
            <w:noWrap w:val="0"/>
            <w:vAlign w:val="center"/>
          </w:tcPr>
          <w:p w14:paraId="5DF95E46">
            <w:pPr>
              <w:ind w:firstLine="210" w:firstLineChars="100"/>
              <w:rPr>
                <w:rFonts w:hint="eastAsia"/>
                <w:snapToGrid w:val="0"/>
                <w:kern w:val="0"/>
                <w:lang w:val="en-US" w:eastAsia="zh-CN"/>
              </w:rPr>
            </w:pPr>
          </w:p>
        </w:tc>
        <w:tc>
          <w:tcPr>
            <w:tcW w:w="724" w:type="pct"/>
            <w:tcBorders>
              <w:top w:val="single" w:color="auto" w:sz="4" w:space="0"/>
              <w:bottom w:val="single" w:color="auto" w:sz="4" w:space="0"/>
            </w:tcBorders>
            <w:noWrap w:val="0"/>
            <w:vAlign w:val="center"/>
          </w:tcPr>
          <w:p w14:paraId="2BE776F6">
            <w:pPr>
              <w:ind w:firstLine="210" w:firstLineChars="100"/>
              <w:rPr>
                <w:rFonts w:hint="eastAsia"/>
                <w:snapToGrid w:val="0"/>
                <w:kern w:val="0"/>
                <w:lang w:val="en-US" w:eastAsia="zh-CN"/>
              </w:rPr>
            </w:pPr>
          </w:p>
        </w:tc>
      </w:tr>
      <w:tr w14:paraId="2B1A40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406" w:type="pct"/>
            <w:tcBorders>
              <w:top w:val="single" w:color="auto" w:sz="4" w:space="0"/>
              <w:bottom w:val="single" w:color="auto" w:sz="4" w:space="0"/>
            </w:tcBorders>
            <w:noWrap w:val="0"/>
            <w:vAlign w:val="center"/>
          </w:tcPr>
          <w:p w14:paraId="7EE4E8E0">
            <w:pPr>
              <w:jc w:val="center"/>
              <w:rPr>
                <w:rFonts w:hint="eastAsia" w:eastAsia="宋体"/>
                <w:snapToGrid w:val="0"/>
                <w:kern w:val="0"/>
                <w:u w:val="single"/>
                <w:lang w:val="en-US" w:eastAsia="zh-CN"/>
              </w:rPr>
            </w:pPr>
            <w:r>
              <w:rPr>
                <w:rFonts w:hint="eastAsia"/>
                <w:snapToGrid w:val="0"/>
                <w:kern w:val="0"/>
                <w:u w:val="single"/>
                <w:lang w:val="en-US" w:eastAsia="zh-CN"/>
              </w:rPr>
              <w:t>2</w:t>
            </w:r>
          </w:p>
        </w:tc>
        <w:tc>
          <w:tcPr>
            <w:tcW w:w="1086" w:type="pct"/>
            <w:tcBorders>
              <w:top w:val="single" w:color="auto" w:sz="4" w:space="0"/>
              <w:bottom w:val="single" w:color="auto" w:sz="4" w:space="0"/>
            </w:tcBorders>
            <w:noWrap w:val="0"/>
            <w:vAlign w:val="center"/>
          </w:tcPr>
          <w:p w14:paraId="76A32307">
            <w:pPr>
              <w:jc w:val="center"/>
              <w:rPr>
                <w:rFonts w:hint="default" w:eastAsia="宋体"/>
                <w:snapToGrid w:val="0"/>
                <w:kern w:val="0"/>
                <w:lang w:val="en-US" w:eastAsia="zh-CN"/>
              </w:rPr>
            </w:pPr>
            <w:r>
              <w:rPr>
                <w:rFonts w:hint="eastAsia"/>
                <w:snapToGrid w:val="0"/>
                <w:kern w:val="0"/>
                <w:lang w:val="en-US" w:eastAsia="zh-CN"/>
              </w:rPr>
              <w:t>绿化工</w:t>
            </w:r>
          </w:p>
        </w:tc>
        <w:tc>
          <w:tcPr>
            <w:tcW w:w="457" w:type="pct"/>
            <w:tcBorders>
              <w:top w:val="single" w:color="auto" w:sz="4" w:space="0"/>
              <w:bottom w:val="single" w:color="auto" w:sz="4" w:space="0"/>
            </w:tcBorders>
            <w:noWrap w:val="0"/>
            <w:vAlign w:val="center"/>
          </w:tcPr>
          <w:p w14:paraId="40426B87">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733" w:type="pct"/>
            <w:tcBorders>
              <w:top w:val="single" w:color="auto" w:sz="4" w:space="0"/>
              <w:bottom w:val="single" w:color="auto" w:sz="4" w:space="0"/>
            </w:tcBorders>
            <w:noWrap w:val="0"/>
            <w:vAlign w:val="center"/>
          </w:tcPr>
          <w:p w14:paraId="66EAE2CB">
            <w:pPr>
              <w:ind w:firstLine="210" w:firstLineChars="100"/>
              <w:rPr>
                <w:rFonts w:hint="eastAsia"/>
                <w:snapToGrid w:val="0"/>
                <w:kern w:val="0"/>
                <w:lang w:val="en-US" w:eastAsia="zh-CN"/>
              </w:rPr>
            </w:pPr>
            <w:r>
              <w:rPr>
                <w:rFonts w:hint="eastAsia"/>
                <w:snapToGrid w:val="0"/>
                <w:kern w:val="0"/>
                <w:lang w:val="en-US" w:eastAsia="zh-CN"/>
              </w:rPr>
              <w:t>元/人/月</w:t>
            </w:r>
          </w:p>
        </w:tc>
        <w:tc>
          <w:tcPr>
            <w:tcW w:w="790" w:type="pct"/>
            <w:tcBorders>
              <w:top w:val="single" w:color="auto" w:sz="4" w:space="0"/>
              <w:bottom w:val="single" w:color="auto" w:sz="4" w:space="0"/>
            </w:tcBorders>
            <w:noWrap w:val="0"/>
            <w:vAlign w:val="center"/>
          </w:tcPr>
          <w:p w14:paraId="3FED8823">
            <w:pPr>
              <w:ind w:firstLine="210" w:firstLineChars="100"/>
              <w:rPr>
                <w:rFonts w:hint="eastAsia"/>
                <w:snapToGrid w:val="0"/>
                <w:kern w:val="0"/>
                <w:lang w:val="en-US" w:eastAsia="zh-CN"/>
              </w:rPr>
            </w:pPr>
          </w:p>
        </w:tc>
        <w:tc>
          <w:tcPr>
            <w:tcW w:w="800" w:type="pct"/>
            <w:tcBorders>
              <w:top w:val="single" w:color="auto" w:sz="4" w:space="0"/>
              <w:bottom w:val="single" w:color="auto" w:sz="4" w:space="0"/>
            </w:tcBorders>
            <w:noWrap w:val="0"/>
            <w:vAlign w:val="center"/>
          </w:tcPr>
          <w:p w14:paraId="726E3D6C">
            <w:pPr>
              <w:ind w:firstLine="210" w:firstLineChars="100"/>
              <w:rPr>
                <w:rFonts w:hint="eastAsia"/>
                <w:snapToGrid w:val="0"/>
                <w:kern w:val="0"/>
                <w:lang w:val="en-US" w:eastAsia="zh-CN"/>
              </w:rPr>
            </w:pPr>
          </w:p>
        </w:tc>
        <w:tc>
          <w:tcPr>
            <w:tcW w:w="724" w:type="pct"/>
            <w:tcBorders>
              <w:top w:val="single" w:color="auto" w:sz="4" w:space="0"/>
              <w:bottom w:val="single" w:color="auto" w:sz="4" w:space="0"/>
            </w:tcBorders>
            <w:noWrap w:val="0"/>
            <w:vAlign w:val="center"/>
          </w:tcPr>
          <w:p w14:paraId="2DB50C73">
            <w:pPr>
              <w:ind w:firstLine="210" w:firstLineChars="100"/>
              <w:rPr>
                <w:rFonts w:hint="eastAsia"/>
                <w:snapToGrid w:val="0"/>
                <w:kern w:val="0"/>
                <w:lang w:val="en-US" w:eastAsia="zh-CN"/>
              </w:rPr>
            </w:pPr>
          </w:p>
        </w:tc>
      </w:tr>
      <w:tr w14:paraId="6FF487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406" w:type="pct"/>
            <w:tcBorders>
              <w:top w:val="single" w:color="auto" w:sz="4" w:space="0"/>
              <w:bottom w:val="single" w:color="auto" w:sz="4" w:space="0"/>
            </w:tcBorders>
            <w:noWrap w:val="0"/>
            <w:vAlign w:val="center"/>
          </w:tcPr>
          <w:p w14:paraId="465FFB74">
            <w:pPr>
              <w:jc w:val="center"/>
              <w:rPr>
                <w:rFonts w:hint="eastAsia" w:eastAsia="宋体"/>
                <w:snapToGrid w:val="0"/>
                <w:kern w:val="0"/>
                <w:u w:val="single"/>
                <w:lang w:val="en-US" w:eastAsia="zh-CN"/>
              </w:rPr>
            </w:pPr>
            <w:r>
              <w:rPr>
                <w:rFonts w:hint="eastAsia"/>
                <w:snapToGrid w:val="0"/>
                <w:kern w:val="0"/>
                <w:u w:val="single"/>
                <w:lang w:val="en-US" w:eastAsia="zh-CN"/>
              </w:rPr>
              <w:t>3</w:t>
            </w:r>
          </w:p>
        </w:tc>
        <w:tc>
          <w:tcPr>
            <w:tcW w:w="1086" w:type="pct"/>
            <w:tcBorders>
              <w:top w:val="single" w:color="auto" w:sz="4" w:space="0"/>
              <w:bottom w:val="single" w:color="auto" w:sz="4" w:space="0"/>
            </w:tcBorders>
            <w:noWrap w:val="0"/>
            <w:vAlign w:val="center"/>
          </w:tcPr>
          <w:p w14:paraId="657C4228">
            <w:pPr>
              <w:jc w:val="center"/>
              <w:rPr>
                <w:rFonts w:hint="default" w:eastAsia="宋体"/>
                <w:snapToGrid w:val="0"/>
                <w:kern w:val="0"/>
                <w:lang w:val="en-US" w:eastAsia="zh-CN"/>
              </w:rPr>
            </w:pPr>
            <w:r>
              <w:rPr>
                <w:rFonts w:hint="eastAsia"/>
                <w:snapToGrid w:val="0"/>
                <w:kern w:val="0"/>
                <w:lang w:val="en-US" w:eastAsia="zh-CN"/>
              </w:rPr>
              <w:t>四害消杀</w:t>
            </w:r>
          </w:p>
        </w:tc>
        <w:tc>
          <w:tcPr>
            <w:tcW w:w="457" w:type="pct"/>
            <w:tcBorders>
              <w:top w:val="single" w:color="auto" w:sz="4" w:space="0"/>
              <w:bottom w:val="single" w:color="auto" w:sz="4" w:space="0"/>
            </w:tcBorders>
            <w:noWrap w:val="0"/>
            <w:vAlign w:val="center"/>
          </w:tcPr>
          <w:p w14:paraId="5FBEA614">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4次/月</w:t>
            </w:r>
          </w:p>
        </w:tc>
        <w:tc>
          <w:tcPr>
            <w:tcW w:w="733" w:type="pct"/>
            <w:tcBorders>
              <w:top w:val="single" w:color="auto" w:sz="4" w:space="0"/>
              <w:bottom w:val="single" w:color="auto" w:sz="4" w:space="0"/>
            </w:tcBorders>
            <w:noWrap w:val="0"/>
            <w:vAlign w:val="center"/>
          </w:tcPr>
          <w:p w14:paraId="6750EA0F">
            <w:pPr>
              <w:ind w:firstLine="210" w:firstLineChars="100"/>
              <w:rPr>
                <w:rFonts w:hint="default"/>
                <w:snapToGrid w:val="0"/>
                <w:kern w:val="0"/>
                <w:lang w:val="en-US" w:eastAsia="zh-CN"/>
              </w:rPr>
            </w:pPr>
            <w:r>
              <w:rPr>
                <w:rFonts w:hint="eastAsia"/>
                <w:snapToGrid w:val="0"/>
                <w:kern w:val="0"/>
                <w:lang w:val="en-US" w:eastAsia="zh-CN"/>
              </w:rPr>
              <w:t>元/月</w:t>
            </w:r>
          </w:p>
        </w:tc>
        <w:tc>
          <w:tcPr>
            <w:tcW w:w="790" w:type="pct"/>
            <w:tcBorders>
              <w:top w:val="single" w:color="auto" w:sz="4" w:space="0"/>
              <w:bottom w:val="single" w:color="auto" w:sz="4" w:space="0"/>
            </w:tcBorders>
            <w:noWrap w:val="0"/>
            <w:vAlign w:val="center"/>
          </w:tcPr>
          <w:p w14:paraId="05D00233">
            <w:pPr>
              <w:ind w:firstLine="210" w:firstLineChars="100"/>
              <w:rPr>
                <w:rFonts w:hint="eastAsia"/>
                <w:snapToGrid w:val="0"/>
                <w:kern w:val="0"/>
                <w:lang w:val="en-US" w:eastAsia="zh-CN"/>
              </w:rPr>
            </w:pPr>
          </w:p>
        </w:tc>
        <w:tc>
          <w:tcPr>
            <w:tcW w:w="800" w:type="pct"/>
            <w:tcBorders>
              <w:top w:val="single" w:color="auto" w:sz="4" w:space="0"/>
              <w:bottom w:val="single" w:color="auto" w:sz="4" w:space="0"/>
            </w:tcBorders>
            <w:noWrap w:val="0"/>
            <w:vAlign w:val="center"/>
          </w:tcPr>
          <w:p w14:paraId="4258028A">
            <w:pPr>
              <w:ind w:firstLine="210" w:firstLineChars="100"/>
              <w:rPr>
                <w:rFonts w:hint="eastAsia"/>
                <w:snapToGrid w:val="0"/>
                <w:kern w:val="0"/>
                <w:lang w:val="en-US" w:eastAsia="zh-CN"/>
              </w:rPr>
            </w:pPr>
          </w:p>
        </w:tc>
        <w:tc>
          <w:tcPr>
            <w:tcW w:w="724" w:type="pct"/>
            <w:tcBorders>
              <w:top w:val="single" w:color="auto" w:sz="4" w:space="0"/>
              <w:bottom w:val="single" w:color="auto" w:sz="4" w:space="0"/>
            </w:tcBorders>
            <w:noWrap w:val="0"/>
            <w:vAlign w:val="center"/>
          </w:tcPr>
          <w:p w14:paraId="262E89B8">
            <w:pPr>
              <w:ind w:firstLine="210" w:firstLineChars="100"/>
              <w:rPr>
                <w:rFonts w:hint="eastAsia"/>
                <w:snapToGrid w:val="0"/>
                <w:kern w:val="0"/>
                <w:lang w:val="en-US" w:eastAsia="zh-CN"/>
              </w:rPr>
            </w:pPr>
          </w:p>
        </w:tc>
      </w:tr>
      <w:tr w14:paraId="1A73DF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406" w:type="pct"/>
            <w:tcBorders>
              <w:top w:val="single" w:color="auto" w:sz="4" w:space="0"/>
              <w:bottom w:val="single" w:color="auto" w:sz="4" w:space="0"/>
            </w:tcBorders>
            <w:noWrap w:val="0"/>
            <w:vAlign w:val="center"/>
          </w:tcPr>
          <w:p w14:paraId="6F3385EA">
            <w:pPr>
              <w:jc w:val="center"/>
              <w:rPr>
                <w:rFonts w:hint="eastAsia" w:eastAsia="宋体"/>
                <w:snapToGrid w:val="0"/>
                <w:kern w:val="0"/>
                <w:u w:val="single"/>
                <w:lang w:val="en-US" w:eastAsia="zh-CN"/>
              </w:rPr>
            </w:pPr>
            <w:r>
              <w:rPr>
                <w:rFonts w:hint="default"/>
                <w:snapToGrid w:val="0"/>
                <w:kern w:val="0"/>
                <w:u w:val="single"/>
                <w:lang w:val="en-US" w:eastAsia="zh-CN"/>
              </w:rPr>
              <w:t>5</w:t>
            </w:r>
          </w:p>
        </w:tc>
        <w:tc>
          <w:tcPr>
            <w:tcW w:w="1086" w:type="pct"/>
            <w:tcBorders>
              <w:top w:val="single" w:color="auto" w:sz="4" w:space="0"/>
              <w:bottom w:val="single" w:color="auto" w:sz="4" w:space="0"/>
            </w:tcBorders>
            <w:noWrap w:val="0"/>
            <w:vAlign w:val="center"/>
          </w:tcPr>
          <w:p w14:paraId="02BCE9F8">
            <w:pPr>
              <w:jc w:val="center"/>
              <w:rPr>
                <w:rFonts w:hint="default" w:eastAsia="宋体"/>
                <w:snapToGrid w:val="0"/>
                <w:kern w:val="0"/>
                <w:lang w:val="en-US" w:eastAsia="zh-CN"/>
              </w:rPr>
            </w:pPr>
            <w:r>
              <w:rPr>
                <w:rFonts w:hint="eastAsia"/>
                <w:snapToGrid w:val="0"/>
                <w:kern w:val="0"/>
                <w:lang w:val="en-US" w:eastAsia="zh-CN"/>
              </w:rPr>
              <w:t>垃圾清运</w:t>
            </w:r>
          </w:p>
        </w:tc>
        <w:tc>
          <w:tcPr>
            <w:tcW w:w="457" w:type="pct"/>
            <w:tcBorders>
              <w:top w:val="single" w:color="auto" w:sz="4" w:space="0"/>
              <w:bottom w:val="single" w:color="auto" w:sz="4" w:space="0"/>
            </w:tcBorders>
            <w:noWrap w:val="0"/>
            <w:vAlign w:val="center"/>
          </w:tcPr>
          <w:p w14:paraId="4FA2DF18">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733" w:type="pct"/>
            <w:tcBorders>
              <w:top w:val="single" w:color="auto" w:sz="4" w:space="0"/>
              <w:bottom w:val="single" w:color="auto" w:sz="4" w:space="0"/>
            </w:tcBorders>
            <w:noWrap w:val="0"/>
            <w:vAlign w:val="center"/>
          </w:tcPr>
          <w:p w14:paraId="1014E60C">
            <w:pPr>
              <w:ind w:firstLine="210" w:firstLineChars="100"/>
              <w:rPr>
                <w:rFonts w:hint="eastAsia"/>
                <w:snapToGrid w:val="0"/>
                <w:kern w:val="0"/>
                <w:lang w:val="en-US" w:eastAsia="zh-CN"/>
              </w:rPr>
            </w:pPr>
            <w:r>
              <w:rPr>
                <w:rFonts w:hint="eastAsia"/>
                <w:snapToGrid w:val="0"/>
                <w:kern w:val="0"/>
                <w:lang w:val="en-US" w:eastAsia="zh-CN"/>
              </w:rPr>
              <w:t>元/月</w:t>
            </w:r>
          </w:p>
        </w:tc>
        <w:tc>
          <w:tcPr>
            <w:tcW w:w="790" w:type="pct"/>
            <w:tcBorders>
              <w:top w:val="single" w:color="auto" w:sz="4" w:space="0"/>
              <w:bottom w:val="single" w:color="auto" w:sz="4" w:space="0"/>
            </w:tcBorders>
            <w:noWrap w:val="0"/>
            <w:vAlign w:val="center"/>
          </w:tcPr>
          <w:p w14:paraId="4B05B85F">
            <w:pPr>
              <w:ind w:firstLine="210" w:firstLineChars="100"/>
              <w:rPr>
                <w:rFonts w:hint="eastAsia"/>
                <w:snapToGrid w:val="0"/>
                <w:kern w:val="0"/>
                <w:lang w:val="en-US" w:eastAsia="zh-CN"/>
              </w:rPr>
            </w:pPr>
          </w:p>
        </w:tc>
        <w:tc>
          <w:tcPr>
            <w:tcW w:w="800" w:type="pct"/>
            <w:tcBorders>
              <w:top w:val="single" w:color="auto" w:sz="4" w:space="0"/>
              <w:bottom w:val="single" w:color="auto" w:sz="4" w:space="0"/>
            </w:tcBorders>
            <w:noWrap w:val="0"/>
            <w:vAlign w:val="center"/>
          </w:tcPr>
          <w:p w14:paraId="4E5CBFDF">
            <w:pPr>
              <w:ind w:firstLine="210" w:firstLineChars="100"/>
              <w:rPr>
                <w:rFonts w:hint="eastAsia"/>
                <w:snapToGrid w:val="0"/>
                <w:kern w:val="0"/>
                <w:lang w:val="en-US" w:eastAsia="zh-CN"/>
              </w:rPr>
            </w:pPr>
          </w:p>
        </w:tc>
        <w:tc>
          <w:tcPr>
            <w:tcW w:w="724" w:type="pct"/>
            <w:tcBorders>
              <w:top w:val="single" w:color="auto" w:sz="4" w:space="0"/>
              <w:bottom w:val="single" w:color="auto" w:sz="4" w:space="0"/>
            </w:tcBorders>
            <w:noWrap w:val="0"/>
            <w:vAlign w:val="center"/>
          </w:tcPr>
          <w:p w14:paraId="35117124">
            <w:pPr>
              <w:ind w:firstLine="210" w:firstLineChars="100"/>
              <w:rPr>
                <w:rFonts w:hint="eastAsia"/>
                <w:snapToGrid w:val="0"/>
                <w:kern w:val="0"/>
                <w:lang w:val="en-US" w:eastAsia="zh-CN"/>
              </w:rPr>
            </w:pPr>
            <w:r>
              <w:rPr>
                <w:rFonts w:hint="eastAsia"/>
                <w:snapToGrid w:val="0"/>
                <w:kern w:val="0"/>
                <w:lang w:val="en-US" w:eastAsia="zh-CN"/>
              </w:rPr>
              <w:t>生活垃圾收集、密闭转运、垃圾日产日清、垃圾桶清洗、垃圾点保洁</w:t>
            </w:r>
          </w:p>
        </w:tc>
      </w:tr>
      <w:tr w14:paraId="3E32CB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3475" w:type="pct"/>
            <w:gridSpan w:val="5"/>
            <w:tcBorders>
              <w:top w:val="single" w:color="auto" w:sz="4" w:space="0"/>
              <w:bottom w:val="single" w:color="auto" w:sz="4" w:space="0"/>
            </w:tcBorders>
            <w:noWrap w:val="0"/>
            <w:vAlign w:val="center"/>
          </w:tcPr>
          <w:p w14:paraId="6C4C8A92">
            <w:pPr>
              <w:ind w:firstLine="210" w:firstLineChars="100"/>
              <w:jc w:val="center"/>
              <w:rPr>
                <w:rFonts w:hint="default"/>
                <w:snapToGrid w:val="0"/>
                <w:kern w:val="0"/>
                <w:lang w:val="en-US" w:eastAsia="zh-CN"/>
              </w:rPr>
            </w:pPr>
            <w:r>
              <w:rPr>
                <w:rFonts w:hint="eastAsia"/>
                <w:snapToGrid w:val="0"/>
                <w:kern w:val="0"/>
                <w:lang w:val="en-US" w:eastAsia="zh-CN"/>
              </w:rPr>
              <w:t>合计（元/月）</w:t>
            </w:r>
          </w:p>
        </w:tc>
        <w:tc>
          <w:tcPr>
            <w:tcW w:w="800" w:type="pct"/>
            <w:tcBorders>
              <w:top w:val="single" w:color="auto" w:sz="4" w:space="0"/>
              <w:bottom w:val="single" w:color="auto" w:sz="4" w:space="0"/>
            </w:tcBorders>
            <w:noWrap w:val="0"/>
            <w:vAlign w:val="center"/>
          </w:tcPr>
          <w:p w14:paraId="328C73FF">
            <w:pPr>
              <w:ind w:firstLine="210" w:firstLineChars="100"/>
              <w:rPr>
                <w:rFonts w:hint="eastAsia"/>
                <w:snapToGrid w:val="0"/>
                <w:kern w:val="0"/>
                <w:lang w:val="en-US" w:eastAsia="zh-CN"/>
              </w:rPr>
            </w:pPr>
          </w:p>
        </w:tc>
        <w:tc>
          <w:tcPr>
            <w:tcW w:w="724" w:type="pct"/>
            <w:tcBorders>
              <w:top w:val="single" w:color="auto" w:sz="4" w:space="0"/>
              <w:bottom w:val="single" w:color="auto" w:sz="4" w:space="0"/>
            </w:tcBorders>
            <w:noWrap w:val="0"/>
            <w:vAlign w:val="center"/>
          </w:tcPr>
          <w:p w14:paraId="28EB449E">
            <w:pPr>
              <w:ind w:firstLine="0" w:firstLineChars="0"/>
              <w:rPr>
                <w:rFonts w:hint="default"/>
                <w:snapToGrid w:val="0"/>
                <w:kern w:val="0"/>
                <w:lang w:val="en-US" w:eastAsia="zh-CN"/>
              </w:rPr>
            </w:pPr>
            <w:r>
              <w:rPr>
                <w:rFonts w:hint="eastAsia"/>
                <w:snapToGrid w:val="0"/>
                <w:kern w:val="0"/>
                <w:lang w:val="en-US" w:eastAsia="zh-CN"/>
              </w:rPr>
              <w:t>含</w:t>
            </w:r>
            <w:r>
              <w:rPr>
                <w:rFonts w:hint="eastAsia"/>
                <w:snapToGrid w:val="0"/>
                <w:kern w:val="0"/>
                <w:u w:val="single"/>
                <w:lang w:val="en-US" w:eastAsia="zh-CN"/>
              </w:rPr>
              <w:t xml:space="preserve">   %</w:t>
            </w:r>
            <w:r>
              <w:rPr>
                <w:rFonts w:hint="eastAsia"/>
                <w:snapToGrid w:val="0"/>
                <w:kern w:val="0"/>
                <w:lang w:val="en-US" w:eastAsia="zh-CN"/>
              </w:rPr>
              <w:t>税金</w:t>
            </w:r>
          </w:p>
        </w:tc>
      </w:tr>
      <w:tr w14:paraId="1476E3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3475" w:type="pct"/>
            <w:gridSpan w:val="5"/>
            <w:tcBorders>
              <w:top w:val="single" w:color="auto" w:sz="4" w:space="0"/>
            </w:tcBorders>
            <w:noWrap w:val="0"/>
            <w:vAlign w:val="center"/>
          </w:tcPr>
          <w:p w14:paraId="1EEB89E4">
            <w:pPr>
              <w:ind w:firstLine="210" w:firstLineChars="100"/>
              <w:jc w:val="center"/>
              <w:rPr>
                <w:rFonts w:hint="default"/>
                <w:snapToGrid w:val="0"/>
                <w:kern w:val="0"/>
                <w:lang w:val="en-US" w:eastAsia="zh-CN"/>
              </w:rPr>
            </w:pPr>
            <w:r>
              <w:rPr>
                <w:rFonts w:hint="eastAsia"/>
                <w:snapToGrid w:val="0"/>
                <w:kern w:val="0"/>
                <w:lang w:val="en-US" w:eastAsia="zh-CN"/>
              </w:rPr>
              <w:t>合计（元/年）</w:t>
            </w:r>
          </w:p>
        </w:tc>
        <w:tc>
          <w:tcPr>
            <w:tcW w:w="800" w:type="pct"/>
            <w:tcBorders>
              <w:top w:val="single" w:color="auto" w:sz="4" w:space="0"/>
            </w:tcBorders>
            <w:noWrap w:val="0"/>
            <w:vAlign w:val="center"/>
          </w:tcPr>
          <w:p w14:paraId="03479AA8">
            <w:pPr>
              <w:ind w:firstLine="210" w:firstLineChars="100"/>
              <w:rPr>
                <w:rFonts w:hint="eastAsia"/>
                <w:snapToGrid w:val="0"/>
                <w:kern w:val="0"/>
                <w:lang w:val="en-US" w:eastAsia="zh-CN"/>
              </w:rPr>
            </w:pPr>
          </w:p>
        </w:tc>
        <w:tc>
          <w:tcPr>
            <w:tcW w:w="724" w:type="pct"/>
            <w:tcBorders>
              <w:top w:val="single" w:color="auto" w:sz="4" w:space="0"/>
            </w:tcBorders>
            <w:noWrap w:val="0"/>
            <w:vAlign w:val="center"/>
          </w:tcPr>
          <w:p w14:paraId="6E586FCB">
            <w:pPr>
              <w:ind w:firstLine="0" w:firstLineChars="0"/>
              <w:rPr>
                <w:rFonts w:hint="eastAsia"/>
                <w:snapToGrid w:val="0"/>
                <w:kern w:val="0"/>
                <w:lang w:val="en-US" w:eastAsia="zh-CN"/>
              </w:rPr>
            </w:pPr>
            <w:r>
              <w:rPr>
                <w:rFonts w:hint="eastAsia"/>
                <w:snapToGrid w:val="0"/>
                <w:kern w:val="0"/>
                <w:lang w:val="en-US" w:eastAsia="zh-CN"/>
              </w:rPr>
              <w:t>含</w:t>
            </w:r>
            <w:r>
              <w:rPr>
                <w:rFonts w:hint="eastAsia"/>
                <w:snapToGrid w:val="0"/>
                <w:kern w:val="0"/>
                <w:u w:val="single"/>
                <w:lang w:val="en-US" w:eastAsia="zh-CN"/>
              </w:rPr>
              <w:t xml:space="preserve">   %</w:t>
            </w:r>
            <w:r>
              <w:rPr>
                <w:rFonts w:hint="eastAsia"/>
                <w:snapToGrid w:val="0"/>
                <w:kern w:val="0"/>
                <w:lang w:val="en-US" w:eastAsia="zh-CN"/>
              </w:rPr>
              <w:t>税金</w:t>
            </w:r>
          </w:p>
        </w:tc>
      </w:tr>
    </w:tbl>
    <w:p w14:paraId="135CFF73">
      <w:pPr>
        <w:spacing w:line="560" w:lineRule="exact"/>
        <w:jc w:val="left"/>
        <w:rPr>
          <w:rFonts w:hint="eastAsia" w:ascii="仿宋_GB2312" w:hAnsi="仿宋_GB2312" w:eastAsia="仿宋_GB2312" w:cs="仿宋_GB2312"/>
          <w:sz w:val="32"/>
          <w:szCs w:val="32"/>
          <w:highlight w:val="none"/>
          <w:lang w:val="en-US" w:eastAsia="zh-CN"/>
        </w:rPr>
      </w:pPr>
    </w:p>
    <w:p w14:paraId="56DFD53D">
      <w:pPr>
        <w:spacing w:line="560" w:lineRule="exact"/>
        <w:jc w:val="left"/>
        <w:rPr>
          <w:rFonts w:hint="eastAsia" w:ascii="仿宋_GB2312" w:hAnsi="仿宋_GB2312" w:eastAsia="仿宋_GB2312" w:cs="仿宋_GB2312"/>
          <w:sz w:val="32"/>
          <w:szCs w:val="32"/>
          <w:highlight w:val="none"/>
          <w:lang w:val="en-US" w:eastAsia="zh-CN"/>
        </w:rPr>
      </w:pPr>
    </w:p>
    <w:p w14:paraId="6A25703F">
      <w:pPr>
        <w:spacing w:line="560" w:lineRule="exact"/>
        <w:jc w:val="left"/>
        <w:rPr>
          <w:rFonts w:hint="eastAsia" w:ascii="仿宋_GB2312" w:hAnsi="仿宋_GB2312" w:eastAsia="仿宋_GB2312" w:cs="仿宋_GB2312"/>
          <w:sz w:val="32"/>
          <w:szCs w:val="32"/>
          <w:highlight w:val="none"/>
          <w:lang w:val="en-US" w:eastAsia="zh-CN"/>
        </w:rPr>
      </w:pPr>
    </w:p>
    <w:p w14:paraId="57626F07">
      <w:pPr>
        <w:spacing w:line="560" w:lineRule="exact"/>
        <w:jc w:val="left"/>
        <w:rPr>
          <w:rFonts w:hint="eastAsia" w:ascii="仿宋_GB2312" w:hAnsi="仿宋_GB2312" w:eastAsia="仿宋_GB2312" w:cs="仿宋_GB2312"/>
          <w:sz w:val="32"/>
          <w:szCs w:val="32"/>
          <w:highlight w:val="none"/>
          <w:lang w:val="en-US" w:eastAsia="zh-CN"/>
        </w:rPr>
      </w:pPr>
    </w:p>
    <w:p w14:paraId="2C5DF766">
      <w:pPr>
        <w:spacing w:line="560" w:lineRule="exact"/>
        <w:jc w:val="left"/>
        <w:rPr>
          <w:rFonts w:hint="eastAsia" w:ascii="仿宋_GB2312" w:hAnsi="仿宋_GB2312" w:eastAsia="仿宋_GB2312" w:cs="仿宋_GB2312"/>
          <w:sz w:val="32"/>
          <w:szCs w:val="32"/>
          <w:highlight w:val="none"/>
          <w:lang w:val="en-US" w:eastAsia="zh-CN"/>
        </w:rPr>
      </w:pPr>
    </w:p>
    <w:p w14:paraId="5195F705">
      <w:pPr>
        <w:spacing w:line="560" w:lineRule="exact"/>
        <w:jc w:val="left"/>
        <w:rPr>
          <w:rFonts w:hint="eastAsia" w:ascii="仿宋_GB2312" w:hAnsi="仿宋_GB2312" w:eastAsia="仿宋_GB2312" w:cs="仿宋_GB2312"/>
          <w:sz w:val="32"/>
          <w:szCs w:val="32"/>
          <w:highlight w:val="none"/>
          <w:lang w:val="en-US" w:eastAsia="zh-CN"/>
        </w:rPr>
      </w:pPr>
    </w:p>
    <w:p w14:paraId="3797E1D3">
      <w:pPr>
        <w:spacing w:line="560" w:lineRule="exact"/>
        <w:jc w:val="left"/>
        <w:rPr>
          <w:rFonts w:hint="eastAsia" w:ascii="仿宋_GB2312" w:hAnsi="仿宋_GB2312" w:eastAsia="仿宋_GB2312" w:cs="仿宋_GB2312"/>
          <w:sz w:val="32"/>
          <w:szCs w:val="32"/>
          <w:highlight w:val="none"/>
          <w:lang w:val="en-US" w:eastAsia="zh-CN"/>
        </w:rPr>
      </w:pPr>
    </w:p>
    <w:p w14:paraId="514ED47E">
      <w:pPr>
        <w:spacing w:line="560" w:lineRule="exact"/>
        <w:jc w:val="left"/>
        <w:rPr>
          <w:rFonts w:hint="eastAsia" w:ascii="仿宋_GB2312" w:hAnsi="仿宋_GB2312" w:eastAsia="仿宋_GB2312" w:cs="仿宋_GB2312"/>
          <w:sz w:val="32"/>
          <w:szCs w:val="32"/>
          <w:highlight w:val="none"/>
          <w:lang w:val="en-US" w:eastAsia="zh-CN"/>
        </w:rPr>
      </w:pPr>
    </w:p>
    <w:p w14:paraId="6DC7E203">
      <w:pPr>
        <w:spacing w:line="560" w:lineRule="exact"/>
        <w:jc w:val="left"/>
        <w:rPr>
          <w:rFonts w:hint="eastAsia" w:ascii="仿宋_GB2312" w:hAnsi="仿宋_GB2312" w:eastAsia="仿宋_GB2312" w:cs="仿宋_GB2312"/>
          <w:sz w:val="32"/>
          <w:szCs w:val="32"/>
          <w:highlight w:val="none"/>
          <w:lang w:val="en-US" w:eastAsia="zh-CN"/>
        </w:rPr>
      </w:pPr>
    </w:p>
    <w:p w14:paraId="351E692B">
      <w:pPr>
        <w:spacing w:line="560" w:lineRule="exact"/>
        <w:jc w:val="left"/>
        <w:rPr>
          <w:rFonts w:hint="eastAsia" w:ascii="仿宋_GB2312" w:hAnsi="仿宋_GB2312" w:eastAsia="仿宋_GB2312" w:cs="仿宋_GB2312"/>
          <w:sz w:val="32"/>
          <w:szCs w:val="32"/>
          <w:highlight w:val="none"/>
          <w:lang w:val="en-US" w:eastAsia="zh-CN"/>
        </w:rPr>
      </w:pPr>
    </w:p>
    <w:p w14:paraId="385990CC">
      <w:pPr>
        <w:spacing w:line="560" w:lineRule="exact"/>
        <w:jc w:val="left"/>
        <w:rPr>
          <w:rFonts w:hint="eastAsia" w:ascii="仿宋_GB2312" w:hAnsi="仿宋_GB2312" w:eastAsia="仿宋_GB2312" w:cs="仿宋_GB2312"/>
          <w:sz w:val="32"/>
          <w:szCs w:val="32"/>
          <w:highlight w:val="none"/>
          <w:lang w:val="en-US" w:eastAsia="zh-CN"/>
        </w:rPr>
      </w:pPr>
    </w:p>
    <w:p w14:paraId="2B07D9D7">
      <w:pPr>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附件6：</w:t>
      </w:r>
    </w:p>
    <w:p w14:paraId="175AB1CD">
      <w:pPr>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14:paraId="655F5BA1">
      <w:pPr>
        <w:spacing w:line="560" w:lineRule="exact"/>
        <w:ind w:firstLine="3200" w:firstLineChars="10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其他资料</w:t>
      </w:r>
    </w:p>
    <w:p w14:paraId="08DBBC7B">
      <w:pPr>
        <w:numPr>
          <w:ilvl w:val="-1"/>
          <w:numId w:val="0"/>
        </w:numPr>
        <w:spacing w:line="560" w:lineRule="exact"/>
        <w:ind w:left="0" w:leftChars="0"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1、提供营业执照、法人证明、法人授权加盖公章（格式自拟）；</w:t>
      </w:r>
    </w:p>
    <w:p w14:paraId="3A8B1AE9">
      <w:pPr>
        <w:numPr>
          <w:ilvl w:val="-1"/>
          <w:numId w:val="0"/>
        </w:numPr>
        <w:spacing w:line="240" w:lineRule="auto"/>
        <w:ind w:left="0" w:leftChars="0" w:firstLine="640" w:firstLineChars="200"/>
        <w:jc w:val="left"/>
        <w:rPr>
          <w:rFonts w:hint="default"/>
          <w:sz w:val="32"/>
          <w:szCs w:val="32"/>
          <w:u w:val="none"/>
          <w:lang w:val="en-US" w:eastAsia="zh-CN"/>
        </w:rPr>
      </w:pPr>
      <w:r>
        <w:rPr>
          <w:rFonts w:hint="eastAsia" w:ascii="仿宋_GB2312" w:hAnsi="仿宋_GB2312" w:eastAsia="仿宋_GB2312" w:cs="仿宋_GB2312"/>
          <w:color w:val="auto"/>
          <w:sz w:val="32"/>
          <w:szCs w:val="32"/>
          <w:highlight w:val="none"/>
          <w:lang w:val="en-US" w:eastAsia="zh-CN"/>
        </w:rPr>
        <w:t>2、提供保洁（清洁）服务、有害生物防制(治)或病媒生物防治服务及绿化服务等相关经营范围（需提供市场监督管理局中经营范围的截图或企查查中经营范围的截图，并加盖公章）。</w:t>
      </w:r>
    </w:p>
    <w:p w14:paraId="73D2DB47">
      <w:pPr>
        <w:pStyle w:val="2"/>
        <w:numPr>
          <w:ilvl w:val="-1"/>
          <w:numId w:val="0"/>
        </w:numPr>
        <w:ind w:left="420" w:leftChars="0" w:firstLine="0" w:firstLineChars="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highlight w:val="none"/>
          <w:lang w:val="en-US" w:eastAsia="zh-CN"/>
        </w:rPr>
        <w:t>3、其他询价函要求的资料（复印件加盖公司公章）；</w:t>
      </w:r>
    </w:p>
    <w:p w14:paraId="4FAA17FB">
      <w:pPr>
        <w:pStyle w:val="2"/>
        <w:numPr>
          <w:ilvl w:val="-1"/>
          <w:numId w:val="0"/>
        </w:numPr>
        <w:ind w:left="420" w:leftChars="0" w:firstLine="0" w:firstLineChars="0"/>
        <w:jc w:val="both"/>
        <w:rPr>
          <w:rFonts w:hint="eastAsia" w:ascii="仿宋_GB2312" w:hAnsi="仿宋_GB2312" w:eastAsia="仿宋_GB2312" w:cs="仿宋_GB2312"/>
          <w:sz w:val="32"/>
          <w:szCs w:val="32"/>
          <w:u w:val="none"/>
          <w:lang w:val="en-US" w:eastAsia="zh-CN"/>
        </w:rPr>
      </w:pPr>
    </w:p>
    <w:sectPr>
      <w:pgSz w:w="11906" w:h="16838"/>
      <w:pgMar w:top="1814" w:right="1474" w:bottom="181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DCE919B-DF34-43CE-9047-8080A66089E8}"/>
  </w:font>
  <w:font w:name="方正小标宋简体">
    <w:panose1 w:val="03000509000000000000"/>
    <w:charset w:val="86"/>
    <w:family w:val="auto"/>
    <w:pitch w:val="default"/>
    <w:sig w:usb0="00000001" w:usb1="080E0000" w:usb2="00000000" w:usb3="00000000" w:csb0="00040000" w:csb1="00000000"/>
    <w:embedRegular r:id="rId2" w:fontKey="{6F06498B-7614-49A9-A479-111D63D0377D}"/>
  </w:font>
  <w:font w:name="仿宋_GB2312">
    <w:panose1 w:val="02010609030101010101"/>
    <w:charset w:val="86"/>
    <w:family w:val="auto"/>
    <w:pitch w:val="default"/>
    <w:sig w:usb0="00000001" w:usb1="080E0000" w:usb2="00000000" w:usb3="00000000" w:csb0="00040000" w:csb1="00000000"/>
    <w:embedRegular r:id="rId3" w:fontKey="{7472727A-5B2F-4551-B7EA-363070669CE8}"/>
  </w:font>
  <w:font w:name="仿宋">
    <w:panose1 w:val="02010609060101010101"/>
    <w:charset w:val="86"/>
    <w:family w:val="auto"/>
    <w:pitch w:val="default"/>
    <w:sig w:usb0="800002BF" w:usb1="38CF7CFA" w:usb2="00000016" w:usb3="00000000" w:csb0="00040001" w:csb1="00000000"/>
    <w:embedRegular r:id="rId4" w:fontKey="{EB766B8C-34B9-4CFB-90F5-4257FAC03B96}"/>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lvlText w:val=""/>
      <w:lvlJc w:val="left"/>
      <w:pPr>
        <w:tabs>
          <w:tab w:val="left" w:pos="2040"/>
        </w:tabs>
        <w:ind w:left="2040" w:hanging="360"/>
      </w:pPr>
      <w:rPr>
        <w:rFonts w:hint="default" w:ascii="Wingdings" w:hAnsi="Wingdings"/>
      </w:rPr>
    </w:lvl>
  </w:abstractNum>
  <w:abstractNum w:abstractNumId="1">
    <w:nsid w:val="1ADE2D38"/>
    <w:multiLevelType w:val="singleLevel"/>
    <w:tmpl w:val="1ADE2D3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2MzOTVjNmJjMTRmNWQ4MzUxODNiNjcxMmIxZWUifQ=="/>
  </w:docVars>
  <w:rsids>
    <w:rsidRoot w:val="14F87D44"/>
    <w:rsid w:val="001D3E17"/>
    <w:rsid w:val="00606308"/>
    <w:rsid w:val="007565B1"/>
    <w:rsid w:val="008664A8"/>
    <w:rsid w:val="00D20B4D"/>
    <w:rsid w:val="01320281"/>
    <w:rsid w:val="02080F1A"/>
    <w:rsid w:val="024C4754"/>
    <w:rsid w:val="02ED1C6E"/>
    <w:rsid w:val="0329344A"/>
    <w:rsid w:val="03420700"/>
    <w:rsid w:val="03654C5D"/>
    <w:rsid w:val="03743071"/>
    <w:rsid w:val="03827537"/>
    <w:rsid w:val="03A47429"/>
    <w:rsid w:val="03B66504"/>
    <w:rsid w:val="03D22A92"/>
    <w:rsid w:val="045B1B00"/>
    <w:rsid w:val="04F5420C"/>
    <w:rsid w:val="052C7DC7"/>
    <w:rsid w:val="05607395"/>
    <w:rsid w:val="05C105DA"/>
    <w:rsid w:val="070B125C"/>
    <w:rsid w:val="072F6B7D"/>
    <w:rsid w:val="07367694"/>
    <w:rsid w:val="077F716E"/>
    <w:rsid w:val="07C35693"/>
    <w:rsid w:val="0849203C"/>
    <w:rsid w:val="08601134"/>
    <w:rsid w:val="08B97A8C"/>
    <w:rsid w:val="08D16856"/>
    <w:rsid w:val="08FD1455"/>
    <w:rsid w:val="09016C55"/>
    <w:rsid w:val="09C4435E"/>
    <w:rsid w:val="0A081A83"/>
    <w:rsid w:val="0AAF327A"/>
    <w:rsid w:val="0B0F6323"/>
    <w:rsid w:val="0B2D6FED"/>
    <w:rsid w:val="0B8615FF"/>
    <w:rsid w:val="0BB46F95"/>
    <w:rsid w:val="0BC41295"/>
    <w:rsid w:val="0C11587A"/>
    <w:rsid w:val="0D57309F"/>
    <w:rsid w:val="0DC91529"/>
    <w:rsid w:val="0DCA42BF"/>
    <w:rsid w:val="0E330D9F"/>
    <w:rsid w:val="0E8555EB"/>
    <w:rsid w:val="0FF1182B"/>
    <w:rsid w:val="105453B4"/>
    <w:rsid w:val="10A2678D"/>
    <w:rsid w:val="10D10B8D"/>
    <w:rsid w:val="1139230A"/>
    <w:rsid w:val="119759ED"/>
    <w:rsid w:val="12CF4F2F"/>
    <w:rsid w:val="12F11FBD"/>
    <w:rsid w:val="13165DA7"/>
    <w:rsid w:val="137232E7"/>
    <w:rsid w:val="13974A0D"/>
    <w:rsid w:val="1459688F"/>
    <w:rsid w:val="14F87D44"/>
    <w:rsid w:val="15054F9F"/>
    <w:rsid w:val="153E5701"/>
    <w:rsid w:val="15914AA5"/>
    <w:rsid w:val="15A0547C"/>
    <w:rsid w:val="16582A3F"/>
    <w:rsid w:val="1665652D"/>
    <w:rsid w:val="16AB6774"/>
    <w:rsid w:val="16AC0552"/>
    <w:rsid w:val="1781069F"/>
    <w:rsid w:val="17A35213"/>
    <w:rsid w:val="17C25415"/>
    <w:rsid w:val="17E3216B"/>
    <w:rsid w:val="181B1FFB"/>
    <w:rsid w:val="184C1093"/>
    <w:rsid w:val="18D604E1"/>
    <w:rsid w:val="190E71CA"/>
    <w:rsid w:val="19E00D3C"/>
    <w:rsid w:val="1A026D68"/>
    <w:rsid w:val="1A3A780C"/>
    <w:rsid w:val="1AB1581F"/>
    <w:rsid w:val="1B32458C"/>
    <w:rsid w:val="1BF11308"/>
    <w:rsid w:val="1C0E1224"/>
    <w:rsid w:val="1CBA49F4"/>
    <w:rsid w:val="1CC770E4"/>
    <w:rsid w:val="1D551F8B"/>
    <w:rsid w:val="1E060945"/>
    <w:rsid w:val="1E68443A"/>
    <w:rsid w:val="1E943BBB"/>
    <w:rsid w:val="1EC54DAB"/>
    <w:rsid w:val="1EE120F7"/>
    <w:rsid w:val="1F8930F2"/>
    <w:rsid w:val="1FA4570F"/>
    <w:rsid w:val="1FCB1BD2"/>
    <w:rsid w:val="204A6463"/>
    <w:rsid w:val="210E5148"/>
    <w:rsid w:val="21247B2A"/>
    <w:rsid w:val="221E5141"/>
    <w:rsid w:val="22287172"/>
    <w:rsid w:val="22294956"/>
    <w:rsid w:val="226B7889"/>
    <w:rsid w:val="22A55C69"/>
    <w:rsid w:val="23820953"/>
    <w:rsid w:val="245F611A"/>
    <w:rsid w:val="24666BF6"/>
    <w:rsid w:val="24AC7783"/>
    <w:rsid w:val="25201CCB"/>
    <w:rsid w:val="258403D4"/>
    <w:rsid w:val="259B403D"/>
    <w:rsid w:val="25AF1BE4"/>
    <w:rsid w:val="25F767DC"/>
    <w:rsid w:val="26EE205D"/>
    <w:rsid w:val="27627FCB"/>
    <w:rsid w:val="276A6636"/>
    <w:rsid w:val="277A3B68"/>
    <w:rsid w:val="27C67A75"/>
    <w:rsid w:val="27F53311"/>
    <w:rsid w:val="286361E3"/>
    <w:rsid w:val="288B5901"/>
    <w:rsid w:val="289618DE"/>
    <w:rsid w:val="28D92B11"/>
    <w:rsid w:val="292D0766"/>
    <w:rsid w:val="29A36512"/>
    <w:rsid w:val="29A664E5"/>
    <w:rsid w:val="2A0C65CE"/>
    <w:rsid w:val="2A3554DC"/>
    <w:rsid w:val="2A6578AF"/>
    <w:rsid w:val="2ABC674E"/>
    <w:rsid w:val="2AF15D31"/>
    <w:rsid w:val="2B11561A"/>
    <w:rsid w:val="2B2730C7"/>
    <w:rsid w:val="2B5818B7"/>
    <w:rsid w:val="2B631265"/>
    <w:rsid w:val="2BE30C6C"/>
    <w:rsid w:val="2D2E1455"/>
    <w:rsid w:val="2D9A3001"/>
    <w:rsid w:val="2DB71241"/>
    <w:rsid w:val="2E5A7C8B"/>
    <w:rsid w:val="2E712F51"/>
    <w:rsid w:val="2E7F1344"/>
    <w:rsid w:val="2E8078C2"/>
    <w:rsid w:val="2EE713B8"/>
    <w:rsid w:val="2F1A178D"/>
    <w:rsid w:val="2F2879C0"/>
    <w:rsid w:val="2F2B60C3"/>
    <w:rsid w:val="2F2D6D1A"/>
    <w:rsid w:val="2FA9003E"/>
    <w:rsid w:val="303C58A4"/>
    <w:rsid w:val="304A7E50"/>
    <w:rsid w:val="309D14D3"/>
    <w:rsid w:val="30F85AFE"/>
    <w:rsid w:val="311B07F6"/>
    <w:rsid w:val="31B10D36"/>
    <w:rsid w:val="321B72C7"/>
    <w:rsid w:val="321B7FCA"/>
    <w:rsid w:val="323963CE"/>
    <w:rsid w:val="32CD6857"/>
    <w:rsid w:val="32FA5B5D"/>
    <w:rsid w:val="335A762F"/>
    <w:rsid w:val="336A2A0B"/>
    <w:rsid w:val="339F23DC"/>
    <w:rsid w:val="341B222F"/>
    <w:rsid w:val="3444193A"/>
    <w:rsid w:val="34E45D5E"/>
    <w:rsid w:val="353F3CFB"/>
    <w:rsid w:val="35552CE1"/>
    <w:rsid w:val="360F52D6"/>
    <w:rsid w:val="364041CF"/>
    <w:rsid w:val="373051A1"/>
    <w:rsid w:val="37321D6A"/>
    <w:rsid w:val="378D6FA0"/>
    <w:rsid w:val="37A202EB"/>
    <w:rsid w:val="38543684"/>
    <w:rsid w:val="38677B66"/>
    <w:rsid w:val="39707F65"/>
    <w:rsid w:val="398468E2"/>
    <w:rsid w:val="39EF79CE"/>
    <w:rsid w:val="39F95404"/>
    <w:rsid w:val="3B5C0109"/>
    <w:rsid w:val="3C9764CD"/>
    <w:rsid w:val="3CA676A0"/>
    <w:rsid w:val="3CBA261B"/>
    <w:rsid w:val="3CC92A7A"/>
    <w:rsid w:val="3DA57A21"/>
    <w:rsid w:val="3E1F0817"/>
    <w:rsid w:val="3E4A2749"/>
    <w:rsid w:val="3E6D1E0A"/>
    <w:rsid w:val="3EA54AC0"/>
    <w:rsid w:val="3F534F5C"/>
    <w:rsid w:val="3FDD1F71"/>
    <w:rsid w:val="3FEC2CD2"/>
    <w:rsid w:val="40326749"/>
    <w:rsid w:val="40FC1F60"/>
    <w:rsid w:val="42167A80"/>
    <w:rsid w:val="42616524"/>
    <w:rsid w:val="431233ED"/>
    <w:rsid w:val="438B452F"/>
    <w:rsid w:val="4413474A"/>
    <w:rsid w:val="457470C0"/>
    <w:rsid w:val="45F700DE"/>
    <w:rsid w:val="46945D5C"/>
    <w:rsid w:val="46BD0032"/>
    <w:rsid w:val="483B5544"/>
    <w:rsid w:val="48D74C90"/>
    <w:rsid w:val="49BB5BEF"/>
    <w:rsid w:val="49D2118A"/>
    <w:rsid w:val="4A751C41"/>
    <w:rsid w:val="4B806F24"/>
    <w:rsid w:val="4BA672D8"/>
    <w:rsid w:val="4BE040CB"/>
    <w:rsid w:val="4C3E4C07"/>
    <w:rsid w:val="4D135D42"/>
    <w:rsid w:val="4D922371"/>
    <w:rsid w:val="4E9D3807"/>
    <w:rsid w:val="4EBC7A82"/>
    <w:rsid w:val="4FF827A6"/>
    <w:rsid w:val="50403375"/>
    <w:rsid w:val="50885684"/>
    <w:rsid w:val="50BD049E"/>
    <w:rsid w:val="50BF4786"/>
    <w:rsid w:val="5126143A"/>
    <w:rsid w:val="51634187"/>
    <w:rsid w:val="52040509"/>
    <w:rsid w:val="522F7589"/>
    <w:rsid w:val="52BA043A"/>
    <w:rsid w:val="52F76B0B"/>
    <w:rsid w:val="52FB705C"/>
    <w:rsid w:val="530D0D2D"/>
    <w:rsid w:val="53207EF7"/>
    <w:rsid w:val="53446C55"/>
    <w:rsid w:val="537F6B23"/>
    <w:rsid w:val="539B02BB"/>
    <w:rsid w:val="53DF697E"/>
    <w:rsid w:val="54FA5966"/>
    <w:rsid w:val="550A4038"/>
    <w:rsid w:val="55586A82"/>
    <w:rsid w:val="562307CB"/>
    <w:rsid w:val="56C97F23"/>
    <w:rsid w:val="577629DF"/>
    <w:rsid w:val="57873CE9"/>
    <w:rsid w:val="57CC79AB"/>
    <w:rsid w:val="57E60D46"/>
    <w:rsid w:val="58433B92"/>
    <w:rsid w:val="58C0152E"/>
    <w:rsid w:val="58FE12B9"/>
    <w:rsid w:val="595D5219"/>
    <w:rsid w:val="597C07CB"/>
    <w:rsid w:val="599D17B1"/>
    <w:rsid w:val="59CF49CA"/>
    <w:rsid w:val="5A150B60"/>
    <w:rsid w:val="5A5910EF"/>
    <w:rsid w:val="5AF10470"/>
    <w:rsid w:val="5B0806A0"/>
    <w:rsid w:val="5B841BB4"/>
    <w:rsid w:val="5BB7531D"/>
    <w:rsid w:val="5C135D05"/>
    <w:rsid w:val="5C2855D3"/>
    <w:rsid w:val="5C6C0758"/>
    <w:rsid w:val="5C7B0432"/>
    <w:rsid w:val="5C855BE8"/>
    <w:rsid w:val="5CFC234E"/>
    <w:rsid w:val="5D170BA2"/>
    <w:rsid w:val="5D1B66EF"/>
    <w:rsid w:val="5D5C103F"/>
    <w:rsid w:val="5E816FDD"/>
    <w:rsid w:val="5E95370F"/>
    <w:rsid w:val="5EA237E9"/>
    <w:rsid w:val="5EC7698C"/>
    <w:rsid w:val="5F003120"/>
    <w:rsid w:val="5FDA7A7F"/>
    <w:rsid w:val="60194FC5"/>
    <w:rsid w:val="603C53C3"/>
    <w:rsid w:val="604F07E6"/>
    <w:rsid w:val="608562AF"/>
    <w:rsid w:val="60A0371F"/>
    <w:rsid w:val="60C2046C"/>
    <w:rsid w:val="61051185"/>
    <w:rsid w:val="6178022C"/>
    <w:rsid w:val="62B246B0"/>
    <w:rsid w:val="62B72874"/>
    <w:rsid w:val="63517352"/>
    <w:rsid w:val="638E7A78"/>
    <w:rsid w:val="63DD342C"/>
    <w:rsid w:val="64577652"/>
    <w:rsid w:val="65092D21"/>
    <w:rsid w:val="66537C8A"/>
    <w:rsid w:val="67F77236"/>
    <w:rsid w:val="681B360A"/>
    <w:rsid w:val="693F340F"/>
    <w:rsid w:val="69C935B8"/>
    <w:rsid w:val="6A0B1E23"/>
    <w:rsid w:val="6A103DDD"/>
    <w:rsid w:val="6A214C3D"/>
    <w:rsid w:val="6A4D0376"/>
    <w:rsid w:val="6B034790"/>
    <w:rsid w:val="6B14288A"/>
    <w:rsid w:val="6B234F4A"/>
    <w:rsid w:val="6B683097"/>
    <w:rsid w:val="6B8F0831"/>
    <w:rsid w:val="6BAD142C"/>
    <w:rsid w:val="6D9642B0"/>
    <w:rsid w:val="6E2238C1"/>
    <w:rsid w:val="6E860FB1"/>
    <w:rsid w:val="6E9B2F4C"/>
    <w:rsid w:val="6EFA63D0"/>
    <w:rsid w:val="6F5778B8"/>
    <w:rsid w:val="6F611B13"/>
    <w:rsid w:val="6F8378E2"/>
    <w:rsid w:val="6FE23CD5"/>
    <w:rsid w:val="6FF16D76"/>
    <w:rsid w:val="6FFC72C8"/>
    <w:rsid w:val="701A4559"/>
    <w:rsid w:val="702D46D3"/>
    <w:rsid w:val="712D08D1"/>
    <w:rsid w:val="719431BE"/>
    <w:rsid w:val="7338518F"/>
    <w:rsid w:val="734553B7"/>
    <w:rsid w:val="73845B12"/>
    <w:rsid w:val="73BE1F29"/>
    <w:rsid w:val="741F12C7"/>
    <w:rsid w:val="74463A57"/>
    <w:rsid w:val="74BE50DC"/>
    <w:rsid w:val="74CD7D58"/>
    <w:rsid w:val="7577105B"/>
    <w:rsid w:val="75F81EC5"/>
    <w:rsid w:val="761D4D53"/>
    <w:rsid w:val="761F3CD7"/>
    <w:rsid w:val="763B0C4F"/>
    <w:rsid w:val="76C75300"/>
    <w:rsid w:val="76D87530"/>
    <w:rsid w:val="782000D1"/>
    <w:rsid w:val="78B97986"/>
    <w:rsid w:val="78F12166"/>
    <w:rsid w:val="78F42964"/>
    <w:rsid w:val="792C5FAF"/>
    <w:rsid w:val="799022FC"/>
    <w:rsid w:val="79C86B1F"/>
    <w:rsid w:val="7A477016"/>
    <w:rsid w:val="7A7A5107"/>
    <w:rsid w:val="7A8C40C9"/>
    <w:rsid w:val="7AA53BCD"/>
    <w:rsid w:val="7AB03A59"/>
    <w:rsid w:val="7B570C76"/>
    <w:rsid w:val="7B915F00"/>
    <w:rsid w:val="7BAB6F63"/>
    <w:rsid w:val="7BC167E5"/>
    <w:rsid w:val="7C2E2D68"/>
    <w:rsid w:val="7C487629"/>
    <w:rsid w:val="7C8B6DF3"/>
    <w:rsid w:val="7CB310C7"/>
    <w:rsid w:val="7D8948E1"/>
    <w:rsid w:val="7D9D5F5B"/>
    <w:rsid w:val="7E5E354D"/>
    <w:rsid w:val="7EC21C85"/>
    <w:rsid w:val="7F151E63"/>
    <w:rsid w:val="7F65254F"/>
    <w:rsid w:val="7F835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bCs/>
      <w:kern w:val="44"/>
      <w:sz w:val="44"/>
      <w:szCs w:val="44"/>
    </w:rPr>
  </w:style>
  <w:style w:type="paragraph" w:styleId="4">
    <w:name w:val="heading 2"/>
    <w:basedOn w:val="5"/>
    <w:next w:val="6"/>
    <w:qFormat/>
    <w:uiPriority w:val="0"/>
    <w:pPr>
      <w:numPr>
        <w:ilvl w:val="1"/>
        <w:numId w:val="1"/>
      </w:numPr>
      <w:tabs>
        <w:tab w:val="left" w:pos="2040"/>
      </w:tabs>
      <w:spacing w:before="240" w:after="240" w:line="480" w:lineRule="auto"/>
      <w:ind w:left="0" w:firstLine="0"/>
      <w:jc w:val="center"/>
      <w:outlineLvl w:val="1"/>
    </w:pPr>
    <w:rPr>
      <w:rFonts w:ascii="Times New Roman" w:hAnsi="Times New Roman" w:eastAsia="宋体" w:cs="Calibri"/>
      <w:kern w:val="0"/>
      <w:sz w:val="28"/>
      <w:szCs w:val="20"/>
    </w:rPr>
  </w:style>
  <w:style w:type="paragraph" w:styleId="5">
    <w:name w:val="heading 3"/>
    <w:basedOn w:val="6"/>
    <w:next w:val="1"/>
    <w:qFormat/>
    <w:uiPriority w:val="0"/>
    <w:pPr>
      <w:keepNext/>
      <w:keepLines/>
      <w:tabs>
        <w:tab w:val="left" w:pos="2040"/>
      </w:tabs>
      <w:adjustRightInd w:val="0"/>
      <w:snapToGrid w:val="0"/>
      <w:spacing w:before="156" w:beforeLines="50" w:after="156" w:afterLines="50" w:line="500" w:lineRule="atLeast"/>
      <w:jc w:val="center"/>
      <w:outlineLvl w:val="2"/>
    </w:pPr>
    <w:rPr>
      <w:rFonts w:ascii="宋体" w:hAnsi="宋体" w:eastAsia="宋体"/>
      <w:bCs/>
      <w:sz w:val="28"/>
      <w:szCs w:val="24"/>
      <w:lang w:val="en-US" w:eastAsia="zh-CN" w:bidi="ar-SA"/>
    </w:rPr>
  </w:style>
  <w:style w:type="paragraph" w:styleId="6">
    <w:name w:val="heading 4"/>
    <w:basedOn w:val="1"/>
    <w:next w:val="1"/>
    <w:qFormat/>
    <w:uiPriority w:val="0"/>
    <w:pPr>
      <w:numPr>
        <w:ilvl w:val="3"/>
        <w:numId w:val="1"/>
      </w:numPr>
      <w:tabs>
        <w:tab w:val="left" w:pos="2040"/>
      </w:tabs>
      <w:spacing w:before="120" w:after="120"/>
      <w:ind w:left="864" w:hanging="144"/>
      <w:outlineLvl w:val="3"/>
    </w:pPr>
    <w:rPr>
      <w:rFonts w:ascii="Times New Roman" w:hAnsi="Times New Roman" w:eastAsia="宋体" w:cs="Calibri"/>
      <w:b/>
      <w:kern w:val="0"/>
      <w:sz w:val="22"/>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非政府正文"/>
    <w:basedOn w:val="1"/>
    <w:qFormat/>
    <w:uiPriority w:val="0"/>
  </w:style>
  <w:style w:type="paragraph" w:styleId="7">
    <w:name w:val="annotation text"/>
    <w:basedOn w:val="1"/>
    <w:qFormat/>
    <w:uiPriority w:val="0"/>
    <w:pPr>
      <w:jc w:val="left"/>
    </w:pPr>
  </w:style>
  <w:style w:type="paragraph" w:styleId="8">
    <w:name w:val="Body Text"/>
    <w:basedOn w:val="1"/>
    <w:unhideWhenUsed/>
    <w:qFormat/>
    <w:uiPriority w:val="99"/>
    <w:pPr>
      <w:spacing w:after="120"/>
    </w:pPr>
  </w:style>
  <w:style w:type="paragraph" w:styleId="9">
    <w:name w:val="Body Text Indent 2"/>
    <w:basedOn w:val="1"/>
    <w:qFormat/>
    <w:uiPriority w:val="0"/>
    <w:pPr>
      <w:spacing w:after="120" w:afterLines="0" w:afterAutospacing="0" w:line="480" w:lineRule="auto"/>
      <w:ind w:left="420" w:left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3971</Words>
  <Characters>4204</Characters>
  <Lines>0</Lines>
  <Paragraphs>0</Paragraphs>
  <TotalTime>26</TotalTime>
  <ScaleCrop>false</ScaleCrop>
  <LinksUpToDate>false</LinksUpToDate>
  <CharactersWithSpaces>4613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2022-09-19T02:57:00Z</dcterms:created>
  <dc:creator>Administrator</dc:creator>
  <cp:lastModifiedBy>机器猫</cp:lastModifiedBy>
  <dcterms:modified xsi:type="dcterms:W3CDTF">2026-06-01T02:27:31Z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C0BD43D7C1584135886C562CE51E6524_13</vt:lpwstr>
  </property>
  <property fmtid="{D5CDD505-2E9C-101B-9397-08002B2CF9AE}" pid="4" name="KSOTemplateDocerSaveRecord">
    <vt:lpwstr>eyJoZGlkIjoiZDI0NTc0MTkxZTlhZGVkYzdhMTYzOGZjNzI1YjA3ZGUiLCJ1c2VySWQiOiIzNjg1NDQzODgifQ==</vt:lpwstr>
  </property>
</Properties>
</file>