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83CFB">
      <w:pPr>
        <w:tabs>
          <w:tab w:val="left" w:pos="3025"/>
        </w:tabs>
        <w:bidi w:val="0"/>
        <w:spacing w:line="360" w:lineRule="auto"/>
        <w:jc w:val="center"/>
        <w:rPr>
          <w:rFonts w:hint="eastAsia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  <w:t>合同文本</w:t>
      </w:r>
    </w:p>
    <w:p w14:paraId="5A13C0DA">
      <w:pPr>
        <w:tabs>
          <w:tab w:val="left" w:pos="3025"/>
        </w:tabs>
        <w:bidi w:val="0"/>
        <w:spacing w:line="360" w:lineRule="auto"/>
        <w:jc w:val="center"/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此合同为参考范本，具体以采购人和成交人实际签订的合同为准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）</w:t>
      </w:r>
    </w:p>
    <w:p w14:paraId="66611A0E">
      <w:pPr>
        <w:tabs>
          <w:tab w:val="left" w:pos="3025"/>
        </w:tabs>
        <w:bidi w:val="0"/>
        <w:spacing w:line="360" w:lineRule="auto"/>
        <w:jc w:val="center"/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</w:pPr>
    </w:p>
    <w:p w14:paraId="49A8A870">
      <w:pPr>
        <w:tabs>
          <w:tab w:val="left" w:pos="3025"/>
        </w:tabs>
        <w:bidi w:val="0"/>
        <w:spacing w:line="360" w:lineRule="auto"/>
        <w:jc w:val="center"/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</w:pPr>
    </w:p>
    <w:p w14:paraId="0B3A1147">
      <w:pPr>
        <w:snapToGrid w:val="0"/>
        <w:spacing w:before="19"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 xml:space="preserve">甲方: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           </w:t>
      </w:r>
    </w:p>
    <w:p w14:paraId="6C8150F5">
      <w:pPr>
        <w:snapToGrid w:val="0"/>
        <w:spacing w:before="19"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 xml:space="preserve">乙方: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           </w:t>
      </w:r>
    </w:p>
    <w:p w14:paraId="2F031A92">
      <w:pPr>
        <w:snapToGrid w:val="0"/>
        <w:spacing w:before="19" w:line="50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14F34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甲乙双方根据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城西镇城市建成区2026年病媒生物防制服务项目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（项目编号: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YCT2026-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）公开成交结果及磋商文件的要求，经协商一致，同意以下专用条款作为本项目合同条款的补充。当合同条款与专用条款不一致时，以专用条款为准。</w:t>
      </w:r>
    </w:p>
    <w:p w14:paraId="3DE47E0E">
      <w:pPr>
        <w:snapToGrid w:val="0"/>
        <w:spacing w:line="360" w:lineRule="auto"/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bookmarkStart w:id="0" w:name="_Toc31922_WPSOffice_Level2"/>
      <w:bookmarkStart w:id="1" w:name="_Toc20084"/>
      <w:bookmarkStart w:id="2" w:name="_Toc9477"/>
      <w:bookmarkStart w:id="3" w:name="_Toc12021_WPSOffice_Level2"/>
      <w:bookmarkStart w:id="4" w:name="_Toc11372_WPSOffice_Level2"/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一、合同标的及金额等</w:t>
      </w:r>
    </w:p>
    <w:tbl>
      <w:tblPr>
        <w:tblStyle w:val="4"/>
        <w:tblW w:w="8560" w:type="dxa"/>
        <w:tblInd w:w="-15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20"/>
        <w:gridCol w:w="1448"/>
        <w:gridCol w:w="2332"/>
        <w:gridCol w:w="902"/>
        <w:gridCol w:w="732"/>
        <w:gridCol w:w="709"/>
        <w:gridCol w:w="850"/>
        <w:gridCol w:w="867"/>
      </w:tblGrid>
      <w:tr w14:paraId="014CC4C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93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E553A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ascii="宋体" w:hAnsi="宋体" w:cs="Arial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B38DF6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项目/产品</w:t>
            </w:r>
            <w:r>
              <w:rPr>
                <w:rFonts w:ascii="宋体" w:hAnsi="宋体" w:cs="Arial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EF99F2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项目内容</w:t>
            </w: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8AF2350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50C764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3A002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49B3CB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合计</w:t>
            </w: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F8E5F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5C6134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0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3EA9A2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  <w:t>1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 w14:paraId="24DF5897">
            <w:pPr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</w:t>
            </w:r>
          </w:p>
          <w:p w14:paraId="07F293A2">
            <w:pPr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94571F0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0F48126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6CB1CF49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861F52A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C5984C7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A59486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  <w:tr w14:paraId="0C6C81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4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793A15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  <w:t>2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 w14:paraId="351C4020">
            <w:pPr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</w:t>
            </w:r>
          </w:p>
          <w:p w14:paraId="099AF96A">
            <w:pPr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C29B393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F6D2A96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0E7B5D0F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D2BA78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59AEB5E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A95D87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  <w:tr w14:paraId="242656B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76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C5E5B74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  <w:t>3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 w14:paraId="64295CF3">
            <w:pPr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</w:t>
            </w:r>
          </w:p>
          <w:p w14:paraId="33393DCD">
            <w:pPr>
              <w:rPr>
                <w:rFonts w:hint="eastAsia"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D1D677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44BDB25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5ED1932E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3E273B7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99B93C9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3FE166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  <w:tr w14:paraId="641A071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76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6622D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  <w:t>4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 w14:paraId="5AC0918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569CB0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795842E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CC6C2A2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E5E4998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A5BF99F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B57E04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  <w:tr w14:paraId="13B00D4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76" w:hRule="exact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657BF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  <w:t>…</w:t>
            </w:r>
          </w:p>
        </w:tc>
        <w:tc>
          <w:tcPr>
            <w:tcW w:w="1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 w14:paraId="5779B04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B6ACA76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FA0F5FE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68A2A239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96F1E8F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6B7144C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8EE0730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  <w:tr w14:paraId="0A85BB4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79" w:hRule="exact"/>
        </w:trPr>
        <w:tc>
          <w:tcPr>
            <w:tcW w:w="2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2AD3DB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 w:val="24"/>
                <w:szCs w:val="21"/>
                <w:highlight w:val="none"/>
              </w:rPr>
              <w:t>报价</w:t>
            </w:r>
            <w:r>
              <w:rPr>
                <w:rFonts w:ascii="宋体" w:hAnsi="宋体" w:cs="Arial"/>
                <w:b/>
                <w:color w:val="auto"/>
                <w:sz w:val="24"/>
                <w:szCs w:val="21"/>
                <w:highlight w:val="none"/>
              </w:rPr>
              <w:t>总</w:t>
            </w:r>
            <w:r>
              <w:rPr>
                <w:rFonts w:hint="eastAsia" w:ascii="宋体" w:hAnsi="宋体" w:cs="Arial"/>
                <w:b/>
                <w:color w:val="auto"/>
                <w:sz w:val="24"/>
                <w:szCs w:val="21"/>
                <w:highlight w:val="none"/>
              </w:rPr>
              <w:t>额（小写）</w:t>
            </w:r>
          </w:p>
        </w:tc>
        <w:tc>
          <w:tcPr>
            <w:tcW w:w="46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218306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232162E0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1"/>
                <w:highlight w:val="none"/>
              </w:rPr>
              <w:t>大小写应一致</w:t>
            </w:r>
          </w:p>
        </w:tc>
      </w:tr>
      <w:tr w14:paraId="5821F5D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79" w:hRule="exact"/>
        </w:trPr>
        <w:tc>
          <w:tcPr>
            <w:tcW w:w="2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E825C3F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sz w:val="24"/>
                <w:szCs w:val="21"/>
                <w:highlight w:val="none"/>
              </w:rPr>
              <w:t>报价</w:t>
            </w:r>
            <w:r>
              <w:rPr>
                <w:rFonts w:ascii="宋体" w:hAnsi="宋体" w:cs="Arial"/>
                <w:b/>
                <w:color w:val="auto"/>
                <w:sz w:val="24"/>
                <w:szCs w:val="21"/>
                <w:highlight w:val="none"/>
              </w:rPr>
              <w:t>总</w:t>
            </w:r>
            <w:r>
              <w:rPr>
                <w:rFonts w:hint="eastAsia" w:ascii="宋体" w:hAnsi="宋体" w:cs="Arial"/>
                <w:b/>
                <w:color w:val="auto"/>
                <w:sz w:val="24"/>
                <w:szCs w:val="21"/>
                <w:highlight w:val="none"/>
              </w:rPr>
              <w:t>额（</w:t>
            </w:r>
            <w:r>
              <w:rPr>
                <w:rFonts w:ascii="宋体" w:hAnsi="宋体" w:cs="Arial"/>
                <w:b/>
                <w:color w:val="auto"/>
                <w:sz w:val="24"/>
                <w:szCs w:val="21"/>
                <w:highlight w:val="none"/>
              </w:rPr>
              <w:t>大</w:t>
            </w:r>
            <w:r>
              <w:rPr>
                <w:rFonts w:hint="eastAsia" w:ascii="宋体" w:hAnsi="宋体" w:cs="Arial"/>
                <w:b/>
                <w:color w:val="auto"/>
                <w:sz w:val="24"/>
                <w:szCs w:val="21"/>
                <w:highlight w:val="none"/>
              </w:rPr>
              <w:t>写）</w:t>
            </w:r>
          </w:p>
        </w:tc>
        <w:tc>
          <w:tcPr>
            <w:tcW w:w="46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8FE337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717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5CAB090">
            <w:pPr>
              <w:rPr>
                <w:rFonts w:ascii="宋体" w:hAnsi="宋体" w:cs="Arial"/>
                <w:color w:val="auto"/>
                <w:sz w:val="24"/>
                <w:szCs w:val="21"/>
                <w:highlight w:val="none"/>
              </w:rPr>
            </w:pPr>
          </w:p>
        </w:tc>
      </w:tr>
    </w:tbl>
    <w:p w14:paraId="363C67C8">
      <w:pPr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 xml:space="preserve">服务期 </w:t>
      </w:r>
      <w:r>
        <w:rPr>
          <w:rFonts w:hint="eastAsia" w:ascii="宋体" w:hAnsi="宋体"/>
          <w:b/>
          <w:color w:val="auto"/>
          <w:sz w:val="24"/>
          <w:highlight w:val="none"/>
        </w:rPr>
        <w:t>：</w:t>
      </w:r>
    </w:p>
    <w:p w14:paraId="7EAD7FCD">
      <w:pPr>
        <w:snapToGrid w:val="0"/>
        <w:spacing w:line="360" w:lineRule="auto"/>
        <w:jc w:val="both"/>
        <w:outlineLvl w:val="1"/>
        <w:rPr>
          <w:rFonts w:hAnsi="宋体"/>
          <w:b/>
          <w:color w:val="auto"/>
          <w:sz w:val="24"/>
          <w:highlight w:val="none"/>
        </w:rPr>
      </w:pPr>
      <w:r>
        <w:rPr>
          <w:rFonts w:hint="eastAsia" w:hAnsi="宋体"/>
          <w:b/>
          <w:color w:val="auto"/>
          <w:sz w:val="28"/>
          <w:szCs w:val="28"/>
          <w:highlight w:val="none"/>
        </w:rPr>
        <w:t>二、地点：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采购人指定地点。</w:t>
      </w:r>
      <w:bookmarkEnd w:id="0"/>
      <w:bookmarkEnd w:id="1"/>
      <w:bookmarkEnd w:id="2"/>
      <w:bookmarkEnd w:id="3"/>
      <w:bookmarkEnd w:id="4"/>
    </w:p>
    <w:p w14:paraId="274A4427">
      <w:pPr>
        <w:snapToGrid w:val="0"/>
        <w:spacing w:line="360" w:lineRule="auto"/>
        <w:jc w:val="both"/>
        <w:outlineLvl w:val="1"/>
        <w:rPr>
          <w:rFonts w:hint="eastAsia" w:hAnsi="宋体" w:eastAsia="宋体"/>
          <w:b/>
          <w:color w:val="auto"/>
          <w:sz w:val="28"/>
          <w:szCs w:val="28"/>
          <w:highlight w:val="none"/>
          <w:lang w:val="en-US" w:eastAsia="zh-CN"/>
        </w:rPr>
      </w:pPr>
      <w:bookmarkStart w:id="5" w:name="_Toc21610"/>
      <w:bookmarkStart w:id="6" w:name="_Toc19871_WPSOffice_Level2"/>
      <w:bookmarkStart w:id="7" w:name="_Toc16604_WPSOffice_Level2"/>
      <w:bookmarkStart w:id="8" w:name="_Toc2151"/>
      <w:bookmarkStart w:id="9" w:name="_Toc233_WPSOffice_Level2"/>
      <w:r>
        <w:rPr>
          <w:rFonts w:hint="eastAsia" w:hAnsi="宋体"/>
          <w:b/>
          <w:color w:val="auto"/>
          <w:sz w:val="28"/>
          <w:szCs w:val="28"/>
          <w:highlight w:val="none"/>
        </w:rPr>
        <w:t>三、付款</w:t>
      </w:r>
      <w:bookmarkEnd w:id="5"/>
      <w:bookmarkEnd w:id="6"/>
      <w:bookmarkEnd w:id="7"/>
      <w:bookmarkEnd w:id="8"/>
      <w:bookmarkEnd w:id="9"/>
      <w:r>
        <w:rPr>
          <w:rFonts w:hint="eastAsia" w:hAnsi="宋体"/>
          <w:b/>
          <w:color w:val="auto"/>
          <w:sz w:val="28"/>
          <w:szCs w:val="28"/>
          <w:highlight w:val="none"/>
          <w:lang w:val="en-US" w:eastAsia="zh-CN"/>
        </w:rPr>
        <w:t>方式</w:t>
      </w:r>
    </w:p>
    <w:p w14:paraId="3EFCFB8D">
      <w:pPr>
        <w:tabs>
          <w:tab w:val="left" w:pos="1980"/>
        </w:tabs>
        <w:snapToGrid w:val="0"/>
        <w:spacing w:line="360" w:lineRule="auto"/>
        <w:ind w:firstLine="470" w:firstLineChars="196"/>
        <w:rPr>
          <w:rFonts w:hint="eastAsia" w:ascii="Times New Roman" w:hAnsi="宋体" w:eastAsia="宋体" w:cs="Times New Roman"/>
          <w:color w:val="auto"/>
          <w:sz w:val="24"/>
          <w:highlight w:val="none"/>
          <w:lang w:val="en-US" w:eastAsia="zh-CN"/>
        </w:rPr>
      </w:pPr>
      <w:bookmarkStart w:id="10" w:name="_Toc25246_WPSOffice_Level2"/>
      <w:bookmarkStart w:id="11" w:name="_Toc13472_WPSOffice_Level2"/>
      <w:bookmarkStart w:id="12" w:name="_Toc25713_WPSOffice_Level2"/>
      <w:bookmarkStart w:id="13" w:name="_Toc1070"/>
      <w:bookmarkStart w:id="14" w:name="_Toc503"/>
      <w:r>
        <w:rPr>
          <w:rFonts w:hint="eastAsia" w:ascii="Times New Roman" w:hAnsi="宋体" w:eastAsia="宋体" w:cs="Times New Roman"/>
          <w:color w:val="auto"/>
          <w:sz w:val="24"/>
          <w:highlight w:val="none"/>
          <w:lang w:val="en-US" w:eastAsia="zh-CN"/>
        </w:rPr>
        <w:t>确定中标供应商后，根据实际工作需要，签订协议，根据服务的内容，分期付款，具体以合同约定为准。</w:t>
      </w:r>
    </w:p>
    <w:p w14:paraId="22265B0A">
      <w:pPr>
        <w:snapToGrid w:val="0"/>
        <w:spacing w:line="360" w:lineRule="auto"/>
        <w:outlineLvl w:val="1"/>
        <w:rPr>
          <w:rFonts w:hint="eastAsia" w:hAnsi="宋体"/>
          <w:b/>
          <w:color w:val="auto"/>
          <w:sz w:val="28"/>
          <w:szCs w:val="28"/>
          <w:highlight w:val="none"/>
        </w:rPr>
      </w:pPr>
      <w:r>
        <w:rPr>
          <w:rFonts w:hint="eastAsia" w:hAnsi="宋体"/>
          <w:b/>
          <w:color w:val="auto"/>
          <w:sz w:val="28"/>
          <w:szCs w:val="28"/>
          <w:highlight w:val="none"/>
        </w:rPr>
        <w:t>四、违约赔偿</w:t>
      </w:r>
      <w:bookmarkEnd w:id="10"/>
      <w:bookmarkEnd w:id="11"/>
      <w:bookmarkEnd w:id="12"/>
      <w:bookmarkEnd w:id="13"/>
      <w:r>
        <w:rPr>
          <w:rFonts w:hint="eastAsia" w:hAnsi="宋体"/>
          <w:b/>
          <w:color w:val="auto"/>
          <w:sz w:val="28"/>
          <w:szCs w:val="28"/>
          <w:highlight w:val="none"/>
        </w:rPr>
        <w:t>：</w:t>
      </w:r>
      <w:bookmarkEnd w:id="14"/>
    </w:p>
    <w:p w14:paraId="0AB08E62">
      <w:pPr>
        <w:snapToGrid w:val="0"/>
        <w:spacing w:line="360" w:lineRule="auto"/>
        <w:outlineLvl w:val="1"/>
        <w:rPr>
          <w:rFonts w:hAnsi="宋体"/>
          <w:b/>
          <w:color w:val="auto"/>
          <w:sz w:val="28"/>
          <w:szCs w:val="28"/>
          <w:highlight w:val="none"/>
        </w:rPr>
      </w:pPr>
      <w:bookmarkStart w:id="15" w:name="_Toc10260_WPSOffice_Level2"/>
      <w:bookmarkStart w:id="16" w:name="_Toc10040"/>
      <w:bookmarkStart w:id="17" w:name="_Toc30276"/>
      <w:bookmarkStart w:id="18" w:name="_Toc2013_WPSOffice_Level2"/>
      <w:bookmarkStart w:id="19" w:name="_Toc16436_WPSOffice_Level2"/>
      <w:r>
        <w:rPr>
          <w:rFonts w:hint="eastAsia" w:hAnsi="宋体"/>
          <w:b/>
          <w:color w:val="auto"/>
          <w:sz w:val="28"/>
          <w:szCs w:val="28"/>
          <w:highlight w:val="none"/>
        </w:rPr>
        <w:t>五、合同纠纷处理</w:t>
      </w:r>
      <w:bookmarkEnd w:id="15"/>
      <w:bookmarkEnd w:id="16"/>
      <w:bookmarkEnd w:id="17"/>
      <w:bookmarkEnd w:id="18"/>
      <w:bookmarkEnd w:id="19"/>
    </w:p>
    <w:p w14:paraId="1C41DECB">
      <w:pPr>
        <w:tabs>
          <w:tab w:val="left" w:pos="1980"/>
        </w:tabs>
        <w:snapToGrid w:val="0"/>
        <w:spacing w:line="360" w:lineRule="auto"/>
        <w:ind w:firstLine="470" w:firstLineChars="196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本合同执行过程中发生纠纷，作如下处理：</w:t>
      </w:r>
    </w:p>
    <w:p w14:paraId="021EE8B0">
      <w:pPr>
        <w:tabs>
          <w:tab w:val="left" w:pos="1980"/>
        </w:tabs>
        <w:snapToGrid w:val="0"/>
        <w:spacing w:line="360" w:lineRule="auto"/>
        <w:ind w:firstLine="470" w:firstLineChars="196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提起诉讼。诉讼地点为采购人所在地。</w:t>
      </w:r>
    </w:p>
    <w:p w14:paraId="0895BAE7">
      <w:pPr>
        <w:snapToGrid w:val="0"/>
        <w:spacing w:line="360" w:lineRule="auto"/>
        <w:jc w:val="both"/>
        <w:outlineLvl w:val="1"/>
        <w:rPr>
          <w:rFonts w:hAnsi="宋体"/>
          <w:b/>
          <w:color w:val="auto"/>
          <w:sz w:val="28"/>
          <w:szCs w:val="28"/>
          <w:highlight w:val="none"/>
        </w:rPr>
      </w:pPr>
      <w:bookmarkStart w:id="20" w:name="_Toc10799"/>
      <w:bookmarkStart w:id="21" w:name="_Toc6111_WPSOffice_Level2"/>
      <w:bookmarkStart w:id="22" w:name="_Toc10539"/>
      <w:bookmarkStart w:id="23" w:name="_Toc32507_WPSOffice_Level2"/>
      <w:bookmarkStart w:id="24" w:name="_Toc16301_WPSOffice_Level2"/>
      <w:r>
        <w:rPr>
          <w:rFonts w:hint="eastAsia" w:hAnsi="宋体"/>
          <w:b/>
          <w:color w:val="auto"/>
          <w:sz w:val="28"/>
          <w:szCs w:val="28"/>
          <w:highlight w:val="none"/>
        </w:rPr>
        <w:t>六、合同生效</w:t>
      </w:r>
      <w:bookmarkEnd w:id="20"/>
      <w:bookmarkEnd w:id="21"/>
      <w:bookmarkEnd w:id="22"/>
      <w:bookmarkEnd w:id="23"/>
      <w:bookmarkEnd w:id="24"/>
    </w:p>
    <w:p w14:paraId="46AEFE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ind w:firstLine="480" w:firstLineChars="200"/>
        <w:rPr>
          <w:rFonts w:cs="宋体"/>
          <w:color w:val="auto"/>
          <w:sz w:val="24"/>
          <w:highlight w:val="none"/>
          <w:lang w:val="zh-CN"/>
        </w:rPr>
      </w:pPr>
      <w:r>
        <w:rPr>
          <w:rFonts w:hint="eastAsia" w:cs="宋体"/>
          <w:color w:val="auto"/>
          <w:sz w:val="24"/>
          <w:highlight w:val="none"/>
          <w:lang w:val="zh-CN"/>
        </w:rPr>
        <w:t>本合同经甲乙双方各自指定的代表人签字和盖章后生效。</w:t>
      </w:r>
    </w:p>
    <w:p w14:paraId="23C43958">
      <w:pPr>
        <w:snapToGrid w:val="0"/>
        <w:spacing w:line="360" w:lineRule="auto"/>
        <w:jc w:val="both"/>
        <w:outlineLvl w:val="1"/>
        <w:rPr>
          <w:rFonts w:hAnsi="宋体"/>
          <w:b/>
          <w:color w:val="auto"/>
          <w:sz w:val="28"/>
          <w:szCs w:val="28"/>
          <w:highlight w:val="none"/>
        </w:rPr>
      </w:pPr>
      <w:bookmarkStart w:id="25" w:name="_Toc30414_WPSOffice_Level2"/>
      <w:bookmarkStart w:id="26" w:name="_Toc12571"/>
      <w:bookmarkStart w:id="27" w:name="_Toc13513"/>
      <w:bookmarkStart w:id="28" w:name="_Toc26999_WPSOffice_Level2"/>
      <w:bookmarkStart w:id="29" w:name="_Toc4216_WPSOffice_Level2"/>
      <w:r>
        <w:rPr>
          <w:rFonts w:hint="eastAsia" w:hAnsi="宋体"/>
          <w:b/>
          <w:color w:val="auto"/>
          <w:sz w:val="28"/>
          <w:szCs w:val="28"/>
          <w:highlight w:val="none"/>
          <w:lang w:val="en-US" w:eastAsia="zh-CN"/>
        </w:rPr>
        <w:t>七</w:t>
      </w:r>
      <w:r>
        <w:rPr>
          <w:rFonts w:hint="eastAsia" w:hAnsi="宋体"/>
          <w:b/>
          <w:color w:val="auto"/>
          <w:sz w:val="28"/>
          <w:szCs w:val="28"/>
          <w:highlight w:val="none"/>
        </w:rPr>
        <w:t>、组成本合同的文件包括：</w:t>
      </w:r>
      <w:bookmarkEnd w:id="25"/>
      <w:bookmarkEnd w:id="26"/>
      <w:bookmarkEnd w:id="27"/>
      <w:bookmarkEnd w:id="28"/>
      <w:bookmarkEnd w:id="29"/>
    </w:p>
    <w:p w14:paraId="41400698">
      <w:pPr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1.合同通用条款和专用条款；</w:t>
      </w:r>
    </w:p>
    <w:p w14:paraId="22D73A68">
      <w:pPr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2.磋商文件、乙方的磋商响应文件和评标时的澄清函（如有）；</w:t>
      </w:r>
    </w:p>
    <w:p w14:paraId="3D5ABBA0">
      <w:pPr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3.成交通知书；</w:t>
      </w:r>
    </w:p>
    <w:p w14:paraId="13317B28">
      <w:pPr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4.甲乙双方商定的其他必要文件。</w:t>
      </w:r>
    </w:p>
    <w:p w14:paraId="21BE0A04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上述合同文件内容互为补充，如有不明确，由甲方负责解释。</w:t>
      </w:r>
    </w:p>
    <w:p w14:paraId="7523B76B">
      <w:pPr>
        <w:snapToGrid w:val="0"/>
        <w:spacing w:line="360" w:lineRule="auto"/>
        <w:jc w:val="both"/>
        <w:outlineLvl w:val="1"/>
        <w:rPr>
          <w:rFonts w:hAnsi="宋体"/>
          <w:b/>
          <w:color w:val="auto"/>
          <w:sz w:val="28"/>
          <w:szCs w:val="28"/>
          <w:highlight w:val="none"/>
        </w:rPr>
      </w:pPr>
      <w:bookmarkStart w:id="30" w:name="_Toc5768_WPSOffice_Level2"/>
      <w:bookmarkStart w:id="31" w:name="_Toc2074"/>
      <w:bookmarkStart w:id="32" w:name="_Toc17422_WPSOffice_Level2"/>
      <w:bookmarkStart w:id="33" w:name="_Toc25746"/>
      <w:bookmarkStart w:id="34" w:name="_Toc6027_WPSOffice_Level2"/>
      <w:r>
        <w:rPr>
          <w:rFonts w:hint="eastAsia" w:hAnsi="宋体"/>
          <w:b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eastAsia" w:hAnsi="宋体"/>
          <w:b/>
          <w:color w:val="auto"/>
          <w:sz w:val="28"/>
          <w:szCs w:val="28"/>
          <w:highlight w:val="none"/>
        </w:rPr>
        <w:t>、合同备案</w:t>
      </w:r>
      <w:bookmarkEnd w:id="30"/>
      <w:bookmarkEnd w:id="31"/>
      <w:bookmarkEnd w:id="32"/>
      <w:bookmarkEnd w:id="33"/>
      <w:bookmarkEnd w:id="34"/>
    </w:p>
    <w:p w14:paraId="424EA83F">
      <w:pPr>
        <w:snapToGrid w:val="0"/>
        <w:spacing w:line="360" w:lineRule="auto"/>
        <w:ind w:firstLine="480" w:firstLineChars="200"/>
        <w:rPr>
          <w:rFonts w:hAnsi="宋体"/>
          <w:bCs/>
          <w:color w:val="auto"/>
          <w:sz w:val="24"/>
          <w:highlight w:val="none"/>
        </w:rPr>
      </w:pPr>
      <w:r>
        <w:rPr>
          <w:rFonts w:hint="eastAsia" w:hAnsi="宋体"/>
          <w:bCs/>
          <w:color w:val="auto"/>
          <w:sz w:val="24"/>
          <w:highlight w:val="none"/>
        </w:rPr>
        <w:t>本合同一式</w:t>
      </w:r>
      <w:r>
        <w:rPr>
          <w:rFonts w:hint="eastAsia" w:hAnsi="宋体"/>
          <w:bCs/>
          <w:color w:val="auto"/>
          <w:sz w:val="24"/>
          <w:highlight w:val="none"/>
          <w:lang w:val="en-US" w:eastAsia="zh-CN"/>
        </w:rPr>
        <w:t>两</w:t>
      </w:r>
      <w:r>
        <w:rPr>
          <w:rFonts w:hint="eastAsia" w:hAnsi="宋体"/>
          <w:bCs/>
          <w:color w:val="auto"/>
          <w:sz w:val="24"/>
          <w:highlight w:val="none"/>
        </w:rPr>
        <w:t>份，中文书写。甲方、乙方、各执一份。（如果甲方或乙方需要，则可在此增加合同份数）</w:t>
      </w:r>
    </w:p>
    <w:p w14:paraId="028BD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eastAsia" w:hAnsi="宋体"/>
          <w:b w:val="0"/>
          <w:bCs/>
          <w:color w:val="auto"/>
          <w:sz w:val="24"/>
          <w:highlight w:val="none"/>
        </w:rPr>
      </w:pPr>
    </w:p>
    <w:p w14:paraId="443B6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eastAsia" w:hAnsi="宋体"/>
          <w:b w:val="0"/>
          <w:bCs/>
          <w:color w:val="auto"/>
          <w:sz w:val="24"/>
          <w:highlight w:val="none"/>
        </w:rPr>
      </w:pPr>
    </w:p>
    <w:p w14:paraId="5313A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eastAsia" w:hAnsi="宋体"/>
          <w:b w:val="0"/>
          <w:bCs/>
          <w:color w:val="auto"/>
          <w:sz w:val="24"/>
          <w:highlight w:val="none"/>
        </w:rPr>
      </w:pPr>
    </w:p>
    <w:p w14:paraId="18414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eastAsia" w:hAnsi="宋体" w:eastAsia="宋体"/>
          <w:b w:val="0"/>
          <w:bCs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hAnsi="宋体"/>
          <w:b w:val="0"/>
          <w:bCs/>
          <w:color w:val="auto"/>
          <w:sz w:val="24"/>
          <w:highlight w:val="none"/>
        </w:rPr>
        <w:t>甲方：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       （盖章）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 xml:space="preserve">     乙方：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      （盖章）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</w:t>
      </w:r>
    </w:p>
    <w:p w14:paraId="69600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Ansi="宋体"/>
          <w:b w:val="0"/>
          <w:bCs/>
          <w:color w:val="auto"/>
          <w:sz w:val="24"/>
          <w:highlight w:val="none"/>
          <w:u w:val="single"/>
        </w:rPr>
      </w:pPr>
      <w:r>
        <w:rPr>
          <w:rFonts w:hint="eastAsia" w:hAnsi="宋体"/>
          <w:b w:val="0"/>
          <w:bCs/>
          <w:color w:val="auto"/>
          <w:sz w:val="24"/>
          <w:highlight w:val="none"/>
        </w:rPr>
        <w:t>地址：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 xml:space="preserve">     地址：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                               </w:t>
      </w:r>
    </w:p>
    <w:p w14:paraId="0B77A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Ansi="宋体"/>
          <w:b w:val="0"/>
          <w:bCs/>
          <w:color w:val="auto"/>
          <w:sz w:val="24"/>
          <w:highlight w:val="none"/>
        </w:rPr>
      </w:pPr>
      <w:r>
        <w:rPr>
          <w:rFonts w:hint="eastAsia" w:hAnsi="宋体"/>
          <w:b w:val="0"/>
          <w:bCs/>
          <w:color w:val="auto"/>
          <w:sz w:val="24"/>
          <w:highlight w:val="none"/>
        </w:rPr>
        <w:t>法定（或授权）代表人：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 xml:space="preserve">    </w:t>
      </w:r>
      <w:bookmarkStart w:id="35" w:name="_GoBack"/>
      <w:bookmarkEnd w:id="35"/>
      <w:r>
        <w:rPr>
          <w:rFonts w:hint="eastAsia" w:hAnsi="宋体"/>
          <w:b w:val="0"/>
          <w:bCs/>
          <w:color w:val="auto"/>
          <w:sz w:val="24"/>
          <w:highlight w:val="none"/>
        </w:rPr>
        <w:t>法定（或授权）代表人：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    </w:t>
      </w:r>
    </w:p>
    <w:p w14:paraId="4C755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Ansi="宋体"/>
          <w:b w:val="0"/>
          <w:bCs/>
          <w:color w:val="auto"/>
          <w:sz w:val="24"/>
          <w:highlight w:val="none"/>
        </w:rPr>
      </w:pP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>年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>月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 xml:space="preserve">日                   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>年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>月</w:t>
      </w:r>
      <w:r>
        <w:rPr>
          <w:rFonts w:hint="eastAsia" w:hAnsi="宋体"/>
          <w:b w:val="0"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/>
          <w:b w:val="0"/>
          <w:bCs/>
          <w:color w:val="auto"/>
          <w:sz w:val="24"/>
          <w:highlight w:val="none"/>
        </w:rPr>
        <w:t>日</w:t>
      </w:r>
    </w:p>
    <w:p w14:paraId="4AFB922F">
      <w:pPr>
        <w:snapToGrid w:val="0"/>
        <w:spacing w:before="312" w:beforeLines="100" w:line="360" w:lineRule="auto"/>
        <w:ind w:firstLine="482" w:firstLineChars="200"/>
        <w:rPr>
          <w:rFonts w:hint="eastAsia" w:hAnsi="宋体" w:cs="宋体"/>
          <w:b/>
          <w:color w:val="auto"/>
          <w:sz w:val="24"/>
          <w:highlight w:val="none"/>
        </w:rPr>
      </w:pPr>
    </w:p>
    <w:p w14:paraId="192A79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9418FB"/>
    <w:rsid w:val="6BA60443"/>
    <w:rsid w:val="6BC2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spacing w:afterLines="100" w:line="360" w:lineRule="auto"/>
      <w:jc w:val="center"/>
      <w:textAlignment w:val="baseline"/>
      <w:outlineLvl w:val="0"/>
    </w:pPr>
    <w:rPr>
      <w:rFonts w:ascii="宋体" w:hAnsi="宋体" w:cs="Arial"/>
      <w:b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2026-05-26T07:09:47Z</dcterms:created>
  <dc:creator>Administrator</dc:creator>
  <cp:lastModifiedBy>易采通公司</cp:lastModifiedBy>
  <dcterms:modified xsi:type="dcterms:W3CDTF">2026-05-26T07:13:55Z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eyJoZGlkIjoiMjQ3Zjk5YTQxNzZiMjFhNzJlNmY5MDdhZmNmNDYwYmUiLCJ1c2VySWQiOiIyNTIyOTkwODgifQ==</vt:lpwstr>
  </property>
  <property fmtid="{D5CDD505-2E9C-101B-9397-08002B2CF9AE}" pid="4" name="ICV">
    <vt:lpwstr>26E6E80EC7554286A362013CD728AB2D_12</vt:lpwstr>
  </property>
</Properties>
</file>