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城西镇城市建成区2026年病媒生物防制服务项目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YCT2026-123</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海口市龙华区城西镇人民政府</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海南易采通项目管理有限公司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海口市龙华区城西镇人民政府</w:t>
      </w:r>
      <w:r>
        <w:rPr>
          <w:rFonts w:ascii="仿宋_GB2312" w:hAnsi="仿宋_GB2312" w:cs="仿宋_GB2312" w:eastAsia="仿宋_GB2312"/>
        </w:rPr>
        <w:t xml:space="preserve"> 的委托， </w:t>
      </w:r>
      <w:r>
        <w:rPr>
          <w:rFonts w:ascii="仿宋_GB2312" w:hAnsi="仿宋_GB2312" w:cs="仿宋_GB2312" w:eastAsia="仿宋_GB2312"/>
        </w:rPr>
        <w:t>海南易采通项目管理有限公司</w:t>
      </w:r>
      <w:r>
        <w:rPr>
          <w:rFonts w:ascii="仿宋_GB2312" w:hAnsi="仿宋_GB2312" w:cs="仿宋_GB2312" w:eastAsia="仿宋_GB2312"/>
        </w:rPr>
        <w:t xml:space="preserve"> 对 </w:t>
      </w:r>
      <w:r>
        <w:rPr>
          <w:rFonts w:ascii="仿宋_GB2312" w:hAnsi="仿宋_GB2312" w:cs="仿宋_GB2312" w:eastAsia="仿宋_GB2312"/>
        </w:rPr>
        <w:t>城西镇城市建成区2026年病媒生物防制服务项目</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YCT2026-123</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城西镇城市建成区2026年病媒生物防制服务项目</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1,295,000.00元</w:t>
      </w:r>
      <w:r>
        <w:rPr>
          <w:rFonts w:ascii="仿宋_GB2312" w:hAnsi="仿宋_GB2312" w:cs="仿宋_GB2312" w:eastAsia="仿宋_GB2312"/>
        </w:rPr>
        <w:t>壹佰贰拾玖万伍仟元整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⾃合同签订之⽇起服务⼀年。</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⾃合同签订之⽇起服务⼀年。</w:t>
      </w:r>
    </w:p>
    <w:p>
      <w:pPr>
        <w:pStyle w:val="null3"/>
        <w:ind w:firstLine="480"/>
        <w:jc w:val="left"/>
      </w:pPr>
      <w:r>
        <w:rPr>
          <w:rFonts w:ascii="仿宋_GB2312" w:hAnsi="仿宋_GB2312" w:cs="仿宋_GB2312" w:eastAsia="仿宋_GB2312"/>
        </w:rPr>
        <w:t>7.是否涉及本国产品：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属于专门面向小微企业采购，预留比例为100%。</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属于专门面向小微企业采购，预留比例为100%。</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在经营活动中没有环保类⾏政处罚记录：参加政府采购活动前三年内，在经营活动中没有环保类⾏政处罚记录(提供参加政府采购活动前三年内，在经营活动中没有环保类⾏政处罚记录的承诺函加盖公章，营业执照不满三年的，按照营业执照注册年限起算。</w:t>
      </w:r>
    </w:p>
    <w:p>
      <w:pPr>
        <w:pStyle w:val="null3"/>
        <w:jc w:val="left"/>
      </w:pPr>
      <w:r>
        <w:rPr>
          <w:rFonts w:ascii="仿宋_GB2312" w:hAnsi="仿宋_GB2312" w:cs="仿宋_GB2312" w:eastAsia="仿宋_GB2312"/>
        </w:rPr>
        <w:t>2、单位负责⼈为同⼀⼈或者存在直接控股、管理关系的不同供应商，不得参加同⼀合同项下的政府采购活动：单位负责⼈为同⼀⼈或者存在直接控股、管理关系的不同供应商，不得参加同⼀合同项下的政府采购活动（提供承诺函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参加政府采购活动前三年内，在经营活动中没有环保类⾏政处罚记录：参加政府采购活动前三年内，在经营活动中没有环保类⾏政处罚记录(提供参加政府采购活动前三年内，在经营活动中没有环保类⾏政处罚记录的承诺函加盖公章，营业执照不满三年的，按照营业执照注册年限起算。</w:t>
      </w:r>
    </w:p>
    <w:p>
      <w:pPr>
        <w:pStyle w:val="null3"/>
        <w:jc w:val="left"/>
      </w:pPr>
      <w:r>
        <w:rPr>
          <w:rFonts w:ascii="仿宋_GB2312" w:hAnsi="仿宋_GB2312" w:cs="仿宋_GB2312" w:eastAsia="仿宋_GB2312"/>
        </w:rPr>
        <w:t>2、单位负责⼈为同⼀⼈或者存在直接控股、管理关系的不同供应商，不得参加同⼀合同项下的政府采购活动：单位负责⼈为同⼀⼈或者存在直接控股、管理关系的不同供应商，不得参加同⼀合同项下的政府采购活动（提供承诺函加盖公章）。</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（一）投标程序及采购文件获取办法 1、市场主体登记。新用户须在海口市公共资源交易中心（http://ggzy.haikou.gov.cn/）网站首页，选择“主体管理”按照要求登记注册，登记注册以后选择“CA认证”进行CA数字认证。已经在海南省公共资源交易互联互通服务平台-市场主体管理系统登记过的，无须再登记。 2、登录政府采购交易系统关注项目并下载采购文件。进行CA数字认证后，在海口市公共资源交易中心（http://ggzy.haikou.gov.cn/）网站首页，选择“交易平台-政府采购-新版采购系统”进入政府采购交易系统关注项目并下载采购文件，如未在获取采购文件期限内关注项目并下载采购文件者，无法参加项目后续的投标活动，同时视同不参与本项目采购活动，不视为本项目潜在投标人。在海口市公共资源交易中心网站发布的采购公告附带的采购文件仅供查询之用，不作为正式获取采购文件的途径。 3、采购文件公告期限与采购公告期限一致。 （二）采购信息发布媒体 1、本项目采购信息指定发布媒体为海南省政府采购网（http://www.ccgp-hainan.gov.cn ）和海口市公共资源交易中心（ http://ggzy.haikou.gov.cn/）。 2、采购文件下载网址：海口市公共资源交易中心政府采购交易系统（http://jypt.ggzy.haikou.gov.cn/zfcg/#/login）。 3、有关本项目采购文件的补遗、澄清及更正信息以上述网站公告与下载为准，采购代理机构不再另行通知，采购文件与更正公告的内容相互矛盾时，以最后发出的更正公告内容为准。 （三）注意事项 1、电子标（采购文件后缀名为GPZ）：必须使用最新版本的政府采购投标文件编标工具（登录海口市公共资源交易中心（ http://ggzy.haikou.gov.cn/）网站首页，选择“服务指南-下载专区”下载政府采购投标文件编制工具，本项目投标文件编制工具版本号为：7.8.5036.1740）查看导出采购文件、编制投标文件，并使用CA数字证书（含手机CA）的电子印章对投标文件进行签章，且使用CA数字证书（含手机CA）对投标文件进行加密后生成电子投标文件（GPT格式），在提交投标文件截止时间前将电子投标文件（GPT格式）成功完整上传至政府采购交易系统并取得回执，否则视为无效投标。 2、本项目采用远程不见面开标，投标人无需到达开标现场。在开标时投标人须登录海口市公共资源中心政府采购交易系统进入在线开标大厅，用所加密投标文件的CA数字证书（含手机CA）在线进行解密。投标文件解密时，主持人通过不见面开标系统发出投标文件解密指令，并设定合理的解密完成时限。投标人应在设定的解密时限内实施文件解密，如未在设定时限内实施文件解密且未提出异议的，视为放弃投标。 3、不见面开标系统操作手册详见海口市公共资源交易中心网站-服务指南-下载专区-政府采购-海口市新版政府采购交易系统及不见面开标系统操作手册。或致电技术支持：4001691288。</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海口市龙华区城西镇人民政府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海口市龙华区城西镇南海大道安宁路1号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韩卓甫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0898-66986256</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海南易采通项目管理有限公司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海南省海口市龙华区大同街道龙昆北路38号华银大厦1118室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刘上标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0898-36301282</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采购包1：584,500.00元</w:t>
            </w:r>
          </w:p>
          <w:p>
            <w:pPr>
              <w:pStyle w:val="null3"/>
              <w:jc w:val="left"/>
            </w:pPr>
            <w:r>
              <w:rPr>
                <w:rFonts w:ascii="仿宋_GB2312" w:hAnsi="仿宋_GB2312" w:cs="仿宋_GB2312" w:eastAsia="仿宋_GB2312"/>
              </w:rPr>
              <w:t>采购包2：710,500.00元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⾃递交响应⽂件截⽌之⽇起60天。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代理服务费收费标准：参考《海南省物价局关于降低部分招标代理服务收费标准的通知》(琼价费管[2011] 225号)⽂收费标准向采购⼈收取。采购⼈应在中标结果公告发布之⽇起3个⼯作⽇内，向招标代理机构缴纳招标代理服务费。 ⼾ 名：海南易采通项⽬管理有限公司 开⼾⾏：招商银⾏海⼝国贸⽀⾏ 帐 ⼾：898902812610803</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远程不见面开标，投标人无须到达开标现场，远程按时参加在线开标解密即可。本项目不接受供应商的电子备用投标文件，以供应商成功加密后递交至海南省政府采购智慧云平台的电子投标文件为准，因投标人自身原因导致无法解密或解密失败的，自行承担不利后果。2.供应商如遇技术问题自行联系海南省政府采购智慧云平台客服。</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w:t>
      </w:r>
    </w:p>
    <w:p>
      <w:pPr>
        <w:pStyle w:val="null3"/>
        <w:jc w:val="left"/>
      </w:pPr>
      <w:r>
        <w:rPr>
          <w:rFonts w:ascii="仿宋_GB2312" w:hAnsi="仿宋_GB2312" w:cs="仿宋_GB2312" w:eastAsia="仿宋_GB2312"/>
        </w:rPr>
        <w:t>联系电话：0898-36301282</w:t>
      </w:r>
    </w:p>
    <w:p>
      <w:pPr>
        <w:pStyle w:val="null3"/>
        <w:jc w:val="left"/>
      </w:pPr>
      <w:r>
        <w:rPr>
          <w:rFonts w:ascii="仿宋_GB2312" w:hAnsi="仿宋_GB2312" w:cs="仿宋_GB2312" w:eastAsia="仿宋_GB2312"/>
        </w:rPr>
        <w:t>地址：海⼝市⻰华区⻰昆北路38号华银⼤厦1118室</w:t>
      </w:r>
    </w:p>
    <w:p>
      <w:pPr>
        <w:pStyle w:val="null3"/>
        <w:jc w:val="left"/>
      </w:pPr>
      <w:r>
        <w:rPr>
          <w:rFonts w:ascii="仿宋_GB2312" w:hAnsi="仿宋_GB2312" w:cs="仿宋_GB2312" w:eastAsia="仿宋_GB2312"/>
        </w:rPr>
        <w:t>邮编：570125</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1"/>
        </w:rPr>
        <w:t>本次病媒⽣物防制范围包括第⼀⽚区采购包</w:t>
      </w:r>
      <w:r>
        <w:rPr>
          <w:rFonts w:ascii="仿宋_GB2312" w:hAnsi="仿宋_GB2312" w:cs="仿宋_GB2312" w:eastAsia="仿宋_GB2312"/>
          <w:sz w:val="21"/>
        </w:rPr>
        <w:t>1</w:t>
      </w:r>
      <w:r>
        <w:rPr>
          <w:rFonts w:ascii="仿宋_GB2312" w:hAnsi="仿宋_GB2312" w:cs="仿宋_GB2312" w:eastAsia="仿宋_GB2312"/>
          <w:sz w:val="21"/>
        </w:rPr>
        <w:t>是⾦盘社区、⾦沙社区、⾦星社区、头铺西社区、头铺东社区、仁⾥南社区、仁⾥北社区、四季华庭社区。第⼆⽚区采购包</w:t>
      </w:r>
      <w:r>
        <w:rPr>
          <w:rFonts w:ascii="仿宋_GB2312" w:hAnsi="仿宋_GB2312" w:cs="仿宋_GB2312" w:eastAsia="仿宋_GB2312"/>
          <w:sz w:val="21"/>
        </w:rPr>
        <w:t>2</w:t>
      </w:r>
      <w:r>
        <w:rPr>
          <w:rFonts w:ascii="仿宋_GB2312" w:hAnsi="仿宋_GB2312" w:cs="仿宋_GB2312" w:eastAsia="仿宋_GB2312"/>
          <w:sz w:val="21"/>
        </w:rPr>
        <w:t>是府西社区、苍东村、苍西村、⾼坡村、椰海社区、⼭⾼西社区、⼭⾼东社区、丁村南社区、丁村北社区等区域，并对以上区域组织开展病媒⽣物防制⼯作。</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584,500.00</w:t>
      </w:r>
    </w:p>
    <w:p>
      <w:pPr>
        <w:pStyle w:val="null3"/>
        <w:jc w:val="left"/>
      </w:pPr>
      <w:r>
        <w:rPr>
          <w:rFonts w:ascii="仿宋_GB2312" w:hAnsi="仿宋_GB2312" w:cs="仿宋_GB2312" w:eastAsia="仿宋_GB2312"/>
        </w:rPr>
        <w:t>采购包最高限价（元）: 584,500.00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C04990000-其他医疗卫生服务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584,500.00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其他未列明行业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710,500.00</w:t>
      </w:r>
    </w:p>
    <w:p>
      <w:pPr>
        <w:pStyle w:val="null3"/>
        <w:jc w:val="left"/>
      </w:pPr>
      <w:r>
        <w:rPr>
          <w:rFonts w:ascii="仿宋_GB2312" w:hAnsi="仿宋_GB2312" w:cs="仿宋_GB2312" w:eastAsia="仿宋_GB2312"/>
        </w:rPr>
        <w:t>采购包最高限价（元）: 710,500.00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C04990000-其他医疗卫生服务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710,500.00</w:t>
            </w:r>
          </w:p>
        </w:tc>
        <w:tc>
          <w:tcPr>
            <w:tcW w:type="dxa" w:w="755"/>
          </w:tcPr>
          <w:p>
            <w:pPr>
              <w:pStyle w:val="null3"/>
              <w:jc w:val="left"/>
            </w:pPr>
            <w:r>
              <w:rPr>
                <w:rFonts w:ascii="仿宋_GB2312" w:hAnsi="仿宋_GB2312" w:cs="仿宋_GB2312" w:eastAsia="仿宋_GB2312"/>
              </w:rPr>
              <w:t>项</w:t>
            </w:r>
          </w:p>
        </w:tc>
        <w:tc>
          <w:tcPr>
            <w:tcW w:type="dxa" w:w="755"/>
          </w:tcPr>
          <w:p>
            <w:pPr>
              <w:pStyle w:val="null3"/>
              <w:jc w:val="left"/>
            </w:pPr>
            <w:r>
              <w:rPr>
                <w:rFonts w:ascii="仿宋_GB2312" w:hAnsi="仿宋_GB2312" w:cs="仿宋_GB2312" w:eastAsia="仿宋_GB2312"/>
              </w:rPr>
              <w:t>其他未列明行业</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C04990000-其他医疗卫生服务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584,500.00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C04990000-其他医疗卫生服务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710,500.00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标的名称：C04990000-其他医疗卫生服务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一、防治对象及标准</w:t>
            </w:r>
          </w:p>
          <w:p>
            <w:pPr>
              <w:pStyle w:val="null3"/>
              <w:ind w:firstLine="560"/>
              <w:jc w:val="both"/>
            </w:pPr>
            <w:r>
              <w:rPr>
                <w:rFonts w:ascii="仿宋_GB2312" w:hAnsi="仿宋_GB2312" w:cs="仿宋_GB2312" w:eastAsia="仿宋_GB2312"/>
                <w:sz w:val="28"/>
              </w:rPr>
              <w:t>1、防制对象：老鼠、蟑螂、苍蝇、蚊子</w:t>
            </w:r>
          </w:p>
          <w:p>
            <w:pPr>
              <w:pStyle w:val="null3"/>
              <w:ind w:firstLine="560"/>
              <w:jc w:val="both"/>
            </w:pPr>
            <w:r>
              <w:rPr>
                <w:rFonts w:ascii="仿宋_GB2312" w:hAnsi="仿宋_GB2312" w:cs="仿宋_GB2312" w:eastAsia="仿宋_GB2312"/>
                <w:sz w:val="28"/>
              </w:rPr>
              <w:t>2、服务标准：服务范围内鼠、蚊、蝇、蟑螂的密度达到国家病媒生物密度控制水平标准C级要求。</w:t>
            </w:r>
          </w:p>
          <w:p>
            <w:pPr>
              <w:pStyle w:val="null3"/>
              <w:ind w:firstLine="560"/>
              <w:jc w:val="both"/>
            </w:pPr>
            <w:r>
              <w:rPr>
                <w:rFonts w:ascii="仿宋_GB2312" w:hAnsi="仿宋_GB2312" w:cs="仿宋_GB2312" w:eastAsia="仿宋_GB2312"/>
                <w:sz w:val="28"/>
              </w:rPr>
              <w:t>二、项目服务区域及范围</w:t>
            </w:r>
          </w:p>
          <w:p>
            <w:pPr>
              <w:pStyle w:val="null3"/>
              <w:ind w:firstLine="560"/>
              <w:jc w:val="both"/>
            </w:pPr>
            <w:r>
              <w:rPr>
                <w:rFonts w:ascii="仿宋_GB2312" w:hAnsi="仿宋_GB2312" w:cs="仿宋_GB2312" w:eastAsia="仿宋_GB2312"/>
                <w:sz w:val="28"/>
              </w:rPr>
              <w:t>（一）服务区域：城西镇城市建成区范围。</w:t>
            </w:r>
          </w:p>
          <w:p>
            <w:pPr>
              <w:pStyle w:val="null3"/>
              <w:ind w:firstLine="560"/>
              <w:jc w:val="both"/>
            </w:pPr>
            <w:r>
              <w:rPr>
                <w:rFonts w:ascii="仿宋_GB2312" w:hAnsi="仿宋_GB2312" w:cs="仿宋_GB2312" w:eastAsia="仿宋_GB2312"/>
                <w:sz w:val="28"/>
              </w:rPr>
              <w:t>（二）服务范围：</w:t>
            </w:r>
          </w:p>
          <w:p>
            <w:pPr>
              <w:pStyle w:val="null3"/>
              <w:ind w:firstLine="560"/>
              <w:jc w:val="both"/>
            </w:pPr>
            <w:r>
              <w:rPr>
                <w:rFonts w:ascii="仿宋_GB2312" w:hAnsi="仿宋_GB2312" w:cs="仿宋_GB2312" w:eastAsia="仿宋_GB2312"/>
                <w:sz w:val="28"/>
              </w:rPr>
              <w:t>本次病媒生物防制范围包括第一片区是金盘社区、金沙社区、金星社区、头铺西社区、头铺东社区、仁里南社区、仁里北社区、四季华庭社区。共计</w:t>
            </w:r>
            <w:r>
              <w:rPr>
                <w:rFonts w:ascii="仿宋_GB2312" w:hAnsi="仿宋_GB2312" w:cs="仿宋_GB2312" w:eastAsia="仿宋_GB2312"/>
                <w:sz w:val="28"/>
              </w:rPr>
              <w:t>16.7平方公里。</w:t>
            </w:r>
          </w:p>
          <w:p>
            <w:pPr>
              <w:pStyle w:val="null3"/>
              <w:ind w:firstLine="560"/>
              <w:jc w:val="both"/>
            </w:pPr>
            <w:r>
              <w:rPr>
                <w:rFonts w:ascii="仿宋_GB2312" w:hAnsi="仿宋_GB2312" w:cs="仿宋_GB2312" w:eastAsia="仿宋_GB2312"/>
                <w:sz w:val="28"/>
              </w:rPr>
              <w:t>具体服务范围为区域内指定的公共内、外环境。外环境主要包括：各级行政机关、企事业单位（含中央、省级单位）及居（村）委会，各公立中小学校、托儿机构，各公立医疗机构，破产（停产、关闭）企业，城中村及城乡结合部，居民区、住宅小区（不含有物业管理的小区），城区主次干道、背街小巷、窨井、下水道、公共绿地（含道路绿化带）、公园广场、河流、湖泊、沟渠、潭沟、旅游景区景点（不含经营性），建筑工地（含半拉子工地、待建工地、拆迁工地）、闲置空地，室外垃圾收集点，废品收购站（点），动车站和汽车站；内外环境主要包括：农贸市场、垃圾转运（中转）站、公共厕所、经营面积</w:t>
            </w:r>
            <w:r>
              <w:rPr>
                <w:rFonts w:ascii="仿宋_GB2312" w:hAnsi="仿宋_GB2312" w:cs="仿宋_GB2312" w:eastAsia="仿宋_GB2312"/>
                <w:sz w:val="28"/>
              </w:rPr>
              <w:t>200平方米以内的“六小”行业（小餐饮店、小食品店、小浴室、小美容美发、小歌舞厅、小旅店）经营门店（首层，含后场）。</w:t>
            </w:r>
          </w:p>
          <w:p>
            <w:pPr>
              <w:pStyle w:val="null3"/>
              <w:ind w:firstLine="560"/>
              <w:jc w:val="both"/>
            </w:pPr>
            <w:r>
              <w:rPr>
                <w:rFonts w:ascii="仿宋_GB2312" w:hAnsi="仿宋_GB2312" w:cs="仿宋_GB2312" w:eastAsia="仿宋_GB2312"/>
                <w:sz w:val="28"/>
              </w:rPr>
              <w:t>三、项目服务内容</w:t>
            </w:r>
          </w:p>
          <w:p>
            <w:pPr>
              <w:pStyle w:val="null3"/>
              <w:ind w:firstLine="560"/>
              <w:jc w:val="both"/>
            </w:pPr>
            <w:r>
              <w:rPr>
                <w:rFonts w:ascii="仿宋_GB2312" w:hAnsi="仿宋_GB2312" w:cs="仿宋_GB2312" w:eastAsia="仿宋_GB2312"/>
                <w:sz w:val="28"/>
              </w:rPr>
              <w:t>根据采购单位具体工作要求开展病媒生物防制服务：</w:t>
            </w:r>
          </w:p>
          <w:p>
            <w:pPr>
              <w:pStyle w:val="null3"/>
              <w:ind w:firstLine="560"/>
              <w:jc w:val="both"/>
            </w:pPr>
            <w:r>
              <w:rPr>
                <w:rFonts w:ascii="仿宋_GB2312" w:hAnsi="仿宋_GB2312" w:cs="仿宋_GB2312" w:eastAsia="仿宋_GB2312"/>
                <w:sz w:val="28"/>
              </w:rPr>
              <w:t>（一）</w:t>
            </w:r>
            <w:r>
              <w:rPr>
                <w:rFonts w:ascii="仿宋_GB2312" w:hAnsi="仿宋_GB2312" w:cs="仿宋_GB2312" w:eastAsia="仿宋_GB2312"/>
                <w:sz w:val="28"/>
              </w:rPr>
              <w:t>供应商组织专业技术人员对城西镇上述区域进行内、外环境病媒生物防制摸底调查，制定施工和技术方案等，明确组织机构、人员配备、防制要求、安全措施、奖惩措施、应急预案等。</w:t>
            </w:r>
          </w:p>
          <w:p>
            <w:pPr>
              <w:pStyle w:val="null3"/>
              <w:ind w:firstLine="560"/>
              <w:jc w:val="both"/>
            </w:pPr>
            <w:r>
              <w:rPr>
                <w:rFonts w:ascii="仿宋_GB2312" w:hAnsi="仿宋_GB2312" w:cs="仿宋_GB2312" w:eastAsia="仿宋_GB2312"/>
                <w:sz w:val="28"/>
              </w:rPr>
              <w:t>（二）供应商应遵循以环境治理为主的综合防制原则，采取化学防制和物理防制、生物防制等相结合的防制方法，防止环境污染。</w:t>
            </w:r>
          </w:p>
          <w:p>
            <w:pPr>
              <w:pStyle w:val="null3"/>
              <w:ind w:firstLine="560"/>
              <w:jc w:val="both"/>
            </w:pPr>
            <w:r>
              <w:rPr>
                <w:rFonts w:ascii="仿宋_GB2312" w:hAnsi="仿宋_GB2312" w:cs="仿宋_GB2312" w:eastAsia="仿宋_GB2312"/>
                <w:sz w:val="28"/>
              </w:rPr>
              <w:t>（三）供应商每月对承包服务辖区范围内至少组织消杀服务</w:t>
            </w:r>
            <w:r>
              <w:rPr>
                <w:rFonts w:ascii="仿宋_GB2312" w:hAnsi="仿宋_GB2312" w:cs="仿宋_GB2312" w:eastAsia="仿宋_GB2312"/>
                <w:sz w:val="28"/>
              </w:rPr>
              <w:t>4次（轮），消杀时间要集中、统一，以确保消杀效果。在承包服务期限内，如遇病媒生物突发事件和应急消杀工作，供应商要第一时间到达现场，按采购单位的要求进行全面防制，待防制工作结束后，由此产生的防制费用由双方协商解决。</w:t>
            </w:r>
          </w:p>
          <w:p>
            <w:pPr>
              <w:pStyle w:val="null3"/>
              <w:ind w:firstLine="560"/>
              <w:jc w:val="both"/>
            </w:pPr>
            <w:r>
              <w:rPr>
                <w:rFonts w:ascii="仿宋_GB2312" w:hAnsi="仿宋_GB2312" w:cs="仿宋_GB2312" w:eastAsia="仿宋_GB2312"/>
                <w:sz w:val="28"/>
              </w:rPr>
              <w:t>（四）供应商必须在承包服务辖区范围内根据老鼠密度及灭鼠需要安装毒鼠屋，要根据标准要求进行合理布放和张贴警示标识，并登记造册后送至采购单位备案。</w:t>
            </w:r>
          </w:p>
          <w:p>
            <w:pPr>
              <w:pStyle w:val="null3"/>
              <w:ind w:firstLine="560"/>
              <w:jc w:val="both"/>
            </w:pPr>
            <w:r>
              <w:rPr>
                <w:rFonts w:ascii="仿宋_GB2312" w:hAnsi="仿宋_GB2312" w:cs="仿宋_GB2312" w:eastAsia="仿宋_GB2312"/>
                <w:sz w:val="28"/>
              </w:rPr>
              <w:t>（五）供应商负责做好辖区内病媒生物孳生地台账的排查和建档工作，并积极参与开展以环境整治为主的病媒生物孳生地综合治理工作。</w:t>
            </w:r>
          </w:p>
          <w:p>
            <w:pPr>
              <w:pStyle w:val="null3"/>
              <w:ind w:firstLine="560"/>
              <w:jc w:val="both"/>
            </w:pPr>
            <w:r>
              <w:rPr>
                <w:rFonts w:ascii="仿宋_GB2312" w:hAnsi="仿宋_GB2312" w:cs="仿宋_GB2312" w:eastAsia="仿宋_GB2312"/>
                <w:sz w:val="28"/>
              </w:rPr>
              <w:t>（六）供应商实施病媒生物防制工作的工作计划、作业记录、巡查记录、现场照片、药物和器械出入库记录、监测密度记录、病媒生物孳生地调查报告、工作小结等资料按月报送采购单位；服务期满工作总结、技术实施方案等相关资料必须整理形成竣工资料提交采购单位。</w:t>
            </w:r>
          </w:p>
          <w:p>
            <w:pPr>
              <w:pStyle w:val="null3"/>
              <w:ind w:firstLine="560"/>
              <w:jc w:val="both"/>
            </w:pPr>
            <w:r>
              <w:rPr>
                <w:rFonts w:ascii="仿宋_GB2312" w:hAnsi="仿宋_GB2312" w:cs="仿宋_GB2312" w:eastAsia="仿宋_GB2312"/>
                <w:sz w:val="28"/>
              </w:rPr>
              <w:t>（七）供应商必须配合做好采购单位交办的与病媒生物防制服务工作有关联的任务。</w:t>
            </w:r>
          </w:p>
          <w:p>
            <w:pPr>
              <w:pStyle w:val="null3"/>
              <w:ind w:firstLine="560"/>
              <w:jc w:val="both"/>
            </w:pPr>
            <w:r>
              <w:rPr>
                <w:rFonts w:ascii="仿宋_GB2312" w:hAnsi="仿宋_GB2312" w:cs="仿宋_GB2312" w:eastAsia="仿宋_GB2312"/>
                <w:sz w:val="28"/>
              </w:rPr>
              <w:t>（八）若出现投诉情况，供应商必须在</w:t>
            </w:r>
            <w:r>
              <w:rPr>
                <w:rFonts w:ascii="仿宋_GB2312" w:hAnsi="仿宋_GB2312" w:cs="仿宋_GB2312" w:eastAsia="仿宋_GB2312"/>
                <w:sz w:val="28"/>
              </w:rPr>
              <w:t>3小时内做出响应，24小时内指派作业服务人员到达所投诉现场处理。</w:t>
            </w:r>
          </w:p>
          <w:p>
            <w:pPr>
              <w:pStyle w:val="null3"/>
              <w:ind w:firstLine="560"/>
              <w:jc w:val="both"/>
            </w:pPr>
            <w:r>
              <w:rPr>
                <w:rFonts w:ascii="仿宋_GB2312" w:hAnsi="仿宋_GB2312" w:cs="仿宋_GB2312" w:eastAsia="仿宋_GB2312"/>
                <w:sz w:val="28"/>
              </w:rPr>
              <w:t>四、项目服务要求</w:t>
            </w:r>
          </w:p>
          <w:p>
            <w:pPr>
              <w:pStyle w:val="null3"/>
              <w:ind w:firstLine="560"/>
              <w:jc w:val="both"/>
            </w:pPr>
            <w:r>
              <w:rPr>
                <w:rFonts w:ascii="仿宋_GB2312" w:hAnsi="仿宋_GB2312" w:cs="仿宋_GB2312" w:eastAsia="仿宋_GB2312"/>
                <w:sz w:val="28"/>
              </w:rPr>
              <w:t>（一）作业要求</w:t>
            </w:r>
          </w:p>
          <w:p>
            <w:pPr>
              <w:pStyle w:val="null3"/>
              <w:ind w:firstLine="560"/>
              <w:jc w:val="both"/>
            </w:pPr>
            <w:r>
              <w:rPr>
                <w:rFonts w:ascii="仿宋_GB2312" w:hAnsi="仿宋_GB2312" w:cs="仿宋_GB2312" w:eastAsia="仿宋_GB2312"/>
                <w:sz w:val="28"/>
              </w:rPr>
              <w:t>1.实施防制作业前，必须先到现场调查辖区病媒生物的基本情况，对病媒生物的种类、栖息部位、密度状况及孳生地环境等情况有全面的了解，因地制宜地制定合理的病媒生物综合防制方案。</w:t>
            </w:r>
          </w:p>
          <w:p>
            <w:pPr>
              <w:pStyle w:val="null3"/>
              <w:ind w:firstLine="560"/>
              <w:jc w:val="both"/>
            </w:pPr>
            <w:r>
              <w:rPr>
                <w:rFonts w:ascii="仿宋_GB2312" w:hAnsi="仿宋_GB2312" w:cs="仿宋_GB2312" w:eastAsia="仿宋_GB2312"/>
                <w:sz w:val="28"/>
              </w:rPr>
              <w:t xml:space="preserve">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负全责。      </w:t>
            </w:r>
          </w:p>
          <w:p>
            <w:pPr>
              <w:pStyle w:val="null3"/>
              <w:ind w:firstLine="560"/>
              <w:jc w:val="both"/>
            </w:pPr>
            <w:r>
              <w:rPr>
                <w:rFonts w:ascii="仿宋_GB2312" w:hAnsi="仿宋_GB2312" w:cs="仿宋_GB2312" w:eastAsia="仿宋_GB2312"/>
                <w:sz w:val="28"/>
              </w:rPr>
              <w:t>3.每次作业完成后应认真填写《病媒生物防制现场作业记录表》，并交由采购单位签认，区爱卫办、各社区（村）或有关单位各一份，保存备查。</w:t>
            </w:r>
          </w:p>
          <w:p>
            <w:pPr>
              <w:pStyle w:val="null3"/>
              <w:ind w:firstLine="560"/>
              <w:jc w:val="both"/>
            </w:pPr>
            <w:r>
              <w:rPr>
                <w:rFonts w:ascii="仿宋_GB2312" w:hAnsi="仿宋_GB2312" w:cs="仿宋_GB2312" w:eastAsia="仿宋_GB2312"/>
                <w:sz w:val="28"/>
              </w:rPr>
              <w:t>4.定期进行病媒生物密度监测和防制效果监测，监测资料及时统计、分析上报采购单位，并归档保存。</w:t>
            </w:r>
          </w:p>
          <w:p>
            <w:pPr>
              <w:pStyle w:val="null3"/>
              <w:ind w:firstLine="560"/>
              <w:jc w:val="both"/>
            </w:pPr>
            <w:r>
              <w:rPr>
                <w:rFonts w:ascii="仿宋_GB2312" w:hAnsi="仿宋_GB2312" w:cs="仿宋_GB2312" w:eastAsia="仿宋_GB2312"/>
                <w:sz w:val="28"/>
              </w:rPr>
              <w:t>5.根据实际工作需要，供应商应每天通过美篇、工作简报等方式向采购单位等相关职能部门报送当天工作情况及存在的问题，以便于市爱卫办统一协调督办整改。</w:t>
            </w:r>
          </w:p>
          <w:p>
            <w:pPr>
              <w:pStyle w:val="null3"/>
              <w:ind w:firstLine="560"/>
              <w:jc w:val="both"/>
            </w:pPr>
            <w:r>
              <w:rPr>
                <w:rFonts w:ascii="仿宋_GB2312" w:hAnsi="仿宋_GB2312" w:cs="仿宋_GB2312" w:eastAsia="仿宋_GB2312"/>
                <w:sz w:val="28"/>
              </w:rPr>
              <w:t>（二）人员要求</w:t>
            </w:r>
          </w:p>
          <w:p>
            <w:pPr>
              <w:pStyle w:val="null3"/>
              <w:ind w:firstLine="560"/>
              <w:jc w:val="both"/>
            </w:pPr>
            <w:r>
              <w:rPr>
                <w:rFonts w:ascii="仿宋_GB2312" w:hAnsi="仿宋_GB2312" w:cs="仿宋_GB2312" w:eastAsia="仿宋_GB2312"/>
                <w:sz w:val="28"/>
              </w:rPr>
              <w:t>1.从事城西镇病媒生物防制作业的技术人员，均需经过专业培训合格后，或取得由国家认可的有关部门颁发的有害生物防制员《职业资格证书》后，方可上岗，并统一着装，持证上岗，文明服务，着装要符合防护要求。</w:t>
            </w:r>
          </w:p>
          <w:p>
            <w:pPr>
              <w:pStyle w:val="null3"/>
              <w:ind w:firstLine="560"/>
              <w:jc w:val="both"/>
            </w:pPr>
            <w:r>
              <w:rPr>
                <w:rFonts w:ascii="仿宋_GB2312" w:hAnsi="仿宋_GB2312" w:cs="仿宋_GB2312" w:eastAsia="仿宋_GB2312"/>
                <w:sz w:val="28"/>
              </w:rPr>
              <w:t>2.合同服务期内供应商日常所投入的作业技术人员不得少于6人，并且保证24小时有人值班，24小时接受采购单位的监督检查。</w:t>
            </w:r>
          </w:p>
          <w:p>
            <w:pPr>
              <w:pStyle w:val="null3"/>
              <w:ind w:firstLine="560"/>
              <w:jc w:val="both"/>
            </w:pPr>
            <w:r>
              <w:rPr>
                <w:rFonts w:ascii="仿宋_GB2312" w:hAnsi="仿宋_GB2312" w:cs="仿宋_GB2312" w:eastAsia="仿宋_GB2312"/>
                <w:sz w:val="28"/>
              </w:rPr>
              <w:t>（三）药物和器械要求</w:t>
            </w:r>
          </w:p>
          <w:p>
            <w:pPr>
              <w:pStyle w:val="null3"/>
              <w:ind w:firstLine="560"/>
              <w:jc w:val="both"/>
            </w:pPr>
            <w:r>
              <w:rPr>
                <w:rFonts w:ascii="仿宋_GB2312" w:hAnsi="仿宋_GB2312" w:cs="仿宋_GB2312" w:eastAsia="仿宋_GB2312"/>
                <w:sz w:val="28"/>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pPr>
              <w:pStyle w:val="null3"/>
              <w:ind w:firstLine="560"/>
              <w:jc w:val="both"/>
            </w:pPr>
            <w:r>
              <w:rPr>
                <w:rFonts w:ascii="仿宋_GB2312" w:hAnsi="仿宋_GB2312" w:cs="仿宋_GB2312" w:eastAsia="仿宋_GB2312"/>
                <w:sz w:val="28"/>
              </w:rPr>
              <w:t>2.病媒生物防制要符合《病媒生物综合管理技术规范城镇》（GB/T27775-2011）《病媒生物化学防治技术指南空间喷雾》（GB/T 31714-2015）《病媒生物化学防治技术指南滞留喷洒》（GB/T 31715-2015）《病媒生物综合管理技术规范化学防治蝇类》B/T 31718-2015）《病媒生物综合管理技术规范 化学防治 蜚蠊》GB/T 31719-2015）等技术规范要求，要根据处理面积的大小、处理场所的类型、方便易操作的原则，选择杀虫器械、杀虫杀鼠剂和施药方式。</w:t>
            </w:r>
          </w:p>
          <w:p>
            <w:pPr>
              <w:pStyle w:val="null3"/>
              <w:ind w:firstLine="560"/>
              <w:jc w:val="both"/>
            </w:pPr>
            <w:r>
              <w:rPr>
                <w:rFonts w:ascii="仿宋_GB2312" w:hAnsi="仿宋_GB2312" w:cs="仿宋_GB2312" w:eastAsia="仿宋_GB2312"/>
                <w:sz w:val="28"/>
              </w:rPr>
              <w:t>3.供应商必须投入不同品种且数量充足的专业施工服务器械设备，如热烟雾机、背负式电动喷雾器、机动喷雾机、背负式超低容量喷雾器等。</w:t>
            </w:r>
          </w:p>
          <w:p>
            <w:pPr>
              <w:pStyle w:val="null3"/>
              <w:jc w:val="both"/>
            </w:pPr>
            <w:r>
              <w:rPr>
                <w:rFonts w:ascii="仿宋_GB2312" w:hAnsi="仿宋_GB2312" w:cs="仿宋_GB2312" w:eastAsia="仿宋_GB2312"/>
                <w:sz w:val="28"/>
              </w:rPr>
              <w:t xml:space="preserve">  4.药物必须存放在专用仓库，应当符合有关安全防火规定；药物要有健全的药物采购及入出仓库的管理制度，设有专人管理，分类离墙离地存放。药物使用完毕，应按照环境保护法的有关规定，妥善处理。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标的名称：C04990000-其他医疗卫生服务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一、防治对象及标准</w:t>
            </w:r>
          </w:p>
          <w:p>
            <w:pPr>
              <w:pStyle w:val="null3"/>
              <w:ind w:firstLine="560"/>
              <w:jc w:val="both"/>
            </w:pPr>
            <w:r>
              <w:rPr>
                <w:rFonts w:ascii="仿宋_GB2312" w:hAnsi="仿宋_GB2312" w:cs="仿宋_GB2312" w:eastAsia="仿宋_GB2312"/>
                <w:sz w:val="28"/>
              </w:rPr>
              <w:t>1、防制对象：老鼠、蟑螂、苍蝇、蚊子</w:t>
            </w:r>
          </w:p>
          <w:p>
            <w:pPr>
              <w:pStyle w:val="null3"/>
              <w:ind w:firstLine="560"/>
              <w:jc w:val="both"/>
            </w:pPr>
            <w:r>
              <w:rPr>
                <w:rFonts w:ascii="仿宋_GB2312" w:hAnsi="仿宋_GB2312" w:cs="仿宋_GB2312" w:eastAsia="仿宋_GB2312"/>
                <w:sz w:val="28"/>
              </w:rPr>
              <w:t>2、服务标准：服务范围内鼠、蚊、蝇、蟑螂的密度达到国家病媒生物密度控制水平标准C级要求。</w:t>
            </w:r>
          </w:p>
          <w:p>
            <w:pPr>
              <w:pStyle w:val="null3"/>
              <w:ind w:firstLine="560"/>
              <w:jc w:val="both"/>
            </w:pPr>
            <w:r>
              <w:rPr>
                <w:rFonts w:ascii="仿宋_GB2312" w:hAnsi="仿宋_GB2312" w:cs="仿宋_GB2312" w:eastAsia="仿宋_GB2312"/>
                <w:sz w:val="28"/>
              </w:rPr>
              <w:t>二、项目服务区域及范围</w:t>
            </w:r>
          </w:p>
          <w:p>
            <w:pPr>
              <w:pStyle w:val="null3"/>
              <w:ind w:firstLine="560"/>
              <w:jc w:val="both"/>
            </w:pPr>
            <w:r>
              <w:rPr>
                <w:rFonts w:ascii="仿宋_GB2312" w:hAnsi="仿宋_GB2312" w:cs="仿宋_GB2312" w:eastAsia="仿宋_GB2312"/>
                <w:sz w:val="28"/>
              </w:rPr>
              <w:t>（一）服务区域：城西镇城市建成区范围。</w:t>
            </w:r>
          </w:p>
          <w:p>
            <w:pPr>
              <w:pStyle w:val="null3"/>
              <w:ind w:firstLine="560"/>
              <w:jc w:val="both"/>
            </w:pPr>
            <w:r>
              <w:rPr>
                <w:rFonts w:ascii="仿宋_GB2312" w:hAnsi="仿宋_GB2312" w:cs="仿宋_GB2312" w:eastAsia="仿宋_GB2312"/>
                <w:sz w:val="28"/>
              </w:rPr>
              <w:t>（二）服务范围：</w:t>
            </w:r>
          </w:p>
          <w:p>
            <w:pPr>
              <w:pStyle w:val="null3"/>
              <w:ind w:firstLine="560"/>
              <w:jc w:val="both"/>
            </w:pPr>
            <w:r>
              <w:rPr>
                <w:rFonts w:ascii="仿宋_GB2312" w:hAnsi="仿宋_GB2312" w:cs="仿宋_GB2312" w:eastAsia="仿宋_GB2312"/>
                <w:sz w:val="28"/>
              </w:rPr>
              <w:t>本次病媒生物防制范围包括第二片区是府西社区、苍东村、苍西村、高坡村、椰海社区、山高西社区、山高东社区、丁村南社区、丁村北社区。共计</w:t>
            </w:r>
            <w:r>
              <w:rPr>
                <w:rFonts w:ascii="仿宋_GB2312" w:hAnsi="仿宋_GB2312" w:cs="仿宋_GB2312" w:eastAsia="仿宋_GB2312"/>
                <w:sz w:val="28"/>
              </w:rPr>
              <w:t>20.3平方公里。</w:t>
            </w:r>
          </w:p>
          <w:p>
            <w:pPr>
              <w:pStyle w:val="null3"/>
              <w:ind w:firstLine="560"/>
              <w:jc w:val="both"/>
            </w:pPr>
            <w:r>
              <w:rPr>
                <w:rFonts w:ascii="仿宋_GB2312" w:hAnsi="仿宋_GB2312" w:cs="仿宋_GB2312" w:eastAsia="仿宋_GB2312"/>
                <w:sz w:val="28"/>
              </w:rPr>
              <w:t>具体服务范围为区域内指定的公共内、外环境。外环境主要包括：各级行政机关、企事业单位（含中央、省级单位）及居（村）委会，各公立中小学校、托儿机构，各公立医疗机构，破产（停产、关闭）企业，城中村及城乡结合部，居民区、住宅小区（不含有物业管理的小区），城区主次干道、背街小巷、窨井、下水道、公共绿地（含道路绿化带）、公园广场、河流、湖泊、沟渠、潭沟、旅游景区景点（不含经营性），建筑工地（含半拉子工地、待建工地、拆迁工地）、闲置空地，室外垃圾收集点，废品收购站（点），动车站和汽车站；内外环境主要包括：农贸市场、垃圾转运（中转）站、公共厕所、经营面积</w:t>
            </w:r>
            <w:r>
              <w:rPr>
                <w:rFonts w:ascii="仿宋_GB2312" w:hAnsi="仿宋_GB2312" w:cs="仿宋_GB2312" w:eastAsia="仿宋_GB2312"/>
                <w:sz w:val="28"/>
              </w:rPr>
              <w:t>200平方米以内的“六小”行业（小餐饮店、小食品店、小浴室、小美容美发、小歌舞厅、小旅店）经营门店（首层，含后场）。</w:t>
            </w:r>
          </w:p>
          <w:p>
            <w:pPr>
              <w:pStyle w:val="null3"/>
              <w:ind w:firstLine="560"/>
              <w:jc w:val="both"/>
            </w:pPr>
            <w:r>
              <w:rPr>
                <w:rFonts w:ascii="仿宋_GB2312" w:hAnsi="仿宋_GB2312" w:cs="仿宋_GB2312" w:eastAsia="仿宋_GB2312"/>
                <w:sz w:val="28"/>
              </w:rPr>
              <w:t>三、项目服务内容</w:t>
            </w:r>
          </w:p>
          <w:p>
            <w:pPr>
              <w:pStyle w:val="null3"/>
              <w:ind w:firstLine="560"/>
              <w:jc w:val="both"/>
            </w:pPr>
            <w:r>
              <w:rPr>
                <w:rFonts w:ascii="仿宋_GB2312" w:hAnsi="仿宋_GB2312" w:cs="仿宋_GB2312" w:eastAsia="仿宋_GB2312"/>
                <w:sz w:val="28"/>
              </w:rPr>
              <w:t>根据采购单位具体工作要求开展病媒生物防制服务：</w:t>
            </w:r>
          </w:p>
          <w:p>
            <w:pPr>
              <w:pStyle w:val="null3"/>
              <w:ind w:firstLine="560"/>
              <w:jc w:val="both"/>
            </w:pPr>
            <w:r>
              <w:rPr>
                <w:rFonts w:ascii="仿宋_GB2312" w:hAnsi="仿宋_GB2312" w:cs="仿宋_GB2312" w:eastAsia="仿宋_GB2312"/>
                <w:sz w:val="28"/>
              </w:rPr>
              <w:t>（一）</w:t>
            </w:r>
            <w:r>
              <w:rPr>
                <w:rFonts w:ascii="仿宋_GB2312" w:hAnsi="仿宋_GB2312" w:cs="仿宋_GB2312" w:eastAsia="仿宋_GB2312"/>
                <w:sz w:val="28"/>
              </w:rPr>
              <w:t>供应商组织专业技术人员对城西镇上述区域进行内、外环境病媒生物防制摸底调查，制定施工和技术方案等，明确组织机构、人员配备、防制要求、安全措施、奖惩措施、应急预案等。</w:t>
            </w:r>
          </w:p>
          <w:p>
            <w:pPr>
              <w:pStyle w:val="null3"/>
              <w:ind w:firstLine="560"/>
              <w:jc w:val="both"/>
            </w:pPr>
            <w:r>
              <w:rPr>
                <w:rFonts w:ascii="仿宋_GB2312" w:hAnsi="仿宋_GB2312" w:cs="仿宋_GB2312" w:eastAsia="仿宋_GB2312"/>
                <w:sz w:val="28"/>
              </w:rPr>
              <w:t>（二）供应商应遵循以环境治理为主的综合防制原则，采取化学防制和物理防制、生物防制等相结合的防制方法，防止环境污染。</w:t>
            </w:r>
          </w:p>
          <w:p>
            <w:pPr>
              <w:pStyle w:val="null3"/>
              <w:ind w:firstLine="560"/>
              <w:jc w:val="both"/>
            </w:pPr>
            <w:r>
              <w:rPr>
                <w:rFonts w:ascii="仿宋_GB2312" w:hAnsi="仿宋_GB2312" w:cs="仿宋_GB2312" w:eastAsia="仿宋_GB2312"/>
                <w:sz w:val="28"/>
              </w:rPr>
              <w:t>（三）供应商每月对承包服务辖区范围内至少组织消杀服务</w:t>
            </w:r>
            <w:r>
              <w:rPr>
                <w:rFonts w:ascii="仿宋_GB2312" w:hAnsi="仿宋_GB2312" w:cs="仿宋_GB2312" w:eastAsia="仿宋_GB2312"/>
                <w:sz w:val="28"/>
              </w:rPr>
              <w:t>4次（轮），消杀时间要集中、统一，以确保消杀效果。在承包服务期限内，如遇病媒生物突发事件和应急消杀工作，供应商要第一时间到达现场，按采购单位的要求进行全面防制，待防制工作结束后，由此产生的防制费用由双方协商解决。</w:t>
            </w:r>
          </w:p>
          <w:p>
            <w:pPr>
              <w:pStyle w:val="null3"/>
              <w:ind w:firstLine="560"/>
              <w:jc w:val="both"/>
            </w:pPr>
            <w:r>
              <w:rPr>
                <w:rFonts w:ascii="仿宋_GB2312" w:hAnsi="仿宋_GB2312" w:cs="仿宋_GB2312" w:eastAsia="仿宋_GB2312"/>
                <w:sz w:val="28"/>
              </w:rPr>
              <w:t>（四）供应商必须在承包服务辖区范围内根据老鼠密度及灭鼠需要安装毒鼠屋，要根据标准要求进行合理布放和张贴警示标识，并登记造册后送至采购单位备案。</w:t>
            </w:r>
          </w:p>
          <w:p>
            <w:pPr>
              <w:pStyle w:val="null3"/>
              <w:ind w:firstLine="560"/>
              <w:jc w:val="both"/>
            </w:pPr>
            <w:r>
              <w:rPr>
                <w:rFonts w:ascii="仿宋_GB2312" w:hAnsi="仿宋_GB2312" w:cs="仿宋_GB2312" w:eastAsia="仿宋_GB2312"/>
                <w:sz w:val="28"/>
              </w:rPr>
              <w:t>（五）供应商负责做好辖区内病媒生物孳生地台账的排查和建档工作，并积极参与开展以环境整治为主的病媒生物孳生地综合治理工作。</w:t>
            </w:r>
          </w:p>
          <w:p>
            <w:pPr>
              <w:pStyle w:val="null3"/>
              <w:ind w:firstLine="560"/>
              <w:jc w:val="both"/>
            </w:pPr>
            <w:r>
              <w:rPr>
                <w:rFonts w:ascii="仿宋_GB2312" w:hAnsi="仿宋_GB2312" w:cs="仿宋_GB2312" w:eastAsia="仿宋_GB2312"/>
                <w:sz w:val="28"/>
              </w:rPr>
              <w:t>（六）供应商实施病媒生物防制工作的工作计划、作业记录、巡查记录、现场照片、药物和器械出入库记录、监测密度记录、病媒生物孳生地调查报告、工作小结等资料按月报送采购单位；服务期满工作总结、技术实施方案等相关资料必须整理形成竣工资料提交采购单位。</w:t>
            </w:r>
          </w:p>
          <w:p>
            <w:pPr>
              <w:pStyle w:val="null3"/>
              <w:ind w:firstLine="560"/>
              <w:jc w:val="both"/>
            </w:pPr>
            <w:r>
              <w:rPr>
                <w:rFonts w:ascii="仿宋_GB2312" w:hAnsi="仿宋_GB2312" w:cs="仿宋_GB2312" w:eastAsia="仿宋_GB2312"/>
                <w:sz w:val="28"/>
              </w:rPr>
              <w:t>（七）供应商必须配合做好采购单位交办的与病媒生物防制服务工作有关联的任务。</w:t>
            </w:r>
          </w:p>
          <w:p>
            <w:pPr>
              <w:pStyle w:val="null3"/>
              <w:ind w:firstLine="560"/>
              <w:jc w:val="both"/>
            </w:pPr>
            <w:r>
              <w:rPr>
                <w:rFonts w:ascii="仿宋_GB2312" w:hAnsi="仿宋_GB2312" w:cs="仿宋_GB2312" w:eastAsia="仿宋_GB2312"/>
                <w:sz w:val="28"/>
              </w:rPr>
              <w:t>（八）若出现投诉情况，供应商必须在</w:t>
            </w:r>
            <w:r>
              <w:rPr>
                <w:rFonts w:ascii="仿宋_GB2312" w:hAnsi="仿宋_GB2312" w:cs="仿宋_GB2312" w:eastAsia="仿宋_GB2312"/>
                <w:sz w:val="28"/>
              </w:rPr>
              <w:t>3小时内做出响应，24小时内指派作业服务人员到达所投诉现场处理。</w:t>
            </w:r>
          </w:p>
          <w:p>
            <w:pPr>
              <w:pStyle w:val="null3"/>
              <w:ind w:firstLine="560"/>
              <w:jc w:val="both"/>
            </w:pPr>
            <w:r>
              <w:rPr>
                <w:rFonts w:ascii="仿宋_GB2312" w:hAnsi="仿宋_GB2312" w:cs="仿宋_GB2312" w:eastAsia="仿宋_GB2312"/>
                <w:sz w:val="28"/>
              </w:rPr>
              <w:t>四、项目服务要求</w:t>
            </w:r>
          </w:p>
          <w:p>
            <w:pPr>
              <w:pStyle w:val="null3"/>
              <w:ind w:firstLine="560"/>
              <w:jc w:val="both"/>
            </w:pPr>
            <w:r>
              <w:rPr>
                <w:rFonts w:ascii="仿宋_GB2312" w:hAnsi="仿宋_GB2312" w:cs="仿宋_GB2312" w:eastAsia="仿宋_GB2312"/>
                <w:sz w:val="28"/>
              </w:rPr>
              <w:t>（一）作业要求</w:t>
            </w:r>
          </w:p>
          <w:p>
            <w:pPr>
              <w:pStyle w:val="null3"/>
              <w:ind w:firstLine="560"/>
              <w:jc w:val="both"/>
            </w:pPr>
            <w:r>
              <w:rPr>
                <w:rFonts w:ascii="仿宋_GB2312" w:hAnsi="仿宋_GB2312" w:cs="仿宋_GB2312" w:eastAsia="仿宋_GB2312"/>
                <w:sz w:val="28"/>
              </w:rPr>
              <w:t>1.实施防制作业前，必须先到现场调查辖区病媒生物的基本情况，对病媒生物的种类、栖息部位、密度状况及孳生地环境等情况有全面的了解，因地制宜地制定合理的病媒生物综合防制方案。</w:t>
            </w:r>
          </w:p>
          <w:p>
            <w:pPr>
              <w:pStyle w:val="null3"/>
              <w:ind w:firstLine="560"/>
              <w:jc w:val="both"/>
            </w:pPr>
            <w:r>
              <w:rPr>
                <w:rFonts w:ascii="仿宋_GB2312" w:hAnsi="仿宋_GB2312" w:cs="仿宋_GB2312" w:eastAsia="仿宋_GB2312"/>
                <w:sz w:val="28"/>
              </w:rPr>
              <w:t xml:space="preserve">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负全责。      </w:t>
            </w:r>
          </w:p>
          <w:p>
            <w:pPr>
              <w:pStyle w:val="null3"/>
              <w:ind w:firstLine="560"/>
              <w:jc w:val="both"/>
            </w:pPr>
            <w:r>
              <w:rPr>
                <w:rFonts w:ascii="仿宋_GB2312" w:hAnsi="仿宋_GB2312" w:cs="仿宋_GB2312" w:eastAsia="仿宋_GB2312"/>
                <w:sz w:val="28"/>
              </w:rPr>
              <w:t>3.每次作业完成后应认真填写《病媒生物防制现场作业记录表》，并交由采购单位签认，区爱卫办、各社区（村）或有关单位各一份，保存备查。</w:t>
            </w:r>
          </w:p>
          <w:p>
            <w:pPr>
              <w:pStyle w:val="null3"/>
              <w:ind w:firstLine="560"/>
              <w:jc w:val="both"/>
            </w:pPr>
            <w:r>
              <w:rPr>
                <w:rFonts w:ascii="仿宋_GB2312" w:hAnsi="仿宋_GB2312" w:cs="仿宋_GB2312" w:eastAsia="仿宋_GB2312"/>
                <w:sz w:val="28"/>
              </w:rPr>
              <w:t>4.定期进行病媒生物密度监测和防制效果监测，监测资料及时统计、分析上报采购单位，并归档保存。</w:t>
            </w:r>
          </w:p>
          <w:p>
            <w:pPr>
              <w:pStyle w:val="null3"/>
              <w:ind w:firstLine="560"/>
              <w:jc w:val="both"/>
            </w:pPr>
            <w:r>
              <w:rPr>
                <w:rFonts w:ascii="仿宋_GB2312" w:hAnsi="仿宋_GB2312" w:cs="仿宋_GB2312" w:eastAsia="仿宋_GB2312"/>
                <w:sz w:val="28"/>
              </w:rPr>
              <w:t>5.根据实际工作需要，供应商应每天通过美篇、工作简报等方式向采购单位等相关职能部门报送当天工作情况及存在的问题，以便于市爱卫办统一协调督办整改。</w:t>
            </w:r>
          </w:p>
          <w:p>
            <w:pPr>
              <w:pStyle w:val="null3"/>
              <w:ind w:firstLine="560"/>
              <w:jc w:val="both"/>
            </w:pPr>
            <w:r>
              <w:rPr>
                <w:rFonts w:ascii="仿宋_GB2312" w:hAnsi="仿宋_GB2312" w:cs="仿宋_GB2312" w:eastAsia="仿宋_GB2312"/>
                <w:sz w:val="28"/>
              </w:rPr>
              <w:t>（二）人员要求</w:t>
            </w:r>
          </w:p>
          <w:p>
            <w:pPr>
              <w:pStyle w:val="null3"/>
              <w:ind w:firstLine="560"/>
              <w:jc w:val="both"/>
            </w:pPr>
            <w:r>
              <w:rPr>
                <w:rFonts w:ascii="仿宋_GB2312" w:hAnsi="仿宋_GB2312" w:cs="仿宋_GB2312" w:eastAsia="仿宋_GB2312"/>
                <w:sz w:val="28"/>
              </w:rPr>
              <w:t>1.从事城西镇病媒生物防制作业的技术人员，均需经过专业培训合格后，或取得由国家认可的有关部门颁发的有害生物防制员《职业资格证书》后，方可上岗，并统一着装，持证上岗，文明服务，着装要符合防护要求。</w:t>
            </w:r>
          </w:p>
          <w:p>
            <w:pPr>
              <w:pStyle w:val="null3"/>
              <w:ind w:firstLine="560"/>
              <w:jc w:val="both"/>
            </w:pPr>
            <w:r>
              <w:rPr>
                <w:rFonts w:ascii="仿宋_GB2312" w:hAnsi="仿宋_GB2312" w:cs="仿宋_GB2312" w:eastAsia="仿宋_GB2312"/>
                <w:sz w:val="28"/>
              </w:rPr>
              <w:t>2.合同服务期内供应商日常所投入的作业技术人员不得少于6人，并且保证24小时有人值班，24小时接受采购单位的监督检查。</w:t>
            </w:r>
          </w:p>
          <w:p>
            <w:pPr>
              <w:pStyle w:val="null3"/>
              <w:ind w:firstLine="560"/>
              <w:jc w:val="both"/>
            </w:pPr>
            <w:r>
              <w:rPr>
                <w:rFonts w:ascii="仿宋_GB2312" w:hAnsi="仿宋_GB2312" w:cs="仿宋_GB2312" w:eastAsia="仿宋_GB2312"/>
                <w:sz w:val="28"/>
              </w:rPr>
              <w:t>（三）药物和器械要求</w:t>
            </w:r>
          </w:p>
          <w:p>
            <w:pPr>
              <w:pStyle w:val="null3"/>
              <w:ind w:firstLine="560"/>
              <w:jc w:val="both"/>
            </w:pPr>
            <w:r>
              <w:rPr>
                <w:rFonts w:ascii="仿宋_GB2312" w:hAnsi="仿宋_GB2312" w:cs="仿宋_GB2312" w:eastAsia="仿宋_GB2312"/>
                <w:sz w:val="28"/>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pPr>
              <w:pStyle w:val="null3"/>
              <w:ind w:firstLine="560"/>
              <w:jc w:val="both"/>
            </w:pPr>
            <w:r>
              <w:rPr>
                <w:rFonts w:ascii="仿宋_GB2312" w:hAnsi="仿宋_GB2312" w:cs="仿宋_GB2312" w:eastAsia="仿宋_GB2312"/>
                <w:sz w:val="28"/>
              </w:rPr>
              <w:t>2.病媒生物防制要符合《病媒生物综合管理技术规范城镇》（GB/T27775-2011）《病媒生物化学防治技术指南空间喷雾》（GB/T 31714-2015）《病媒生物化学防治技术指南滞留喷洒》（GB/T 31715-2015）《病媒生物综合管理技术规范化学防治蝇类》B/T 31718-2015）《病媒生物综合管理技术规范 化学防治 蜚蠊》GB/T 31719-2015）等技术规范要求，要根据处理面积的大小、处理场所的类型、方便易操作的原则，选择杀虫器械、杀虫杀鼠剂和施药方式。</w:t>
            </w:r>
          </w:p>
          <w:p>
            <w:pPr>
              <w:pStyle w:val="null3"/>
              <w:ind w:firstLine="560"/>
              <w:jc w:val="both"/>
            </w:pPr>
            <w:r>
              <w:rPr>
                <w:rFonts w:ascii="仿宋_GB2312" w:hAnsi="仿宋_GB2312" w:cs="仿宋_GB2312" w:eastAsia="仿宋_GB2312"/>
                <w:sz w:val="28"/>
              </w:rPr>
              <w:t>3.供应商必须投入不同品种且数量充足的专业施工服务器械设备，如热烟雾机、背负式电动喷雾器、机动喷雾机、背负式超低容量喷雾器等。</w:t>
            </w:r>
          </w:p>
          <w:p>
            <w:pPr>
              <w:pStyle w:val="null3"/>
              <w:ind w:firstLine="560"/>
              <w:jc w:val="both"/>
            </w:pPr>
            <w:r>
              <w:rPr>
                <w:rFonts w:ascii="仿宋_GB2312" w:hAnsi="仿宋_GB2312" w:cs="仿宋_GB2312" w:eastAsia="仿宋_GB2312"/>
                <w:sz w:val="28"/>
              </w:rPr>
              <w:t>4.药物必须存放在专用仓库，应当符合有关安全防火规定；药物要有健全的药物采购及入出仓库的管理制度，设有专人管理，分类离墙离地存放。药物使用完毕，应按照环境保护法的有关规定，妥善处理。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sz w:val="28"/>
              </w:rPr>
              <w:t>1、服务期（合同履约期限）：自合同签订之日起服务一年。</w:t>
            </w:r>
          </w:p>
          <w:p>
            <w:pPr>
              <w:pStyle w:val="null3"/>
              <w:ind w:firstLine="560"/>
              <w:jc w:val="both"/>
            </w:pPr>
            <w:r>
              <w:rPr>
                <w:rFonts w:ascii="仿宋_GB2312" w:hAnsi="仿宋_GB2312" w:cs="仿宋_GB2312" w:eastAsia="仿宋_GB2312"/>
                <w:sz w:val="28"/>
              </w:rPr>
              <w:t>2、付款方式：确定中标供应商后，根据实际工作需要，签订协议，根据服务的内容，分期付款，具体以合同约定为准。</w:t>
            </w:r>
          </w:p>
          <w:p>
            <w:pPr>
              <w:pStyle w:val="null3"/>
              <w:ind w:firstLine="560"/>
              <w:jc w:val="both"/>
            </w:pPr>
            <w:r>
              <w:rPr>
                <w:rFonts w:ascii="仿宋_GB2312" w:hAnsi="仿宋_GB2312" w:cs="仿宋_GB2312" w:eastAsia="仿宋_GB2312"/>
                <w:sz w:val="28"/>
              </w:rPr>
              <w:t>3、投标人（响应人）必须承诺中标后在采购人所在地（海口市城市建成区）设有办公服务场地，办公场地必须具备办公、食宿、仓库等功能，投标人（响应人）在海口市城市建成区的办公场地租赁期从自合同签订之日起不得少于合同履约期限1年。</w:t>
            </w:r>
            <w:r>
              <w:rPr>
                <w:rFonts w:ascii="仿宋_GB2312" w:hAnsi="仿宋_GB2312" w:cs="仿宋_GB2312" w:eastAsia="仿宋_GB2312"/>
                <w:sz w:val="28"/>
                <w:b/>
              </w:rPr>
              <w:t>（提供承诺函，格式自拟。）</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4、除采购单位事先书面同意外，供应商不得将服务合同全部转包或部分分包给第三方，否则采购人将终止合同，经济损失和法律责任由供应商承担。</w:t>
            </w:r>
            <w:r>
              <w:rPr>
                <w:rFonts w:ascii="仿宋_GB2312" w:hAnsi="仿宋_GB2312" w:cs="仿宋_GB2312" w:eastAsia="仿宋_GB2312"/>
                <w:sz w:val="28"/>
                <w:b/>
              </w:rPr>
              <w:t>（提供承诺函，格式自拟。）</w:t>
            </w:r>
          </w:p>
          <w:p>
            <w:pPr>
              <w:pStyle w:val="null3"/>
              <w:ind w:firstLine="560"/>
              <w:jc w:val="both"/>
            </w:pPr>
            <w:r>
              <w:rPr>
                <w:rFonts w:ascii="仿宋_GB2312" w:hAnsi="仿宋_GB2312" w:cs="仿宋_GB2312" w:eastAsia="仿宋_GB2312"/>
                <w:sz w:val="28"/>
              </w:rPr>
              <w:t>5、奖惩机制：承包期内，因供应商防制工作不到位、防制措施不落实等原因，导致承包的辖区内病媒生物密度控制水平达不到国家标准要求，而严重影响城西镇人民政府得分的，扣除该包段总额的20％作为罚款，且采购单位有权终止合同。</w:t>
            </w:r>
            <w:r>
              <w:rPr>
                <w:rFonts w:ascii="仿宋_GB2312" w:hAnsi="仿宋_GB2312" w:cs="仿宋_GB2312" w:eastAsia="仿宋_GB2312"/>
                <w:sz w:val="28"/>
                <w:b/>
              </w:rPr>
              <w:t>（提供承诺函，格式自拟。）</w:t>
            </w:r>
          </w:p>
          <w:p>
            <w:pPr>
              <w:pStyle w:val="null3"/>
              <w:ind w:firstLine="560"/>
              <w:jc w:val="both"/>
            </w:pPr>
            <w:r>
              <w:rPr>
                <w:rFonts w:ascii="仿宋_GB2312" w:hAnsi="仿宋_GB2312" w:cs="仿宋_GB2312" w:eastAsia="仿宋_GB2312"/>
                <w:sz w:val="28"/>
              </w:rPr>
              <w:t>6、服务费用为全包价，即包括管理费用、人员费用（含工资、奖金、社保、教育培训、处理一切伤亡事故等费用）、生产资料（设施设备支出、设备折旧和维护等）、消杀器械及药物、税金、利润等本项。</w:t>
            </w:r>
            <w:r>
              <w:rPr>
                <w:rFonts w:ascii="仿宋_GB2312" w:hAnsi="仿宋_GB2312" w:cs="仿宋_GB2312" w:eastAsia="仿宋_GB2312"/>
                <w:sz w:val="28"/>
                <w:b/>
              </w:rPr>
              <w:t>（提供承诺函，格式自拟。）</w:t>
            </w:r>
          </w:p>
          <w:p>
            <w:pPr>
              <w:pStyle w:val="null3"/>
              <w:ind w:firstLine="560"/>
              <w:jc w:val="both"/>
            </w:pPr>
            <w:r>
              <w:rPr>
                <w:rFonts w:ascii="仿宋_GB2312" w:hAnsi="仿宋_GB2312" w:cs="仿宋_GB2312" w:eastAsia="仿宋_GB2312"/>
                <w:sz w:val="28"/>
              </w:rPr>
              <w:t>7、投标人（响应人）提供《海南省病媒生物预防控制有偿服务机构备案书》，或承诺在中标后、签订合同前取得该备案 。</w:t>
            </w:r>
            <w:r>
              <w:rPr>
                <w:rFonts w:ascii="仿宋_GB2312" w:hAnsi="仿宋_GB2312" w:cs="仿宋_GB2312" w:eastAsia="仿宋_GB2312"/>
                <w:sz w:val="28"/>
                <w:b/>
              </w:rPr>
              <w:t>（须提供备案证书复印件加盖投标人公章或提供承诺函，承诺函格式自拟。）</w:t>
            </w:r>
          </w:p>
          <w:p>
            <w:pPr>
              <w:pStyle w:val="null3"/>
              <w:ind w:firstLine="560"/>
              <w:jc w:val="both"/>
            </w:pP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560"/>
              <w:jc w:val="both"/>
            </w:pPr>
            <w:r>
              <w:rPr>
                <w:rFonts w:ascii="仿宋_GB2312" w:hAnsi="仿宋_GB2312" w:cs="仿宋_GB2312" w:eastAsia="仿宋_GB2312"/>
                <w:sz w:val="28"/>
              </w:rPr>
              <w:t>1、服务期（合同履约期限）：自合同签订之日起服务一年。</w:t>
            </w:r>
          </w:p>
          <w:p>
            <w:pPr>
              <w:pStyle w:val="null3"/>
              <w:ind w:firstLine="560"/>
              <w:jc w:val="both"/>
            </w:pPr>
            <w:r>
              <w:rPr>
                <w:rFonts w:ascii="仿宋_GB2312" w:hAnsi="仿宋_GB2312" w:cs="仿宋_GB2312" w:eastAsia="仿宋_GB2312"/>
                <w:sz w:val="28"/>
              </w:rPr>
              <w:t>2、付款方式：确定中标供应商后，根据实际工作需要，签订协议，根据服务的内容，分期付款，具体以合同约定为准。</w:t>
            </w:r>
          </w:p>
          <w:p>
            <w:pPr>
              <w:pStyle w:val="null3"/>
              <w:ind w:firstLine="560"/>
              <w:jc w:val="both"/>
            </w:pPr>
            <w:r>
              <w:rPr>
                <w:rFonts w:ascii="仿宋_GB2312" w:hAnsi="仿宋_GB2312" w:cs="仿宋_GB2312" w:eastAsia="仿宋_GB2312"/>
                <w:sz w:val="28"/>
              </w:rPr>
              <w:t>3、投标人（响应人）必须承诺中标后在采购人所在地（海口市城市建成区）设有办公服务场地，办公场地必须具备办公、食宿、仓库等功能，投标人（响应人）在海口市城市建成区的办公场地租赁期从自合同签订之日起不得少于合同履约期限1年。</w:t>
            </w:r>
            <w:r>
              <w:rPr>
                <w:rFonts w:ascii="仿宋_GB2312" w:hAnsi="仿宋_GB2312" w:cs="仿宋_GB2312" w:eastAsia="仿宋_GB2312"/>
                <w:sz w:val="28"/>
                <w:b/>
              </w:rPr>
              <w:t>（提供承诺函，格式自拟。）</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4、除采购单位事先书面同意外，供应商不得将服务合同全部转包或部分分包给第三方，否则采购人将终止合同，经济损失和法律责任由供应商承担。</w:t>
            </w:r>
            <w:r>
              <w:rPr>
                <w:rFonts w:ascii="仿宋_GB2312" w:hAnsi="仿宋_GB2312" w:cs="仿宋_GB2312" w:eastAsia="仿宋_GB2312"/>
                <w:sz w:val="28"/>
                <w:b/>
              </w:rPr>
              <w:t>（提供承诺函，格式自拟。）</w:t>
            </w:r>
          </w:p>
          <w:p>
            <w:pPr>
              <w:pStyle w:val="null3"/>
              <w:ind w:firstLine="560"/>
              <w:jc w:val="both"/>
            </w:pPr>
            <w:r>
              <w:rPr>
                <w:rFonts w:ascii="仿宋_GB2312" w:hAnsi="仿宋_GB2312" w:cs="仿宋_GB2312" w:eastAsia="仿宋_GB2312"/>
                <w:sz w:val="28"/>
              </w:rPr>
              <w:t>5、奖惩机制：承包期内，因供应商防制工作不到位、防制措施不落实等原因，导致承包的辖区内病媒生物密度控制水平达不到国家标准要求，而严重影响城西镇人民政府得分的，扣除该包段总额的20％作为罚款，且采购单位有权终止合同。</w:t>
            </w:r>
            <w:r>
              <w:rPr>
                <w:rFonts w:ascii="仿宋_GB2312" w:hAnsi="仿宋_GB2312" w:cs="仿宋_GB2312" w:eastAsia="仿宋_GB2312"/>
                <w:sz w:val="28"/>
                <w:b/>
              </w:rPr>
              <w:t>（提供承诺函，格式自拟。）</w:t>
            </w:r>
          </w:p>
          <w:p>
            <w:pPr>
              <w:pStyle w:val="null3"/>
              <w:ind w:firstLine="560"/>
              <w:jc w:val="both"/>
            </w:pPr>
            <w:r>
              <w:rPr>
                <w:rFonts w:ascii="仿宋_GB2312" w:hAnsi="仿宋_GB2312" w:cs="仿宋_GB2312" w:eastAsia="仿宋_GB2312"/>
                <w:sz w:val="28"/>
              </w:rPr>
              <w:t>6、服务费用为全包价，即包括管理费用、人员费用（含工资、奖金、社保、教育培训、处理一切伤亡事故等费用）、生产资料（设施设备支出、设备折旧和维护等）、消杀器械及药物、税金、利润等本项。</w:t>
            </w:r>
            <w:r>
              <w:rPr>
                <w:rFonts w:ascii="仿宋_GB2312" w:hAnsi="仿宋_GB2312" w:cs="仿宋_GB2312" w:eastAsia="仿宋_GB2312"/>
                <w:sz w:val="28"/>
                <w:b/>
              </w:rPr>
              <w:t>（提供承诺函，格式自拟。）</w:t>
            </w:r>
          </w:p>
          <w:p>
            <w:pPr>
              <w:pStyle w:val="null3"/>
              <w:ind w:firstLine="560"/>
              <w:jc w:val="both"/>
            </w:pPr>
            <w:r>
              <w:rPr>
                <w:rFonts w:ascii="仿宋_GB2312" w:hAnsi="仿宋_GB2312" w:cs="仿宋_GB2312" w:eastAsia="仿宋_GB2312"/>
                <w:sz w:val="28"/>
              </w:rPr>
              <w:t>7、投标人（响应人）提供《海南省病媒生物预防控制有偿服务机构备案书》，或承诺在中标后、签订合同前取得该备案 。</w:t>
            </w:r>
            <w:r>
              <w:rPr>
                <w:rFonts w:ascii="仿宋_GB2312" w:hAnsi="仿宋_GB2312" w:cs="仿宋_GB2312" w:eastAsia="仿宋_GB2312"/>
                <w:sz w:val="28"/>
                <w:b/>
              </w:rPr>
              <w:t>（须提供备案证书复印件加盖投标人公章或提供承诺函，承诺函格式自拟。）</w:t>
            </w:r>
          </w:p>
          <w:p>
            <w:pPr>
              <w:pStyle w:val="null3"/>
              <w:ind w:firstLine="560"/>
              <w:jc w:val="both"/>
            </w:pPr>
          </w:p>
        </w:tc>
      </w:tr>
    </w:tbl>
    <w:p>
      <w:pPr>
        <w:pStyle w:val="null3"/>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8"/>
          <w:b/>
        </w:rPr>
        <w:t>1、成交供应商要保持同采购人的密切联系，遇有重大事项及时报告和反馈信息，尊重采购人的意见，接受采购人的提议、监督和指导。</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具备《中华人民共和国政府采购法》第二十二条规定条件的承诺书</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具备《中华人民共和国政府采购法》第二十二条规定条件的承诺书</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参加政府采购活动前三年内，在经营活动中没有环保类⾏政处罚记录</w:t>
            </w:r>
          </w:p>
        </w:tc>
        <w:tc>
          <w:tcPr>
            <w:tcW w:type="dxa" w:w="3322"/>
          </w:tcPr>
          <w:p>
            <w:pPr>
              <w:pStyle w:val="null3"/>
              <w:jc w:val="left"/>
            </w:pPr>
            <w:r>
              <w:rPr>
                <w:rFonts w:ascii="仿宋_GB2312" w:hAnsi="仿宋_GB2312" w:cs="仿宋_GB2312" w:eastAsia="仿宋_GB2312"/>
              </w:rPr>
              <w:t>参加政府采购活动前三年内，在经营活动中没有环保类⾏政处罚记录(提供参加政府采购活动前三年内，在经营活动中没有环保类⾏政处罚记录的承诺函加盖公章，营业执照不满三年的，按照营业执照注册年限起算。</w:t>
            </w:r>
          </w:p>
        </w:tc>
        <w:tc>
          <w:tcPr>
            <w:tcW w:type="dxa" w:w="1661"/>
          </w:tcPr>
          <w:p>
            <w:pPr>
              <w:pStyle w:val="null3"/>
              <w:jc w:val="left"/>
            </w:pPr>
            <w:r>
              <w:rPr>
                <w:rFonts w:ascii="仿宋_GB2312" w:hAnsi="仿宋_GB2312" w:cs="仿宋_GB2312" w:eastAsia="仿宋_GB2312"/>
              </w:rPr>
              <w:t>参加政府采购活动前三年内，在经营活动中没有环保类行政处罚记录的承诺书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单位负责⼈为同⼀⼈或者存在直接控股、管理关系的不同供应商，不得参加同⼀合同项下的政府采购活动</w:t>
            </w:r>
          </w:p>
        </w:tc>
        <w:tc>
          <w:tcPr>
            <w:tcW w:type="dxa" w:w="3322"/>
          </w:tcPr>
          <w:p>
            <w:pPr>
              <w:pStyle w:val="null3"/>
              <w:jc w:val="left"/>
            </w:pPr>
            <w:r>
              <w:rPr>
                <w:rFonts w:ascii="仿宋_GB2312" w:hAnsi="仿宋_GB2312" w:cs="仿宋_GB2312" w:eastAsia="仿宋_GB2312"/>
              </w:rPr>
              <w:t>单位负责⼈为同⼀⼈或者存在直接控股、管理关系的不同供应商，不得参加同⼀合同项下的政府采购活动（提供承诺函加盖公章）。</w:t>
            </w:r>
          </w:p>
        </w:tc>
        <w:tc>
          <w:tcPr>
            <w:tcW w:type="dxa" w:w="1661"/>
          </w:tcPr>
          <w:p>
            <w:pPr>
              <w:pStyle w:val="null3"/>
              <w:jc w:val="left"/>
            </w:pPr>
            <w:r>
              <w:rPr>
                <w:rFonts w:ascii="仿宋_GB2312" w:hAnsi="仿宋_GB2312" w:cs="仿宋_GB2312" w:eastAsia="仿宋_GB2312"/>
              </w:rPr>
              <w:t>与参与本项目的供应商之间，单位负责人不为同一人，也不存在直接控股、管理关系的承诺书</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参加政府采购活动前三年内，在经营活动中没有环保类⾏政处罚记录</w:t>
            </w:r>
          </w:p>
        </w:tc>
        <w:tc>
          <w:tcPr>
            <w:tcW w:type="dxa" w:w="3322"/>
          </w:tcPr>
          <w:p>
            <w:pPr>
              <w:pStyle w:val="null3"/>
              <w:jc w:val="left"/>
            </w:pPr>
            <w:r>
              <w:rPr>
                <w:rFonts w:ascii="仿宋_GB2312" w:hAnsi="仿宋_GB2312" w:cs="仿宋_GB2312" w:eastAsia="仿宋_GB2312"/>
              </w:rPr>
              <w:t>参加政府采购活动前三年内，在经营活动中没有环保类⾏政处罚记录(提供参加政府采购活动前三年内，在经营活动中没有环保类⾏政处罚记录的承诺函加盖公章，营业执照不满三年的，按照营业执照注册年限起算。</w:t>
            </w:r>
          </w:p>
        </w:tc>
        <w:tc>
          <w:tcPr>
            <w:tcW w:type="dxa" w:w="1661"/>
          </w:tcPr>
          <w:p>
            <w:pPr>
              <w:pStyle w:val="null3"/>
              <w:jc w:val="left"/>
            </w:pPr>
            <w:r>
              <w:rPr>
                <w:rFonts w:ascii="仿宋_GB2312" w:hAnsi="仿宋_GB2312" w:cs="仿宋_GB2312" w:eastAsia="仿宋_GB2312"/>
              </w:rPr>
              <w:t>参加政府采购活动前三年内，在经营活动中没有环保类行政处罚记录的承诺书</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单位负责⼈为同⼀⼈或者存在直接控股、管理关系的不同供应商，不得参加同⼀合同项下的政府采购活动</w:t>
            </w:r>
          </w:p>
        </w:tc>
        <w:tc>
          <w:tcPr>
            <w:tcW w:type="dxa" w:w="3322"/>
          </w:tcPr>
          <w:p>
            <w:pPr>
              <w:pStyle w:val="null3"/>
              <w:jc w:val="left"/>
            </w:pPr>
            <w:r>
              <w:rPr>
                <w:rFonts w:ascii="仿宋_GB2312" w:hAnsi="仿宋_GB2312" w:cs="仿宋_GB2312" w:eastAsia="仿宋_GB2312"/>
              </w:rPr>
              <w:t>单位负责⼈为同⼀⼈或者存在直接控股、管理关系的不同供应商，不得参加同⼀合同项下的政府采购活动（提供承诺函加盖公章）。</w:t>
            </w:r>
          </w:p>
        </w:tc>
        <w:tc>
          <w:tcPr>
            <w:tcW w:type="dxa" w:w="1661"/>
          </w:tcPr>
          <w:p>
            <w:pPr>
              <w:pStyle w:val="null3"/>
              <w:jc w:val="left"/>
            </w:pPr>
            <w:r>
              <w:rPr>
                <w:rFonts w:ascii="仿宋_GB2312" w:hAnsi="仿宋_GB2312" w:cs="仿宋_GB2312" w:eastAsia="仿宋_GB2312"/>
              </w:rPr>
              <w:t>与参与本项目的供应商之间，单位负责人不为同一人，也不存在直接控股、管理关系的承诺书</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本采购包为专门面向小微企业采购，供应商须提供中小企业声明函。监狱企业、残疾人福利性单位视同小型、微型企业。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参加政府采购活动前三年内，在经营活动中没有环保类行政处罚记录的承诺书 中小企业声明函 商务应答表 自觉抵制政府采购领域商业贿赂行为承诺书 封面 商业信誉、财务会计制度、缴纳税收和社保的承诺函 无不良信用记录承函 与参与本项目的供应商之间，单位负责人不为同一人，也不存在直接控股、管理关系的承诺书 具有独立承担民事责任的能力证明文件 供应商承诺函 投标函 其他材料 残疾人福利性单位声明函 供应商应提交的相关证明材料 具备《中华人民共和国政府采购法》第二十二条规定条件的承诺书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供应商应提交的相关证明材料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参加政府采购活动前三年内，在经营活动中没有环保类行政处罚记录的承诺书 中小企业声明函 商务应答表 自觉抵制政府采购领域商业贿赂行为承诺书 商业信誉、财务会计制度、缴纳税收和社保的承诺函 封面 无不良信用记录承函 与参与本项目的供应商之间，单位负责人不为同一人，也不存在直接控股、管理关系的承诺书 具有独立承担民事责任的能力证明文件 供应商承诺函 其他材料 投标函 残疾人福利性单位声明函 供应商应提交的相关证明材料 具备《中华人民共和国政府采购法》第二十二条规定条件的承诺书 无重大违法记录声明函 法定代表人资格证明书或法定代表人授权委托书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自觉抵制政府采购领域商业贿赂行为承诺书 与参与本项目的供应商之间，单位负责人不为同一人，也不存在直接控股、管理关系的承诺书</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参加政府采购活动前三年内，在经营活动中没有环保类行政处罚记录的承诺书 中小企业声明函 商务应答表 自觉抵制政府采购领域商业贿赂行为承诺书 封面 商业信誉、财务会计制度、缴纳税收和社保的承诺函 无不良信用记录承函 与参与本项目的供应商之间，单位负责人不为同一人，也不存在直接控股、管理关系的承诺书 具有独立承担民事责任的能力证明文件 供应商承诺函 其他材料 投标函 残疾人福利性单位声明函 供应商应提交的相关证明材料 具备《中华人民共和国政府采购法》第二十二条规定条件的承诺书 无重大违法记录声明函 法定代表人资格证明书或法定代表人授权委托书 监狱企业的证明文件 技术参数响应表 具备履行合同所必需设备和专业技术能力的声明函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其他材料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参加政府采购活动前三年内，在经营活动中没有环保类行政处罚记录的承诺书 中小企业声明函 商务应答表 自觉抵制政府采购领域商业贿赂行为承诺书 封面 商业信誉、财务会计制度、缴纳税收和社保的承诺函 无不良信用记录承函 与参与本项目的供应商之间，单位负责人不为同一人，也不存在直接控股、管理关系的承诺书 具有独立承担民事责任的能力证明文件 供应商承诺函 投标函 其他材料 残疾人福利性单位声明函 供应商应提交的相关证明材料 具备《中华人民共和国政府采购法》第二十二条规定条件的承诺书 无重大违法记录声明函 法定代表人资格证明书或法定代表人授权委托书 监狱企业的证明文件 技术参数响应表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自觉抵制政府采购领域商业贿赂行为承诺书 与参与本项目的供应商之间，单位负责人不为同一人，也不存在直接控股、管理关系的承诺书</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技术部分67.00分</w:t>
            </w:r>
          </w:p>
          <w:p>
            <w:pPr>
              <w:pStyle w:val="null3"/>
              <w:jc w:val="left"/>
            </w:pPr>
            <w:r>
              <w:rPr>
                <w:rFonts w:ascii="仿宋_GB2312" w:hAnsi="仿宋_GB2312" w:cs="仿宋_GB2312" w:eastAsia="仿宋_GB2312"/>
              </w:rPr>
              <w:t>商务部分23.00分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项目实施方案</w:t>
            </w:r>
          </w:p>
        </w:tc>
        <w:tc>
          <w:tcPr>
            <w:tcW w:type="dxa" w:w="2492"/>
          </w:tcPr>
          <w:p>
            <w:pPr>
              <w:pStyle w:val="null3"/>
              <w:jc w:val="left"/>
            </w:pPr>
            <w:r>
              <w:rPr>
                <w:rFonts w:ascii="仿宋_GB2312" w:hAnsi="仿宋_GB2312" w:cs="仿宋_GB2312" w:eastAsia="仿宋_GB2312"/>
              </w:rPr>
              <w:t>根据供应商提供的项目实施方案包括但不限于工作准备、项目进度计划、工作步骤、技术路线等内容进行综合评审： 1、对项目目标定位准确，工作准备充分，工作步骤科学合理，技术路线清晰，对本项目针对性较强的得15分； 2、工作准备齐全，工作步骤内容完善，技术路线合理，对本项目具有针对性的得11分； 3、工作准备合理，工作步骤内容简单，技术路线基本满足项目需要，对本项目针对性一般的得7分； 4、工作准备存在缺陷，工作步骤内容简单，技术路线欠合理，对本项目针对性较差的得3分； 5、不提供不得分。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质量保障措施</w:t>
            </w:r>
          </w:p>
        </w:tc>
        <w:tc>
          <w:tcPr>
            <w:tcW w:type="dxa" w:w="2492"/>
          </w:tcPr>
          <w:p>
            <w:pPr>
              <w:pStyle w:val="null3"/>
              <w:jc w:val="left"/>
            </w:pPr>
            <w:r>
              <w:rPr>
                <w:rFonts w:ascii="仿宋_GB2312" w:hAnsi="仿宋_GB2312" w:cs="仿宋_GB2312" w:eastAsia="仿宋_GB2312"/>
              </w:rPr>
              <w:t>根据供应商提供的质量保障措施方案包括但不限于过程管理保障、技术标准保障、药物安全保障、监管评估保障等进行综合评审： 1、质量保证措施科学合理，条理清晰，内容细致，对本项目针对性较强的得15分； 2、质量保证措施合理，内容完整，满足项目工作需要，对本项目具有针对性的得11分； 3、质量保证措施完整，内容简单，基本满足项目工作需要，对本项目针对性一般的得7分； 4、质量保证措施简单，内容欠合理，无法满足项目工作需要，对本项目针对性较差的得3分； 5、不提供不得分。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人员管理方案</w:t>
            </w:r>
          </w:p>
        </w:tc>
        <w:tc>
          <w:tcPr>
            <w:tcW w:type="dxa" w:w="2492"/>
          </w:tcPr>
          <w:p>
            <w:pPr>
              <w:pStyle w:val="null3"/>
              <w:jc w:val="left"/>
            </w:pPr>
            <w:r>
              <w:rPr>
                <w:rFonts w:ascii="仿宋_GB2312" w:hAnsi="仿宋_GB2312" w:cs="仿宋_GB2312" w:eastAsia="仿宋_GB2312"/>
              </w:rPr>
              <w:t>根据供应商提供的人员管理方案包括但不限于组织架构与全责划分、人员资质与能力管理、日常作业管理、安全与健康管理等进行综合评审： 1、人员组织架构科学合理，人员管理制度条理清晰内容细致，日常作业管理、安全与健康管理考虑周全，对本项目针对性较强的得11分； 2、人员组织架构合理，人员管理制度内容完整，能够满足项目工作需要，对本项目具有针对性的得7分； 3、人员组织架构基本合理，人员管理制度内容简单，基本满足项目工作需要，对本项目针对性一般的得4分； 4、人员组织架构欠合理，人员管理制度存在缺陷，内容简单，无法完全满足项目工作需要，对本项目针对性较差的得1分； 5、不提供不得分。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应急服务方案</w:t>
            </w:r>
          </w:p>
        </w:tc>
        <w:tc>
          <w:tcPr>
            <w:tcW w:type="dxa" w:w="2492"/>
          </w:tcPr>
          <w:p>
            <w:pPr>
              <w:pStyle w:val="null3"/>
              <w:jc w:val="left"/>
            </w:pPr>
            <w:r>
              <w:rPr>
                <w:rFonts w:ascii="仿宋_GB2312" w:hAnsi="仿宋_GB2312" w:cs="仿宋_GB2312" w:eastAsia="仿宋_GB2312"/>
              </w:rPr>
              <w:t>根据供应商提供的应急服务方案包括但不限于监测预警应急、应急组织架构、重点区域消杀、个人防护安全应急保障等进行综合评审： 1、方案科学合理，应急服务考虑全面，内容细致，对本项目针对性较强的得13分； 2、方案合理，应急服务考虑满足项目需要，内容完整，对本项目具有针对性的得9分； 3、方案合理，应急服务考虑基本满足项目需要，内容简单，对本项目针对性一般的得6分； 4、方案欠合理，应急服务考虑不全面，内容存在缺陷，对本项目针对性较差的得3分； 5、不提供不得分。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其他材料</w:t>
            </w:r>
          </w:p>
          <w:p>
            <w:pPr>
              <w:pStyle w:val="null3"/>
              <w:jc w:val="left"/>
            </w:pPr>
            <w:r>
              <w:rPr>
                <w:rFonts w:ascii="仿宋_GB2312" w:hAnsi="仿宋_GB2312" w:cs="仿宋_GB2312" w:eastAsia="仿宋_GB2312"/>
              </w:rPr>
              <w:t>技术参数响应表</w:t>
            </w:r>
          </w:p>
        </w:tc>
      </w:tr>
      <w:tr>
        <w:tc>
          <w:tcPr>
            <w:tcW w:type="dxa" w:w="831"/>
            <w:vMerge/>
          </w:tcPr>
          <w:p/>
        </w:tc>
        <w:tc>
          <w:tcPr>
            <w:tcW w:type="dxa" w:w="1661"/>
          </w:tcPr>
          <w:p>
            <w:pPr>
              <w:pStyle w:val="null3"/>
              <w:jc w:val="left"/>
            </w:pPr>
            <w:r>
              <w:rPr>
                <w:rFonts w:ascii="仿宋_GB2312" w:hAnsi="仿宋_GB2312" w:cs="仿宋_GB2312" w:eastAsia="仿宋_GB2312"/>
              </w:rPr>
              <w:t>验收服务方案</w:t>
            </w:r>
          </w:p>
        </w:tc>
        <w:tc>
          <w:tcPr>
            <w:tcW w:type="dxa" w:w="2492"/>
          </w:tcPr>
          <w:p>
            <w:pPr>
              <w:pStyle w:val="null3"/>
              <w:jc w:val="left"/>
            </w:pPr>
            <w:r>
              <w:rPr>
                <w:rFonts w:ascii="仿宋_GB2312" w:hAnsi="仿宋_GB2312" w:cs="仿宋_GB2312" w:eastAsia="仿宋_GB2312"/>
              </w:rPr>
              <w:t>根据供应商提供的验收服务方案包括但不限于①验收合规标准：严格依据国家及行业标准，如《病媒生物密度监测方法》系列国标（GB/T 27770-2011至GB/T 27773-2011）执行，同时匹配项目合同中的具体技术条款；②密度阈值：病媒生物密度需达到C级以上标准，鼠类捕获率低于1%，蟑螂成若虫侵害率低于3%；③验收流程实施；④整改与复检；⑤售后跟踪验收：验收后1-3个月开展密度回访监测，确保防治效果长效稳定等进行综合评审： 1、方案科学合理，验收标准满足或优于采购需求，验收流程细致全面，对本项目针对性较强的得13分； 2、方案合理，验收标准满足采购需求，验收流程内容完整，对本项目具有针对性的得9分； 3、方案合理，验收标准基本满足项目需要，验收流程内容简单，对本项目针对性一般的得6分； 4、方案欠合理，验收标准无法满足项目需要，验收流程存在缺陷，对本项目针对性较差的得3分； 5、不提供不得分。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项目业绩</w:t>
            </w:r>
          </w:p>
        </w:tc>
        <w:tc>
          <w:tcPr>
            <w:tcW w:type="dxa" w:w="2492"/>
          </w:tcPr>
          <w:p>
            <w:pPr>
              <w:pStyle w:val="null3"/>
              <w:jc w:val="left"/>
            </w:pPr>
            <w:r>
              <w:rPr>
                <w:rFonts w:ascii="仿宋_GB2312" w:hAnsi="仿宋_GB2312" w:cs="仿宋_GB2312" w:eastAsia="仿宋_GB2312"/>
              </w:rPr>
              <w:t>自2023年1月1日至今承接过类似病媒防治类项目业绩的，每个业绩得3分； 证明材料：提供项目合同关键页复印件，合同关键页需体现项目内容、合同签订时间、合同签章等的关键信息。如提供的业绩合同不能清晰体现项目类别或信息的，则不得分。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服务企业资质情况</w:t>
            </w:r>
          </w:p>
        </w:tc>
        <w:tc>
          <w:tcPr>
            <w:tcW w:type="dxa" w:w="2492"/>
          </w:tcPr>
          <w:p>
            <w:pPr>
              <w:pStyle w:val="null3"/>
              <w:jc w:val="left"/>
            </w:pPr>
            <w:r>
              <w:rPr>
                <w:rFonts w:ascii="仿宋_GB2312" w:hAnsi="仿宋_GB2312" w:cs="仿宋_GB2312" w:eastAsia="仿宋_GB2312"/>
              </w:rPr>
              <w:t>供应商需提供具有省级或以上行业协会颁发的“有害生物防制服务”资质或服务能力证书，A级（甲级或同等级别）的得10分；B级（乙级或同等级别）的得8分；C级（丙级或同等级别）的得5分。 注：提供由合法的有害生物防制协会的证件，同时提供发证机构在“中国社会组织政务服务平台”（https://xxgs.chinanpo.mca.gov.cn/）的查询结果截图。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工作人员配置</w:t>
            </w:r>
          </w:p>
        </w:tc>
        <w:tc>
          <w:tcPr>
            <w:tcW w:type="dxa" w:w="2492"/>
          </w:tcPr>
          <w:p>
            <w:pPr>
              <w:pStyle w:val="null3"/>
              <w:jc w:val="left"/>
            </w:pPr>
            <w:r>
              <w:rPr>
                <w:rFonts w:ascii="仿宋_GB2312" w:hAnsi="仿宋_GB2312" w:cs="仿宋_GB2312" w:eastAsia="仿宋_GB2312"/>
              </w:rPr>
              <w:t>供应商需提供技术人员应具有害生物防制员职业资格证或职业技能等级证，每具有1人得1分，最高得7分。 注：有害生物防制员相关证书提供“技能人才评价证书全国联网查询平台”（http://zscx.osta.org.cn/）的查询结果截图。并提供技术人员在投标单位近3个月社保缴纳凭证。不提供或材料难以辨认的不计分。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商务应答表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技术部分67.00分</w:t>
            </w:r>
          </w:p>
          <w:p>
            <w:pPr>
              <w:pStyle w:val="null3"/>
              <w:jc w:val="left"/>
            </w:pPr>
            <w:r>
              <w:rPr>
                <w:rFonts w:ascii="仿宋_GB2312" w:hAnsi="仿宋_GB2312" w:cs="仿宋_GB2312" w:eastAsia="仿宋_GB2312"/>
              </w:rPr>
              <w:t>商务部分23.00分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项目实施方案</w:t>
            </w:r>
          </w:p>
        </w:tc>
        <w:tc>
          <w:tcPr>
            <w:tcW w:type="dxa" w:w="2492"/>
          </w:tcPr>
          <w:p>
            <w:pPr>
              <w:pStyle w:val="null3"/>
              <w:jc w:val="left"/>
            </w:pPr>
            <w:r>
              <w:rPr>
                <w:rFonts w:ascii="仿宋_GB2312" w:hAnsi="仿宋_GB2312" w:cs="仿宋_GB2312" w:eastAsia="仿宋_GB2312"/>
              </w:rPr>
              <w:t>根据供应商提供的项目实施方案包括但不限于工作准备、项目进度计划、工作步骤、技术路线等内容进行综合评审： 1、对项目目标定位准确，工作准备充分，工作步骤科学合理，技术路线清晰，对本项目针对性较强的得15分； 2、工作准备齐全，工作步骤内容完善，技术路线合理，对本项目具有针对性的得11分； 3、工作准备合理，工作步骤内容简单，技术路线基本满足项目需要，对本项目针对性一般的得7分； 4、工作准备存在缺陷，工作步骤内容简单，技术路线欠合理，对本项目针对性较差的得3分； 5、不提供不得分。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质量保障措施</w:t>
            </w:r>
          </w:p>
        </w:tc>
        <w:tc>
          <w:tcPr>
            <w:tcW w:type="dxa" w:w="2492"/>
          </w:tcPr>
          <w:p>
            <w:pPr>
              <w:pStyle w:val="null3"/>
              <w:jc w:val="left"/>
            </w:pPr>
            <w:r>
              <w:rPr>
                <w:rFonts w:ascii="仿宋_GB2312" w:hAnsi="仿宋_GB2312" w:cs="仿宋_GB2312" w:eastAsia="仿宋_GB2312"/>
              </w:rPr>
              <w:t>根据供应商提供的质量保障措施方案包括但不限于过程管理保障、技术标准保障、药物安全保障、监管评估保障等进行综合评审： 1、质量保证措施科学合理，条理清晰，内容细致，对本项目针对性较强的得15分； 2、质量保证措施合理，内容完整，满足项目工作需要，对本项目具有针对性的得11分； 3、质量保证措施完整，内容简单，基本满足项目工作需要，对本项目针对性一般的得7分； 4、质量保证措施简单，内容欠合理，无法满足项目工作需要，对本项目针对性较差的得3分； 5、不提供不得分。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人员管理方案</w:t>
            </w:r>
          </w:p>
        </w:tc>
        <w:tc>
          <w:tcPr>
            <w:tcW w:type="dxa" w:w="2492"/>
          </w:tcPr>
          <w:p>
            <w:pPr>
              <w:pStyle w:val="null3"/>
              <w:jc w:val="left"/>
            </w:pPr>
            <w:r>
              <w:rPr>
                <w:rFonts w:ascii="仿宋_GB2312" w:hAnsi="仿宋_GB2312" w:cs="仿宋_GB2312" w:eastAsia="仿宋_GB2312"/>
              </w:rPr>
              <w:t>根据供应商提供的人员管理方案包括但不限于组织架构与全责划分、人员资质与能力管理、日常作业管理、安全与健康管理等进行综合评审： 1、人员组织架构科学合理，人员管理制度条理清晰内容细致，日常作业管理、安全与健康管理考虑周全，对本项目针对性较强的得11分； 2、人员组织架构合理，人员管理制度内容完整，能够满足项目工作需要，对本项目具有针对性的得7分； 3、人员组织架构基本合理，人员管理制度内容简单，基本满足项目工作需要，对本项目针对性一般的得4分； 4、人员组织架构欠合理，人员管理制度存在缺陷，内容简单，无法完全满足项目工作需要，对本项目针对性较差的得1分； 5、不提供不得分。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应急服务方案</w:t>
            </w:r>
          </w:p>
        </w:tc>
        <w:tc>
          <w:tcPr>
            <w:tcW w:type="dxa" w:w="2492"/>
          </w:tcPr>
          <w:p>
            <w:pPr>
              <w:pStyle w:val="null3"/>
              <w:jc w:val="left"/>
            </w:pPr>
            <w:r>
              <w:rPr>
                <w:rFonts w:ascii="仿宋_GB2312" w:hAnsi="仿宋_GB2312" w:cs="仿宋_GB2312" w:eastAsia="仿宋_GB2312"/>
              </w:rPr>
              <w:t>根据供应商提供的应急服务方案包括但不限于监测预警应急、应急组织架构、重点区域消杀、个人防护安全应急保障等进行综合评审： 1、方案科学合理，应急服务考虑全面，内容细致，对本项目针对性较强的得13分； 2、方案合理，应急服务考虑满足项目需要，内容完整，对本项目具有针对性的得9分； 3、方案合理，应急服务考虑基本满足项目需要，内容简单，对本项目针对性一般的得6分； 4、方案欠合理，应急服务考虑不全面，内容存在缺陷，对本项目针对性较差的得3分； 5、不提供不得分。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验收服务方案</w:t>
            </w:r>
          </w:p>
        </w:tc>
        <w:tc>
          <w:tcPr>
            <w:tcW w:type="dxa" w:w="2492"/>
          </w:tcPr>
          <w:p>
            <w:pPr>
              <w:pStyle w:val="null3"/>
              <w:jc w:val="left"/>
            </w:pPr>
            <w:r>
              <w:rPr>
                <w:rFonts w:ascii="仿宋_GB2312" w:hAnsi="仿宋_GB2312" w:cs="仿宋_GB2312" w:eastAsia="仿宋_GB2312"/>
              </w:rPr>
              <w:t>根据供应商提供的验收服务方案包括但不限于①验收合规标准：严格依据国家及行业标准，如《病媒生物密度监测方法》系列国标（GB/T 27770-2011至GB/T 27773-2011）执行，同时匹配项目合同中的具体技术条款；②密度阈值：病媒生物密度需达到C级以上标准，鼠类捕获率低于1%，蟑螂成若虫侵害率低于3%；③验收流程实施；④整改与复检；⑤售后跟踪验收：验收后1-3个月开展密度回访监测，确保防治效果长效稳定等进行综合评审： 1、方案科学合理，验收标准满足或优于采购需求，验收流程细致全面，对本项目针对性较强的得13分； 2、方案合理，验收标准满足采购需求，验收流程内容完整，对本项目具有针对性的得9分； 3、方案合理，验收标准基本满足项目需要，验收流程内容简单，对本项目针对性一般的得6分； 4、方案欠合理，验收标准无法满足项目需要，验收流程存在缺陷，对本项目针对性较差的得3分； 5、不提供不得分。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技术参数响应表</w:t>
            </w:r>
          </w:p>
          <w:p>
            <w:pPr>
              <w:pStyle w:val="null3"/>
              <w:jc w:val="left"/>
            </w:pPr>
            <w:r>
              <w:rPr>
                <w:rFonts w:ascii="仿宋_GB2312" w:hAnsi="仿宋_GB2312" w:cs="仿宋_GB2312" w:eastAsia="仿宋_GB2312"/>
              </w:rPr>
              <w:t>其他材料</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项目业绩</w:t>
            </w:r>
          </w:p>
        </w:tc>
        <w:tc>
          <w:tcPr>
            <w:tcW w:type="dxa" w:w="2492"/>
          </w:tcPr>
          <w:p>
            <w:pPr>
              <w:pStyle w:val="null3"/>
              <w:jc w:val="left"/>
            </w:pPr>
            <w:r>
              <w:rPr>
                <w:rFonts w:ascii="仿宋_GB2312" w:hAnsi="仿宋_GB2312" w:cs="仿宋_GB2312" w:eastAsia="仿宋_GB2312"/>
              </w:rPr>
              <w:t>自2023年1月1日至今承接过类似病媒防治类项目业绩的，每个业绩得3分； 证明材料：提供项目合同关键页复印件，合同关键页需体现项目内容、合同签订时间、合同签章等的关键信息。如提供的业绩合同不能清晰体现项目类别或信息的，则不得分。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服务企业资质情况</w:t>
            </w:r>
          </w:p>
        </w:tc>
        <w:tc>
          <w:tcPr>
            <w:tcW w:type="dxa" w:w="2492"/>
          </w:tcPr>
          <w:p>
            <w:pPr>
              <w:pStyle w:val="null3"/>
              <w:jc w:val="left"/>
            </w:pPr>
            <w:r>
              <w:rPr>
                <w:rFonts w:ascii="仿宋_GB2312" w:hAnsi="仿宋_GB2312" w:cs="仿宋_GB2312" w:eastAsia="仿宋_GB2312"/>
              </w:rPr>
              <w:t>供应商需提供具有省级或以上行业协会颁发的“有害生物防制服务”资质或服务能力证书，A级（甲级或同等级别）的得10分；B级（乙级或同等级别）的得8分；C级（丙级或同等级别）的得5分。 注：提供由合法的有害生物防制协会的证件，同时提供发证机构在“中国社会组织政务服务平台”（https://xxgs.chinanpo.mca.gov.cn/）的查询结果截图。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商务应答表</w:t>
            </w:r>
          </w:p>
        </w:tc>
      </w:tr>
      <w:tr>
        <w:tc>
          <w:tcPr>
            <w:tcW w:type="dxa" w:w="831"/>
            <w:vMerge/>
          </w:tcPr>
          <w:p/>
        </w:tc>
        <w:tc>
          <w:tcPr>
            <w:tcW w:type="dxa" w:w="1661"/>
          </w:tcPr>
          <w:p>
            <w:pPr>
              <w:pStyle w:val="null3"/>
              <w:jc w:val="left"/>
            </w:pPr>
            <w:r>
              <w:rPr>
                <w:rFonts w:ascii="仿宋_GB2312" w:hAnsi="仿宋_GB2312" w:cs="仿宋_GB2312" w:eastAsia="仿宋_GB2312"/>
              </w:rPr>
              <w:t>工作人员配置</w:t>
            </w:r>
          </w:p>
        </w:tc>
        <w:tc>
          <w:tcPr>
            <w:tcW w:type="dxa" w:w="2492"/>
          </w:tcPr>
          <w:p>
            <w:pPr>
              <w:pStyle w:val="null3"/>
              <w:jc w:val="left"/>
            </w:pPr>
            <w:r>
              <w:rPr>
                <w:rFonts w:ascii="仿宋_GB2312" w:hAnsi="仿宋_GB2312" w:cs="仿宋_GB2312" w:eastAsia="仿宋_GB2312"/>
              </w:rPr>
              <w:t>供应商需提供技术人员应具有害生物防制员职业资格证或职业技能等级证，每具有1人得1分，最高得7分。 注：有害生物防制员相关证书提供“技能人才评价证书全国联网查询平台”（http://zscx.osta.org.cn/）的查询结果截图。并提供技术人员在投标单位近3个月社保缴纳凭证。不提供或材料难以辨认的不计分。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商务应答表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YCT2026-123</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城西镇城市建成区2026年病媒生物防制服务项目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1(城西镇城市建成区2026年病媒生物防制服务项目)</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C04990000-其他医疗卫生服务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584500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jc w:val="left"/>
        <w:outlineLvl w:val="0"/>
      </w:pPr>
      <w:r>
        <w:rPr>
          <w:rFonts w:ascii="仿宋_GB2312" w:hAnsi="仿宋_GB2312" w:cs="仿宋_GB2312" w:eastAsia="仿宋_GB2312"/>
          <w:sz w:val="48"/>
          <w:b/>
        </w:rPr>
        <w:t>开标（报价）一览表</w:t>
      </w:r>
    </w:p>
    <w:p>
      <w:pPr>
        <w:pStyle w:val="null3"/>
        <w:ind w:right="1650"/>
        <w:jc w:val="left"/>
      </w:pPr>
      <w:r>
        <w:rPr>
          <w:rFonts w:ascii="仿宋_GB2312" w:hAnsi="仿宋_GB2312" w:cs="仿宋_GB2312" w:eastAsia="仿宋_GB2312"/>
        </w:rPr>
        <w:t>项目编号：</w:t>
      </w:r>
      <w:r>
        <w:rPr>
          <w:rFonts w:ascii="仿宋_GB2312" w:hAnsi="仿宋_GB2312" w:cs="仿宋_GB2312" w:eastAsia="仿宋_GB2312"/>
        </w:rPr>
        <w:t>YCT2026-123</w:t>
      </w:r>
    </w:p>
    <w:p>
      <w:pPr>
        <w:pStyle w:val="null3"/>
        <w:spacing w:lineRule="exact" w:line="375"/>
        <w:jc w:val="left"/>
      </w:pPr>
      <w:r>
        <w:rPr>
          <w:rFonts w:ascii="仿宋_GB2312" w:hAnsi="仿宋_GB2312" w:cs="仿宋_GB2312" w:eastAsia="仿宋_GB2312"/>
        </w:rPr>
        <w:t>项目名称：</w:t>
      </w:r>
      <w:r>
        <w:rPr>
          <w:rFonts w:ascii="仿宋_GB2312" w:hAnsi="仿宋_GB2312" w:cs="仿宋_GB2312" w:eastAsia="仿宋_GB2312"/>
        </w:rPr>
        <w:t>城西镇城市建成区2026年病媒生物防制服务项目</w:t>
      </w:r>
    </w:p>
    <w:p>
      <w:pPr>
        <w:pStyle w:val="null3"/>
        <w:spacing w:lineRule="exact" w:line="375"/>
        <w:jc w:val="left"/>
      </w:pPr>
      <w:r>
        <w:rPr>
          <w:rFonts w:ascii="仿宋_GB2312" w:hAnsi="仿宋_GB2312" w:cs="仿宋_GB2312" w:eastAsia="仿宋_GB2312"/>
        </w:rPr>
        <w:t>采购包：</w:t>
      </w:r>
      <w:r>
        <w:rPr>
          <w:rFonts w:ascii="仿宋_GB2312" w:hAnsi="仿宋_GB2312" w:cs="仿宋_GB2312" w:eastAsia="仿宋_GB2312"/>
        </w:rPr>
        <w:t>2(城西镇城市建成区2026年病媒生物防制服务项目)</w:t>
      </w:r>
    </w:p>
    <w:p>
      <w:pPr>
        <w:pStyle w:val="null3"/>
        <w:spacing w:lineRule="exact" w:line="375"/>
        <w:jc w:val="left"/>
      </w:pPr>
      <w:r>
        <w:rPr>
          <w:rFonts w:ascii="仿宋_GB2312" w:hAnsi="仿宋_GB2312" w:cs="仿宋_GB2312" w:eastAsia="仿宋_GB2312"/>
        </w:rPr>
        <w:t>供应商名称：</w:t>
      </w:r>
    </w:p>
    <w:p>
      <w:pPr>
        <w:pStyle w:val="null3"/>
        <w:jc w:val="left"/>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C04990000-其他医疗卫生服务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710500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spacing w:before="1200"/>
        <w:jc w:val="left"/>
      </w:pPr>
      <w:r>
        <w:rPr>
          <w:rFonts w:ascii="仿宋_GB2312" w:hAnsi="仿宋_GB2312" w:cs="仿宋_GB2312" w:eastAsia="仿宋_GB2312"/>
        </w:rPr>
        <w:t>日期：</w:t>
      </w:r>
    </w:p>
    <w:p>
      <w:pPr>
        <w:pStyle w:val="null3"/>
        <w:spacing w:lineRule="exact" w:line="240"/>
        <w:jc w:val="left"/>
      </w:pPr>
      <w:r>
        <w:rPr>
          <w:rFonts w:ascii="仿宋_GB2312" w:hAnsi="仿宋_GB2312" w:cs="仿宋_GB2312" w:eastAsia="仿宋_GB2312"/>
        </w:rPr>
        <w:t xml:space="preserve">     年     月     日</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详见附件：参加政府采购活动前三年内，在经营活动中没有环保类行政处罚记录的承诺书</w:t>
      </w:r>
    </w:p>
    <w:p>
      <w:pPr>
        <w:pStyle w:val="null3"/>
        <w:ind w:firstLine="960"/>
        <w:jc w:val="left"/>
      </w:pPr>
      <w:r>
        <w:rPr>
          <w:rFonts w:ascii="仿宋_GB2312" w:hAnsi="仿宋_GB2312" w:cs="仿宋_GB2312" w:eastAsia="仿宋_GB2312"/>
        </w:rPr>
        <w:t>详见附件：具备《中华人民共和国政府采购法》第二十二条规定条件的承诺书</w:t>
      </w:r>
    </w:p>
    <w:p>
      <w:pPr>
        <w:pStyle w:val="null3"/>
        <w:ind w:firstLine="960"/>
        <w:jc w:val="left"/>
      </w:pPr>
      <w:r>
        <w:rPr>
          <w:rFonts w:ascii="仿宋_GB2312" w:hAnsi="仿宋_GB2312" w:cs="仿宋_GB2312" w:eastAsia="仿宋_GB2312"/>
        </w:rPr>
        <w:t>详见附件：无不良信用记录承函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详见附件：与参与本项目的供应商之间，单位负责人不为同一人，也不存在直接控股、管理关系的承诺书</w:t>
      </w:r>
    </w:p>
    <w:p>
      <w:pPr>
        <w:pStyle w:val="null3"/>
        <w:ind w:firstLine="960"/>
        <w:jc w:val="left"/>
      </w:pPr>
      <w:r>
        <w:rPr>
          <w:rFonts w:ascii="仿宋_GB2312" w:hAnsi="仿宋_GB2312" w:cs="仿宋_GB2312" w:eastAsia="仿宋_GB2312"/>
        </w:rPr>
        <w:t>详见附件：参加政府采购活动前三年内，在经营活动中没有环保类行政处罚记录的承诺书</w:t>
      </w:r>
    </w:p>
    <w:p>
      <w:pPr>
        <w:pStyle w:val="null3"/>
        <w:ind w:firstLine="960"/>
        <w:jc w:val="left"/>
      </w:pPr>
      <w:r>
        <w:rPr>
          <w:rFonts w:ascii="仿宋_GB2312" w:hAnsi="仿宋_GB2312" w:cs="仿宋_GB2312" w:eastAsia="仿宋_GB2312"/>
        </w:rPr>
        <w:t>详见附件：具备《中华人民共和国政府采购法》第二十二条规定条件的承诺书</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详见附件：无不良信用记录承函</w:t>
      </w:r>
    </w:p>
    <w:p>
      <w:pPr>
        <w:pStyle w:val="null3"/>
        <w:ind w:firstLine="960"/>
        <w:jc w:val="left"/>
      </w:pPr>
      <w:r>
        <w:rPr>
          <w:rFonts w:ascii="仿宋_GB2312" w:hAnsi="仿宋_GB2312" w:cs="仿宋_GB2312" w:eastAsia="仿宋_GB2312"/>
        </w:rPr>
        <w:t>详见附件：与参与本项目的供应商之间，单位负责人不为同一人，也不存在直接控股、管理关系的承诺书</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