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5615E">
      <w:pPr>
        <w:numPr>
          <w:ilvl w:val="0"/>
          <w:numId w:val="0"/>
        </w:numPr>
        <w:jc w:val="center"/>
        <w:rPr>
          <w:rFonts w:hint="eastAsia" w:asciiTheme="minorEastAsia" w:hAnsiTheme="minorEastAsia" w:eastAsiaTheme="minorEastAsia"/>
          <w:b/>
          <w:bCs/>
          <w:sz w:val="40"/>
          <w:szCs w:val="40"/>
          <w:lang w:eastAsia="zh-CN"/>
        </w:rPr>
      </w:pPr>
      <w:bookmarkStart w:id="0" w:name="_bookmark27"/>
      <w:bookmarkEnd w:id="0"/>
      <w:r>
        <w:rPr>
          <w:rFonts w:hint="eastAsia" w:ascii="宋体" w:hAnsi="宋体" w:eastAsia="宋体" w:cs="宋体"/>
          <w:b/>
          <w:bCs/>
          <w:i w:val="0"/>
          <w:iCs w:val="0"/>
          <w:color w:val="auto"/>
          <w:sz w:val="40"/>
          <w:szCs w:val="40"/>
          <w:highlight w:val="none"/>
          <w:lang w:val="en-US" w:eastAsia="zh-CN"/>
        </w:rPr>
        <w:t>服务需求</w:t>
      </w:r>
    </w:p>
    <w:p w14:paraId="27CB5CA0">
      <w:pPr>
        <w:pStyle w:val="7"/>
      </w:pPr>
    </w:p>
    <w:p w14:paraId="4BF4B4BC">
      <w:pPr>
        <w:widowControl/>
        <w:spacing w:line="360" w:lineRule="auto"/>
        <w:rPr>
          <w:rFonts w:asciiTheme="minorEastAsia" w:hAnsiTheme="minorEastAsia" w:eastAsiaTheme="minorEastAsia"/>
        </w:rPr>
      </w:pPr>
      <w:r>
        <w:rPr>
          <w:rFonts w:hint="eastAsia" w:cs="宋体" w:asciiTheme="minorEastAsia" w:hAnsiTheme="minorEastAsia" w:eastAsiaTheme="minorEastAsia"/>
          <w:b/>
          <w:sz w:val="24"/>
          <w:szCs w:val="24"/>
        </w:rPr>
        <w:t xml:space="preserve">  </w:t>
      </w:r>
      <w:r>
        <w:rPr>
          <w:rFonts w:hint="eastAsia" w:cs="宋体" w:asciiTheme="minorEastAsia" w:hAnsiTheme="minorEastAsia" w:eastAsiaTheme="minorEastAsia"/>
          <w:b/>
          <w:sz w:val="24"/>
          <w:szCs w:val="24"/>
          <w:lang w:val="en-US" w:eastAsia="zh-CN"/>
        </w:rPr>
        <w:t xml:space="preserve"> </w:t>
      </w:r>
      <w:r>
        <w:rPr>
          <w:rFonts w:hint="eastAsia" w:cs="宋体" w:asciiTheme="minorEastAsia" w:hAnsiTheme="minorEastAsia" w:eastAsiaTheme="minorEastAsia"/>
          <w:b/>
          <w:sz w:val="24"/>
          <w:szCs w:val="24"/>
        </w:rPr>
        <w:t xml:space="preserve"> </w:t>
      </w:r>
      <w:r>
        <w:rPr>
          <w:rFonts w:hint="eastAsia" w:cs="宋体" w:asciiTheme="minorEastAsia" w:hAnsiTheme="minorEastAsia" w:eastAsiaTheme="minorEastAsia"/>
          <w:b/>
          <w:sz w:val="24"/>
          <w:szCs w:val="24"/>
          <w:lang w:eastAsia="zh-CN"/>
        </w:rPr>
        <w:t>一、</w:t>
      </w:r>
      <w:r>
        <w:rPr>
          <w:rFonts w:hint="eastAsia" w:cs="宋体" w:asciiTheme="minorEastAsia" w:hAnsiTheme="minorEastAsia" w:eastAsiaTheme="minorEastAsia"/>
          <w:b/>
          <w:sz w:val="24"/>
          <w:szCs w:val="24"/>
        </w:rPr>
        <w:t xml:space="preserve">防制服务区域 </w:t>
      </w:r>
    </w:p>
    <w:p w14:paraId="09BDF805">
      <w:pPr>
        <w:widowControl/>
        <w:spacing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 xml:space="preserve">    (1)广丰区中心城区五个街道范围内的公共外环境(总面积22.6平方公里)、无业主小区和七个农贸市场</w:t>
      </w:r>
      <w:r>
        <w:rPr>
          <w:rFonts w:hint="eastAsia" w:cs="宋体" w:asciiTheme="minorEastAsia" w:hAnsiTheme="minorEastAsia" w:eastAsiaTheme="minorEastAsia"/>
          <w:sz w:val="24"/>
          <w:szCs w:val="24"/>
          <w:lang w:eastAsia="zh-CN"/>
        </w:rPr>
        <w:t>、廉政基地。</w:t>
      </w:r>
      <w:r>
        <w:rPr>
          <w:rFonts w:hint="eastAsia" w:cs="宋体" w:asciiTheme="minorEastAsia" w:hAnsiTheme="minorEastAsia" w:eastAsiaTheme="minorEastAsia"/>
          <w:sz w:val="24"/>
          <w:szCs w:val="24"/>
        </w:rPr>
        <w:t> </w:t>
      </w:r>
    </w:p>
    <w:p w14:paraId="0F4621D6">
      <w:pPr>
        <w:widowControl/>
        <w:spacing w:line="360" w:lineRule="auto"/>
        <w:rPr>
          <w:rFonts w:asciiTheme="minorEastAsia" w:hAnsiTheme="minorEastAsia" w:eastAsiaTheme="minorEastAsia"/>
          <w:sz w:val="24"/>
          <w:szCs w:val="24"/>
        </w:rPr>
      </w:pPr>
      <w:r>
        <w:rPr>
          <w:rFonts w:hint="eastAsia" w:cs="宋体" w:asciiTheme="minorEastAsia" w:hAnsiTheme="minorEastAsia" w:eastAsiaTheme="minorEastAsia"/>
          <w:b/>
          <w:sz w:val="24"/>
          <w:szCs w:val="24"/>
        </w:rPr>
        <w:t xml:space="preserve">  </w:t>
      </w:r>
      <w:r>
        <w:rPr>
          <w:rFonts w:hint="eastAsia" w:cs="宋体" w:asciiTheme="minorEastAsia" w:hAnsiTheme="minorEastAsia" w:eastAsiaTheme="minorEastAsia"/>
          <w:b/>
          <w:sz w:val="24"/>
          <w:szCs w:val="24"/>
          <w:lang w:val="en-US" w:eastAsia="zh-CN"/>
        </w:rPr>
        <w:t xml:space="preserve">  </w:t>
      </w:r>
      <w:r>
        <w:rPr>
          <w:rFonts w:hint="eastAsia" w:cs="宋体" w:asciiTheme="minorEastAsia" w:hAnsiTheme="minorEastAsia" w:eastAsiaTheme="minorEastAsia"/>
          <w:b/>
          <w:sz w:val="24"/>
          <w:szCs w:val="24"/>
          <w:lang w:eastAsia="zh-CN"/>
        </w:rPr>
        <w:t>二、</w:t>
      </w:r>
      <w:r>
        <w:rPr>
          <w:rFonts w:hint="eastAsia" w:cs="宋体" w:asciiTheme="minorEastAsia" w:hAnsiTheme="minorEastAsia" w:eastAsiaTheme="minorEastAsia"/>
          <w:b/>
          <w:sz w:val="24"/>
          <w:szCs w:val="24"/>
        </w:rPr>
        <w:t xml:space="preserve">防制服务内容 </w:t>
      </w:r>
    </w:p>
    <w:p w14:paraId="5A4F5AA3">
      <w:pPr>
        <w:widowControl/>
        <w:spacing w:line="360" w:lineRule="auto"/>
        <w:ind w:firstLine="48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对防制范围内的所有主次干道及其绿化带和下水道、广场、公园、无物业小区、城中村及城乡结合部等外环境开展消杀（灭鼠、蚊、蝇、蟑螂）、</w:t>
      </w:r>
      <w:r>
        <w:rPr>
          <w:rFonts w:hint="eastAsia" w:cs="宋体" w:asciiTheme="minorEastAsia" w:hAnsiTheme="minorEastAsia" w:eastAsiaTheme="minorEastAsia"/>
          <w:sz w:val="24"/>
          <w:szCs w:val="24"/>
          <w:lang w:eastAsia="zh-CN"/>
        </w:rPr>
        <w:t>设置</w:t>
      </w:r>
      <w:r>
        <w:rPr>
          <w:rFonts w:hint="eastAsia" w:cs="宋体" w:asciiTheme="minorEastAsia" w:hAnsiTheme="minorEastAsia" w:eastAsiaTheme="minorEastAsia"/>
          <w:sz w:val="24"/>
          <w:szCs w:val="24"/>
        </w:rPr>
        <w:t>毒饵站、</w:t>
      </w:r>
      <w:r>
        <w:rPr>
          <w:rFonts w:hint="eastAsia" w:cs="宋体" w:asciiTheme="minorEastAsia" w:hAnsiTheme="minorEastAsia" w:eastAsiaTheme="minorEastAsia"/>
          <w:sz w:val="24"/>
          <w:szCs w:val="24"/>
          <w:lang w:eastAsia="zh-CN"/>
        </w:rPr>
        <w:t>投放</w:t>
      </w:r>
      <w:r>
        <w:rPr>
          <w:rFonts w:hint="eastAsia" w:cs="宋体" w:asciiTheme="minorEastAsia" w:hAnsiTheme="minorEastAsia" w:eastAsiaTheme="minorEastAsia"/>
          <w:sz w:val="24"/>
          <w:szCs w:val="24"/>
        </w:rPr>
        <w:t>鼠药、捕蝇笼和堵塞鼠洞等。</w:t>
      </w:r>
    </w:p>
    <w:p w14:paraId="1D10B8E8">
      <w:pPr>
        <w:numPr>
          <w:ilvl w:val="0"/>
          <w:numId w:val="0"/>
        </w:numPr>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 xml:space="preserve"> </w:t>
      </w:r>
      <w:r>
        <w:rPr>
          <w:rFonts w:hint="eastAsia" w:asciiTheme="minorEastAsia" w:hAnsiTheme="minorEastAsia" w:eastAsiaTheme="minorEastAsia"/>
          <w:b/>
          <w:sz w:val="28"/>
          <w:lang w:eastAsia="zh-CN"/>
        </w:rPr>
        <w:t>一、采购需求</w:t>
      </w:r>
      <w:r>
        <w:rPr>
          <w:rFonts w:hint="eastAsia" w:asciiTheme="minorEastAsia" w:hAnsiTheme="minorEastAsia" w:eastAsiaTheme="minorEastAsia"/>
        </w:rPr>
        <w:t xml:space="preserve">  </w:t>
      </w:r>
    </w:p>
    <w:p w14:paraId="5162F4F5">
      <w:pPr>
        <w:widowControl/>
        <w:spacing w:line="360" w:lineRule="auto"/>
        <w:rPr>
          <w:rFonts w:cs="宋体" w:asciiTheme="minorEastAsia" w:hAnsiTheme="minorEastAsia" w:eastAsiaTheme="minorEastAsia"/>
          <w:b/>
          <w:sz w:val="24"/>
          <w:szCs w:val="24"/>
        </w:rPr>
      </w:pPr>
      <w:r>
        <w:rPr>
          <w:rFonts w:hint="eastAsia" w:cs="宋体" w:asciiTheme="minorEastAsia" w:hAnsiTheme="minorEastAsia" w:eastAsiaTheme="minorEastAsia"/>
          <w:b/>
          <w:bCs/>
          <w:sz w:val="24"/>
          <w:szCs w:val="24"/>
        </w:rPr>
        <w:t xml:space="preserve">    （</w:t>
      </w:r>
      <w:r>
        <w:rPr>
          <w:rFonts w:hint="eastAsia" w:cs="宋体" w:asciiTheme="minorEastAsia" w:hAnsiTheme="minorEastAsia" w:eastAsiaTheme="minorEastAsia"/>
          <w:b/>
          <w:bCs/>
          <w:sz w:val="24"/>
          <w:szCs w:val="24"/>
          <w:lang w:eastAsia="zh-CN"/>
        </w:rPr>
        <w:t>一</w:t>
      </w:r>
      <w:r>
        <w:rPr>
          <w:rFonts w:hint="eastAsia" w:cs="宋体" w:asciiTheme="minorEastAsia" w:hAnsiTheme="minorEastAsia" w:eastAsiaTheme="minorEastAsia"/>
          <w:b/>
          <w:bCs/>
          <w:sz w:val="24"/>
          <w:szCs w:val="24"/>
        </w:rPr>
        <w:t>）</w:t>
      </w:r>
      <w:r>
        <w:rPr>
          <w:rFonts w:hint="eastAsia" w:cs="宋体" w:asciiTheme="minorEastAsia" w:hAnsiTheme="minorEastAsia" w:eastAsiaTheme="minorEastAsia"/>
          <w:b/>
          <w:sz w:val="24"/>
          <w:szCs w:val="24"/>
        </w:rPr>
        <w:t xml:space="preserve">防制周期和要求 </w:t>
      </w:r>
    </w:p>
    <w:p w14:paraId="76994F0F">
      <w:pPr>
        <w:widowControl/>
        <w:spacing w:line="360" w:lineRule="auto"/>
        <w:rPr>
          <w:rFonts w:asciiTheme="minorEastAsia" w:hAnsiTheme="minorEastAsia" w:eastAsiaTheme="minorEastAsia"/>
          <w:sz w:val="24"/>
          <w:szCs w:val="24"/>
        </w:rPr>
      </w:pPr>
      <w:r>
        <w:rPr>
          <w:rFonts w:hint="eastAsia" w:cs="宋体" w:asciiTheme="minorEastAsia" w:hAnsiTheme="minorEastAsia" w:eastAsiaTheme="minorEastAsia"/>
          <w:sz w:val="24"/>
          <w:szCs w:val="24"/>
        </w:rPr>
        <w:t xml:space="preserve">    (1)每年为1个防制服务周期，每年至少开展3次集中防制工作（即：春季灭鼠蚊蝇、夏季灭鼠蚊蝇蟑、秋季灭鼠工作）和日常防制，4月-10月份每月至少2次,11月-次年3月每月至少1次，每次不少于8人作业。 防制工作必须保证全年的鼠、蚊、蝇、蟑螂密度达到国家病媒生物密度控制水平标准 </w:t>
      </w:r>
      <w:r>
        <w:rPr>
          <w:rFonts w:cs="Calibri" w:asciiTheme="minorEastAsia" w:hAnsiTheme="minorEastAsia" w:eastAsiaTheme="minorEastAsia"/>
          <w:sz w:val="24"/>
          <w:szCs w:val="24"/>
        </w:rPr>
        <w:t xml:space="preserve">C </w:t>
      </w:r>
      <w:r>
        <w:rPr>
          <w:rFonts w:hint="eastAsia" w:cs="宋体" w:asciiTheme="minorEastAsia" w:hAnsiTheme="minorEastAsia" w:eastAsiaTheme="minorEastAsia"/>
          <w:sz w:val="24"/>
          <w:szCs w:val="24"/>
        </w:rPr>
        <w:t xml:space="preserve">级要求； </w:t>
      </w:r>
    </w:p>
    <w:p w14:paraId="1148669E">
      <w:pPr>
        <w:widowControl/>
        <w:spacing w:line="360" w:lineRule="auto"/>
        <w:rPr>
          <w:rFonts w:asciiTheme="minorEastAsia" w:hAnsiTheme="minorEastAsia" w:eastAsiaTheme="minorEastAsia"/>
          <w:sz w:val="24"/>
          <w:szCs w:val="24"/>
        </w:rPr>
      </w:pPr>
      <w:r>
        <w:rPr>
          <w:rFonts w:hint="eastAsia" w:cs="宋体" w:asciiTheme="minorEastAsia" w:hAnsiTheme="minorEastAsia" w:eastAsiaTheme="minorEastAsia"/>
          <w:sz w:val="24"/>
          <w:szCs w:val="24"/>
        </w:rPr>
        <w:t xml:space="preserve">    (2)在提供药物投放服务时，必须作好宣传和技术指导工作，注意安全，预防人畜误食鼠药中毒等事件发生，以及对发生误食中毒事件进行及时处理，并承担因宣传和指导不力造成环境污染和人畜误食中毒所产生的所有后果； </w:t>
      </w:r>
    </w:p>
    <w:p w14:paraId="6314A7F2">
      <w:pPr>
        <w:widowControl/>
        <w:spacing w:line="360" w:lineRule="auto"/>
        <w:rPr>
          <w:rFonts w:cs="宋体" w:asciiTheme="minorEastAsia" w:hAnsiTheme="minorEastAsia" w:eastAsiaTheme="minorEastAsia"/>
          <w:b/>
          <w:sz w:val="24"/>
          <w:szCs w:val="24"/>
        </w:rPr>
      </w:pPr>
      <w:r>
        <w:rPr>
          <w:rFonts w:hint="eastAsia" w:cs="宋体" w:asciiTheme="minorEastAsia" w:hAnsiTheme="minorEastAsia" w:eastAsiaTheme="minorEastAsia"/>
          <w:sz w:val="24"/>
          <w:szCs w:val="24"/>
        </w:rPr>
        <w:t xml:space="preserve">   (3)成交供应商在提供药物投放服务时，必须科学、规范投放，确保消杀药物的投放量到位率、覆盖率符合要求并作好相关文字记录，保留备查。 </w:t>
      </w:r>
    </w:p>
    <w:p w14:paraId="30AD7272">
      <w:pPr>
        <w:widowControl/>
        <w:spacing w:line="360" w:lineRule="auto"/>
        <w:rPr>
          <w:rFonts w:asciiTheme="minorEastAsia" w:hAnsiTheme="minorEastAsia" w:eastAsiaTheme="minorEastAsia"/>
          <w:sz w:val="24"/>
          <w:szCs w:val="24"/>
        </w:rPr>
      </w:pPr>
      <w:r>
        <w:rPr>
          <w:rFonts w:hint="eastAsia" w:cs="宋体" w:asciiTheme="minorEastAsia" w:hAnsiTheme="minorEastAsia" w:eastAsiaTheme="minorEastAsia"/>
          <w:b/>
          <w:sz w:val="24"/>
          <w:szCs w:val="24"/>
        </w:rPr>
        <w:t xml:space="preserve">   （</w:t>
      </w:r>
      <w:r>
        <w:rPr>
          <w:rFonts w:hint="eastAsia" w:cs="宋体" w:asciiTheme="minorEastAsia" w:hAnsiTheme="minorEastAsia" w:eastAsiaTheme="minorEastAsia"/>
          <w:b/>
          <w:sz w:val="24"/>
          <w:szCs w:val="24"/>
          <w:lang w:eastAsia="zh-CN"/>
        </w:rPr>
        <w:t>二</w:t>
      </w:r>
      <w:r>
        <w:rPr>
          <w:rFonts w:hint="eastAsia" w:cs="宋体" w:asciiTheme="minorEastAsia" w:hAnsiTheme="minorEastAsia" w:eastAsiaTheme="minorEastAsia"/>
          <w:b/>
          <w:sz w:val="24"/>
          <w:szCs w:val="24"/>
        </w:rPr>
        <w:t xml:space="preserve">）用药标准及要求、需求 </w:t>
      </w:r>
    </w:p>
    <w:p w14:paraId="147C8EF7">
      <w:pPr>
        <w:widowControl/>
        <w:spacing w:line="360" w:lineRule="auto"/>
        <w:rPr>
          <w:rFonts w:hint="eastAsia" w:asciiTheme="minorEastAsia" w:hAnsiTheme="minorEastAsia" w:eastAsiaTheme="minorEastAsia"/>
          <w:sz w:val="24"/>
          <w:szCs w:val="24"/>
        </w:rPr>
      </w:pPr>
      <w:r>
        <w:rPr>
          <w:rFonts w:hint="eastAsia" w:cs="宋体" w:asciiTheme="minorEastAsia" w:hAnsiTheme="minorEastAsia" w:eastAsiaTheme="minorEastAsia"/>
          <w:sz w:val="24"/>
          <w:szCs w:val="24"/>
        </w:rPr>
        <w:t xml:space="preserve">   </w:t>
      </w:r>
      <w:r>
        <w:rPr>
          <w:rFonts w:hint="eastAsia" w:asciiTheme="minorEastAsia" w:hAnsiTheme="minorEastAsia" w:eastAsiaTheme="minorEastAsia"/>
          <w:sz w:val="24"/>
          <w:szCs w:val="24"/>
        </w:rPr>
        <w:t>供应商必须注重科学合理用药，不得使用假药、国家禁用的药物，并须保证药物来源和质量正当可靠，使用的药物必须符合GB/T27777-2011《杀鼠剂安全使用准则》与GB/T27779-2011《卫生杀虫剂安全使用准则》的要求，达到“安全、高效、环保”并交替使用药物防止产生耐药性的要求。为保证用药质量，确保“双创”工作顺利进行，使用药物必须按照以下标准和要求执行。</w:t>
      </w:r>
    </w:p>
    <w:tbl>
      <w:tblPr>
        <w:tblStyle w:val="15"/>
        <w:tblW w:w="499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9"/>
        <w:gridCol w:w="841"/>
        <w:gridCol w:w="1893"/>
        <w:gridCol w:w="1772"/>
        <w:gridCol w:w="876"/>
        <w:gridCol w:w="1047"/>
        <w:gridCol w:w="2590"/>
      </w:tblGrid>
      <w:tr w14:paraId="2D663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4" w:type="pct"/>
            <w:tcBorders>
              <w:top w:val="single" w:color="000000" w:sz="4" w:space="0"/>
              <w:left w:val="single" w:color="000000" w:sz="4" w:space="0"/>
              <w:bottom w:val="nil"/>
              <w:right w:val="single" w:color="000000" w:sz="4" w:space="0"/>
            </w:tcBorders>
            <w:shd w:val="clear" w:color="auto" w:fill="D7D7D7"/>
            <w:noWrap w:val="0"/>
            <w:vAlign w:val="center"/>
          </w:tcPr>
          <w:p w14:paraId="2FA776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432" w:type="pct"/>
            <w:tcBorders>
              <w:top w:val="single" w:color="000000" w:sz="4" w:space="0"/>
              <w:left w:val="single" w:color="000000" w:sz="4" w:space="0"/>
              <w:bottom w:val="nil"/>
              <w:right w:val="single" w:color="000000" w:sz="4" w:space="0"/>
            </w:tcBorders>
            <w:shd w:val="clear" w:color="auto" w:fill="D7D7D7"/>
            <w:noWrap w:val="0"/>
            <w:vAlign w:val="center"/>
          </w:tcPr>
          <w:p w14:paraId="2E2C60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w:t>
            </w:r>
          </w:p>
        </w:tc>
        <w:tc>
          <w:tcPr>
            <w:tcW w:w="972"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4E553B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品名</w:t>
            </w:r>
          </w:p>
        </w:tc>
        <w:tc>
          <w:tcPr>
            <w:tcW w:w="910"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12BECD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w:t>
            </w:r>
          </w:p>
        </w:tc>
        <w:tc>
          <w:tcPr>
            <w:tcW w:w="450"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5469F6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538"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06E717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w:t>
            </w:r>
          </w:p>
        </w:tc>
        <w:tc>
          <w:tcPr>
            <w:tcW w:w="1331"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480407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用途说明</w:t>
            </w:r>
          </w:p>
        </w:tc>
      </w:tr>
      <w:tr w14:paraId="7A893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630B72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594F61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灭鼠费用</w:t>
            </w:r>
          </w:p>
        </w:tc>
        <w:tc>
          <w:tcPr>
            <w:tcW w:w="972" w:type="pct"/>
            <w:tcBorders>
              <w:top w:val="single" w:color="000000" w:sz="4" w:space="0"/>
              <w:left w:val="nil"/>
              <w:bottom w:val="nil"/>
              <w:right w:val="single" w:color="000000" w:sz="4" w:space="0"/>
            </w:tcBorders>
            <w:noWrap w:val="0"/>
            <w:vAlign w:val="center"/>
          </w:tcPr>
          <w:p w14:paraId="0ED9A94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★0.005%溴鼠灵毒饵</w:t>
            </w:r>
          </w:p>
        </w:tc>
        <w:tc>
          <w:tcPr>
            <w:tcW w:w="910" w:type="pct"/>
            <w:tcBorders>
              <w:top w:val="single" w:color="000000" w:sz="4" w:space="0"/>
              <w:left w:val="single" w:color="000000" w:sz="4" w:space="0"/>
              <w:bottom w:val="nil"/>
              <w:right w:val="single" w:color="000000" w:sz="4" w:space="0"/>
            </w:tcBorders>
            <w:noWrap w:val="0"/>
            <w:vAlign w:val="center"/>
          </w:tcPr>
          <w:p w14:paraId="0944A0B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20kg/袋</w:t>
            </w:r>
          </w:p>
        </w:tc>
        <w:tc>
          <w:tcPr>
            <w:tcW w:w="450" w:type="pct"/>
            <w:tcBorders>
              <w:top w:val="single" w:color="000000" w:sz="4" w:space="0"/>
              <w:left w:val="single" w:color="000000" w:sz="4" w:space="0"/>
              <w:bottom w:val="nil"/>
              <w:right w:val="single" w:color="000000" w:sz="4" w:space="0"/>
            </w:tcBorders>
            <w:noWrap w:val="0"/>
            <w:vAlign w:val="center"/>
          </w:tcPr>
          <w:p w14:paraId="7EC079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kg</w:t>
            </w:r>
          </w:p>
        </w:tc>
        <w:tc>
          <w:tcPr>
            <w:tcW w:w="538" w:type="pct"/>
            <w:tcBorders>
              <w:top w:val="single" w:color="000000" w:sz="4" w:space="0"/>
              <w:left w:val="single" w:color="000000" w:sz="4" w:space="0"/>
              <w:bottom w:val="nil"/>
              <w:right w:val="single" w:color="000000" w:sz="4" w:space="0"/>
            </w:tcBorders>
            <w:noWrap w:val="0"/>
            <w:vAlign w:val="center"/>
          </w:tcPr>
          <w:p w14:paraId="4AD5F8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4800</w:t>
            </w:r>
          </w:p>
        </w:tc>
        <w:tc>
          <w:tcPr>
            <w:tcW w:w="1331" w:type="pct"/>
            <w:tcBorders>
              <w:top w:val="single" w:color="000000" w:sz="4" w:space="0"/>
              <w:left w:val="single" w:color="000000" w:sz="4" w:space="0"/>
              <w:bottom w:val="nil"/>
              <w:right w:val="single" w:color="000000" w:sz="4" w:space="0"/>
            </w:tcBorders>
            <w:noWrap w:val="0"/>
            <w:vAlign w:val="center"/>
          </w:tcPr>
          <w:p w14:paraId="6E81708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1.春、秋季大面积灭鼠需用 2000kg；2. 日常灭鼠用 2000kg；3.社区及廉政基地发放 800kg。</w:t>
            </w:r>
          </w:p>
        </w:tc>
      </w:tr>
      <w:tr w14:paraId="17891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91406A0">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DCA184">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nil"/>
              <w:bottom w:val="nil"/>
              <w:right w:val="single" w:color="000000" w:sz="4" w:space="0"/>
            </w:tcBorders>
            <w:noWrap w:val="0"/>
            <w:vAlign w:val="center"/>
          </w:tcPr>
          <w:p w14:paraId="4BE99A0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★0.005%溴鼠灵腊块</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C2A1F6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10kg/件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27FAA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kg</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00A8A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057AEB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1.由于城区下水道和各类沟、渠、井长期潮湿不宜投放;2.灭鼠毒饵，利用蜡块进行灭鼠;</w:t>
            </w:r>
          </w:p>
        </w:tc>
      </w:tr>
      <w:tr w14:paraId="5F959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D883A37">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B1FBC91">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nil"/>
              <w:bottom w:val="single" w:color="000000" w:sz="4" w:space="0"/>
              <w:right w:val="single" w:color="000000" w:sz="4" w:space="0"/>
            </w:tcBorders>
            <w:noWrap w:val="0"/>
            <w:vAlign w:val="center"/>
          </w:tcPr>
          <w:p w14:paraId="18F69DC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粘鼠板</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E80CAF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40g*50 张/件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6CC9F9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9CBF8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7A84C62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粘鼠板主要用于农贸市场、五小门店等室内环境灭鼠。</w:t>
            </w:r>
          </w:p>
        </w:tc>
      </w:tr>
      <w:tr w14:paraId="4A798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EA8CF57">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A68B6F4">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nil"/>
              <w:bottom w:val="single" w:color="000000" w:sz="4" w:space="0"/>
              <w:right w:val="single" w:color="000000" w:sz="4" w:space="0"/>
            </w:tcBorders>
            <w:noWrap w:val="0"/>
            <w:vAlign w:val="center"/>
          </w:tcPr>
          <w:p w14:paraId="31C4EEF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毒饵盒(水泥或陶瓷)</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044BF0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30cm*12cm*12cm（孔径 8cm）</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701A9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53686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50C0A0B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用于公共区域外环境的灭鼠毒饵投放。</w:t>
            </w:r>
          </w:p>
        </w:tc>
      </w:tr>
      <w:tr w14:paraId="06AFE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nil"/>
              <w:left w:val="single" w:color="000000" w:sz="4" w:space="0"/>
              <w:bottom w:val="single" w:color="000000" w:sz="4" w:space="0"/>
              <w:right w:val="single" w:color="000000" w:sz="4" w:space="0"/>
            </w:tcBorders>
            <w:noWrap w:val="0"/>
            <w:vAlign w:val="center"/>
          </w:tcPr>
          <w:p w14:paraId="76A4EE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w:t>
            </w:r>
          </w:p>
        </w:tc>
        <w:tc>
          <w:tcPr>
            <w:tcW w:w="432" w:type="pct"/>
            <w:vMerge w:val="restart"/>
            <w:tcBorders>
              <w:top w:val="nil"/>
              <w:left w:val="single" w:color="000000" w:sz="4" w:space="0"/>
              <w:bottom w:val="single" w:color="000000" w:sz="4" w:space="0"/>
              <w:right w:val="single" w:color="000000" w:sz="4" w:space="0"/>
            </w:tcBorders>
            <w:noWrap w:val="0"/>
            <w:vAlign w:val="center"/>
          </w:tcPr>
          <w:p w14:paraId="0D295C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灭蟑费用</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2281E76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★杀蟑饵剂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DDE2F9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 盒*50 包</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F2D69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815B9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1DB09C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用于临街五小门店、各类场所灭蟑用药</w:t>
            </w:r>
          </w:p>
        </w:tc>
      </w:tr>
      <w:tr w14:paraId="7CFD9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nil"/>
              <w:left w:val="single" w:color="000000" w:sz="4" w:space="0"/>
              <w:bottom w:val="single" w:color="000000" w:sz="4" w:space="0"/>
              <w:right w:val="single" w:color="000000" w:sz="4" w:space="0"/>
            </w:tcBorders>
            <w:noWrap w:val="0"/>
            <w:vAlign w:val="center"/>
          </w:tcPr>
          <w:p w14:paraId="76D4E0B0">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nil"/>
              <w:left w:val="single" w:color="000000" w:sz="4" w:space="0"/>
              <w:bottom w:val="single" w:color="000000" w:sz="4" w:space="0"/>
              <w:right w:val="single" w:color="000000" w:sz="4" w:space="0"/>
            </w:tcBorders>
            <w:noWrap w:val="0"/>
            <w:vAlign w:val="center"/>
          </w:tcPr>
          <w:p w14:paraId="21425386">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153530D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★0.05%氟虫腈杀蟑胶饵（针剂）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54996C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5g*200 支</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09937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6433F0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1050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00971F7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用于临街五小门店、各类场所灭蟑用药</w:t>
            </w:r>
          </w:p>
        </w:tc>
      </w:tr>
      <w:tr w14:paraId="75A34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nil"/>
              <w:left w:val="single" w:color="000000" w:sz="4" w:space="0"/>
              <w:bottom w:val="single" w:color="000000" w:sz="4" w:space="0"/>
              <w:right w:val="single" w:color="000000" w:sz="4" w:space="0"/>
            </w:tcBorders>
            <w:noWrap w:val="0"/>
            <w:vAlign w:val="center"/>
          </w:tcPr>
          <w:p w14:paraId="36916FBF">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nil"/>
              <w:left w:val="single" w:color="000000" w:sz="4" w:space="0"/>
              <w:bottom w:val="single" w:color="000000" w:sz="4" w:space="0"/>
              <w:right w:val="single" w:color="000000" w:sz="4" w:space="0"/>
            </w:tcBorders>
            <w:noWrap w:val="0"/>
            <w:vAlign w:val="center"/>
          </w:tcPr>
          <w:p w14:paraId="39E78E74">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5B3665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★0.05%氟虫腈杀蟑胶饵（方便贴）</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EE8B5B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 粒*200 盒</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2063F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D7B21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49A41A3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用于临街五小门店、室内场所灭蟑用药</w:t>
            </w:r>
          </w:p>
        </w:tc>
      </w:tr>
      <w:tr w14:paraId="053FA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nil"/>
              <w:left w:val="single" w:color="000000" w:sz="4" w:space="0"/>
              <w:bottom w:val="single" w:color="000000" w:sz="4" w:space="0"/>
              <w:right w:val="single" w:color="000000" w:sz="4" w:space="0"/>
            </w:tcBorders>
            <w:noWrap w:val="0"/>
            <w:vAlign w:val="center"/>
          </w:tcPr>
          <w:p w14:paraId="125D5174">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nil"/>
              <w:left w:val="single" w:color="000000" w:sz="4" w:space="0"/>
              <w:bottom w:val="single" w:color="000000" w:sz="4" w:space="0"/>
              <w:right w:val="single" w:color="000000" w:sz="4" w:space="0"/>
            </w:tcBorders>
            <w:noWrap w:val="0"/>
            <w:vAlign w:val="center"/>
          </w:tcPr>
          <w:p w14:paraId="4828EDA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8121AD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★2.5%高氯残杀威热(烟雾剂)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DFBDF0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5L*4 桶/件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5DEF44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kg</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4E7F1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15D17AD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用于整个城区单位下水道、留泥井熏杀蟑螂用</w:t>
            </w:r>
          </w:p>
        </w:tc>
      </w:tr>
      <w:tr w14:paraId="7582E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44A2B4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27164E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灭蝇药品</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DDA4BB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★杀蝇饵剂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E2F3EC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 盒*50 包</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716B9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A4F73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38D7E10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用于室内场所灭蝇诱杀</w:t>
            </w:r>
          </w:p>
        </w:tc>
      </w:tr>
      <w:tr w14:paraId="47946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B516D91">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021E0C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077877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粘蝇纸</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16CD47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1*500 张/件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53C351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6A29E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77AB450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用于室内场所灭蝇粘捕</w:t>
            </w:r>
          </w:p>
        </w:tc>
      </w:tr>
      <w:tr w14:paraId="211B9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0370B06">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7A2BC8B">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CF758C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捕蝇笼（套装）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D64300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1*24 个/件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3438CD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57739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648C9E1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用于农贸市场、垃圾站、公共厕所、公园等外环境杀灭</w:t>
            </w:r>
          </w:p>
        </w:tc>
      </w:tr>
      <w:tr w14:paraId="08AF5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58CE7C">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A50D504">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1EB9DE6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★10%高效氯氢菊脂悬浮剂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3B2FDE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1L*10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3ABB2B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3C54CD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4F8FEFE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公测及农贸市场使用超低容量机喷杀</w:t>
            </w:r>
          </w:p>
        </w:tc>
      </w:tr>
      <w:tr w14:paraId="2CF9F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9D2E602">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3F8AE9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14400A0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★10%烯丙氯菊乳油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9752F8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500m*20 瓶/件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2B7FF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634DC8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08FE2AE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用于室内食堂、餐厅等场所灭蟑</w:t>
            </w:r>
          </w:p>
        </w:tc>
      </w:tr>
      <w:tr w14:paraId="68854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2D4689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547A34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灭蚊药品</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E9CC4A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★15%顺氯.残杀威县浮剂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3130EC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1L*10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3D2B6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F58F5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26BFC2A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杀灭蚊子幼虫专用药物</w:t>
            </w:r>
          </w:p>
        </w:tc>
      </w:tr>
      <w:tr w14:paraId="7586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388D0DF">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3251B0C">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0AC85F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★5%倍硫磷灭蚊幼缓释剂药包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1D9740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5G*2000 包/桶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097BB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0B8B4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0A8B0D9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蚊幼孳生地使用</w:t>
            </w:r>
          </w:p>
        </w:tc>
      </w:tr>
      <w:tr w14:paraId="403A0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9F28F42">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D6D56B9">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135540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★5%倍硫磷灭蚊幼缓释剂药包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3176E3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500G*50 包/桶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242A2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0F119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35BA3B1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蚊幼孳生地使用</w:t>
            </w:r>
          </w:p>
        </w:tc>
      </w:tr>
      <w:tr w14:paraId="22DA7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B0110A4">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FB8799">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04A4F5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★5%氯菊.四氟醚水乳剂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18810F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500ml*20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26880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36898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5F3F30F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滞留喷杀使用</w:t>
            </w:r>
          </w:p>
        </w:tc>
      </w:tr>
      <w:tr w14:paraId="54A76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ADA178E">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C535245">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339C0B8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★2%吡虫啉杀虫粉剂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795409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50g*200 袋/件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EF1E9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袋</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07E5C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440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24743D8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滞留喷杀使用</w:t>
            </w:r>
          </w:p>
        </w:tc>
      </w:tr>
      <w:tr w14:paraId="54C73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F14B8BD">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4DF37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3DDB69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★2%吡虫啉杀虫粉剂缓释包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40BF21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3g*100 袋*20 中包</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55CF6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3A5C65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6000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4D5964A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杀灭蚊幼虫专用药物</w:t>
            </w:r>
          </w:p>
        </w:tc>
      </w:tr>
      <w:tr w14:paraId="0694D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3B71A6A">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229677F">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1E7F029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★10%烯丙氯菊乳油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E09E6D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500ml*20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C1426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DE31A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50FDACF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外环境灭成蚊专用</w:t>
            </w:r>
          </w:p>
        </w:tc>
      </w:tr>
      <w:tr w14:paraId="71C19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68C8C9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五</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5AD8F9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城区除“四害 ”动员大会、技术培训班、宣传教育</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E4252C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年度全区除“ 四害 ”工作宣传动员</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009F0A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 次</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128A2CB">
            <w:pPr>
              <w:jc w:val="center"/>
              <w:rPr>
                <w:rFonts w:hint="eastAsia" w:ascii="宋体" w:hAnsi="宋体" w:eastAsia="宋体" w:cs="宋体"/>
                <w:i w:val="0"/>
                <w:iCs w:val="0"/>
                <w:color w:val="000000"/>
                <w:sz w:val="24"/>
                <w:szCs w:val="24"/>
                <w:highlight w:val="none"/>
                <w:u w:val="none"/>
              </w:rPr>
            </w:pP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4865E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 次</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5C4E8B0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资料印制费、防制宣传单、横幅、标语、标牌、防治知识普及现场药械发放等。</w:t>
            </w:r>
          </w:p>
        </w:tc>
      </w:tr>
      <w:tr w14:paraId="080AB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BBFBB53">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98F9940">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534718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年度举办一次除"四害"技术培训班</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B38CED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1次</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69BA2CEF">
            <w:pPr>
              <w:jc w:val="center"/>
              <w:rPr>
                <w:rFonts w:hint="eastAsia" w:ascii="宋体" w:hAnsi="宋体" w:eastAsia="宋体" w:cs="宋体"/>
                <w:i w:val="0"/>
                <w:iCs w:val="0"/>
                <w:color w:val="000000"/>
                <w:sz w:val="24"/>
                <w:szCs w:val="24"/>
                <w:highlight w:val="none"/>
                <w:u w:val="none"/>
              </w:rPr>
            </w:pP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D9633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1次</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1CE3D98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（1）会场费资料费;（2）授课费</w:t>
            </w:r>
          </w:p>
        </w:tc>
      </w:tr>
      <w:tr w14:paraId="08781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3C30D45">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2108974">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3E93DE9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社区、居民宣传教育</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21812F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 次</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D4F384F">
            <w:pPr>
              <w:jc w:val="center"/>
              <w:rPr>
                <w:rFonts w:hint="eastAsia" w:ascii="宋体" w:hAnsi="宋体" w:eastAsia="宋体" w:cs="宋体"/>
                <w:i w:val="0"/>
                <w:iCs w:val="0"/>
                <w:color w:val="000000"/>
                <w:sz w:val="24"/>
                <w:szCs w:val="24"/>
                <w:highlight w:val="none"/>
                <w:u w:val="none"/>
              </w:rPr>
            </w:pP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E78C9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 次</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26580E3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宣传、社区讲座、资料、药品发放等</w:t>
            </w:r>
          </w:p>
        </w:tc>
      </w:tr>
      <w:tr w14:paraId="37192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4DB850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六</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46A366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项目管理</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C0B4D9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办公费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95527FB">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A7537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A1BC8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4D72C39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日常办公支出、房租及水电费等</w:t>
            </w:r>
          </w:p>
        </w:tc>
      </w:tr>
      <w:tr w14:paraId="79DA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DAD7AB">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FA1745B">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C386AF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设备折旧</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98AA2FC">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7629F3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E1179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74BA7DC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自有车辆费用 2 辆</w:t>
            </w:r>
          </w:p>
        </w:tc>
      </w:tr>
      <w:tr w14:paraId="2139B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ABF15C">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45CAB4C">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E8824B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社保及其他保险</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2D95288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DD8550D">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FCEAF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1B3D003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3619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F9C2DEC">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D2133BB">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E9CE25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意外保险</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F02016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699CB51">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49784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212A64B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A9D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2485EE1">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1517684">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258E470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管理人员</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2CCF023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BA7E3E3">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196D5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3FB5949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D204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2C1814C">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CC67857">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D2C81D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技术人员</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9E61E8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31445929">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398E41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174E910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614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EEE636">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F254D9E">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46A1F2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餐费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6FBCDEC">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BA15D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5E858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5C8B64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101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DD076CD">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101136">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0CD4290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税费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2BF902A8">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5DB7CE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48C6226">
            <w:pPr>
              <w:jc w:val="center"/>
              <w:rPr>
                <w:rFonts w:hint="eastAsia" w:ascii="宋体" w:hAnsi="宋体" w:eastAsia="宋体" w:cs="宋体"/>
                <w:i w:val="0"/>
                <w:iCs w:val="0"/>
                <w:color w:val="000000"/>
                <w:sz w:val="24"/>
                <w:szCs w:val="24"/>
                <w:highlight w:val="none"/>
                <w:u w:val="none"/>
              </w:rPr>
            </w:pP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58C62B75">
            <w:pPr>
              <w:rPr>
                <w:rFonts w:hint="eastAsia" w:ascii="宋体" w:hAnsi="宋体" w:eastAsia="宋体" w:cs="宋体"/>
                <w:i w:val="0"/>
                <w:iCs w:val="0"/>
                <w:color w:val="000000"/>
                <w:sz w:val="24"/>
                <w:szCs w:val="24"/>
                <w:highlight w:val="none"/>
                <w:u w:val="none"/>
                <w:lang w:val="en-US" w:eastAsia="zh-CN"/>
              </w:rPr>
            </w:pPr>
          </w:p>
        </w:tc>
      </w:tr>
      <w:tr w14:paraId="7F411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5DF5D4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七</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7F60A1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交通费用</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3B0BE31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汽油费、修理费、车辆保险费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BDA650E">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79ACF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3EEE6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3847D9A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满足项目防制用车及日常防制药械运费</w:t>
            </w:r>
          </w:p>
        </w:tc>
      </w:tr>
      <w:tr w14:paraId="70FA6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D33A433">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9F291A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0A83994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人员差旅补助</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C1350B8">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79D28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88532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1" w:type="pct"/>
            <w:tcBorders>
              <w:top w:val="single" w:color="000000" w:sz="4" w:space="0"/>
              <w:left w:val="single" w:color="000000" w:sz="4" w:space="0"/>
              <w:bottom w:val="single" w:color="000000" w:sz="4" w:space="0"/>
              <w:right w:val="single" w:color="000000" w:sz="4" w:space="0"/>
            </w:tcBorders>
            <w:noWrap w:val="0"/>
            <w:vAlign w:val="center"/>
          </w:tcPr>
          <w:p w14:paraId="6C9C33D5">
            <w:pPr>
              <w:rPr>
                <w:rFonts w:hint="eastAsia" w:ascii="宋体" w:hAnsi="宋体" w:eastAsia="宋体" w:cs="宋体"/>
                <w:i w:val="0"/>
                <w:iCs w:val="0"/>
                <w:color w:val="000000"/>
                <w:kern w:val="0"/>
                <w:sz w:val="24"/>
                <w:szCs w:val="24"/>
                <w:highlight w:val="none"/>
                <w:u w:val="none"/>
                <w:lang w:val="en-US" w:eastAsia="zh-CN" w:bidi="ar"/>
              </w:rPr>
            </w:pPr>
          </w:p>
        </w:tc>
      </w:tr>
      <w:tr w14:paraId="5CBE5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noWrap w:val="0"/>
            <w:vAlign w:val="center"/>
          </w:tcPr>
          <w:p w14:paraId="4B080AB7">
            <w:pPr>
              <w:widowControl/>
              <w:spacing w:line="400" w:lineRule="exact"/>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sz w:val="24"/>
                <w:szCs w:val="24"/>
                <w:highlight w:val="none"/>
                <w:lang w:val="en-US" w:eastAsia="zh-CN"/>
              </w:rPr>
              <w:t>所投带★药品须提供</w:t>
            </w:r>
            <w:r>
              <w:rPr>
                <w:rFonts w:hint="default" w:ascii="宋体" w:hAnsi="宋体" w:eastAsia="宋体" w:cs="宋体"/>
                <w:b/>
                <w:bCs/>
                <w:sz w:val="24"/>
                <w:szCs w:val="24"/>
                <w:highlight w:val="none"/>
                <w:lang w:val="en-US" w:eastAsia="zh-CN"/>
              </w:rPr>
              <w:t>①</w:t>
            </w:r>
            <w:r>
              <w:rPr>
                <w:rFonts w:hint="eastAsia" w:ascii="宋体" w:hAnsi="宋体" w:eastAsia="宋体" w:cs="宋体"/>
                <w:b/>
                <w:bCs/>
                <w:sz w:val="24"/>
                <w:szCs w:val="24"/>
                <w:highlight w:val="none"/>
                <w:lang w:val="en-US" w:eastAsia="zh-CN"/>
              </w:rPr>
              <w:t>农业部颁发的农药登记证、农药生产批准证书或农药生产许可证、企业标准（提供以上证书扫描件加盖公章)；未按以上要求提供的或提供不符合的做无效标处理。</w:t>
            </w:r>
          </w:p>
        </w:tc>
      </w:tr>
    </w:tbl>
    <w:p w14:paraId="703317DD">
      <w:pPr>
        <w:pStyle w:val="7"/>
      </w:pPr>
    </w:p>
    <w:p w14:paraId="071E4C11">
      <w:pPr>
        <w:widowControl/>
        <w:spacing w:line="400" w:lineRule="exact"/>
        <w:rPr>
          <w:rFonts w:asciiTheme="minorEastAsia" w:hAnsiTheme="minorEastAsia" w:eastAsiaTheme="minorEastAsia"/>
        </w:rPr>
      </w:pPr>
      <w:r>
        <w:rPr>
          <w:rFonts w:hint="eastAsia" w:cs="宋体" w:asciiTheme="minorEastAsia" w:hAnsiTheme="minorEastAsia" w:eastAsiaTheme="minorEastAsia"/>
          <w:b/>
          <w:sz w:val="24"/>
          <w:szCs w:val="24"/>
        </w:rPr>
        <w:t xml:space="preserve">   （</w:t>
      </w:r>
      <w:r>
        <w:rPr>
          <w:rFonts w:hint="eastAsia" w:cs="宋体" w:asciiTheme="minorEastAsia" w:hAnsiTheme="minorEastAsia" w:eastAsiaTheme="minorEastAsia"/>
          <w:b/>
          <w:sz w:val="24"/>
          <w:szCs w:val="24"/>
          <w:lang w:eastAsia="zh-CN"/>
        </w:rPr>
        <w:t>三</w:t>
      </w:r>
      <w:r>
        <w:rPr>
          <w:rFonts w:hint="eastAsia" w:cs="宋体" w:asciiTheme="minorEastAsia" w:hAnsiTheme="minorEastAsia" w:eastAsiaTheme="minorEastAsia"/>
          <w:b/>
          <w:sz w:val="24"/>
          <w:szCs w:val="24"/>
        </w:rPr>
        <w:t xml:space="preserve">）服务具体要求 </w:t>
      </w:r>
    </w:p>
    <w:p w14:paraId="38D1DD5C">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w:t>
      </w:r>
      <w:r>
        <w:rPr>
          <w:rFonts w:hint="eastAsia" w:cs="宋体" w:asciiTheme="minorEastAsia" w:hAnsiTheme="minorEastAsia" w:eastAsiaTheme="minorEastAsia"/>
          <w:sz w:val="24"/>
          <w:szCs w:val="24"/>
          <w:lang w:val="en-US" w:eastAsia="zh-CN"/>
        </w:rPr>
        <w:t>1、</w:t>
      </w:r>
      <w:r>
        <w:rPr>
          <w:rFonts w:hint="eastAsia" w:cs="宋体" w:asciiTheme="minorEastAsia" w:hAnsiTheme="minorEastAsia" w:eastAsiaTheme="minorEastAsia"/>
          <w:b/>
          <w:sz w:val="24"/>
          <w:szCs w:val="24"/>
        </w:rPr>
        <w:t xml:space="preserve">本地调查 </w:t>
      </w:r>
    </w:p>
    <w:p w14:paraId="3FC3A4EE">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为科学有效制订病媒生物防制工作计划，切合实际有效开展相关综合防制工作，在开始病媒生物防制服务消杀工作之前必须先对防制区域开展不同类型病媒生物孳生地的全面调查，并依据评估情况进行及时纠偏，确保综合防制效果。同时形成病媒生物防制台账资料，收集归档。 </w:t>
      </w:r>
    </w:p>
    <w:p w14:paraId="1095E77D">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w:t>
      </w:r>
      <w:r>
        <w:rPr>
          <w:rFonts w:hint="eastAsia" w:cs="宋体" w:asciiTheme="minorEastAsia" w:hAnsiTheme="minorEastAsia" w:eastAsiaTheme="minorEastAsia"/>
          <w:sz w:val="24"/>
          <w:szCs w:val="24"/>
          <w:lang w:val="en-US" w:eastAsia="zh-CN"/>
        </w:rPr>
        <w:t>2、</w:t>
      </w:r>
      <w:r>
        <w:rPr>
          <w:rFonts w:hint="eastAsia" w:cs="宋体" w:asciiTheme="minorEastAsia" w:hAnsiTheme="minorEastAsia" w:eastAsiaTheme="minorEastAsia"/>
          <w:b/>
          <w:sz w:val="24"/>
          <w:szCs w:val="24"/>
        </w:rPr>
        <w:t xml:space="preserve">病媒生物防制作业要求 </w:t>
      </w:r>
    </w:p>
    <w:p w14:paraId="076B9A4B">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①落实中心城区内的公共外环境病媒生物防制工作，确保按计划在各区域进行全方位的灭鼠、灭蚊、灭蝇、灭蟑螂作业。 </w:t>
      </w:r>
    </w:p>
    <w:p w14:paraId="6BAC1286">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②坚持“预防为主，综合防制”的消杀方针，确保使用国家规定或相关部门认定或推荐的药物。对病媒生物防制药物建立进出登记台账。病媒生物防制作业时要注意安全用药，废弃药物及死鼠等要妥善处理，防止污染。 </w:t>
      </w:r>
    </w:p>
    <w:p w14:paraId="493ADB6B">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③病媒生物防制工作人员需经培训合格后持证上岗，按照病媒生物防制工作的法规标准，规范操作。作业时必须统一服装、统一标准，做到安全作业、文明作业、科学作业。 </w:t>
      </w:r>
    </w:p>
    <w:p w14:paraId="49E2F863">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④做好每次病媒生物防制工作的记录，登记时间、处理位置、用药量等数据。</w:t>
      </w:r>
    </w:p>
    <w:p w14:paraId="40419B71">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⑤安排专人负责巡查和开展病媒生物防制效果跟踪检查，并根据实际效果调整用药品种、剂量、时间、防制方式等措施。 </w:t>
      </w:r>
    </w:p>
    <w:p w14:paraId="1B44223C">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⑥于合同签订后立即进行一次全覆盖的孳生地调查，并将孳生地情况、相关环境问题等详细资料汇总成册报广丰区卫生健康委员会。</w:t>
      </w:r>
    </w:p>
    <w:p w14:paraId="16B5C863">
      <w:pPr>
        <w:widowControl/>
        <w:spacing w:line="4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 xml:space="preserve">    ⑦合同签订后立即开展一次大规模病媒生物消杀防制工作，迅速降低中心城区内病媒生物密度，鼠、蚊、蝇、蟑螂密度需达到国家病媒生物密度控制水平标准</w:t>
      </w:r>
      <w:r>
        <w:rPr>
          <w:rFonts w:cs="宋体" w:asciiTheme="minorEastAsia" w:hAnsiTheme="minorEastAsia" w:eastAsiaTheme="minorEastAsia"/>
          <w:sz w:val="24"/>
          <w:szCs w:val="24"/>
        </w:rPr>
        <w:t>C</w:t>
      </w:r>
      <w:r>
        <w:rPr>
          <w:rFonts w:hint="eastAsia" w:cs="宋体" w:asciiTheme="minorEastAsia" w:hAnsiTheme="minorEastAsia" w:eastAsiaTheme="minorEastAsia"/>
          <w:sz w:val="24"/>
          <w:szCs w:val="24"/>
        </w:rPr>
        <w:t xml:space="preserve">级要求。 </w:t>
      </w:r>
    </w:p>
    <w:p w14:paraId="06B0D935">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⑧在完成首次全方位病媒生物防制工作后，组织对防制区域全面安装毒饵站、捕蝇笼、灭蚊灯和堵塞鼠洞等工作，并张贴标签（警示）牌等标识标语。必须对其进行日常维护，毒饵料必须常年保持新鲜；因施药问题造成人员和财产损失的安全事故，成交供应商负全部责任，承担所有的损失和赔偿；</w:t>
      </w:r>
    </w:p>
    <w:p w14:paraId="378C397B">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⑨对中心城区内的重点孳生地进行全面巡检和治理。 </w:t>
      </w:r>
    </w:p>
    <w:p w14:paraId="7AE0440D">
      <w:pPr>
        <w:widowControl/>
        <w:spacing w:line="400" w:lineRule="exact"/>
        <w:rPr>
          <w:rFonts w:asciiTheme="minorEastAsia" w:hAnsiTheme="minorEastAsia" w:eastAsiaTheme="minorEastAsia"/>
        </w:rPr>
      </w:pPr>
      <w:r>
        <w:rPr>
          <w:rFonts w:hint="eastAsia" w:cs="宋体" w:asciiTheme="minorEastAsia" w:hAnsiTheme="minorEastAsia" w:eastAsiaTheme="minorEastAsia"/>
          <w:sz w:val="24"/>
          <w:szCs w:val="24"/>
        </w:rPr>
        <w:t xml:space="preserve">    ⑩合同期间，采购单位可根据工作需求，通知成交供应商进行有针对性的病媒生物防制和突击治理工作。 </w:t>
      </w:r>
    </w:p>
    <w:p w14:paraId="47BA9D2A">
      <w:pPr>
        <w:widowControl/>
        <w:spacing w:line="400" w:lineRule="exact"/>
        <w:rPr>
          <w:rFonts w:hint="eastAsia" w:cs="宋体" w:asciiTheme="minorEastAsia" w:hAnsiTheme="minorEastAsia" w:eastAsiaTheme="minorEastAsia"/>
          <w:sz w:val="24"/>
          <w:szCs w:val="24"/>
        </w:rPr>
      </w:pPr>
      <w:r>
        <w:rPr>
          <w:rFonts w:hint="eastAsia" w:ascii="MS PGothic" w:hAnsi="MS PGothic" w:cs="MS PGothic" w:eastAsiaTheme="minorEastAsia"/>
          <w:sz w:val="24"/>
          <w:szCs w:val="24"/>
        </w:rPr>
        <w:t xml:space="preserve">      </w:t>
      </w:r>
      <w:r>
        <w:rPr>
          <w:rFonts w:ascii="MS PGothic" w:hAnsi="MS PGothic" w:cs="MS PGothic" w:eastAsiaTheme="minorEastAsia"/>
          <w:sz w:val="24"/>
          <w:szCs w:val="24"/>
        </w:rPr>
        <w:t>⑪</w:t>
      </w:r>
      <w:r>
        <w:rPr>
          <w:rFonts w:hint="eastAsia" w:cs="宋体" w:asciiTheme="minorEastAsia" w:hAnsiTheme="minorEastAsia" w:eastAsiaTheme="minorEastAsia"/>
          <w:sz w:val="24"/>
          <w:szCs w:val="24"/>
        </w:rPr>
        <w:t xml:space="preserve">合同期间应配合采购单位组织的技术培训、公益性宣传教育活动。 </w:t>
      </w:r>
    </w:p>
    <w:p w14:paraId="3FDCDD90">
      <w:pPr>
        <w:widowControl/>
        <w:spacing w:line="400" w:lineRule="exact"/>
        <w:ind w:firstLine="240" w:firstLineChars="100"/>
        <w:rPr>
          <w:rFonts w:hint="eastAsia" w:cs="宋体" w:asciiTheme="minorEastAsia" w:hAnsiTheme="minorEastAsia" w:eastAsiaTheme="minorEastAsia"/>
          <w:sz w:val="24"/>
          <w:szCs w:val="24"/>
        </w:rPr>
      </w:pPr>
      <w:r>
        <w:rPr>
          <w:rFonts w:hint="eastAsia" w:hAnsi="MS PGothic" w:cs="MS PGothic" w:asciiTheme="minorEastAsia" w:eastAsiaTheme="minorEastAsia"/>
          <w:sz w:val="24"/>
          <w:szCs w:val="24"/>
        </w:rPr>
        <w:t xml:space="preserve">  </w:t>
      </w:r>
      <w:r>
        <w:rPr>
          <w:rFonts w:hint="eastAsia" w:hAnsi="MS PGothic" w:eastAsia="MS PGothic" w:cs="MS PGothic" w:asciiTheme="minorEastAsia"/>
          <w:sz w:val="24"/>
          <w:szCs w:val="24"/>
        </w:rPr>
        <w:t>⑫</w:t>
      </w:r>
      <w:r>
        <w:rPr>
          <w:rFonts w:hint="eastAsia" w:cs="宋体" w:asciiTheme="minorEastAsia" w:hAnsiTheme="minorEastAsia" w:eastAsiaTheme="minorEastAsia"/>
          <w:sz w:val="24"/>
          <w:szCs w:val="24"/>
        </w:rPr>
        <w:t>需从病媒生物综合防制的角度，从孳生地调查、危害监测、环境治理等方面提供技术性。</w:t>
      </w:r>
    </w:p>
    <w:p w14:paraId="5D01F822">
      <w:pPr>
        <w:pStyle w:val="6"/>
        <w:spacing w:line="400" w:lineRule="exact"/>
        <w:ind w:left="0" w:firstLine="482" w:firstLineChars="200"/>
        <w:jc w:val="both"/>
        <w:rPr>
          <w:rFonts w:hint="eastAsia" w:cs="宋体" w:asciiTheme="minorEastAsia" w:hAnsiTheme="minorEastAsia" w:eastAsiaTheme="minorEastAsia"/>
          <w:b/>
          <w:bCs w:val="0"/>
          <w:sz w:val="24"/>
          <w:szCs w:val="24"/>
          <w:lang w:val="zh-CN" w:eastAsia="zh-CN" w:bidi="zh-CN"/>
        </w:rPr>
      </w:pPr>
      <w:r>
        <w:rPr>
          <w:rFonts w:hint="eastAsia" w:cs="宋体" w:asciiTheme="minorEastAsia" w:hAnsiTheme="minorEastAsia" w:eastAsiaTheme="minorEastAsia"/>
          <w:b/>
          <w:bCs w:val="0"/>
          <w:sz w:val="24"/>
          <w:szCs w:val="24"/>
          <w:lang w:val="zh-CN" w:eastAsia="zh-CN" w:bidi="zh-CN"/>
        </w:rPr>
        <w:t>二、</w:t>
      </w:r>
      <w:r>
        <w:rPr>
          <w:rFonts w:hint="eastAsia" w:cs="宋体" w:asciiTheme="minorEastAsia" w:hAnsiTheme="minorEastAsia" w:eastAsiaTheme="minorEastAsia"/>
          <w:b/>
          <w:bCs w:val="0"/>
          <w:sz w:val="24"/>
          <w:szCs w:val="24"/>
          <w:lang w:val="en-US" w:eastAsia="zh-CN" w:bidi="zh-CN"/>
        </w:rPr>
        <w:t>预算金额：720705元</w:t>
      </w:r>
    </w:p>
    <w:p w14:paraId="38333150">
      <w:pPr>
        <w:pStyle w:val="6"/>
        <w:spacing w:line="400" w:lineRule="exact"/>
        <w:ind w:left="0" w:firstLine="482" w:firstLineChars="200"/>
        <w:jc w:val="both"/>
        <w:rPr>
          <w:rFonts w:hint="eastAsia" w:cs="宋体" w:asciiTheme="minorEastAsia" w:hAnsiTheme="minorEastAsia" w:eastAsiaTheme="minorEastAsia"/>
          <w:b/>
          <w:bCs w:val="0"/>
          <w:sz w:val="24"/>
          <w:szCs w:val="24"/>
          <w:lang w:val="zh-CN" w:eastAsia="zh-CN" w:bidi="zh-CN"/>
        </w:rPr>
      </w:pPr>
      <w:r>
        <w:rPr>
          <w:rFonts w:hint="eastAsia" w:cs="宋体" w:asciiTheme="minorEastAsia" w:hAnsiTheme="minorEastAsia" w:eastAsiaTheme="minorEastAsia"/>
          <w:b/>
          <w:bCs w:val="0"/>
          <w:sz w:val="24"/>
          <w:szCs w:val="24"/>
          <w:lang w:val="zh-CN" w:eastAsia="zh-CN" w:bidi="zh-CN"/>
        </w:rPr>
        <w:t xml:space="preserve">三、商务条款  </w:t>
      </w:r>
    </w:p>
    <w:p w14:paraId="382D0E6D">
      <w:pPr>
        <w:pStyle w:val="7"/>
        <w:spacing w:line="40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1、服务周期：</w:t>
      </w:r>
      <w:r>
        <w:rPr>
          <w:rFonts w:hint="eastAsia" w:asciiTheme="minorEastAsia" w:hAnsiTheme="minorEastAsia" w:eastAsiaTheme="minorEastAsia"/>
          <w:sz w:val="24"/>
          <w:szCs w:val="24"/>
        </w:rPr>
        <w:t>合同签订之日起，服务期限1年</w:t>
      </w:r>
      <w:r>
        <w:rPr>
          <w:rFonts w:asciiTheme="minorEastAsia" w:hAnsiTheme="minorEastAsia" w:eastAsiaTheme="minorEastAsia"/>
          <w:sz w:val="24"/>
          <w:szCs w:val="24"/>
        </w:rPr>
        <w:t>。</w:t>
      </w:r>
    </w:p>
    <w:p w14:paraId="7D1236C9">
      <w:pPr>
        <w:pStyle w:val="7"/>
        <w:spacing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.服务</w:t>
      </w:r>
      <w:r>
        <w:rPr>
          <w:rFonts w:asciiTheme="minorEastAsia" w:hAnsiTheme="minorEastAsia" w:eastAsiaTheme="minorEastAsia"/>
          <w:sz w:val="24"/>
          <w:szCs w:val="24"/>
        </w:rPr>
        <w:t>地点、时间：采购人指定地点，</w:t>
      </w:r>
      <w:r>
        <w:rPr>
          <w:rFonts w:hint="eastAsia" w:asciiTheme="minorEastAsia" w:hAnsiTheme="minorEastAsia" w:eastAsiaTheme="minorEastAsia"/>
          <w:sz w:val="24"/>
          <w:szCs w:val="24"/>
        </w:rPr>
        <w:t>服务期1年</w:t>
      </w:r>
      <w:r>
        <w:rPr>
          <w:rFonts w:asciiTheme="minorEastAsia" w:hAnsiTheme="minorEastAsia" w:eastAsiaTheme="minorEastAsia"/>
          <w:sz w:val="24"/>
          <w:szCs w:val="24"/>
        </w:rPr>
        <w:t>。</w:t>
      </w:r>
    </w:p>
    <w:p w14:paraId="3C39083F">
      <w:pPr>
        <w:adjustRightInd w:val="0"/>
        <w:snapToGrid w:val="0"/>
        <w:spacing w:line="400" w:lineRule="exact"/>
        <w:ind w:left="240" w:hanging="240" w:hangingChars="1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 xml:space="preserve">    </w:t>
      </w:r>
      <w:r>
        <w:rPr>
          <w:rFonts w:hint="eastAsia" w:cs="宋体" w:asciiTheme="minorEastAsia" w:hAnsiTheme="minorEastAsia" w:eastAsiaTheme="minorEastAsia"/>
          <w:sz w:val="24"/>
          <w:szCs w:val="24"/>
          <w:lang w:val="en-US" w:eastAsia="zh-CN"/>
        </w:rPr>
        <w:t>3</w:t>
      </w:r>
      <w:r>
        <w:rPr>
          <w:rFonts w:hint="eastAsia" w:cs="宋体" w:asciiTheme="minorEastAsia" w:hAnsiTheme="minorEastAsia" w:eastAsiaTheme="minorEastAsia"/>
          <w:sz w:val="24"/>
          <w:szCs w:val="24"/>
        </w:rPr>
        <w:t>、</w:t>
      </w:r>
      <w:r>
        <w:rPr>
          <w:rFonts w:hint="eastAsia" w:cs="宋体" w:asciiTheme="minorEastAsia" w:hAnsiTheme="minorEastAsia" w:eastAsiaTheme="minorEastAsia"/>
          <w:sz w:val="24"/>
          <w:szCs w:val="24"/>
          <w:lang w:eastAsia="zh-CN"/>
        </w:rPr>
        <w:t>询价费用</w:t>
      </w:r>
      <w:r>
        <w:rPr>
          <w:rFonts w:hint="eastAsia" w:cs="宋体" w:asciiTheme="minorEastAsia" w:hAnsiTheme="minorEastAsia" w:eastAsiaTheme="minorEastAsia"/>
          <w:sz w:val="24"/>
          <w:szCs w:val="24"/>
        </w:rPr>
        <w:t>：包括</w:t>
      </w:r>
      <w:bookmarkStart w:id="2" w:name="_GoBack"/>
      <w:bookmarkEnd w:id="2"/>
      <w:r>
        <w:rPr>
          <w:rFonts w:hint="eastAsia" w:cs="宋体" w:asciiTheme="minorEastAsia" w:hAnsiTheme="minorEastAsia" w:eastAsiaTheme="minorEastAsia"/>
          <w:sz w:val="24"/>
          <w:szCs w:val="24"/>
        </w:rPr>
        <w:t>成本费用、运杂费、保险费、检验与检测费，施工费、与项目相关的咨询服务费（含效果评价、总结报告和技术培训费）、验收费、利税以及交付使用前一切可能发生的所有费用。</w:t>
      </w:r>
    </w:p>
    <w:p w14:paraId="76EA9637">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3132" w:firstLineChars="1300"/>
        <w:jc w:val="left"/>
        <w:rPr>
          <w:rFonts w:hint="eastAsia" w:cs="宋体" w:asciiTheme="minorEastAsia" w:hAnsiTheme="minorEastAsia" w:eastAsiaTheme="minorEastAsia"/>
          <w:b/>
          <w:sz w:val="24"/>
          <w:szCs w:val="24"/>
          <w:lang w:val="en-US" w:eastAsia="zh-CN" w:bidi="zh-CN"/>
        </w:rPr>
      </w:pPr>
    </w:p>
    <w:p w14:paraId="2F95D572">
      <w:pPr>
        <w:rPr>
          <w:rFonts w:hint="eastAsia" w:cs="宋体" w:asciiTheme="minorEastAsia" w:hAnsiTheme="minorEastAsia" w:eastAsiaTheme="minorEastAsia"/>
          <w:b/>
          <w:sz w:val="36"/>
          <w:szCs w:val="36"/>
          <w:lang w:val="en-US" w:eastAsia="zh-CN" w:bidi="zh-CN"/>
        </w:rPr>
      </w:pPr>
      <w:r>
        <w:rPr>
          <w:rFonts w:hint="eastAsia" w:cs="宋体" w:asciiTheme="minorEastAsia" w:hAnsiTheme="minorEastAsia" w:eastAsiaTheme="minorEastAsia"/>
          <w:b/>
          <w:sz w:val="36"/>
          <w:szCs w:val="36"/>
          <w:lang w:val="en-US" w:eastAsia="zh-CN" w:bidi="zh-CN"/>
        </w:rPr>
        <w:br w:type="page"/>
      </w:r>
    </w:p>
    <w:p w14:paraId="32EB527A">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left"/>
        <w:rPr>
          <w:rFonts w:hint="eastAsia" w:cs="宋体" w:asciiTheme="minorEastAsia" w:hAnsiTheme="minorEastAsia" w:eastAsiaTheme="minorEastAsia"/>
          <w:b/>
          <w:sz w:val="24"/>
          <w:szCs w:val="24"/>
          <w:lang w:val="en-US" w:eastAsia="zh-CN" w:bidi="zh-CN"/>
        </w:rPr>
      </w:pPr>
      <w:r>
        <w:rPr>
          <w:rFonts w:hint="eastAsia" w:cs="宋体" w:asciiTheme="minorEastAsia" w:hAnsiTheme="minorEastAsia" w:eastAsiaTheme="minorEastAsia"/>
          <w:b/>
          <w:sz w:val="36"/>
          <w:szCs w:val="36"/>
          <w:lang w:val="en-US" w:eastAsia="zh-CN" w:bidi="zh-CN"/>
        </w:rPr>
        <w:t>附件：</w:t>
      </w:r>
    </w:p>
    <w:p w14:paraId="417CC49D">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3132" w:firstLineChars="1300"/>
        <w:jc w:val="left"/>
        <w:rPr>
          <w:rFonts w:hint="eastAsia" w:ascii="黑体" w:hAnsi="黑体" w:eastAsia="黑体" w:cs="黑体"/>
          <w:b w:val="0"/>
          <w:bCs w:val="0"/>
          <w:spacing w:val="0"/>
          <w:sz w:val="52"/>
          <w:szCs w:val="52"/>
          <w:lang w:val="en-US" w:eastAsia="zh-CN"/>
        </w:rPr>
      </w:pPr>
      <w:r>
        <w:rPr>
          <w:rFonts w:hint="eastAsia" w:cs="宋体" w:asciiTheme="minorEastAsia" w:hAnsiTheme="minorEastAsia" w:eastAsiaTheme="minorEastAsia"/>
          <w:b/>
          <w:sz w:val="24"/>
          <w:szCs w:val="24"/>
          <w:lang w:val="en-US" w:eastAsia="zh-CN" w:bidi="zh-CN"/>
        </w:rPr>
        <w:t xml:space="preserve">     </w:t>
      </w:r>
      <w:r>
        <w:rPr>
          <w:rFonts w:hint="eastAsia" w:ascii="黑体" w:hAnsi="黑体" w:eastAsia="黑体" w:cs="黑体"/>
          <w:b w:val="0"/>
          <w:bCs w:val="0"/>
          <w:spacing w:val="0"/>
          <w:sz w:val="52"/>
          <w:szCs w:val="52"/>
          <w:lang w:val="en-US" w:eastAsia="zh-CN"/>
        </w:rPr>
        <w:t>报 价  表</w:t>
      </w:r>
    </w:p>
    <w:p w14:paraId="749A5DC7">
      <w:pPr>
        <w:pStyle w:val="1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left"/>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公司（盖章）：</w:t>
      </w:r>
    </w:p>
    <w:tbl>
      <w:tblPr>
        <w:tblStyle w:val="15"/>
        <w:tblW w:w="49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9"/>
        <w:gridCol w:w="841"/>
        <w:gridCol w:w="1893"/>
        <w:gridCol w:w="1772"/>
        <w:gridCol w:w="876"/>
        <w:gridCol w:w="1047"/>
        <w:gridCol w:w="2590"/>
      </w:tblGrid>
      <w:tr w14:paraId="5BC50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4" w:type="pct"/>
            <w:tcBorders>
              <w:top w:val="single" w:color="000000" w:sz="4" w:space="0"/>
              <w:left w:val="single" w:color="000000" w:sz="4" w:space="0"/>
              <w:bottom w:val="nil"/>
              <w:right w:val="single" w:color="000000" w:sz="4" w:space="0"/>
            </w:tcBorders>
            <w:shd w:val="clear" w:color="auto" w:fill="D7D7D7"/>
            <w:noWrap w:val="0"/>
            <w:vAlign w:val="center"/>
          </w:tcPr>
          <w:p w14:paraId="517A67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432" w:type="pct"/>
            <w:tcBorders>
              <w:top w:val="single" w:color="000000" w:sz="4" w:space="0"/>
              <w:left w:val="single" w:color="000000" w:sz="4" w:space="0"/>
              <w:bottom w:val="nil"/>
              <w:right w:val="single" w:color="000000" w:sz="4" w:space="0"/>
            </w:tcBorders>
            <w:shd w:val="clear" w:color="auto" w:fill="D7D7D7"/>
            <w:noWrap w:val="0"/>
            <w:vAlign w:val="center"/>
          </w:tcPr>
          <w:p w14:paraId="2948E0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w:t>
            </w:r>
          </w:p>
        </w:tc>
        <w:tc>
          <w:tcPr>
            <w:tcW w:w="972"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346366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品名</w:t>
            </w:r>
          </w:p>
        </w:tc>
        <w:tc>
          <w:tcPr>
            <w:tcW w:w="910"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285B50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w:t>
            </w:r>
          </w:p>
        </w:tc>
        <w:tc>
          <w:tcPr>
            <w:tcW w:w="450"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0B179A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538"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516070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w:t>
            </w:r>
          </w:p>
        </w:tc>
        <w:tc>
          <w:tcPr>
            <w:tcW w:w="1330" w:type="pct"/>
            <w:tcBorders>
              <w:top w:val="single" w:color="000000" w:sz="4" w:space="0"/>
              <w:left w:val="single" w:color="000000" w:sz="4" w:space="0"/>
              <w:bottom w:val="single" w:color="000000" w:sz="4" w:space="0"/>
              <w:right w:val="single" w:color="000000" w:sz="4" w:space="0"/>
            </w:tcBorders>
            <w:shd w:val="clear" w:color="auto" w:fill="D7D7D7"/>
            <w:noWrap w:val="0"/>
            <w:vAlign w:val="center"/>
          </w:tcPr>
          <w:p w14:paraId="009586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报价</w:t>
            </w:r>
          </w:p>
        </w:tc>
      </w:tr>
      <w:tr w14:paraId="55EA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567515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537CE2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灭鼠费用</w:t>
            </w:r>
          </w:p>
        </w:tc>
        <w:tc>
          <w:tcPr>
            <w:tcW w:w="972" w:type="pct"/>
            <w:tcBorders>
              <w:top w:val="single" w:color="000000" w:sz="4" w:space="0"/>
              <w:left w:val="nil"/>
              <w:bottom w:val="nil"/>
              <w:right w:val="single" w:color="000000" w:sz="4" w:space="0"/>
            </w:tcBorders>
            <w:noWrap w:val="0"/>
            <w:vAlign w:val="center"/>
          </w:tcPr>
          <w:p w14:paraId="5CCF8F1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★0.005%溴鼠灵毒饵</w:t>
            </w:r>
          </w:p>
        </w:tc>
        <w:tc>
          <w:tcPr>
            <w:tcW w:w="910" w:type="pct"/>
            <w:tcBorders>
              <w:top w:val="single" w:color="000000" w:sz="4" w:space="0"/>
              <w:left w:val="single" w:color="000000" w:sz="4" w:space="0"/>
              <w:bottom w:val="nil"/>
              <w:right w:val="single" w:color="000000" w:sz="4" w:space="0"/>
            </w:tcBorders>
            <w:noWrap w:val="0"/>
            <w:vAlign w:val="center"/>
          </w:tcPr>
          <w:p w14:paraId="7F5968C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20kg/袋</w:t>
            </w:r>
          </w:p>
        </w:tc>
        <w:tc>
          <w:tcPr>
            <w:tcW w:w="450" w:type="pct"/>
            <w:tcBorders>
              <w:top w:val="single" w:color="000000" w:sz="4" w:space="0"/>
              <w:left w:val="single" w:color="000000" w:sz="4" w:space="0"/>
              <w:bottom w:val="nil"/>
              <w:right w:val="single" w:color="000000" w:sz="4" w:space="0"/>
            </w:tcBorders>
            <w:noWrap w:val="0"/>
            <w:vAlign w:val="center"/>
          </w:tcPr>
          <w:p w14:paraId="648949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kg</w:t>
            </w:r>
          </w:p>
        </w:tc>
        <w:tc>
          <w:tcPr>
            <w:tcW w:w="538" w:type="pct"/>
            <w:tcBorders>
              <w:top w:val="single" w:color="000000" w:sz="4" w:space="0"/>
              <w:left w:val="single" w:color="000000" w:sz="4" w:space="0"/>
              <w:bottom w:val="nil"/>
              <w:right w:val="single" w:color="000000" w:sz="4" w:space="0"/>
            </w:tcBorders>
            <w:noWrap w:val="0"/>
            <w:vAlign w:val="center"/>
          </w:tcPr>
          <w:p w14:paraId="10A7F8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4700</w:t>
            </w:r>
          </w:p>
        </w:tc>
        <w:tc>
          <w:tcPr>
            <w:tcW w:w="1330" w:type="pct"/>
            <w:tcBorders>
              <w:top w:val="single" w:color="000000" w:sz="4" w:space="0"/>
              <w:left w:val="single" w:color="000000" w:sz="4" w:space="0"/>
              <w:bottom w:val="nil"/>
              <w:right w:val="single" w:color="000000" w:sz="4" w:space="0"/>
            </w:tcBorders>
            <w:noWrap w:val="0"/>
            <w:vAlign w:val="center"/>
          </w:tcPr>
          <w:p w14:paraId="33232E1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1674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F662406">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7B528E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nil"/>
              <w:bottom w:val="nil"/>
              <w:right w:val="single" w:color="000000" w:sz="4" w:space="0"/>
            </w:tcBorders>
            <w:noWrap w:val="0"/>
            <w:vAlign w:val="center"/>
          </w:tcPr>
          <w:p w14:paraId="13635B0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★0.005%溴鼠灵腊块</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040098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10kg/件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E60F7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kg</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3B804A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722D176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3F3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BE03C01">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B1A03FD">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nil"/>
              <w:bottom w:val="single" w:color="000000" w:sz="4" w:space="0"/>
              <w:right w:val="single" w:color="000000" w:sz="4" w:space="0"/>
            </w:tcBorders>
            <w:noWrap w:val="0"/>
            <w:vAlign w:val="center"/>
          </w:tcPr>
          <w:p w14:paraId="74FB0F8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粘鼠板</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1B0705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40g*50 张/件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3FF164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6A5DF6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5F5BC1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350F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0B37443E">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EA3729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nil"/>
              <w:bottom w:val="single" w:color="000000" w:sz="4" w:space="0"/>
              <w:right w:val="single" w:color="000000" w:sz="4" w:space="0"/>
            </w:tcBorders>
            <w:noWrap w:val="0"/>
            <w:vAlign w:val="center"/>
          </w:tcPr>
          <w:p w14:paraId="4AC42A6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毒饵盒(水泥或陶瓷)</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14BC47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30cm*12cm*12cm（孔径 8cm）</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5A5D76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127DD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6EF4AD6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68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nil"/>
              <w:left w:val="single" w:color="000000" w:sz="4" w:space="0"/>
              <w:bottom w:val="single" w:color="000000" w:sz="4" w:space="0"/>
              <w:right w:val="single" w:color="000000" w:sz="4" w:space="0"/>
            </w:tcBorders>
            <w:noWrap w:val="0"/>
            <w:vAlign w:val="center"/>
          </w:tcPr>
          <w:p w14:paraId="0F76F8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w:t>
            </w:r>
          </w:p>
        </w:tc>
        <w:tc>
          <w:tcPr>
            <w:tcW w:w="432" w:type="pct"/>
            <w:vMerge w:val="restart"/>
            <w:tcBorders>
              <w:top w:val="nil"/>
              <w:left w:val="single" w:color="000000" w:sz="4" w:space="0"/>
              <w:bottom w:val="single" w:color="000000" w:sz="4" w:space="0"/>
              <w:right w:val="single" w:color="000000" w:sz="4" w:space="0"/>
            </w:tcBorders>
            <w:noWrap w:val="0"/>
            <w:vAlign w:val="center"/>
          </w:tcPr>
          <w:p w14:paraId="6B25D7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灭蟑费用</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0E8190E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★杀蟑饵剂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6F620F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 盒*50 包</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7A8241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82936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0491F9D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1424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nil"/>
              <w:left w:val="single" w:color="000000" w:sz="4" w:space="0"/>
              <w:bottom w:val="single" w:color="000000" w:sz="4" w:space="0"/>
              <w:right w:val="single" w:color="000000" w:sz="4" w:space="0"/>
            </w:tcBorders>
            <w:noWrap w:val="0"/>
            <w:vAlign w:val="center"/>
          </w:tcPr>
          <w:p w14:paraId="4E7A867A">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nil"/>
              <w:left w:val="single" w:color="000000" w:sz="4" w:space="0"/>
              <w:bottom w:val="single" w:color="000000" w:sz="4" w:space="0"/>
              <w:right w:val="single" w:color="000000" w:sz="4" w:space="0"/>
            </w:tcBorders>
            <w:noWrap w:val="0"/>
            <w:vAlign w:val="center"/>
          </w:tcPr>
          <w:p w14:paraId="4771F5F6">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1F5EE01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★0.05%氟虫腈杀蟑胶饵（针剂）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227FE2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5g*200 支</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484FA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38EAD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1050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6AF034B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5D1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nil"/>
              <w:left w:val="single" w:color="000000" w:sz="4" w:space="0"/>
              <w:bottom w:val="single" w:color="000000" w:sz="4" w:space="0"/>
              <w:right w:val="single" w:color="000000" w:sz="4" w:space="0"/>
            </w:tcBorders>
            <w:noWrap w:val="0"/>
            <w:vAlign w:val="center"/>
          </w:tcPr>
          <w:p w14:paraId="0DE10264">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nil"/>
              <w:left w:val="single" w:color="000000" w:sz="4" w:space="0"/>
              <w:bottom w:val="single" w:color="000000" w:sz="4" w:space="0"/>
              <w:right w:val="single" w:color="000000" w:sz="4" w:space="0"/>
            </w:tcBorders>
            <w:noWrap w:val="0"/>
            <w:vAlign w:val="center"/>
          </w:tcPr>
          <w:p w14:paraId="3A4FCC0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25C009B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★0.05%氟虫腈杀蟑胶饵（方便贴）</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4021FE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 粒*200 盒</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626515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EAAB2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32163E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A350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nil"/>
              <w:left w:val="single" w:color="000000" w:sz="4" w:space="0"/>
              <w:bottom w:val="single" w:color="000000" w:sz="4" w:space="0"/>
              <w:right w:val="single" w:color="000000" w:sz="4" w:space="0"/>
            </w:tcBorders>
            <w:noWrap w:val="0"/>
            <w:vAlign w:val="center"/>
          </w:tcPr>
          <w:p w14:paraId="55EC7332">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nil"/>
              <w:left w:val="single" w:color="000000" w:sz="4" w:space="0"/>
              <w:bottom w:val="single" w:color="000000" w:sz="4" w:space="0"/>
              <w:right w:val="single" w:color="000000" w:sz="4" w:space="0"/>
            </w:tcBorders>
            <w:noWrap w:val="0"/>
            <w:vAlign w:val="center"/>
          </w:tcPr>
          <w:p w14:paraId="3D8B5DBC">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36A385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★2.5%高氯残杀威热(烟雾剂)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2A3029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5L*4 桶/件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56D19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kg</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23B5D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85E2FD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422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41969B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2D3E22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灭蝇药品</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479F54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★杀蝇饵剂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105FA7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 盒*50 包</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ECD45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6C064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4F35297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5DF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18779E0">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4DF8C5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04CED3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粘蝇纸</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0D6A7C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1*500 张/件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BEEE5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46460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7A147B5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3C7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0E263AE5">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528A5C">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2A3457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捕蝇笼（套装）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18CBF2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1*24 个/件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6F6BD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F7C6F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716F51B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9FC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50077E5">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8FBDDE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8B15B3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★10%高效氯氢菊脂悬浮剂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D9BBA6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1L*10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5EAE2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C96F4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6B724C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7CC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79189E">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DB63E56">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818030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★10%烯丙氯菊乳油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CDD725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500m*20 瓶/件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F4DAB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16F3B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3E1DFA2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B5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7AD3A8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78EC16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灭蚊药品</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D248DB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★15%顺氯.残杀威县浮剂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7B1D50C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1L*10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E56AB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48F29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502E02C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B143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48DF0F1">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449FFC0">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580D16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★5%倍硫磷灭蚊幼缓释剂药包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799143D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5G*2000 包/桶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8C1D5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4364F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41EFBD1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6223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E4383F">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E48944B">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43FC5A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★5%倍硫磷灭蚊幼缓释剂药包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2273437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500G*50 包/桶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D8025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FEB62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B039BE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697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02A3943">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50F52A0C">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0B2B00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★5%氯菊.四氟醚水乳剂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24131A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500ml*20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60A80B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FE488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3BED967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1E6C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819EB55">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E33F121">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0ED5EB9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★2%吡虫啉杀虫粉剂</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D3D1C6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50g*200 袋/件</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25AD8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袋</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2285A6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440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7E9463C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EC6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FD5D0E">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BCCDE7F">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7EE706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★2%吡虫啉杀虫粉剂缓释包</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79EA752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3g*100 袋*20 中包</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743790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AA4A3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6000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56F6D43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C70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E83DDA4">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20554CF">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12E081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★10%烯丙氯菊乳油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3188DE0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500ml*20 瓶/箱</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30B579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4FE487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57B594E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1AF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0B83B4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五</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4F1CB9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城区除“四害 ”动员大会、技术培训班、宣传教育</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60F2436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年度全区除“ 四害 ”工作宣传动员</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9A8161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 次</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6FB675DC">
            <w:pPr>
              <w:jc w:val="center"/>
              <w:rPr>
                <w:rFonts w:hint="eastAsia" w:ascii="宋体" w:hAnsi="宋体" w:eastAsia="宋体" w:cs="宋体"/>
                <w:i w:val="0"/>
                <w:iCs w:val="0"/>
                <w:color w:val="000000"/>
                <w:sz w:val="24"/>
                <w:szCs w:val="24"/>
                <w:highlight w:val="none"/>
                <w:u w:val="none"/>
              </w:rPr>
            </w:pP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81C8F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 次</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E1C595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760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6EB83B6">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5A1C68F2">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C8E673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年度举办一次除"四害"技术培训班</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73F508D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1次</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126726B">
            <w:pPr>
              <w:jc w:val="center"/>
              <w:rPr>
                <w:rFonts w:hint="eastAsia" w:ascii="宋体" w:hAnsi="宋体" w:eastAsia="宋体" w:cs="宋体"/>
                <w:i w:val="0"/>
                <w:iCs w:val="0"/>
                <w:color w:val="000000"/>
                <w:sz w:val="24"/>
                <w:szCs w:val="24"/>
                <w:highlight w:val="none"/>
                <w:u w:val="none"/>
              </w:rPr>
            </w:pP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DB193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1次</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32F026B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8E5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784E737">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D61B70F">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1500A96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社区、居民宣传教育</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5CAF076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 次</w:t>
            </w: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4FC29AE0">
            <w:pPr>
              <w:jc w:val="center"/>
              <w:rPr>
                <w:rFonts w:hint="eastAsia" w:ascii="宋体" w:hAnsi="宋体" w:eastAsia="宋体" w:cs="宋体"/>
                <w:i w:val="0"/>
                <w:iCs w:val="0"/>
                <w:color w:val="000000"/>
                <w:sz w:val="24"/>
                <w:szCs w:val="24"/>
                <w:highlight w:val="none"/>
                <w:u w:val="none"/>
              </w:rPr>
            </w:pP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80CBF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 次</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77B8DF6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A829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7AC72B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六</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766A35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项目管理</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8DA133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办公费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B0ABBA9">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C8536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740564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236785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1136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F8310C2">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A22E43E">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35B0E92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设备折旧</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6721A77D">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0BD0DE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0E973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46A6A9A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C713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DCFE1DA">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AB6648E">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C67DDF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社保及其他保险</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B6F4DE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79030B61">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5ED809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1E7AD48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0DE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0661565C">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CEC4C33">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247C214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意外保险</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135BF7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24995278">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8273D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75F05C5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770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08579F">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B02D2AC">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58131D7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管理人员</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7B4B8CE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6DE88A6A">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6C5F4F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041A036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7D2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206EEC2">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3E48D33">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4364898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技术人员</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93A09E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1F53D85E">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08C9C8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3DFCCAE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883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0FF231FF">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4EA08C0">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3EF5177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餐费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0E8AFB3A">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771825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1BD02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4D8A765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FDA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5A97C8">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D41D618">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323816F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税费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E91AE6F">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5CCB89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56AF469">
            <w:pPr>
              <w:jc w:val="center"/>
              <w:rPr>
                <w:rFonts w:hint="eastAsia" w:ascii="宋体" w:hAnsi="宋体" w:eastAsia="宋体" w:cs="宋体"/>
                <w:i w:val="0"/>
                <w:iCs w:val="0"/>
                <w:color w:val="000000"/>
                <w:sz w:val="24"/>
                <w:szCs w:val="24"/>
                <w:highlight w:val="none"/>
                <w:u w:val="none"/>
              </w:rPr>
            </w:pP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5CC9E1B1">
            <w:pPr>
              <w:rPr>
                <w:rFonts w:hint="eastAsia" w:ascii="宋体" w:hAnsi="宋体" w:eastAsia="宋体" w:cs="宋体"/>
                <w:i w:val="0"/>
                <w:iCs w:val="0"/>
                <w:color w:val="000000"/>
                <w:sz w:val="24"/>
                <w:szCs w:val="24"/>
                <w:highlight w:val="none"/>
                <w:u w:val="none"/>
                <w:lang w:val="en-US" w:eastAsia="zh-CN"/>
              </w:rPr>
            </w:pPr>
          </w:p>
        </w:tc>
      </w:tr>
      <w:tr w14:paraId="5A20B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restart"/>
            <w:tcBorders>
              <w:top w:val="single" w:color="000000" w:sz="4" w:space="0"/>
              <w:left w:val="single" w:color="000000" w:sz="4" w:space="0"/>
              <w:bottom w:val="single" w:color="000000" w:sz="4" w:space="0"/>
              <w:right w:val="single" w:color="000000" w:sz="4" w:space="0"/>
            </w:tcBorders>
            <w:noWrap w:val="0"/>
            <w:vAlign w:val="center"/>
          </w:tcPr>
          <w:p w14:paraId="7E94B7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七</w:t>
            </w:r>
          </w:p>
        </w:tc>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14:paraId="54720C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交通费用</w:t>
            </w: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77DC019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汽油费、修理费、车辆保险费</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4ED65544">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5A90C3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1C872D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34A76A6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FB5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18B2176">
            <w:pPr>
              <w:jc w:val="center"/>
              <w:rPr>
                <w:rFonts w:hint="eastAsia" w:ascii="宋体" w:hAnsi="宋体" w:eastAsia="宋体" w:cs="宋体"/>
                <w:i w:val="0"/>
                <w:iCs w:val="0"/>
                <w:color w:val="000000"/>
                <w:sz w:val="24"/>
                <w:szCs w:val="24"/>
                <w:highlight w:val="none"/>
                <w:u w:val="none"/>
              </w:rPr>
            </w:pPr>
          </w:p>
        </w:tc>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5994FBB">
            <w:pPr>
              <w:jc w:val="center"/>
              <w:rPr>
                <w:rFonts w:hint="eastAsia" w:ascii="宋体" w:hAnsi="宋体" w:eastAsia="宋体" w:cs="宋体"/>
                <w:i w:val="0"/>
                <w:iCs w:val="0"/>
                <w:color w:val="000000"/>
                <w:sz w:val="24"/>
                <w:szCs w:val="24"/>
                <w:highlight w:val="none"/>
                <w:u w:val="none"/>
              </w:rPr>
            </w:pPr>
          </w:p>
        </w:tc>
        <w:tc>
          <w:tcPr>
            <w:tcW w:w="972" w:type="pct"/>
            <w:tcBorders>
              <w:top w:val="single" w:color="000000" w:sz="4" w:space="0"/>
              <w:left w:val="single" w:color="000000" w:sz="4" w:space="0"/>
              <w:bottom w:val="single" w:color="000000" w:sz="4" w:space="0"/>
              <w:right w:val="single" w:color="000000" w:sz="4" w:space="0"/>
            </w:tcBorders>
            <w:noWrap w:val="0"/>
            <w:vAlign w:val="center"/>
          </w:tcPr>
          <w:p w14:paraId="3207BC2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人员差旅补助</w:t>
            </w:r>
          </w:p>
        </w:tc>
        <w:tc>
          <w:tcPr>
            <w:tcW w:w="910" w:type="pct"/>
            <w:tcBorders>
              <w:top w:val="single" w:color="000000" w:sz="4" w:space="0"/>
              <w:left w:val="single" w:color="000000" w:sz="4" w:space="0"/>
              <w:bottom w:val="single" w:color="000000" w:sz="4" w:space="0"/>
              <w:right w:val="single" w:color="000000" w:sz="4" w:space="0"/>
            </w:tcBorders>
            <w:noWrap w:val="0"/>
            <w:vAlign w:val="center"/>
          </w:tcPr>
          <w:p w14:paraId="11D1AEDE">
            <w:pPr>
              <w:rPr>
                <w:rFonts w:hint="eastAsia" w:ascii="宋体" w:hAnsi="宋体" w:eastAsia="宋体" w:cs="宋体"/>
                <w:i w:val="0"/>
                <w:iCs w:val="0"/>
                <w:color w:val="000000"/>
                <w:sz w:val="24"/>
                <w:szCs w:val="24"/>
                <w:highlight w:val="none"/>
                <w:u w:val="none"/>
              </w:rPr>
            </w:pPr>
          </w:p>
        </w:tc>
        <w:tc>
          <w:tcPr>
            <w:tcW w:w="450" w:type="pct"/>
            <w:tcBorders>
              <w:top w:val="single" w:color="000000" w:sz="4" w:space="0"/>
              <w:left w:val="single" w:color="000000" w:sz="4" w:space="0"/>
              <w:bottom w:val="single" w:color="000000" w:sz="4" w:space="0"/>
              <w:right w:val="single" w:color="000000" w:sz="4" w:space="0"/>
            </w:tcBorders>
            <w:noWrap w:val="0"/>
            <w:vAlign w:val="center"/>
          </w:tcPr>
          <w:p w14:paraId="54F991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w:t>
            </w:r>
          </w:p>
        </w:tc>
        <w:tc>
          <w:tcPr>
            <w:tcW w:w="538" w:type="pct"/>
            <w:tcBorders>
              <w:top w:val="single" w:color="000000" w:sz="4" w:space="0"/>
              <w:left w:val="single" w:color="000000" w:sz="4" w:space="0"/>
              <w:bottom w:val="single" w:color="000000" w:sz="4" w:space="0"/>
              <w:right w:val="single" w:color="000000" w:sz="4" w:space="0"/>
            </w:tcBorders>
            <w:noWrap w:val="0"/>
            <w:vAlign w:val="center"/>
          </w:tcPr>
          <w:p w14:paraId="3B71D2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330" w:type="pct"/>
            <w:tcBorders>
              <w:top w:val="single" w:color="000000" w:sz="4" w:space="0"/>
              <w:left w:val="single" w:color="000000" w:sz="4" w:space="0"/>
              <w:bottom w:val="single" w:color="000000" w:sz="4" w:space="0"/>
              <w:right w:val="single" w:color="000000" w:sz="4" w:space="0"/>
            </w:tcBorders>
            <w:noWrap w:val="0"/>
            <w:vAlign w:val="center"/>
          </w:tcPr>
          <w:p w14:paraId="2E20110E">
            <w:pPr>
              <w:rPr>
                <w:rFonts w:hint="eastAsia" w:ascii="宋体" w:hAnsi="宋体" w:eastAsia="宋体" w:cs="宋体"/>
                <w:i w:val="0"/>
                <w:iCs w:val="0"/>
                <w:color w:val="000000"/>
                <w:kern w:val="0"/>
                <w:sz w:val="24"/>
                <w:szCs w:val="24"/>
                <w:highlight w:val="none"/>
                <w:u w:val="none"/>
                <w:lang w:val="en-US" w:eastAsia="zh-CN" w:bidi="ar"/>
              </w:rPr>
            </w:pPr>
          </w:p>
        </w:tc>
      </w:tr>
      <w:tr w14:paraId="3956B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000" w:type="pct"/>
            <w:gridSpan w:val="7"/>
            <w:tcBorders>
              <w:top w:val="single" w:color="000000" w:sz="4" w:space="0"/>
              <w:left w:val="single" w:color="000000" w:sz="4" w:space="0"/>
              <w:bottom w:val="single" w:color="000000" w:sz="4" w:space="0"/>
              <w:right w:val="single" w:color="000000" w:sz="4" w:space="0"/>
            </w:tcBorders>
            <w:noWrap w:val="0"/>
            <w:vAlign w:val="center"/>
          </w:tcPr>
          <w:p w14:paraId="2B4A9232">
            <w:pPr>
              <w:widowControl/>
              <w:spacing w:line="400" w:lineRule="exact"/>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报价合计：</w:t>
            </w:r>
          </w:p>
        </w:tc>
      </w:tr>
    </w:tbl>
    <w:p w14:paraId="28E5B04D">
      <w:pPr>
        <w:pStyle w:val="2"/>
        <w:jc w:val="both"/>
        <w:rPr>
          <w:rFonts w:asciiTheme="minorEastAsia" w:hAnsiTheme="minorEastAsia" w:eastAsiaTheme="minorEastAsia"/>
        </w:rPr>
      </w:pPr>
      <w:bookmarkStart w:id="1" w:name="_bookmark28"/>
      <w:bookmarkEnd w:id="1"/>
    </w:p>
    <w:sectPr>
      <w:footerReference r:id="rId3" w:type="default"/>
      <w:pgSz w:w="11910" w:h="16840"/>
      <w:pgMar w:top="1418" w:right="1134" w:bottom="1134" w:left="1247" w:header="0" w:footer="91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DD3D8">
    <w:pPr>
      <w:pStyle w:val="7"/>
      <w:spacing w:line="14" w:lineRule="auto"/>
      <w:rPr>
        <w:sz w:val="12"/>
      </w:rPr>
    </w:pPr>
    <w:r>
      <mc:AlternateContent>
        <mc:Choice Requires="wps">
          <w:drawing>
            <wp:anchor distT="0" distB="0" distL="114300" distR="114300" simplePos="0" relativeHeight="251659264" behindDoc="1" locked="0" layoutInCell="1" allowOverlap="1">
              <wp:simplePos x="0" y="0"/>
              <wp:positionH relativeFrom="page">
                <wp:posOffset>3698240</wp:posOffset>
              </wp:positionH>
              <wp:positionV relativeFrom="page">
                <wp:posOffset>9921875</wp:posOffset>
              </wp:positionV>
              <wp:extent cx="167005" cy="152400"/>
              <wp:effectExtent l="0" t="0" r="0" b="0"/>
              <wp:wrapNone/>
              <wp:docPr id="10" name="文本框 6"/>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14:paraId="5FE680E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lIns="0" tIns="0" rIns="0" bIns="0" upright="1"/>
                  </wps:wsp>
                </a:graphicData>
              </a:graphic>
            </wp:anchor>
          </w:drawing>
        </mc:Choice>
        <mc:Fallback>
          <w:pict>
            <v:shape id="文本框 6" o:spid="_x0000_s1026" o:spt="202" type="#_x0000_t202" style="position:absolute;left:0pt;margin-left:291.2pt;margin-top:781.25pt;height:12pt;width:13.15pt;mso-position-horizontal-relative:page;mso-position-vertical-relative:page;z-index:-251657216;mso-width-relative:page;mso-height-relative:page;" filled="f" stroked="f" coordsize="21600,21600" o:gfxdata="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7DzXbAAAADQEAAA8AAAAAAAAAAQAgAAAAIgAAAGRycy9kb3ducmV2Lnht&#10;bFBLAQIUABQAAAAIAIdO4kAcX+cKvQEAAIADAAAOAAAAAAAAAAEAIAAAACoBAABkcnMvZTJvRG9j&#10;LnhtbFBLBQYAAAAABgAGAFkBAABZBQAAAAA=&#10;">
              <v:fill on="f" focussize="0,0"/>
              <v:stroke on="f"/>
              <v:imagedata o:title=""/>
              <o:lock v:ext="edit" aspectratio="f"/>
              <v:textbox inset="0mm,0mm,0mm,0mm">
                <w:txbxContent>
                  <w:p w14:paraId="5FE680E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5OTc2ZjBiZTM0NzM2MDllY2E2NzNhOGU0YjA3OWQifQ=="/>
  </w:docVars>
  <w:rsids>
    <w:rsidRoot w:val="005E6F7F"/>
    <w:rsid w:val="000530BF"/>
    <w:rsid w:val="000662EA"/>
    <w:rsid w:val="000730E2"/>
    <w:rsid w:val="000B3961"/>
    <w:rsid w:val="000C7F96"/>
    <w:rsid w:val="000F77EA"/>
    <w:rsid w:val="001343A0"/>
    <w:rsid w:val="001C2132"/>
    <w:rsid w:val="001D2320"/>
    <w:rsid w:val="001F309F"/>
    <w:rsid w:val="001F7556"/>
    <w:rsid w:val="002430F4"/>
    <w:rsid w:val="00245764"/>
    <w:rsid w:val="002507F4"/>
    <w:rsid w:val="002549A0"/>
    <w:rsid w:val="00255B7C"/>
    <w:rsid w:val="00276D41"/>
    <w:rsid w:val="00281FCB"/>
    <w:rsid w:val="002E3286"/>
    <w:rsid w:val="00303041"/>
    <w:rsid w:val="003516D8"/>
    <w:rsid w:val="003719D0"/>
    <w:rsid w:val="003B760B"/>
    <w:rsid w:val="003D79A8"/>
    <w:rsid w:val="00402468"/>
    <w:rsid w:val="00403032"/>
    <w:rsid w:val="004070D6"/>
    <w:rsid w:val="004121CE"/>
    <w:rsid w:val="00464C16"/>
    <w:rsid w:val="004B61C6"/>
    <w:rsid w:val="005177C4"/>
    <w:rsid w:val="00563D0C"/>
    <w:rsid w:val="005A345B"/>
    <w:rsid w:val="005B6A60"/>
    <w:rsid w:val="005E6F7F"/>
    <w:rsid w:val="00602BD4"/>
    <w:rsid w:val="0061398A"/>
    <w:rsid w:val="00624592"/>
    <w:rsid w:val="006261E8"/>
    <w:rsid w:val="00646710"/>
    <w:rsid w:val="00647F47"/>
    <w:rsid w:val="00724519"/>
    <w:rsid w:val="0073082D"/>
    <w:rsid w:val="0074719F"/>
    <w:rsid w:val="007C4FC9"/>
    <w:rsid w:val="00822CE1"/>
    <w:rsid w:val="00833F25"/>
    <w:rsid w:val="00861BBF"/>
    <w:rsid w:val="00867997"/>
    <w:rsid w:val="008729EC"/>
    <w:rsid w:val="00882772"/>
    <w:rsid w:val="00931F90"/>
    <w:rsid w:val="009347C0"/>
    <w:rsid w:val="00960AB7"/>
    <w:rsid w:val="009C0CF3"/>
    <w:rsid w:val="009E5A2F"/>
    <w:rsid w:val="009E5D4F"/>
    <w:rsid w:val="009E5E86"/>
    <w:rsid w:val="009F589D"/>
    <w:rsid w:val="00A25B34"/>
    <w:rsid w:val="00A44639"/>
    <w:rsid w:val="00A4776A"/>
    <w:rsid w:val="00A77168"/>
    <w:rsid w:val="00A90020"/>
    <w:rsid w:val="00AD0993"/>
    <w:rsid w:val="00AF28A6"/>
    <w:rsid w:val="00B01C88"/>
    <w:rsid w:val="00B17425"/>
    <w:rsid w:val="00B227DB"/>
    <w:rsid w:val="00B326C8"/>
    <w:rsid w:val="00B94819"/>
    <w:rsid w:val="00B94CE7"/>
    <w:rsid w:val="00BC5453"/>
    <w:rsid w:val="00BC5A7D"/>
    <w:rsid w:val="00C16292"/>
    <w:rsid w:val="00C2124B"/>
    <w:rsid w:val="00C54E0E"/>
    <w:rsid w:val="00C6688B"/>
    <w:rsid w:val="00C870BD"/>
    <w:rsid w:val="00CA1407"/>
    <w:rsid w:val="00CE06E5"/>
    <w:rsid w:val="00CE4075"/>
    <w:rsid w:val="00CF05D8"/>
    <w:rsid w:val="00D114EC"/>
    <w:rsid w:val="00D51D66"/>
    <w:rsid w:val="00D56BC6"/>
    <w:rsid w:val="00D761F1"/>
    <w:rsid w:val="00DA13EE"/>
    <w:rsid w:val="00E07BFB"/>
    <w:rsid w:val="00E415F4"/>
    <w:rsid w:val="00E44051"/>
    <w:rsid w:val="00E652D9"/>
    <w:rsid w:val="00E9030E"/>
    <w:rsid w:val="00E90A50"/>
    <w:rsid w:val="00EB2D09"/>
    <w:rsid w:val="00EB4816"/>
    <w:rsid w:val="00EC0695"/>
    <w:rsid w:val="00EC2A88"/>
    <w:rsid w:val="00EF283C"/>
    <w:rsid w:val="00EF2FE1"/>
    <w:rsid w:val="00F3378C"/>
    <w:rsid w:val="00F71CED"/>
    <w:rsid w:val="00F90C6D"/>
    <w:rsid w:val="00FA4847"/>
    <w:rsid w:val="00FB39E8"/>
    <w:rsid w:val="00FE23E0"/>
    <w:rsid w:val="00FE28BD"/>
    <w:rsid w:val="02B84653"/>
    <w:rsid w:val="04A87F22"/>
    <w:rsid w:val="052443FA"/>
    <w:rsid w:val="05740424"/>
    <w:rsid w:val="05E73C3B"/>
    <w:rsid w:val="064503C0"/>
    <w:rsid w:val="0BBC5467"/>
    <w:rsid w:val="0BDB6D4C"/>
    <w:rsid w:val="0E6F4328"/>
    <w:rsid w:val="0E72389B"/>
    <w:rsid w:val="120C5096"/>
    <w:rsid w:val="13B63692"/>
    <w:rsid w:val="13DC42D9"/>
    <w:rsid w:val="15A74DD6"/>
    <w:rsid w:val="16026CF4"/>
    <w:rsid w:val="17EF7B0A"/>
    <w:rsid w:val="1E6C501C"/>
    <w:rsid w:val="22CD4687"/>
    <w:rsid w:val="25B6068C"/>
    <w:rsid w:val="2A8E0BFF"/>
    <w:rsid w:val="2D0B3789"/>
    <w:rsid w:val="2FCA16DA"/>
    <w:rsid w:val="318E6CBA"/>
    <w:rsid w:val="33925E21"/>
    <w:rsid w:val="33A563BB"/>
    <w:rsid w:val="34525300"/>
    <w:rsid w:val="35134E5D"/>
    <w:rsid w:val="3D0B3DCC"/>
    <w:rsid w:val="3D3C0A9B"/>
    <w:rsid w:val="42111EF0"/>
    <w:rsid w:val="42F2704F"/>
    <w:rsid w:val="448E306F"/>
    <w:rsid w:val="44953E46"/>
    <w:rsid w:val="454A1AA6"/>
    <w:rsid w:val="45B55914"/>
    <w:rsid w:val="483D3308"/>
    <w:rsid w:val="4AC22CBC"/>
    <w:rsid w:val="4BA600B2"/>
    <w:rsid w:val="4F9E5154"/>
    <w:rsid w:val="4FCC246F"/>
    <w:rsid w:val="51F76B62"/>
    <w:rsid w:val="525876CD"/>
    <w:rsid w:val="52DC1778"/>
    <w:rsid w:val="57505D99"/>
    <w:rsid w:val="57D82336"/>
    <w:rsid w:val="593A5116"/>
    <w:rsid w:val="5A552DE1"/>
    <w:rsid w:val="5B6D0709"/>
    <w:rsid w:val="5BDD6F0A"/>
    <w:rsid w:val="6005500C"/>
    <w:rsid w:val="606D500C"/>
    <w:rsid w:val="61371C16"/>
    <w:rsid w:val="61C104F5"/>
    <w:rsid w:val="627E6861"/>
    <w:rsid w:val="63C65328"/>
    <w:rsid w:val="67C450CA"/>
    <w:rsid w:val="69791F18"/>
    <w:rsid w:val="6CBD2466"/>
    <w:rsid w:val="6F922742"/>
    <w:rsid w:val="700A7DEE"/>
    <w:rsid w:val="749F7D37"/>
    <w:rsid w:val="74F243DF"/>
    <w:rsid w:val="785330AB"/>
    <w:rsid w:val="78B03568"/>
    <w:rsid w:val="79006B4C"/>
    <w:rsid w:val="7C4B50D3"/>
    <w:rsid w:val="7CA07641"/>
    <w:rsid w:val="7D0D32AA"/>
    <w:rsid w:val="7E78600C"/>
    <w:rsid w:val="7F406E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jc w:val="center"/>
      <w:outlineLvl w:val="0"/>
    </w:pPr>
    <w:rPr>
      <w:b/>
      <w:bCs/>
      <w:sz w:val="32"/>
      <w:szCs w:val="32"/>
    </w:rPr>
  </w:style>
  <w:style w:type="paragraph" w:styleId="3">
    <w:name w:val="heading 2"/>
    <w:basedOn w:val="1"/>
    <w:next w:val="1"/>
    <w:qFormat/>
    <w:uiPriority w:val="1"/>
    <w:pPr>
      <w:ind w:left="108"/>
      <w:outlineLvl w:val="1"/>
    </w:pPr>
    <w:rPr>
      <w:sz w:val="28"/>
      <w:szCs w:val="28"/>
    </w:rPr>
  </w:style>
  <w:style w:type="paragraph" w:styleId="4">
    <w:name w:val="heading 3"/>
    <w:basedOn w:val="1"/>
    <w:next w:val="1"/>
    <w:qFormat/>
    <w:uiPriority w:val="1"/>
    <w:pPr>
      <w:spacing w:before="50"/>
      <w:ind w:left="213" w:right="4191"/>
      <w:outlineLvl w:val="2"/>
    </w:pPr>
    <w:rPr>
      <w:b/>
      <w:bCs/>
      <w:i/>
      <w:sz w:val="25"/>
      <w:szCs w:val="25"/>
    </w:rPr>
  </w:style>
  <w:style w:type="paragraph" w:styleId="5">
    <w:name w:val="heading 4"/>
    <w:basedOn w:val="1"/>
    <w:next w:val="1"/>
    <w:qFormat/>
    <w:uiPriority w:val="1"/>
    <w:pPr>
      <w:spacing w:before="79"/>
      <w:ind w:left="213"/>
      <w:outlineLvl w:val="3"/>
    </w:pPr>
    <w:rPr>
      <w:i/>
      <w:sz w:val="25"/>
      <w:szCs w:val="25"/>
    </w:rPr>
  </w:style>
  <w:style w:type="paragraph" w:styleId="6">
    <w:name w:val="heading 5"/>
    <w:basedOn w:val="1"/>
    <w:next w:val="1"/>
    <w:qFormat/>
    <w:uiPriority w:val="1"/>
    <w:pPr>
      <w:ind w:left="698" w:hanging="486"/>
      <w:outlineLvl w:val="4"/>
    </w:pPr>
    <w:rPr>
      <w:b/>
      <w:bCs/>
      <w:sz w:val="24"/>
      <w:szCs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Body Text"/>
    <w:basedOn w:val="1"/>
    <w:next w:val="1"/>
    <w:qFormat/>
    <w:uiPriority w:val="1"/>
    <w:rPr>
      <w:sz w:val="24"/>
      <w:szCs w:val="24"/>
    </w:rPr>
  </w:style>
  <w:style w:type="paragraph" w:styleId="8">
    <w:name w:val="Body Text Indent"/>
    <w:basedOn w:val="1"/>
    <w:qFormat/>
    <w:uiPriority w:val="0"/>
    <w:pPr>
      <w:adjustRightInd w:val="0"/>
      <w:spacing w:line="360" w:lineRule="auto"/>
      <w:ind w:firstLine="480"/>
    </w:pPr>
    <w:rPr>
      <w:rFonts w:ascii="宋体"/>
      <w:sz w:val="24"/>
    </w:rPr>
  </w:style>
  <w:style w:type="paragraph" w:styleId="9">
    <w:name w:val="Balloon Text"/>
    <w:basedOn w:val="1"/>
    <w:link w:val="37"/>
    <w:qFormat/>
    <w:uiPriority w:val="0"/>
    <w:rPr>
      <w:sz w:val="18"/>
      <w:szCs w:val="18"/>
    </w:rPr>
  </w:style>
  <w:style w:type="paragraph" w:styleId="10">
    <w:name w:val="footer"/>
    <w:basedOn w:val="1"/>
    <w:link w:val="36"/>
    <w:qFormat/>
    <w:uiPriority w:val="0"/>
    <w:pPr>
      <w:tabs>
        <w:tab w:val="center" w:pos="4153"/>
        <w:tab w:val="right" w:pos="8306"/>
      </w:tabs>
      <w:snapToGrid w:val="0"/>
    </w:pPr>
    <w:rPr>
      <w:sz w:val="18"/>
      <w:szCs w:val="18"/>
    </w:rPr>
  </w:style>
  <w:style w:type="paragraph" w:styleId="11">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91"/>
      <w:ind w:left="633"/>
    </w:pPr>
    <w:rPr>
      <w:sz w:val="21"/>
      <w:szCs w:val="21"/>
    </w:rPr>
  </w:style>
  <w:style w:type="paragraph" w:styleId="13">
    <w:name w:val="Normal (Web)"/>
    <w:basedOn w:val="1"/>
    <w:qFormat/>
    <w:uiPriority w:val="0"/>
    <w:rPr>
      <w:rFonts w:cs="Times New Roman"/>
      <w:sz w:val="24"/>
      <w:lang w:val="en-US" w:bidi="ar-SA"/>
    </w:rPr>
  </w:style>
  <w:style w:type="paragraph" w:styleId="14">
    <w:name w:val="Body Text First Indent 2"/>
    <w:basedOn w:val="8"/>
    <w:qFormat/>
    <w:uiPriority w:val="0"/>
    <w:pPr>
      <w:autoSpaceDE/>
      <w:autoSpaceDN/>
      <w:adjustRightInd/>
      <w:snapToGrid w:val="0"/>
      <w:spacing w:after="120"/>
      <w:ind w:left="420" w:firstLine="200" w:firstLineChars="200"/>
      <w:jc w:val="both"/>
    </w:pPr>
    <w:rPr>
      <w:rFonts w:ascii="Tahoma" w:hAnsi="Tahoma"/>
      <w:kern w:val="2"/>
      <w:sz w:val="28"/>
      <w:szCs w:val="24"/>
    </w:rPr>
  </w:style>
  <w:style w:type="character" w:styleId="17">
    <w:name w:val="Strong"/>
    <w:basedOn w:val="16"/>
    <w:qFormat/>
    <w:uiPriority w:val="0"/>
  </w:style>
  <w:style w:type="character" w:styleId="18">
    <w:name w:val="page number"/>
    <w:basedOn w:val="16"/>
    <w:qFormat/>
    <w:uiPriority w:val="0"/>
  </w:style>
  <w:style w:type="character" w:styleId="19">
    <w:name w:val="FollowedHyperlink"/>
    <w:basedOn w:val="16"/>
    <w:qFormat/>
    <w:uiPriority w:val="0"/>
    <w:rPr>
      <w:color w:val="800080"/>
      <w:u w:val="none"/>
    </w:rPr>
  </w:style>
  <w:style w:type="character" w:styleId="20">
    <w:name w:val="Emphasis"/>
    <w:basedOn w:val="16"/>
    <w:qFormat/>
    <w:uiPriority w:val="0"/>
  </w:style>
  <w:style w:type="character" w:styleId="21">
    <w:name w:val="HTML Definition"/>
    <w:basedOn w:val="16"/>
    <w:qFormat/>
    <w:uiPriority w:val="0"/>
  </w:style>
  <w:style w:type="character" w:styleId="22">
    <w:name w:val="HTML Typewriter"/>
    <w:basedOn w:val="16"/>
    <w:qFormat/>
    <w:uiPriority w:val="0"/>
    <w:rPr>
      <w:rFonts w:hint="default" w:ascii="monospace" w:hAnsi="monospace" w:eastAsia="monospace" w:cs="monospace"/>
      <w:sz w:val="20"/>
    </w:rPr>
  </w:style>
  <w:style w:type="character" w:styleId="23">
    <w:name w:val="HTML Acronym"/>
    <w:basedOn w:val="16"/>
    <w:qFormat/>
    <w:uiPriority w:val="0"/>
  </w:style>
  <w:style w:type="character" w:styleId="24">
    <w:name w:val="HTML Variable"/>
    <w:basedOn w:val="16"/>
    <w:qFormat/>
    <w:uiPriority w:val="0"/>
  </w:style>
  <w:style w:type="character" w:styleId="25">
    <w:name w:val="Hyperlink"/>
    <w:basedOn w:val="16"/>
    <w:qFormat/>
    <w:uiPriority w:val="0"/>
    <w:rPr>
      <w:color w:val="0000FF"/>
      <w:u w:val="none"/>
    </w:rPr>
  </w:style>
  <w:style w:type="character" w:styleId="26">
    <w:name w:val="HTML Code"/>
    <w:basedOn w:val="16"/>
    <w:qFormat/>
    <w:uiPriority w:val="0"/>
    <w:rPr>
      <w:rFonts w:ascii="monospace" w:hAnsi="monospace" w:eastAsia="monospace" w:cs="monospace"/>
      <w:sz w:val="20"/>
    </w:rPr>
  </w:style>
  <w:style w:type="character" w:styleId="27">
    <w:name w:val="HTML Cite"/>
    <w:basedOn w:val="16"/>
    <w:qFormat/>
    <w:uiPriority w:val="0"/>
  </w:style>
  <w:style w:type="character" w:styleId="28">
    <w:name w:val="HTML Keyboard"/>
    <w:basedOn w:val="16"/>
    <w:qFormat/>
    <w:uiPriority w:val="0"/>
    <w:rPr>
      <w:rFonts w:hint="default" w:ascii="monospace" w:hAnsi="monospace" w:eastAsia="monospace" w:cs="monospace"/>
      <w:sz w:val="20"/>
    </w:rPr>
  </w:style>
  <w:style w:type="character" w:styleId="29">
    <w:name w:val="HTML Sample"/>
    <w:basedOn w:val="16"/>
    <w:qFormat/>
    <w:uiPriority w:val="0"/>
    <w:rPr>
      <w:rFonts w:hint="default" w:ascii="monospace" w:hAnsi="monospace" w:eastAsia="monospace" w:cs="monospace"/>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813"/>
    </w:pPr>
  </w:style>
  <w:style w:type="paragraph" w:customStyle="1" w:styleId="32">
    <w:name w:val="Table Paragraph"/>
    <w:basedOn w:val="1"/>
    <w:qFormat/>
    <w:uiPriority w:val="1"/>
  </w:style>
  <w:style w:type="character" w:customStyle="1" w:styleId="33">
    <w:name w:val="layui-layer-tabnow"/>
    <w:basedOn w:val="16"/>
    <w:qFormat/>
    <w:uiPriority w:val="0"/>
    <w:rPr>
      <w:bdr w:val="single" w:color="CCCCCC" w:sz="4" w:space="0"/>
      <w:shd w:val="clear" w:color="auto" w:fill="FFFFFF"/>
    </w:rPr>
  </w:style>
  <w:style w:type="character" w:customStyle="1" w:styleId="34">
    <w:name w:val="first-child"/>
    <w:basedOn w:val="16"/>
    <w:qFormat/>
    <w:uiPriority w:val="0"/>
  </w:style>
  <w:style w:type="character" w:customStyle="1" w:styleId="35">
    <w:name w:val="页眉 Char"/>
    <w:basedOn w:val="16"/>
    <w:link w:val="11"/>
    <w:qFormat/>
    <w:uiPriority w:val="0"/>
    <w:rPr>
      <w:rFonts w:ascii="仿宋" w:hAnsi="仿宋" w:eastAsia="仿宋" w:cs="仿宋"/>
      <w:sz w:val="18"/>
      <w:szCs w:val="18"/>
      <w:lang w:val="zh-CN" w:bidi="zh-CN"/>
    </w:rPr>
  </w:style>
  <w:style w:type="character" w:customStyle="1" w:styleId="36">
    <w:name w:val="页脚 Char"/>
    <w:basedOn w:val="16"/>
    <w:link w:val="10"/>
    <w:qFormat/>
    <w:uiPriority w:val="0"/>
    <w:rPr>
      <w:rFonts w:ascii="仿宋" w:hAnsi="仿宋" w:eastAsia="仿宋" w:cs="仿宋"/>
      <w:sz w:val="18"/>
      <w:szCs w:val="18"/>
      <w:lang w:val="zh-CN" w:bidi="zh-CN"/>
    </w:rPr>
  </w:style>
  <w:style w:type="character" w:customStyle="1" w:styleId="37">
    <w:name w:val="批注框文本 Char"/>
    <w:basedOn w:val="16"/>
    <w:link w:val="9"/>
    <w:qFormat/>
    <w:uiPriority w:val="0"/>
    <w:rPr>
      <w:rFonts w:ascii="仿宋" w:hAnsi="仿宋" w:eastAsia="仿宋" w:cs="仿宋"/>
      <w:sz w:val="18"/>
      <w:szCs w:val="18"/>
      <w:lang w:val="zh-CN" w:bidi="zh-CN"/>
    </w:rPr>
  </w:style>
  <w:style w:type="paragraph" w:customStyle="1" w:styleId="38">
    <w:name w:val="suojin"/>
    <w:basedOn w:val="1"/>
    <w:qFormat/>
    <w:uiPriority w:val="0"/>
    <w:pPr>
      <w:autoSpaceDE/>
      <w:autoSpaceDN/>
      <w:ind w:firstLine="420"/>
    </w:pPr>
    <w:rPr>
      <w:rFonts w:ascii="Times New Roman" w:hAnsi="Times New Roman" w:eastAsia="宋体" w:cs="Times New Roman"/>
      <w:sz w:val="21"/>
      <w:szCs w:val="24"/>
      <w:lang w:val="en-US" w:bidi="ar-SA"/>
    </w:rPr>
  </w:style>
  <w:style w:type="paragraph" w:customStyle="1" w:styleId="3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0">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3057</Words>
  <Characters>3508</Characters>
  <Lines>35</Lines>
  <Paragraphs>9</Paragraphs>
  <TotalTime>4</TotalTime>
  <ScaleCrop>false</ScaleCrop>
  <LinksUpToDate>false</LinksUpToDate>
  <CharactersWithSpaces>3712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2022-05-16T06:43:00Z</dcterms:created>
  <dc:creator>hxw</dc:creator>
  <cp:lastModifiedBy>admin</cp:lastModifiedBy>
  <cp:lastPrinted>2026-05-14T01:29:00Z</cp:lastPrinted>
  <dcterms:modified xsi:type="dcterms:W3CDTF">2026-05-25T01:01:50Z</dcterms:modified>
  <dc:title>竞争性谈判文件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2021-03-02T00:00:00Z</vt:filetime>
  </property>
  <property fmtid="{D5CDD505-2E9C-101B-9397-08002B2CF9AE}" pid="3" name="Creator">
    <vt:lpwstr>Microsoft® Office Word 2007</vt:lpwstr>
  </property>
  <property fmtid="{D5CDD505-2E9C-101B-9397-08002B2CF9AE}" pid="4" name="LastSaved">
    <vt:filetime>2021-04-14T00:00:00Z</vt:filetime>
  </property>
  <property fmtid="{D5CDD505-2E9C-101B-9397-08002B2CF9AE}" pid="5" name="KSOProductBuildVer">
    <vt:lpwstr>2052-12.1.0.26375</vt:lpwstr>
  </property>
  <property fmtid="{D5CDD505-2E9C-101B-9397-08002B2CF9AE}" pid="6" name="ICV">
    <vt:lpwstr>0A10B820C0E844659622A14BDD321221_13</vt:lpwstr>
  </property>
  <property fmtid="{D5CDD505-2E9C-101B-9397-08002B2CF9AE}" pid="7" name="KSOTemplateDocerSaveRecord">
    <vt:lpwstr>eyJoZGlkIjoiMmQ2MTY4OWI2ZDRjMzRlMGYzNGJmZDc2NjhiNGFjNzQiLCJ1c2VySWQiOiI1ODA1NTcwODMifQ==</vt:lpwstr>
  </property>
</Properties>
</file>