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80E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2"/>
          <w:szCs w:val="32"/>
          <w:highlight w:val="none"/>
          <w:lang w:val="en-US" w:eastAsia="zh-CN"/>
          <w14:textFill>
            <w14:solidFill>
              <w14:schemeClr w14:val="tx1"/>
            </w14:solidFill>
          </w14:textFill>
        </w:rPr>
        <w:t>附件：</w:t>
      </w:r>
    </w:p>
    <w:p w14:paraId="7C2CA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pPr>
      <w:bookmarkStart w:id="0" w:name="_GoBack"/>
      <w:r>
        <w:rPr>
          <w:rFonts w:hint="default"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长沙市殡葬事务中心</w:t>
      </w:r>
    </w:p>
    <w:p w14:paraId="4FE39C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val="0"/>
          <w:bCs w:val="0"/>
          <w:color w:val="000000" w:themeColor="text1"/>
          <w:sz w:val="44"/>
          <w:szCs w:val="44"/>
          <w:highlight w:val="none"/>
          <w:lang w:val="en-US"/>
          <w14:textFill>
            <w14:solidFill>
              <w14:schemeClr w14:val="tx1"/>
            </w14:solidFill>
          </w14:textFill>
        </w:rPr>
      </w:pPr>
      <w:r>
        <w:rPr>
          <w:rFonts w:hint="eastAsia"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 xml:space="preserve"> </w:t>
      </w:r>
      <w:r>
        <w:rPr>
          <w:rFonts w:hint="default"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白蚁防治及灭四害消杀服务项目</w:t>
      </w:r>
      <w:r>
        <w:rPr>
          <w:rFonts w:hint="eastAsia"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（第二次）采购</w:t>
      </w:r>
      <w:r>
        <w:rPr>
          <w:rFonts w:hint="default"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需求</w:t>
      </w:r>
      <w:bookmarkEnd w:id="0"/>
    </w:p>
    <w:p w14:paraId="7B1D0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200C7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一、项目名称：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长沙市殡葬事务中心白蚁防治及灭四害消杀服务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项目（第二次）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6175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、白蚁防治及灭四害消杀服务项目需求清单</w:t>
      </w:r>
    </w:p>
    <w:tbl>
      <w:tblPr>
        <w:tblStyle w:val="12"/>
        <w:tblW w:w="86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1800"/>
        <w:gridCol w:w="6015"/>
      </w:tblGrid>
      <w:tr w14:paraId="1B577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trPr>
        <w:tc>
          <w:tcPr>
            <w:tcW w:w="803" w:type="dxa"/>
            <w:vAlign w:val="center"/>
          </w:tcPr>
          <w:p w14:paraId="66D6855B">
            <w:pPr>
              <w:pStyle w:val="11"/>
              <w:keepNext w:val="0"/>
              <w:keepLines w:val="0"/>
              <w:pageBreakBefore w:val="0"/>
              <w:widowControl w:val="0"/>
              <w:kinsoku/>
              <w:wordWrap/>
              <w:overflowPunct/>
              <w:topLinePunct w:val="0"/>
              <w:autoSpaceDE/>
              <w:autoSpaceDN/>
              <w:bidi w:val="0"/>
              <w:adjustRightInd/>
              <w:snapToGrid/>
              <w:spacing w:before="87" w:line="420" w:lineRule="exact"/>
              <w:ind w:left="17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序号</w:t>
            </w:r>
          </w:p>
        </w:tc>
        <w:tc>
          <w:tcPr>
            <w:tcW w:w="1800" w:type="dxa"/>
            <w:vAlign w:val="center"/>
          </w:tcPr>
          <w:p w14:paraId="5BB0E7D4">
            <w:pPr>
              <w:pStyle w:val="11"/>
              <w:keepNext w:val="0"/>
              <w:keepLines w:val="0"/>
              <w:pageBreakBefore w:val="0"/>
              <w:widowControl w:val="0"/>
              <w:kinsoku/>
              <w:wordWrap/>
              <w:overflowPunct/>
              <w:topLinePunct w:val="0"/>
              <w:autoSpaceDE/>
              <w:autoSpaceDN/>
              <w:bidi w:val="0"/>
              <w:adjustRightInd/>
              <w:snapToGrid/>
              <w:spacing w:before="88" w:line="420" w:lineRule="exact"/>
              <w:ind w:left="581"/>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项目名称</w:t>
            </w:r>
          </w:p>
        </w:tc>
        <w:tc>
          <w:tcPr>
            <w:tcW w:w="6015" w:type="dxa"/>
            <w:vAlign w:val="center"/>
          </w:tcPr>
          <w:p w14:paraId="2F0DFFCF">
            <w:pPr>
              <w:pStyle w:val="11"/>
              <w:keepNext w:val="0"/>
              <w:keepLines w:val="0"/>
              <w:pageBreakBefore w:val="0"/>
              <w:widowControl w:val="0"/>
              <w:kinsoku/>
              <w:wordWrap/>
              <w:overflowPunct/>
              <w:topLinePunct w:val="0"/>
              <w:autoSpaceDE/>
              <w:autoSpaceDN/>
              <w:bidi w:val="0"/>
              <w:adjustRightInd/>
              <w:snapToGrid/>
              <w:spacing w:before="88" w:line="420" w:lineRule="exact"/>
              <w:ind w:left="2973"/>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具体内容</w:t>
            </w:r>
          </w:p>
        </w:tc>
      </w:tr>
      <w:tr w14:paraId="6F603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03" w:type="dxa"/>
            <w:vAlign w:val="center"/>
          </w:tcPr>
          <w:p w14:paraId="7E8B6573">
            <w:pPr>
              <w:pStyle w:val="11"/>
              <w:keepNext w:val="0"/>
              <w:keepLines w:val="0"/>
              <w:pageBreakBefore w:val="0"/>
              <w:widowControl w:val="0"/>
              <w:kinsoku/>
              <w:wordWrap/>
              <w:overflowPunct/>
              <w:topLinePunct w:val="0"/>
              <w:autoSpaceDE/>
              <w:autoSpaceDN/>
              <w:bidi w:val="0"/>
              <w:adjustRightInd/>
              <w:snapToGrid/>
              <w:spacing w:before="87"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1800" w:type="dxa"/>
            <w:vAlign w:val="center"/>
          </w:tcPr>
          <w:p w14:paraId="1BD4FDEC">
            <w:pPr>
              <w:pStyle w:val="11"/>
              <w:keepNext w:val="0"/>
              <w:keepLines w:val="0"/>
              <w:pageBreakBefore w:val="0"/>
              <w:widowControl w:val="0"/>
              <w:kinsoku/>
              <w:wordWrap/>
              <w:overflowPunct/>
              <w:topLinePunct w:val="0"/>
              <w:autoSpaceDE/>
              <w:autoSpaceDN/>
              <w:bidi w:val="0"/>
              <w:adjustRightInd/>
              <w:snapToGrid/>
              <w:spacing w:before="88" w:line="420" w:lineRule="exact"/>
              <w:ind w:firstLine="286"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采购预算</w:t>
            </w:r>
          </w:p>
        </w:tc>
        <w:tc>
          <w:tcPr>
            <w:tcW w:w="6015" w:type="dxa"/>
            <w:vAlign w:val="center"/>
          </w:tcPr>
          <w:p w14:paraId="044E6D13">
            <w:pPr>
              <w:pStyle w:val="11"/>
              <w:keepNext w:val="0"/>
              <w:keepLines w:val="0"/>
              <w:pageBreakBefore w:val="0"/>
              <w:widowControl w:val="0"/>
              <w:kinsoku/>
              <w:wordWrap/>
              <w:overflowPunct/>
              <w:topLinePunct w:val="0"/>
              <w:autoSpaceDE/>
              <w:autoSpaceDN/>
              <w:bidi w:val="0"/>
              <w:adjustRightInd/>
              <w:snapToGrid/>
              <w:spacing w:before="240" w:line="420" w:lineRule="exact"/>
              <w:ind w:right="58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最高限价14万元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含人工费、药物费、器械费、安全及</w:t>
            </w:r>
            <w:r>
              <w:rPr>
                <w:rFonts w:hint="eastAsia" w:ascii="仿宋_GB2312" w:hAnsi="仿宋_GB2312" w:eastAsia="仿宋_GB2312" w:cs="仿宋_GB2312"/>
                <w:color w:val="000000" w:themeColor="text1"/>
                <w:spacing w:val="8"/>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4"/>
                <w:sz w:val="28"/>
                <w:szCs w:val="28"/>
                <w14:textFill>
                  <w14:solidFill>
                    <w14:schemeClr w14:val="tx1"/>
                  </w14:solidFill>
                </w14:textFill>
              </w:rPr>
              <w:t>税金等，服务期内不得追加费用</w:t>
            </w:r>
            <w:r>
              <w:rPr>
                <w:rFonts w:hint="eastAsia" w:ascii="仿宋_GB2312" w:hAnsi="仿宋_GB2312" w:eastAsia="仿宋_GB2312" w:cs="仿宋_GB2312"/>
                <w:color w:val="000000" w:themeColor="text1"/>
                <w:spacing w:val="4"/>
                <w:sz w:val="28"/>
                <w:szCs w:val="28"/>
                <w:lang w:eastAsia="zh-CN"/>
                <w14:textFill>
                  <w14:solidFill>
                    <w14:schemeClr w14:val="tx1"/>
                  </w14:solidFill>
                </w14:textFill>
              </w:rPr>
              <w:t>）</w:t>
            </w:r>
          </w:p>
        </w:tc>
      </w:tr>
      <w:tr w14:paraId="4623D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03" w:type="dxa"/>
            <w:vAlign w:val="center"/>
          </w:tcPr>
          <w:p w14:paraId="35FC8A8B">
            <w:pPr>
              <w:pStyle w:val="11"/>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1800" w:type="dxa"/>
            <w:vAlign w:val="center"/>
          </w:tcPr>
          <w:p w14:paraId="16030315">
            <w:pPr>
              <w:pStyle w:val="11"/>
              <w:keepNext w:val="0"/>
              <w:keepLines w:val="0"/>
              <w:pageBreakBefore w:val="0"/>
              <w:widowControl w:val="0"/>
              <w:kinsoku/>
              <w:wordWrap/>
              <w:overflowPunct/>
              <w:topLinePunct w:val="0"/>
              <w:autoSpaceDE/>
              <w:autoSpaceDN/>
              <w:bidi w:val="0"/>
              <w:adjustRightInd/>
              <w:snapToGrid/>
              <w:spacing w:before="88" w:line="420" w:lineRule="exact"/>
              <w:ind w:firstLine="286"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服务期限</w:t>
            </w:r>
          </w:p>
        </w:tc>
        <w:tc>
          <w:tcPr>
            <w:tcW w:w="6015" w:type="dxa"/>
            <w:vAlign w:val="center"/>
          </w:tcPr>
          <w:p w14:paraId="73870A0B">
            <w:pPr>
              <w:pStyle w:val="11"/>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12个月</w:t>
            </w:r>
            <w:r>
              <w:rPr>
                <w:rFonts w:hint="eastAsia" w:ascii="仿宋_GB2312" w:hAnsi="仿宋_GB2312" w:eastAsia="仿宋_GB2312" w:cs="仿宋_GB2312"/>
                <w:color w:val="000000" w:themeColor="text1"/>
                <w:spacing w:val="4"/>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4"/>
                <w:sz w:val="28"/>
                <w:szCs w:val="28"/>
                <w14:textFill>
                  <w14:solidFill>
                    <w14:schemeClr w14:val="tx1"/>
                  </w14:solidFill>
                </w14:textFill>
              </w:rPr>
              <w:t>自合同签订之日起</w:t>
            </w:r>
            <w:r>
              <w:rPr>
                <w:rFonts w:hint="eastAsia" w:ascii="仿宋_GB2312" w:hAnsi="仿宋_GB2312" w:eastAsia="仿宋_GB2312" w:cs="仿宋_GB2312"/>
                <w:color w:val="000000" w:themeColor="text1"/>
                <w:spacing w:val="4"/>
                <w:sz w:val="28"/>
                <w:szCs w:val="28"/>
                <w:lang w:eastAsia="zh-CN"/>
                <w14:textFill>
                  <w14:solidFill>
                    <w14:schemeClr w14:val="tx1"/>
                  </w14:solidFill>
                </w14:textFill>
              </w:rPr>
              <w:t>）</w:t>
            </w:r>
          </w:p>
        </w:tc>
      </w:tr>
      <w:tr w14:paraId="1296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803" w:type="dxa"/>
            <w:vAlign w:val="center"/>
          </w:tcPr>
          <w:p w14:paraId="6E8F0575">
            <w:pPr>
              <w:pStyle w:val="11"/>
              <w:keepNext w:val="0"/>
              <w:keepLines w:val="0"/>
              <w:pageBreakBefore w:val="0"/>
              <w:widowControl w:val="0"/>
              <w:kinsoku/>
              <w:wordWrap/>
              <w:overflowPunct/>
              <w:topLinePunct w:val="0"/>
              <w:autoSpaceDE/>
              <w:autoSpaceDN/>
              <w:bidi w:val="0"/>
              <w:adjustRightInd/>
              <w:snapToGrid/>
              <w:spacing w:before="87"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1800" w:type="dxa"/>
            <w:vAlign w:val="center"/>
          </w:tcPr>
          <w:p w14:paraId="1530B0D5">
            <w:pPr>
              <w:pStyle w:val="11"/>
              <w:keepNext w:val="0"/>
              <w:keepLines w:val="0"/>
              <w:pageBreakBefore w:val="0"/>
              <w:widowControl w:val="0"/>
              <w:kinsoku/>
              <w:wordWrap/>
              <w:overflowPunct/>
              <w:topLinePunct w:val="0"/>
              <w:autoSpaceDE/>
              <w:autoSpaceDN/>
              <w:bidi w:val="0"/>
              <w:adjustRightInd/>
              <w:snapToGrid/>
              <w:spacing w:before="87" w:line="420" w:lineRule="exact"/>
              <w:ind w:firstLine="284"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2"/>
                <w:sz w:val="28"/>
                <w:szCs w:val="28"/>
                <w14:textFill>
                  <w14:solidFill>
                    <w14:schemeClr w14:val="tx1"/>
                  </w14:solidFill>
                </w14:textFill>
              </w:rPr>
              <w:t>服务区域</w:t>
            </w:r>
          </w:p>
        </w:tc>
        <w:tc>
          <w:tcPr>
            <w:tcW w:w="6015" w:type="dxa"/>
            <w:vAlign w:val="center"/>
          </w:tcPr>
          <w:p w14:paraId="6A75B5D6">
            <w:pPr>
              <w:pStyle w:val="11"/>
              <w:keepNext w:val="0"/>
              <w:keepLines w:val="0"/>
              <w:pageBreakBefore w:val="0"/>
              <w:widowControl w:val="0"/>
              <w:kinsoku/>
              <w:wordWrap/>
              <w:overflowPunct/>
              <w:topLinePunct w:val="0"/>
              <w:autoSpaceDE/>
              <w:autoSpaceDN/>
              <w:bidi w:val="0"/>
              <w:adjustRightInd/>
              <w:snapToGrid/>
              <w:spacing w:before="275" w:line="420" w:lineRule="exact"/>
              <w:ind w:right="214"/>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中心红线范围内，涵盖区域：金盆岭老馆区、金陵城市绿</w:t>
            </w:r>
            <w:r>
              <w:rPr>
                <w:rFonts w:hint="eastAsia" w:ascii="仿宋_GB2312" w:hAnsi="仿宋_GB2312" w:eastAsia="仿宋_GB2312" w:cs="仿宋_GB2312"/>
                <w:color w:val="000000" w:themeColor="text1"/>
                <w:spacing w:val="9"/>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化墓园、福寿苑陵园、明阳山殡仪馆馆区。总面积：</w:t>
            </w:r>
            <w:r>
              <w:rPr>
                <w:rFonts w:hint="eastAsia" w:ascii="仿宋_GB2312" w:hAnsi="仿宋_GB2312" w:eastAsia="仿宋_GB2312" w:cs="仿宋_GB2312"/>
                <w:color w:val="000000" w:themeColor="text1"/>
                <w:spacing w:val="1"/>
                <w:sz w:val="28"/>
                <w:szCs w:val="28"/>
                <w14:textFill>
                  <w14:solidFill>
                    <w14:schemeClr w14:val="tx1"/>
                  </w14:solidFill>
                </w14:textFill>
              </w:rPr>
              <w:t>765,533.86平方米，建筑面积：约40</w:t>
            </w:r>
            <w:r>
              <w:rPr>
                <w:rFonts w:hint="eastAsia" w:ascii="仿宋_GB2312" w:hAnsi="仿宋_GB2312" w:eastAsia="仿宋_GB2312" w:cs="仿宋_GB2312"/>
                <w:color w:val="000000" w:themeColor="text1"/>
                <w:sz w:val="28"/>
                <w:szCs w:val="28"/>
                <w14:textFill>
                  <w14:solidFill>
                    <w14:schemeClr w14:val="tx1"/>
                  </w14:solidFill>
                </w14:textFill>
              </w:rPr>
              <w:t>,711.15平方米</w:t>
            </w:r>
          </w:p>
        </w:tc>
      </w:tr>
      <w:tr w14:paraId="05F85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03" w:type="dxa"/>
            <w:vAlign w:val="center"/>
          </w:tcPr>
          <w:p w14:paraId="0546A921">
            <w:pPr>
              <w:pStyle w:val="11"/>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1800" w:type="dxa"/>
            <w:vAlign w:val="center"/>
          </w:tcPr>
          <w:p w14:paraId="24955D6D">
            <w:pPr>
              <w:pStyle w:val="11"/>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
                <w:sz w:val="28"/>
                <w:szCs w:val="28"/>
                <w14:textFill>
                  <w14:solidFill>
                    <w14:schemeClr w14:val="tx1"/>
                  </w14:solidFill>
                </w14:textFill>
              </w:rPr>
              <w:t>核心服务对象</w:t>
            </w:r>
          </w:p>
        </w:tc>
        <w:tc>
          <w:tcPr>
            <w:tcW w:w="6015" w:type="dxa"/>
            <w:vAlign w:val="center"/>
          </w:tcPr>
          <w:p w14:paraId="47FB5C08">
            <w:pPr>
              <w:pStyle w:val="11"/>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四害：鼠、蚊、蝇、蟑螂，专项防制：白蚁、红火蚁等</w:t>
            </w:r>
          </w:p>
        </w:tc>
      </w:tr>
      <w:tr w14:paraId="386C7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03" w:type="dxa"/>
            <w:vAlign w:val="center"/>
          </w:tcPr>
          <w:p w14:paraId="7C98B1EF">
            <w:pPr>
              <w:pStyle w:val="11"/>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1800" w:type="dxa"/>
            <w:vAlign w:val="center"/>
          </w:tcPr>
          <w:p w14:paraId="0D1B3A76">
            <w:pPr>
              <w:pStyle w:val="11"/>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2"/>
                <w:sz w:val="28"/>
                <w:szCs w:val="28"/>
                <w14:textFill>
                  <w14:solidFill>
                    <w14:schemeClr w14:val="tx1"/>
                  </w14:solidFill>
                </w14:textFill>
              </w:rPr>
              <w:t>四害消杀要求</w:t>
            </w:r>
          </w:p>
        </w:tc>
        <w:tc>
          <w:tcPr>
            <w:tcW w:w="6015" w:type="dxa"/>
            <w:vAlign w:val="center"/>
          </w:tcPr>
          <w:p w14:paraId="40DEF029">
            <w:pPr>
              <w:pStyle w:val="11"/>
              <w:keepNext w:val="0"/>
              <w:keepLines w:val="0"/>
              <w:pageBreakBefore w:val="0"/>
              <w:widowControl w:val="0"/>
              <w:kinsoku/>
              <w:wordWrap/>
              <w:overflowPunct/>
              <w:topLinePunct w:val="0"/>
              <w:autoSpaceDE/>
              <w:autoSpaceDN/>
              <w:bidi w:val="0"/>
              <w:adjustRightInd/>
              <w:snapToGrid/>
              <w:spacing w:before="276"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1.首次：合同签订后开展全面普查消杀</w:t>
            </w:r>
          </w:p>
          <w:p w14:paraId="0CCB4779">
            <w:pPr>
              <w:pStyle w:val="11"/>
              <w:keepNext w:val="0"/>
              <w:keepLines w:val="0"/>
              <w:pageBreakBefore w:val="0"/>
              <w:widowControl w:val="0"/>
              <w:kinsoku/>
              <w:wordWrap/>
              <w:overflowPunct/>
              <w:topLinePunct w:val="0"/>
              <w:autoSpaceDE/>
              <w:autoSpaceDN/>
              <w:bidi w:val="0"/>
              <w:adjustRightInd/>
              <w:snapToGrid/>
              <w:spacing w:before="39"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2.高频区域：综合餐饮住宿楼及职工食堂，每月2次</w:t>
            </w:r>
          </w:p>
          <w:p w14:paraId="2DA94802">
            <w:pPr>
              <w:pStyle w:val="11"/>
              <w:keepNext w:val="0"/>
              <w:keepLines w:val="0"/>
              <w:pageBreakBefore w:val="0"/>
              <w:widowControl w:val="0"/>
              <w:kinsoku/>
              <w:wordWrap/>
              <w:overflowPunct/>
              <w:topLinePunct w:val="0"/>
              <w:autoSpaceDE/>
              <w:autoSpaceDN/>
              <w:bidi w:val="0"/>
              <w:adjustRightInd/>
              <w:snapToGrid/>
              <w:spacing w:before="79"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3.一般区域：每月全面消杀1轮；</w:t>
            </w:r>
          </w:p>
          <w:p w14:paraId="4ED9EFE6">
            <w:pPr>
              <w:pStyle w:val="11"/>
              <w:keepNext w:val="0"/>
              <w:keepLines w:val="0"/>
              <w:pageBreakBefore w:val="0"/>
              <w:widowControl w:val="0"/>
              <w:kinsoku/>
              <w:wordWrap/>
              <w:overflowPunct/>
              <w:topLinePunct w:val="0"/>
              <w:autoSpaceDE/>
              <w:autoSpaceDN/>
              <w:bidi w:val="0"/>
              <w:adjustRightInd/>
              <w:snapToGrid/>
              <w:spacing w:before="9"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4.应急响应：接到通知后12小时内到场处理，不另收费</w:t>
            </w:r>
          </w:p>
        </w:tc>
      </w:tr>
      <w:tr w14:paraId="3E393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803" w:type="dxa"/>
            <w:vAlign w:val="center"/>
          </w:tcPr>
          <w:p w14:paraId="54B456BB">
            <w:pPr>
              <w:pStyle w:val="11"/>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1800" w:type="dxa"/>
            <w:vAlign w:val="center"/>
          </w:tcPr>
          <w:p w14:paraId="4B5D0653">
            <w:pPr>
              <w:pStyle w:val="11"/>
              <w:keepNext w:val="0"/>
              <w:keepLines w:val="0"/>
              <w:pageBreakBefore w:val="0"/>
              <w:widowControl w:val="0"/>
              <w:kinsoku/>
              <w:wordWrap/>
              <w:overflowPunct/>
              <w:topLinePunct w:val="0"/>
              <w:autoSpaceDE/>
              <w:autoSpaceDN/>
              <w:bidi w:val="0"/>
              <w:adjustRightInd/>
              <w:snapToGrid/>
              <w:spacing w:before="88" w:line="420" w:lineRule="exact"/>
              <w:ind w:right="23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白蚁/红火蚁消</w:t>
            </w:r>
            <w:r>
              <w:rPr>
                <w:rFonts w:hint="eastAsia" w:ascii="仿宋_GB2312" w:hAnsi="仿宋_GB2312" w:eastAsia="仿宋_GB2312" w:cs="仿宋_GB2312"/>
                <w:color w:val="000000" w:themeColor="text1"/>
                <w:spacing w:val="2"/>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4"/>
                <w:sz w:val="28"/>
                <w:szCs w:val="28"/>
                <w14:textFill>
                  <w14:solidFill>
                    <w14:schemeClr w14:val="tx1"/>
                  </w14:solidFill>
                </w14:textFill>
              </w:rPr>
              <w:t>杀要求</w:t>
            </w:r>
          </w:p>
        </w:tc>
        <w:tc>
          <w:tcPr>
            <w:tcW w:w="6015" w:type="dxa"/>
            <w:vAlign w:val="center"/>
          </w:tcPr>
          <w:p w14:paraId="69DE7029">
            <w:pPr>
              <w:pStyle w:val="11"/>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1.首次：合同签订后开展全面普查消杀</w:t>
            </w:r>
          </w:p>
          <w:p w14:paraId="0B951161">
            <w:pPr>
              <w:pStyle w:val="11"/>
              <w:keepNext w:val="0"/>
              <w:keepLines w:val="0"/>
              <w:pageBreakBefore w:val="0"/>
              <w:widowControl w:val="0"/>
              <w:kinsoku/>
              <w:wordWrap/>
              <w:overflowPunct/>
              <w:topLinePunct w:val="0"/>
              <w:autoSpaceDE/>
              <w:autoSpaceDN/>
              <w:bidi w:val="0"/>
              <w:adjustRightInd/>
              <w:snapToGrid/>
              <w:spacing w:before="29" w:line="420" w:lineRule="exact"/>
              <w:ind w:right="241"/>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
                <w:sz w:val="28"/>
                <w:szCs w:val="28"/>
                <w14:textFill>
                  <w14:solidFill>
                    <w14:schemeClr w14:val="tx1"/>
                  </w14:solidFill>
                </w14:textFill>
              </w:rPr>
              <w:t>2.频次：每月一次，如月内发现隐患及时处理，</w:t>
            </w:r>
            <w:r>
              <w:rPr>
                <w:rFonts w:hint="eastAsia" w:ascii="仿宋_GB2312" w:hAnsi="仿宋_GB2312" w:eastAsia="仿宋_GB2312" w:cs="仿宋_GB2312"/>
                <w:color w:val="000000" w:themeColor="text1"/>
                <w:sz w:val="28"/>
                <w:szCs w:val="28"/>
                <w14:textFill>
                  <w14:solidFill>
                    <w14:schemeClr w14:val="tx1"/>
                  </w14:solidFill>
                </w14:textFill>
              </w:rPr>
              <w:t>增加防治 频数不另收费。</w:t>
            </w:r>
          </w:p>
          <w:p w14:paraId="1ACB7A89">
            <w:pPr>
              <w:pStyle w:val="11"/>
              <w:keepNext w:val="0"/>
              <w:keepLines w:val="0"/>
              <w:pageBreakBefore w:val="0"/>
              <w:widowControl w:val="0"/>
              <w:kinsoku/>
              <w:wordWrap/>
              <w:overflowPunct/>
              <w:topLinePunct w:val="0"/>
              <w:autoSpaceDE/>
              <w:autoSpaceDN/>
              <w:bidi w:val="0"/>
              <w:adjustRightInd/>
              <w:snapToGrid/>
              <w:spacing w:before="49"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3.重点月份：4、6、8月对花圃树木喷洒不少于2次</w:t>
            </w:r>
          </w:p>
        </w:tc>
      </w:tr>
      <w:tr w14:paraId="3EF2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803" w:type="dxa"/>
            <w:vAlign w:val="center"/>
          </w:tcPr>
          <w:p w14:paraId="15FEE0C6">
            <w:pPr>
              <w:pStyle w:val="11"/>
              <w:keepNext w:val="0"/>
              <w:keepLines w:val="0"/>
              <w:pageBreakBefore w:val="0"/>
              <w:widowControl w:val="0"/>
              <w:kinsoku/>
              <w:wordWrap/>
              <w:overflowPunct/>
              <w:topLinePunct w:val="0"/>
              <w:autoSpaceDE/>
              <w:autoSpaceDN/>
              <w:bidi w:val="0"/>
              <w:adjustRightInd/>
              <w:snapToGrid/>
              <w:spacing w:before="87"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1800" w:type="dxa"/>
            <w:vAlign w:val="center"/>
          </w:tcPr>
          <w:p w14:paraId="5DFAF956">
            <w:pPr>
              <w:pStyle w:val="11"/>
              <w:keepNext w:val="0"/>
              <w:keepLines w:val="0"/>
              <w:pageBreakBefore w:val="0"/>
              <w:widowControl w:val="0"/>
              <w:kinsoku/>
              <w:wordWrap/>
              <w:overflowPunct/>
              <w:topLinePunct w:val="0"/>
              <w:autoSpaceDE/>
              <w:autoSpaceDN/>
              <w:bidi w:val="0"/>
              <w:adjustRightInd/>
              <w:snapToGrid/>
              <w:spacing w:before="88" w:line="420" w:lineRule="exact"/>
              <w:ind w:firstLine="286"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药品要求</w:t>
            </w:r>
          </w:p>
        </w:tc>
        <w:tc>
          <w:tcPr>
            <w:tcW w:w="6015" w:type="dxa"/>
            <w:vAlign w:val="center"/>
          </w:tcPr>
          <w:p w14:paraId="1DEB0CE4">
            <w:pPr>
              <w:pStyle w:val="11"/>
              <w:keepNext w:val="0"/>
              <w:keepLines w:val="0"/>
              <w:pageBreakBefore w:val="0"/>
              <w:widowControl w:val="0"/>
              <w:kinsoku/>
              <w:wordWrap/>
              <w:overflowPunct/>
              <w:topLinePunct w:val="0"/>
              <w:autoSpaceDE/>
              <w:autoSpaceDN/>
              <w:bidi w:val="0"/>
              <w:adjustRightInd/>
              <w:snapToGrid/>
              <w:spacing w:before="229" w:line="420" w:lineRule="exact"/>
              <w:ind w:left="133" w:right="246" w:hanging="4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1.施工必须注重科学合理用药，选择国家规定的低毒、低</w:t>
            </w:r>
            <w:r>
              <w:rPr>
                <w:rFonts w:hint="eastAsia" w:ascii="仿宋_GB2312" w:hAnsi="仿宋_GB2312" w:eastAsia="仿宋_GB2312" w:cs="仿宋_GB2312"/>
                <w:color w:val="000000" w:themeColor="text1"/>
                <w:spacing w:val="16"/>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13"/>
                <w:sz w:val="28"/>
                <w:szCs w:val="28"/>
                <w14:textFill>
                  <w14:solidFill>
                    <w14:schemeClr w14:val="tx1"/>
                  </w14:solidFill>
                </w14:textFill>
              </w:rPr>
              <w:t>残留及无异味的药物；</w:t>
            </w:r>
          </w:p>
          <w:p w14:paraId="6C7BBDF9">
            <w:pPr>
              <w:pStyle w:val="11"/>
              <w:keepNext w:val="0"/>
              <w:keepLines w:val="0"/>
              <w:pageBreakBefore w:val="0"/>
              <w:widowControl w:val="0"/>
              <w:kinsoku/>
              <w:wordWrap/>
              <w:overflowPunct/>
              <w:topLinePunct w:val="0"/>
              <w:autoSpaceDE/>
              <w:autoSpaceDN/>
              <w:bidi w:val="0"/>
              <w:adjustRightInd/>
              <w:snapToGrid/>
              <w:spacing w:before="30" w:line="420" w:lineRule="exact"/>
              <w:ind w:left="132" w:right="273" w:hanging="59"/>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2.禁止使用国家禁用药物，所使用的药物均对建筑物无破</w:t>
            </w:r>
            <w:r>
              <w:rPr>
                <w:rFonts w:hint="eastAsia" w:ascii="仿宋_GB2312" w:hAnsi="仿宋_GB2312" w:eastAsia="仿宋_GB2312" w:cs="仿宋_GB2312"/>
                <w:color w:val="000000" w:themeColor="text1"/>
                <w:spacing w:val="10"/>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坏损伤，保证对人体健康安全无伤害。</w:t>
            </w:r>
          </w:p>
        </w:tc>
      </w:tr>
      <w:tr w14:paraId="66C5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803" w:type="dxa"/>
            <w:vAlign w:val="center"/>
          </w:tcPr>
          <w:p w14:paraId="08C017F2">
            <w:pPr>
              <w:pStyle w:val="11"/>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1800" w:type="dxa"/>
            <w:vAlign w:val="center"/>
          </w:tcPr>
          <w:p w14:paraId="0BDEE901">
            <w:pPr>
              <w:pStyle w:val="11"/>
              <w:keepNext w:val="0"/>
              <w:keepLines w:val="0"/>
              <w:pageBreakBefore w:val="0"/>
              <w:widowControl w:val="0"/>
              <w:kinsoku/>
              <w:wordWrap/>
              <w:overflowPunct/>
              <w:topLinePunct w:val="0"/>
              <w:autoSpaceDE/>
              <w:autoSpaceDN/>
              <w:bidi w:val="0"/>
              <w:adjustRightInd/>
              <w:snapToGrid/>
              <w:spacing w:before="88" w:line="420" w:lineRule="exact"/>
              <w:ind w:firstLine="576"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管理</w:t>
            </w:r>
          </w:p>
        </w:tc>
        <w:tc>
          <w:tcPr>
            <w:tcW w:w="6015" w:type="dxa"/>
            <w:vAlign w:val="center"/>
          </w:tcPr>
          <w:p w14:paraId="7B0E7930">
            <w:pPr>
              <w:pStyle w:val="11"/>
              <w:keepNext w:val="0"/>
              <w:keepLines w:val="0"/>
              <w:pageBreakBefore w:val="0"/>
              <w:widowControl w:val="0"/>
              <w:kinsoku/>
              <w:wordWrap/>
              <w:overflowPunct/>
              <w:topLinePunct w:val="0"/>
              <w:autoSpaceDE/>
              <w:autoSpaceDN/>
              <w:bidi w:val="0"/>
              <w:adjustRightInd/>
              <w:snapToGrid/>
              <w:spacing w:before="275" w:line="420" w:lineRule="exact"/>
              <w:ind w:right="393"/>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1.建立档案：每次施工后填写《检查记录表》</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由双方签</w:t>
            </w:r>
            <w:r>
              <w:rPr>
                <w:rFonts w:hint="eastAsia" w:ascii="仿宋_GB2312" w:hAnsi="仿宋_GB2312" w:eastAsia="仿宋_GB2312" w:cs="仿宋_GB2312"/>
                <w:color w:val="000000" w:themeColor="text1"/>
                <w:spacing w:val="4"/>
                <w:sz w:val="28"/>
                <w:szCs w:val="28"/>
                <w14:textFill>
                  <w14:solidFill>
                    <w14:schemeClr w14:val="tx1"/>
                  </w14:solidFill>
                </w14:textFill>
              </w:rPr>
              <w:t>名确认</w:t>
            </w:r>
          </w:p>
          <w:p w14:paraId="63DB936C">
            <w:pPr>
              <w:pStyle w:val="11"/>
              <w:keepNext w:val="0"/>
              <w:keepLines w:val="0"/>
              <w:pageBreakBefore w:val="0"/>
              <w:widowControl w:val="0"/>
              <w:kinsoku/>
              <w:wordWrap/>
              <w:overflowPunct/>
              <w:topLinePunct w:val="0"/>
              <w:autoSpaceDE/>
              <w:autoSpaceDN/>
              <w:bidi w:val="0"/>
              <w:adjustRightInd/>
              <w:snapToGrid/>
              <w:spacing w:before="45"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2.精准布放：诱饵站及孳生地须有标签、标示牌</w:t>
            </w:r>
          </w:p>
        </w:tc>
      </w:tr>
    </w:tbl>
    <w:p w14:paraId="5CE331A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项目实施要求</w:t>
      </w:r>
    </w:p>
    <w:p w14:paraId="493AB7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（一）工作要求</w:t>
      </w:r>
    </w:p>
    <w:p w14:paraId="71C3296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白蚁防治及灭四害消杀服务期限内，施工人员严格按照白蚁防治及灭四害消杀操作规程和质量标准，确保用药安全，并派出专业主管负责质量、安全监督和检查，建立档案。每次施工后由采购单位现场工作人员签名确认，保质保量完成白蚁防治及灭四害消杀服务工作。</w:t>
      </w:r>
    </w:p>
    <w:p w14:paraId="25519A4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1.消杀频次：</w:t>
      </w:r>
    </w:p>
    <w:p w14:paraId="209EA62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四害消杀频次：合同签订后首次需对防治及消杀范围进行全面的普查消杀工作；综合餐饮住宿楼及明阳山和金盆岭职工食堂每月进行两次消杀；其他区域每个月至少对四害防治及消杀范围全面消杀1次，一年内至少对防治及消杀范围全面消杀不少于12次；每次全面消杀时间由双方共同商议；局部出现病媒生物异常升高，接到采购人通知的响应时间为12个小时内到达现场处理，不另行收取其他费用。</w:t>
      </w:r>
    </w:p>
    <w:p w14:paraId="3D473E1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白蚁、红火蚁消杀频次：合同签订后首次需对防治及消杀范围进行全面的普查消杀工作；针对生物特性做好计划，一年内对白蚁、红火蚁防制灭治每月一次，全面消杀不少于12次，如月内发现隐患及时处理，增加防治频数不另收费。虫害滋生季节每年4、6、8月份防治范围内花圃树木全面喷洒灭虫药水两次，控制和消灭虫害；每个月进行全面检查一次（全年12次），发现白蚁、红火蚁侵害及时施药治理，并拍照存档上报，施药区域15天后回查。同时应根据服务区白蚁、红火蚁等蚁类害虫发生程度，相应增加防治次数，特别是在白蚁繁殖和危害高峰期需增加防治频数，不另行收取其他费用；每次全面消杀时间由双方共同商议；局部出现病媒生物异常升高，接到采购人通知的响应时间为12个小时内到达现场处理，不另行收取其他费用。</w:t>
      </w:r>
    </w:p>
    <w:p w14:paraId="2745AA1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2.四害消杀和红火蚁、白蚁每次的消杀期限为1—3天；为保证消杀效率和质量，每次消杀防治工作人员不少于</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w:t>
      </w:r>
    </w:p>
    <w:p w14:paraId="19D3DB3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3.每次检查施药后双方在《白蚁防治及灭四害消杀服务检查记录表》做好签名确认，每次记录作为验收凭证。</w:t>
      </w:r>
    </w:p>
    <w:p w14:paraId="6F1BA9B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4.供应商负责投药前后“四害”及白蚁、火蚁密度监测。通过喷洒药粉或药水对“四害”及白蚁、红火蚁及蚁巢进行防制灭杀。</w:t>
      </w:r>
    </w:p>
    <w:p w14:paraId="1D169C9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5.消杀期间，供应商负责配合做好场所的清理工作（填鼠洞、清理四害痕迹等）。</w:t>
      </w:r>
    </w:p>
    <w:p w14:paraId="466F55C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6.所有消杀使用的诱饵站以及孳生地消杀都须有标签、标识牌等配置并做到精准布放。</w:t>
      </w:r>
    </w:p>
    <w:p w14:paraId="2958B4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（二）用药要求</w:t>
      </w:r>
    </w:p>
    <w:p w14:paraId="6484E9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药剂选择：必须使用符合国家标准、具有农药登记证、生产许可证和产品质量标准的环保型药剂，严禁使用国家明令禁止的高毒、高残留药剂。药剂应针对不同防治对象进行合理选择，如白蚁防治药剂须具备长效性和低挥发性，灭四害药剂需对鼠、蟑、蚊、蝇等有高效的杀灭作用。</w:t>
      </w:r>
    </w:p>
    <w:p w14:paraId="2AC9C3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药剂管理：建立严格的药剂储存、运输和使用管理措施。药剂储存需有专门的仓库，具备防火、防潮、防虫等措施；运输过程中要确保安全，防止药剂泄漏；使用时严格按照说明书规定的剂量和方法操作，不得超量使用或滥用，每次使用药剂的记录应详细留存。同时在操作使用时，做好防中毒措施。</w:t>
      </w:r>
    </w:p>
    <w:p w14:paraId="307CC8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设备配备：配备充足、先进且性能良好的消杀设备，如专业白蚁探测仪、背负式电动喷雾器、热烟雾机、鼠饵投放器、紫外线诱蚊灯等。设备需定期维护和保养，保证在服务期间正常运行，每次服务前应对设备进行检查，确保设备处于最佳工作状态。</w:t>
      </w:r>
    </w:p>
    <w:p w14:paraId="68B65C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（三）服务流程要求</w:t>
      </w:r>
    </w:p>
    <w:p w14:paraId="44B956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trike/>
          <w:dstrike w:val="0"/>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前期勘察：在项目启动前，供应商应对我中心明阳山福寿苑、金陵城市绿化墓园、金盆岭老馆区、明阳山殡仪馆进行全面细致的勘察，了解建筑物结构、周边环境、四害和白蚁分布情况等，制定针对性的服务方案，并在投标时一并提交。</w:t>
      </w:r>
    </w:p>
    <w:p w14:paraId="0C2351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日常服务：按照合同约定的服务频率进行定期防治工作。白蚁防治每月至少进行一次全面巡查，发现蚁害及时处理；灭四害服务每月至少进行一次常规消杀，在害虫繁殖高峰期和特殊天气后增加消杀频次。每次服务应严格按照操作规程进行，确保防治效果。</w:t>
      </w:r>
    </w:p>
    <w:p w14:paraId="329B12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3.应急响应：在接到甲方关于白蚁或四害突发情况的通知后，服务商应在2小时内响应，并在12小时内到达现场进行处理，采取有效措施控制事态发展，避免造成更大损失。</w:t>
      </w:r>
    </w:p>
    <w:p w14:paraId="3FA21C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（四）服务记录与报告要求</w:t>
      </w:r>
    </w:p>
    <w:p w14:paraId="47ECFC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1.服务记录：每次服务都要详细记录服务内容，包括服务时间、服务区域、使用的药剂等信息，记录需由甲方现场工作人员签字确认。</w:t>
      </w:r>
    </w:p>
    <w:p w14:paraId="25368B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2.季度报告：每三个月提交一份季度服务报告，报告内容应涵盖服务开展情况总结、防治效果评估（包括四害密度监测数据、白蚁防治情况等）、存在问题及改进措施等，以书面形式提交给甲方。</w:t>
      </w:r>
    </w:p>
    <w:p w14:paraId="5645F0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3.年度总结：项目结束后提交年度服务总结报告，对全年的服务工作进行全面回顾和分析，总结经验教训，提出下一年度服务优化建议，同时附上全年服务记录和相关监测数据等资料。</w:t>
      </w:r>
    </w:p>
    <w:p w14:paraId="0D1CA98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四、执行标准</w:t>
      </w:r>
    </w:p>
    <w:p w14:paraId="6CCD0D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（一）灭红火蚁标准</w:t>
      </w:r>
    </w:p>
    <w:p w14:paraId="02F3BC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gre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以国家标准GB/T23626-2009《红火蚁疫情监测规程》作为验收参考标准。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首次集中防制（30日内）全区域治理监测，原地表蚁丘减退率≥95%；</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巩固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防治</w:t>
      </w:r>
      <w:r>
        <w:rPr>
          <w:rFonts w:hint="eastAsia" w:ascii="仿宋_GB2312" w:hAnsi="仿宋_GB2312" w:eastAsia="仿宋_GB2312" w:cs="仿宋_GB2312"/>
          <w:color w:val="000000" w:themeColor="text1"/>
          <w:sz w:val="32"/>
          <w:szCs w:val="32"/>
          <w:highlight w:val="none"/>
          <w14:textFill>
            <w14:solidFill>
              <w14:schemeClr w14:val="tx1"/>
            </w14:solidFill>
          </w14:textFill>
        </w:rPr>
        <w:t>阶段（60日内）新增蚁丘减退率≥99%；</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防治</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标准：新增蚁丘发现率低于1巢/10000㎡。</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灭</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白蚁标准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以行业标准JGJ/T245-2011《房屋白蚁预防技术规程》作为验收参考标准。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原发处不再出现活蚁；</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经药物预防处理过的蚁巢未发现活蚁；</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因纷飞季节不可避免新增的蚁患，出现一处及时灭治一处；</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现场检查白蚁的危害情况以在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馆区、墓区</w:t>
      </w:r>
      <w:r>
        <w:rPr>
          <w:rFonts w:hint="eastAsia" w:ascii="仿宋_GB2312" w:hAnsi="仿宋_GB2312" w:eastAsia="仿宋_GB2312" w:cs="仿宋_GB2312"/>
          <w:color w:val="000000" w:themeColor="text1"/>
          <w:sz w:val="32"/>
          <w:szCs w:val="32"/>
          <w:highlight w:val="none"/>
          <w14:textFill>
            <w14:solidFill>
              <w14:schemeClr w14:val="tx1"/>
            </w14:solidFill>
          </w14:textFill>
        </w:rPr>
        <w:t>内布放100个（为基数）诱杀盒，一个月后发现诱杀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盒内</w:t>
      </w:r>
      <w:r>
        <w:rPr>
          <w:rFonts w:hint="eastAsia" w:ascii="仿宋_GB2312" w:hAnsi="仿宋_GB2312" w:eastAsia="仿宋_GB2312" w:cs="仿宋_GB2312"/>
          <w:color w:val="000000" w:themeColor="text1"/>
          <w:sz w:val="32"/>
          <w:szCs w:val="32"/>
          <w:highlight w:val="none"/>
          <w14:textFill>
            <w14:solidFill>
              <w14:schemeClr w14:val="tx1"/>
            </w14:solidFill>
          </w14:textFill>
        </w:rPr>
        <w:t>被蛀食的数量不超过3个为符合标准。</w:t>
      </w:r>
    </w:p>
    <w:p w14:paraId="6D86A66D">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三）四害防治及灭杀标准</w:t>
      </w:r>
    </w:p>
    <w:p w14:paraId="65BEB27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《中华人民共和国国家标准》</w:t>
      </w:r>
    </w:p>
    <w:p w14:paraId="62C92FC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GB/T27770-2011病媒生物密度控制水平鼠类</w:t>
      </w:r>
    </w:p>
    <w:p w14:paraId="3507A24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GB/T27771-2011病媒生物密度控制水平蚊虫</w:t>
      </w:r>
    </w:p>
    <w:p w14:paraId="78406F3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GB/T27772-2011病媒生物密度控制水平蝇类</w:t>
      </w:r>
    </w:p>
    <w:p w14:paraId="292D05D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GB/T27773-2011病媒生物密度控制水平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蟑螂</w:t>
      </w:r>
    </w:p>
    <w:p w14:paraId="52A4B3D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规定的灭鼠、蚊、蝇、蟑螂标准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0FEBA9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五、验收要求</w:t>
      </w:r>
    </w:p>
    <w:p w14:paraId="2CEC88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1.每次全面巡查，对受白蚁、红火蚁侵害的部位及存在白蚁危害隐患的部位拍照记录并进行防治，形成季度报告。白蚁未得到有效控制造成的相关损失，由供应商承担。</w:t>
      </w:r>
    </w:p>
    <w:p w14:paraId="006BE6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2.防治施工过程中，严格按照施工技术和服务要求，使用药物或不文明施工对建筑物体、食品、园林树木、木质物体造成损坏及危害人体健康，由供应商赔偿。</w:t>
      </w:r>
    </w:p>
    <w:p w14:paraId="5C39D8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3.防治服务期完成后，应由采购人、供应商双方确认后并附有防治记录报告和施工图片，方可验收通过。</w:t>
      </w:r>
    </w:p>
    <w:p w14:paraId="1B1899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4.甲方组织验收小组，验收小组不少于3人的单数，验收小组负责验收组织和实施工作。验收小组根据询价文件、投标文件、合同约定等客观出具验收意见，在验收单上签字确认。</w:t>
      </w:r>
    </w:p>
    <w:p w14:paraId="7791C3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六、其他要求</w:t>
      </w:r>
    </w:p>
    <w:p w14:paraId="0799E1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1.项目实施期间，供应商接触长沙市殡葬事务中心的业务操作及环境，应严格遵守长沙市殡葬事务中心保密相关规定，保守秘密。如发生失泄密事件，将终止合同，涉及纠纷将移交司法处理。</w:t>
      </w:r>
    </w:p>
    <w:p w14:paraId="618BE9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2.中标供应商应当保证其履行本合同的过程中派出的服务人员的人身意外保险及安全保障，如出现安全事故或财产损失，由中标供应商承担全部责任，与采购人无关。</w:t>
      </w:r>
    </w:p>
    <w:p w14:paraId="3501BF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3.项目实施期间，供应商未按要求服务到位，每次扣500元，连续三次不到位，长沙市殡葬事务中心有权立即终止合同。</w:t>
      </w:r>
    </w:p>
    <w:p w14:paraId="7DAA145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如出现不能及时灭除及控制蚁害，房屋建筑物及胸径在100cm以上的树因白蚁蛀空造成损坏、倒塌，扣2000-5000元，并追究相应责任；造成服务区域内树木倒伏或大的断枝，胸径在50cm以内的树，一棵扣500-1000元；胸径在50cm以上的树，一棵扣1000-2000元。  </w:t>
      </w:r>
    </w:p>
    <w:p w14:paraId="4962F9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5.项目实施期间，供应商应提供消杀计划、人员配备、消杀记录、巡查记录、监测记录，并提供详细的水印照片等相关资料，消杀过程中供应商需提交消杀服务现场检查记录表。</w:t>
      </w:r>
    </w:p>
    <w:p w14:paraId="38D6F4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6.供应商应具有有害生物防治、白蚁防治资质。</w:t>
      </w:r>
    </w:p>
    <w:p w14:paraId="74794E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7.供应商必须承诺对本次询价函所制定的采购需求全部响应，根据现场实际情况提供详细服务方案，包含：</w:t>
      </w:r>
    </w:p>
    <w:p w14:paraId="42CA8B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服务范围当前情况分析：长沙市殡葬事务中心红线范围内所有房屋、建筑、绿地等（金盆岭老馆区、金陵城市绿化墓园、福寿苑陵园、明阳山殡仪馆馆区）区域内当前状况全面分析并提供重点受灾区域的照片。</w:t>
      </w:r>
    </w:p>
    <w:p w14:paraId="75E25D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技术方案：详细的器械和药物选用清单和说明、用法用量等；详细列明选用的药剂其主要技术参数（含量、有效成分、剂型）、使用注意事项和药品安全管理措施、器械和药品使用登记管理等；结合本项目实际环境及虫害现状分析项目实施的难点和重点，编制针对性的解决方案，并提出合理化建议。</w:t>
      </w:r>
    </w:p>
    <w:p w14:paraId="624BBA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（3）实施方案：详细描述各项消杀工序、操作规程、服务期内的常规消杀计划；编制有消杀工作记录和效果控制方案，且结合环境实际状况编制详细的安全和文明消杀方案。</w:t>
      </w:r>
    </w:p>
    <w:p w14:paraId="0B6E97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应急处置方案：针对本项目环境情况进行分析，列明关于器械、药品使用和管理、病媒生物消杀实施过程和人员密集区消杀工作可能出现的紧急情况，并针对所列举的紧急情况编制处理方案；配合上级部门临时检查的工作方案、突发疫情上报和紧急处理措施等；列明应急联系方式、人员、反应时间等。</w:t>
      </w:r>
    </w:p>
    <w:p w14:paraId="1E50C5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（5）人员配置方案：拟投入本项目的人员配置方案，列明所投入人员名单、岗位、联系方式、资质证书等，供应商为其缴纳社保的证明材料及真实有效的证书复印件。</w:t>
      </w:r>
    </w:p>
    <w:p w14:paraId="3DBB76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消杀药品质量并提供质量承诺：提供本项目消杀药品加盖有生产商公章的药品有效“三证”复印件：生产企业的农药登记证（或农药临时登记证）、生产企业的农药生产批准证（或农药生产许可证）、技术监督部门或企业标准公示平台备案的企业标准。</w:t>
      </w:r>
    </w:p>
    <w:p w14:paraId="029F2DB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七、结算</w:t>
      </w:r>
    </w:p>
    <w:p w14:paraId="737A87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1.付款人：长沙市殡葬事务中心自行支付。</w:t>
      </w:r>
    </w:p>
    <w:p w14:paraId="577CF5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2.付款方式：项目实施期为一年，每3个月为一个结算周期，前三个结算周期验收合格后每次支付合同金额20%，第四个结算周期验收合格后支付合同金额40%。</w:t>
      </w:r>
    </w:p>
    <w:p w14:paraId="069E6A88">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发票要求：明确乙方需在验收合格后5个工作日内，开具符合要求的增值税专用发票（鉴于甲方为一般纳税人，乙方所开具的发票其适用税率应以甲方所在地税务部门明确的税率为准）；若提供的发票不符合要求（如税率错误、发票类型不符），甲方有权暂缓付款，乙方如未在收到重开发票通知后5个工作日内重新开具，由此产生的一切损失由乙方承担。</w:t>
      </w:r>
    </w:p>
    <w:p w14:paraId="3E4582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4.本项目采用费用包干方式，供应商应根据项目要求和项目情况，详细列明项目所需的所有费用，如一旦中标，在项目实施中出现任何遗漏，均由中标人承担，长沙市殡葬事务中心不再支付任何费用。</w:t>
      </w:r>
    </w:p>
    <w:p w14:paraId="10E8A0BF">
      <w:pPr>
        <w:jc w:val="cente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3E81B307">
      <w:pPr>
        <w:pStyle w:val="2"/>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19D61715">
      <w:pP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0B0EFC8B">
      <w:pPr>
        <w:pStyle w:val="2"/>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71D2919D">
      <w:pP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6DE7B2E8">
      <w:pPr>
        <w:pStyle w:val="2"/>
        <w:rPr>
          <w:rFonts w:hint="eastAsia"/>
          <w:color w:val="000000" w:themeColor="text1"/>
          <w14:textFill>
            <w14:solidFill>
              <w14:schemeClr w14:val="tx1"/>
            </w14:solidFill>
          </w14:textFill>
        </w:rPr>
      </w:pPr>
    </w:p>
    <w:p w14:paraId="2D9EBEDE">
      <w:pPr>
        <w:rPr>
          <w:rFonts w:hint="eastAsia"/>
          <w:color w:val="000000" w:themeColor="text1"/>
          <w14:textFill>
            <w14:solidFill>
              <w14:schemeClr w14:val="tx1"/>
            </w14:solidFill>
          </w14:textFill>
        </w:rPr>
      </w:pPr>
    </w:p>
    <w:p w14:paraId="7C4C413B">
      <w:pPr>
        <w:pStyle w:val="2"/>
        <w:rPr>
          <w:rFonts w:hint="eastAsia"/>
          <w:color w:val="000000" w:themeColor="text1"/>
          <w14:textFill>
            <w14:solidFill>
              <w14:schemeClr w14:val="tx1"/>
            </w14:solidFill>
          </w14:textFill>
        </w:rPr>
      </w:pPr>
    </w:p>
    <w:p w14:paraId="7EDA4BAD">
      <w:pPr>
        <w:rPr>
          <w:rFonts w:hint="eastAsia"/>
          <w:color w:val="000000" w:themeColor="text1"/>
          <w14:textFill>
            <w14:solidFill>
              <w14:schemeClr w14:val="tx1"/>
            </w14:solidFill>
          </w14:textFill>
        </w:rPr>
      </w:pPr>
    </w:p>
    <w:p w14:paraId="3268875F">
      <w:pPr>
        <w:pStyle w:val="2"/>
        <w:rPr>
          <w:rFonts w:hint="eastAsia"/>
          <w:color w:val="000000" w:themeColor="text1"/>
          <w14:textFill>
            <w14:solidFill>
              <w14:schemeClr w14:val="tx1"/>
            </w14:solidFill>
          </w14:textFill>
        </w:rPr>
      </w:pPr>
    </w:p>
    <w:p w14:paraId="076B19FB">
      <w:pPr>
        <w:jc w:val="cente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t>询价响应文件格式</w:t>
      </w:r>
    </w:p>
    <w:p w14:paraId="312C11CD">
      <w:pPr>
        <w:pStyle w:val="13"/>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1.投标供应商承诺函</w:t>
      </w:r>
    </w:p>
    <w:p w14:paraId="5ECDE35B">
      <w:pPr>
        <w:pStyle w:val="13"/>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2.询价响应回执</w:t>
      </w:r>
    </w:p>
    <w:p w14:paraId="754C4F2E">
      <w:pPr>
        <w:pStyle w:val="13"/>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3.营业执照复印件（加盖公章）</w:t>
      </w:r>
    </w:p>
    <w:p w14:paraId="3B483092">
      <w:pPr>
        <w:pStyle w:val="13"/>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4.法定代表人身份证明</w:t>
      </w:r>
    </w:p>
    <w:p w14:paraId="4FFF0A91">
      <w:pPr>
        <w:pStyle w:val="13"/>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5.授权委托书</w:t>
      </w:r>
    </w:p>
    <w:p w14:paraId="2B25FEC3">
      <w:pPr>
        <w:pStyle w:val="13"/>
        <w:spacing w:after="0" w:line="420" w:lineRule="exact"/>
        <w:ind w:left="720" w:firstLine="0" w:firstLineChars="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响应表</w:t>
      </w:r>
    </w:p>
    <w:p w14:paraId="6DBFEF52">
      <w:pPr>
        <w:pStyle w:val="13"/>
        <w:spacing w:after="0" w:line="420" w:lineRule="exact"/>
        <w:ind w:left="720" w:firstLine="0" w:firstLineChars="0"/>
        <w:rPr>
          <w:rFonts w:hint="default"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7.相关资质</w:t>
      </w:r>
    </w:p>
    <w:p w14:paraId="6CC4C647">
      <w:pPr>
        <w:pStyle w:val="13"/>
        <w:spacing w:after="0" w:line="420" w:lineRule="exact"/>
        <w:ind w:left="720" w:firstLine="0" w:firstLineChars="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白蚁防治及灭四害消杀服务项目</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方案</w:t>
      </w:r>
    </w:p>
    <w:p w14:paraId="479E0828">
      <w:pPr>
        <w:pStyle w:val="13"/>
        <w:spacing w:after="0" w:line="420" w:lineRule="exact"/>
        <w:ind w:left="720" w:firstLine="0" w:firstLineChars="0"/>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sectPr>
          <w:footerReference r:id="rId3" w:type="default"/>
          <w:pgSz w:w="11906" w:h="16838"/>
          <w:pgMar w:top="1440" w:right="1587" w:bottom="1440" w:left="1587" w:header="851" w:footer="992" w:gutter="0"/>
          <w:pgNumType w:fmt="decimal"/>
          <w:cols w:space="0" w:num="1"/>
          <w:rtlGutter w:val="0"/>
          <w:docGrid w:type="lines" w:linePitch="312" w:charSpace="0"/>
        </w:sect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9.报价单（加盖公章）</w:t>
      </w:r>
    </w:p>
    <w:p w14:paraId="6D9BD5F4">
      <w:pPr>
        <w:jc w:val="both"/>
        <w:rPr>
          <w:rFonts w:ascii="黑体" w:eastAsia="黑体"/>
          <w:color w:val="000000" w:themeColor="text1"/>
          <w:sz w:val="32"/>
          <w:szCs w:val="32"/>
          <w14:textFill>
            <w14:solidFill>
              <w14:schemeClr w14:val="tx1"/>
            </w14:solidFill>
          </w14:textFill>
        </w:rPr>
      </w:pPr>
    </w:p>
    <w:p w14:paraId="33C11176">
      <w:pPr>
        <w:spacing w:line="400" w:lineRule="atLeast"/>
        <w:jc w:val="center"/>
        <w:rPr>
          <w:rFonts w:hint="eastAsia" w:asciiTheme="minorEastAsia" w:hAnsiTheme="minorEastAsia" w:eastAsiaTheme="minorEastAsia"/>
          <w:bCs/>
          <w:color w:val="000000" w:themeColor="text1"/>
          <w:sz w:val="72"/>
          <w:szCs w:val="72"/>
          <w14:textFill>
            <w14:solidFill>
              <w14:schemeClr w14:val="tx1"/>
            </w14:solidFill>
          </w14:textFill>
        </w:rPr>
      </w:pPr>
      <w:r>
        <w:rPr>
          <w:rFonts w:hint="eastAsia" w:asciiTheme="minorEastAsia" w:hAnsiTheme="minorEastAsia" w:eastAsiaTheme="minorEastAsia"/>
          <w:bCs/>
          <w:color w:val="000000" w:themeColor="text1"/>
          <w:sz w:val="72"/>
          <w:szCs w:val="72"/>
          <w14:textFill>
            <w14:solidFill>
              <w14:schemeClr w14:val="tx1"/>
            </w14:solidFill>
          </w14:textFill>
        </w:rPr>
        <w:t>长沙市殡葬事务中心</w:t>
      </w:r>
    </w:p>
    <w:p w14:paraId="766DDDB6">
      <w:pPr>
        <w:spacing w:line="400" w:lineRule="atLeast"/>
        <w:jc w:val="center"/>
        <w:rPr>
          <w:rFonts w:asciiTheme="minorEastAsia" w:hAnsiTheme="minorEastAsia" w:eastAsiaTheme="minorEastAsia"/>
          <w:bCs/>
          <w:color w:val="000000" w:themeColor="text1"/>
          <w:sz w:val="72"/>
          <w:szCs w:val="72"/>
          <w14:textFill>
            <w14:solidFill>
              <w14:schemeClr w14:val="tx1"/>
            </w14:solidFill>
          </w14:textFill>
        </w:rPr>
      </w:pPr>
      <w:r>
        <w:rPr>
          <w:rFonts w:hint="eastAsia" w:asciiTheme="minorEastAsia" w:hAnsiTheme="minorEastAsia" w:eastAsiaTheme="minorEastAsia"/>
          <w:bCs/>
          <w:color w:val="000000" w:themeColor="text1"/>
          <w:sz w:val="72"/>
          <w:szCs w:val="72"/>
          <w:lang w:val="en-US" w:eastAsia="zh-CN"/>
          <w14:textFill>
            <w14:solidFill>
              <w14:schemeClr w14:val="tx1"/>
            </w14:solidFill>
          </w14:textFill>
        </w:rPr>
        <w:t>白蚁防治及灭四害消杀服务项目</w:t>
      </w:r>
    </w:p>
    <w:p w14:paraId="661E9552">
      <w:pPr>
        <w:spacing w:line="400" w:lineRule="atLeast"/>
        <w:jc w:val="center"/>
        <w:rPr>
          <w:rFonts w:asciiTheme="minorEastAsia" w:hAnsiTheme="minorEastAsia" w:eastAsiaTheme="minorEastAsia"/>
          <w:bCs/>
          <w:color w:val="000000" w:themeColor="text1"/>
          <w:sz w:val="72"/>
          <w:szCs w:val="72"/>
          <w14:textFill>
            <w14:solidFill>
              <w14:schemeClr w14:val="tx1"/>
            </w14:solidFill>
          </w14:textFill>
        </w:rPr>
      </w:pPr>
    </w:p>
    <w:p w14:paraId="2AC0422B">
      <w:pPr>
        <w:spacing w:line="400" w:lineRule="atLeast"/>
        <w:jc w:val="center"/>
        <w:rPr>
          <w:rFonts w:asciiTheme="minorEastAsia" w:hAnsiTheme="minorEastAsia" w:eastAsiaTheme="minorEastAsia"/>
          <w:bCs/>
          <w:color w:val="000000" w:themeColor="text1"/>
          <w:sz w:val="72"/>
          <w:szCs w:val="72"/>
          <w14:textFill>
            <w14:solidFill>
              <w14:schemeClr w14:val="tx1"/>
            </w14:solidFill>
          </w14:textFill>
        </w:rPr>
      </w:pPr>
    </w:p>
    <w:p w14:paraId="41F0812C">
      <w:pPr>
        <w:spacing w:line="400" w:lineRule="atLeast"/>
        <w:jc w:val="center"/>
        <w:rPr>
          <w:rFonts w:asciiTheme="minorEastAsia" w:hAnsiTheme="minorEastAsia" w:eastAsiaTheme="minorEastAsia"/>
          <w:bCs/>
          <w:color w:val="000000" w:themeColor="text1"/>
          <w:sz w:val="72"/>
          <w:szCs w:val="72"/>
          <w14:textFill>
            <w14:solidFill>
              <w14:schemeClr w14:val="tx1"/>
            </w14:solidFill>
          </w14:textFill>
        </w:rPr>
      </w:pPr>
      <w:r>
        <w:rPr>
          <w:rFonts w:hint="eastAsia" w:asciiTheme="minorEastAsia" w:hAnsiTheme="minorEastAsia" w:eastAsiaTheme="minorEastAsia"/>
          <w:bCs/>
          <w:color w:val="000000" w:themeColor="text1"/>
          <w:sz w:val="72"/>
          <w:szCs w:val="72"/>
          <w14:textFill>
            <w14:solidFill>
              <w14:schemeClr w14:val="tx1"/>
            </w14:solidFill>
          </w14:textFill>
        </w:rPr>
        <w:t>询价响应文件</w:t>
      </w:r>
    </w:p>
    <w:p w14:paraId="08D60391">
      <w:pPr>
        <w:rPr>
          <w:color w:val="000000" w:themeColor="text1"/>
          <w14:textFill>
            <w14:solidFill>
              <w14:schemeClr w14:val="tx1"/>
            </w14:solidFill>
          </w14:textFill>
        </w:rPr>
      </w:pPr>
    </w:p>
    <w:p w14:paraId="64D6E28A">
      <w:pPr>
        <w:pStyle w:val="2"/>
        <w:ind w:left="440" w:firstLine="440"/>
        <w:rPr>
          <w:color w:val="000000" w:themeColor="text1"/>
          <w14:textFill>
            <w14:solidFill>
              <w14:schemeClr w14:val="tx1"/>
            </w14:solidFill>
          </w14:textFill>
        </w:rPr>
      </w:pPr>
    </w:p>
    <w:p w14:paraId="7FCE16F0">
      <w:pPr>
        <w:pStyle w:val="5"/>
        <w:rPr>
          <w:color w:val="000000" w:themeColor="text1"/>
          <w14:textFill>
            <w14:solidFill>
              <w14:schemeClr w14:val="tx1"/>
            </w14:solidFill>
          </w14:textFill>
        </w:rPr>
      </w:pPr>
    </w:p>
    <w:p w14:paraId="52F3B417">
      <w:pPr>
        <w:rPr>
          <w:rFonts w:ascii="黑体" w:hAnsi="宋体" w:eastAsia="黑体"/>
          <w:color w:val="000000" w:themeColor="text1"/>
          <w:sz w:val="32"/>
          <w:szCs w:val="32"/>
          <w14:textFill>
            <w14:solidFill>
              <w14:schemeClr w14:val="tx1"/>
            </w14:solidFill>
          </w14:textFill>
        </w:rPr>
      </w:pPr>
    </w:p>
    <w:p w14:paraId="2F54C00E">
      <w:pPr>
        <w:rPr>
          <w:rFonts w:ascii="黑体" w:hAnsi="宋体" w:eastAsia="黑体"/>
          <w:color w:val="000000" w:themeColor="text1"/>
          <w:sz w:val="30"/>
          <w:szCs w:val="30"/>
          <w14:textFill>
            <w14:solidFill>
              <w14:schemeClr w14:val="tx1"/>
            </w14:solidFill>
          </w14:textFill>
        </w:rPr>
      </w:pPr>
    </w:p>
    <w:p w14:paraId="0F9531EF">
      <w:pPr>
        <w:rPr>
          <w:rFonts w:ascii="黑体" w:hAnsi="宋体" w:eastAsia="黑体"/>
          <w:color w:val="000000" w:themeColor="text1"/>
          <w:sz w:val="30"/>
          <w:szCs w:val="30"/>
          <w14:textFill>
            <w14:solidFill>
              <w14:schemeClr w14:val="tx1"/>
            </w14:solidFill>
          </w14:textFill>
        </w:rPr>
      </w:pPr>
    </w:p>
    <w:p w14:paraId="49D198D3">
      <w:pPr>
        <w:ind w:left="1273" w:leftChars="606" w:firstLine="2"/>
        <w:rPr>
          <w:rFonts w:ascii="黑体" w:hAnsi="宋体" w:eastAsia="黑体"/>
          <w:color w:val="000000" w:themeColor="text1"/>
          <w:sz w:val="32"/>
          <w:szCs w:val="32"/>
          <w:u w:val="single"/>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投标人：</w:t>
      </w:r>
      <w:r>
        <w:rPr>
          <w:rFonts w:hint="eastAsia" w:ascii="黑体" w:hAnsi="宋体" w:eastAsia="黑体"/>
          <w:color w:val="000000" w:themeColor="text1"/>
          <w:sz w:val="32"/>
          <w:szCs w:val="32"/>
          <w:u w:val="single"/>
          <w14:textFill>
            <w14:solidFill>
              <w14:schemeClr w14:val="tx1"/>
            </w14:solidFill>
          </w14:textFill>
        </w:rPr>
        <w:t xml:space="preserve">                         </w:t>
      </w:r>
    </w:p>
    <w:p w14:paraId="6D4719D5">
      <w:pPr>
        <w:jc w:val="center"/>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年  月  日</w:t>
      </w:r>
    </w:p>
    <w:p w14:paraId="636C5CA9">
      <w:pPr>
        <w:rPr>
          <w:rFonts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36"/>
          <w:szCs w:val="36"/>
          <w14:textFill>
            <w14:solidFill>
              <w14:schemeClr w14:val="tx1"/>
            </w14:solidFill>
          </w14:textFill>
        </w:rPr>
        <w:br w:type="page"/>
      </w:r>
    </w:p>
    <w:p w14:paraId="3F7071FA">
      <w:pPr>
        <w:pStyle w:val="4"/>
        <w:adjustRightInd w:val="0"/>
        <w:snapToGrid w:val="0"/>
        <w:spacing w:before="156" w:beforeLines="50" w:after="156" w:afterLines="50" w:line="240" w:lineRule="auto"/>
        <w:jc w:val="center"/>
        <w:rPr>
          <w:rFonts w:hint="eastAsia" w:ascii="方正黑体_GBK" w:eastAsia="方正黑体_GBK" w:cs="宋体"/>
          <w:bCs w:val="0"/>
          <w:color w:val="000000" w:themeColor="text1"/>
          <w:sz w:val="44"/>
          <w:szCs w:val="44"/>
          <w:lang w:bidi="ar-SA"/>
          <w14:textFill>
            <w14:solidFill>
              <w14:schemeClr w14:val="tx1"/>
            </w14:solidFill>
          </w14:textFill>
        </w:rPr>
      </w:pPr>
      <w:r>
        <w:rPr>
          <w:rFonts w:hint="eastAsia" w:ascii="方正仿宋_GBK" w:eastAsia="方正仿宋_GBK" w:cs="宋体"/>
          <w:bCs w:val="0"/>
          <w:color w:val="000000" w:themeColor="text1"/>
          <w:sz w:val="36"/>
          <w:szCs w:val="36"/>
          <w:lang w:val="en-US" w:eastAsia="zh-CN" w:bidi="ar-SA"/>
          <w14:textFill>
            <w14:solidFill>
              <w14:schemeClr w14:val="tx1"/>
            </w14:solidFill>
          </w14:textFill>
        </w:rPr>
        <w:t>1.</w:t>
      </w:r>
      <w:r>
        <w:rPr>
          <w:rFonts w:hint="eastAsia" w:ascii="方正仿宋_GBK" w:eastAsia="方正仿宋_GBK" w:cs="宋体"/>
          <w:bCs w:val="0"/>
          <w:color w:val="000000" w:themeColor="text1"/>
          <w:sz w:val="36"/>
          <w:szCs w:val="36"/>
          <w:lang w:eastAsia="zh-CN" w:bidi="ar-SA"/>
          <w14:textFill>
            <w14:solidFill>
              <w14:schemeClr w14:val="tx1"/>
            </w14:solidFill>
          </w14:textFill>
        </w:rPr>
        <w:t>投标</w:t>
      </w:r>
      <w:r>
        <w:rPr>
          <w:rFonts w:hint="eastAsia" w:ascii="方正仿宋_GBK" w:eastAsia="方正仿宋_GBK" w:cs="宋体"/>
          <w:bCs w:val="0"/>
          <w:color w:val="000000" w:themeColor="text1"/>
          <w:sz w:val="36"/>
          <w:szCs w:val="36"/>
          <w:lang w:bidi="ar-SA"/>
          <w14:textFill>
            <w14:solidFill>
              <w14:schemeClr w14:val="tx1"/>
            </w14:solidFill>
          </w14:textFill>
        </w:rPr>
        <w:t>供应商</w:t>
      </w:r>
      <w:r>
        <w:rPr>
          <w:rFonts w:hint="eastAsia" w:ascii="方正仿宋_GBK" w:eastAsia="方正仿宋_GBK" w:cs="宋体"/>
          <w:bCs w:val="0"/>
          <w:color w:val="000000" w:themeColor="text1"/>
          <w:sz w:val="36"/>
          <w:szCs w:val="36"/>
          <w:lang w:eastAsia="zh-CN" w:bidi="ar-SA"/>
          <w14:textFill>
            <w14:solidFill>
              <w14:schemeClr w14:val="tx1"/>
            </w14:solidFill>
          </w14:textFill>
        </w:rPr>
        <w:t>承诺</w:t>
      </w:r>
      <w:r>
        <w:rPr>
          <w:rFonts w:hint="eastAsia" w:ascii="方正仿宋_GBK" w:eastAsia="方正仿宋_GBK" w:cs="宋体"/>
          <w:bCs w:val="0"/>
          <w:color w:val="000000" w:themeColor="text1"/>
          <w:sz w:val="36"/>
          <w:szCs w:val="36"/>
          <w:lang w:bidi="ar-SA"/>
          <w14:textFill>
            <w14:solidFill>
              <w14:schemeClr w14:val="tx1"/>
            </w14:solidFill>
          </w14:textFill>
        </w:rPr>
        <w:t>函</w:t>
      </w:r>
    </w:p>
    <w:p w14:paraId="60198BB3">
      <w:pPr>
        <w:keepNext w:val="0"/>
        <w:keepLines w:val="0"/>
        <w:pageBreakBefore w:val="0"/>
        <w:kinsoku/>
        <w:wordWrap/>
        <w:overflowPunct/>
        <w:topLinePunct w:val="0"/>
        <w:autoSpaceDE/>
        <w:autoSpaceDN/>
        <w:bidi w:val="0"/>
        <w:spacing w:line="440" w:lineRule="exact"/>
        <w:ind w:left="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长沙市殡葬事务</w:t>
      </w:r>
      <w:r>
        <w:rPr>
          <w:rFonts w:hint="eastAsia" w:ascii="宋体" w:hAnsi="宋体" w:cs="宋体"/>
          <w:b/>
          <w:bCs/>
          <w:color w:val="000000" w:themeColor="text1"/>
          <w:kern w:val="0"/>
          <w:sz w:val="24"/>
          <w:szCs w:val="24"/>
          <w:lang w:val="en-US" w:eastAsia="zh-CN" w:bidi="ar-SA"/>
          <w14:textFill>
            <w14:solidFill>
              <w14:schemeClr w14:val="tx1"/>
            </w14:solidFill>
          </w14:textFill>
        </w:rPr>
        <w:t>中心</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p w14:paraId="4AABB4A5">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我单位确认参加                       项目的报名，现声明：</w:t>
      </w:r>
    </w:p>
    <w:p w14:paraId="328BD546">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一、本单位具备《中华人民共和国政府采购法》第二十二条规定的条件：</w:t>
      </w:r>
    </w:p>
    <w:p w14:paraId="6AE4CD60">
      <w:pPr>
        <w:keepNext w:val="0"/>
        <w:keepLines w:val="0"/>
        <w:pageBreakBefore w:val="0"/>
        <w:kinsoku/>
        <w:wordWrap/>
        <w:overflowPunct/>
        <w:topLinePunct w:val="0"/>
        <w:autoSpaceDE/>
        <w:autoSpaceDN/>
        <w:bidi w:val="0"/>
        <w:spacing w:line="440" w:lineRule="exact"/>
        <w:ind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（一）具有独立承担民事责任的能力。</w:t>
      </w:r>
    </w:p>
    <w:p w14:paraId="0CD94C8D">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（二）具有良好的商业信誉和健全的财务会计制度。</w:t>
      </w:r>
    </w:p>
    <w:p w14:paraId="5C3807D6">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（三）具有履行合同所必需的设备和专业技术能力。</w:t>
      </w:r>
    </w:p>
    <w:p w14:paraId="63CC3CC9">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（四）有依法缴纳税收和社会保障资金的良好记录。</w:t>
      </w:r>
    </w:p>
    <w:p w14:paraId="67B58BB5">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（五）参加本次采购活动前三年内，在经营活动中没有重大违法记录。</w:t>
      </w:r>
    </w:p>
    <w:p w14:paraId="2107E7A1">
      <w:pPr>
        <w:keepNext w:val="0"/>
        <w:keepLines w:val="0"/>
        <w:pageBreakBefore w:val="0"/>
        <w:widowControl/>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（六）法律、行政法规规定的其他条件。</w:t>
      </w:r>
    </w:p>
    <w:p w14:paraId="3D584A88">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二、根据《中华人民共和国政府采购法实施条例》的规定，本公司（企业）没有为采购项目提供整体设计、规范编制或者项目管理、监理、检测等服务。否则，由此所造成的损失、不良后果及法律责任，一律由我公司（企业）承担。</w:t>
      </w:r>
    </w:p>
    <w:p w14:paraId="3FAB0C03">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三、我方承诺单位负责人为同一人或者存在直接控股、管理关系的不同供应商，没有同时参加本采购项目投标。</w:t>
      </w:r>
    </w:p>
    <w:p w14:paraId="49433A6D">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以上内容如有虚假或与事实不符的，可将我方</w:t>
      </w:r>
      <w:r>
        <w:rPr>
          <w:rFonts w:hint="eastAsia" w:ascii="宋体" w:hAnsi="宋体" w:cs="宋体"/>
          <w:color w:val="000000" w:themeColor="text1"/>
          <w:kern w:val="0"/>
          <w:sz w:val="24"/>
          <w:szCs w:val="24"/>
          <w:lang w:val="en-US" w:eastAsia="zh-CN" w:bidi="ar-SA"/>
          <w14:textFill>
            <w14:solidFill>
              <w14:schemeClr w14:val="tx1"/>
            </w14:solidFill>
          </w14:textFill>
        </w:rPr>
        <w:t>作</w:t>
      </w:r>
      <w:r>
        <w:rPr>
          <w:rFonts w:hint="eastAsia" w:ascii="宋体" w:hAnsi="宋体" w:eastAsia="宋体" w:cs="宋体"/>
          <w:color w:val="000000" w:themeColor="text1"/>
          <w:kern w:val="0"/>
          <w:sz w:val="24"/>
          <w:szCs w:val="24"/>
          <w:lang w:val="en-US" w:eastAsia="zh-CN" w:bidi="ar-SA"/>
          <w14:textFill>
            <w14:solidFill>
              <w14:schemeClr w14:val="tx1"/>
            </w14:solidFill>
          </w14:textFill>
        </w:rPr>
        <w:t>无效响应处理，我方愿意承担相应的法律责任。</w:t>
      </w:r>
    </w:p>
    <w:p w14:paraId="1512FF43">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本单位承诺在本次采购活动中，如有违法、违规、弄虚作假行为，所造成的损失、不良后果及法律责任，一律由我单位承担。中标后，项目不转包分包。</w:t>
      </w:r>
    </w:p>
    <w:p w14:paraId="4875DE1B">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特此声明！</w:t>
      </w:r>
    </w:p>
    <w:p w14:paraId="0F5FCF5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备注：本</w:t>
      </w:r>
      <w:r>
        <w:rPr>
          <w:rFonts w:hint="eastAsia" w:ascii="宋体" w:hAnsi="宋体" w:cs="宋体"/>
          <w:b/>
          <w:bCs/>
          <w:color w:val="000000" w:themeColor="text1"/>
          <w:kern w:val="0"/>
          <w:sz w:val="24"/>
          <w:szCs w:val="24"/>
          <w:lang w:val="en-US" w:eastAsia="zh-CN" w:bidi="ar-SA"/>
          <w14:textFill>
            <w14:solidFill>
              <w14:schemeClr w14:val="tx1"/>
            </w14:solidFill>
          </w14:textFill>
        </w:rPr>
        <w:t>承诺</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函必须提供且内容不得擅自删改，否则视为无效响应。 </w:t>
      </w:r>
    </w:p>
    <w:p w14:paraId="2425295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投标</w:t>
      </w:r>
      <w:r>
        <w:rPr>
          <w:rFonts w:hint="eastAsia" w:ascii="宋体" w:hAnsi="宋体" w:eastAsia="宋体" w:cs="宋体"/>
          <w:color w:val="000000" w:themeColor="text1"/>
          <w:kern w:val="0"/>
          <w:sz w:val="24"/>
          <w:szCs w:val="24"/>
          <w:lang w:val="en-US" w:eastAsia="zh-CN" w:bidi="ar-SA"/>
          <w14:textFill>
            <w14:solidFill>
              <w14:schemeClr w14:val="tx1"/>
            </w14:solidFill>
          </w14:textFill>
        </w:rPr>
        <w:t>单位名称（单位盖公章）：　　　　　　　　　　　　　　</w:t>
      </w:r>
    </w:p>
    <w:p w14:paraId="59BD464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单位地址：　　　　　　　　　　　　　　　</w:t>
      </w:r>
    </w:p>
    <w:p w14:paraId="3778C5BF">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投标</w:t>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单位联系人（签名）：               </w:t>
      </w:r>
    </w:p>
    <w:p w14:paraId="19223BE7">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联系电话：    </w:t>
      </w:r>
    </w:p>
    <w:p w14:paraId="1BA330F9">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日期：</w:t>
      </w:r>
    </w:p>
    <w:p w14:paraId="2CA9D23C">
      <w:pPr>
        <w:rPr>
          <w:rFonts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36"/>
          <w:szCs w:val="36"/>
          <w14:textFill>
            <w14:solidFill>
              <w14:schemeClr w14:val="tx1"/>
            </w14:solidFill>
          </w14:textFill>
        </w:rPr>
        <w:br w:type="page"/>
      </w:r>
    </w:p>
    <w:p w14:paraId="4B3DB8E7">
      <w:pPr>
        <w:numPr>
          <w:ilvl w:val="0"/>
          <w:numId w:val="0"/>
        </w:numPr>
        <w:spacing w:line="220" w:lineRule="atLeast"/>
        <w:jc w:val="center"/>
        <w:rPr>
          <w:rFonts w:ascii="宋体" w:hAnsi="宋体" w:eastAsia="宋体"/>
          <w:b/>
          <w:color w:val="000000" w:themeColor="text1"/>
          <w:sz w:val="36"/>
          <w:szCs w:val="36"/>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2.</w:t>
      </w:r>
      <w:r>
        <w:rPr>
          <w:rFonts w:hint="eastAsia" w:ascii="宋体" w:hAnsi="宋体" w:eastAsia="宋体"/>
          <w:b/>
          <w:color w:val="000000" w:themeColor="text1"/>
          <w:sz w:val="36"/>
          <w:szCs w:val="36"/>
          <w14:textFill>
            <w14:solidFill>
              <w14:schemeClr w14:val="tx1"/>
            </w14:solidFill>
          </w14:textFill>
        </w:rPr>
        <w:t>长沙市殡葬事务中心白蚁防治及灭四害消杀服务项目询价回执</w:t>
      </w:r>
    </w:p>
    <w:p w14:paraId="1769DD91">
      <w:pPr>
        <w:pStyle w:val="14"/>
        <w:spacing w:line="360" w:lineRule="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致：长沙市殡葬事务中心</w:t>
      </w:r>
    </w:p>
    <w:p w14:paraId="699D0071">
      <w:pPr>
        <w:pStyle w:val="14"/>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一、根据已收到的询价文件，我公司根据自身实际情况及研究询价文件后，愿以人民币（大写）：</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的总价，按询价文件的要求承包白蚁防治及灭四害消杀服务项目。</w:t>
      </w:r>
    </w:p>
    <w:p w14:paraId="34F01334">
      <w:pPr>
        <w:pStyle w:val="13"/>
        <w:spacing w:after="0" w:line="360" w:lineRule="auto"/>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二、一旦中标，我方保证在签订合同后，即刻开展相关服务，并在</w:t>
      </w:r>
      <w:r>
        <w:rPr>
          <w:rFonts w:hint="eastAsia" w:ascii="宋体" w:hAnsi="宋体" w:eastAsia="宋体"/>
          <w:color w:val="000000" w:themeColor="text1"/>
          <w:sz w:val="24"/>
          <w:szCs w:val="24"/>
          <w:lang w:val="en-US" w:eastAsia="zh-CN"/>
          <w14:textFill>
            <w14:solidFill>
              <w14:schemeClr w14:val="tx1"/>
            </w14:solidFill>
          </w14:textFill>
        </w:rPr>
        <w:t>限</w:t>
      </w:r>
      <w:r>
        <w:rPr>
          <w:rFonts w:hint="eastAsia" w:ascii="宋体" w:hAnsi="宋体" w:eastAsia="宋体"/>
          <w:color w:val="000000" w:themeColor="text1"/>
          <w:sz w:val="24"/>
          <w:szCs w:val="24"/>
          <w14:textFill>
            <w14:solidFill>
              <w14:schemeClr w14:val="tx1"/>
            </w14:solidFill>
          </w14:textFill>
        </w:rPr>
        <w:t>定的期限内完成工作。</w:t>
      </w:r>
    </w:p>
    <w:p w14:paraId="4A3D6661">
      <w:pPr>
        <w:pStyle w:val="13"/>
        <w:spacing w:after="0" w:line="360" w:lineRule="auto"/>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三、加强现场管理，搞好现场文明服务工作，确保安全，进入服务区的管理人员和作业人员严格执行有关管理制度，遵守有关法律法规。</w:t>
      </w:r>
    </w:p>
    <w:p w14:paraId="767D29C5">
      <w:pPr>
        <w:pStyle w:val="13"/>
        <w:spacing w:after="0" w:line="360" w:lineRule="auto"/>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四、我公司统一在规定的询价文件有效期内严格遵守本询价文件的各项承诺。在此期限届满之前，本询价响应文件始终对我方具有约束力，并随时接受中标。</w:t>
      </w:r>
    </w:p>
    <w:p w14:paraId="1ECE83DF">
      <w:pPr>
        <w:pStyle w:val="13"/>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p>
    <w:p w14:paraId="347252C5">
      <w:pPr>
        <w:pStyle w:val="13"/>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投标单位（盖章）：</w:t>
      </w:r>
    </w:p>
    <w:p w14:paraId="2E78D362">
      <w:pPr>
        <w:pStyle w:val="13"/>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法人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（委托人）：</w:t>
      </w:r>
    </w:p>
    <w:p w14:paraId="659090E9">
      <w:pPr>
        <w:pStyle w:val="13"/>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电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话 ：</w:t>
      </w:r>
    </w:p>
    <w:p w14:paraId="255D9359">
      <w:pPr>
        <w:pStyle w:val="13"/>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 xml:space="preserve"> 年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 xml:space="preserve"> 月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日</w:t>
      </w:r>
    </w:p>
    <w:p w14:paraId="6B425371">
      <w:pPr>
        <w:pStyle w:val="13"/>
        <w:spacing w:line="220" w:lineRule="atLeas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p>
    <w:p w14:paraId="56B50B92">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024653D1">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77086947">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6C337CBB">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545D77FB">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267855AC">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52B59363">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6959BAE9">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61414D99">
      <w:pPr>
        <w:spacing w:line="480" w:lineRule="auto"/>
        <w:jc w:val="center"/>
        <w:rPr>
          <w:rFonts w:ascii="仿宋" w:hAnsi="仿宋" w:eastAsia="仿宋" w:cs="仿宋_GB2312"/>
          <w:color w:val="000000" w:themeColor="text1"/>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3.</w:t>
      </w:r>
      <w:r>
        <w:rPr>
          <w:rFonts w:hint="eastAsia" w:ascii="宋体" w:hAnsi="宋体" w:eastAsia="宋体"/>
          <w:b/>
          <w:color w:val="000000" w:themeColor="text1"/>
          <w:sz w:val="36"/>
          <w:szCs w:val="36"/>
          <w14:textFill>
            <w14:solidFill>
              <w14:schemeClr w14:val="tx1"/>
            </w14:solidFill>
          </w14:textFill>
        </w:rPr>
        <w:t>营业执照复印件（加盖公章）</w:t>
      </w:r>
    </w:p>
    <w:p w14:paraId="6B2BD7DF">
      <w:pPr>
        <w:pStyle w:val="13"/>
        <w:spacing w:after="0" w:line="420" w:lineRule="exact"/>
        <w:ind w:left="720" w:firstLine="0" w:firstLineChars="0"/>
        <w:rPr>
          <w:rFonts w:ascii="宋体" w:hAnsi="宋体" w:eastAsia="宋体"/>
          <w:b/>
          <w:color w:val="000000" w:themeColor="text1"/>
          <w:sz w:val="36"/>
          <w:szCs w:val="36"/>
          <w14:textFill>
            <w14:solidFill>
              <w14:schemeClr w14:val="tx1"/>
            </w14:solidFill>
          </w14:textFill>
        </w:rPr>
      </w:pPr>
    </w:p>
    <w:p w14:paraId="251DF456">
      <w:pPr>
        <w:pStyle w:val="13"/>
        <w:spacing w:after="0" w:line="420" w:lineRule="exact"/>
        <w:ind w:left="720" w:firstLine="0" w:firstLineChars="0"/>
        <w:rPr>
          <w:rFonts w:ascii="宋体" w:hAnsi="宋体" w:eastAsia="宋体"/>
          <w:b/>
          <w:color w:val="000000" w:themeColor="text1"/>
          <w:sz w:val="36"/>
          <w:szCs w:val="36"/>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51C790B9">
      <w:pPr>
        <w:spacing w:beforeLines="100" w:afterLines="100" w:line="360" w:lineRule="auto"/>
        <w:ind w:right="-21" w:rightChars="-10"/>
        <w:jc w:val="center"/>
        <w:rPr>
          <w:rFonts w:ascii="仿宋" w:hAnsi="仿宋" w:eastAsia="仿宋" w:cs="仿宋_GB2312"/>
          <w:b/>
          <w:color w:val="000000" w:themeColor="text1"/>
          <w:sz w:val="32"/>
          <w:szCs w:val="32"/>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4.</w:t>
      </w:r>
      <w:r>
        <w:rPr>
          <w:rFonts w:hint="eastAsia" w:ascii="宋体" w:hAnsi="宋体" w:eastAsia="宋体"/>
          <w:b/>
          <w:color w:val="000000" w:themeColor="text1"/>
          <w:sz w:val="36"/>
          <w:szCs w:val="36"/>
          <w14:textFill>
            <w14:solidFill>
              <w14:schemeClr w14:val="tx1"/>
            </w14:solidFill>
          </w14:textFill>
        </w:rPr>
        <w:t>法定代表人身份证明</w:t>
      </w:r>
    </w:p>
    <w:p w14:paraId="1EAE036C">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姓名：</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，性别：</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，出生日期：</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，现任职务：</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，系</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（供应商名称）的法定代表人。</w:t>
      </w:r>
    </w:p>
    <w:p w14:paraId="1C1870D9">
      <w:pPr>
        <w:spacing w:line="360" w:lineRule="auto"/>
        <w:ind w:firstLine="420" w:firstLineChars="200"/>
        <w:rPr>
          <w:rFonts w:ascii="宋体" w:hAnsi="宋体" w:eastAsia="宋体"/>
          <w:color w:val="000000" w:themeColor="text1"/>
          <w:sz w:val="21"/>
          <w:szCs w:val="21"/>
          <w14:textFill>
            <w14:solidFill>
              <w14:schemeClr w14:val="tx1"/>
            </w14:solidFill>
          </w14:textFill>
        </w:rPr>
      </w:pPr>
    </w:p>
    <w:p w14:paraId="5F3080FF">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特此证明。</w:t>
      </w:r>
    </w:p>
    <w:p w14:paraId="64DA3529">
      <w:pPr>
        <w:rPr>
          <w:rFonts w:ascii="宋体" w:hAnsi="宋体" w:eastAsia="宋体"/>
          <w:color w:val="000000" w:themeColor="text1"/>
          <w:sz w:val="21"/>
          <w:szCs w:val="21"/>
          <w14:textFill>
            <w14:solidFill>
              <w14:schemeClr w14:val="tx1"/>
            </w14:solidFill>
          </w14:textFill>
        </w:rPr>
      </w:pPr>
    </w:p>
    <w:tbl>
      <w:tblPr>
        <w:tblStyle w:val="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0C4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5" w:hRule="atLeast"/>
          <w:jc w:val="center"/>
        </w:trPr>
        <w:tc>
          <w:tcPr>
            <w:tcW w:w="8820" w:type="dxa"/>
          </w:tcPr>
          <w:p w14:paraId="1DA9F5F1">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w:t>
            </w:r>
            <w:r>
              <w:rPr>
                <w:rFonts w:hint="eastAsia" w:ascii="宋体" w:hAnsi="宋体"/>
                <w:color w:val="000000" w:themeColor="text1"/>
                <w:sz w:val="21"/>
                <w:szCs w:val="21"/>
                <w:lang w:eastAsia="zh-CN"/>
                <w14:textFill>
                  <w14:solidFill>
                    <w14:schemeClr w14:val="tx1"/>
                  </w14:solidFill>
                </w14:textFill>
              </w:rPr>
              <w:t>人身</w:t>
            </w:r>
            <w:r>
              <w:rPr>
                <w:rFonts w:hint="eastAsia" w:ascii="宋体" w:hAnsi="宋体" w:eastAsia="宋体"/>
                <w:color w:val="000000" w:themeColor="text1"/>
                <w:sz w:val="21"/>
                <w:szCs w:val="21"/>
                <w14:textFill>
                  <w14:solidFill>
                    <w14:schemeClr w14:val="tx1"/>
                  </w14:solidFill>
                </w14:textFill>
              </w:rPr>
              <w:t>份证正、反面复印件</w:t>
            </w:r>
          </w:p>
        </w:tc>
      </w:tr>
    </w:tbl>
    <w:p w14:paraId="284D95B0">
      <w:pPr>
        <w:rPr>
          <w:rFonts w:ascii="宋体" w:hAnsi="宋体" w:eastAsia="宋体"/>
          <w:color w:val="000000" w:themeColor="text1"/>
          <w:sz w:val="21"/>
          <w:szCs w:val="21"/>
          <w14:textFill>
            <w14:solidFill>
              <w14:schemeClr w14:val="tx1"/>
            </w14:solidFill>
          </w14:textFill>
        </w:rPr>
      </w:pPr>
    </w:p>
    <w:p w14:paraId="099CF876">
      <w:pPr>
        <w:rPr>
          <w:rFonts w:ascii="宋体" w:hAnsi="宋体" w:eastAsia="宋体"/>
          <w:color w:val="000000" w:themeColor="text1"/>
          <w:sz w:val="21"/>
          <w:szCs w:val="21"/>
          <w14:textFill>
            <w14:solidFill>
              <w14:schemeClr w14:val="tx1"/>
            </w14:solidFill>
          </w14:textFill>
        </w:rPr>
      </w:pPr>
    </w:p>
    <w:p w14:paraId="4D7490C7">
      <w:p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供应商名称（加盖单位公章）：</w:t>
      </w:r>
      <w:r>
        <w:rPr>
          <w:rFonts w:hint="eastAsia" w:ascii="宋体" w:hAnsi="宋体" w:eastAsia="宋体"/>
          <w:color w:val="000000" w:themeColor="text1"/>
          <w:sz w:val="21"/>
          <w:szCs w:val="21"/>
          <w:u w:val="single"/>
          <w14:textFill>
            <w14:solidFill>
              <w14:schemeClr w14:val="tx1"/>
            </w14:solidFill>
          </w14:textFill>
        </w:rPr>
        <w:t xml:space="preserve">           </w:t>
      </w:r>
    </w:p>
    <w:p w14:paraId="24F3CD14">
      <w:p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r>
        <w:rPr>
          <w:rFonts w:hint="eastAsia" w:ascii="宋体" w:hAnsi="宋体" w:eastAsia="宋体"/>
          <w:color w:val="000000" w:themeColor="text1"/>
          <w:sz w:val="21"/>
          <w:szCs w:val="21"/>
          <w:u w:val="single"/>
          <w14:textFill>
            <w14:solidFill>
              <w14:schemeClr w14:val="tx1"/>
            </w14:solidFill>
          </w14:textFill>
        </w:rPr>
        <w:t xml:space="preserve">                </w:t>
      </w:r>
    </w:p>
    <w:p w14:paraId="627F8B2E">
      <w:pPr>
        <w:pStyle w:val="13"/>
        <w:spacing w:after="0" w:line="420" w:lineRule="exact"/>
        <w:ind w:left="720" w:firstLine="0" w:firstLineChars="0"/>
        <w:jc w:val="center"/>
        <w:rPr>
          <w:rFonts w:ascii="宋体" w:hAnsi="宋体" w:eastAsia="宋体"/>
          <w:b/>
          <w:color w:val="000000" w:themeColor="text1"/>
          <w:sz w:val="36"/>
          <w:szCs w:val="36"/>
          <w14:textFill>
            <w14:solidFill>
              <w14:schemeClr w14:val="tx1"/>
            </w14:solidFill>
          </w14:textFill>
        </w:rPr>
      </w:pPr>
    </w:p>
    <w:p w14:paraId="2D21687C">
      <w:pPr>
        <w:pStyle w:val="13"/>
        <w:spacing w:after="0" w:line="420" w:lineRule="exact"/>
        <w:ind w:left="720" w:firstLine="0" w:firstLineChars="0"/>
        <w:rPr>
          <w:rFonts w:ascii="宋体" w:hAnsi="宋体" w:eastAsia="宋体"/>
          <w:b/>
          <w:color w:val="000000" w:themeColor="text1"/>
          <w:sz w:val="36"/>
          <w:szCs w:val="36"/>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5460B3BC">
      <w:pPr>
        <w:pStyle w:val="13"/>
        <w:spacing w:after="0" w:line="420" w:lineRule="exact"/>
        <w:ind w:left="720" w:firstLine="0" w:firstLineChars="0"/>
        <w:jc w:val="center"/>
        <w:rPr>
          <w:rFonts w:ascii="宋体" w:hAnsi="宋体" w:eastAsia="宋体"/>
          <w:b/>
          <w:color w:val="000000" w:themeColor="text1"/>
          <w:sz w:val="36"/>
          <w:szCs w:val="36"/>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5.</w:t>
      </w:r>
      <w:r>
        <w:rPr>
          <w:rFonts w:hint="eastAsia" w:ascii="宋体" w:hAnsi="宋体" w:eastAsia="宋体"/>
          <w:b/>
          <w:color w:val="000000" w:themeColor="text1"/>
          <w:sz w:val="36"/>
          <w:szCs w:val="36"/>
          <w14:textFill>
            <w14:solidFill>
              <w14:schemeClr w14:val="tx1"/>
            </w14:solidFill>
          </w14:textFill>
        </w:rPr>
        <w:t>授权委托书</w:t>
      </w:r>
    </w:p>
    <w:p w14:paraId="2A1FB11B">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委托人（单位名称）：</w:t>
      </w:r>
      <w:r>
        <w:rPr>
          <w:rFonts w:hint="eastAsia" w:ascii="宋体" w:hAnsi="宋体" w:eastAsia="宋体"/>
          <w:color w:val="000000" w:themeColor="text1"/>
          <w:sz w:val="21"/>
          <w:szCs w:val="21"/>
          <w:u w:val="single"/>
          <w14:textFill>
            <w14:solidFill>
              <w14:schemeClr w14:val="tx1"/>
            </w14:solidFill>
          </w14:textFill>
        </w:rPr>
        <w:t xml:space="preserve">                </w:t>
      </w:r>
    </w:p>
    <w:p w14:paraId="49BD6F09">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法定代表人（或非法人组织负责人）姓名：</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身份证号码：</w:t>
      </w:r>
      <w:r>
        <w:rPr>
          <w:rFonts w:hint="eastAsia" w:ascii="宋体" w:hAnsi="宋体" w:eastAsia="宋体"/>
          <w:color w:val="000000" w:themeColor="text1"/>
          <w:sz w:val="21"/>
          <w:szCs w:val="21"/>
          <w:u w:val="single"/>
          <w14:textFill>
            <w14:solidFill>
              <w14:schemeClr w14:val="tx1"/>
            </w14:solidFill>
          </w14:textFill>
        </w:rPr>
        <w:t xml:space="preserve">         </w:t>
      </w:r>
    </w:p>
    <w:p w14:paraId="4A0AE884">
      <w:pPr>
        <w:tabs>
          <w:tab w:val="left" w:pos="5205"/>
        </w:tabs>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住所地：</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u w:val="single"/>
          <w14:textFill>
            <w14:solidFill>
              <w14:schemeClr w14:val="tx1"/>
            </w14:solidFill>
          </w14:textFill>
        </w:rPr>
        <w:tab/>
      </w:r>
    </w:p>
    <w:p w14:paraId="339BBC24">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受托人名称：</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身份证号码：</w:t>
      </w:r>
      <w:r>
        <w:rPr>
          <w:rFonts w:hint="eastAsia" w:ascii="宋体" w:hAnsi="宋体" w:eastAsia="宋体"/>
          <w:color w:val="000000" w:themeColor="text1"/>
          <w:sz w:val="21"/>
          <w:szCs w:val="21"/>
          <w:u w:val="single"/>
          <w14:textFill>
            <w14:solidFill>
              <w14:schemeClr w14:val="tx1"/>
            </w14:solidFill>
          </w14:textFill>
        </w:rPr>
        <w:t xml:space="preserve">         </w:t>
      </w:r>
    </w:p>
    <w:p w14:paraId="1DD23D50">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工作单位：</w:t>
      </w:r>
      <w:r>
        <w:rPr>
          <w:rFonts w:hint="eastAsia" w:ascii="宋体" w:hAnsi="宋体" w:eastAsia="宋体"/>
          <w:color w:val="000000" w:themeColor="text1"/>
          <w:sz w:val="21"/>
          <w:szCs w:val="21"/>
          <w:u w:val="single"/>
          <w14:textFill>
            <w14:solidFill>
              <w14:schemeClr w14:val="tx1"/>
            </w14:solidFill>
          </w14:textFill>
        </w:rPr>
        <w:t xml:space="preserve">                  </w:t>
      </w:r>
    </w:p>
    <w:p w14:paraId="428813E9">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住址：</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电话：</w:t>
      </w:r>
      <w:r>
        <w:rPr>
          <w:rFonts w:hint="eastAsia" w:ascii="宋体" w:hAnsi="宋体" w:eastAsia="宋体"/>
          <w:color w:val="000000" w:themeColor="text1"/>
          <w:sz w:val="21"/>
          <w:szCs w:val="21"/>
          <w:u w:val="single"/>
          <w14:textFill>
            <w14:solidFill>
              <w14:schemeClr w14:val="tx1"/>
            </w14:solidFill>
          </w14:textFill>
        </w:rPr>
        <w:t xml:space="preserve">               </w:t>
      </w:r>
    </w:p>
    <w:p w14:paraId="48CD5549">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现委托</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就</w:t>
      </w:r>
      <w:r>
        <w:rPr>
          <w:rFonts w:hint="eastAsia" w:ascii="宋体" w:hAnsi="宋体" w:eastAsia="宋体"/>
          <w:color w:val="000000" w:themeColor="text1"/>
          <w:sz w:val="21"/>
          <w:szCs w:val="21"/>
          <w:u w:val="single"/>
          <w14:textFill>
            <w14:solidFill>
              <w14:schemeClr w14:val="tx1"/>
            </w14:solidFill>
          </w14:textFill>
        </w:rPr>
        <w:t>（项目名称）</w:t>
      </w:r>
      <w:r>
        <w:rPr>
          <w:rFonts w:hint="eastAsia" w:ascii="宋体" w:hAnsi="宋体" w:eastAsia="宋体"/>
          <w:color w:val="000000" w:themeColor="text1"/>
          <w:sz w:val="21"/>
          <w:szCs w:val="21"/>
          <w14:textFill>
            <w14:solidFill>
              <w14:schemeClr w14:val="tx1"/>
            </w14:solidFill>
          </w14:textFill>
        </w:rPr>
        <w:t>采购活动，以我单位名义处理一切与之有关的事务。</w:t>
      </w:r>
    </w:p>
    <w:p w14:paraId="42492126">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本授权书于</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日签字或盖章生效，</w:t>
      </w:r>
      <w:r>
        <w:rPr>
          <w:rFonts w:hint="eastAsia" w:ascii="宋体" w:hAnsi="宋体" w:eastAsia="宋体"/>
          <w:b/>
          <w:color w:val="000000" w:themeColor="text1"/>
          <w:sz w:val="21"/>
          <w:szCs w:val="21"/>
          <w14:textFill>
            <w14:solidFill>
              <w14:schemeClr w14:val="tx1"/>
            </w14:solidFill>
          </w14:textFill>
        </w:rPr>
        <w:t>无转委托</w:t>
      </w:r>
      <w:r>
        <w:rPr>
          <w:rFonts w:hint="eastAsia" w:ascii="宋体" w:hAnsi="宋体"/>
          <w:b/>
          <w:color w:val="000000" w:themeColor="text1"/>
          <w:sz w:val="21"/>
          <w:szCs w:val="21"/>
          <w:lang w:eastAsia="zh-CN"/>
          <w14:textFill>
            <w14:solidFill>
              <w14:schemeClr w14:val="tx1"/>
            </w14:solidFill>
          </w14:textFill>
        </w:rPr>
        <w:t>权限</w:t>
      </w:r>
      <w:r>
        <w:rPr>
          <w:rFonts w:hint="eastAsia" w:ascii="宋体" w:hAnsi="宋体" w:eastAsia="宋体"/>
          <w:b/>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特此声明。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69C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jc w:val="center"/>
        </w:trPr>
        <w:tc>
          <w:tcPr>
            <w:tcW w:w="8340" w:type="dxa"/>
          </w:tcPr>
          <w:p w14:paraId="57163AE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（※受托人身份证正、反面复印件※）</w:t>
            </w:r>
          </w:p>
        </w:tc>
      </w:tr>
    </w:tbl>
    <w:p w14:paraId="756BC37A">
      <w:pPr>
        <w:spacing w:line="360" w:lineRule="auto"/>
        <w:rPr>
          <w:rFonts w:ascii="宋体" w:hAnsi="宋体" w:eastAsia="宋体"/>
          <w:color w:val="000000" w:themeColor="text1"/>
          <w:sz w:val="21"/>
          <w:szCs w:val="21"/>
          <w14:textFill>
            <w14:solidFill>
              <w14:schemeClr w14:val="tx1"/>
            </w14:solidFill>
          </w14:textFill>
        </w:rPr>
      </w:pPr>
    </w:p>
    <w:p w14:paraId="7D12DAB6">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委托人（加盖单位公章）：</w:t>
      </w:r>
      <w:r>
        <w:rPr>
          <w:rFonts w:hint="eastAsia" w:ascii="宋体" w:hAnsi="宋体" w:eastAsia="宋体"/>
          <w:color w:val="000000" w:themeColor="text1"/>
          <w:sz w:val="21"/>
          <w:szCs w:val="21"/>
          <w:u w:val="single"/>
          <w14:textFill>
            <w14:solidFill>
              <w14:schemeClr w14:val="tx1"/>
            </w14:solidFill>
          </w14:textFill>
        </w:rPr>
        <w:t xml:space="preserve">              </w:t>
      </w:r>
    </w:p>
    <w:p w14:paraId="2CB8B5DE">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法定代表人（或非法人组织负责人）（签字或盖章）：</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p>
    <w:p w14:paraId="530C2540">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受托人（签字或盖章）：</w:t>
      </w:r>
      <w:r>
        <w:rPr>
          <w:rFonts w:hint="eastAsia" w:ascii="宋体" w:hAnsi="宋体" w:eastAsia="宋体"/>
          <w:color w:val="000000" w:themeColor="text1"/>
          <w:sz w:val="21"/>
          <w:szCs w:val="21"/>
          <w:u w:val="single"/>
          <w14:textFill>
            <w14:solidFill>
              <w14:schemeClr w14:val="tx1"/>
            </w14:solidFill>
          </w14:textFill>
        </w:rPr>
        <w:t xml:space="preserve">              </w:t>
      </w:r>
    </w:p>
    <w:p w14:paraId="2B3109D4">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详细通讯地址：</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邮政编码 ：</w:t>
      </w:r>
      <w:r>
        <w:rPr>
          <w:rFonts w:hint="eastAsia" w:ascii="宋体" w:hAnsi="宋体" w:eastAsia="宋体"/>
          <w:color w:val="000000" w:themeColor="text1"/>
          <w:sz w:val="21"/>
          <w:szCs w:val="21"/>
          <w:u w:val="single"/>
          <w14:textFill>
            <w14:solidFill>
              <w14:schemeClr w14:val="tx1"/>
            </w14:solidFill>
          </w14:textFill>
        </w:rPr>
        <w:t xml:space="preserve">              </w:t>
      </w:r>
    </w:p>
    <w:p w14:paraId="441605A0">
      <w:pPr>
        <w:spacing w:line="360" w:lineRule="auto"/>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传        真：</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电     话：</w:t>
      </w:r>
      <w:r>
        <w:rPr>
          <w:rFonts w:hint="eastAsia" w:ascii="宋体" w:hAnsi="宋体" w:eastAsia="宋体"/>
          <w:color w:val="000000" w:themeColor="text1"/>
          <w:sz w:val="21"/>
          <w:szCs w:val="21"/>
          <w:u w:val="single"/>
          <w14:textFill>
            <w14:solidFill>
              <w14:schemeClr w14:val="tx1"/>
            </w14:solidFill>
          </w14:textFill>
        </w:rPr>
        <w:t xml:space="preserve">              </w:t>
      </w:r>
    </w:p>
    <w:p w14:paraId="5E2E47F6">
      <w:pPr>
        <w:spacing w:line="360" w:lineRule="auto"/>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        期</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u w:val="single"/>
          <w14:textFill>
            <w14:solidFill>
              <w14:schemeClr w14:val="tx1"/>
            </w14:solidFill>
          </w14:textFill>
        </w:rPr>
        <w:t xml:space="preserve">                       </w:t>
      </w:r>
    </w:p>
    <w:p w14:paraId="0534D418">
      <w:pPr>
        <w:spacing w:line="220" w:lineRule="atLeast"/>
        <w:jc w:val="center"/>
        <w:rPr>
          <w:rFonts w:ascii="宋体" w:hAnsi="宋体" w:eastAsia="宋体"/>
          <w:b/>
          <w:color w:val="000000" w:themeColor="text1"/>
          <w:sz w:val="21"/>
          <w:szCs w:val="2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006EEB74">
      <w:pPr>
        <w:jc w:val="center"/>
        <w:rPr>
          <w:rFonts w:ascii="宋体" w:hAnsi="宋体" w:eastAsia="宋体"/>
          <w:b/>
          <w:color w:val="000000" w:themeColor="text1"/>
          <w:sz w:val="36"/>
          <w:szCs w:val="36"/>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6.</w:t>
      </w:r>
      <w:r>
        <w:rPr>
          <w:rFonts w:hint="eastAsia" w:ascii="宋体" w:hAnsi="宋体" w:eastAsia="宋体"/>
          <w:b/>
          <w:color w:val="000000" w:themeColor="text1"/>
          <w:sz w:val="36"/>
          <w:szCs w:val="36"/>
          <w14:textFill>
            <w14:solidFill>
              <w14:schemeClr w14:val="tx1"/>
            </w14:solidFill>
          </w14:textFill>
        </w:rPr>
        <w:t>响应表</w:t>
      </w:r>
    </w:p>
    <w:tbl>
      <w:tblPr>
        <w:tblStyle w:val="8"/>
        <w:tblW w:w="87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6"/>
        <w:gridCol w:w="2237"/>
        <w:gridCol w:w="3201"/>
        <w:gridCol w:w="1355"/>
        <w:gridCol w:w="1063"/>
      </w:tblGrid>
      <w:tr w14:paraId="38C17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21" w:hRule="atLeast"/>
          <w:jc w:val="center"/>
        </w:trPr>
        <w:tc>
          <w:tcPr>
            <w:tcW w:w="866" w:type="dxa"/>
            <w:vAlign w:val="center"/>
          </w:tcPr>
          <w:p w14:paraId="7D534EEB">
            <w:pPr>
              <w:ind w:left="-88" w:leftChars="-42"/>
              <w:jc w:val="cente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序号</w:t>
            </w:r>
          </w:p>
        </w:tc>
        <w:tc>
          <w:tcPr>
            <w:tcW w:w="2237" w:type="dxa"/>
            <w:vAlign w:val="center"/>
          </w:tcPr>
          <w:p w14:paraId="27B1F4AB">
            <w:pPr>
              <w:ind w:left="-88" w:leftChars="-42"/>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询价采购需求</w:t>
            </w:r>
          </w:p>
        </w:tc>
        <w:tc>
          <w:tcPr>
            <w:tcW w:w="3201" w:type="dxa"/>
            <w:vAlign w:val="center"/>
          </w:tcPr>
          <w:p w14:paraId="41BDFCDC">
            <w:pPr>
              <w:ind w:left="-88" w:leftChars="-42"/>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响应内容</w:t>
            </w:r>
          </w:p>
        </w:tc>
        <w:tc>
          <w:tcPr>
            <w:tcW w:w="1355" w:type="dxa"/>
            <w:vAlign w:val="center"/>
          </w:tcPr>
          <w:p w14:paraId="39F40780">
            <w:pPr>
              <w:ind w:left="-88" w:leftChars="-42"/>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响应与偏离</w:t>
            </w:r>
          </w:p>
        </w:tc>
        <w:tc>
          <w:tcPr>
            <w:tcW w:w="1063" w:type="dxa"/>
            <w:vAlign w:val="center"/>
          </w:tcPr>
          <w:p w14:paraId="0582C4B6">
            <w:pPr>
              <w:ind w:left="-88" w:leftChars="-42"/>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说明</w:t>
            </w:r>
          </w:p>
        </w:tc>
      </w:tr>
      <w:tr w14:paraId="622474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272DC9BC">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7E7E575D">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29A3F8BA">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6B2390B6">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1F3B39ED">
            <w:pPr>
              <w:ind w:left="-88" w:leftChars="-42"/>
              <w:jc w:val="center"/>
              <w:rPr>
                <w:rFonts w:ascii="宋体" w:hAnsi="宋体" w:eastAsia="宋体"/>
                <w:color w:val="000000" w:themeColor="text1"/>
                <w:sz w:val="24"/>
                <w:szCs w:val="24"/>
                <w14:textFill>
                  <w14:solidFill>
                    <w14:schemeClr w14:val="tx1"/>
                  </w14:solidFill>
                </w14:textFill>
              </w:rPr>
            </w:pPr>
          </w:p>
        </w:tc>
      </w:tr>
      <w:tr w14:paraId="356157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2126A52D">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4A716006">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02420256">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019F06BF">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6AF90289">
            <w:pPr>
              <w:ind w:left="-88" w:leftChars="-42"/>
              <w:jc w:val="center"/>
              <w:rPr>
                <w:rFonts w:ascii="宋体" w:hAnsi="宋体" w:eastAsia="宋体"/>
                <w:color w:val="000000" w:themeColor="text1"/>
                <w:sz w:val="24"/>
                <w:szCs w:val="24"/>
                <w14:textFill>
                  <w14:solidFill>
                    <w14:schemeClr w14:val="tx1"/>
                  </w14:solidFill>
                </w14:textFill>
              </w:rPr>
            </w:pPr>
          </w:p>
        </w:tc>
      </w:tr>
      <w:tr w14:paraId="3E3E0D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0F023175">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04F2CDA5">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2D816124">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04426F6E">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1C38AA4A">
            <w:pPr>
              <w:ind w:left="-88" w:leftChars="-42"/>
              <w:jc w:val="center"/>
              <w:rPr>
                <w:rFonts w:ascii="宋体" w:hAnsi="宋体" w:eastAsia="宋体"/>
                <w:color w:val="000000" w:themeColor="text1"/>
                <w:sz w:val="24"/>
                <w:szCs w:val="24"/>
                <w14:textFill>
                  <w14:solidFill>
                    <w14:schemeClr w14:val="tx1"/>
                  </w14:solidFill>
                </w14:textFill>
              </w:rPr>
            </w:pPr>
          </w:p>
        </w:tc>
      </w:tr>
      <w:tr w14:paraId="7918E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4AA3358C">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28C5B3B0">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1E1AC32C">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19FE84C7">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58498385">
            <w:pPr>
              <w:ind w:left="-88" w:leftChars="-42"/>
              <w:jc w:val="center"/>
              <w:rPr>
                <w:rFonts w:ascii="宋体" w:hAnsi="宋体" w:eastAsia="宋体"/>
                <w:color w:val="000000" w:themeColor="text1"/>
                <w:sz w:val="24"/>
                <w:szCs w:val="24"/>
                <w14:textFill>
                  <w14:solidFill>
                    <w14:schemeClr w14:val="tx1"/>
                  </w14:solidFill>
                </w14:textFill>
              </w:rPr>
            </w:pPr>
          </w:p>
        </w:tc>
      </w:tr>
      <w:tr w14:paraId="07BAF4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12D055B8">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047F3E09">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44A83561">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5E115315">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1CAF3A14">
            <w:pPr>
              <w:ind w:left="-88" w:leftChars="-42"/>
              <w:jc w:val="center"/>
              <w:rPr>
                <w:rFonts w:ascii="宋体" w:hAnsi="宋体" w:eastAsia="宋体"/>
                <w:color w:val="000000" w:themeColor="text1"/>
                <w:sz w:val="24"/>
                <w:szCs w:val="24"/>
                <w14:textFill>
                  <w14:solidFill>
                    <w14:schemeClr w14:val="tx1"/>
                  </w14:solidFill>
                </w14:textFill>
              </w:rPr>
            </w:pPr>
          </w:p>
        </w:tc>
      </w:tr>
    </w:tbl>
    <w:p w14:paraId="45413D37">
      <w:pPr>
        <w:rPr>
          <w:color w:val="000000" w:themeColor="text1"/>
          <w14:textFill>
            <w14:solidFill>
              <w14:schemeClr w14:val="tx1"/>
            </w14:solidFill>
          </w14:textFill>
        </w:rPr>
      </w:pPr>
    </w:p>
    <w:p w14:paraId="2E36EEC9">
      <w:pPr>
        <w:rPr>
          <w:rFonts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36"/>
          <w:szCs w:val="36"/>
          <w14:textFill>
            <w14:solidFill>
              <w14:schemeClr w14:val="tx1"/>
            </w14:solidFill>
          </w14:textFill>
        </w:rPr>
        <w:br w:type="page"/>
      </w:r>
    </w:p>
    <w:p w14:paraId="512BB181">
      <w:pPr>
        <w:jc w:val="center"/>
        <w:rPr>
          <w:rFonts w:hint="default" w:ascii="宋体" w:hAnsi="宋体" w:eastAsia="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7.相关资质</w:t>
      </w:r>
    </w:p>
    <w:p w14:paraId="365AF9CE">
      <w:pPr>
        <w:jc w:val="center"/>
        <w:rPr>
          <w:rFonts w:hint="eastAsia" w:ascii="宋体" w:hAnsi="宋体" w:eastAsia="宋体"/>
          <w:b/>
          <w:color w:val="000000" w:themeColor="text1"/>
          <w:sz w:val="36"/>
          <w:szCs w:val="36"/>
          <w14:textFill>
            <w14:solidFill>
              <w14:schemeClr w14:val="tx1"/>
            </w14:solidFill>
          </w14:textFill>
        </w:rPr>
      </w:pPr>
    </w:p>
    <w:p w14:paraId="078C95ED">
      <w:pPr>
        <w:jc w:val="center"/>
        <w:rPr>
          <w:rFonts w:hint="eastAsia" w:ascii="宋体" w:hAnsi="宋体" w:eastAsia="宋体"/>
          <w:b/>
          <w:color w:val="000000" w:themeColor="text1"/>
          <w:sz w:val="36"/>
          <w:szCs w:val="36"/>
          <w14:textFill>
            <w14:solidFill>
              <w14:schemeClr w14:val="tx1"/>
            </w14:solidFill>
          </w14:textFill>
        </w:rPr>
      </w:pPr>
    </w:p>
    <w:p w14:paraId="5C3E695C">
      <w:pPr>
        <w:jc w:val="center"/>
        <w:rPr>
          <w:rFonts w:hint="eastAsia" w:ascii="宋体" w:hAnsi="宋体" w:eastAsia="宋体"/>
          <w:b/>
          <w:color w:val="000000" w:themeColor="text1"/>
          <w:sz w:val="36"/>
          <w:szCs w:val="36"/>
          <w14:textFill>
            <w14:solidFill>
              <w14:schemeClr w14:val="tx1"/>
            </w14:solidFill>
          </w14:textFill>
        </w:rPr>
      </w:pPr>
    </w:p>
    <w:p w14:paraId="77A3C128">
      <w:pPr>
        <w:jc w:val="center"/>
        <w:rPr>
          <w:rFonts w:hint="eastAsia" w:ascii="宋体" w:hAnsi="宋体" w:eastAsia="宋体"/>
          <w:b/>
          <w:color w:val="000000" w:themeColor="text1"/>
          <w:sz w:val="36"/>
          <w:szCs w:val="36"/>
          <w14:textFill>
            <w14:solidFill>
              <w14:schemeClr w14:val="tx1"/>
            </w14:solidFill>
          </w14:textFill>
        </w:rPr>
      </w:pPr>
    </w:p>
    <w:p w14:paraId="2F8E8B6F">
      <w:pPr>
        <w:jc w:val="center"/>
        <w:rPr>
          <w:rFonts w:hint="eastAsia" w:ascii="宋体" w:hAnsi="宋体" w:eastAsia="宋体"/>
          <w:b/>
          <w:color w:val="000000" w:themeColor="text1"/>
          <w:sz w:val="36"/>
          <w:szCs w:val="36"/>
          <w14:textFill>
            <w14:solidFill>
              <w14:schemeClr w14:val="tx1"/>
            </w14:solidFill>
          </w14:textFill>
        </w:rPr>
      </w:pPr>
    </w:p>
    <w:p w14:paraId="6673A3C8">
      <w:pPr>
        <w:jc w:val="center"/>
        <w:rPr>
          <w:rFonts w:hint="eastAsia" w:ascii="宋体" w:hAnsi="宋体" w:eastAsia="宋体"/>
          <w:b/>
          <w:color w:val="000000" w:themeColor="text1"/>
          <w:sz w:val="36"/>
          <w:szCs w:val="36"/>
          <w14:textFill>
            <w14:solidFill>
              <w14:schemeClr w14:val="tx1"/>
            </w14:solidFill>
          </w14:textFill>
        </w:rPr>
      </w:pPr>
    </w:p>
    <w:p w14:paraId="1671A26C">
      <w:pPr>
        <w:jc w:val="center"/>
        <w:rPr>
          <w:rFonts w:hint="eastAsia" w:ascii="宋体" w:hAnsi="宋体" w:eastAsia="宋体"/>
          <w:b/>
          <w:color w:val="000000" w:themeColor="text1"/>
          <w:sz w:val="36"/>
          <w:szCs w:val="36"/>
          <w14:textFill>
            <w14:solidFill>
              <w14:schemeClr w14:val="tx1"/>
            </w14:solidFill>
          </w14:textFill>
        </w:rPr>
      </w:pPr>
    </w:p>
    <w:p w14:paraId="583DB910">
      <w:pPr>
        <w:jc w:val="center"/>
        <w:rPr>
          <w:rFonts w:hint="eastAsia" w:ascii="宋体" w:hAnsi="宋体" w:eastAsia="宋体"/>
          <w:b/>
          <w:color w:val="000000" w:themeColor="text1"/>
          <w:sz w:val="36"/>
          <w:szCs w:val="36"/>
          <w14:textFill>
            <w14:solidFill>
              <w14:schemeClr w14:val="tx1"/>
            </w14:solidFill>
          </w14:textFill>
        </w:rPr>
      </w:pPr>
    </w:p>
    <w:p w14:paraId="18B6C590">
      <w:pPr>
        <w:jc w:val="center"/>
        <w:rPr>
          <w:rFonts w:hint="eastAsia" w:ascii="宋体" w:hAnsi="宋体" w:eastAsia="宋体"/>
          <w:b/>
          <w:color w:val="000000" w:themeColor="text1"/>
          <w:sz w:val="36"/>
          <w:szCs w:val="36"/>
          <w14:textFill>
            <w14:solidFill>
              <w14:schemeClr w14:val="tx1"/>
            </w14:solidFill>
          </w14:textFill>
        </w:rPr>
      </w:pPr>
    </w:p>
    <w:p w14:paraId="5727CAC5">
      <w:pPr>
        <w:jc w:val="center"/>
        <w:rPr>
          <w:rFonts w:hint="eastAsia" w:ascii="宋体" w:hAnsi="宋体" w:eastAsia="宋体"/>
          <w:b/>
          <w:color w:val="000000" w:themeColor="text1"/>
          <w:sz w:val="36"/>
          <w:szCs w:val="36"/>
          <w14:textFill>
            <w14:solidFill>
              <w14:schemeClr w14:val="tx1"/>
            </w14:solidFill>
          </w14:textFill>
        </w:rPr>
      </w:pPr>
    </w:p>
    <w:p w14:paraId="6209AB08">
      <w:pPr>
        <w:jc w:val="center"/>
        <w:rPr>
          <w:rFonts w:hint="eastAsia" w:ascii="宋体" w:hAnsi="宋体" w:eastAsia="宋体"/>
          <w:b/>
          <w:color w:val="000000" w:themeColor="text1"/>
          <w:sz w:val="36"/>
          <w:szCs w:val="36"/>
          <w14:textFill>
            <w14:solidFill>
              <w14:schemeClr w14:val="tx1"/>
            </w14:solidFill>
          </w14:textFill>
        </w:rPr>
      </w:pPr>
    </w:p>
    <w:p w14:paraId="1ABB4EFB">
      <w:pPr>
        <w:jc w:val="center"/>
        <w:rPr>
          <w:rFonts w:hint="eastAsia" w:ascii="宋体" w:hAnsi="宋体" w:eastAsia="宋体"/>
          <w:b/>
          <w:color w:val="000000" w:themeColor="text1"/>
          <w:sz w:val="36"/>
          <w:szCs w:val="36"/>
          <w14:textFill>
            <w14:solidFill>
              <w14:schemeClr w14:val="tx1"/>
            </w14:solidFill>
          </w14:textFill>
        </w:rPr>
      </w:pPr>
    </w:p>
    <w:p w14:paraId="06D87EDD">
      <w:pPr>
        <w:jc w:val="center"/>
        <w:rPr>
          <w:rFonts w:hint="eastAsia" w:ascii="宋体" w:hAnsi="宋体" w:eastAsia="宋体"/>
          <w:b/>
          <w:color w:val="000000" w:themeColor="text1"/>
          <w:sz w:val="36"/>
          <w:szCs w:val="36"/>
          <w14:textFill>
            <w14:solidFill>
              <w14:schemeClr w14:val="tx1"/>
            </w14:solidFill>
          </w14:textFill>
        </w:rPr>
      </w:pPr>
    </w:p>
    <w:p w14:paraId="717418E4">
      <w:pPr>
        <w:jc w:val="center"/>
        <w:rPr>
          <w:rFonts w:hint="eastAsia" w:ascii="宋体" w:hAnsi="宋体" w:eastAsia="宋体"/>
          <w:b/>
          <w:color w:val="000000" w:themeColor="text1"/>
          <w:sz w:val="36"/>
          <w:szCs w:val="36"/>
          <w14:textFill>
            <w14:solidFill>
              <w14:schemeClr w14:val="tx1"/>
            </w14:solidFill>
          </w14:textFill>
        </w:rPr>
      </w:pPr>
    </w:p>
    <w:p w14:paraId="41F907B9">
      <w:pPr>
        <w:jc w:val="center"/>
        <w:rPr>
          <w:rFonts w:hint="eastAsia" w:ascii="宋体" w:hAnsi="宋体" w:eastAsia="宋体"/>
          <w:b/>
          <w:color w:val="000000" w:themeColor="text1"/>
          <w:sz w:val="36"/>
          <w:szCs w:val="36"/>
          <w14:textFill>
            <w14:solidFill>
              <w14:schemeClr w14:val="tx1"/>
            </w14:solidFill>
          </w14:textFill>
        </w:rPr>
      </w:pPr>
    </w:p>
    <w:p w14:paraId="2D1C8350">
      <w:pPr>
        <w:jc w:val="center"/>
        <w:rPr>
          <w:rFonts w:hint="eastAsia" w:ascii="宋体" w:hAnsi="宋体" w:eastAsia="宋体"/>
          <w:b/>
          <w:color w:val="000000" w:themeColor="text1"/>
          <w:sz w:val="36"/>
          <w:szCs w:val="36"/>
          <w14:textFill>
            <w14:solidFill>
              <w14:schemeClr w14:val="tx1"/>
            </w14:solidFill>
          </w14:textFill>
        </w:rPr>
      </w:pPr>
    </w:p>
    <w:p w14:paraId="095FC451">
      <w:pPr>
        <w:jc w:val="center"/>
        <w:rPr>
          <w:rFonts w:hint="eastAsia" w:ascii="宋体" w:hAnsi="宋体" w:eastAsia="宋体"/>
          <w:b/>
          <w:color w:val="000000" w:themeColor="text1"/>
          <w:sz w:val="36"/>
          <w:szCs w:val="36"/>
          <w14:textFill>
            <w14:solidFill>
              <w14:schemeClr w14:val="tx1"/>
            </w14:solidFill>
          </w14:textFill>
        </w:rPr>
      </w:pPr>
    </w:p>
    <w:p w14:paraId="6D61984C">
      <w:pPr>
        <w:jc w:val="center"/>
        <w:rPr>
          <w:rFonts w:hint="eastAsia" w:ascii="宋体" w:hAnsi="宋体" w:eastAsia="宋体"/>
          <w:b/>
          <w:color w:val="000000" w:themeColor="text1"/>
          <w:sz w:val="36"/>
          <w:szCs w:val="36"/>
          <w14:textFill>
            <w14:solidFill>
              <w14:schemeClr w14:val="tx1"/>
            </w14:solidFill>
          </w14:textFill>
        </w:rPr>
      </w:pPr>
    </w:p>
    <w:p w14:paraId="6DD8DB8E">
      <w:pPr>
        <w:jc w:val="both"/>
        <w:rPr>
          <w:rFonts w:hint="eastAsia" w:ascii="宋体" w:hAnsi="宋体" w:eastAsia="宋体"/>
          <w:b/>
          <w:color w:val="000000" w:themeColor="text1"/>
          <w:sz w:val="36"/>
          <w:szCs w:val="36"/>
          <w14:textFill>
            <w14:solidFill>
              <w14:schemeClr w14:val="tx1"/>
            </w14:solidFill>
          </w14:textFill>
        </w:rPr>
      </w:pPr>
    </w:p>
    <w:p w14:paraId="3093435D">
      <w:pPr>
        <w:jc w:val="center"/>
        <w:rPr>
          <w:rFonts w:hint="eastAsia" w:ascii="宋体" w:hAnsi="宋体" w:eastAsia="宋体"/>
          <w:b/>
          <w:color w:val="000000" w:themeColor="text1"/>
          <w:sz w:val="36"/>
          <w:szCs w:val="36"/>
          <w:lang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8.</w:t>
      </w:r>
      <w:r>
        <w:rPr>
          <w:rFonts w:hint="eastAsia" w:ascii="宋体" w:hAnsi="宋体" w:eastAsia="宋体"/>
          <w:b/>
          <w:color w:val="000000" w:themeColor="text1"/>
          <w:sz w:val="36"/>
          <w:szCs w:val="36"/>
          <w14:textFill>
            <w14:solidFill>
              <w14:schemeClr w14:val="tx1"/>
            </w14:solidFill>
          </w14:textFill>
        </w:rPr>
        <w:t>白蚁防治及灭四害消杀服务项目</w:t>
      </w:r>
      <w:r>
        <w:rPr>
          <w:rFonts w:hint="eastAsia" w:ascii="宋体" w:hAnsi="宋体"/>
          <w:b/>
          <w:color w:val="000000" w:themeColor="text1"/>
          <w:sz w:val="36"/>
          <w:szCs w:val="36"/>
          <w:lang w:val="en-US" w:eastAsia="zh-CN"/>
          <w14:textFill>
            <w14:solidFill>
              <w14:schemeClr w14:val="tx1"/>
            </w14:solidFill>
          </w14:textFill>
        </w:rPr>
        <w:t>服务</w:t>
      </w:r>
      <w:r>
        <w:rPr>
          <w:rFonts w:hint="eastAsia" w:ascii="宋体" w:hAnsi="宋体" w:eastAsia="宋体"/>
          <w:b/>
          <w:color w:val="000000" w:themeColor="text1"/>
          <w:sz w:val="36"/>
          <w:szCs w:val="36"/>
          <w:lang w:val="en-US" w:eastAsia="zh-CN"/>
          <w14:textFill>
            <w14:solidFill>
              <w14:schemeClr w14:val="tx1"/>
            </w14:solidFill>
          </w14:textFill>
        </w:rPr>
        <w:t>方案</w:t>
      </w:r>
    </w:p>
    <w:p w14:paraId="2FD59913">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4C27D1CC">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65298528">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007EC2A9">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1CAAB2F4">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6207D972">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6DD327DD">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4DF4D381">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3E330561">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4F6171E5">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6651D6CB">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29D46BEA">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30E86181">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0BF4EF01">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15F04DB7">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514ECA02">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5622BC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4ED5E17B">
      <w:pPr>
        <w:pStyle w:val="2"/>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042B9AF7">
      <w:pPr>
        <w:rPr>
          <w:rFonts w:hint="eastAsia"/>
          <w:color w:val="000000" w:themeColor="text1"/>
          <w:lang w:val="en-US" w:eastAsia="zh-CN"/>
          <w14:textFill>
            <w14:solidFill>
              <w14:schemeClr w14:val="tx1"/>
            </w14:solidFill>
          </w14:textFill>
        </w:rPr>
      </w:pPr>
    </w:p>
    <w:p w14:paraId="01D32793">
      <w:pPr>
        <w:jc w:val="center"/>
        <w:rPr>
          <w:rFonts w:hint="eastAsia" w:ascii="宋体" w:hAnsi="宋体" w:eastAsia="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9.</w:t>
      </w:r>
      <w:r>
        <w:rPr>
          <w:rFonts w:hint="eastAsia" w:ascii="宋体" w:hAnsi="宋体" w:eastAsia="宋体"/>
          <w:b/>
          <w:color w:val="000000" w:themeColor="text1"/>
          <w:sz w:val="36"/>
          <w:szCs w:val="36"/>
          <w:lang w:val="en-US" w:eastAsia="zh-CN"/>
          <w14:textFill>
            <w14:solidFill>
              <w14:schemeClr w14:val="tx1"/>
            </w14:solidFill>
          </w14:textFill>
        </w:rPr>
        <w:t>报价单</w:t>
      </w:r>
    </w:p>
    <w:tbl>
      <w:tblPr>
        <w:tblStyle w:val="9"/>
        <w:tblpPr w:leftFromText="180" w:rightFromText="180" w:vertAnchor="page" w:horzAnchor="page" w:tblpX="1463" w:tblpY="30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095"/>
        <w:gridCol w:w="2872"/>
        <w:gridCol w:w="3585"/>
      </w:tblGrid>
      <w:tr w14:paraId="589D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7D488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序号</w:t>
            </w:r>
          </w:p>
        </w:tc>
        <w:tc>
          <w:tcPr>
            <w:tcW w:w="2095" w:type="dxa"/>
            <w:vAlign w:val="center"/>
          </w:tcPr>
          <w:p w14:paraId="68292F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服务项目</w:t>
            </w:r>
          </w:p>
        </w:tc>
        <w:tc>
          <w:tcPr>
            <w:tcW w:w="2872" w:type="dxa"/>
            <w:vAlign w:val="center"/>
          </w:tcPr>
          <w:p w14:paraId="4941E4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服务范围及面积</w:t>
            </w:r>
          </w:p>
        </w:tc>
        <w:tc>
          <w:tcPr>
            <w:tcW w:w="3585" w:type="dxa"/>
            <w:vAlign w:val="center"/>
          </w:tcPr>
          <w:p w14:paraId="64AF34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内容</w:t>
            </w:r>
          </w:p>
        </w:tc>
      </w:tr>
      <w:tr w14:paraId="16DE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65" w:type="dxa"/>
            <w:vAlign w:val="center"/>
          </w:tcPr>
          <w:p w14:paraId="61F663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FF"/>
                <w:sz w:val="32"/>
                <w:szCs w:val="32"/>
                <w:highlight w:val="none"/>
                <w:vertAlign w:val="baseline"/>
                <w:lang w:val="en-US" w:eastAsia="zh-CN"/>
              </w:rPr>
            </w:pPr>
          </w:p>
        </w:tc>
        <w:tc>
          <w:tcPr>
            <w:tcW w:w="2095" w:type="dxa"/>
            <w:vAlign w:val="center"/>
          </w:tcPr>
          <w:p w14:paraId="619DC3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FF"/>
                <w:sz w:val="32"/>
                <w:szCs w:val="32"/>
                <w:highlight w:val="none"/>
                <w:vertAlign w:val="baseline"/>
                <w:lang w:val="en-US" w:eastAsia="zh-CN"/>
              </w:rPr>
            </w:pPr>
          </w:p>
        </w:tc>
        <w:tc>
          <w:tcPr>
            <w:tcW w:w="2872" w:type="dxa"/>
            <w:vAlign w:val="center"/>
          </w:tcPr>
          <w:p w14:paraId="02399A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FF"/>
                <w:sz w:val="32"/>
                <w:szCs w:val="32"/>
                <w:highlight w:val="none"/>
                <w:vertAlign w:val="baseline"/>
                <w:lang w:val="en-US" w:eastAsia="zh-CN"/>
              </w:rPr>
            </w:pPr>
          </w:p>
        </w:tc>
        <w:tc>
          <w:tcPr>
            <w:tcW w:w="3585" w:type="dxa"/>
            <w:vAlign w:val="center"/>
          </w:tcPr>
          <w:p w14:paraId="36DC41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FF"/>
                <w:sz w:val="32"/>
                <w:szCs w:val="32"/>
                <w:highlight w:val="none"/>
                <w:vertAlign w:val="baseline"/>
                <w:lang w:val="en-US" w:eastAsia="zh-CN"/>
              </w:rPr>
            </w:pPr>
          </w:p>
        </w:tc>
      </w:tr>
      <w:tr w14:paraId="1D9E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5" w:type="dxa"/>
            <w:vAlign w:val="center"/>
          </w:tcPr>
          <w:p w14:paraId="2789D9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FF"/>
                <w:sz w:val="32"/>
                <w:szCs w:val="32"/>
                <w:highlight w:val="none"/>
                <w:vertAlign w:val="baseline"/>
                <w:lang w:val="en-US" w:eastAsia="zh-CN"/>
              </w:rPr>
            </w:pPr>
          </w:p>
        </w:tc>
        <w:tc>
          <w:tcPr>
            <w:tcW w:w="2095" w:type="dxa"/>
            <w:vAlign w:val="center"/>
          </w:tcPr>
          <w:p w14:paraId="7D9E4D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FF"/>
                <w:sz w:val="32"/>
                <w:szCs w:val="32"/>
                <w:highlight w:val="none"/>
                <w:vertAlign w:val="baseline"/>
                <w:lang w:val="en-US" w:eastAsia="zh-CN"/>
              </w:rPr>
            </w:pPr>
          </w:p>
        </w:tc>
        <w:tc>
          <w:tcPr>
            <w:tcW w:w="2872" w:type="dxa"/>
            <w:vAlign w:val="center"/>
          </w:tcPr>
          <w:p w14:paraId="353B22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FF"/>
                <w:sz w:val="32"/>
                <w:szCs w:val="32"/>
                <w:highlight w:val="none"/>
                <w:vertAlign w:val="baseline"/>
                <w:lang w:val="en-US" w:eastAsia="zh-CN"/>
              </w:rPr>
            </w:pPr>
          </w:p>
        </w:tc>
        <w:tc>
          <w:tcPr>
            <w:tcW w:w="3585" w:type="dxa"/>
            <w:vAlign w:val="center"/>
          </w:tcPr>
          <w:p w14:paraId="56D3E2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FF"/>
                <w:sz w:val="32"/>
                <w:szCs w:val="32"/>
                <w:highlight w:val="none"/>
                <w:vertAlign w:val="baseline"/>
                <w:lang w:val="en-US" w:eastAsia="zh-CN"/>
              </w:rPr>
            </w:pPr>
          </w:p>
        </w:tc>
      </w:tr>
      <w:tr w14:paraId="54FD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317" w:type="dxa"/>
            <w:gridSpan w:val="4"/>
            <w:vAlign w:val="center"/>
          </w:tcPr>
          <w:p w14:paraId="31C930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报价金额：（大写）</w:t>
            </w:r>
            <w:r>
              <w:rPr>
                <w:rFonts w:hint="eastAsia" w:ascii="Times New Roman" w:hAnsi="Times New Roman" w:eastAsia="仿宋_GB2312" w:cs="Times New Roman"/>
                <w:color w:val="000000" w:themeColor="text1"/>
                <w:sz w:val="32"/>
                <w:szCs w:val="32"/>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小写）</w:t>
            </w:r>
            <w:r>
              <w:rPr>
                <w:rFonts w:hint="eastAsia" w:ascii="Times New Roman" w:hAnsi="Times New Roman" w:eastAsia="仿宋_GB2312" w:cs="Times New Roman"/>
                <w:color w:val="000000" w:themeColor="text1"/>
                <w:sz w:val="32"/>
                <w:szCs w:val="32"/>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 xml:space="preserve"> </w:t>
            </w:r>
          </w:p>
        </w:tc>
      </w:tr>
    </w:tbl>
    <w:p w14:paraId="6DFE2CE2">
      <w:pPr>
        <w:jc w:val="center"/>
        <w:rPr>
          <w:rFonts w:hint="eastAsia"/>
          <w:b/>
          <w:bCs/>
          <w:color w:val="000000" w:themeColor="text1"/>
          <w:sz w:val="52"/>
          <w:szCs w:val="52"/>
          <w:lang w:eastAsia="zh-CN"/>
          <w14:textFill>
            <w14:solidFill>
              <w14:schemeClr w14:val="tx1"/>
            </w14:solidFill>
          </w14:textFill>
        </w:rPr>
      </w:pPr>
    </w:p>
    <w:p w14:paraId="691059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供应商名称（盖单位公章）：</w:t>
      </w:r>
    </w:p>
    <w:p w14:paraId="4BED1F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6CA0E025"/>
    <w:sectPr>
      <w:headerReference r:id="rId4" w:type="default"/>
      <w:footerReference r:id="rId5" w:type="default"/>
      <w:pgSz w:w="11906" w:h="16838"/>
      <w:pgMar w:top="2098" w:right="1059" w:bottom="1984" w:left="96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A005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0A52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90A52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45E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380C9">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1380C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41952">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9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4">
    <w:name w:val="heading 2"/>
    <w:next w:val="1"/>
    <w:qFormat/>
    <w:uiPriority w:val="0"/>
    <w:pPr>
      <w:keepNext/>
      <w:keepLines/>
      <w:widowControl w:val="0"/>
      <w:autoSpaceDE/>
      <w:autoSpaceDN/>
      <w:adjustRightInd/>
      <w:spacing w:before="260" w:after="260" w:line="415" w:lineRule="auto"/>
      <w:jc w:val="both"/>
      <w:outlineLvl w:val="1"/>
    </w:pPr>
    <w:rPr>
      <w:rFonts w:ascii="Arial" w:hAnsi="Arial" w:eastAsia="黑体" w:cs="Times New Roman"/>
      <w:b/>
      <w:bCs/>
      <w:kern w:val="2"/>
      <w:sz w:val="32"/>
      <w:szCs w:val="32"/>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firstLine="420" w:firstLineChars="200"/>
      <w:jc w:val="both"/>
    </w:pPr>
    <w:rPr>
      <w:rFonts w:ascii="Times New Roman" w:hAnsi="Times New Roman" w:eastAsia="宋体" w:cs="Times New Roman"/>
    </w:rPr>
  </w:style>
  <w:style w:type="paragraph" w:styleId="3">
    <w:name w:val="Body Text Indent"/>
    <w:basedOn w:val="1"/>
    <w:next w:val="1"/>
    <w:qFormat/>
    <w:uiPriority w:val="0"/>
    <w:pPr>
      <w:spacing w:after="120"/>
      <w:ind w:left="420" w:leftChars="200"/>
    </w:pPr>
  </w:style>
  <w:style w:type="paragraph" w:styleId="5">
    <w:name w:val="Normal Indent"/>
    <w:basedOn w:val="1"/>
    <w:next w:val="1"/>
    <w:qFormat/>
    <w:uiPriority w:val="0"/>
    <w:pPr>
      <w:ind w:firstLine="420"/>
    </w:pPr>
    <w:rPr>
      <w:rFonts w:ascii="Times New Roman" w:hAnsi="Times New Roman" w:eastAsia="宋体" w:cs="Times New Roman"/>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7"/>
      <w:szCs w:val="27"/>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34"/>
    <w:pPr>
      <w:ind w:firstLine="420" w:firstLineChars="200"/>
    </w:pPr>
  </w:style>
  <w:style w:type="paragraph" w:styleId="14">
    <w:name w:val="No Spacing"/>
    <w:qFormat/>
    <w:uiPriority w:val="1"/>
    <w:pPr>
      <w:adjustRightInd w:val="0"/>
      <w:snapToGrid w:val="0"/>
    </w:pPr>
    <w:rPr>
      <w:rFonts w:ascii="Tahoma" w:hAnsi="Tahoma" w:eastAsia="微软雅黑" w:cs="宋体"/>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2026-05-22T07:54:05Z</dcterms:created>
  <dc:creator>Administrator</dc:creator>
  <cp:lastModifiedBy>飞扬</cp:lastModifiedBy>
  <dcterms:modified xsi:type="dcterms:W3CDTF">2026-05-22T07:54:20Z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eyJoZGlkIjoiMjE5ODljNjcxMDdiNjI3MDZhZjRjNzdjZjJlYzI4ZjciLCJ1c2VySWQiOiI0NTg3MjYyMTQifQ==</vt:lpwstr>
  </property>
  <property fmtid="{D5CDD505-2E9C-101B-9397-08002B2CF9AE}" pid="4" name="ICV">
    <vt:lpwstr>70F40EA96C2E4868BF2E500AFC324503_12</vt:lpwstr>
  </property>
</Properties>
</file>