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6D2B2">
      <w:pPr>
        <w:pageBreakBefore w:val="0"/>
        <w:widowControl w:val="0"/>
        <w:wordWrap/>
        <w:overflowPunct/>
        <w:topLinePunct w:val="0"/>
        <w:bidi w:val="0"/>
        <w:spacing w:line="242" w:lineRule="auto"/>
        <w:jc w:val="center"/>
        <w:outlineLvl w:val="1"/>
        <w:rPr>
          <w:rFonts w:hint="eastAsia" w:eastAsia="宋体"/>
          <w:b/>
          <w:bCs/>
          <w:color w:val="auto"/>
          <w:spacing w:val="0"/>
          <w:position w:val="0"/>
          <w:sz w:val="28"/>
          <w:szCs w:val="28"/>
          <w:highlight w:val="none"/>
          <w:lang w:eastAsia="zh-CN"/>
        </w:rPr>
      </w:pPr>
      <w:bookmarkStart w:id="0" w:name="_Toc13207"/>
      <w:bookmarkStart w:id="1" w:name="_Toc10674"/>
      <w:r>
        <w:rPr>
          <w:rFonts w:hint="eastAsia" w:eastAsia="宋体"/>
          <w:b/>
          <w:bCs/>
          <w:color w:val="auto"/>
          <w:spacing w:val="0"/>
          <w:position w:val="0"/>
          <w:sz w:val="28"/>
          <w:szCs w:val="28"/>
          <w:highlight w:val="none"/>
          <w:lang w:val="en-US" w:eastAsia="zh-CN"/>
        </w:rPr>
        <w:t>二、服务要求</w:t>
      </w:r>
      <w:bookmarkEnd w:id="0"/>
      <w:bookmarkEnd w:id="1"/>
    </w:p>
    <w:p w14:paraId="54906E24">
      <w:pPr>
        <w:pStyle w:val="2"/>
        <w:rPr>
          <w:rFonts w:hint="eastAsia"/>
          <w:highlight w:val="none"/>
          <w:lang w:eastAsia="zh-CN"/>
        </w:rPr>
      </w:pPr>
    </w:p>
    <w:p w14:paraId="1601F532">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rPr>
        <w:t>一</w:t>
      </w:r>
      <w:r>
        <w:rPr>
          <w:rFonts w:hint="eastAsia" w:ascii="宋体" w:hAnsi="宋体" w:eastAsia="宋体" w:cs="宋体"/>
          <w:b/>
          <w:bCs w:val="0"/>
          <w:sz w:val="24"/>
          <w:szCs w:val="24"/>
          <w:highlight w:val="none"/>
          <w:lang w:eastAsia="zh-CN"/>
        </w:rPr>
        <w:t>）防制服务</w:t>
      </w:r>
      <w:r>
        <w:rPr>
          <w:rFonts w:hint="eastAsia" w:ascii="宋体" w:hAnsi="宋体" w:eastAsia="宋体" w:cs="宋体"/>
          <w:b/>
          <w:bCs w:val="0"/>
          <w:sz w:val="24"/>
          <w:szCs w:val="24"/>
          <w:highlight w:val="none"/>
        </w:rPr>
        <w:t>区域</w:t>
      </w:r>
    </w:p>
    <w:p w14:paraId="0E67AFF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弋阳县城区（约2</w:t>
      </w:r>
      <w:r>
        <w:rPr>
          <w:rFonts w:hint="eastAsia" w:ascii="宋体" w:hAnsi="宋体" w:eastAsia="宋体" w:cs="宋体"/>
          <w:bCs/>
          <w:sz w:val="24"/>
          <w:szCs w:val="24"/>
          <w:highlight w:val="none"/>
          <w:lang w:val="en-US" w:eastAsia="zh-CN"/>
        </w:rPr>
        <w:t>2.19</w:t>
      </w:r>
      <w:r>
        <w:rPr>
          <w:rFonts w:hint="eastAsia" w:ascii="宋体" w:hAnsi="宋体" w:eastAsia="宋体" w:cs="宋体"/>
          <w:bCs/>
          <w:sz w:val="24"/>
          <w:szCs w:val="24"/>
          <w:highlight w:val="none"/>
        </w:rPr>
        <w:t>平方公里）所有主次干道及其绿化带和下水道、广场、公园、水体、河堤、铁路沿线、背街小巷两侧等公共外环境</w:t>
      </w:r>
      <w:r>
        <w:rPr>
          <w:rFonts w:hint="eastAsia" w:ascii="宋体" w:hAnsi="宋体" w:eastAsia="宋体" w:cs="宋体"/>
          <w:bCs/>
          <w:sz w:val="24"/>
          <w:szCs w:val="24"/>
          <w:highlight w:val="none"/>
          <w:lang w:eastAsia="zh-CN"/>
        </w:rPr>
        <w:t>。</w:t>
      </w:r>
    </w:p>
    <w:p w14:paraId="484242C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城区范围内所有</w:t>
      </w:r>
      <w:r>
        <w:rPr>
          <w:rFonts w:hint="eastAsia" w:ascii="宋体" w:hAnsi="宋体" w:eastAsia="宋体" w:cs="宋体"/>
          <w:bCs/>
          <w:sz w:val="24"/>
          <w:szCs w:val="24"/>
          <w:highlight w:val="none"/>
        </w:rPr>
        <w:t>垃圾中转站、公共厕所、城乡结合部、城中村、</w:t>
      </w:r>
      <w:r>
        <w:rPr>
          <w:rFonts w:hint="eastAsia" w:ascii="宋体" w:hAnsi="宋体" w:eastAsia="宋体" w:cs="宋体"/>
          <w:bCs/>
          <w:sz w:val="24"/>
          <w:szCs w:val="24"/>
          <w:highlight w:val="none"/>
          <w:lang w:eastAsia="zh-CN"/>
        </w:rPr>
        <w:t>住宅</w:t>
      </w:r>
      <w:r>
        <w:rPr>
          <w:rFonts w:hint="eastAsia" w:ascii="宋体" w:hAnsi="宋体" w:eastAsia="宋体" w:cs="宋体"/>
          <w:bCs/>
          <w:sz w:val="24"/>
          <w:szCs w:val="24"/>
          <w:highlight w:val="none"/>
        </w:rPr>
        <w:t>小区</w:t>
      </w:r>
      <w:r>
        <w:rPr>
          <w:rFonts w:hint="eastAsia" w:ascii="宋体" w:hAnsi="宋体" w:eastAsia="宋体" w:cs="宋体"/>
          <w:bCs/>
          <w:sz w:val="24"/>
          <w:szCs w:val="24"/>
          <w:highlight w:val="none"/>
          <w:lang w:eastAsia="zh-CN"/>
        </w:rPr>
        <w:t>、农贸市场（城北综合大市场、城南菜市场、康伯菜市场、千万加菜市场、</w:t>
      </w:r>
      <w:r>
        <w:rPr>
          <w:rFonts w:hint="eastAsia" w:ascii="宋体" w:hAnsi="宋体" w:eastAsia="宋体" w:cs="宋体"/>
          <w:bCs/>
          <w:sz w:val="24"/>
          <w:szCs w:val="24"/>
          <w:highlight w:val="none"/>
          <w:lang w:val="en-US" w:eastAsia="zh-CN"/>
        </w:rPr>
        <w:t>701菜市场、连胜菜市场、花亭菜市场、北城繁华里、江天农博城）</w:t>
      </w:r>
      <w:r>
        <w:rPr>
          <w:rFonts w:hint="eastAsia" w:ascii="宋体" w:hAnsi="宋体" w:eastAsia="宋体" w:cs="宋体"/>
          <w:bCs/>
          <w:sz w:val="24"/>
          <w:szCs w:val="24"/>
          <w:highlight w:val="none"/>
          <w:lang w:eastAsia="zh-CN"/>
        </w:rPr>
        <w:t>。</w:t>
      </w:r>
    </w:p>
    <w:p w14:paraId="43499B2D">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rPr>
        <w:t>二</w:t>
      </w:r>
      <w:r>
        <w:rPr>
          <w:rFonts w:hint="eastAsia" w:ascii="宋体" w:hAnsi="宋体" w:eastAsia="宋体" w:cs="宋体"/>
          <w:b/>
          <w:bCs w:val="0"/>
          <w:sz w:val="24"/>
          <w:szCs w:val="24"/>
          <w:highlight w:val="none"/>
          <w:lang w:eastAsia="zh-CN"/>
        </w:rPr>
        <w:t>）</w:t>
      </w:r>
      <w:r>
        <w:rPr>
          <w:rFonts w:hint="eastAsia" w:ascii="宋体" w:hAnsi="宋体" w:eastAsia="宋体" w:cs="宋体"/>
          <w:b/>
          <w:bCs/>
          <w:color w:val="auto"/>
          <w:kern w:val="0"/>
          <w:sz w:val="24"/>
          <w:szCs w:val="24"/>
          <w:highlight w:val="none"/>
          <w:lang w:val="en-US" w:eastAsia="zh-CN" w:bidi="ar"/>
        </w:rPr>
        <w:t>防制内容</w:t>
      </w:r>
    </w:p>
    <w:p w14:paraId="2A2C04F2">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Style w:val="7"/>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对防制范围内的</w:t>
      </w:r>
      <w:r>
        <w:rPr>
          <w:rFonts w:hint="eastAsia" w:ascii="宋体" w:hAnsi="宋体" w:eastAsia="宋体" w:cs="宋体"/>
          <w:bCs/>
          <w:sz w:val="24"/>
          <w:szCs w:val="24"/>
          <w:highlight w:val="none"/>
        </w:rPr>
        <w:t>所有主次干道及其绿化带和下水道、广场、公园、水体、河堤、铁路沿线、背街小巷两侧等公共外环境</w:t>
      </w:r>
      <w:r>
        <w:rPr>
          <w:rFonts w:hint="eastAsia" w:ascii="宋体" w:hAnsi="宋体" w:eastAsia="宋体" w:cs="宋体"/>
          <w:bCs/>
          <w:sz w:val="24"/>
          <w:szCs w:val="24"/>
          <w:highlight w:val="none"/>
          <w:lang w:eastAsia="zh-CN"/>
        </w:rPr>
        <w:t>与所有</w:t>
      </w:r>
      <w:r>
        <w:rPr>
          <w:rFonts w:hint="eastAsia" w:ascii="宋体" w:hAnsi="宋体" w:eastAsia="宋体" w:cs="宋体"/>
          <w:bCs/>
          <w:sz w:val="24"/>
          <w:szCs w:val="24"/>
          <w:highlight w:val="none"/>
        </w:rPr>
        <w:t>垃圾中转站、公共厕所、城乡结合部、城中村、</w:t>
      </w:r>
      <w:r>
        <w:rPr>
          <w:rFonts w:hint="eastAsia" w:ascii="宋体" w:hAnsi="宋体" w:eastAsia="宋体" w:cs="宋体"/>
          <w:bCs/>
          <w:sz w:val="24"/>
          <w:szCs w:val="24"/>
          <w:highlight w:val="none"/>
          <w:lang w:eastAsia="zh-CN"/>
        </w:rPr>
        <w:t>住宅</w:t>
      </w:r>
      <w:r>
        <w:rPr>
          <w:rFonts w:hint="eastAsia" w:ascii="宋体" w:hAnsi="宋体" w:eastAsia="宋体" w:cs="宋体"/>
          <w:bCs/>
          <w:sz w:val="24"/>
          <w:szCs w:val="24"/>
          <w:highlight w:val="none"/>
        </w:rPr>
        <w:t>小区</w:t>
      </w:r>
      <w:r>
        <w:rPr>
          <w:rFonts w:hint="eastAsia" w:ascii="宋体" w:hAnsi="宋体" w:eastAsia="宋体" w:cs="宋体"/>
          <w:bCs/>
          <w:sz w:val="24"/>
          <w:szCs w:val="24"/>
          <w:highlight w:val="none"/>
          <w:lang w:eastAsia="zh-CN"/>
        </w:rPr>
        <w:t>、农贸市场（城北综合大市场、城南菜市场、康伯菜市场、千万加菜市场、</w:t>
      </w:r>
      <w:r>
        <w:rPr>
          <w:rFonts w:hint="eastAsia" w:ascii="宋体" w:hAnsi="宋体" w:eastAsia="宋体" w:cs="宋体"/>
          <w:bCs/>
          <w:sz w:val="24"/>
          <w:szCs w:val="24"/>
          <w:highlight w:val="none"/>
          <w:lang w:val="en-US" w:eastAsia="zh-CN"/>
        </w:rPr>
        <w:t>701菜市场、连胜菜市场、花亭菜市场、北城繁华里、江天农博城）</w:t>
      </w:r>
      <w:r>
        <w:rPr>
          <w:rFonts w:hint="eastAsia" w:ascii="宋体" w:hAnsi="宋体" w:eastAsia="宋体" w:cs="宋体"/>
          <w:color w:val="auto"/>
          <w:kern w:val="0"/>
          <w:sz w:val="24"/>
          <w:szCs w:val="24"/>
          <w:highlight w:val="none"/>
          <w:lang w:val="en-US" w:eastAsia="zh-CN" w:bidi="ar"/>
        </w:rPr>
        <w:t>开展消杀（灭鼠、蚊、蝇、蟑螂），如在外环境蚊蝇孳生栖息场所滞留喷洒卫生杀虫剂杀蚊灭蝇，设置灭鼠毒饵站、捕蝇笼，投放灭蚊、蝇幼剂、投放灭鼠药和堵塞鼠洞等</w:t>
      </w:r>
      <w:r>
        <w:rPr>
          <w:rStyle w:val="7"/>
          <w:rFonts w:hint="eastAsia" w:ascii="宋体" w:hAnsi="宋体" w:eastAsia="宋体" w:cs="宋体"/>
          <w:color w:val="auto"/>
          <w:kern w:val="2"/>
          <w:sz w:val="24"/>
          <w:szCs w:val="24"/>
          <w:highlight w:val="none"/>
          <w:lang w:val="en-US" w:eastAsia="zh-CN"/>
        </w:rPr>
        <w:t>。</w:t>
      </w:r>
    </w:p>
    <w:p w14:paraId="25A208BF">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rPr>
        <w:t>三</w:t>
      </w: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rPr>
        <w:t>防制周期和要求</w:t>
      </w:r>
    </w:p>
    <w:p w14:paraId="29DBAB6B">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每2年为1个防制服务周期内，根据“四害”消长季节规律进行防制工作，防制工作必须保证防制区域内全年的鼠、蝇、蟑螂密度达到国家病媒生物密度控制水平标准C级要求，蚊密度达到国家病媒生物密度控制水平标准 B 级要求。</w:t>
      </w:r>
    </w:p>
    <w:p w14:paraId="43EE897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在提供药物投放服务时，必须作好宣传和技术指导工作，注意安全，预防人畜误食鼠药中毒等事件发生，以及对发生误食中毒事件进行及时处理，并承担因宣传和指导不力造成环境污染和人畜误食中毒所产生的所有后果；</w:t>
      </w:r>
    </w:p>
    <w:p w14:paraId="58AD16F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szCs w:val="24"/>
          <w:highlight w:val="none"/>
        </w:rPr>
        <w:t>在提供药物投放服务时，必须科学、规范投放，确保消杀药物的投放量、到位率、覆盖率符合要求并作好相关文字记录</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现场照片，</w:t>
      </w:r>
      <w:r>
        <w:rPr>
          <w:rFonts w:hint="eastAsia" w:ascii="宋体" w:hAnsi="宋体" w:eastAsia="宋体" w:cs="宋体"/>
          <w:bCs/>
          <w:sz w:val="24"/>
          <w:szCs w:val="24"/>
          <w:highlight w:val="none"/>
        </w:rPr>
        <w:t>保留备查。</w:t>
      </w:r>
    </w:p>
    <w:p w14:paraId="4D1BDCB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4、</w:t>
      </w:r>
      <w:r>
        <w:rPr>
          <w:rFonts w:hint="eastAsia" w:ascii="宋体" w:hAnsi="宋体" w:eastAsia="宋体" w:cs="宋体"/>
          <w:bCs/>
          <w:sz w:val="24"/>
          <w:szCs w:val="24"/>
          <w:highlight w:val="none"/>
          <w:lang w:eastAsia="zh-CN"/>
        </w:rPr>
        <w:t>用药要求</w:t>
      </w:r>
    </w:p>
    <w:p w14:paraId="363B559A">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1)不得使用假药及国家禁用药物，确保药物来源正规和质量合格，确保使用国家规定或相关部门认定或推荐的药物。</w:t>
      </w:r>
    </w:p>
    <w:p w14:paraId="39A98E9C">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2）必须注重科学合理用药，采取复合、交替轮换用药的方法，控制和延缓病媒生物抗药性的产生。</w:t>
      </w:r>
    </w:p>
    <w:p w14:paraId="580EFF96">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3)使用的药物必须符合GB/T7777-2011《杀鼠剂安全使用准则》与 GB/T27779-2011《卫生杀虫剂安全使用准则》等要求，达到“安全、高效、环保”的目标。</w:t>
      </w:r>
    </w:p>
    <w:p w14:paraId="2F29F375">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rPr>
        <w:t>四</w:t>
      </w:r>
      <w:r>
        <w:rPr>
          <w:rFonts w:hint="eastAsia" w:ascii="宋体" w:hAnsi="宋体" w:eastAsia="宋体" w:cs="宋体"/>
          <w:b/>
          <w:bCs w:val="0"/>
          <w:sz w:val="24"/>
          <w:szCs w:val="24"/>
          <w:highlight w:val="none"/>
          <w:lang w:eastAsia="zh-CN"/>
        </w:rPr>
        <w:t>）服务具体要求</w:t>
      </w:r>
    </w:p>
    <w:p w14:paraId="36A795D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 xml:space="preserve">本地孳生地调查 </w:t>
      </w:r>
    </w:p>
    <w:p w14:paraId="17499AA2">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在开展病媒生物防制服务工作之前必须先对防制区域进行病媒生物孳生地的全面调查，科学制订病媒生物防制工作计划。在消杀过程中接受第三方效果评估，并依据评估情况进行及时改进，确保综合防制效果，形成病媒生物防制台账资料，收集归档。 </w:t>
      </w:r>
    </w:p>
    <w:p w14:paraId="3011513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bCs/>
          <w:sz w:val="24"/>
          <w:szCs w:val="24"/>
          <w:highlight w:val="none"/>
          <w:lang w:val="en-US" w:eastAsia="zh-CN"/>
        </w:rPr>
        <w:t xml:space="preserve">病媒生物防制作业要求 </w:t>
      </w:r>
    </w:p>
    <w:p w14:paraId="36CB1C75">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1)坚持“预防为主，综合防制”的方针，落实中心城区内的公共外环境病媒生物防制工作方案，确保按计划在各区域进行全方位的灭鼠、灭蚊、灭蝇、灭蟑螂作业。每月至少开展一次集中消杀活动。</w:t>
      </w:r>
    </w:p>
    <w:p w14:paraId="348501A5">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2)建立病媒生物防制药物进出货登记台账和药物使用台账，按季度将药物使用情况统计上报县疾控中心。</w:t>
      </w:r>
    </w:p>
    <w:p w14:paraId="7D3D9004">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3)工作人员需取得有害生物防制专业机构培训合格后颁发的防制员证，持证上岗；人员、装备配备须满足3-5天内可完成一次防制范围内全覆盖的集中消杀活动。</w:t>
      </w:r>
    </w:p>
    <w:p w14:paraId="3A0FE3FD">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4)作业时必须统一工服，按照病媒生物防制工作相关标准，安全、规范、科学操作；每次防制工作需做好作业时间、处理位置、用药量等记录，并拍摄现场照片。</w:t>
      </w:r>
    </w:p>
    <w:p w14:paraId="778C66F6">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5)组织开展病媒生物防制效果自查，并形成自查报告上报县疾控中心，根据实际效果调整用药品种、剂量、时间、防制方式等。</w:t>
      </w:r>
    </w:p>
    <w:p w14:paraId="1BC0FC74">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合同签订后立即进行一次全覆盖的孳生地调查，将资料汇总成册，在此基础上迅速开展一次全方位病媒生物综合防制工作，迅速降低中心城区内病媒生物密度，鼠、蚊、蝇、蟑螂密度达到国家病媒生物密度控制水平标准 C 级要求；</w:t>
      </w:r>
    </w:p>
    <w:p w14:paraId="12173398">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7)在完成首次全方位病媒生物综合防制工作后，组织对防制区域设置灭鼠毒饵站</w:t>
      </w:r>
      <w:r>
        <w:rPr>
          <w:rFonts w:hint="eastAsia" w:eastAsia="宋体"/>
          <w:highlight w:val="none"/>
          <w:lang w:eastAsia="zh-CN"/>
        </w:rPr>
        <w:t>、</w:t>
      </w:r>
      <w:r>
        <w:rPr>
          <w:rFonts w:hint="eastAsia" w:ascii="宋体" w:hAnsi="宋体" w:eastAsia="宋体" w:cs="宋体"/>
          <w:color w:val="auto"/>
          <w:kern w:val="0"/>
          <w:sz w:val="24"/>
          <w:szCs w:val="24"/>
          <w:highlight w:val="none"/>
          <w:lang w:val="en-US" w:eastAsia="zh-CN" w:bidi="ar"/>
        </w:rPr>
        <w:t>捕蝇笼，投放鼠药和堵塞鼠洞等工作，并张贴标签（警示）牌（灭鼠毒饵站张贴双标签，墙面和毒饵站各贴一张）等标识标语。必须对其进行日常维护，毒饵料必须常年保持新鲜。</w:t>
      </w:r>
    </w:p>
    <w:p w14:paraId="3E18B64E">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8)对城区内的重点孳生地进行全面巡检和治理。</w:t>
      </w:r>
    </w:p>
    <w:p w14:paraId="4A3B2C41">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9)合同期间，成交供应商应无条件服从采购单位统一指挥，进行有针对性的病媒生物防制和突击治理工作。</w:t>
      </w:r>
    </w:p>
    <w:p w14:paraId="7460D628">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10)合同期间应无条件参加采购单位组织的技术培训、公益性宣传教育活动。</w:t>
      </w:r>
    </w:p>
    <w:p w14:paraId="57A4F02A">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11)若本地发生虫媒相关传染病疫情，应配合县疾控中心免费为疫情处置开展一次虫媒消杀处置。</w:t>
      </w:r>
    </w:p>
    <w:p w14:paraId="7CC80AB5">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color w:val="auto"/>
          <w:kern w:val="0"/>
          <w:sz w:val="24"/>
          <w:szCs w:val="24"/>
          <w:highlight w:val="none"/>
          <w:lang w:val="en-US" w:eastAsia="zh-CN" w:bidi="ar"/>
        </w:rPr>
        <w:t>12）需从病媒生物综合防制的角度，从孳生地调查、危害监测、环境治理等方面提供技术性材料，并按照规范要求完成档案收集整理等工作</w:t>
      </w:r>
      <w:r>
        <w:rPr>
          <w:rFonts w:hint="eastAsia" w:ascii="宋体" w:hAnsi="宋体" w:eastAsia="宋体" w:cs="宋体"/>
          <w:bCs/>
          <w:sz w:val="24"/>
          <w:szCs w:val="24"/>
          <w:highlight w:val="none"/>
        </w:rPr>
        <w:t>。</w:t>
      </w:r>
    </w:p>
    <w:p w14:paraId="1B26806E">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val="en-US" w:eastAsia="zh-CN"/>
        </w:rPr>
        <w:t>（五）</w:t>
      </w:r>
      <w:r>
        <w:rPr>
          <w:rFonts w:hint="eastAsia" w:ascii="宋体" w:hAnsi="宋体" w:eastAsia="宋体" w:cs="宋体"/>
          <w:b/>
          <w:bCs w:val="0"/>
          <w:sz w:val="24"/>
          <w:szCs w:val="24"/>
          <w:highlight w:val="none"/>
          <w:lang w:eastAsia="zh-CN"/>
        </w:rPr>
        <w:t>质量管理和监督考核</w:t>
      </w:r>
    </w:p>
    <w:p w14:paraId="18772C4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szCs w:val="24"/>
          <w:highlight w:val="none"/>
        </w:rPr>
        <w:t>必须接受采购人或其委托机构的检查考核，每次开展防制前应提前向弋阳县疾控中心报告作业时间、处理位置、用药量等情况，作业情况同时报县</w:t>
      </w:r>
      <w:r>
        <w:rPr>
          <w:rFonts w:hint="eastAsia" w:ascii="宋体" w:hAnsi="宋体" w:eastAsia="宋体" w:cs="宋体"/>
          <w:bCs/>
          <w:sz w:val="24"/>
          <w:szCs w:val="24"/>
          <w:highlight w:val="none"/>
          <w:lang w:eastAsia="zh-CN"/>
        </w:rPr>
        <w:t>疾控中心</w:t>
      </w:r>
      <w:r>
        <w:rPr>
          <w:rFonts w:hint="eastAsia" w:ascii="宋体" w:hAnsi="宋体" w:eastAsia="宋体" w:cs="宋体"/>
          <w:bCs/>
          <w:sz w:val="24"/>
          <w:szCs w:val="24"/>
          <w:highlight w:val="none"/>
        </w:rPr>
        <w:t>备案，采购人有权根据有关规定对质量考核标准及奖惩办法作相应的修改。</w:t>
      </w:r>
    </w:p>
    <w:p w14:paraId="2DCB12A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szCs w:val="24"/>
          <w:highlight w:val="none"/>
        </w:rPr>
        <w:t>组织专业人员对弋阳县城区公共外环境</w:t>
      </w:r>
      <w:r>
        <w:rPr>
          <w:rFonts w:hint="eastAsia" w:ascii="宋体" w:hAnsi="宋体" w:eastAsia="宋体" w:cs="宋体"/>
          <w:bCs/>
          <w:sz w:val="24"/>
          <w:szCs w:val="24"/>
          <w:highlight w:val="none"/>
          <w:lang w:eastAsia="zh-CN"/>
        </w:rPr>
        <w:t>及无主内环境（含</w:t>
      </w:r>
      <w:r>
        <w:rPr>
          <w:rFonts w:hint="eastAsia" w:ascii="宋体" w:hAnsi="宋体" w:eastAsia="宋体" w:cs="宋体"/>
          <w:bCs/>
          <w:sz w:val="24"/>
          <w:szCs w:val="24"/>
          <w:highlight w:val="none"/>
          <w:lang w:val="en-US" w:eastAsia="zh-CN"/>
        </w:rPr>
        <w:t>9个农贸市场）</w:t>
      </w:r>
      <w:r>
        <w:rPr>
          <w:rFonts w:hint="eastAsia" w:ascii="宋体" w:hAnsi="宋体" w:eastAsia="宋体" w:cs="宋体"/>
          <w:bCs/>
          <w:sz w:val="24"/>
          <w:szCs w:val="24"/>
          <w:highlight w:val="none"/>
        </w:rPr>
        <w:t>范围内，进行环境调查、制定方案，全方位覆盖消杀，工作流程、地点、用药效果要及时向采购人报告。</w:t>
      </w:r>
    </w:p>
    <w:p w14:paraId="4C86EDA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3）使用国家禁用药物,或违规操作的,经采购人或其委托机构发现，有明确依据（如现场照片、检查报告等），每发生一起扣总合同总额的2%，确认2次，采购人有权终止合同，造成后果的，将依法追究法律责任。</w:t>
      </w:r>
    </w:p>
    <w:p w14:paraId="0C01715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4）合同期内，因</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szCs w:val="24"/>
          <w:highlight w:val="none"/>
        </w:rPr>
        <w:t>管理不善，造成一人以上死亡或两人以上重伤并负主要责任的，将终止合同，所有经济损失和法律责任由</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szCs w:val="24"/>
          <w:highlight w:val="none"/>
        </w:rPr>
        <w:t>承担。</w:t>
      </w:r>
    </w:p>
    <w:p w14:paraId="1156EE7B">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val="en-US" w:eastAsia="zh-CN"/>
        </w:rPr>
        <w:t>（六）</w:t>
      </w:r>
      <w:r>
        <w:rPr>
          <w:rFonts w:hint="eastAsia" w:ascii="宋体" w:hAnsi="宋体" w:eastAsia="宋体" w:cs="宋体"/>
          <w:b/>
          <w:bCs w:val="0"/>
          <w:sz w:val="24"/>
          <w:szCs w:val="24"/>
          <w:highlight w:val="none"/>
          <w:lang w:eastAsia="zh-CN"/>
        </w:rPr>
        <w:t>考核内容及承担责任</w:t>
      </w:r>
    </w:p>
    <w:p w14:paraId="0F40B4B8">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1.日常监督管理</w:t>
      </w:r>
    </w:p>
    <w:p w14:paraId="47AD5A35">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由县疾控中心每月开展一次抽查。</w:t>
      </w:r>
    </w:p>
    <w:p w14:paraId="5BD29573">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Cs/>
          <w:color w:val="auto"/>
          <w:sz w:val="24"/>
          <w:szCs w:val="24"/>
          <w:highlight w:val="none"/>
        </w:rPr>
        <w:t>1）</w:t>
      </w:r>
      <w:r>
        <w:rPr>
          <w:rFonts w:hint="eastAsia" w:ascii="宋体" w:hAnsi="宋体" w:eastAsia="宋体" w:cs="宋体"/>
          <w:color w:val="auto"/>
          <w:kern w:val="0"/>
          <w:sz w:val="24"/>
          <w:szCs w:val="24"/>
          <w:highlight w:val="none"/>
          <w:lang w:val="en-US" w:eastAsia="zh-CN" w:bidi="ar"/>
        </w:rPr>
        <w:t>药品不符合要求，无“三证（农药登记证、生产许可证、质量标准证）”发现一次扣除2000元；药品存放不规范发现一次扣除2000元。</w:t>
      </w:r>
    </w:p>
    <w:p w14:paraId="17B5ADBE">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bCs/>
          <w:sz w:val="24"/>
          <w:szCs w:val="24"/>
          <w:highlight w:val="none"/>
        </w:rPr>
        <w:t>）</w:t>
      </w:r>
      <w:r>
        <w:rPr>
          <w:rFonts w:hint="eastAsia" w:ascii="宋体" w:hAnsi="宋体" w:eastAsia="宋体" w:cs="宋体"/>
          <w:color w:val="auto"/>
          <w:kern w:val="0"/>
          <w:sz w:val="24"/>
          <w:szCs w:val="24"/>
          <w:highlight w:val="none"/>
          <w:lang w:val="en-US" w:eastAsia="zh-CN" w:bidi="ar"/>
        </w:rPr>
        <w:t>少于工作计划服务频次发现一次扣除5000元。</w:t>
      </w:r>
    </w:p>
    <w:p w14:paraId="5A99C1FD">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bCs/>
          <w:sz w:val="24"/>
          <w:szCs w:val="24"/>
          <w:highlight w:val="none"/>
        </w:rPr>
        <w:t>）</w:t>
      </w:r>
      <w:r>
        <w:rPr>
          <w:rFonts w:hint="eastAsia" w:ascii="宋体" w:hAnsi="宋体" w:eastAsia="宋体" w:cs="宋体"/>
          <w:color w:val="auto"/>
          <w:kern w:val="0"/>
          <w:sz w:val="24"/>
          <w:szCs w:val="24"/>
          <w:highlight w:val="none"/>
          <w:lang w:val="en-US" w:eastAsia="zh-CN" w:bidi="ar"/>
        </w:rPr>
        <w:t xml:space="preserve">服务资料、台账不完整，发现一次扣除2000元。 </w:t>
      </w:r>
    </w:p>
    <w:p w14:paraId="187C0064">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bCs/>
          <w:sz w:val="24"/>
          <w:szCs w:val="24"/>
          <w:highlight w:val="none"/>
        </w:rPr>
        <w:t>）</w:t>
      </w:r>
      <w:r>
        <w:rPr>
          <w:rFonts w:hint="eastAsia" w:ascii="宋体" w:hAnsi="宋体" w:eastAsia="宋体" w:cs="宋体"/>
          <w:color w:val="auto"/>
          <w:kern w:val="0"/>
          <w:sz w:val="24"/>
          <w:szCs w:val="24"/>
          <w:highlight w:val="none"/>
          <w:lang w:val="en-US" w:eastAsia="zh-CN" w:bidi="ar"/>
        </w:rPr>
        <w:t>办公场所、库房不符合要求发现一次扣除2000元。</w:t>
      </w:r>
    </w:p>
    <w:p w14:paraId="3D58AA55">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bCs/>
          <w:sz w:val="24"/>
          <w:szCs w:val="24"/>
          <w:highlight w:val="none"/>
        </w:rPr>
        <w:t>）</w:t>
      </w:r>
      <w:r>
        <w:rPr>
          <w:rFonts w:hint="eastAsia" w:ascii="宋体" w:hAnsi="宋体" w:eastAsia="宋体" w:cs="宋体"/>
          <w:color w:val="auto"/>
          <w:kern w:val="0"/>
          <w:sz w:val="24"/>
          <w:szCs w:val="24"/>
          <w:highlight w:val="none"/>
          <w:lang w:val="en-US" w:eastAsia="zh-CN" w:bidi="ar"/>
        </w:rPr>
        <w:t xml:space="preserve">群众满意率低于80%或者群众累计投诉三次，扣除2000元，以此累加。    </w:t>
      </w:r>
    </w:p>
    <w:p w14:paraId="3B192CC8">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bCs/>
          <w:sz w:val="24"/>
          <w:szCs w:val="24"/>
          <w:highlight w:val="none"/>
        </w:rPr>
        <w:t>）</w:t>
      </w:r>
      <w:r>
        <w:rPr>
          <w:rFonts w:hint="eastAsia" w:ascii="宋体" w:hAnsi="宋体" w:eastAsia="宋体" w:cs="宋体"/>
          <w:color w:val="auto"/>
          <w:kern w:val="0"/>
          <w:sz w:val="24"/>
          <w:szCs w:val="24"/>
          <w:highlight w:val="none"/>
          <w:lang w:val="en-US" w:eastAsia="zh-CN" w:bidi="ar"/>
        </w:rPr>
        <w:t>出现媒体曝光的，一次扣除5000元。</w:t>
      </w:r>
    </w:p>
    <w:p w14:paraId="10D4E9C0">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w:t>
      </w:r>
      <w:r>
        <w:rPr>
          <w:rFonts w:hint="eastAsia" w:ascii="宋体" w:hAnsi="宋体" w:eastAsia="宋体" w:cs="宋体"/>
          <w:bCs/>
          <w:sz w:val="24"/>
          <w:szCs w:val="24"/>
          <w:highlight w:val="none"/>
        </w:rPr>
        <w:t>）</w:t>
      </w:r>
      <w:r>
        <w:rPr>
          <w:rFonts w:hint="eastAsia" w:ascii="宋体" w:hAnsi="宋体" w:eastAsia="宋体" w:cs="宋体"/>
          <w:color w:val="auto"/>
          <w:kern w:val="0"/>
          <w:sz w:val="24"/>
          <w:szCs w:val="24"/>
          <w:highlight w:val="none"/>
          <w:lang w:val="en-US" w:eastAsia="zh-CN" w:bidi="ar"/>
        </w:rPr>
        <w:t>现场防制人员未经专业机构培训合格（无防制员证）上岗作业的，每人次扣除2000元。</w:t>
      </w:r>
    </w:p>
    <w:p w14:paraId="099C3F8B">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bCs/>
          <w:sz w:val="24"/>
          <w:szCs w:val="24"/>
          <w:highlight w:val="none"/>
        </w:rPr>
        <w:t>）</w:t>
      </w:r>
      <w:r>
        <w:rPr>
          <w:rFonts w:hint="eastAsia" w:ascii="宋体" w:hAnsi="宋体" w:eastAsia="宋体" w:cs="宋体"/>
          <w:color w:val="auto"/>
          <w:kern w:val="0"/>
          <w:sz w:val="24"/>
          <w:szCs w:val="24"/>
          <w:highlight w:val="none"/>
          <w:lang w:val="en-US" w:eastAsia="zh-CN" w:bidi="ar"/>
        </w:rPr>
        <w:t>因人员或装备不足，导致集中消杀延期完成的，每延长一天扣除10000元；消杀未覆盖或消杀不到位的，每个场所扣除5000元。</w:t>
      </w:r>
    </w:p>
    <w:p w14:paraId="1764EA34">
      <w:pPr>
        <w:pStyle w:val="2"/>
        <w:spacing w:line="360" w:lineRule="auto"/>
        <w:ind w:firstLine="480" w:firstLineChars="200"/>
        <w:rPr>
          <w:rFonts w:hint="eastAsia"/>
          <w:highlight w:val="none"/>
          <w:lang w:val="en-US" w:eastAsia="zh-CN"/>
        </w:rPr>
      </w:pPr>
      <w:r>
        <w:rPr>
          <w:rFonts w:hint="eastAsia" w:ascii="宋体" w:hAnsi="宋体" w:eastAsia="宋体" w:cs="宋体"/>
          <w:color w:val="auto"/>
          <w:kern w:val="0"/>
          <w:sz w:val="24"/>
          <w:szCs w:val="24"/>
          <w:highlight w:val="none"/>
          <w:lang w:val="en-US" w:eastAsia="zh-CN" w:bidi="ar"/>
        </w:rPr>
        <w:t>19）有完善的药物购销、入库、出库等管理制度和帐目，确保实际用药消耗量与技术方案和消毒面积匹配</w:t>
      </w:r>
      <w:r>
        <w:rPr>
          <w:rFonts w:hint="eastAsia" w:ascii="宋体" w:eastAsia="宋体" w:cs="宋体"/>
          <w:color w:val="auto"/>
          <w:kern w:val="0"/>
          <w:sz w:val="24"/>
          <w:szCs w:val="24"/>
          <w:highlight w:val="none"/>
          <w:lang w:val="en-US" w:eastAsia="zh-CN" w:bidi="ar"/>
        </w:rPr>
        <w:t>。不符合要求发现一次扣除3000元。</w:t>
      </w:r>
    </w:p>
    <w:p w14:paraId="07F1812A">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0）常驻弋阳县城区工作人员无中级以上资质人员或不足应标承诺，每次扣除10000元。</w:t>
      </w:r>
    </w:p>
    <w:p w14:paraId="73D7A73B">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11）常驻弋阳县城区装备设施数不足应标承诺，每次扣除10000元。</w:t>
      </w:r>
    </w:p>
    <w:p w14:paraId="29C16D27">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12）发生突发疫情时没有应标承诺最大数的一半以上人员供县卫健委调度的，每次扣除10000元。</w:t>
      </w:r>
    </w:p>
    <w:p w14:paraId="01A8AB28">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13）因施药问题造成人员和财产损失的安全事故，成交供应商负全部责任，承担所有的损失和赔偿。</w:t>
      </w:r>
    </w:p>
    <w:p w14:paraId="256A0673">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14）病媒生物孳生地台账不清、侵害状况不详、防制材料不完善，发现一次扣除2000元。</w:t>
      </w:r>
    </w:p>
    <w:p w14:paraId="2563C164">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2.密度控制水平阶段性评估</w:t>
      </w:r>
    </w:p>
    <w:p w14:paraId="76EB6864">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鼠、蚊、蝇、蟑螂密度达到国家病媒生物密度控制水平标准 C 级要求（由弋阳县疾控中心负责监测），1项不达标扣除季服务费 20%；2 项不达标扣除季服务费 40%；3 项不达标扣除季服务费 60%；4 项不达标扣除季服务费100%；连续 2 次监测不达标，拒付进度款并终止合同。</w:t>
      </w:r>
    </w:p>
    <w:p w14:paraId="4BBC11A3">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为确保公平公正，阶段性四害密度控制水平评估由县疾控中心组织，邀请省级病媒生物防制专家开展现场评估。 </w:t>
      </w:r>
    </w:p>
    <w:p w14:paraId="4A9E0BF3">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（七）投标单位须满足以下专业设备及防制员配备情况表要求</w:t>
      </w:r>
    </w:p>
    <w:p w14:paraId="5622C5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1、专业设备配备情况表：</w:t>
      </w:r>
    </w:p>
    <w:tbl>
      <w:tblPr>
        <w:tblStyle w:val="5"/>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3537"/>
        <w:gridCol w:w="3018"/>
        <w:gridCol w:w="3018"/>
      </w:tblGrid>
      <w:tr w14:paraId="6806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70" w:type="dxa"/>
            <w:noWrap w:val="0"/>
            <w:vAlign w:val="center"/>
          </w:tcPr>
          <w:p w14:paraId="785EA3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3537" w:type="dxa"/>
            <w:noWrap w:val="0"/>
            <w:vAlign w:val="center"/>
          </w:tcPr>
          <w:p w14:paraId="3995F3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设备名称</w:t>
            </w:r>
          </w:p>
        </w:tc>
        <w:tc>
          <w:tcPr>
            <w:tcW w:w="3018" w:type="dxa"/>
            <w:noWrap w:val="0"/>
            <w:vAlign w:val="center"/>
          </w:tcPr>
          <w:p w14:paraId="1E2901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设备数量</w:t>
            </w:r>
          </w:p>
        </w:tc>
        <w:tc>
          <w:tcPr>
            <w:tcW w:w="3018" w:type="dxa"/>
            <w:noWrap w:val="0"/>
            <w:vAlign w:val="center"/>
          </w:tcPr>
          <w:p w14:paraId="57513C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要求</w:t>
            </w:r>
          </w:p>
        </w:tc>
      </w:tr>
      <w:tr w14:paraId="5E85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70" w:type="dxa"/>
            <w:noWrap w:val="0"/>
            <w:vAlign w:val="center"/>
          </w:tcPr>
          <w:p w14:paraId="740343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3537" w:type="dxa"/>
            <w:noWrap w:val="0"/>
            <w:vAlign w:val="center"/>
          </w:tcPr>
          <w:p w14:paraId="44BF7D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bidi="ar"/>
              </w:rPr>
              <w:t>车载式喷雾器</w:t>
            </w:r>
          </w:p>
        </w:tc>
        <w:tc>
          <w:tcPr>
            <w:tcW w:w="3018" w:type="dxa"/>
            <w:noWrap w:val="0"/>
            <w:vAlign w:val="center"/>
          </w:tcPr>
          <w:p w14:paraId="635154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bidi="ar"/>
              </w:rPr>
              <w:t>1台</w:t>
            </w:r>
          </w:p>
        </w:tc>
        <w:tc>
          <w:tcPr>
            <w:tcW w:w="3018" w:type="dxa"/>
            <w:noWrap w:val="0"/>
            <w:vAlign w:val="center"/>
          </w:tcPr>
          <w:p w14:paraId="049974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雾滴扬程</w:t>
            </w:r>
            <w:r>
              <w:rPr>
                <w:rFonts w:hint="default" w:ascii="Arial" w:hAnsi="Arial" w:eastAsia="宋体" w:cs="Arial"/>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3m</w:t>
            </w:r>
          </w:p>
        </w:tc>
      </w:tr>
      <w:tr w14:paraId="2CD1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70" w:type="dxa"/>
            <w:noWrap w:val="0"/>
            <w:vAlign w:val="center"/>
          </w:tcPr>
          <w:p w14:paraId="4FCBE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3537" w:type="dxa"/>
            <w:noWrap w:val="0"/>
            <w:vAlign w:val="center"/>
          </w:tcPr>
          <w:p w14:paraId="4AE4C0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bidi="ar"/>
              </w:rPr>
              <w:t>超低容量喷雾器</w:t>
            </w:r>
          </w:p>
        </w:tc>
        <w:tc>
          <w:tcPr>
            <w:tcW w:w="3018" w:type="dxa"/>
            <w:noWrap w:val="0"/>
            <w:vAlign w:val="center"/>
          </w:tcPr>
          <w:p w14:paraId="38A317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台</w:t>
            </w:r>
          </w:p>
        </w:tc>
        <w:tc>
          <w:tcPr>
            <w:tcW w:w="3018" w:type="dxa"/>
            <w:noWrap w:val="0"/>
            <w:vAlign w:val="center"/>
          </w:tcPr>
          <w:p w14:paraId="79B892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雾滴粒径</w:t>
            </w:r>
            <w:r>
              <w:rPr>
                <w:rFonts w:hint="default" w:ascii="Arial" w:hAnsi="Arial" w:eastAsia="宋体" w:cs="Arial"/>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30um</w:t>
            </w:r>
          </w:p>
        </w:tc>
      </w:tr>
      <w:tr w14:paraId="67D1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70" w:type="dxa"/>
            <w:noWrap w:val="0"/>
            <w:vAlign w:val="center"/>
          </w:tcPr>
          <w:p w14:paraId="4E0469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3537" w:type="dxa"/>
            <w:noWrap w:val="0"/>
            <w:vAlign w:val="center"/>
          </w:tcPr>
          <w:p w14:paraId="42C53E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bidi="ar"/>
              </w:rPr>
              <w:t>热烟雾器</w:t>
            </w:r>
          </w:p>
        </w:tc>
        <w:tc>
          <w:tcPr>
            <w:tcW w:w="3018" w:type="dxa"/>
            <w:noWrap w:val="0"/>
            <w:vAlign w:val="center"/>
          </w:tcPr>
          <w:p w14:paraId="3BC980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台</w:t>
            </w:r>
          </w:p>
        </w:tc>
        <w:tc>
          <w:tcPr>
            <w:tcW w:w="3018" w:type="dxa"/>
            <w:noWrap w:val="0"/>
            <w:vAlign w:val="center"/>
          </w:tcPr>
          <w:p w14:paraId="6E6ECC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注册合格产品</w:t>
            </w:r>
          </w:p>
        </w:tc>
      </w:tr>
      <w:tr w14:paraId="6C88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70" w:type="dxa"/>
            <w:noWrap w:val="0"/>
            <w:vAlign w:val="center"/>
          </w:tcPr>
          <w:p w14:paraId="696669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3537" w:type="dxa"/>
            <w:noWrap w:val="0"/>
            <w:vAlign w:val="center"/>
          </w:tcPr>
          <w:p w14:paraId="795209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bidi="ar"/>
              </w:rPr>
              <w:t>电动喷雾器</w:t>
            </w:r>
          </w:p>
        </w:tc>
        <w:tc>
          <w:tcPr>
            <w:tcW w:w="3018" w:type="dxa"/>
            <w:noWrap w:val="0"/>
            <w:vAlign w:val="center"/>
          </w:tcPr>
          <w:p w14:paraId="2ECA08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台</w:t>
            </w:r>
          </w:p>
        </w:tc>
        <w:tc>
          <w:tcPr>
            <w:tcW w:w="3018" w:type="dxa"/>
            <w:noWrap w:val="0"/>
            <w:vAlign w:val="center"/>
          </w:tcPr>
          <w:p w14:paraId="7A8B33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注册合格产品</w:t>
            </w:r>
          </w:p>
        </w:tc>
      </w:tr>
      <w:tr w14:paraId="27E8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70" w:type="dxa"/>
            <w:noWrap w:val="0"/>
            <w:vAlign w:val="center"/>
          </w:tcPr>
          <w:p w14:paraId="0F0798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3537" w:type="dxa"/>
            <w:noWrap w:val="0"/>
            <w:vAlign w:val="center"/>
          </w:tcPr>
          <w:p w14:paraId="018DAE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000000"/>
                <w:kern w:val="0"/>
                <w:sz w:val="24"/>
                <w:szCs w:val="24"/>
                <w:highlight w:val="none"/>
                <w:lang w:bidi="ar"/>
              </w:rPr>
              <w:t>工程服务车</w:t>
            </w:r>
          </w:p>
        </w:tc>
        <w:tc>
          <w:tcPr>
            <w:tcW w:w="3018" w:type="dxa"/>
            <w:noWrap w:val="0"/>
            <w:vAlign w:val="center"/>
          </w:tcPr>
          <w:p w14:paraId="1D7484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台</w:t>
            </w:r>
          </w:p>
        </w:tc>
        <w:tc>
          <w:tcPr>
            <w:tcW w:w="3018" w:type="dxa"/>
            <w:noWrap w:val="0"/>
            <w:vAlign w:val="center"/>
          </w:tcPr>
          <w:p w14:paraId="464451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符合工作实际需求</w:t>
            </w:r>
          </w:p>
        </w:tc>
      </w:tr>
    </w:tbl>
    <w:p w14:paraId="10AF6F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以上设备必须提供设备购买发票扫描件（租赁的另需提供租赁合同，租赁期限必须涵盖本项目服务期限），项目实施期间投入本项目的设备应常驻在弋阳县项目实施过程中不得减配（投标人须在投标文件中作出承诺：保证以上设备是为常驻装备设施，随时接受甲方抽检，否则愿接受甲方处罚）（投标文件提供承诺及相关资料，未提供则视为无效标处理）</w:t>
      </w:r>
    </w:p>
    <w:p w14:paraId="10E096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2、有害生物防制员配备情况表：</w:t>
      </w:r>
    </w:p>
    <w:tbl>
      <w:tblPr>
        <w:tblStyle w:val="5"/>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4476"/>
        <w:gridCol w:w="3799"/>
      </w:tblGrid>
      <w:tr w14:paraId="260A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3" w:type="dxa"/>
            <w:noWrap w:val="0"/>
            <w:vAlign w:val="center"/>
          </w:tcPr>
          <w:p w14:paraId="0FA9D5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4476" w:type="dxa"/>
            <w:noWrap w:val="0"/>
            <w:vAlign w:val="top"/>
          </w:tcPr>
          <w:p w14:paraId="68414DFB">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资质要求</w:t>
            </w:r>
          </w:p>
        </w:tc>
        <w:tc>
          <w:tcPr>
            <w:tcW w:w="3799" w:type="dxa"/>
            <w:noWrap w:val="0"/>
            <w:vAlign w:val="top"/>
          </w:tcPr>
          <w:p w14:paraId="44904B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人数</w:t>
            </w:r>
          </w:p>
        </w:tc>
      </w:tr>
      <w:tr w14:paraId="187C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83" w:type="dxa"/>
            <w:noWrap w:val="0"/>
            <w:vAlign w:val="center"/>
          </w:tcPr>
          <w:p w14:paraId="78AE81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476" w:type="dxa"/>
            <w:shd w:val="clear" w:color="auto" w:fill="auto"/>
            <w:noWrap w:val="0"/>
            <w:vAlign w:val="center"/>
          </w:tcPr>
          <w:p w14:paraId="3D6CBE82">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eastAsia="宋体" w:cs="宋体"/>
                <w:snapToGrid w:val="0"/>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有害生物防制员三级高级工</w:t>
            </w:r>
          </w:p>
        </w:tc>
        <w:tc>
          <w:tcPr>
            <w:tcW w:w="3799" w:type="dxa"/>
            <w:shd w:val="clear" w:color="auto" w:fill="auto"/>
            <w:noWrap w:val="0"/>
            <w:vAlign w:val="center"/>
          </w:tcPr>
          <w:p w14:paraId="3336D3F0">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eastAsia="宋体" w:cs="宋体"/>
                <w:snapToGrid w:val="0"/>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2人</w:t>
            </w:r>
          </w:p>
        </w:tc>
      </w:tr>
      <w:tr w14:paraId="438A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3" w:type="dxa"/>
            <w:noWrap w:val="0"/>
            <w:vAlign w:val="center"/>
          </w:tcPr>
          <w:p w14:paraId="485E4A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w:t>
            </w:r>
          </w:p>
        </w:tc>
        <w:tc>
          <w:tcPr>
            <w:tcW w:w="4476" w:type="dxa"/>
            <w:shd w:val="clear" w:color="auto" w:fill="auto"/>
            <w:noWrap w:val="0"/>
            <w:vAlign w:val="center"/>
          </w:tcPr>
          <w:p w14:paraId="4BA9E4AF">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有害生物防制员四级中级工</w:t>
            </w:r>
          </w:p>
        </w:tc>
        <w:tc>
          <w:tcPr>
            <w:tcW w:w="3799" w:type="dxa"/>
            <w:shd w:val="clear" w:color="auto" w:fill="auto"/>
            <w:noWrap w:val="0"/>
            <w:vAlign w:val="center"/>
          </w:tcPr>
          <w:p w14:paraId="0F75F888">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3人</w:t>
            </w:r>
          </w:p>
        </w:tc>
      </w:tr>
      <w:tr w14:paraId="5A29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83" w:type="dxa"/>
            <w:noWrap w:val="0"/>
            <w:vAlign w:val="center"/>
          </w:tcPr>
          <w:p w14:paraId="077B30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476" w:type="dxa"/>
            <w:shd w:val="clear" w:color="auto" w:fill="auto"/>
            <w:noWrap w:val="0"/>
            <w:vAlign w:val="center"/>
          </w:tcPr>
          <w:p w14:paraId="5541FB17">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有害生物防制员五级初级工</w:t>
            </w:r>
          </w:p>
        </w:tc>
        <w:tc>
          <w:tcPr>
            <w:tcW w:w="3799" w:type="dxa"/>
            <w:shd w:val="clear" w:color="auto" w:fill="auto"/>
            <w:noWrap w:val="0"/>
            <w:vAlign w:val="center"/>
          </w:tcPr>
          <w:p w14:paraId="4F47A559">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5人</w:t>
            </w:r>
          </w:p>
        </w:tc>
      </w:tr>
    </w:tbl>
    <w:p w14:paraId="53A199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以上人员必须为投标人的正式员工，提供有效期内的劳动合同原件扫描件及《有害生物防制员职业资格证书》扫描件加盖投标人公章、项目实施期间投入本项目常驻弋阳县人员名单（投标人须在投标文件中作出承诺：保证常驻人员数在项目实施过程中不减配，不随意更换，随时接受甲方抽检，否则愿接受甲方处罚。</w:t>
      </w:r>
    </w:p>
    <w:p w14:paraId="44A4853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（八）技术参数药品要求</w:t>
      </w:r>
    </w:p>
    <w:tbl>
      <w:tblPr>
        <w:tblStyle w:val="8"/>
        <w:tblpPr w:leftFromText="180" w:rightFromText="180" w:vertAnchor="text" w:horzAnchor="page" w:tblpX="1193" w:tblpY="65"/>
        <w:tblOverlap w:val="never"/>
        <w:tblW w:w="97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2744"/>
        <w:gridCol w:w="1622"/>
        <w:gridCol w:w="1675"/>
        <w:gridCol w:w="1499"/>
        <w:gridCol w:w="1384"/>
      </w:tblGrid>
      <w:tr w14:paraId="0C158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 w:hRule="atLeast"/>
          <w:jc w:val="center"/>
        </w:trPr>
        <w:tc>
          <w:tcPr>
            <w:tcW w:w="844" w:type="dxa"/>
            <w:shd w:val="clear" w:color="auto" w:fill="D9D9D9"/>
            <w:noWrap w:val="0"/>
            <w:vAlign w:val="top"/>
          </w:tcPr>
          <w:p w14:paraId="74A8AA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p>
          <w:p w14:paraId="5BA081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2744" w:type="dxa"/>
            <w:shd w:val="clear" w:color="auto" w:fill="D9D9D9"/>
            <w:noWrap w:val="0"/>
            <w:vAlign w:val="top"/>
          </w:tcPr>
          <w:p w14:paraId="11C5AB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p>
          <w:p w14:paraId="725B0C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卫生杀虫剂及有效成份</w:t>
            </w:r>
          </w:p>
        </w:tc>
        <w:tc>
          <w:tcPr>
            <w:tcW w:w="1622" w:type="dxa"/>
            <w:shd w:val="clear" w:color="auto" w:fill="D9D9D9"/>
            <w:noWrap w:val="0"/>
            <w:vAlign w:val="top"/>
          </w:tcPr>
          <w:p w14:paraId="3C96C9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有效成分</w:t>
            </w:r>
          </w:p>
          <w:p w14:paraId="018ADE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含量</w:t>
            </w:r>
          </w:p>
        </w:tc>
        <w:tc>
          <w:tcPr>
            <w:tcW w:w="1675" w:type="dxa"/>
            <w:shd w:val="clear" w:color="auto" w:fill="D9D9D9"/>
            <w:noWrap w:val="0"/>
            <w:vAlign w:val="top"/>
          </w:tcPr>
          <w:p w14:paraId="406E6B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p>
          <w:p w14:paraId="17DAFB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灭治对象</w:t>
            </w:r>
          </w:p>
        </w:tc>
        <w:tc>
          <w:tcPr>
            <w:tcW w:w="1499" w:type="dxa"/>
            <w:shd w:val="clear" w:color="auto" w:fill="D9D9D9"/>
            <w:noWrap w:val="0"/>
            <w:vAlign w:val="top"/>
          </w:tcPr>
          <w:p w14:paraId="2FA7BF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p>
          <w:p w14:paraId="509FB8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毒性</w:t>
            </w:r>
          </w:p>
        </w:tc>
        <w:tc>
          <w:tcPr>
            <w:tcW w:w="1384" w:type="dxa"/>
            <w:shd w:val="clear" w:color="auto" w:fill="D9D9D9"/>
            <w:noWrap w:val="0"/>
            <w:vAlign w:val="top"/>
          </w:tcPr>
          <w:p w14:paraId="5CD6F1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p>
          <w:p w14:paraId="01A2D2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使用方法</w:t>
            </w:r>
          </w:p>
        </w:tc>
      </w:tr>
      <w:tr w14:paraId="2C7FF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844" w:type="dxa"/>
            <w:noWrap w:val="0"/>
            <w:vAlign w:val="center"/>
          </w:tcPr>
          <w:p w14:paraId="410D30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744" w:type="dxa"/>
            <w:noWrap w:val="0"/>
            <w:vAlign w:val="center"/>
          </w:tcPr>
          <w:p w14:paraId="44CBCE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eastAsia="zh-CN" w:bidi="ar"/>
              </w:rPr>
              <w:t>溴鼠灵毒饵</w:t>
            </w:r>
          </w:p>
        </w:tc>
        <w:tc>
          <w:tcPr>
            <w:tcW w:w="1622" w:type="dxa"/>
            <w:noWrap w:val="0"/>
            <w:vAlign w:val="center"/>
          </w:tcPr>
          <w:p w14:paraId="64D549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≥0.005%</w:t>
            </w:r>
          </w:p>
        </w:tc>
        <w:tc>
          <w:tcPr>
            <w:tcW w:w="1675" w:type="dxa"/>
            <w:noWrap w:val="0"/>
            <w:vAlign w:val="center"/>
          </w:tcPr>
          <w:p w14:paraId="38E90B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鼠</w:t>
            </w:r>
          </w:p>
        </w:tc>
        <w:tc>
          <w:tcPr>
            <w:tcW w:w="1499" w:type="dxa"/>
            <w:noWrap w:val="0"/>
            <w:vAlign w:val="center"/>
          </w:tcPr>
          <w:p w14:paraId="02ADBA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低毒或微毒</w:t>
            </w:r>
          </w:p>
        </w:tc>
        <w:tc>
          <w:tcPr>
            <w:tcW w:w="1384" w:type="dxa"/>
            <w:noWrap w:val="0"/>
            <w:vAlign w:val="center"/>
          </w:tcPr>
          <w:p w14:paraId="3FFCD9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投放</w:t>
            </w:r>
          </w:p>
        </w:tc>
      </w:tr>
      <w:tr w14:paraId="648F8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844" w:type="dxa"/>
            <w:noWrap w:val="0"/>
            <w:vAlign w:val="center"/>
          </w:tcPr>
          <w:p w14:paraId="3B880D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2</w:t>
            </w:r>
          </w:p>
        </w:tc>
        <w:tc>
          <w:tcPr>
            <w:tcW w:w="2744" w:type="dxa"/>
            <w:noWrap w:val="0"/>
            <w:vAlign w:val="center"/>
          </w:tcPr>
          <w:p w14:paraId="14B1BE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eastAsia="zh-CN" w:bidi="ar"/>
              </w:rPr>
              <w:t>吡丙醚</w:t>
            </w:r>
            <w:r>
              <w:rPr>
                <w:rFonts w:hint="eastAsia" w:ascii="宋体" w:hAnsi="宋体" w:eastAsia="宋体" w:cs="宋体"/>
                <w:color w:val="auto"/>
                <w:kern w:val="0"/>
                <w:sz w:val="24"/>
                <w:szCs w:val="24"/>
                <w:highlight w:val="none"/>
                <w:lang w:bidi="ar"/>
              </w:rPr>
              <w:t>灭蚊幼颗粒剂</w:t>
            </w:r>
          </w:p>
        </w:tc>
        <w:tc>
          <w:tcPr>
            <w:tcW w:w="1622" w:type="dxa"/>
            <w:noWrap w:val="0"/>
            <w:vAlign w:val="center"/>
          </w:tcPr>
          <w:p w14:paraId="68DEBE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≥0.5%</w:t>
            </w:r>
          </w:p>
        </w:tc>
        <w:tc>
          <w:tcPr>
            <w:tcW w:w="1675" w:type="dxa"/>
            <w:noWrap w:val="0"/>
            <w:vAlign w:val="center"/>
          </w:tcPr>
          <w:p w14:paraId="01DC43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孑孓</w:t>
            </w:r>
          </w:p>
        </w:tc>
        <w:tc>
          <w:tcPr>
            <w:tcW w:w="1499" w:type="dxa"/>
            <w:noWrap w:val="0"/>
            <w:vAlign w:val="center"/>
          </w:tcPr>
          <w:p w14:paraId="484CA2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低毒或微毒</w:t>
            </w:r>
          </w:p>
        </w:tc>
        <w:tc>
          <w:tcPr>
            <w:tcW w:w="1384" w:type="dxa"/>
            <w:noWrap w:val="0"/>
            <w:vAlign w:val="center"/>
          </w:tcPr>
          <w:p w14:paraId="5B4755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撒施</w:t>
            </w:r>
          </w:p>
        </w:tc>
      </w:tr>
      <w:tr w14:paraId="02FB7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844" w:type="dxa"/>
            <w:noWrap w:val="0"/>
            <w:vAlign w:val="center"/>
          </w:tcPr>
          <w:p w14:paraId="1147E4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3</w:t>
            </w:r>
          </w:p>
        </w:tc>
        <w:tc>
          <w:tcPr>
            <w:tcW w:w="2744" w:type="dxa"/>
            <w:noWrap w:val="0"/>
            <w:vAlign w:val="center"/>
          </w:tcPr>
          <w:p w14:paraId="67979F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吡虫啉杀蟑饵剂</w:t>
            </w:r>
          </w:p>
        </w:tc>
        <w:tc>
          <w:tcPr>
            <w:tcW w:w="1622" w:type="dxa"/>
            <w:noWrap w:val="0"/>
            <w:vAlign w:val="center"/>
          </w:tcPr>
          <w:p w14:paraId="71C6C0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w:t>
            </w:r>
          </w:p>
        </w:tc>
        <w:tc>
          <w:tcPr>
            <w:tcW w:w="1675" w:type="dxa"/>
            <w:noWrap w:val="0"/>
            <w:vAlign w:val="center"/>
          </w:tcPr>
          <w:p w14:paraId="6B5CBB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蜚蠊</w:t>
            </w:r>
          </w:p>
        </w:tc>
        <w:tc>
          <w:tcPr>
            <w:tcW w:w="1499" w:type="dxa"/>
            <w:noWrap w:val="0"/>
            <w:vAlign w:val="center"/>
          </w:tcPr>
          <w:p w14:paraId="7F2A6B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低毒或微毒</w:t>
            </w:r>
          </w:p>
        </w:tc>
        <w:tc>
          <w:tcPr>
            <w:tcW w:w="1384" w:type="dxa"/>
            <w:noWrap w:val="0"/>
            <w:vAlign w:val="center"/>
          </w:tcPr>
          <w:p w14:paraId="35E3D8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投放</w:t>
            </w:r>
          </w:p>
        </w:tc>
      </w:tr>
      <w:tr w14:paraId="2DD39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44" w:type="dxa"/>
            <w:noWrap w:val="0"/>
            <w:vAlign w:val="center"/>
          </w:tcPr>
          <w:p w14:paraId="7EC048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p>
        </w:tc>
        <w:tc>
          <w:tcPr>
            <w:tcW w:w="2744" w:type="dxa"/>
            <w:noWrap w:val="0"/>
            <w:vAlign w:val="center"/>
          </w:tcPr>
          <w:p w14:paraId="0D4A4B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氯菊酯</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四氟醚菊酯水乳</w:t>
            </w:r>
            <w:r>
              <w:rPr>
                <w:rFonts w:hint="eastAsia" w:ascii="宋体" w:hAnsi="宋体" w:eastAsia="宋体" w:cs="宋体"/>
                <w:color w:val="auto"/>
                <w:kern w:val="0"/>
                <w:sz w:val="24"/>
                <w:szCs w:val="24"/>
                <w:highlight w:val="none"/>
                <w:lang w:bidi="ar"/>
              </w:rPr>
              <w:t>剂</w:t>
            </w:r>
          </w:p>
        </w:tc>
        <w:tc>
          <w:tcPr>
            <w:tcW w:w="1622" w:type="dxa"/>
            <w:noWrap w:val="0"/>
            <w:vAlign w:val="center"/>
          </w:tcPr>
          <w:p w14:paraId="129EA2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w:t>
            </w:r>
          </w:p>
        </w:tc>
        <w:tc>
          <w:tcPr>
            <w:tcW w:w="1675" w:type="dxa"/>
            <w:noWrap w:val="0"/>
            <w:vAlign w:val="center"/>
          </w:tcPr>
          <w:p w14:paraId="59E980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蚊、蝇</w:t>
            </w:r>
          </w:p>
        </w:tc>
        <w:tc>
          <w:tcPr>
            <w:tcW w:w="1499" w:type="dxa"/>
            <w:noWrap w:val="0"/>
            <w:vAlign w:val="center"/>
          </w:tcPr>
          <w:p w14:paraId="2A2F46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低毒或微毒</w:t>
            </w:r>
          </w:p>
        </w:tc>
        <w:tc>
          <w:tcPr>
            <w:tcW w:w="1384" w:type="dxa"/>
            <w:noWrap w:val="0"/>
            <w:vAlign w:val="center"/>
          </w:tcPr>
          <w:p w14:paraId="6991D9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喷洒</w:t>
            </w:r>
          </w:p>
        </w:tc>
      </w:tr>
      <w:tr w14:paraId="1B033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844" w:type="dxa"/>
            <w:noWrap w:val="0"/>
            <w:vAlign w:val="center"/>
          </w:tcPr>
          <w:p w14:paraId="67F02C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w:t>
            </w:r>
          </w:p>
        </w:tc>
        <w:tc>
          <w:tcPr>
            <w:tcW w:w="2744" w:type="dxa"/>
            <w:noWrap w:val="0"/>
            <w:vAlign w:val="center"/>
          </w:tcPr>
          <w:p w14:paraId="170583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高效氟氯氰菊酯悬浮剂</w:t>
            </w:r>
          </w:p>
        </w:tc>
        <w:tc>
          <w:tcPr>
            <w:tcW w:w="1622" w:type="dxa"/>
            <w:noWrap w:val="0"/>
            <w:vAlign w:val="center"/>
          </w:tcPr>
          <w:p w14:paraId="2D6ECB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w:t>
            </w:r>
          </w:p>
        </w:tc>
        <w:tc>
          <w:tcPr>
            <w:tcW w:w="1675" w:type="dxa"/>
            <w:noWrap w:val="0"/>
            <w:vAlign w:val="center"/>
          </w:tcPr>
          <w:p w14:paraId="53C378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蚊、蝇、蜚蠊</w:t>
            </w:r>
          </w:p>
        </w:tc>
        <w:tc>
          <w:tcPr>
            <w:tcW w:w="1499" w:type="dxa"/>
            <w:noWrap w:val="0"/>
            <w:vAlign w:val="center"/>
          </w:tcPr>
          <w:p w14:paraId="591D0B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低毒或微毒</w:t>
            </w:r>
          </w:p>
        </w:tc>
        <w:tc>
          <w:tcPr>
            <w:tcW w:w="1384" w:type="dxa"/>
            <w:noWrap w:val="0"/>
            <w:vAlign w:val="center"/>
          </w:tcPr>
          <w:p w14:paraId="512396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喷洒</w:t>
            </w:r>
          </w:p>
        </w:tc>
      </w:tr>
      <w:tr w14:paraId="3A65E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844" w:type="dxa"/>
            <w:noWrap w:val="0"/>
            <w:vAlign w:val="center"/>
          </w:tcPr>
          <w:p w14:paraId="7B56D1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w:t>
            </w:r>
          </w:p>
        </w:tc>
        <w:tc>
          <w:tcPr>
            <w:tcW w:w="2744" w:type="dxa"/>
            <w:noWrap w:val="0"/>
            <w:vAlign w:val="center"/>
          </w:tcPr>
          <w:p w14:paraId="66B6FB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氯菊酯</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烯丙菊酯乳油</w:t>
            </w:r>
          </w:p>
        </w:tc>
        <w:tc>
          <w:tcPr>
            <w:tcW w:w="1622" w:type="dxa"/>
            <w:noWrap w:val="0"/>
            <w:vAlign w:val="center"/>
          </w:tcPr>
          <w:p w14:paraId="59184E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w:t>
            </w:r>
          </w:p>
        </w:tc>
        <w:tc>
          <w:tcPr>
            <w:tcW w:w="1675" w:type="dxa"/>
            <w:noWrap w:val="0"/>
            <w:vAlign w:val="center"/>
          </w:tcPr>
          <w:p w14:paraId="62F599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蚊、蝇</w:t>
            </w:r>
          </w:p>
        </w:tc>
        <w:tc>
          <w:tcPr>
            <w:tcW w:w="1499" w:type="dxa"/>
            <w:noWrap w:val="0"/>
            <w:vAlign w:val="center"/>
          </w:tcPr>
          <w:p w14:paraId="6A4454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低毒或微毒</w:t>
            </w:r>
          </w:p>
        </w:tc>
        <w:tc>
          <w:tcPr>
            <w:tcW w:w="1384" w:type="dxa"/>
            <w:noWrap w:val="0"/>
            <w:vAlign w:val="center"/>
          </w:tcPr>
          <w:p w14:paraId="6C0251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喷洒</w:t>
            </w:r>
          </w:p>
        </w:tc>
      </w:tr>
      <w:tr w14:paraId="12A1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844" w:type="dxa"/>
            <w:noWrap w:val="0"/>
            <w:vAlign w:val="center"/>
          </w:tcPr>
          <w:p w14:paraId="474277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w:t>
            </w:r>
          </w:p>
        </w:tc>
        <w:tc>
          <w:tcPr>
            <w:tcW w:w="2744" w:type="dxa"/>
            <w:noWrap w:val="0"/>
            <w:vAlign w:val="center"/>
          </w:tcPr>
          <w:p w14:paraId="1530E4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吡虫啉·氯氟醚</w:t>
            </w:r>
            <w:r>
              <w:rPr>
                <w:rFonts w:hint="eastAsia" w:ascii="宋体" w:hAnsi="宋体" w:eastAsia="宋体" w:cs="宋体"/>
                <w:color w:val="auto"/>
                <w:kern w:val="0"/>
                <w:sz w:val="24"/>
                <w:szCs w:val="24"/>
                <w:highlight w:val="none"/>
                <w:lang w:val="en-US" w:eastAsia="zh-CN" w:bidi="ar"/>
              </w:rPr>
              <w:t>菊酯</w:t>
            </w:r>
          </w:p>
          <w:p w14:paraId="3BDFF0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悬浮剂</w:t>
            </w:r>
          </w:p>
        </w:tc>
        <w:tc>
          <w:tcPr>
            <w:tcW w:w="1622" w:type="dxa"/>
            <w:noWrap w:val="0"/>
            <w:vAlign w:val="center"/>
          </w:tcPr>
          <w:p w14:paraId="65EDFB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bidi="ar"/>
              </w:rPr>
              <w:t>%</w:t>
            </w:r>
          </w:p>
        </w:tc>
        <w:tc>
          <w:tcPr>
            <w:tcW w:w="1675" w:type="dxa"/>
            <w:noWrap w:val="0"/>
            <w:vAlign w:val="center"/>
          </w:tcPr>
          <w:p w14:paraId="3BD90B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蚊、蝇</w:t>
            </w:r>
          </w:p>
        </w:tc>
        <w:tc>
          <w:tcPr>
            <w:tcW w:w="1499" w:type="dxa"/>
            <w:noWrap w:val="0"/>
            <w:vAlign w:val="center"/>
          </w:tcPr>
          <w:p w14:paraId="4DB265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低毒或微毒</w:t>
            </w:r>
          </w:p>
        </w:tc>
        <w:tc>
          <w:tcPr>
            <w:tcW w:w="1384" w:type="dxa"/>
            <w:noWrap w:val="0"/>
            <w:vAlign w:val="center"/>
          </w:tcPr>
          <w:p w14:paraId="60999D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喷洒</w:t>
            </w:r>
          </w:p>
        </w:tc>
      </w:tr>
    </w:tbl>
    <w:p w14:paraId="4594AEB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
        </w:rPr>
      </w:pPr>
    </w:p>
    <w:p w14:paraId="6E03067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FF"/>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注：投标文件中的所投药品需满足以上有效成分、含量、剂型及规格不能负偏离，供货时提供以上药品的三证。</w:t>
      </w:r>
    </w:p>
    <w:p w14:paraId="7B73F5FD">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lang w:val="en-US" w:eastAsia="zh-CN"/>
        </w:rPr>
        <w:t>九</w:t>
      </w: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rPr>
        <w:t>现场勘察</w:t>
      </w:r>
    </w:p>
    <w:p w14:paraId="40DA349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投标人可自行</w:t>
      </w:r>
      <w:r>
        <w:rPr>
          <w:rFonts w:hint="eastAsia" w:ascii="宋体" w:hAnsi="宋体" w:eastAsia="宋体" w:cs="宋体"/>
          <w:bCs/>
          <w:sz w:val="24"/>
          <w:szCs w:val="24"/>
          <w:highlight w:val="none"/>
        </w:rPr>
        <w:t>对项目实施现场和周围环境进行周密的勘察和研究，以获取编制投标文件及进行投标所需的所有资料。成交后签订合同时和实施过程中，</w:t>
      </w:r>
      <w:r>
        <w:rPr>
          <w:rFonts w:hint="eastAsia" w:ascii="宋体" w:hAnsi="宋体" w:eastAsia="宋体" w:cs="宋体"/>
          <w:bCs/>
          <w:sz w:val="24"/>
          <w:szCs w:val="24"/>
          <w:highlight w:val="none"/>
          <w:lang w:eastAsia="zh-CN"/>
        </w:rPr>
        <w:t>成交供应商</w:t>
      </w:r>
      <w:r>
        <w:rPr>
          <w:rFonts w:hint="eastAsia" w:ascii="宋体" w:hAnsi="宋体" w:eastAsia="宋体" w:cs="宋体"/>
          <w:bCs/>
          <w:sz w:val="24"/>
          <w:szCs w:val="24"/>
          <w:highlight w:val="none"/>
        </w:rPr>
        <w:t>不得以不完全了解现场情况为由，提出任何形式的增加造价或索赔的要求。</w:t>
      </w:r>
    </w:p>
    <w:p w14:paraId="11DFF01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在现场勘察中所发生的意外事件自行负责。</w:t>
      </w:r>
    </w:p>
    <w:p w14:paraId="6DB0B7F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现场勘察的一切费用自理。</w:t>
      </w:r>
    </w:p>
    <w:p w14:paraId="649F750B">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8D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0"/>
      <w:szCs w:val="30"/>
    </w:rPr>
  </w:style>
  <w:style w:type="paragraph" w:styleId="3">
    <w:name w:val="footer"/>
    <w:basedOn w:val="1"/>
    <w:qFormat/>
    <w:uiPriority w:val="0"/>
    <w:pPr>
      <w:tabs>
        <w:tab w:val="center" w:pos="4153"/>
        <w:tab w:val="right" w:pos="8306"/>
      </w:tabs>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qFormat/>
    <w:uiPriority w:val="0"/>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2026-05-20T09:32:13Z</dcterms:created>
  <dc:creator>程云</dc:creator>
  <cp:lastModifiedBy>程云</cp:lastModifiedBy>
  <dcterms:modified xsi:type="dcterms:W3CDTF">2026-05-20T09:32:34Z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eyJoZGlkIjoiZDIyOWU3N2VlZDliODJhNTkxZDkwZDQ4OGMzMzdlMjkiLCJ1c2VySWQiOiIxNjU3NDAwNDM0In0=</vt:lpwstr>
  </property>
  <property fmtid="{D5CDD505-2E9C-101B-9397-08002B2CF9AE}" pid="4" name="ICV">
    <vt:lpwstr>874E404906154A6187E62A55A0CE66CF_12</vt:lpwstr>
  </property>
</Properties>
</file>