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93BAE">
      <w:pPr>
        <w:spacing w:before="1248" w:beforeLines="400" w:after="780" w:afterLines="250" w:line="480" w:lineRule="auto"/>
        <w:ind w:left="315" w:leftChars="150"/>
        <w:jc w:val="center"/>
        <w:rPr>
          <w:rFonts w:ascii="宋体" w:hAnsi="宋体"/>
          <w:sz w:val="120"/>
          <w:szCs w:val="120"/>
          <w:highlight w:val="none"/>
        </w:rPr>
      </w:pPr>
      <w:r>
        <w:rPr>
          <w:rFonts w:hint="eastAsia" w:ascii="宋体" w:hAnsi="宋体"/>
          <w:b/>
          <w:sz w:val="120"/>
          <w:szCs w:val="120"/>
          <w:highlight w:val="none"/>
        </w:rPr>
        <w:t>竞争性磋商文件</w:t>
      </w:r>
    </w:p>
    <w:p w14:paraId="1114B413">
      <w:pPr>
        <w:jc w:val="center"/>
        <w:rPr>
          <w:rFonts w:asciiTheme="minorEastAsia" w:hAnsiTheme="minorEastAsia" w:eastAsiaTheme="minorEastAsia"/>
          <w:b/>
          <w:sz w:val="32"/>
          <w:szCs w:val="32"/>
          <w:highlight w:val="none"/>
        </w:rPr>
      </w:pPr>
      <w:r>
        <w:rPr>
          <w:rFonts w:asciiTheme="minorEastAsia" w:hAnsiTheme="minorEastAsia" w:eastAsiaTheme="minorEastAsia"/>
          <w:b/>
          <w:sz w:val="32"/>
          <w:highlight w:val="none"/>
        </w:rPr>
        <w:drawing>
          <wp:inline distT="0" distB="0" distL="0" distR="0">
            <wp:extent cx="3836670" cy="3919855"/>
            <wp:effectExtent l="0" t="0" r="11430" b="4445"/>
            <wp:docPr id="1" name="图片 1" descr="智汇城市logo_曲_CDR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智汇城市logo_曲_CDRX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65035" cy="3948281"/>
                    </a:xfrm>
                    <a:prstGeom prst="rect">
                      <a:avLst/>
                    </a:prstGeom>
                    <a:noFill/>
                    <a:ln>
                      <a:noFill/>
                    </a:ln>
                  </pic:spPr>
                </pic:pic>
              </a:graphicData>
            </a:graphic>
          </wp:inline>
        </w:drawing>
      </w:r>
    </w:p>
    <w:p w14:paraId="7D6D7F16">
      <w:pPr>
        <w:pStyle w:val="11"/>
        <w:tabs>
          <w:tab w:val="left" w:pos="9072"/>
        </w:tabs>
        <w:spacing w:before="936" w:beforeLines="300" w:line="640" w:lineRule="exact"/>
        <w:ind w:firstLine="826" w:firstLineChars="235"/>
        <w:outlineLvl w:val="9"/>
        <w:rPr>
          <w:rFonts w:hint="eastAsia" w:ascii="宋体" w:hAnsi="宋体" w:eastAsia="宋体"/>
          <w:sz w:val="35"/>
          <w:szCs w:val="35"/>
          <w:highlight w:val="none"/>
          <w:lang w:val="en-US" w:eastAsia="zh-CN"/>
        </w:rPr>
      </w:pPr>
      <w:r>
        <w:rPr>
          <w:rFonts w:ascii="宋体" w:hAnsi="宋体" w:eastAsia="宋体"/>
          <w:b/>
          <w:sz w:val="35"/>
          <w:szCs w:val="35"/>
          <w:highlight w:val="none"/>
        </w:rPr>
        <w:t>项目编号：</w:t>
      </w:r>
      <w:r>
        <w:rPr>
          <w:rFonts w:hint="eastAsia" w:ascii="宋体" w:hAnsi="宋体" w:eastAsia="宋体"/>
          <w:b/>
          <w:sz w:val="35"/>
          <w:szCs w:val="35"/>
          <w:highlight w:val="none"/>
          <w:lang w:eastAsia="zh-CN"/>
        </w:rPr>
        <w:t>ZHDGCZ2026015</w:t>
      </w:r>
    </w:p>
    <w:p w14:paraId="22FFDDD1">
      <w:pPr>
        <w:pStyle w:val="11"/>
        <w:spacing w:line="640" w:lineRule="exact"/>
        <w:ind w:firstLine="826" w:firstLineChars="235"/>
        <w:outlineLvl w:val="9"/>
        <w:rPr>
          <w:rFonts w:hint="eastAsia" w:ascii="宋体" w:hAnsi="宋体" w:eastAsia="宋体"/>
          <w:b/>
          <w:sz w:val="35"/>
          <w:szCs w:val="35"/>
          <w:highlight w:val="none"/>
          <w:lang w:eastAsia="zh-CN"/>
        </w:rPr>
      </w:pPr>
      <w:r>
        <w:rPr>
          <w:rFonts w:ascii="宋体" w:hAnsi="宋体" w:eastAsia="宋体"/>
          <w:b/>
          <w:sz w:val="35"/>
          <w:szCs w:val="35"/>
          <w:highlight w:val="none"/>
        </w:rPr>
        <w:t>项目名称：</w:t>
      </w:r>
      <w:r>
        <w:rPr>
          <w:rFonts w:hint="eastAsia" w:ascii="宋体" w:hAnsi="宋体" w:eastAsia="宋体"/>
          <w:b/>
          <w:sz w:val="35"/>
          <w:szCs w:val="35"/>
          <w:highlight w:val="none"/>
          <w:lang w:eastAsia="zh-CN"/>
        </w:rPr>
        <w:t>石龙镇“四害”消杀防控服务采购项目</w:t>
      </w:r>
    </w:p>
    <w:p w14:paraId="6EA77B76">
      <w:pPr>
        <w:pStyle w:val="11"/>
        <w:spacing w:line="640" w:lineRule="exact"/>
        <w:ind w:firstLine="826" w:firstLineChars="235"/>
        <w:outlineLvl w:val="9"/>
        <w:rPr>
          <w:rFonts w:hint="eastAsia" w:ascii="宋体" w:hAnsi="宋体" w:eastAsia="宋体"/>
          <w:sz w:val="35"/>
          <w:szCs w:val="35"/>
          <w:highlight w:val="none"/>
          <w:lang w:eastAsia="zh-CN"/>
        </w:rPr>
      </w:pPr>
      <w:r>
        <w:rPr>
          <w:rFonts w:ascii="宋体" w:hAnsi="宋体" w:eastAsia="宋体"/>
          <w:b/>
          <w:sz w:val="35"/>
          <w:szCs w:val="35"/>
          <w:highlight w:val="none"/>
        </w:rPr>
        <w:t>采</w:t>
      </w:r>
      <w:r>
        <w:rPr>
          <w:rFonts w:ascii="宋体" w:hAnsi="宋体" w:eastAsia="宋体"/>
          <w:b/>
          <w:sz w:val="35"/>
          <w:szCs w:val="35"/>
          <w:highlight w:val="none"/>
          <w:lang w:eastAsia="zh-CN"/>
        </w:rPr>
        <w:t xml:space="preserve"> </w:t>
      </w:r>
      <w:r>
        <w:rPr>
          <w:rFonts w:ascii="宋体" w:hAnsi="宋体" w:eastAsia="宋体"/>
          <w:b/>
          <w:sz w:val="35"/>
          <w:szCs w:val="35"/>
          <w:highlight w:val="none"/>
        </w:rPr>
        <w:t>购</w:t>
      </w:r>
      <w:r>
        <w:rPr>
          <w:rFonts w:ascii="宋体" w:hAnsi="宋体" w:eastAsia="宋体"/>
          <w:b/>
          <w:sz w:val="35"/>
          <w:szCs w:val="35"/>
          <w:highlight w:val="none"/>
          <w:lang w:eastAsia="zh-CN"/>
        </w:rPr>
        <w:t xml:space="preserve"> </w:t>
      </w:r>
      <w:r>
        <w:rPr>
          <w:rFonts w:ascii="宋体" w:hAnsi="宋体" w:eastAsia="宋体"/>
          <w:b/>
          <w:sz w:val="35"/>
          <w:szCs w:val="35"/>
          <w:highlight w:val="none"/>
        </w:rPr>
        <w:t>人：</w:t>
      </w:r>
      <w:r>
        <w:rPr>
          <w:rFonts w:hint="eastAsia" w:ascii="宋体" w:hAnsi="宋体" w:eastAsia="宋体"/>
          <w:b/>
          <w:sz w:val="35"/>
          <w:szCs w:val="35"/>
          <w:highlight w:val="none"/>
        </w:rPr>
        <w:t>东莞市</w:t>
      </w:r>
      <w:r>
        <w:rPr>
          <w:rFonts w:hint="eastAsia" w:ascii="宋体" w:hAnsi="宋体" w:eastAsia="宋体"/>
          <w:b/>
          <w:sz w:val="35"/>
          <w:szCs w:val="35"/>
          <w:highlight w:val="none"/>
          <w:lang w:eastAsia="zh-CN"/>
        </w:rPr>
        <w:t>石龙镇卫生健康局</w:t>
      </w:r>
    </w:p>
    <w:p w14:paraId="2A3858FA">
      <w:pPr>
        <w:pStyle w:val="11"/>
        <w:spacing w:line="640" w:lineRule="exact"/>
        <w:ind w:firstLine="826" w:firstLineChars="235"/>
        <w:outlineLvl w:val="9"/>
        <w:rPr>
          <w:rFonts w:hint="default" w:ascii="宋体" w:hAnsi="宋体" w:eastAsia="宋体"/>
          <w:b/>
          <w:sz w:val="36"/>
          <w:szCs w:val="24"/>
          <w:highlight w:val="none"/>
          <w:lang w:eastAsia="zh-CN"/>
        </w:rPr>
      </w:pPr>
      <w:r>
        <w:rPr>
          <w:rFonts w:ascii="宋体" w:hAnsi="宋体" w:eastAsia="宋体"/>
          <w:b/>
          <w:sz w:val="35"/>
          <w:szCs w:val="35"/>
          <w:highlight w:val="none"/>
        </w:rPr>
        <w:t>采购代理机构：广东智汇城市招标采购有限公司</w:t>
      </w:r>
    </w:p>
    <w:p w14:paraId="09F98784">
      <w:pPr>
        <w:jc w:val="center"/>
        <w:rPr>
          <w:rFonts w:asciiTheme="minorEastAsia" w:hAnsiTheme="minorEastAsia" w:eastAsiaTheme="minorEastAsia"/>
          <w:b/>
          <w:spacing w:val="60"/>
          <w:sz w:val="28"/>
          <w:szCs w:val="28"/>
          <w:highlight w:val="none"/>
        </w:rPr>
        <w:sectPr>
          <w:footerReference r:id="rId3" w:type="default"/>
          <w:pgSz w:w="11906" w:h="16838"/>
          <w:pgMar w:top="1418" w:right="1418" w:bottom="1418" w:left="1418" w:header="851" w:footer="595" w:gutter="0"/>
          <w:pgNumType w:start="0"/>
          <w:cols w:space="425" w:num="1"/>
          <w:titlePg/>
          <w:docGrid w:type="lines" w:linePitch="312" w:charSpace="0"/>
        </w:sectPr>
      </w:pPr>
    </w:p>
    <w:sdt>
      <w:sdtPr>
        <w:rPr>
          <w:rFonts w:asciiTheme="minorEastAsia" w:hAnsiTheme="minorEastAsia" w:eastAsiaTheme="minorEastAsia" w:cstheme="minorBidi"/>
          <w:b w:val="0"/>
          <w:bCs w:val="0"/>
          <w:color w:val="auto"/>
          <w:kern w:val="2"/>
          <w:sz w:val="21"/>
          <w:szCs w:val="22"/>
          <w:highlight w:val="none"/>
          <w:lang w:val="zh-CN"/>
        </w:rPr>
        <w:id w:val="1573932282"/>
      </w:sdtPr>
      <w:sdtEndPr>
        <w:rPr>
          <w:rFonts w:asciiTheme="minorEastAsia" w:hAnsiTheme="minorEastAsia" w:eastAsiaTheme="minorEastAsia" w:cstheme="minorBidi"/>
          <w:b w:val="0"/>
          <w:bCs w:val="0"/>
          <w:color w:val="auto"/>
          <w:kern w:val="0"/>
          <w:sz w:val="22"/>
          <w:szCs w:val="22"/>
          <w:highlight w:val="none"/>
          <w:lang w:val="zh-CN"/>
        </w:rPr>
      </w:sdtEndPr>
      <w:sdtContent>
        <w:p w14:paraId="08619079">
          <w:pPr>
            <w:pStyle w:val="12"/>
            <w:keepNext w:val="0"/>
            <w:keepLines w:val="0"/>
            <w:pageBreakBefore/>
            <w:widowControl w:val="0"/>
            <w:spacing w:before="156" w:beforeLines="50" w:after="156" w:afterLines="50"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z w:val="32"/>
              <w:szCs w:val="32"/>
              <w:highlight w:val="none"/>
              <w:lang w:val="zh-CN"/>
            </w:rPr>
            <w:t>目 录</w:t>
          </w:r>
        </w:p>
        <w:p w14:paraId="4DB9DF3B">
          <w:pPr>
            <w:pStyle w:val="5"/>
            <w:keepNext w:val="0"/>
            <w:keepLines w:val="0"/>
            <w:pageBreakBefore w:val="0"/>
            <w:widowControl/>
            <w:tabs>
              <w:tab w:val="right" w:leader="dot" w:pos="9070"/>
              <w:tab w:val="clear" w:pos="840"/>
              <w:tab w:val="clear" w:pos="8273"/>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Style w:val="10"/>
              <w:rFonts w:hint="eastAsia" w:ascii="宋体" w:hAnsi="宋体" w:eastAsia="宋体" w:cs="宋体"/>
              <w:spacing w:val="20"/>
              <w:sz w:val="24"/>
              <w:szCs w:val="24"/>
              <w:highlight w:val="none"/>
            </w:rPr>
            <w:fldChar w:fldCharType="begin"/>
          </w:r>
          <w:r>
            <w:rPr>
              <w:rStyle w:val="10"/>
              <w:rFonts w:hint="eastAsia" w:ascii="宋体" w:hAnsi="宋体" w:eastAsia="宋体" w:cs="宋体"/>
              <w:spacing w:val="20"/>
              <w:sz w:val="24"/>
              <w:szCs w:val="24"/>
              <w:highlight w:val="none"/>
            </w:rPr>
            <w:instrText xml:space="preserve"> TOC \o "1-3" \h \z \u </w:instrText>
          </w:r>
          <w:r>
            <w:rPr>
              <w:rStyle w:val="10"/>
              <w:rFonts w:hint="eastAsia" w:ascii="宋体" w:hAnsi="宋体" w:eastAsia="宋体" w:cs="宋体"/>
              <w:spacing w:val="20"/>
              <w:sz w:val="24"/>
              <w:szCs w:val="24"/>
              <w:highlight w:val="none"/>
            </w:rPr>
            <w:fldChar w:fldCharType="separate"/>
          </w:r>
          <w:r>
            <w:rPr>
              <w:rFonts w:hint="eastAsia" w:ascii="宋体" w:hAnsi="宋体" w:eastAsia="宋体" w:cs="宋体"/>
              <w:spacing w:val="20"/>
              <w:sz w:val="24"/>
              <w:szCs w:val="24"/>
              <w:highlight w:val="none"/>
            </w:rPr>
            <w:fldChar w:fldCharType="begin"/>
          </w:r>
          <w:r>
            <w:rPr>
              <w:rFonts w:hint="eastAsia" w:ascii="宋体" w:hAnsi="宋体" w:eastAsia="宋体" w:cs="宋体"/>
              <w:spacing w:val="20"/>
              <w:sz w:val="24"/>
              <w:szCs w:val="24"/>
              <w:highlight w:val="none"/>
            </w:rPr>
            <w:instrText xml:space="preserve"> HYPERLINK \l _Toc30189 </w:instrText>
          </w:r>
          <w:r>
            <w:rPr>
              <w:rFonts w:hint="eastAsia" w:ascii="宋体" w:hAnsi="宋体" w:eastAsia="宋体" w:cs="宋体"/>
              <w:spacing w:val="20"/>
              <w:sz w:val="24"/>
              <w:szCs w:val="24"/>
              <w:highlight w:val="none"/>
            </w:rPr>
            <w:fldChar w:fldCharType="separate"/>
          </w:r>
          <w:r>
            <w:rPr>
              <w:rFonts w:hint="eastAsia" w:ascii="宋体" w:hAnsi="宋体" w:eastAsia="宋体" w:cs="宋体"/>
              <w:spacing w:val="20"/>
              <w:sz w:val="24"/>
              <w:szCs w:val="24"/>
              <w:highlight w:val="none"/>
            </w:rPr>
            <w:t>第一章 磋商邀请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_Toc30189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pacing w:val="20"/>
              <w:sz w:val="24"/>
              <w:szCs w:val="24"/>
              <w:highlight w:val="none"/>
            </w:rPr>
            <w:fldChar w:fldCharType="end"/>
          </w:r>
        </w:p>
        <w:p w14:paraId="5F52923F">
          <w:pPr>
            <w:pStyle w:val="5"/>
            <w:keepNext w:val="0"/>
            <w:keepLines w:val="0"/>
            <w:pageBreakBefore w:val="0"/>
            <w:widowControl/>
            <w:tabs>
              <w:tab w:val="right" w:leader="dot" w:pos="9070"/>
              <w:tab w:val="clear" w:pos="840"/>
              <w:tab w:val="clear" w:pos="8273"/>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fldChar w:fldCharType="begin"/>
          </w:r>
          <w:r>
            <w:rPr>
              <w:rFonts w:hint="eastAsia" w:ascii="宋体" w:hAnsi="宋体" w:eastAsia="宋体" w:cs="宋体"/>
              <w:spacing w:val="20"/>
              <w:sz w:val="24"/>
              <w:szCs w:val="24"/>
              <w:highlight w:val="none"/>
            </w:rPr>
            <w:instrText xml:space="preserve"> HYPERLINK \l _Toc26560 </w:instrText>
          </w:r>
          <w:r>
            <w:rPr>
              <w:rFonts w:hint="eastAsia" w:ascii="宋体" w:hAnsi="宋体" w:eastAsia="宋体" w:cs="宋体"/>
              <w:spacing w:val="20"/>
              <w:sz w:val="24"/>
              <w:szCs w:val="24"/>
              <w:highlight w:val="none"/>
            </w:rPr>
            <w:fldChar w:fldCharType="separate"/>
          </w:r>
          <w:r>
            <w:rPr>
              <w:rFonts w:hint="eastAsia" w:ascii="宋体" w:hAnsi="宋体" w:eastAsia="宋体" w:cs="宋体"/>
              <w:spacing w:val="20"/>
              <w:sz w:val="24"/>
              <w:szCs w:val="24"/>
              <w:highlight w:val="none"/>
            </w:rPr>
            <w:t>第二章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_Toc26560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pacing w:val="20"/>
              <w:sz w:val="24"/>
              <w:szCs w:val="24"/>
              <w:highlight w:val="none"/>
            </w:rPr>
            <w:fldChar w:fldCharType="end"/>
          </w:r>
        </w:p>
        <w:p w14:paraId="16669B57">
          <w:pPr>
            <w:pStyle w:val="5"/>
            <w:keepNext w:val="0"/>
            <w:keepLines w:val="0"/>
            <w:pageBreakBefore w:val="0"/>
            <w:widowControl/>
            <w:tabs>
              <w:tab w:val="right" w:leader="dot" w:pos="9070"/>
              <w:tab w:val="clear" w:pos="840"/>
              <w:tab w:val="clear" w:pos="8273"/>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20"/>
              <w:sz w:val="24"/>
              <w:szCs w:val="24"/>
              <w:highlight w:val="none"/>
            </w:rPr>
            <w:fldChar w:fldCharType="begin"/>
          </w:r>
          <w:r>
            <w:rPr>
              <w:rFonts w:hint="eastAsia" w:ascii="宋体" w:hAnsi="宋体" w:eastAsia="宋体" w:cs="宋体"/>
              <w:spacing w:val="20"/>
              <w:sz w:val="24"/>
              <w:szCs w:val="24"/>
              <w:highlight w:val="none"/>
            </w:rPr>
            <w:instrText xml:space="preserve"> HYPERLINK \l _Toc16264 </w:instrText>
          </w:r>
          <w:r>
            <w:rPr>
              <w:rFonts w:hint="eastAsia" w:ascii="宋体" w:hAnsi="宋体" w:eastAsia="宋体" w:cs="宋体"/>
              <w:spacing w:val="20"/>
              <w:sz w:val="24"/>
              <w:szCs w:val="24"/>
              <w:highlight w:val="none"/>
            </w:rPr>
            <w:fldChar w:fldCharType="separate"/>
          </w:r>
          <w:r>
            <w:rPr>
              <w:rFonts w:hint="eastAsia" w:ascii="宋体" w:hAnsi="宋体" w:eastAsia="宋体" w:cs="宋体"/>
              <w:spacing w:val="20"/>
              <w:sz w:val="24"/>
              <w:szCs w:val="24"/>
              <w:highlight w:val="none"/>
            </w:rPr>
            <w:t>第三章 磋商须知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pacing w:val="20"/>
              <w:sz w:val="24"/>
              <w:szCs w:val="24"/>
              <w:highlight w:val="none"/>
            </w:rPr>
            <w:fldChar w:fldCharType="end"/>
          </w:r>
          <w:r>
            <w:rPr>
              <w:rFonts w:hint="eastAsia" w:ascii="宋体" w:hAnsi="宋体" w:eastAsia="宋体" w:cs="宋体"/>
              <w:spacing w:val="20"/>
              <w:sz w:val="24"/>
              <w:szCs w:val="24"/>
              <w:highlight w:val="none"/>
              <w:lang w:val="en-US" w:eastAsia="zh-CN"/>
            </w:rPr>
            <w:t>4</w:t>
          </w:r>
        </w:p>
        <w:p w14:paraId="45F5881A">
          <w:pPr>
            <w:pStyle w:val="5"/>
            <w:keepNext w:val="0"/>
            <w:keepLines w:val="0"/>
            <w:pageBreakBefore w:val="0"/>
            <w:widowControl/>
            <w:tabs>
              <w:tab w:val="right" w:leader="dot" w:pos="9070"/>
              <w:tab w:val="clear" w:pos="840"/>
              <w:tab w:val="clear" w:pos="8273"/>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20"/>
              <w:sz w:val="24"/>
              <w:szCs w:val="24"/>
              <w:highlight w:val="none"/>
            </w:rPr>
            <w:fldChar w:fldCharType="begin"/>
          </w:r>
          <w:r>
            <w:rPr>
              <w:rFonts w:hint="eastAsia" w:ascii="宋体" w:hAnsi="宋体" w:eastAsia="宋体" w:cs="宋体"/>
              <w:spacing w:val="20"/>
              <w:sz w:val="24"/>
              <w:szCs w:val="24"/>
              <w:highlight w:val="none"/>
            </w:rPr>
            <w:instrText xml:space="preserve"> HYPERLINK \l _Toc2394 </w:instrText>
          </w:r>
          <w:r>
            <w:rPr>
              <w:rFonts w:hint="eastAsia" w:ascii="宋体" w:hAnsi="宋体" w:eastAsia="宋体" w:cs="宋体"/>
              <w:spacing w:val="20"/>
              <w:sz w:val="24"/>
              <w:szCs w:val="24"/>
              <w:highlight w:val="none"/>
            </w:rPr>
            <w:fldChar w:fldCharType="separate"/>
          </w:r>
          <w:r>
            <w:rPr>
              <w:rFonts w:hint="eastAsia" w:ascii="宋体" w:hAnsi="宋体" w:eastAsia="宋体" w:cs="宋体"/>
              <w:spacing w:val="20"/>
              <w:sz w:val="24"/>
              <w:szCs w:val="24"/>
              <w:highlight w:val="none"/>
            </w:rPr>
            <w:t>第四章 评审</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pacing w:val="20"/>
              <w:sz w:val="24"/>
              <w:szCs w:val="24"/>
              <w:highlight w:val="none"/>
            </w:rPr>
            <w:fldChar w:fldCharType="end"/>
          </w:r>
          <w:r>
            <w:rPr>
              <w:rFonts w:hint="eastAsia" w:ascii="宋体" w:hAnsi="宋体" w:eastAsia="宋体" w:cs="宋体"/>
              <w:spacing w:val="20"/>
              <w:sz w:val="24"/>
              <w:szCs w:val="24"/>
              <w:highlight w:val="none"/>
              <w:lang w:val="en-US" w:eastAsia="zh-CN"/>
            </w:rPr>
            <w:t>4</w:t>
          </w:r>
        </w:p>
        <w:p w14:paraId="6C849FBC">
          <w:pPr>
            <w:pStyle w:val="5"/>
            <w:keepNext w:val="0"/>
            <w:keepLines w:val="0"/>
            <w:pageBreakBefore w:val="0"/>
            <w:widowControl/>
            <w:tabs>
              <w:tab w:val="right" w:leader="dot" w:pos="9070"/>
              <w:tab w:val="clear" w:pos="840"/>
              <w:tab w:val="clear" w:pos="8273"/>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20"/>
              <w:sz w:val="24"/>
              <w:szCs w:val="24"/>
              <w:highlight w:val="none"/>
            </w:rPr>
            <w:fldChar w:fldCharType="begin"/>
          </w:r>
          <w:r>
            <w:rPr>
              <w:rFonts w:hint="eastAsia" w:ascii="宋体" w:hAnsi="宋体" w:eastAsia="宋体" w:cs="宋体"/>
              <w:spacing w:val="20"/>
              <w:sz w:val="24"/>
              <w:szCs w:val="24"/>
              <w:highlight w:val="none"/>
            </w:rPr>
            <w:instrText xml:space="preserve"> HYPERLINK \l _Toc28048 </w:instrText>
          </w:r>
          <w:r>
            <w:rPr>
              <w:rFonts w:hint="eastAsia" w:ascii="宋体" w:hAnsi="宋体" w:eastAsia="宋体" w:cs="宋体"/>
              <w:spacing w:val="20"/>
              <w:sz w:val="24"/>
              <w:szCs w:val="24"/>
              <w:highlight w:val="none"/>
            </w:rPr>
            <w:fldChar w:fldCharType="separate"/>
          </w:r>
          <w:r>
            <w:rPr>
              <w:rFonts w:hint="eastAsia" w:ascii="宋体" w:hAnsi="宋体" w:eastAsia="宋体" w:cs="宋体"/>
              <w:spacing w:val="20"/>
              <w:sz w:val="24"/>
              <w:szCs w:val="24"/>
              <w:highlight w:val="none"/>
            </w:rPr>
            <w:t>第五章 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3</w:t>
          </w:r>
          <w:r>
            <w:rPr>
              <w:rFonts w:hint="eastAsia" w:ascii="宋体" w:hAnsi="宋体" w:eastAsia="宋体" w:cs="宋体"/>
              <w:spacing w:val="20"/>
              <w:sz w:val="24"/>
              <w:szCs w:val="24"/>
              <w:highlight w:val="none"/>
            </w:rPr>
            <w:fldChar w:fldCharType="end"/>
          </w:r>
          <w:r>
            <w:rPr>
              <w:rFonts w:hint="eastAsia" w:ascii="宋体" w:hAnsi="宋体" w:eastAsia="宋体" w:cs="宋体"/>
              <w:spacing w:val="20"/>
              <w:sz w:val="24"/>
              <w:szCs w:val="24"/>
              <w:highlight w:val="none"/>
              <w:lang w:val="en-US" w:eastAsia="zh-CN"/>
            </w:rPr>
            <w:t>6</w:t>
          </w:r>
        </w:p>
        <w:p w14:paraId="043CD51F">
          <w:pPr>
            <w:pStyle w:val="5"/>
            <w:keepNext w:val="0"/>
            <w:keepLines w:val="0"/>
            <w:pageBreakBefore w:val="0"/>
            <w:widowControl/>
            <w:tabs>
              <w:tab w:val="right" w:leader="dot" w:pos="9070"/>
              <w:tab w:val="clear" w:pos="840"/>
              <w:tab w:val="clear" w:pos="8273"/>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20"/>
              <w:sz w:val="24"/>
              <w:szCs w:val="24"/>
              <w:highlight w:val="none"/>
            </w:rPr>
            <w:fldChar w:fldCharType="begin"/>
          </w:r>
          <w:r>
            <w:rPr>
              <w:rFonts w:hint="eastAsia" w:ascii="宋体" w:hAnsi="宋体" w:eastAsia="宋体" w:cs="宋体"/>
              <w:spacing w:val="20"/>
              <w:sz w:val="24"/>
              <w:szCs w:val="24"/>
              <w:highlight w:val="none"/>
            </w:rPr>
            <w:instrText xml:space="preserve"> HYPERLINK \l _Toc7254 </w:instrText>
          </w:r>
          <w:r>
            <w:rPr>
              <w:rFonts w:hint="eastAsia" w:ascii="宋体" w:hAnsi="宋体" w:eastAsia="宋体" w:cs="宋体"/>
              <w:spacing w:val="20"/>
              <w:sz w:val="24"/>
              <w:szCs w:val="24"/>
              <w:highlight w:val="none"/>
            </w:rPr>
            <w:fldChar w:fldCharType="separate"/>
          </w:r>
          <w:r>
            <w:rPr>
              <w:rFonts w:hint="eastAsia" w:ascii="宋体" w:hAnsi="宋体" w:eastAsia="宋体" w:cs="宋体"/>
              <w:spacing w:val="20"/>
              <w:sz w:val="24"/>
              <w:szCs w:val="24"/>
              <w:highlight w:val="none"/>
            </w:rPr>
            <w:t>第六章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4</w:t>
          </w:r>
          <w:r>
            <w:rPr>
              <w:rFonts w:hint="eastAsia" w:ascii="宋体" w:hAnsi="宋体" w:eastAsia="宋体" w:cs="宋体"/>
              <w:spacing w:val="20"/>
              <w:sz w:val="24"/>
              <w:szCs w:val="24"/>
              <w:highlight w:val="none"/>
            </w:rPr>
            <w:fldChar w:fldCharType="end"/>
          </w:r>
          <w:r>
            <w:rPr>
              <w:rFonts w:hint="eastAsia" w:ascii="宋体" w:hAnsi="宋体" w:eastAsia="宋体" w:cs="宋体"/>
              <w:spacing w:val="20"/>
              <w:sz w:val="24"/>
              <w:szCs w:val="24"/>
              <w:highlight w:val="none"/>
              <w:lang w:val="en-US" w:eastAsia="zh-CN"/>
            </w:rPr>
            <w:t>6</w:t>
          </w:r>
        </w:p>
        <w:p w14:paraId="43968C3E">
          <w:pPr>
            <w:pStyle w:val="5"/>
            <w:keepNext w:val="0"/>
            <w:keepLines w:val="0"/>
            <w:pageBreakBefore w:val="0"/>
            <w:widowControl/>
            <w:tabs>
              <w:tab w:val="right" w:leader="dot" w:pos="9070"/>
              <w:tab w:val="clear" w:pos="8273"/>
            </w:tabs>
            <w:kinsoku/>
            <w:wordWrap/>
            <w:overflowPunct/>
            <w:topLinePunct w:val="0"/>
            <w:autoSpaceDE/>
            <w:autoSpaceDN/>
            <w:bidi w:val="0"/>
            <w:adjustRightInd/>
            <w:snapToGrid/>
            <w:spacing w:line="480" w:lineRule="auto"/>
            <w:textAlignment w:val="auto"/>
            <w:rPr>
              <w:highlight w:val="none"/>
            </w:rPr>
          </w:pPr>
          <w:r>
            <w:rPr>
              <w:rFonts w:hint="eastAsia" w:ascii="宋体" w:hAnsi="宋体" w:eastAsia="宋体" w:cs="宋体"/>
              <w:spacing w:val="20"/>
              <w:sz w:val="24"/>
              <w:szCs w:val="24"/>
              <w:highlight w:val="none"/>
            </w:rPr>
            <w:fldChar w:fldCharType="end"/>
          </w:r>
        </w:p>
      </w:sdtContent>
    </w:sdt>
    <w:p w14:paraId="636ADDE6">
      <w:pPr>
        <w:tabs>
          <w:tab w:val="left" w:pos="6433"/>
        </w:tabs>
        <w:rPr>
          <w:rFonts w:asciiTheme="minorEastAsia" w:hAnsiTheme="minorEastAsia" w:eastAsiaTheme="minorEastAsia"/>
          <w:highlight w:val="none"/>
          <w:lang w:val="zh-CN"/>
        </w:rPr>
      </w:pPr>
      <w:r>
        <w:rPr>
          <w:rFonts w:asciiTheme="minorEastAsia" w:hAnsiTheme="minorEastAsia" w:eastAsiaTheme="minorEastAsia"/>
          <w:highlight w:val="none"/>
          <w:lang w:val="zh-CN"/>
        </w:rPr>
        <w:tab/>
      </w:r>
    </w:p>
    <w:p w14:paraId="769F80A7">
      <w:pPr>
        <w:pStyle w:val="3"/>
        <w:keepNext w:val="0"/>
        <w:keepLines w:val="0"/>
        <w:pageBreakBefore/>
        <w:spacing w:after="240" w:line="360" w:lineRule="auto"/>
        <w:jc w:val="center"/>
        <w:rPr>
          <w:rFonts w:hint="eastAsia" w:asciiTheme="minorEastAsia" w:hAnsiTheme="minorEastAsia" w:eastAsiaTheme="minorEastAsia"/>
          <w:spacing w:val="20"/>
          <w:sz w:val="32"/>
          <w:szCs w:val="32"/>
          <w:highlight w:val="none"/>
        </w:rPr>
        <w:sectPr>
          <w:footerReference r:id="rId5" w:type="first"/>
          <w:footerReference r:id="rId4" w:type="default"/>
          <w:pgSz w:w="11906" w:h="16838"/>
          <w:pgMar w:top="1418" w:right="1418" w:bottom="1418" w:left="1418" w:header="851" w:footer="595" w:gutter="0"/>
          <w:pgNumType w:start="0"/>
          <w:cols w:space="425" w:num="1"/>
          <w:titlePg/>
          <w:docGrid w:type="lines" w:linePitch="312" w:charSpace="0"/>
        </w:sectPr>
      </w:pPr>
      <w:bookmarkStart w:id="64" w:name="_GoBack"/>
      <w:bookmarkEnd w:id="64"/>
      <w:bookmarkStart w:id="0" w:name="_Toc30189"/>
      <w:bookmarkStart w:id="1" w:name="_Toc516661492"/>
      <w:bookmarkStart w:id="2" w:name="_Toc503257147"/>
      <w:bookmarkStart w:id="3" w:name="_Toc405313952"/>
    </w:p>
    <w:p w14:paraId="6FAB5EA8">
      <w:pPr>
        <w:pStyle w:val="3"/>
        <w:keepNext w:val="0"/>
        <w:keepLines w:val="0"/>
        <w:pageBreakBefore/>
        <w:spacing w:after="240" w:line="360" w:lineRule="auto"/>
        <w:jc w:val="center"/>
        <w:rPr>
          <w:rFonts w:asciiTheme="minorEastAsia" w:hAnsiTheme="minorEastAsia" w:eastAsiaTheme="minorEastAsia"/>
          <w:spacing w:val="20"/>
          <w:sz w:val="32"/>
          <w:szCs w:val="32"/>
          <w:highlight w:val="none"/>
        </w:rPr>
      </w:pPr>
      <w:r>
        <w:rPr>
          <w:rFonts w:hint="eastAsia" w:asciiTheme="minorEastAsia" w:hAnsiTheme="minorEastAsia" w:eastAsiaTheme="minorEastAsia"/>
          <w:spacing w:val="20"/>
          <w:sz w:val="32"/>
          <w:szCs w:val="32"/>
          <w:highlight w:val="none"/>
        </w:rPr>
        <w:t>第一章 磋商邀请</w:t>
      </w:r>
      <w:bookmarkEnd w:id="0"/>
      <w:bookmarkEnd w:id="1"/>
    </w:p>
    <w:p w14:paraId="1C5B5735">
      <w:pPr>
        <w:widowControl/>
        <w:spacing w:before="156" w:beforeLines="50" w:after="156" w:afterLines="50" w:line="360" w:lineRule="atLeast"/>
        <w:jc w:val="left"/>
        <w:rPr>
          <w:rFonts w:cs="宋体" w:asciiTheme="minorEastAsia" w:hAnsiTheme="minorEastAsia" w:eastAsiaTheme="minorEastAsia"/>
          <w:b/>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szCs w:val="24"/>
          <w:highlight w:val="none"/>
          <w14:textFill>
            <w14:solidFill>
              <w14:schemeClr w14:val="tx1"/>
            </w14:solidFill>
          </w14:textFill>
        </w:rPr>
        <w:t>项目概况</w:t>
      </w:r>
    </w:p>
    <w:p w14:paraId="772D4F9D">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color w:val="auto"/>
          <w:szCs w:val="21"/>
          <w:highlight w:val="none"/>
          <w:u w:val="single"/>
          <w:lang w:eastAsia="zh-CN"/>
        </w:rPr>
        <w:t>石龙镇“四害”消杀防控服务采购项目</w:t>
      </w:r>
      <w:r>
        <w:rPr>
          <w:rFonts w:hint="eastAsia" w:asciiTheme="minorEastAsia" w:hAnsiTheme="minorEastAsia" w:eastAsiaTheme="minorEastAsia"/>
          <w:color w:val="auto"/>
          <w:szCs w:val="21"/>
          <w:highlight w:val="none"/>
        </w:rPr>
        <w:t>的潜在供应商应在东莞市南城街道雅园产业园区路5号1栋1楼或微信搜索公众号“广东智汇城市”获取</w:t>
      </w:r>
      <w:r>
        <w:rPr>
          <w:rFonts w:hint="eastAsia" w:asciiTheme="minorEastAsia" w:hAnsiTheme="minorEastAsia" w:eastAsiaTheme="minorEastAsia"/>
          <w:szCs w:val="21"/>
          <w:highlight w:val="none"/>
        </w:rPr>
        <w:t>采购文件，并于</w:t>
      </w:r>
      <w:r>
        <w:rPr>
          <w:rFonts w:hint="eastAsia" w:asciiTheme="minorEastAsia" w:hAnsiTheme="minorEastAsia" w:eastAsiaTheme="minorEastAsia"/>
          <w:szCs w:val="21"/>
          <w:highlight w:val="none"/>
          <w:lang w:val="en-US" w:eastAsia="zh-CN"/>
        </w:rPr>
        <w:t>2026</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lang w:val="en-US" w:eastAsia="zh-CN"/>
        </w:rPr>
        <w:t>06</w:t>
      </w:r>
      <w:r>
        <w:rPr>
          <w:rFonts w:hint="eastAsia" w:cs="宋体" w:asciiTheme="minorEastAsia" w:hAnsiTheme="minorEastAsia" w:eastAsiaTheme="minorEastAsia"/>
          <w:szCs w:val="21"/>
          <w:highlight w:val="none"/>
          <w:u w:val="none"/>
        </w:rPr>
        <w:t>月</w:t>
      </w:r>
      <w:r>
        <w:rPr>
          <w:rFonts w:hint="eastAsia" w:cs="宋体" w:asciiTheme="minorEastAsia" w:hAnsiTheme="minorEastAsia" w:eastAsiaTheme="minorEastAsia"/>
          <w:szCs w:val="21"/>
          <w:highlight w:val="none"/>
          <w:u w:val="single"/>
          <w:lang w:val="en-US" w:eastAsia="zh-CN"/>
        </w:rPr>
        <w:t>01</w:t>
      </w:r>
      <w:r>
        <w:rPr>
          <w:rFonts w:hint="eastAsia" w:cs="宋体" w:asciiTheme="minorEastAsia" w:hAnsiTheme="minorEastAsia" w:eastAsiaTheme="minorEastAsia"/>
          <w:szCs w:val="21"/>
          <w:highlight w:val="none"/>
          <w:u w:val="none"/>
        </w:rPr>
        <w:t>日</w:t>
      </w:r>
      <w:r>
        <w:rPr>
          <w:rFonts w:hint="eastAsia" w:cs="宋体" w:asciiTheme="minorEastAsia" w:hAnsiTheme="minorEastAsia" w:eastAsiaTheme="minorEastAsia"/>
          <w:szCs w:val="21"/>
          <w:highlight w:val="none"/>
          <w:u w:val="single"/>
          <w:lang w:val="en-US" w:eastAsia="zh-CN"/>
        </w:rPr>
        <w:t>10</w:t>
      </w:r>
      <w:r>
        <w:rPr>
          <w:rFonts w:hint="eastAsia" w:asciiTheme="minorEastAsia" w:hAnsiTheme="minorEastAsia" w:eastAsiaTheme="minorEastAsia"/>
          <w:color w:val="000000" w:themeColor="text1"/>
          <w:szCs w:val="21"/>
          <w:highlight w:val="none"/>
          <w:u w:val="none"/>
          <w14:textFill>
            <w14:solidFill>
              <w14:schemeClr w14:val="tx1"/>
            </w14:solidFill>
          </w14:textFill>
        </w:rPr>
        <w:t>点</w:t>
      </w:r>
      <w:r>
        <w:rPr>
          <w:rFonts w:hint="eastAsia" w:asciiTheme="minorEastAsia" w:hAnsiTheme="minorEastAsia" w:eastAsiaTheme="minorEastAsia"/>
          <w:color w:val="000000" w:themeColor="text1"/>
          <w:szCs w:val="21"/>
          <w:highlight w:val="none"/>
          <w:u w:val="single"/>
          <w:lang w:val="en-US" w:eastAsia="zh-CN"/>
          <w14:textFill>
            <w14:solidFill>
              <w14:schemeClr w14:val="tx1"/>
            </w14:solidFill>
          </w14:textFill>
        </w:rPr>
        <w:t>00</w:t>
      </w:r>
      <w:r>
        <w:rPr>
          <w:rFonts w:hint="eastAsia" w:asciiTheme="minorEastAsia" w:hAnsiTheme="minorEastAsia" w:eastAsiaTheme="minorEastAsia"/>
          <w:color w:val="000000" w:themeColor="text1"/>
          <w:szCs w:val="21"/>
          <w:highlight w:val="none"/>
          <w:u w:val="none"/>
          <w14:textFill>
            <w14:solidFill>
              <w14:schemeClr w14:val="tx1"/>
            </w14:solidFill>
          </w14:textFill>
        </w:rPr>
        <w:t>分</w:t>
      </w:r>
      <w:r>
        <w:rPr>
          <w:rFonts w:hint="eastAsia" w:asciiTheme="minorEastAsia" w:hAnsiTheme="minorEastAsia" w:eastAsiaTheme="minorEastAsia"/>
          <w:szCs w:val="21"/>
          <w:highlight w:val="none"/>
        </w:rPr>
        <w:t>（北京时间）前递交响应文件。</w:t>
      </w:r>
    </w:p>
    <w:p w14:paraId="20541F31">
      <w:pPr>
        <w:pStyle w:val="13"/>
        <w:numPr>
          <w:ilvl w:val="0"/>
          <w:numId w:val="1"/>
        </w:numPr>
        <w:tabs>
          <w:tab w:val="left" w:pos="426"/>
        </w:tabs>
        <w:spacing w:before="312" w:beforeLines="100" w:line="360" w:lineRule="auto"/>
        <w:ind w:left="5675" w:hanging="5675"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项目基本情况：</w:t>
      </w:r>
    </w:p>
    <w:p w14:paraId="5D54695F">
      <w:pPr>
        <w:tabs>
          <w:tab w:val="left" w:pos="426"/>
        </w:tabs>
        <w:spacing w:line="360" w:lineRule="auto"/>
        <w:ind w:left="420" w:hanging="420" w:hanging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ZHDGCZ2026015</w:t>
      </w:r>
    </w:p>
    <w:p w14:paraId="79E85A63">
      <w:pPr>
        <w:tabs>
          <w:tab w:val="left" w:pos="426"/>
        </w:tabs>
        <w:spacing w:line="360" w:lineRule="auto"/>
        <w:ind w:left="420" w:hanging="420" w:hanging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石龙镇“四害”消杀防控服务采购项目</w:t>
      </w:r>
    </w:p>
    <w:p w14:paraId="5788C160">
      <w:pPr>
        <w:tabs>
          <w:tab w:val="left" w:pos="426"/>
        </w:tabs>
        <w:spacing w:line="360" w:lineRule="auto"/>
        <w:ind w:left="420" w:hanging="420" w:hanging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采购方式：竞争性磋商</w:t>
      </w:r>
    </w:p>
    <w:p w14:paraId="346F51B3">
      <w:pPr>
        <w:tabs>
          <w:tab w:val="left" w:pos="426"/>
        </w:tabs>
        <w:spacing w:line="360" w:lineRule="auto"/>
        <w:ind w:left="420" w:hanging="420" w:hanging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989,700.00元</w:t>
      </w:r>
    </w:p>
    <w:p w14:paraId="7F606E7A">
      <w:pPr>
        <w:tabs>
          <w:tab w:val="left" w:pos="284"/>
        </w:tabs>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标的内容：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316"/>
        <w:gridCol w:w="1686"/>
        <w:gridCol w:w="1476"/>
        <w:gridCol w:w="2526"/>
      </w:tblGrid>
      <w:tr w14:paraId="52E9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14:paraId="427A8E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316" w:type="dxa"/>
            <w:vAlign w:val="center"/>
          </w:tcPr>
          <w:p w14:paraId="72C432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标的名称</w:t>
            </w:r>
          </w:p>
        </w:tc>
        <w:tc>
          <w:tcPr>
            <w:tcW w:w="1686" w:type="dxa"/>
            <w:vAlign w:val="center"/>
          </w:tcPr>
          <w:p w14:paraId="6BC87F7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预算金额（元）</w:t>
            </w:r>
          </w:p>
        </w:tc>
        <w:tc>
          <w:tcPr>
            <w:tcW w:w="0" w:type="auto"/>
            <w:vAlign w:val="center"/>
          </w:tcPr>
          <w:p w14:paraId="05CDE2E7">
            <w:pPr>
              <w:widowControl/>
              <w:jc w:val="center"/>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数量（单位）</w:t>
            </w:r>
          </w:p>
        </w:tc>
        <w:tc>
          <w:tcPr>
            <w:tcW w:w="0" w:type="auto"/>
            <w:vAlign w:val="center"/>
          </w:tcPr>
          <w:p w14:paraId="46866B18">
            <w:pPr>
              <w:widowControl/>
              <w:jc w:val="center"/>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简要技术需求或服务要求</w:t>
            </w:r>
          </w:p>
        </w:tc>
      </w:tr>
      <w:tr w14:paraId="0ACD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0" w:type="auto"/>
            <w:vAlign w:val="center"/>
          </w:tcPr>
          <w:p w14:paraId="6DC1FBC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316" w:type="dxa"/>
            <w:vAlign w:val="center"/>
          </w:tcPr>
          <w:p w14:paraId="45E441AE">
            <w:pPr>
              <w:widowControl/>
              <w:jc w:val="center"/>
              <w:rPr>
                <w:rFonts w:hint="eastAsia" w:ascii="宋体" w:hAnsi="宋体" w:eastAsia="宋体" w:cs="宋体"/>
                <w:color w:val="auto"/>
                <w:kern w:val="0"/>
                <w:sz w:val="21"/>
                <w:szCs w:val="21"/>
                <w:highlight w:val="none"/>
                <w:lang w:eastAsia="zh-Hans"/>
              </w:rPr>
            </w:pPr>
            <w:r>
              <w:rPr>
                <w:rFonts w:hint="eastAsia" w:asciiTheme="minorEastAsia" w:hAnsiTheme="minorEastAsia" w:eastAsiaTheme="minorEastAsia"/>
                <w:color w:val="000000" w:themeColor="text1"/>
                <w:szCs w:val="21"/>
                <w:highlight w:val="none"/>
                <w:lang w:eastAsia="zh-CN"/>
                <w14:textFill>
                  <w14:solidFill>
                    <w14:schemeClr w14:val="tx1"/>
                  </w14:solidFill>
                </w14:textFill>
              </w:rPr>
              <w:t>“四害”消杀防控服务</w:t>
            </w:r>
          </w:p>
        </w:tc>
        <w:tc>
          <w:tcPr>
            <w:tcW w:w="1686" w:type="dxa"/>
            <w:vAlign w:val="center"/>
          </w:tcPr>
          <w:p w14:paraId="60B881F5">
            <w:pPr>
              <w:widowControl/>
              <w:jc w:val="center"/>
              <w:rPr>
                <w:rFonts w:hint="eastAsia" w:ascii="宋体" w:hAnsi="宋体" w:eastAsia="宋体" w:cs="宋体"/>
                <w:color w:val="auto"/>
                <w:kern w:val="0"/>
                <w:sz w:val="21"/>
                <w:szCs w:val="21"/>
                <w:highlight w:val="none"/>
                <w:lang w:eastAsia="zh-Hans"/>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989,700.00</w:t>
            </w:r>
          </w:p>
        </w:tc>
        <w:tc>
          <w:tcPr>
            <w:tcW w:w="0" w:type="auto"/>
            <w:vAlign w:val="center"/>
          </w:tcPr>
          <w:p w14:paraId="215E745D">
            <w:pPr>
              <w:widowControl/>
              <w:jc w:val="center"/>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1(项)</w:t>
            </w:r>
          </w:p>
        </w:tc>
        <w:tc>
          <w:tcPr>
            <w:tcW w:w="0" w:type="auto"/>
            <w:vAlign w:val="center"/>
          </w:tcPr>
          <w:p w14:paraId="3FA2DDE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Hans"/>
              </w:rPr>
              <w:t>详见第二章采购需求</w:t>
            </w:r>
          </w:p>
        </w:tc>
      </w:tr>
    </w:tbl>
    <w:p w14:paraId="637D930B">
      <w:pPr>
        <w:tabs>
          <w:tab w:val="left" w:pos="284"/>
        </w:tabs>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合同履行期限：</w:t>
      </w:r>
      <w:r>
        <w:rPr>
          <w:rFonts w:hint="eastAsia" w:ascii="宋体" w:hAnsi="宋体" w:eastAsia="宋体" w:cs="宋体"/>
          <w:color w:val="auto"/>
          <w:kern w:val="0"/>
          <w:szCs w:val="21"/>
          <w:highlight w:val="none"/>
          <w:lang w:eastAsia="zh-Hans"/>
        </w:rPr>
        <w:t>一年期，（具体起止时间合同签订时确定）。</w:t>
      </w:r>
    </w:p>
    <w:p w14:paraId="55232128">
      <w:pPr>
        <w:tabs>
          <w:tab w:val="left" w:pos="284"/>
        </w:tabs>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本项目（</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不</w:t>
      </w:r>
      <w:r>
        <w:rPr>
          <w:rFonts w:hint="eastAsia" w:asciiTheme="minorEastAsia" w:hAnsiTheme="minorEastAsia" w:eastAsiaTheme="minorEastAsia"/>
          <w:color w:val="000000" w:themeColor="text1"/>
          <w:szCs w:val="21"/>
          <w:highlight w:val="none"/>
          <w14:textFill>
            <w14:solidFill>
              <w14:schemeClr w14:val="tx1"/>
            </w14:solidFill>
          </w14:textFill>
        </w:rPr>
        <w:t>）接受联合体</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响应</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3FBBEF12">
      <w:pPr>
        <w:pStyle w:val="13"/>
        <w:numPr>
          <w:ilvl w:val="0"/>
          <w:numId w:val="1"/>
        </w:numPr>
        <w:tabs>
          <w:tab w:val="left" w:pos="426"/>
        </w:tabs>
        <w:spacing w:line="360" w:lineRule="auto"/>
        <w:ind w:left="426" w:hanging="426" w:firstLineChars="0"/>
        <w:jc w:val="left"/>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申请人的资格要求</w:t>
      </w:r>
    </w:p>
    <w:p w14:paraId="1EDEB16E">
      <w:pPr>
        <w:pStyle w:val="13"/>
        <w:numPr>
          <w:ilvl w:val="0"/>
          <w:numId w:val="2"/>
        </w:numPr>
        <w:ind w:firstLineChars="0"/>
        <w:rPr>
          <w:rFonts w:asciiTheme="minorEastAsia" w:hAnsiTheme="minorEastAsia" w:eastAsiaTheme="minorEastAsia"/>
          <w:szCs w:val="21"/>
          <w:highlight w:val="none"/>
        </w:rPr>
      </w:pPr>
      <w:r>
        <w:rPr>
          <w:b/>
          <w:kern w:val="0"/>
          <w:szCs w:val="21"/>
          <w:highlight w:val="none"/>
          <w:lang w:eastAsia="zh-Hans"/>
        </w:rPr>
        <w:t>满足《中华人民共和国政府采购法》第二十二条规定</w:t>
      </w:r>
      <w:r>
        <w:rPr>
          <w:rFonts w:hint="eastAsia"/>
          <w:b/>
          <w:kern w:val="0"/>
          <w:szCs w:val="21"/>
          <w:highlight w:val="none"/>
          <w:lang w:eastAsia="zh-Hans"/>
        </w:rPr>
        <w:t>：</w:t>
      </w:r>
    </w:p>
    <w:p w14:paraId="60499636">
      <w:pPr>
        <w:pStyle w:val="13"/>
        <w:widowControl/>
        <w:numPr>
          <w:ilvl w:val="0"/>
          <w:numId w:val="3"/>
        </w:numPr>
        <w:shd w:val="clear" w:color="auto" w:fill="FFFFFF"/>
        <w:spacing w:line="360" w:lineRule="auto"/>
        <w:ind w:hangingChars="200"/>
        <w:textAlignment w:val="baseline"/>
        <w:outlineLvl w:val="3"/>
        <w:rPr>
          <w:rFonts w:ascii="宋体" w:hAnsi="宋体" w:cs="宋体"/>
          <w:kern w:val="0"/>
          <w:szCs w:val="21"/>
          <w:highlight w:val="none"/>
        </w:rPr>
      </w:pPr>
      <w:r>
        <w:rPr>
          <w:rFonts w:hint="eastAsia" w:ascii="宋体" w:hAnsi="宋体" w:cs="宋体"/>
          <w:kern w:val="0"/>
          <w:szCs w:val="21"/>
          <w:highlight w:val="none"/>
        </w:rPr>
        <w:t>具有独立承担民事责任的能力</w:t>
      </w:r>
      <w:r>
        <w:rPr>
          <w:rFonts w:hint="eastAsia" w:ascii="宋体" w:hAnsi="宋体" w:cs="宋体"/>
          <w:kern w:val="0"/>
          <w:szCs w:val="21"/>
          <w:highlight w:val="none"/>
          <w:lang w:eastAsia="zh-CN"/>
        </w:rPr>
        <w:t>：</w:t>
      </w:r>
      <w:r>
        <w:rPr>
          <w:rFonts w:hint="eastAsia" w:ascii="宋体" w:hAnsi="宋体" w:cs="宋体"/>
          <w:kern w:val="0"/>
          <w:szCs w:val="21"/>
          <w:highlight w:val="none"/>
        </w:rPr>
        <w:t>提供在中华人民共和国境内注册的法人或其他组织的营业执照或事业单位法人证书或社会团体法人登记证书复印件，如供应商为自然人的提供自然人身份证明复印件；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21479E0">
      <w:pPr>
        <w:pStyle w:val="13"/>
        <w:widowControl/>
        <w:numPr>
          <w:ilvl w:val="0"/>
          <w:numId w:val="3"/>
        </w:numPr>
        <w:shd w:val="clear" w:color="auto" w:fill="FFFFFF"/>
        <w:spacing w:line="360" w:lineRule="auto"/>
        <w:ind w:hangingChars="200"/>
        <w:textAlignment w:val="baseline"/>
        <w:outlineLvl w:val="3"/>
        <w:rPr>
          <w:rFonts w:ascii="宋体" w:hAnsi="宋体" w:cs="宋体"/>
          <w:kern w:val="0"/>
          <w:szCs w:val="21"/>
          <w:highlight w:val="none"/>
        </w:rPr>
      </w:pPr>
      <w:r>
        <w:rPr>
          <w:rFonts w:hint="eastAsia" w:ascii="宋体" w:hAnsi="宋体" w:cs="宋体"/>
          <w:kern w:val="0"/>
          <w:szCs w:val="21"/>
          <w:highlight w:val="none"/>
        </w:rPr>
        <w:t>有</w:t>
      </w:r>
      <w:r>
        <w:rPr>
          <w:rFonts w:ascii="宋体" w:hAnsi="宋体"/>
          <w:bCs/>
          <w:kern w:val="0"/>
          <w:szCs w:val="21"/>
          <w:highlight w:val="none"/>
        </w:rPr>
        <w:t>具有良好的商业信誉和健全的财务会计制度</w:t>
      </w:r>
      <w:r>
        <w:rPr>
          <w:rFonts w:hint="eastAsia" w:ascii="宋体" w:hAnsi="宋体"/>
          <w:bCs/>
          <w:kern w:val="0"/>
          <w:szCs w:val="21"/>
          <w:highlight w:val="none"/>
          <w:lang w:eastAsia="zh-CN"/>
        </w:rPr>
        <w:t>：</w:t>
      </w:r>
      <w:r>
        <w:rPr>
          <w:rFonts w:hint="eastAsia" w:ascii="宋体" w:hAnsi="宋体"/>
          <w:bCs/>
          <w:kern w:val="0"/>
          <w:szCs w:val="21"/>
          <w:highlight w:val="none"/>
        </w:rPr>
        <w:t>提供提供</w:t>
      </w:r>
      <w:r>
        <w:rPr>
          <w:rFonts w:hint="eastAsia" w:ascii="宋体" w:hAnsi="宋体"/>
          <w:bCs/>
          <w:color w:val="auto"/>
          <w:kern w:val="0"/>
          <w:szCs w:val="21"/>
          <w:highlight w:val="none"/>
        </w:rPr>
        <w:t>2024</w:t>
      </w:r>
      <w:r>
        <w:rPr>
          <w:rFonts w:ascii="宋体" w:hAnsi="宋体"/>
          <w:bCs/>
          <w:color w:val="auto"/>
          <w:kern w:val="0"/>
          <w:szCs w:val="21"/>
          <w:highlight w:val="none"/>
        </w:rPr>
        <w:t>年</w:t>
      </w:r>
      <w:r>
        <w:rPr>
          <w:rFonts w:hint="eastAsia" w:ascii="宋体" w:hAnsi="宋体"/>
          <w:bCs/>
          <w:color w:val="auto"/>
          <w:kern w:val="0"/>
          <w:szCs w:val="21"/>
          <w:highlight w:val="none"/>
          <w:lang w:val="en-US" w:eastAsia="zh-CN"/>
        </w:rPr>
        <w:t>或2025</w:t>
      </w:r>
      <w:r>
        <w:rPr>
          <w:rFonts w:ascii="宋体" w:hAnsi="宋体"/>
          <w:bCs/>
          <w:kern w:val="0"/>
          <w:szCs w:val="21"/>
          <w:highlight w:val="none"/>
        </w:rPr>
        <w:t>年财务状况报告或者基本户开户银行出具的资信证明或提供资格条件承诺函（详见</w:t>
      </w:r>
      <w:r>
        <w:rPr>
          <w:rFonts w:hint="eastAsia" w:ascii="宋体" w:hAnsi="宋体"/>
          <w:bCs/>
          <w:kern w:val="0"/>
          <w:szCs w:val="21"/>
          <w:highlight w:val="none"/>
        </w:rPr>
        <w:t>响应</w:t>
      </w:r>
      <w:r>
        <w:rPr>
          <w:rFonts w:ascii="宋体" w:hAnsi="宋体"/>
          <w:bCs/>
          <w:kern w:val="0"/>
          <w:szCs w:val="21"/>
          <w:highlight w:val="none"/>
        </w:rPr>
        <w:t>文件格式）。</w:t>
      </w:r>
    </w:p>
    <w:p w14:paraId="66943B33">
      <w:pPr>
        <w:pStyle w:val="13"/>
        <w:widowControl/>
        <w:numPr>
          <w:ilvl w:val="0"/>
          <w:numId w:val="3"/>
        </w:numPr>
        <w:shd w:val="clear" w:color="auto" w:fill="FFFFFF"/>
        <w:spacing w:line="360" w:lineRule="auto"/>
        <w:ind w:hangingChars="200"/>
        <w:textAlignment w:val="baseline"/>
        <w:outlineLvl w:val="3"/>
        <w:rPr>
          <w:rFonts w:ascii="宋体" w:hAnsi="宋体" w:cs="宋体"/>
          <w:kern w:val="0"/>
          <w:szCs w:val="21"/>
          <w:highlight w:val="none"/>
        </w:rPr>
      </w:pPr>
      <w:r>
        <w:rPr>
          <w:rFonts w:ascii="宋体" w:hAnsi="宋体"/>
          <w:bCs/>
          <w:kern w:val="0"/>
          <w:szCs w:val="21"/>
          <w:highlight w:val="none"/>
        </w:rPr>
        <w:t>履行合同所必需的设备和专业技术能力</w:t>
      </w:r>
      <w:r>
        <w:rPr>
          <w:rFonts w:hint="eastAsia" w:ascii="宋体" w:hAnsi="宋体"/>
          <w:bCs/>
          <w:kern w:val="0"/>
          <w:szCs w:val="21"/>
          <w:highlight w:val="none"/>
          <w:lang w:eastAsia="zh-CN"/>
        </w:rPr>
        <w:t>：</w:t>
      </w:r>
      <w:r>
        <w:rPr>
          <w:rFonts w:hint="eastAsia" w:ascii="宋体" w:hAnsi="宋体"/>
          <w:bCs/>
          <w:kern w:val="0"/>
          <w:szCs w:val="21"/>
          <w:highlight w:val="none"/>
        </w:rPr>
        <w:t>提供资格条件承诺函（</w:t>
      </w:r>
      <w:r>
        <w:rPr>
          <w:rFonts w:ascii="宋体" w:hAnsi="宋体"/>
          <w:bCs/>
          <w:kern w:val="0"/>
          <w:szCs w:val="21"/>
          <w:highlight w:val="none"/>
        </w:rPr>
        <w:t>详见</w:t>
      </w:r>
      <w:r>
        <w:rPr>
          <w:rFonts w:hint="eastAsia" w:ascii="宋体" w:hAnsi="宋体"/>
          <w:bCs/>
          <w:kern w:val="0"/>
          <w:szCs w:val="21"/>
          <w:highlight w:val="none"/>
        </w:rPr>
        <w:t>响应</w:t>
      </w:r>
      <w:r>
        <w:rPr>
          <w:rFonts w:ascii="宋体" w:hAnsi="宋体"/>
          <w:bCs/>
          <w:kern w:val="0"/>
          <w:szCs w:val="21"/>
          <w:highlight w:val="none"/>
        </w:rPr>
        <w:t>文件格式</w:t>
      </w:r>
      <w:r>
        <w:rPr>
          <w:rFonts w:hint="eastAsia" w:ascii="宋体" w:hAnsi="宋体"/>
          <w:bCs/>
          <w:kern w:val="0"/>
          <w:szCs w:val="21"/>
          <w:highlight w:val="none"/>
        </w:rPr>
        <w:t>）</w:t>
      </w:r>
      <w:r>
        <w:rPr>
          <w:rFonts w:ascii="宋体" w:hAnsi="宋体"/>
          <w:bCs/>
          <w:kern w:val="0"/>
          <w:szCs w:val="21"/>
          <w:highlight w:val="none"/>
        </w:rPr>
        <w:t>。</w:t>
      </w:r>
    </w:p>
    <w:p w14:paraId="5FAFEF8A">
      <w:pPr>
        <w:pStyle w:val="13"/>
        <w:widowControl/>
        <w:numPr>
          <w:ilvl w:val="0"/>
          <w:numId w:val="3"/>
        </w:numPr>
        <w:shd w:val="clear" w:color="auto" w:fill="FFFFFF"/>
        <w:spacing w:line="360" w:lineRule="auto"/>
        <w:ind w:hangingChars="200"/>
        <w:textAlignment w:val="baseline"/>
        <w:outlineLvl w:val="3"/>
        <w:rPr>
          <w:rFonts w:ascii="宋体" w:hAnsi="宋体" w:cs="宋体"/>
          <w:kern w:val="0"/>
          <w:szCs w:val="21"/>
          <w:highlight w:val="none"/>
        </w:rPr>
      </w:pPr>
      <w:r>
        <w:rPr>
          <w:rFonts w:hint="eastAsia" w:ascii="宋体" w:hAnsi="宋体"/>
          <w:bCs/>
          <w:kern w:val="0"/>
          <w:szCs w:val="21"/>
          <w:highlight w:val="none"/>
        </w:rPr>
        <w:t>有依法缴纳税收和社会保障资金的良好记录</w:t>
      </w:r>
      <w:r>
        <w:rPr>
          <w:rFonts w:hint="eastAsia" w:ascii="宋体" w:hAnsi="宋体"/>
          <w:bCs/>
          <w:kern w:val="0"/>
          <w:szCs w:val="21"/>
          <w:highlight w:val="none"/>
          <w:lang w:eastAsia="zh-CN"/>
        </w:rPr>
        <w:t>：</w:t>
      </w:r>
      <w:r>
        <w:rPr>
          <w:rFonts w:hint="eastAsia" w:ascii="宋体" w:hAnsi="宋体"/>
          <w:bCs/>
          <w:kern w:val="0"/>
          <w:szCs w:val="21"/>
          <w:highlight w:val="none"/>
        </w:rPr>
        <w:t>提供响应截止日前</w:t>
      </w:r>
      <w:r>
        <w:rPr>
          <w:rFonts w:ascii="宋体" w:hAnsi="宋体"/>
          <w:bCs/>
          <w:kern w:val="0"/>
          <w:szCs w:val="21"/>
          <w:highlight w:val="none"/>
        </w:rPr>
        <w:t>6个月内任意1个月依法缴纳税收和社会保障资金的相关材料；如依法免税或不需要缴纳社会保障资金的，提供相应证明材料。或提供资格条件承诺函（详见</w:t>
      </w:r>
      <w:r>
        <w:rPr>
          <w:rFonts w:hint="eastAsia" w:ascii="宋体" w:hAnsi="宋体"/>
          <w:bCs/>
          <w:kern w:val="0"/>
          <w:szCs w:val="21"/>
          <w:highlight w:val="none"/>
        </w:rPr>
        <w:t>响应</w:t>
      </w:r>
      <w:r>
        <w:rPr>
          <w:rFonts w:ascii="宋体" w:hAnsi="宋体"/>
          <w:bCs/>
          <w:kern w:val="0"/>
          <w:szCs w:val="21"/>
          <w:highlight w:val="none"/>
        </w:rPr>
        <w:t>文件格式）。</w:t>
      </w:r>
    </w:p>
    <w:p w14:paraId="3CE7DD10">
      <w:pPr>
        <w:pStyle w:val="13"/>
        <w:widowControl/>
        <w:numPr>
          <w:ilvl w:val="0"/>
          <w:numId w:val="3"/>
        </w:numPr>
        <w:shd w:val="clear" w:color="auto" w:fill="FFFFFF"/>
        <w:spacing w:line="360" w:lineRule="auto"/>
        <w:ind w:hangingChars="200"/>
        <w:textAlignment w:val="baseline"/>
        <w:outlineLvl w:val="3"/>
        <w:rPr>
          <w:rFonts w:ascii="宋体" w:hAnsi="宋体" w:cs="宋体"/>
          <w:bCs/>
          <w:kern w:val="0"/>
          <w:szCs w:val="21"/>
          <w:highlight w:val="none"/>
        </w:rPr>
      </w:pPr>
      <w:r>
        <w:rPr>
          <w:rFonts w:ascii="宋体" w:hAnsi="宋体" w:cs="宋体"/>
          <w:bCs/>
          <w:kern w:val="0"/>
          <w:szCs w:val="21"/>
          <w:highlight w:val="none"/>
        </w:rPr>
        <w:t>参加采购活动前3年内，在经营活动中没有重大违法记录：</w:t>
      </w:r>
      <w:r>
        <w:rPr>
          <w:rFonts w:hint="eastAsia" w:ascii="宋体" w:hAnsi="宋体" w:cs="宋体"/>
          <w:bCs/>
          <w:kern w:val="0"/>
          <w:szCs w:val="21"/>
          <w:highlight w:val="none"/>
        </w:rPr>
        <w:t>提供资格条件承诺函（</w:t>
      </w:r>
      <w:r>
        <w:rPr>
          <w:rFonts w:ascii="宋体" w:hAnsi="宋体" w:cs="宋体"/>
          <w:bCs/>
          <w:kern w:val="0"/>
          <w:szCs w:val="21"/>
          <w:highlight w:val="none"/>
        </w:rPr>
        <w:t>详见</w:t>
      </w:r>
      <w:r>
        <w:rPr>
          <w:rFonts w:hint="eastAsia" w:ascii="宋体" w:hAnsi="宋体" w:cs="宋体"/>
          <w:bCs/>
          <w:kern w:val="0"/>
          <w:szCs w:val="21"/>
          <w:highlight w:val="none"/>
        </w:rPr>
        <w:t>响应</w:t>
      </w:r>
      <w:r>
        <w:rPr>
          <w:rFonts w:ascii="宋体" w:hAnsi="宋体" w:cs="宋体"/>
          <w:bCs/>
          <w:kern w:val="0"/>
          <w:szCs w:val="21"/>
          <w:highlight w:val="none"/>
        </w:rPr>
        <w:t>文件格式</w:t>
      </w:r>
      <w:r>
        <w:rPr>
          <w:rFonts w:hint="eastAsia" w:ascii="宋体" w:hAnsi="宋体" w:cs="宋体"/>
          <w:bCs/>
          <w:kern w:val="0"/>
          <w:szCs w:val="21"/>
          <w:highlight w:val="none"/>
        </w:rPr>
        <w:t>）</w:t>
      </w:r>
      <w:r>
        <w:rPr>
          <w:rFonts w:ascii="宋体" w:hAnsi="宋体" w:cs="宋体"/>
          <w:bCs/>
          <w:kern w:val="0"/>
          <w:szCs w:val="21"/>
          <w:highlight w:val="none"/>
        </w:rPr>
        <w:t>。</w:t>
      </w:r>
      <w:r>
        <w:rPr>
          <w:rFonts w:hint="eastAsia" w:ascii="宋体" w:hAnsi="宋体" w:cs="宋体"/>
          <w:bCs/>
          <w:kern w:val="0"/>
          <w:szCs w:val="21"/>
          <w:highlight w:val="none"/>
        </w:rPr>
        <w:t>重大违法记录，是指供应商因违法经营受到刑事处罚或者责令停产停业、吊销许可证或者执照、较大数额罚款等行政处罚。（根据财库〔</w:t>
      </w:r>
      <w:r>
        <w:rPr>
          <w:rFonts w:ascii="宋体" w:hAnsi="宋体" w:cs="宋体"/>
          <w:bCs/>
          <w:kern w:val="0"/>
          <w:szCs w:val="21"/>
          <w:highlight w:val="none"/>
        </w:rPr>
        <w:t>2022〕3号文，“较大数额罚款”认定为200万元以上的罚款，法律、行政法规以及国务院有关部门明确规定相关领域“较大数额罚款”标准高于200万元的，从其规定。）</w:t>
      </w:r>
    </w:p>
    <w:p w14:paraId="73B0127C">
      <w:pPr>
        <w:pStyle w:val="13"/>
        <w:numPr>
          <w:ilvl w:val="0"/>
          <w:numId w:val="2"/>
        </w:numPr>
        <w:spacing w:line="360" w:lineRule="auto"/>
        <w:ind w:left="422" w:hanging="422" w:hangingChars="200"/>
        <w:outlineLvl w:val="3"/>
        <w:rPr>
          <w:rFonts w:ascii="宋体" w:hAnsi="宋体"/>
          <w:b/>
          <w:kern w:val="0"/>
          <w:szCs w:val="21"/>
          <w:highlight w:val="none"/>
        </w:rPr>
      </w:pPr>
      <w:bookmarkStart w:id="4" w:name="_Hlk169874618"/>
      <w:r>
        <w:rPr>
          <w:rFonts w:ascii="宋体" w:hAnsi="宋体"/>
          <w:b/>
          <w:kern w:val="0"/>
          <w:szCs w:val="21"/>
          <w:highlight w:val="none"/>
          <w:lang w:eastAsia="zh-Hans"/>
        </w:rPr>
        <w:t>落实政府采购政策需满足的资格要求：</w:t>
      </w:r>
      <w:r>
        <w:rPr>
          <w:rFonts w:hint="eastAsia" w:ascii="宋体" w:hAnsi="宋体"/>
          <w:b w:val="0"/>
          <w:bCs/>
          <w:color w:val="auto"/>
          <w:kern w:val="0"/>
          <w:szCs w:val="21"/>
          <w:highlight w:val="none"/>
          <w:lang w:eastAsia="zh-Hans"/>
        </w:rPr>
        <w:t>本项目</w:t>
      </w:r>
      <w:r>
        <w:rPr>
          <w:rFonts w:hint="eastAsia" w:ascii="宋体" w:hAnsi="宋体"/>
          <w:b w:val="0"/>
          <w:bCs/>
          <w:color w:val="auto"/>
          <w:kern w:val="0"/>
          <w:szCs w:val="21"/>
          <w:highlight w:val="none"/>
          <w:lang w:val="en-US" w:eastAsia="zh-CN"/>
        </w:rPr>
        <w:t>不</w:t>
      </w:r>
      <w:r>
        <w:rPr>
          <w:rFonts w:hint="eastAsia" w:ascii="宋体" w:hAnsi="宋体"/>
          <w:b w:val="0"/>
          <w:bCs/>
          <w:color w:val="auto"/>
          <w:kern w:val="0"/>
          <w:szCs w:val="21"/>
          <w:highlight w:val="none"/>
          <w:lang w:eastAsia="zh-Hans"/>
        </w:rPr>
        <w:t>专门面向中小企业采购</w:t>
      </w:r>
      <w:r>
        <w:rPr>
          <w:rFonts w:hint="eastAsia" w:ascii="宋体" w:hAnsi="宋体"/>
          <w:b w:val="0"/>
          <w:bCs/>
          <w:kern w:val="0"/>
          <w:szCs w:val="21"/>
          <w:highlight w:val="none"/>
          <w:lang w:eastAsia="zh-CN"/>
        </w:rPr>
        <w:t>。</w:t>
      </w:r>
    </w:p>
    <w:p w14:paraId="44C225EB">
      <w:pPr>
        <w:pStyle w:val="13"/>
        <w:widowControl/>
        <w:numPr>
          <w:ilvl w:val="0"/>
          <w:numId w:val="2"/>
        </w:numPr>
        <w:spacing w:line="360" w:lineRule="auto"/>
        <w:ind w:left="422" w:hanging="422" w:hangingChars="200"/>
        <w:jc w:val="left"/>
        <w:outlineLvl w:val="3"/>
        <w:rPr>
          <w:rFonts w:ascii="宋体" w:hAnsi="宋体"/>
          <w:b/>
          <w:kern w:val="0"/>
          <w:sz w:val="24"/>
          <w:szCs w:val="20"/>
          <w:highlight w:val="none"/>
          <w:lang w:eastAsia="zh-Hans"/>
        </w:rPr>
      </w:pPr>
      <w:r>
        <w:rPr>
          <w:rFonts w:ascii="宋体" w:hAnsi="宋体"/>
          <w:b/>
          <w:kern w:val="0"/>
          <w:szCs w:val="21"/>
          <w:highlight w:val="none"/>
          <w:lang w:eastAsia="zh-Hans"/>
        </w:rPr>
        <w:t>本项目的特定资格要求：</w:t>
      </w:r>
    </w:p>
    <w:p w14:paraId="67358069">
      <w:pPr>
        <w:widowControl/>
        <w:numPr>
          <w:ilvl w:val="0"/>
          <w:numId w:val="4"/>
        </w:numPr>
        <w:spacing w:line="360" w:lineRule="auto"/>
        <w:ind w:left="420" w:hanging="420" w:hangingChars="200"/>
        <w:jc w:val="left"/>
        <w:outlineLvl w:val="3"/>
        <w:rPr>
          <w:rFonts w:ascii="宋体" w:hAnsi="宋体"/>
          <w:kern w:val="0"/>
          <w:szCs w:val="21"/>
          <w:highlight w:val="none"/>
          <w:lang w:eastAsia="zh-Hans"/>
        </w:rPr>
      </w:pPr>
      <w:r>
        <w:rPr>
          <w:rFonts w:ascii="宋体" w:hAnsi="宋体"/>
          <w:kern w:val="0"/>
          <w:szCs w:val="21"/>
          <w:highlight w:val="none"/>
          <w:lang w:eastAsia="zh-Hans"/>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响应截止时间当天在“信用中国”网站（www.creditchina.gov.cn）及中国政府采购网（http://www.ccgp.gov.cn/）查询结果为准，如相关失信记录已失效，供应商需提供相关证明资料）。</w:t>
      </w:r>
    </w:p>
    <w:p w14:paraId="0A8C2665">
      <w:pPr>
        <w:widowControl/>
        <w:numPr>
          <w:ilvl w:val="0"/>
          <w:numId w:val="4"/>
        </w:numPr>
        <w:spacing w:line="360" w:lineRule="auto"/>
        <w:ind w:left="420" w:hanging="420" w:hangingChars="200"/>
        <w:jc w:val="left"/>
        <w:outlineLvl w:val="3"/>
        <w:rPr>
          <w:rFonts w:ascii="宋体" w:hAnsi="宋体"/>
          <w:kern w:val="0"/>
          <w:szCs w:val="21"/>
          <w:highlight w:val="none"/>
          <w:lang w:eastAsia="zh-Hans"/>
        </w:rPr>
      </w:pPr>
      <w:r>
        <w:rPr>
          <w:rFonts w:ascii="宋体" w:hAnsi="宋体"/>
          <w:kern w:val="0"/>
          <w:szCs w:val="21"/>
          <w:highlight w:val="none"/>
          <w:lang w:eastAsia="zh-Hans"/>
        </w:rPr>
        <w:t>单位负责人为同一人或者存在直接控股、管理关系的不同供应商，不得同时参加本采购项目响应。为本项目提供整体设计、规范编制或者项目管理、监理、检测等服务的供应商，不得再参与本项目响应。</w:t>
      </w:r>
      <w:r>
        <w:rPr>
          <w:rFonts w:ascii="宋体" w:hAnsi="宋体"/>
          <w:bCs/>
          <w:kern w:val="0"/>
          <w:szCs w:val="21"/>
          <w:highlight w:val="none"/>
        </w:rPr>
        <w:t>提供资格条件承诺函（详见</w:t>
      </w:r>
      <w:r>
        <w:rPr>
          <w:rFonts w:hint="eastAsia" w:ascii="宋体" w:hAnsi="宋体"/>
          <w:bCs/>
          <w:kern w:val="0"/>
          <w:szCs w:val="21"/>
          <w:highlight w:val="none"/>
        </w:rPr>
        <w:t>响应</w:t>
      </w:r>
      <w:r>
        <w:rPr>
          <w:rFonts w:ascii="宋体" w:hAnsi="宋体"/>
          <w:bCs/>
          <w:kern w:val="0"/>
          <w:szCs w:val="21"/>
          <w:highlight w:val="none"/>
        </w:rPr>
        <w:t>文件格式）。</w:t>
      </w:r>
    </w:p>
    <w:bookmarkEnd w:id="4"/>
    <w:p w14:paraId="385CC300">
      <w:pPr>
        <w:pStyle w:val="13"/>
        <w:numPr>
          <w:ilvl w:val="0"/>
          <w:numId w:val="1"/>
        </w:numPr>
        <w:tabs>
          <w:tab w:val="left" w:pos="426"/>
        </w:tabs>
        <w:spacing w:line="360" w:lineRule="auto"/>
        <w:ind w:firstLineChars="0"/>
        <w:rPr>
          <w:rFonts w:asciiTheme="minorEastAsia" w:hAnsiTheme="minorEastAsia" w:eastAsiaTheme="minorEastAsia"/>
          <w:b/>
          <w:color w:val="000000" w:themeColor="text1"/>
          <w:szCs w:val="21"/>
          <w:highlight w:val="none"/>
          <w14:textFill>
            <w14:solidFill>
              <w14:schemeClr w14:val="tx1"/>
            </w14:solidFill>
          </w14:textFill>
        </w:rPr>
      </w:pPr>
      <w:bookmarkStart w:id="5" w:name="_Hlk58185024"/>
      <w:r>
        <w:rPr>
          <w:rFonts w:hint="eastAsia" w:asciiTheme="minorEastAsia" w:hAnsiTheme="minorEastAsia" w:eastAsiaTheme="minorEastAsia"/>
          <w:b/>
          <w:color w:val="000000" w:themeColor="text1"/>
          <w:szCs w:val="21"/>
          <w:highlight w:val="none"/>
          <w14:textFill>
            <w14:solidFill>
              <w14:schemeClr w14:val="tx1"/>
            </w14:solidFill>
          </w14:textFill>
        </w:rPr>
        <w:t>获取采购文件</w:t>
      </w:r>
    </w:p>
    <w:bookmarkEnd w:id="5"/>
    <w:p w14:paraId="59B1A6CC">
      <w:pPr>
        <w:pStyle w:val="13"/>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时间：</w:t>
      </w:r>
      <w:r>
        <w:rPr>
          <w:rFonts w:hint="eastAsia" w:cs="宋体" w:asciiTheme="minorEastAsia" w:hAnsiTheme="minorEastAsia" w:eastAsiaTheme="minorEastAsia"/>
          <w:szCs w:val="21"/>
          <w:highlight w:val="none"/>
          <w:u w:val="single"/>
          <w:lang w:val="en-US" w:eastAsia="zh-CN"/>
        </w:rPr>
        <w:t>2026</w:t>
      </w:r>
      <w:r>
        <w:rPr>
          <w:rFonts w:hint="eastAsia" w:cs="宋体" w:asciiTheme="minorEastAsia" w:hAnsiTheme="minorEastAsia" w:eastAsiaTheme="minorEastAsia"/>
          <w:szCs w:val="21"/>
          <w:highlight w:val="none"/>
          <w:u w:val="none"/>
        </w:rPr>
        <w:t>年</w:t>
      </w:r>
      <w:r>
        <w:rPr>
          <w:rFonts w:hint="eastAsia" w:cs="宋体" w:asciiTheme="minorEastAsia" w:hAnsiTheme="minorEastAsia" w:eastAsiaTheme="minorEastAsia"/>
          <w:szCs w:val="21"/>
          <w:highlight w:val="none"/>
          <w:u w:val="single"/>
          <w:lang w:val="en-US" w:eastAsia="zh-CN"/>
        </w:rPr>
        <w:t>05</w:t>
      </w:r>
      <w:r>
        <w:rPr>
          <w:rFonts w:hint="eastAsia" w:cs="宋体" w:asciiTheme="minorEastAsia" w:hAnsiTheme="minorEastAsia" w:eastAsiaTheme="minorEastAsia"/>
          <w:szCs w:val="21"/>
          <w:highlight w:val="none"/>
          <w:u w:val="none"/>
        </w:rPr>
        <w:t>月</w:t>
      </w:r>
      <w:r>
        <w:rPr>
          <w:rFonts w:hint="eastAsia" w:cs="宋体" w:asciiTheme="minorEastAsia" w:hAnsiTheme="minorEastAsia" w:eastAsiaTheme="minorEastAsia"/>
          <w:szCs w:val="21"/>
          <w:highlight w:val="none"/>
          <w:u w:val="single"/>
          <w:lang w:val="en-US" w:eastAsia="zh-CN"/>
        </w:rPr>
        <w:t>20</w:t>
      </w:r>
      <w:r>
        <w:rPr>
          <w:rFonts w:hint="eastAsia" w:cs="宋体" w:asciiTheme="minorEastAsia" w:hAnsiTheme="minorEastAsia" w:eastAsiaTheme="minorEastAsia"/>
          <w:szCs w:val="21"/>
          <w:highlight w:val="none"/>
          <w:u w:val="none"/>
        </w:rPr>
        <w:t>日</w:t>
      </w:r>
      <w:r>
        <w:rPr>
          <w:rFonts w:hint="eastAsia" w:cs="宋体" w:asciiTheme="minorEastAsia" w:hAnsiTheme="minorEastAsia" w:eastAsiaTheme="minorEastAsia"/>
          <w:szCs w:val="21"/>
          <w:highlight w:val="none"/>
        </w:rPr>
        <w:t>至</w:t>
      </w:r>
      <w:r>
        <w:rPr>
          <w:rFonts w:hint="eastAsia" w:cs="宋体" w:asciiTheme="minorEastAsia" w:hAnsiTheme="minorEastAsia" w:eastAsiaTheme="minorEastAsia"/>
          <w:szCs w:val="21"/>
          <w:highlight w:val="none"/>
          <w:u w:val="single"/>
          <w:lang w:val="en-US" w:eastAsia="zh-CN"/>
        </w:rPr>
        <w:t>2026</w:t>
      </w:r>
      <w:r>
        <w:rPr>
          <w:rFonts w:hint="eastAsia" w:cs="宋体" w:asciiTheme="minorEastAsia" w:hAnsiTheme="minorEastAsia" w:eastAsiaTheme="minorEastAsia"/>
          <w:szCs w:val="21"/>
          <w:highlight w:val="none"/>
          <w:u w:val="none"/>
        </w:rPr>
        <w:t>年</w:t>
      </w:r>
      <w:r>
        <w:rPr>
          <w:rFonts w:hint="eastAsia" w:cs="宋体" w:asciiTheme="minorEastAsia" w:hAnsiTheme="minorEastAsia" w:eastAsiaTheme="minorEastAsia"/>
          <w:szCs w:val="21"/>
          <w:highlight w:val="none"/>
          <w:u w:val="single"/>
          <w:lang w:val="en-US" w:eastAsia="zh-CN"/>
        </w:rPr>
        <w:t>05</w:t>
      </w:r>
      <w:r>
        <w:rPr>
          <w:rFonts w:hint="eastAsia" w:cs="宋体" w:asciiTheme="minorEastAsia" w:hAnsiTheme="minorEastAsia" w:eastAsiaTheme="minorEastAsia"/>
          <w:szCs w:val="21"/>
          <w:highlight w:val="none"/>
          <w:u w:val="none"/>
        </w:rPr>
        <w:t>月</w:t>
      </w:r>
      <w:r>
        <w:rPr>
          <w:rFonts w:hint="eastAsia" w:cs="宋体" w:asciiTheme="minorEastAsia" w:hAnsiTheme="minorEastAsia" w:eastAsiaTheme="minorEastAsia"/>
          <w:szCs w:val="21"/>
          <w:highlight w:val="none"/>
          <w:u w:val="single"/>
          <w:lang w:val="en-US" w:eastAsia="zh-CN"/>
        </w:rPr>
        <w:t>27</w:t>
      </w:r>
      <w:r>
        <w:rPr>
          <w:rFonts w:hint="eastAsia" w:cs="宋体" w:asciiTheme="minorEastAsia" w:hAnsiTheme="minorEastAsia" w:eastAsiaTheme="minorEastAsia"/>
          <w:szCs w:val="21"/>
          <w:highlight w:val="none"/>
          <w:u w:val="none"/>
        </w:rPr>
        <w:t>日</w:t>
      </w:r>
      <w:r>
        <w:rPr>
          <w:rFonts w:hint="eastAsia" w:cs="宋体" w:asciiTheme="minorEastAsia" w:hAnsiTheme="minorEastAsia" w:eastAsiaTheme="minorEastAsia"/>
          <w:iCs/>
          <w:szCs w:val="21"/>
          <w:highlight w:val="none"/>
          <w:u w:val="single"/>
        </w:rPr>
        <w:t>（磋商文件的发售期限自开始之日起不得少于5个工作日）</w:t>
      </w:r>
      <w:r>
        <w:rPr>
          <w:rFonts w:hint="eastAsia" w:cs="宋体" w:asciiTheme="minorEastAsia" w:hAnsiTheme="minorEastAsia" w:eastAsiaTheme="minorEastAsia"/>
          <w:szCs w:val="21"/>
          <w:highlight w:val="none"/>
        </w:rPr>
        <w:t>，每天上午9：00至12：00，下午2：30至5：30（北京时间，</w:t>
      </w:r>
      <w:r>
        <w:rPr>
          <w:rFonts w:cs="宋体" w:asciiTheme="minorEastAsia" w:hAnsiTheme="minorEastAsia" w:eastAsiaTheme="minorEastAsia"/>
          <w:szCs w:val="21"/>
          <w:highlight w:val="none"/>
        </w:rPr>
        <w:t>法定节假日</w:t>
      </w:r>
      <w:r>
        <w:rPr>
          <w:rFonts w:hint="eastAsia" w:cs="宋体" w:asciiTheme="minorEastAsia" w:hAnsiTheme="minorEastAsia" w:eastAsiaTheme="minorEastAsia"/>
          <w:szCs w:val="21"/>
          <w:highlight w:val="none"/>
        </w:rPr>
        <w:t>除外）</w:t>
      </w:r>
    </w:p>
    <w:p w14:paraId="2E44290C">
      <w:pPr>
        <w:pStyle w:val="13"/>
        <w:spacing w:line="360" w:lineRule="auto"/>
        <w:ind w:left="420" w:firstLine="4" w:firstLineChars="2"/>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地点：东莞市南城街道雅园产业园区路5号1栋1楼或微信搜索公众号“广东智汇城市”</w:t>
      </w:r>
    </w:p>
    <w:p w14:paraId="5C74B355">
      <w:pPr>
        <w:pStyle w:val="13"/>
        <w:spacing w:line="360" w:lineRule="auto"/>
        <w:ind w:left="420" w:firstLine="0" w:firstLineChars="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方式：现场或线上获取</w:t>
      </w:r>
    </w:p>
    <w:p w14:paraId="0410ACA2">
      <w:pPr>
        <w:pStyle w:val="13"/>
        <w:spacing w:line="360" w:lineRule="auto"/>
        <w:ind w:left="420" w:firstLine="0" w:firstLineChars="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售价：</w:t>
      </w:r>
      <w:r>
        <w:rPr>
          <w:rFonts w:cs="宋体" w:asciiTheme="minorEastAsia" w:hAnsiTheme="minorEastAsia" w:eastAsiaTheme="minorEastAsia"/>
          <w:szCs w:val="21"/>
          <w:highlight w:val="none"/>
        </w:rPr>
        <w:t>200</w:t>
      </w:r>
      <w:r>
        <w:rPr>
          <w:rFonts w:hint="eastAsia" w:cs="宋体" w:asciiTheme="minorEastAsia" w:hAnsiTheme="minorEastAsia" w:eastAsiaTheme="minorEastAsia"/>
          <w:szCs w:val="21"/>
          <w:highlight w:val="none"/>
        </w:rPr>
        <w:t>元</w:t>
      </w:r>
    </w:p>
    <w:p w14:paraId="0EBB73C8">
      <w:pPr>
        <w:pStyle w:val="13"/>
        <w:numPr>
          <w:ilvl w:val="0"/>
          <w:numId w:val="1"/>
        </w:numPr>
        <w:tabs>
          <w:tab w:val="left" w:pos="426"/>
        </w:tabs>
        <w:spacing w:line="360" w:lineRule="auto"/>
        <w:ind w:left="0" w:firstLine="0" w:firstLineChars="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响应文件提交</w:t>
      </w:r>
    </w:p>
    <w:p w14:paraId="48558A96">
      <w:pPr>
        <w:tabs>
          <w:tab w:val="left" w:pos="284"/>
          <w:tab w:val="left" w:pos="426"/>
        </w:tabs>
        <w:spacing w:line="360" w:lineRule="auto"/>
        <w:ind w:left="420" w:hanging="420" w:hanging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时间：</w:t>
      </w:r>
      <w:r>
        <w:rPr>
          <w:rFonts w:hint="eastAsia" w:asciiTheme="minorEastAsia" w:hAnsiTheme="minorEastAsia" w:eastAsiaTheme="minorEastAsia"/>
          <w:color w:val="000000" w:themeColor="text1"/>
          <w:szCs w:val="21"/>
          <w:highlight w:val="none"/>
          <w14:textFill>
            <w14:solidFill>
              <w14:schemeClr w14:val="tx1"/>
            </w14:solidFill>
          </w14:textFill>
        </w:rPr>
        <w:t>截止时间</w:t>
      </w:r>
      <w:r>
        <w:rPr>
          <w:rFonts w:hint="eastAsia" w:asciiTheme="minorEastAsia" w:hAnsiTheme="minorEastAsia" w:eastAsiaTheme="minorEastAsia"/>
          <w:color w:val="000000" w:themeColor="text1"/>
          <w:szCs w:val="21"/>
          <w:highlight w:val="none"/>
          <w:u w:val="single"/>
          <w:lang w:val="en-US" w:eastAsia="zh-CN"/>
          <w14:textFill>
            <w14:solidFill>
              <w14:schemeClr w14:val="tx1"/>
            </w14:solidFill>
          </w14:textFill>
        </w:rPr>
        <w:t>2026</w:t>
      </w:r>
      <w:r>
        <w:rPr>
          <w:rFonts w:hint="eastAsia" w:cs="宋体" w:asciiTheme="minorEastAsia" w:hAnsiTheme="minorEastAsia" w:eastAsiaTheme="minorEastAsia"/>
          <w:szCs w:val="21"/>
          <w:highlight w:val="none"/>
          <w:u w:val="none"/>
        </w:rPr>
        <w:t>年</w:t>
      </w:r>
      <w:r>
        <w:rPr>
          <w:rFonts w:hint="eastAsia" w:asciiTheme="minorEastAsia" w:hAnsiTheme="minorEastAsia" w:eastAsiaTheme="minorEastAsia"/>
          <w:szCs w:val="21"/>
          <w:highlight w:val="none"/>
          <w:u w:val="single"/>
          <w:lang w:val="en-US" w:eastAsia="zh-CN"/>
        </w:rPr>
        <w:t>06</w:t>
      </w:r>
      <w:r>
        <w:rPr>
          <w:rFonts w:hint="eastAsia" w:cs="宋体" w:asciiTheme="minorEastAsia" w:hAnsiTheme="minorEastAsia" w:eastAsiaTheme="minorEastAsia"/>
          <w:szCs w:val="21"/>
          <w:highlight w:val="none"/>
          <w:u w:val="none"/>
        </w:rPr>
        <w:t>月</w:t>
      </w:r>
      <w:r>
        <w:rPr>
          <w:rFonts w:hint="eastAsia" w:cs="宋体" w:asciiTheme="minorEastAsia" w:hAnsiTheme="minorEastAsia" w:eastAsiaTheme="minorEastAsia"/>
          <w:szCs w:val="21"/>
          <w:highlight w:val="none"/>
          <w:u w:val="single"/>
          <w:lang w:val="en-US" w:eastAsia="zh-CN"/>
        </w:rPr>
        <w:t>01</w:t>
      </w:r>
      <w:r>
        <w:rPr>
          <w:rFonts w:hint="eastAsia" w:cs="宋体" w:asciiTheme="minorEastAsia" w:hAnsiTheme="minorEastAsia" w:eastAsiaTheme="minorEastAsia"/>
          <w:szCs w:val="21"/>
          <w:highlight w:val="none"/>
          <w:u w:val="none"/>
        </w:rPr>
        <w:t>日</w:t>
      </w:r>
      <w:r>
        <w:rPr>
          <w:rFonts w:hint="eastAsia" w:cs="宋体" w:asciiTheme="minorEastAsia" w:hAnsiTheme="minorEastAsia" w:eastAsiaTheme="minorEastAsia"/>
          <w:szCs w:val="21"/>
          <w:highlight w:val="none"/>
          <w:u w:val="single"/>
          <w:lang w:val="en-US" w:eastAsia="zh-CN"/>
        </w:rPr>
        <w:t>10</w:t>
      </w:r>
      <w:r>
        <w:rPr>
          <w:rFonts w:hint="eastAsia" w:asciiTheme="minorEastAsia" w:hAnsiTheme="minorEastAsia" w:eastAsiaTheme="minorEastAsia"/>
          <w:color w:val="000000" w:themeColor="text1"/>
          <w:szCs w:val="21"/>
          <w:highlight w:val="none"/>
          <w:u w:val="none"/>
          <w14:textFill>
            <w14:solidFill>
              <w14:schemeClr w14:val="tx1"/>
            </w14:solidFill>
          </w14:textFill>
        </w:rPr>
        <w:t>点</w:t>
      </w:r>
      <w:r>
        <w:rPr>
          <w:rFonts w:hint="eastAsia" w:asciiTheme="minorEastAsia" w:hAnsiTheme="minorEastAsia" w:eastAsiaTheme="minorEastAsia"/>
          <w:color w:val="000000" w:themeColor="text1"/>
          <w:szCs w:val="21"/>
          <w:highlight w:val="none"/>
          <w:u w:val="single"/>
          <w:lang w:val="en-US" w:eastAsia="zh-CN"/>
          <w14:textFill>
            <w14:solidFill>
              <w14:schemeClr w14:val="tx1"/>
            </w14:solidFill>
          </w14:textFill>
        </w:rPr>
        <w:t>00</w:t>
      </w:r>
      <w:r>
        <w:rPr>
          <w:rFonts w:hint="eastAsia" w:asciiTheme="minorEastAsia" w:hAnsiTheme="minorEastAsia" w:eastAsiaTheme="minorEastAsia"/>
          <w:color w:val="000000" w:themeColor="text1"/>
          <w:szCs w:val="21"/>
          <w:highlight w:val="none"/>
          <w:u w:val="none"/>
          <w14:textFill>
            <w14:solidFill>
              <w14:schemeClr w14:val="tx1"/>
            </w14:solidFill>
          </w14:textFill>
        </w:rPr>
        <w:t>分</w:t>
      </w:r>
      <w:r>
        <w:rPr>
          <w:rFonts w:hint="eastAsia" w:asciiTheme="minorEastAsia" w:hAnsiTheme="minorEastAsia" w:eastAsiaTheme="minorEastAsia"/>
          <w:color w:val="000000" w:themeColor="text1"/>
          <w:szCs w:val="21"/>
          <w:highlight w:val="none"/>
          <w14:textFill>
            <w14:solidFill>
              <w14:schemeClr w14:val="tx1"/>
            </w14:solidFill>
          </w14:textFill>
        </w:rPr>
        <w:t>（北京时间）（从磋商文件开始发出之日起至供应商提交首次响应文件截止之日止不得少于10日）</w:t>
      </w:r>
    </w:p>
    <w:p w14:paraId="14B2688C">
      <w:pPr>
        <w:pStyle w:val="13"/>
        <w:tabs>
          <w:tab w:val="left" w:pos="426"/>
        </w:tabs>
        <w:spacing w:line="360" w:lineRule="auto"/>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rPr>
        <w:t>地点：</w:t>
      </w:r>
      <w:r>
        <w:rPr>
          <w:rFonts w:hint="eastAsia" w:ascii="宋体" w:hAnsi="宋体" w:eastAsia="宋体" w:cs="宋体"/>
          <w:color w:val="auto"/>
          <w:sz w:val="21"/>
          <w:szCs w:val="21"/>
          <w:highlight w:val="none"/>
          <w:lang w:eastAsia="zh-CN"/>
        </w:rPr>
        <w:t>东莞市南城街道雅园产业园区路5号1栋1楼</w:t>
      </w:r>
    </w:p>
    <w:p w14:paraId="1B618459">
      <w:pPr>
        <w:pStyle w:val="13"/>
        <w:numPr>
          <w:ilvl w:val="0"/>
          <w:numId w:val="1"/>
        </w:numPr>
        <w:tabs>
          <w:tab w:val="left" w:pos="426"/>
        </w:tabs>
        <w:spacing w:line="360" w:lineRule="auto"/>
        <w:ind w:left="-2" w:leftChars="-1" w:firstLine="1" w:firstLineChars="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开启</w:t>
      </w:r>
    </w:p>
    <w:p w14:paraId="071F1ABC">
      <w:pPr>
        <w:pStyle w:val="13"/>
        <w:tabs>
          <w:tab w:val="left" w:pos="426"/>
        </w:tabs>
        <w:spacing w:line="360" w:lineRule="auto"/>
        <w:ind w:left="-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时间：</w:t>
      </w:r>
      <w:r>
        <w:rPr>
          <w:rFonts w:hint="eastAsia" w:asciiTheme="minorEastAsia" w:hAnsiTheme="minorEastAsia" w:eastAsiaTheme="minorEastAsia"/>
          <w:color w:val="000000" w:themeColor="text1"/>
          <w:szCs w:val="21"/>
          <w:highlight w:val="none"/>
          <w:u w:val="single"/>
          <w:lang w:val="en-US" w:eastAsia="zh-CN"/>
          <w14:textFill>
            <w14:solidFill>
              <w14:schemeClr w14:val="tx1"/>
            </w14:solidFill>
          </w14:textFill>
        </w:rPr>
        <w:t>2026</w:t>
      </w:r>
      <w:r>
        <w:rPr>
          <w:rFonts w:hint="eastAsia" w:cs="宋体" w:asciiTheme="minorEastAsia" w:hAnsiTheme="minorEastAsia" w:eastAsiaTheme="minorEastAsia"/>
          <w:szCs w:val="21"/>
          <w:highlight w:val="none"/>
          <w:u w:val="none"/>
        </w:rPr>
        <w:t>年</w:t>
      </w:r>
      <w:r>
        <w:rPr>
          <w:rFonts w:hint="eastAsia" w:asciiTheme="minorEastAsia" w:hAnsiTheme="minorEastAsia" w:eastAsiaTheme="minorEastAsia"/>
          <w:szCs w:val="21"/>
          <w:highlight w:val="none"/>
          <w:u w:val="single"/>
          <w:lang w:val="en-US" w:eastAsia="zh-CN"/>
        </w:rPr>
        <w:t>06</w:t>
      </w:r>
      <w:r>
        <w:rPr>
          <w:rFonts w:hint="eastAsia" w:cs="宋体" w:asciiTheme="minorEastAsia" w:hAnsiTheme="minorEastAsia" w:eastAsiaTheme="minorEastAsia"/>
          <w:szCs w:val="21"/>
          <w:highlight w:val="none"/>
          <w:u w:val="none"/>
        </w:rPr>
        <w:t>月</w:t>
      </w:r>
      <w:r>
        <w:rPr>
          <w:rFonts w:hint="eastAsia" w:cs="宋体" w:asciiTheme="minorEastAsia" w:hAnsiTheme="minorEastAsia" w:eastAsiaTheme="minorEastAsia"/>
          <w:szCs w:val="21"/>
          <w:highlight w:val="none"/>
          <w:u w:val="single"/>
          <w:lang w:val="en-US" w:eastAsia="zh-CN"/>
        </w:rPr>
        <w:t>01</w:t>
      </w:r>
      <w:r>
        <w:rPr>
          <w:rFonts w:hint="eastAsia" w:cs="宋体" w:asciiTheme="minorEastAsia" w:hAnsiTheme="minorEastAsia" w:eastAsiaTheme="minorEastAsia"/>
          <w:szCs w:val="21"/>
          <w:highlight w:val="none"/>
          <w:u w:val="none"/>
        </w:rPr>
        <w:t>日</w:t>
      </w:r>
      <w:r>
        <w:rPr>
          <w:rFonts w:hint="eastAsia" w:cs="宋体" w:asciiTheme="minorEastAsia" w:hAnsiTheme="minorEastAsia" w:eastAsiaTheme="minorEastAsia"/>
          <w:szCs w:val="21"/>
          <w:highlight w:val="none"/>
          <w:u w:val="single"/>
          <w:lang w:val="en-US" w:eastAsia="zh-CN"/>
        </w:rPr>
        <w:t>10</w:t>
      </w:r>
      <w:r>
        <w:rPr>
          <w:rFonts w:hint="eastAsia" w:asciiTheme="minorEastAsia" w:hAnsiTheme="minorEastAsia" w:eastAsiaTheme="minorEastAsia"/>
          <w:color w:val="000000" w:themeColor="text1"/>
          <w:szCs w:val="21"/>
          <w:highlight w:val="none"/>
          <w:u w:val="none"/>
          <w14:textFill>
            <w14:solidFill>
              <w14:schemeClr w14:val="tx1"/>
            </w14:solidFill>
          </w14:textFill>
        </w:rPr>
        <w:t>点</w:t>
      </w:r>
      <w:r>
        <w:rPr>
          <w:rFonts w:hint="eastAsia" w:asciiTheme="minorEastAsia" w:hAnsiTheme="minorEastAsia" w:eastAsiaTheme="minorEastAsia"/>
          <w:color w:val="000000" w:themeColor="text1"/>
          <w:szCs w:val="21"/>
          <w:highlight w:val="none"/>
          <w:u w:val="single"/>
          <w:lang w:val="en-US" w:eastAsia="zh-CN"/>
          <w14:textFill>
            <w14:solidFill>
              <w14:schemeClr w14:val="tx1"/>
            </w14:solidFill>
          </w14:textFill>
        </w:rPr>
        <w:t>00</w:t>
      </w:r>
      <w:r>
        <w:rPr>
          <w:rFonts w:hint="eastAsia" w:asciiTheme="minorEastAsia" w:hAnsiTheme="minorEastAsia" w:eastAsiaTheme="minorEastAsia"/>
          <w:color w:val="000000" w:themeColor="text1"/>
          <w:szCs w:val="21"/>
          <w:highlight w:val="none"/>
          <w:u w:val="none"/>
          <w14:textFill>
            <w14:solidFill>
              <w14:schemeClr w14:val="tx1"/>
            </w14:solidFill>
          </w14:textFill>
        </w:rPr>
        <w:t>分</w:t>
      </w:r>
      <w:r>
        <w:rPr>
          <w:rFonts w:hint="eastAsia" w:asciiTheme="minorEastAsia" w:hAnsiTheme="minorEastAsia" w:eastAsiaTheme="minorEastAsia"/>
          <w:color w:val="auto"/>
          <w:szCs w:val="21"/>
          <w:highlight w:val="none"/>
        </w:rPr>
        <w:t>（北京时间）</w:t>
      </w:r>
    </w:p>
    <w:p w14:paraId="4F514DF3">
      <w:pPr>
        <w:pStyle w:val="13"/>
        <w:tabs>
          <w:tab w:val="left" w:pos="426"/>
        </w:tabs>
        <w:spacing w:line="360" w:lineRule="auto"/>
        <w:ind w:left="-1"/>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地点：</w:t>
      </w:r>
      <w:r>
        <w:rPr>
          <w:rFonts w:hint="eastAsia" w:asciiTheme="minorEastAsia" w:hAnsiTheme="minorEastAsia" w:eastAsiaTheme="minorEastAsia"/>
          <w:color w:val="auto"/>
          <w:szCs w:val="21"/>
          <w:highlight w:val="none"/>
          <w:lang w:eastAsia="zh-CN"/>
        </w:rPr>
        <w:t>东莞市南城街道雅园产业园区路5号1栋1楼</w:t>
      </w:r>
    </w:p>
    <w:p w14:paraId="7D285132">
      <w:pPr>
        <w:pStyle w:val="13"/>
        <w:numPr>
          <w:ilvl w:val="0"/>
          <w:numId w:val="1"/>
        </w:numPr>
        <w:tabs>
          <w:tab w:val="left" w:pos="426"/>
        </w:tabs>
        <w:spacing w:line="360" w:lineRule="auto"/>
        <w:ind w:left="-2" w:leftChars="-1" w:firstLine="1" w:firstLineChars="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公告期限</w:t>
      </w:r>
    </w:p>
    <w:p w14:paraId="0EBFD6EA">
      <w:pPr>
        <w:pStyle w:val="13"/>
        <w:tabs>
          <w:tab w:val="left" w:pos="426"/>
        </w:tabs>
        <w:spacing w:line="360" w:lineRule="auto"/>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自本公告发布之日起3个工作日。</w:t>
      </w:r>
    </w:p>
    <w:p w14:paraId="70A48A46">
      <w:pPr>
        <w:pStyle w:val="13"/>
        <w:numPr>
          <w:ilvl w:val="0"/>
          <w:numId w:val="1"/>
        </w:numPr>
        <w:tabs>
          <w:tab w:val="left" w:pos="426"/>
        </w:tabs>
        <w:spacing w:line="360" w:lineRule="auto"/>
        <w:ind w:firstLineChars="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其他补充事宜</w:t>
      </w:r>
    </w:p>
    <w:p w14:paraId="2060873D">
      <w:pPr>
        <w:pStyle w:val="13"/>
        <w:numPr>
          <w:ilvl w:val="0"/>
          <w:numId w:val="5"/>
        </w:numPr>
        <w:tabs>
          <w:tab w:val="left" w:pos="426"/>
        </w:tabs>
        <w:spacing w:line="360" w:lineRule="auto"/>
        <w:ind w:left="426" w:hanging="426" w:firstLineChars="0"/>
        <w:rPr>
          <w:rFonts w:asciiTheme="minorEastAsia" w:hAnsiTheme="minorEastAsia" w:eastAsiaTheme="minorEastAsia"/>
          <w:bCs/>
          <w:color w:val="7030A0"/>
          <w:szCs w:val="21"/>
          <w:highlight w:val="none"/>
        </w:rPr>
      </w:pPr>
      <w:r>
        <w:rPr>
          <w:rFonts w:hint="eastAsia" w:asciiTheme="minorEastAsia" w:hAnsiTheme="minorEastAsia" w:eastAsiaTheme="minorEastAsia"/>
          <w:bCs/>
          <w:szCs w:val="21"/>
          <w:highlight w:val="none"/>
        </w:rPr>
        <w:t>需要落实的采购政策：《政府采购促进中小企业发展管理办法》的通知（财库〔2020〕46号）、《关于政府采购支持监狱企业发展有关问题的通知》(财库〔2014〕68号)、《关于促进残疾人就业政府采购政策的通知》（财库〔2017〕141号)、《财政部 发展改革委 生态环境部 市场</w:t>
      </w:r>
      <w:r>
        <w:rPr>
          <w:rFonts w:hint="eastAsia" w:asciiTheme="minorEastAsia" w:hAnsiTheme="minorEastAsia" w:eastAsiaTheme="minorEastAsia"/>
          <w:bCs/>
          <w:color w:val="auto"/>
          <w:szCs w:val="21"/>
          <w:highlight w:val="none"/>
        </w:rPr>
        <w:t>监管总局关于调整优化节能产品、环境标志产品政府采购执行机制的通知》（财库〔2019〕9号）、《关于印发〈商品包装政府采购需求标准（试行）〉、〈快递包装政府采购需求标准（试行）〉的通知》等</w:t>
      </w:r>
      <w:r>
        <w:rPr>
          <w:rFonts w:hint="eastAsia" w:asciiTheme="minorEastAsia" w:hAnsiTheme="minorEastAsia" w:eastAsiaTheme="minorEastAsia"/>
          <w:bCs/>
          <w:color w:val="auto"/>
          <w:szCs w:val="21"/>
          <w:highlight w:val="none"/>
          <w:lang w:eastAsia="zh-CN"/>
        </w:rPr>
        <w:t>、关于运用政府采购政策支持乡村产业振兴的通知财库〔2021〕19号等。</w:t>
      </w:r>
    </w:p>
    <w:p w14:paraId="5DCFA562">
      <w:pPr>
        <w:pStyle w:val="13"/>
        <w:numPr>
          <w:ilvl w:val="0"/>
          <w:numId w:val="5"/>
        </w:numPr>
        <w:tabs>
          <w:tab w:val="left" w:pos="426"/>
        </w:tabs>
        <w:spacing w:line="360" w:lineRule="auto"/>
        <w:ind w:left="426" w:hanging="426" w:firstLineChars="0"/>
        <w:rPr>
          <w:rFonts w:asciiTheme="minorEastAsia" w:hAnsiTheme="minorEastAsia" w:eastAsiaTheme="minorEastAsia"/>
          <w:bCs/>
          <w:color w:val="7030A0"/>
          <w:szCs w:val="21"/>
          <w:highlight w:val="none"/>
        </w:rPr>
      </w:pPr>
      <w:r>
        <w:rPr>
          <w:rFonts w:hint="eastAsia" w:asciiTheme="minorEastAsia" w:hAnsiTheme="minorEastAsia" w:eastAsiaTheme="minorEastAsia"/>
          <w:bCs/>
          <w:color w:val="auto"/>
          <w:szCs w:val="21"/>
          <w:highlight w:val="none"/>
        </w:rPr>
        <w:t>本项目采购标的所属行业为</w:t>
      </w:r>
      <w:r>
        <w:rPr>
          <w:rFonts w:hint="eastAsia" w:asciiTheme="minorEastAsia" w:hAnsiTheme="minorEastAsia" w:eastAsiaTheme="minorEastAsia"/>
          <w:bCs/>
          <w:color w:val="auto"/>
          <w:szCs w:val="21"/>
          <w:highlight w:val="none"/>
          <w:u w:val="single"/>
        </w:rPr>
        <w:t xml:space="preserve"> 其他未列明行业</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w:t>
      </w:r>
    </w:p>
    <w:p w14:paraId="428EFCED">
      <w:pPr>
        <w:pStyle w:val="13"/>
        <w:numPr>
          <w:ilvl w:val="0"/>
          <w:numId w:val="5"/>
        </w:numPr>
        <w:tabs>
          <w:tab w:val="left" w:pos="426"/>
        </w:tabs>
        <w:spacing w:line="360" w:lineRule="auto"/>
        <w:ind w:left="426" w:hanging="426" w:firstLineChars="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采购文件公示/下载媒体</w:t>
      </w:r>
    </w:p>
    <w:p w14:paraId="0289EBF7">
      <w:pPr>
        <w:pStyle w:val="13"/>
        <w:spacing w:line="360" w:lineRule="auto"/>
        <w:ind w:left="420" w:firstLine="0" w:firstLineChars="0"/>
        <w:rPr>
          <w:rFonts w:asciiTheme="minorEastAsia" w:hAnsiTheme="minorEastAsia" w:eastAsiaTheme="minorEastAsia"/>
          <w:bCs/>
          <w:color w:val="000000" w:themeColor="text1"/>
          <w:spacing w:val="0"/>
          <w:sz w:val="21"/>
          <w:szCs w:val="21"/>
          <w:highlight w:val="none"/>
          <w14:textFill>
            <w14:solidFill>
              <w14:schemeClr w14:val="tx1"/>
            </w14:solidFill>
          </w14:textFill>
        </w:rPr>
      </w:pPr>
      <w:r>
        <w:rPr>
          <w:rFonts w:hint="eastAsia" w:ascii="宋体" w:hAnsi="宋体"/>
          <w:spacing w:val="0"/>
          <w:sz w:val="21"/>
          <w:szCs w:val="21"/>
          <w:highlight w:val="none"/>
        </w:rPr>
        <w:t>中国采购与招标网</w:t>
      </w:r>
      <w:r>
        <w:rPr>
          <w:rFonts w:ascii="宋体" w:hAnsi="宋体"/>
          <w:spacing w:val="0"/>
          <w:sz w:val="21"/>
          <w:szCs w:val="21"/>
          <w:highlight w:val="none"/>
        </w:rPr>
        <w:t>（https://zbdt.chinabidding.cn/）、广东智汇城市招标采购有限公司网站(http://www.gdzhcity.com/)</w:t>
      </w:r>
    </w:p>
    <w:p w14:paraId="002E0A5F">
      <w:pPr>
        <w:pStyle w:val="13"/>
        <w:numPr>
          <w:ilvl w:val="0"/>
          <w:numId w:val="5"/>
        </w:numPr>
        <w:tabs>
          <w:tab w:val="left" w:pos="426"/>
        </w:tabs>
        <w:spacing w:line="360" w:lineRule="auto"/>
        <w:ind w:left="426" w:hanging="426" w:firstLineChars="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拟参加本项目的潜在供应商须在规定时间内按要求获取磋商文件后方可参与本项目的磋商。获取磋商文件后而不参加磋商的潜在供应商，请在开标日期三日前以书面形式通知采购代理机构。</w:t>
      </w:r>
    </w:p>
    <w:p w14:paraId="0150955E">
      <w:pPr>
        <w:pStyle w:val="13"/>
        <w:numPr>
          <w:ilvl w:val="0"/>
          <w:numId w:val="5"/>
        </w:numPr>
        <w:tabs>
          <w:tab w:val="left" w:pos="426"/>
        </w:tabs>
        <w:spacing w:line="360" w:lineRule="auto"/>
        <w:ind w:left="426" w:hanging="426" w:firstLineChars="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000000" w:themeColor="text1"/>
          <w:szCs w:val="21"/>
          <w:highlight w:val="none"/>
          <w14:textFill>
            <w14:solidFill>
              <w14:schemeClr w14:val="tx1"/>
            </w14:solidFill>
          </w14:textFill>
        </w:rPr>
        <w:t>获取磋商文件联系人及联系方式</w:t>
      </w:r>
      <w:r>
        <w:rPr>
          <w:rFonts w:hint="eastAsia"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lang w:val="en-US" w:eastAsia="zh-CN"/>
        </w:rPr>
        <w:t>黄</w:t>
      </w:r>
      <w:r>
        <w:rPr>
          <w:rFonts w:hint="eastAsia" w:asciiTheme="minorEastAsia" w:hAnsiTheme="minorEastAsia" w:eastAsiaTheme="minorEastAsia"/>
          <w:bCs/>
          <w:color w:val="auto"/>
          <w:szCs w:val="21"/>
          <w:highlight w:val="none"/>
        </w:rPr>
        <w:t>小姐 0769</w:t>
      </w:r>
      <w:r>
        <w:rPr>
          <w:rFonts w:hint="eastAsia" w:asciiTheme="minorEastAsia" w:hAnsiTheme="minorEastAsia" w:eastAsiaTheme="minorEastAsia"/>
          <w:bCs/>
          <w:color w:val="auto"/>
          <w:szCs w:val="21"/>
          <w:highlight w:val="none"/>
          <w:lang w:val="en-US" w:eastAsia="zh-CN"/>
        </w:rPr>
        <w:t>-</w:t>
      </w:r>
      <w:r>
        <w:rPr>
          <w:rFonts w:hint="eastAsia" w:asciiTheme="minorEastAsia" w:hAnsiTheme="minorEastAsia" w:eastAsiaTheme="minorEastAsia"/>
          <w:bCs/>
          <w:color w:val="auto"/>
          <w:szCs w:val="21"/>
          <w:highlight w:val="none"/>
        </w:rPr>
        <w:t>22367009</w:t>
      </w:r>
      <w:r>
        <w:rPr>
          <w:rFonts w:asciiTheme="minorEastAsia" w:hAnsiTheme="minorEastAsia" w:eastAsiaTheme="minorEastAsia"/>
          <w:bCs/>
          <w:color w:val="auto"/>
          <w:szCs w:val="21"/>
          <w:highlight w:val="none"/>
        </w:rPr>
        <w:t xml:space="preserve"> </w:t>
      </w:r>
      <w:r>
        <w:rPr>
          <w:rFonts w:hint="eastAsia" w:asciiTheme="minorEastAsia" w:hAnsiTheme="minorEastAsia" w:eastAsiaTheme="minorEastAsia"/>
          <w:bCs/>
          <w:color w:val="auto"/>
          <w:szCs w:val="21"/>
          <w:highlight w:val="none"/>
        </w:rPr>
        <w:t>邮箱：</w:t>
      </w:r>
      <w:r>
        <w:rPr>
          <w:rFonts w:asciiTheme="minorEastAsia" w:hAnsiTheme="minorEastAsia" w:eastAsiaTheme="minorEastAsia"/>
          <w:color w:val="auto"/>
          <w:highlight w:val="none"/>
        </w:rPr>
        <w:t>zhcity_gd@163.com</w:t>
      </w:r>
      <w:r>
        <w:rPr>
          <w:rFonts w:hint="eastAsia" w:asciiTheme="minorEastAsia" w:hAnsiTheme="minorEastAsia" w:eastAsiaTheme="minorEastAsia"/>
          <w:bCs/>
          <w:color w:val="auto"/>
          <w:szCs w:val="21"/>
          <w:highlight w:val="none"/>
        </w:rPr>
        <w:t>。</w:t>
      </w:r>
    </w:p>
    <w:p w14:paraId="0B7ED9C3">
      <w:pPr>
        <w:pStyle w:val="13"/>
        <w:numPr>
          <w:ilvl w:val="0"/>
          <w:numId w:val="1"/>
        </w:numPr>
        <w:tabs>
          <w:tab w:val="left" w:pos="567"/>
        </w:tabs>
        <w:spacing w:before="156" w:beforeLines="50" w:line="360" w:lineRule="auto"/>
        <w:ind w:firstLineChars="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对本次采购提出询问，请按以下方式联系。</w:t>
      </w:r>
    </w:p>
    <w:p w14:paraId="1C74D448">
      <w:pPr>
        <w:pStyle w:val="13"/>
        <w:numPr>
          <w:ilvl w:val="0"/>
          <w:numId w:val="6"/>
        </w:numPr>
        <w:tabs>
          <w:tab w:val="left" w:pos="567"/>
        </w:tabs>
        <w:spacing w:line="360" w:lineRule="auto"/>
        <w:ind w:firstLineChars="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采购人信息</w:t>
      </w:r>
    </w:p>
    <w:p w14:paraId="1460CC80">
      <w:pPr>
        <w:tabs>
          <w:tab w:val="left" w:pos="567"/>
        </w:tabs>
        <w:spacing w:line="360" w:lineRule="auto"/>
        <w:ind w:left="424" w:leftChars="202"/>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名    称：东莞市</w:t>
      </w:r>
      <w:r>
        <w:rPr>
          <w:rFonts w:hint="eastAsia" w:ascii="宋体" w:hAnsi="宋体"/>
          <w:bCs/>
          <w:color w:val="000000" w:themeColor="text1"/>
          <w:szCs w:val="21"/>
          <w:highlight w:val="none"/>
          <w:lang w:eastAsia="zh-CN"/>
          <w14:textFill>
            <w14:solidFill>
              <w14:schemeClr w14:val="tx1"/>
            </w14:solidFill>
          </w14:textFill>
        </w:rPr>
        <w:t>石龙镇卫生健康局</w:t>
      </w:r>
    </w:p>
    <w:p w14:paraId="3DC4640D">
      <w:pPr>
        <w:tabs>
          <w:tab w:val="left" w:pos="567"/>
        </w:tabs>
        <w:spacing w:line="360" w:lineRule="auto"/>
        <w:ind w:left="424" w:leftChars="202"/>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    址：东莞市石龙镇裕兴路1号</w:t>
      </w:r>
    </w:p>
    <w:p w14:paraId="30DB3D45">
      <w:pPr>
        <w:tabs>
          <w:tab w:val="left" w:pos="567"/>
        </w:tabs>
        <w:spacing w:line="360" w:lineRule="auto"/>
        <w:ind w:left="424" w:leftChars="202"/>
        <w:rPr>
          <w:rFonts w:hint="default" w:eastAsia="宋体" w:asciiTheme="minorEastAsia" w:hAnsiTheme="minorEastAsia"/>
          <w:b/>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联系方式：单</w:t>
      </w:r>
      <w:r>
        <w:rPr>
          <w:rFonts w:hint="eastAsia" w:ascii="宋体" w:hAnsi="宋体"/>
          <w:bCs/>
          <w:color w:val="000000" w:themeColor="text1"/>
          <w:szCs w:val="21"/>
          <w:highlight w:val="none"/>
          <w:lang w:val="en-US" w:eastAsia="zh-CN"/>
          <w14:textFill>
            <w14:solidFill>
              <w14:schemeClr w14:val="tx1"/>
            </w14:solidFill>
          </w14:textFill>
        </w:rPr>
        <w:t xml:space="preserve">先生 </w:t>
      </w:r>
      <w:r>
        <w:rPr>
          <w:rFonts w:hint="eastAsia" w:ascii="宋体" w:hAnsi="宋体"/>
          <w:bCs/>
          <w:color w:val="000000" w:themeColor="text1"/>
          <w:szCs w:val="21"/>
          <w:highlight w:val="none"/>
          <w14:textFill>
            <w14:solidFill>
              <w14:schemeClr w14:val="tx1"/>
            </w14:solidFill>
          </w14:textFill>
        </w:rPr>
        <w:t>0769-</w:t>
      </w:r>
      <w:r>
        <w:rPr>
          <w:rFonts w:hint="eastAsia" w:ascii="宋体" w:hAnsi="宋体"/>
          <w:bCs/>
          <w:color w:val="000000" w:themeColor="text1"/>
          <w:szCs w:val="21"/>
          <w:highlight w:val="none"/>
          <w:lang w:val="en-US" w:eastAsia="zh-CN"/>
          <w14:textFill>
            <w14:solidFill>
              <w14:schemeClr w14:val="tx1"/>
            </w14:solidFill>
          </w14:textFill>
        </w:rPr>
        <w:t>86117500</w:t>
      </w:r>
    </w:p>
    <w:p w14:paraId="65CA57CE">
      <w:pPr>
        <w:pStyle w:val="13"/>
        <w:numPr>
          <w:ilvl w:val="0"/>
          <w:numId w:val="6"/>
        </w:numPr>
        <w:tabs>
          <w:tab w:val="left" w:pos="567"/>
        </w:tabs>
        <w:spacing w:line="360" w:lineRule="auto"/>
        <w:ind w:firstLineChars="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采购代理机构信息</w:t>
      </w:r>
    </w:p>
    <w:p w14:paraId="601B4F75">
      <w:pPr>
        <w:tabs>
          <w:tab w:val="left" w:pos="567"/>
        </w:tabs>
        <w:spacing w:line="360" w:lineRule="auto"/>
        <w:ind w:left="424" w:leftChars="202"/>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名    称：广东智汇城市招标采购有限公司</w:t>
      </w:r>
    </w:p>
    <w:p w14:paraId="5C8619DC">
      <w:pPr>
        <w:tabs>
          <w:tab w:val="left" w:pos="567"/>
        </w:tabs>
        <w:spacing w:line="360" w:lineRule="auto"/>
        <w:ind w:left="424" w:leftChars="202"/>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    址：东莞市南城街道雅园产业园区路5号1栋1楼</w:t>
      </w:r>
    </w:p>
    <w:p w14:paraId="073D7775">
      <w:pPr>
        <w:tabs>
          <w:tab w:val="left" w:pos="567"/>
        </w:tabs>
        <w:spacing w:line="360" w:lineRule="auto"/>
        <w:ind w:left="424" w:leftChars="202"/>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联系方式：0769-22367009</w:t>
      </w:r>
    </w:p>
    <w:p w14:paraId="5C1C7EC5">
      <w:pPr>
        <w:pStyle w:val="13"/>
        <w:numPr>
          <w:ilvl w:val="0"/>
          <w:numId w:val="6"/>
        </w:numPr>
        <w:tabs>
          <w:tab w:val="left" w:pos="567"/>
        </w:tabs>
        <w:spacing w:line="360" w:lineRule="auto"/>
        <w:ind w:firstLineChars="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项目联系方式</w:t>
      </w:r>
    </w:p>
    <w:p w14:paraId="4C383F68">
      <w:pPr>
        <w:tabs>
          <w:tab w:val="left" w:pos="567"/>
        </w:tabs>
        <w:spacing w:line="360" w:lineRule="auto"/>
        <w:ind w:left="283" w:leftChars="135" w:firstLine="142" w:firstLineChars="68"/>
        <w:rPr>
          <w:rFonts w:hint="default" w:asciiTheme="minorEastAsia" w:hAnsiTheme="minorEastAsia" w:eastAsia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项目联系人：</w:t>
      </w: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梁钰岚</w:t>
      </w:r>
    </w:p>
    <w:p w14:paraId="24E54B94">
      <w:pPr>
        <w:tabs>
          <w:tab w:val="left" w:pos="567"/>
        </w:tabs>
        <w:spacing w:line="360" w:lineRule="auto"/>
        <w:ind w:left="283" w:leftChars="135" w:firstLine="142" w:firstLineChars="68"/>
        <w:rPr>
          <w:rFonts w:asciiTheme="minorEastAsia" w:hAnsiTheme="minorEastAsia" w:eastAsiaTheme="minorEastAsia"/>
          <w:b/>
          <w:color w:val="auto"/>
          <w:szCs w:val="21"/>
          <w:highlight w:val="none"/>
        </w:rPr>
      </w:pPr>
      <w:r>
        <w:rPr>
          <w:rFonts w:hint="eastAsia" w:asciiTheme="minorEastAsia" w:hAnsiTheme="minorEastAsia" w:eastAsiaTheme="minorEastAsia"/>
          <w:bCs/>
          <w:color w:val="auto"/>
          <w:szCs w:val="21"/>
          <w:highlight w:val="none"/>
        </w:rPr>
        <w:t>电</w:t>
      </w:r>
      <w:r>
        <w:rPr>
          <w:rFonts w:hint="eastAsia" w:asciiTheme="minorEastAsia" w:hAnsiTheme="minorEastAsia" w:eastAsiaTheme="minorEastAsia"/>
          <w:bCs/>
          <w:color w:val="auto"/>
          <w:szCs w:val="21"/>
          <w:highlight w:val="none"/>
          <w:lang w:val="en-US" w:eastAsia="zh-CN"/>
        </w:rPr>
        <w:t xml:space="preserve">      </w:t>
      </w:r>
      <w:r>
        <w:rPr>
          <w:rFonts w:hint="eastAsia" w:asciiTheme="minorEastAsia" w:hAnsiTheme="minorEastAsia" w:eastAsiaTheme="minorEastAsia"/>
          <w:bCs/>
          <w:color w:val="auto"/>
          <w:szCs w:val="21"/>
          <w:highlight w:val="none"/>
        </w:rPr>
        <w:t>话：0769</w:t>
      </w:r>
      <w:r>
        <w:rPr>
          <w:rFonts w:hint="eastAsia" w:asciiTheme="minorEastAsia" w:hAnsiTheme="minorEastAsia" w:eastAsiaTheme="minorEastAsia"/>
          <w:bCs/>
          <w:color w:val="auto"/>
          <w:szCs w:val="21"/>
          <w:highlight w:val="none"/>
          <w:lang w:val="en-US" w:eastAsia="zh-CN"/>
        </w:rPr>
        <w:t>-</w:t>
      </w:r>
      <w:r>
        <w:rPr>
          <w:rFonts w:hint="eastAsia" w:asciiTheme="minorEastAsia" w:hAnsiTheme="minorEastAsia" w:eastAsiaTheme="minorEastAsia"/>
          <w:bCs/>
          <w:color w:val="auto"/>
          <w:szCs w:val="21"/>
          <w:highlight w:val="none"/>
        </w:rPr>
        <w:t>22367009</w:t>
      </w:r>
    </w:p>
    <w:p w14:paraId="0B913B98">
      <w:pPr>
        <w:tabs>
          <w:tab w:val="left" w:pos="567"/>
        </w:tabs>
        <w:spacing w:before="156" w:line="360" w:lineRule="auto"/>
        <w:rPr>
          <w:rFonts w:asciiTheme="minorEastAsia" w:hAnsiTheme="minorEastAsia" w:eastAsiaTheme="minorEastAsia"/>
          <w:b/>
          <w:color w:val="000000" w:themeColor="text1"/>
          <w:szCs w:val="21"/>
          <w:highlight w:val="none"/>
          <w14:textFill>
            <w14:solidFill>
              <w14:schemeClr w14:val="tx1"/>
            </w14:solidFill>
          </w14:textFill>
        </w:rPr>
      </w:pPr>
    </w:p>
    <w:p w14:paraId="5DA7ECFD">
      <w:pPr>
        <w:tabs>
          <w:tab w:val="left" w:pos="567"/>
        </w:tabs>
        <w:spacing w:before="840" w:line="360" w:lineRule="auto"/>
        <w:jc w:val="right"/>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发布人：广东智汇城市招标采购有限公司</w:t>
      </w:r>
    </w:p>
    <w:p w14:paraId="201BA6D3">
      <w:pPr>
        <w:keepNext w:val="0"/>
        <w:keepLines w:val="0"/>
        <w:pageBreakBefore w:val="0"/>
        <w:widowControl w:val="0"/>
        <w:tabs>
          <w:tab w:val="left" w:pos="567"/>
        </w:tabs>
        <w:kinsoku/>
        <w:wordWrap/>
        <w:overflowPunct/>
        <w:topLinePunct w:val="0"/>
        <w:autoSpaceDE/>
        <w:autoSpaceDN/>
        <w:bidi w:val="0"/>
        <w:adjustRightInd/>
        <w:snapToGrid/>
        <w:spacing w:before="156" w:line="360" w:lineRule="auto"/>
        <w:ind w:right="0"/>
        <w:jc w:val="right"/>
        <w:textAlignment w:val="auto"/>
        <w:rPr>
          <w:rFonts w:asciiTheme="minorEastAsia" w:hAnsiTheme="minorEastAsia" w:eastAsiaTheme="minorEastAsia"/>
          <w:highlight w:val="none"/>
        </w:rPr>
      </w:pPr>
      <w:r>
        <w:rPr>
          <w:rFonts w:hint="eastAsia" w:asciiTheme="minorEastAsia" w:hAnsiTheme="minorEastAsia" w:eastAsiaTheme="minorEastAsia"/>
          <w:b/>
          <w:color w:val="000000" w:themeColor="text1"/>
          <w:szCs w:val="21"/>
          <w:highlight w:val="none"/>
          <w14:textFill>
            <w14:solidFill>
              <w14:schemeClr w14:val="tx1"/>
            </w14:solidFill>
          </w14:textFill>
        </w:rPr>
        <w:t>发布时间：</w:t>
      </w: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2026</w:t>
      </w:r>
      <w:r>
        <w:rPr>
          <w:rFonts w:hint="eastAsia" w:asciiTheme="minorEastAsia" w:hAnsiTheme="minorEastAsia" w:eastAsiaTheme="minorEastAsia"/>
          <w:b/>
          <w:color w:val="000000" w:themeColor="text1"/>
          <w:szCs w:val="21"/>
          <w:highlight w:val="none"/>
          <w14:textFill>
            <w14:solidFill>
              <w14:schemeClr w14:val="tx1"/>
            </w14:solidFill>
          </w14:textFill>
        </w:rPr>
        <w:t>年</w:t>
      </w: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05</w:t>
      </w:r>
      <w:r>
        <w:rPr>
          <w:rFonts w:hint="eastAsia" w:asciiTheme="minorEastAsia" w:hAnsiTheme="minorEastAsia" w:eastAsiaTheme="minorEastAsia"/>
          <w:b/>
          <w:color w:val="000000" w:themeColor="text1"/>
          <w:szCs w:val="21"/>
          <w:highlight w:val="none"/>
          <w14:textFill>
            <w14:solidFill>
              <w14:schemeClr w14:val="tx1"/>
            </w14:solidFill>
          </w14:textFill>
        </w:rPr>
        <w:t>月</w:t>
      </w: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20</w:t>
      </w:r>
      <w:r>
        <w:rPr>
          <w:rFonts w:hint="eastAsia" w:asciiTheme="minorEastAsia" w:hAnsiTheme="minorEastAsia" w:eastAsiaTheme="minorEastAsia"/>
          <w:b/>
          <w:color w:val="000000" w:themeColor="text1"/>
          <w:szCs w:val="21"/>
          <w:highlight w:val="none"/>
          <w14:textFill>
            <w14:solidFill>
              <w14:schemeClr w14:val="tx1"/>
            </w14:solidFill>
          </w14:textFill>
        </w:rPr>
        <w:t>日</w:t>
      </w:r>
    </w:p>
    <w:bookmarkEnd w:id="2"/>
    <w:bookmarkEnd w:id="3"/>
    <w:p w14:paraId="2E37799C">
      <w:pPr>
        <w:pStyle w:val="3"/>
        <w:keepNext w:val="0"/>
        <w:keepLines w:val="0"/>
        <w:pageBreakBefore/>
        <w:spacing w:after="240" w:line="360" w:lineRule="auto"/>
        <w:jc w:val="center"/>
        <w:rPr>
          <w:rFonts w:asciiTheme="minorEastAsia" w:hAnsiTheme="minorEastAsia" w:eastAsiaTheme="minorEastAsia" w:cstheme="minorBidi"/>
          <w:b w:val="0"/>
          <w:bCs w:val="0"/>
          <w:color w:val="000000" w:themeColor="text1"/>
          <w:spacing w:val="20"/>
          <w:sz w:val="32"/>
          <w:szCs w:val="32"/>
          <w:highlight w:val="none"/>
          <w14:textFill>
            <w14:solidFill>
              <w14:schemeClr w14:val="tx1"/>
            </w14:solidFill>
          </w14:textFill>
        </w:rPr>
      </w:pPr>
      <w:bookmarkStart w:id="6" w:name="_Toc26560"/>
      <w:bookmarkStart w:id="7" w:name="_Toc90976500"/>
      <w:r>
        <w:rPr>
          <w:rFonts w:hint="eastAsia" w:asciiTheme="minorEastAsia" w:hAnsiTheme="minorEastAsia" w:eastAsiaTheme="minorEastAsia"/>
          <w:spacing w:val="20"/>
          <w:sz w:val="32"/>
          <w:szCs w:val="32"/>
          <w:highlight w:val="none"/>
        </w:rPr>
        <w:t>第二章</w:t>
      </w:r>
      <w:r>
        <w:rPr>
          <w:rFonts w:asciiTheme="minorEastAsia" w:hAnsiTheme="minorEastAsia" w:eastAsiaTheme="minorEastAsia"/>
          <w:spacing w:val="20"/>
          <w:sz w:val="32"/>
          <w:szCs w:val="32"/>
          <w:highlight w:val="none"/>
        </w:rPr>
        <w:t xml:space="preserve"> </w:t>
      </w:r>
      <w:r>
        <w:rPr>
          <w:rFonts w:hint="eastAsia" w:asciiTheme="minorEastAsia" w:hAnsiTheme="minorEastAsia" w:eastAsiaTheme="minorEastAsia"/>
          <w:spacing w:val="20"/>
          <w:sz w:val="32"/>
          <w:szCs w:val="32"/>
          <w:highlight w:val="none"/>
        </w:rPr>
        <w:t>采购需求</w:t>
      </w:r>
      <w:bookmarkEnd w:id="6"/>
      <w:bookmarkEnd w:id="7"/>
    </w:p>
    <w:p w14:paraId="7BB2AB82">
      <w:pPr>
        <w:snapToGrid w:val="0"/>
        <w:spacing w:line="360" w:lineRule="auto"/>
        <w:contextualSpacing/>
        <w:rPr>
          <w:rFonts w:hint="eastAsia" w:ascii="宋体" w:hAnsi="宋体" w:eastAsia="宋体" w:cs="宋体"/>
          <w:b/>
          <w:color w:val="auto"/>
          <w:szCs w:val="21"/>
          <w:highlight w:val="none"/>
        </w:rPr>
      </w:pPr>
      <w:bookmarkStart w:id="8" w:name="_Hlk90919605"/>
      <w:bookmarkStart w:id="9" w:name="_Toc16264"/>
      <w:r>
        <w:rPr>
          <w:rFonts w:hint="eastAsia" w:ascii="宋体" w:hAnsi="宋体" w:eastAsia="宋体" w:cs="宋体"/>
          <w:b/>
          <w:color w:val="auto"/>
          <w:szCs w:val="21"/>
          <w:highlight w:val="none"/>
        </w:rPr>
        <w:t>说明：</w:t>
      </w:r>
    </w:p>
    <w:p w14:paraId="5F5F7A64">
      <w:pPr>
        <w:pStyle w:val="13"/>
        <w:numPr>
          <w:ilvl w:val="0"/>
          <w:numId w:val="7"/>
        </w:numPr>
        <w:tabs>
          <w:tab w:val="left" w:pos="284"/>
        </w:tabs>
        <w:snapToGrid w:val="0"/>
        <w:spacing w:line="360" w:lineRule="auto"/>
        <w:ind w:left="284" w:hanging="284"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采购需求中标有“★”的地方均被视为重要的采购需求，投标人要特别加以注意，必须对此响应并完全满足这些要求，否则若有一项带“★”的要求未响应或不满足，将按无效投标处理。</w:t>
      </w:r>
    </w:p>
    <w:p w14:paraId="40C49EFF">
      <w:pPr>
        <w:pStyle w:val="13"/>
        <w:numPr>
          <w:ilvl w:val="0"/>
          <w:numId w:val="7"/>
        </w:numPr>
        <w:tabs>
          <w:tab w:val="left" w:pos="284"/>
        </w:tabs>
        <w:snapToGrid w:val="0"/>
        <w:spacing w:line="360" w:lineRule="auto"/>
        <w:ind w:left="284" w:hanging="284" w:firstLineChars="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投标报价中不得包含招标文件要求以外的内容，否则，在评标时不予核减。若投标报价有缺漏项的，缺漏项部分的价格视为已包含在投标报价中，中标后不作任何调整。</w:t>
      </w:r>
    </w:p>
    <w:p w14:paraId="5B2B2072">
      <w:pPr>
        <w:snapToGrid w:val="0"/>
        <w:spacing w:line="360" w:lineRule="auto"/>
        <w:contextualSpacing/>
        <w:rPr>
          <w:rFonts w:hint="eastAsia" w:ascii="宋体" w:hAnsi="宋体" w:eastAsia="宋体" w:cs="宋体"/>
          <w:color w:val="auto"/>
          <w:highlight w:val="none"/>
        </w:rPr>
      </w:pPr>
    </w:p>
    <w:p w14:paraId="52146E3C">
      <w:pPr>
        <w:pStyle w:val="13"/>
        <w:numPr>
          <w:ilvl w:val="0"/>
          <w:numId w:val="8"/>
        </w:numPr>
        <w:snapToGrid w:val="0"/>
        <w:spacing w:line="360" w:lineRule="auto"/>
        <w:ind w:left="442" w:hanging="442" w:firstLineChars="0"/>
        <w:contextualSpacing/>
        <w:rPr>
          <w:rFonts w:hint="eastAsia" w:ascii="宋体" w:hAnsi="宋体" w:eastAsia="宋体" w:cs="宋体"/>
          <w:color w:val="auto"/>
          <w:highlight w:val="none"/>
        </w:rPr>
      </w:pPr>
      <w:r>
        <w:rPr>
          <w:rFonts w:hint="eastAsia" w:ascii="宋体" w:hAnsi="宋体" w:eastAsia="宋体" w:cs="宋体"/>
          <w:b/>
          <w:bCs/>
          <w:color w:val="auto"/>
          <w:highlight w:val="none"/>
        </w:rPr>
        <w:t>项目概况</w:t>
      </w:r>
    </w:p>
    <w:p w14:paraId="5A4F1C84">
      <w:pPr>
        <w:pStyle w:val="13"/>
        <w:keepNext w:val="0"/>
        <w:keepLines w:val="0"/>
        <w:pageBreakBefore w:val="0"/>
        <w:widowControl w:val="0"/>
        <w:numPr>
          <w:ilvl w:val="0"/>
          <w:numId w:val="0"/>
        </w:numPr>
        <w:tabs>
          <w:tab w:val="left" w:pos="284"/>
        </w:tabs>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全面提升辖区病媒生物防制的规范化、专业化能力，有效预防和管控老鼠、苍蝇、蚊子、蟑螂等病媒生物滋生蔓延，减少各类病媒生物危害，切实降低传染病发生与传播风险。持续改善整体人居环境卫生，结合辖区实际情况，常态化开展全域除“四害”消杀和防控工作，全力守护公共卫生安全，不断提升居民生活环境与生活质量。</w:t>
      </w:r>
    </w:p>
    <w:p w14:paraId="74D5C637">
      <w:pPr>
        <w:pStyle w:val="13"/>
        <w:numPr>
          <w:ilvl w:val="0"/>
          <w:numId w:val="8"/>
        </w:numPr>
        <w:snapToGrid w:val="0"/>
        <w:spacing w:line="360" w:lineRule="auto"/>
        <w:ind w:left="442" w:hanging="442" w:firstLineChars="0"/>
        <w:contextualSpacing/>
        <w:rPr>
          <w:rFonts w:hint="eastAsia" w:ascii="宋体" w:hAnsi="宋体" w:eastAsia="宋体" w:cs="宋体"/>
          <w:b/>
          <w:color w:val="auto"/>
          <w:szCs w:val="21"/>
          <w:highlight w:val="none"/>
        </w:rPr>
      </w:pPr>
      <w:r>
        <w:rPr>
          <w:rFonts w:hint="eastAsia" w:ascii="宋体" w:hAnsi="宋体" w:eastAsia="宋体" w:cs="宋体"/>
          <w:b/>
          <w:bCs/>
          <w:color w:val="auto"/>
          <w:highlight w:val="none"/>
        </w:rPr>
        <w:t>采购标的</w:t>
      </w:r>
    </w:p>
    <w:p w14:paraId="482224B1">
      <w:pPr>
        <w:pStyle w:val="13"/>
        <w:numPr>
          <w:ilvl w:val="0"/>
          <w:numId w:val="9"/>
        </w:numPr>
        <w:snapToGrid w:val="0"/>
        <w:spacing w:line="360" w:lineRule="auto"/>
        <w:ind w:firstLineChars="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采购标的</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4467"/>
        <w:gridCol w:w="992"/>
        <w:gridCol w:w="977"/>
        <w:gridCol w:w="2199"/>
      </w:tblGrid>
      <w:tr w14:paraId="1B38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49" w:type="pct"/>
          </w:tcPr>
          <w:p w14:paraId="60E665C0">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序号</w:t>
            </w:r>
          </w:p>
        </w:tc>
        <w:tc>
          <w:tcPr>
            <w:tcW w:w="2405" w:type="pct"/>
          </w:tcPr>
          <w:p w14:paraId="01DA7396">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标的名称</w:t>
            </w:r>
          </w:p>
        </w:tc>
        <w:tc>
          <w:tcPr>
            <w:tcW w:w="534" w:type="pct"/>
          </w:tcPr>
          <w:p w14:paraId="3490E622">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单位</w:t>
            </w:r>
          </w:p>
        </w:tc>
        <w:tc>
          <w:tcPr>
            <w:tcW w:w="526" w:type="pct"/>
          </w:tcPr>
          <w:p w14:paraId="35D97960">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数量</w:t>
            </w:r>
          </w:p>
        </w:tc>
        <w:tc>
          <w:tcPr>
            <w:tcW w:w="1184" w:type="pct"/>
          </w:tcPr>
          <w:p w14:paraId="73122C3E">
            <w:pPr>
              <w:spacing w:line="360" w:lineRule="auto"/>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采购标的所属行业</w:t>
            </w:r>
          </w:p>
        </w:tc>
      </w:tr>
      <w:tr w14:paraId="7333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49" w:type="pct"/>
          </w:tcPr>
          <w:p w14:paraId="56467E9D">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2405" w:type="pct"/>
          </w:tcPr>
          <w:p w14:paraId="7E0F1F12">
            <w:pPr>
              <w:spacing w:line="360" w:lineRule="auto"/>
              <w:jc w:val="center"/>
              <w:rPr>
                <w:rFonts w:hint="eastAsia" w:ascii="宋体" w:hAnsi="宋体" w:eastAsia="宋体" w:cs="宋体"/>
                <w:bCs/>
                <w:color w:val="auto"/>
                <w:szCs w:val="21"/>
                <w:highlight w:val="none"/>
              </w:rPr>
            </w:pPr>
            <w:r>
              <w:rPr>
                <w:rFonts w:hint="eastAsia" w:asciiTheme="minorEastAsia" w:hAnsiTheme="minorEastAsia" w:eastAsiaTheme="minorEastAsia"/>
                <w:color w:val="000000" w:themeColor="text1"/>
                <w:szCs w:val="21"/>
                <w:highlight w:val="none"/>
                <w:lang w:eastAsia="zh-CN"/>
                <w14:textFill>
                  <w14:solidFill>
                    <w14:schemeClr w14:val="tx1"/>
                  </w14:solidFill>
                </w14:textFill>
              </w:rPr>
              <w:t>“四害”消杀防控服务</w:t>
            </w:r>
          </w:p>
        </w:tc>
        <w:tc>
          <w:tcPr>
            <w:tcW w:w="534" w:type="pct"/>
          </w:tcPr>
          <w:p w14:paraId="28F8860E">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项</w:t>
            </w:r>
          </w:p>
        </w:tc>
        <w:tc>
          <w:tcPr>
            <w:tcW w:w="526" w:type="pct"/>
          </w:tcPr>
          <w:p w14:paraId="613B9B74">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1184" w:type="pct"/>
          </w:tcPr>
          <w:p w14:paraId="46C79F36">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其他未列明行业</w:t>
            </w:r>
          </w:p>
        </w:tc>
      </w:tr>
    </w:tbl>
    <w:p w14:paraId="6804A152">
      <w:pPr>
        <w:pStyle w:val="13"/>
        <w:numPr>
          <w:ilvl w:val="0"/>
          <w:numId w:val="8"/>
        </w:numPr>
        <w:snapToGrid w:val="0"/>
        <w:spacing w:before="217" w:beforeLines="50" w:line="360" w:lineRule="auto"/>
        <w:ind w:left="442" w:hanging="442" w:firstLineChars="0"/>
        <w:contextualSpacing/>
        <w:rPr>
          <w:rFonts w:hint="eastAsia" w:ascii="宋体" w:hAnsi="宋体" w:eastAsia="宋体" w:cs="宋体"/>
          <w:b/>
          <w:color w:val="auto"/>
          <w:szCs w:val="21"/>
          <w:highlight w:val="none"/>
        </w:rPr>
      </w:pPr>
      <w:r>
        <w:rPr>
          <w:rFonts w:hint="eastAsia" w:ascii="宋体" w:hAnsi="宋体" w:eastAsia="宋体" w:cs="宋体"/>
          <w:b/>
          <w:bCs/>
          <w:color w:val="auto"/>
          <w:highlight w:val="none"/>
        </w:rPr>
        <w:t>商务要求</w:t>
      </w:r>
    </w:p>
    <w:p w14:paraId="764C1EE5">
      <w:pPr>
        <w:pStyle w:val="13"/>
        <w:numPr>
          <w:ilvl w:val="0"/>
          <w:numId w:val="10"/>
        </w:numPr>
        <w:snapToGrid w:val="0"/>
        <w:spacing w:line="360" w:lineRule="auto"/>
        <w:ind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服务时间</w:t>
      </w:r>
      <w:r>
        <w:rPr>
          <w:rFonts w:hint="eastAsia" w:ascii="宋体" w:hAnsi="宋体" w:eastAsia="宋体" w:cs="宋体"/>
          <w:iCs/>
          <w:color w:val="auto"/>
          <w:szCs w:val="21"/>
          <w:highlight w:val="none"/>
          <w:lang w:eastAsia="zh-CN"/>
        </w:rPr>
        <w:t>：一年期，（具体起止时间合同签订时确定）。</w:t>
      </w:r>
    </w:p>
    <w:p w14:paraId="69E2EE01">
      <w:pPr>
        <w:pStyle w:val="13"/>
        <w:numPr>
          <w:ilvl w:val="0"/>
          <w:numId w:val="10"/>
        </w:numPr>
        <w:snapToGrid w:val="0"/>
        <w:spacing w:line="360" w:lineRule="auto"/>
        <w:ind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服务地点</w:t>
      </w:r>
      <w:r>
        <w:rPr>
          <w:rFonts w:hint="eastAsia" w:ascii="宋体" w:hAnsi="宋体" w:eastAsia="宋体" w:cs="宋体"/>
          <w:iCs/>
          <w:color w:val="auto"/>
          <w:szCs w:val="21"/>
          <w:highlight w:val="none"/>
          <w:lang w:eastAsia="zh-CN"/>
        </w:rPr>
        <w:t>：</w:t>
      </w:r>
      <w:r>
        <w:rPr>
          <w:rFonts w:hint="eastAsia" w:ascii="宋体" w:hAnsi="宋体" w:eastAsia="宋体" w:cs="宋体"/>
          <w:bCs/>
          <w:color w:val="auto"/>
          <w:szCs w:val="21"/>
          <w:highlight w:val="none"/>
          <w:lang w:eastAsia="zh-CN"/>
        </w:rPr>
        <w:t>东莞市石龙镇</w:t>
      </w:r>
      <w:r>
        <w:rPr>
          <w:rFonts w:hint="eastAsia" w:ascii="宋体" w:hAnsi="宋体" w:cs="宋体"/>
          <w:bCs/>
          <w:color w:val="auto"/>
          <w:szCs w:val="21"/>
          <w:highlight w:val="none"/>
          <w:lang w:val="en-US" w:eastAsia="zh-CN"/>
        </w:rPr>
        <w:t>卫生健康局</w:t>
      </w:r>
      <w:r>
        <w:rPr>
          <w:rFonts w:hint="eastAsia" w:ascii="宋体" w:hAnsi="宋体" w:eastAsia="宋体" w:cs="宋体"/>
          <w:bCs/>
          <w:color w:val="auto"/>
          <w:szCs w:val="21"/>
          <w:highlight w:val="none"/>
          <w:lang w:val="en-US" w:eastAsia="zh-CN"/>
        </w:rPr>
        <w:t>或采购人指定地点。</w:t>
      </w:r>
    </w:p>
    <w:p w14:paraId="4995EB56">
      <w:pPr>
        <w:pStyle w:val="13"/>
        <w:numPr>
          <w:ilvl w:val="0"/>
          <w:numId w:val="10"/>
        </w:numPr>
        <w:snapToGrid w:val="0"/>
        <w:spacing w:line="360" w:lineRule="auto"/>
        <w:ind w:firstLineChars="0"/>
        <w:contextualSpacing/>
        <w:rPr>
          <w:rFonts w:hint="eastAsia" w:ascii="宋体" w:hAnsi="宋体" w:eastAsia="宋体" w:cs="宋体"/>
          <w:iCs/>
          <w:color w:val="auto"/>
          <w:szCs w:val="21"/>
          <w:highlight w:val="none"/>
          <w:lang w:eastAsia="zh-CN"/>
        </w:rPr>
      </w:pPr>
      <w:r>
        <w:rPr>
          <w:rFonts w:hint="eastAsia" w:ascii="宋体" w:hAnsi="宋体" w:eastAsia="宋体" w:cs="宋体"/>
          <w:iCs/>
          <w:color w:val="auto"/>
          <w:szCs w:val="21"/>
          <w:highlight w:val="none"/>
        </w:rPr>
        <w:t>付款</w:t>
      </w:r>
      <w:r>
        <w:rPr>
          <w:rFonts w:hint="eastAsia" w:ascii="宋体" w:hAnsi="宋体" w:eastAsia="宋体" w:cs="宋体"/>
          <w:iCs/>
          <w:color w:val="auto"/>
          <w:szCs w:val="21"/>
          <w:highlight w:val="none"/>
          <w:lang w:val="en-US" w:eastAsia="zh-CN"/>
        </w:rPr>
        <w:t>方式</w:t>
      </w:r>
      <w:r>
        <w:rPr>
          <w:rFonts w:hint="eastAsia" w:ascii="宋体" w:hAnsi="宋体" w:eastAsia="宋体" w:cs="宋体"/>
          <w:iCs/>
          <w:color w:val="auto"/>
          <w:szCs w:val="21"/>
          <w:highlight w:val="none"/>
          <w:lang w:eastAsia="zh-CN"/>
        </w:rPr>
        <w:t>：</w:t>
      </w:r>
    </w:p>
    <w:p w14:paraId="6C967E81">
      <w:pPr>
        <w:pStyle w:val="13"/>
        <w:numPr>
          <w:ilvl w:val="0"/>
          <w:numId w:val="11"/>
        </w:numPr>
        <w:snapToGrid w:val="0"/>
        <w:spacing w:line="360" w:lineRule="auto"/>
        <w:ind w:left="425" w:leftChars="0" w:hanging="425" w:firstLineChars="0"/>
        <w:contextualSpacing/>
        <w:rPr>
          <w:rFonts w:hint="eastAsia" w:ascii="宋体" w:hAnsi="宋体" w:eastAsia="宋体" w:cs="宋体"/>
          <w:iCs/>
          <w:color w:val="auto"/>
          <w:szCs w:val="21"/>
          <w:highlight w:val="none"/>
          <w:lang w:eastAsia="zh-CN"/>
        </w:rPr>
      </w:pPr>
      <w:r>
        <w:rPr>
          <w:rFonts w:hint="eastAsia" w:ascii="宋体" w:hAnsi="宋体" w:eastAsia="宋体" w:cs="宋体"/>
          <w:iCs/>
          <w:color w:val="auto"/>
          <w:szCs w:val="21"/>
          <w:highlight w:val="none"/>
          <w:lang w:val="en-US" w:eastAsia="zh-CN"/>
        </w:rPr>
        <w:t>本项目服务费按月支付，</w:t>
      </w:r>
      <w:r>
        <w:rPr>
          <w:rFonts w:hint="eastAsia" w:ascii="宋体" w:hAnsi="宋体" w:cs="宋体"/>
          <w:iCs/>
          <w:color w:val="auto"/>
          <w:szCs w:val="21"/>
          <w:highlight w:val="none"/>
          <w:lang w:val="en-US" w:eastAsia="zh-CN"/>
        </w:rPr>
        <w:t>月度总价</w:t>
      </w:r>
      <w:r>
        <w:rPr>
          <w:rFonts w:hint="eastAsia" w:ascii="宋体" w:hAnsi="宋体" w:eastAsia="宋体" w:cs="宋体"/>
          <w:iCs/>
          <w:color w:val="auto"/>
          <w:szCs w:val="21"/>
          <w:highlight w:val="none"/>
          <w:lang w:val="en-US" w:eastAsia="zh-CN"/>
        </w:rPr>
        <w:t>＝成交总价÷12个月。成交供应商</w:t>
      </w:r>
      <w:r>
        <w:rPr>
          <w:rFonts w:hint="eastAsia" w:ascii="宋体" w:hAnsi="宋体" w:cs="宋体"/>
          <w:iCs/>
          <w:color w:val="auto"/>
          <w:szCs w:val="21"/>
          <w:highlight w:val="none"/>
          <w:lang w:val="en-US" w:eastAsia="zh-CN"/>
        </w:rPr>
        <w:t>在</w:t>
      </w:r>
      <w:r>
        <w:rPr>
          <w:rFonts w:hint="eastAsia" w:asciiTheme="minorEastAsia" w:hAnsiTheme="minorEastAsia"/>
          <w:iCs/>
          <w:color w:val="000000" w:themeColor="text1"/>
          <w:szCs w:val="21"/>
          <w:highlight w:val="none"/>
          <w:lang w:val="en-US" w:eastAsia="zh-CN"/>
          <w14:textFill>
            <w14:solidFill>
              <w14:schemeClr w14:val="tx1"/>
            </w14:solidFill>
          </w14:textFill>
        </w:rPr>
        <w:t>每月5日前</w:t>
      </w:r>
      <w:r>
        <w:rPr>
          <w:rFonts w:hint="eastAsia" w:ascii="宋体" w:hAnsi="宋体" w:eastAsia="宋体" w:cs="宋体"/>
          <w:iCs/>
          <w:color w:val="auto"/>
          <w:szCs w:val="21"/>
          <w:highlight w:val="none"/>
          <w:lang w:eastAsia="zh-CN"/>
        </w:rPr>
        <w:t>须凭等额、合规的有效增值税发票及经采购人确认的上一月度《石龙镇病媒生物防制考核评分表》与采购人结算，采购人按附件1：《石龙镇病媒生物防制考核评分表》规定扣减相应服务费后予以支付。</w:t>
      </w:r>
    </w:p>
    <w:p w14:paraId="62734CF9">
      <w:pPr>
        <w:pStyle w:val="13"/>
        <w:numPr>
          <w:ilvl w:val="0"/>
          <w:numId w:val="11"/>
        </w:numPr>
        <w:snapToGrid w:val="0"/>
        <w:spacing w:line="360" w:lineRule="auto"/>
        <w:ind w:left="425" w:leftChars="0" w:hanging="425" w:firstLineChars="0"/>
        <w:contextualSpacing/>
        <w:rPr>
          <w:rFonts w:hint="eastAsia" w:ascii="宋体" w:hAnsi="宋体" w:eastAsia="宋体" w:cs="宋体"/>
          <w:iCs/>
          <w:color w:val="auto"/>
          <w:szCs w:val="21"/>
          <w:highlight w:val="none"/>
          <w:lang w:eastAsia="zh-CN"/>
        </w:rPr>
      </w:pPr>
      <w:r>
        <w:rPr>
          <w:rFonts w:hint="eastAsia" w:ascii="宋体" w:hAnsi="宋体" w:eastAsia="宋体" w:cs="宋体"/>
          <w:iCs/>
          <w:color w:val="auto"/>
          <w:szCs w:val="21"/>
          <w:highlight w:val="none"/>
          <w:lang w:eastAsia="zh-CN"/>
        </w:rPr>
        <w:t>采购人自收到发票之日起10个工作日内办理财政支付手续（不含政府财政支付部门审核的时间），在规定时间内提出支付申请手续后即视为采购人已经按期支付。</w:t>
      </w:r>
    </w:p>
    <w:p w14:paraId="7AA26D79">
      <w:pPr>
        <w:keepNext w:val="0"/>
        <w:keepLines w:val="0"/>
        <w:pageBreakBefore w:val="0"/>
        <w:widowControl w:val="0"/>
        <w:numPr>
          <w:ilvl w:val="0"/>
          <w:numId w:val="0"/>
        </w:numPr>
        <w:tabs>
          <w:tab w:val="left" w:pos="284"/>
        </w:tabs>
        <w:kinsoku/>
        <w:wordWrap/>
        <w:overflowPunct/>
        <w:topLinePunct w:val="0"/>
        <w:autoSpaceDE/>
        <w:autoSpaceDN/>
        <w:bidi w:val="0"/>
        <w:adjustRightInd/>
        <w:snapToGrid w:val="0"/>
        <w:spacing w:line="360" w:lineRule="auto"/>
        <w:ind w:left="420" w:leftChars="0" w:hanging="420" w:hangingChars="200"/>
        <w:contextualSpacing/>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注：因采购单位使用的是财政资金，采购单位在前款规定的付款时间为向政府采购支付部门提出办理财政支付申请手续的时间（不含财政支付部门及政府相关部门的审批时间），采购单位在规定时间内提出支付申请手续后，因财政审批流程导致的支付延迟，采购单位不承担逾期付款违约金。因成交单位资料不全或不符合要求导致支付延迟的，由成交单位自行承担责任。</w:t>
      </w:r>
    </w:p>
    <w:p w14:paraId="4738A282">
      <w:pPr>
        <w:keepNext w:val="0"/>
        <w:keepLines w:val="0"/>
        <w:pageBreakBefore w:val="0"/>
        <w:widowControl w:val="0"/>
        <w:numPr>
          <w:ilvl w:val="0"/>
          <w:numId w:val="0"/>
        </w:numPr>
        <w:tabs>
          <w:tab w:val="left" w:pos="284"/>
        </w:tabs>
        <w:kinsoku/>
        <w:wordWrap/>
        <w:overflowPunct/>
        <w:topLinePunct w:val="0"/>
        <w:autoSpaceDE/>
        <w:autoSpaceDN/>
        <w:bidi w:val="0"/>
        <w:adjustRightInd/>
        <w:snapToGrid w:val="0"/>
        <w:spacing w:line="360" w:lineRule="auto"/>
        <w:contextualSpacing/>
        <w:textAlignment w:val="auto"/>
        <w:rPr>
          <w:rFonts w:hint="eastAsia" w:ascii="宋体" w:hAnsi="宋体" w:eastAsia="宋体" w:cs="宋体"/>
          <w:iCs/>
          <w:color w:val="auto"/>
          <w:szCs w:val="21"/>
          <w:highlight w:val="none"/>
          <w:lang w:eastAsia="zh-CN"/>
        </w:rPr>
      </w:pPr>
    </w:p>
    <w:p w14:paraId="4DFF0E11">
      <w:pPr>
        <w:pStyle w:val="13"/>
        <w:numPr>
          <w:ilvl w:val="0"/>
          <w:numId w:val="10"/>
        </w:numPr>
        <w:snapToGrid w:val="0"/>
        <w:spacing w:line="360" w:lineRule="auto"/>
        <w:ind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报价要求：</w:t>
      </w:r>
    </w:p>
    <w:p w14:paraId="53C7C8F8">
      <w:pPr>
        <w:pStyle w:val="13"/>
        <w:numPr>
          <w:ilvl w:val="0"/>
          <w:numId w:val="12"/>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cs="宋体"/>
          <w:iCs/>
          <w:color w:val="auto"/>
          <w:szCs w:val="21"/>
          <w:highlight w:val="none"/>
          <w:lang w:val="en-US" w:eastAsia="zh-CN"/>
        </w:rPr>
        <w:t>本项目</w:t>
      </w:r>
      <w:r>
        <w:rPr>
          <w:rFonts w:hint="eastAsia" w:ascii="宋体" w:hAnsi="宋体" w:eastAsia="宋体" w:cs="宋体"/>
          <w:iCs/>
          <w:color w:val="auto"/>
          <w:szCs w:val="21"/>
          <w:highlight w:val="none"/>
        </w:rPr>
        <w:t>应采用</w:t>
      </w:r>
      <w:r>
        <w:rPr>
          <w:rFonts w:hint="eastAsia" w:ascii="宋体" w:hAnsi="宋体" w:cs="宋体"/>
          <w:iCs/>
          <w:color w:val="auto"/>
          <w:szCs w:val="21"/>
          <w:highlight w:val="none"/>
          <w:lang w:val="en-US" w:eastAsia="zh-CN"/>
        </w:rPr>
        <w:t>总价</w:t>
      </w:r>
      <w:r>
        <w:rPr>
          <w:rFonts w:hint="eastAsia" w:ascii="宋体" w:hAnsi="宋体" w:eastAsia="宋体" w:cs="宋体"/>
          <w:iCs/>
          <w:color w:val="auto"/>
          <w:szCs w:val="21"/>
          <w:highlight w:val="none"/>
        </w:rPr>
        <w:t>报价</w:t>
      </w:r>
      <w:r>
        <w:rPr>
          <w:rFonts w:hint="eastAsia" w:ascii="宋体" w:hAnsi="宋体" w:eastAsia="宋体" w:cs="宋体"/>
          <w:iCs/>
          <w:color w:val="auto"/>
          <w:szCs w:val="21"/>
          <w:highlight w:val="none"/>
          <w:lang w:eastAsia="zh-CN"/>
        </w:rPr>
        <w:t>。</w:t>
      </w:r>
    </w:p>
    <w:p w14:paraId="04298C47">
      <w:pPr>
        <w:pStyle w:val="13"/>
        <w:numPr>
          <w:ilvl w:val="0"/>
          <w:numId w:val="12"/>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报价内容包括但不限于为完成本项目全部服务内容所需的一切费用，具体应包含：服务人员的工资、五险、福利、加班费、管理费用、相关用具及药物的使用费用、设备折旧费等项目履约的一切费用及其税费。</w:t>
      </w:r>
    </w:p>
    <w:p w14:paraId="24CFFF95">
      <w:pPr>
        <w:pStyle w:val="13"/>
        <w:numPr>
          <w:ilvl w:val="0"/>
          <w:numId w:val="10"/>
        </w:numPr>
        <w:snapToGrid w:val="0"/>
        <w:spacing w:line="360" w:lineRule="auto"/>
        <w:ind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验收标准：</w:t>
      </w:r>
    </w:p>
    <w:p w14:paraId="5656762F">
      <w:pPr>
        <w:pStyle w:val="13"/>
        <w:numPr>
          <w:ilvl w:val="0"/>
          <w:numId w:val="13"/>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验收工作由采购人（或采购人指定的单位）和</w:t>
      </w: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szCs w:val="21"/>
          <w:highlight w:val="none"/>
        </w:rPr>
        <w:t>共同进行。</w:t>
      </w:r>
    </w:p>
    <w:p w14:paraId="412ECB4C">
      <w:pPr>
        <w:pStyle w:val="13"/>
        <w:numPr>
          <w:ilvl w:val="0"/>
          <w:numId w:val="13"/>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验收阶段，</w:t>
      </w: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szCs w:val="21"/>
          <w:highlight w:val="none"/>
        </w:rPr>
        <w:t>须向采购人提供验收所需相关资料（如有），并严格按照采购人指定的验收方式，配合完成全部验收工作。</w:t>
      </w:r>
    </w:p>
    <w:p w14:paraId="3299F822">
      <w:pPr>
        <w:pStyle w:val="13"/>
        <w:numPr>
          <w:ilvl w:val="0"/>
          <w:numId w:val="13"/>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由采购人对服务的质量及其他进行检验。如发现质量和</w:t>
      </w:r>
      <w:r>
        <w:rPr>
          <w:rFonts w:hint="eastAsia" w:ascii="宋体" w:hAnsi="宋体" w:eastAsia="宋体" w:cs="宋体"/>
          <w:iCs/>
          <w:color w:val="auto"/>
          <w:szCs w:val="21"/>
          <w:highlight w:val="none"/>
          <w:lang w:val="en-US" w:eastAsia="zh-CN"/>
        </w:rPr>
        <w:t>其他</w:t>
      </w:r>
      <w:r>
        <w:rPr>
          <w:rFonts w:hint="eastAsia" w:ascii="宋体" w:hAnsi="宋体" w:eastAsia="宋体" w:cs="宋体"/>
          <w:iCs/>
          <w:color w:val="auto"/>
          <w:szCs w:val="21"/>
          <w:highlight w:val="none"/>
        </w:rPr>
        <w:t>等任何一项与采购要求规定不符，采购人有权拒绝接受。</w:t>
      </w:r>
    </w:p>
    <w:p w14:paraId="7DD2334D">
      <w:pPr>
        <w:pStyle w:val="13"/>
        <w:numPr>
          <w:ilvl w:val="0"/>
          <w:numId w:val="8"/>
        </w:numPr>
        <w:snapToGrid w:val="0"/>
        <w:spacing w:before="217" w:beforeLines="50" w:line="360" w:lineRule="auto"/>
        <w:ind w:left="442" w:hanging="442" w:firstLineChars="0"/>
        <w:contextualSpacing/>
        <w:rPr>
          <w:rFonts w:hint="eastAsia" w:ascii="宋体" w:hAnsi="宋体" w:eastAsia="宋体" w:cs="宋体"/>
          <w:iCs/>
          <w:color w:val="auto"/>
          <w:szCs w:val="21"/>
          <w:highlight w:val="none"/>
        </w:rPr>
      </w:pPr>
      <w:r>
        <w:rPr>
          <w:rFonts w:hint="eastAsia" w:ascii="宋体" w:hAnsi="宋体" w:eastAsia="宋体" w:cs="宋体"/>
          <w:b/>
          <w:bCs/>
          <w:color w:val="auto"/>
          <w:highlight w:val="none"/>
        </w:rPr>
        <w:t>技术要求</w:t>
      </w:r>
    </w:p>
    <w:p w14:paraId="59B4E9B1">
      <w:pPr>
        <w:pStyle w:val="13"/>
        <w:numPr>
          <w:ilvl w:val="0"/>
          <w:numId w:val="0"/>
        </w:numPr>
        <w:snapToGrid w:val="0"/>
        <w:spacing w:line="360" w:lineRule="auto"/>
        <w:ind w:left="420" w:leftChars="0" w:hanging="420" w:firstLineChars="0"/>
        <w:contextualSpacing/>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Cs w:val="21"/>
          <w:highlight w:val="none"/>
          <w:lang w:val="en-US" w:eastAsia="zh-CN"/>
        </w:rPr>
        <w:t>除</w:t>
      </w:r>
      <w:r>
        <w:rPr>
          <w:rFonts w:hint="eastAsia" w:ascii="宋体" w:hAnsi="宋体" w:eastAsia="宋体" w:cs="宋体"/>
          <w:iCs/>
          <w:color w:val="auto"/>
          <w:szCs w:val="21"/>
          <w:highlight w:val="none"/>
          <w:lang w:eastAsia="zh-CN"/>
        </w:rPr>
        <w:t>“四害”</w:t>
      </w:r>
      <w:r>
        <w:rPr>
          <w:rFonts w:hint="eastAsia" w:ascii="宋体" w:hAnsi="宋体" w:eastAsia="宋体" w:cs="宋体"/>
          <w:color w:val="auto"/>
          <w:szCs w:val="21"/>
          <w:highlight w:val="none"/>
          <w:lang w:val="en-US" w:eastAsia="zh-CN"/>
        </w:rPr>
        <w:t>服务范围</w:t>
      </w:r>
    </w:p>
    <w:p w14:paraId="7C20B266">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lang w:val="en-US" w:eastAsia="zh-CN"/>
        </w:rPr>
        <w:t>石龙镇辖区内的公共区域，覆盖主次干道、背街小巷、排水明沟、公共绿化带、河岸周边、非盈利性公益场所（如：公厕、垃圾压缩站、垃圾转运站等）等市政公共区域，包括但不限于5处公园、2处广场、5座垃圾中转站、32处公厕周边及7处农贸市场周边（不含室内的经营商户），总覆盖面积约180万平方米（不含物业小区及村（社区）非公共区域）。</w:t>
      </w:r>
    </w:p>
    <w:p w14:paraId="308773A7">
      <w:pPr>
        <w:pStyle w:val="13"/>
        <w:numPr>
          <w:ilvl w:val="0"/>
          <w:numId w:val="0"/>
        </w:numPr>
        <w:snapToGrid w:val="0"/>
        <w:spacing w:line="360" w:lineRule="auto"/>
        <w:ind w:left="420" w:leftChars="0" w:hanging="420" w:firstLineChars="0"/>
        <w:contextualSpacing/>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Cs w:val="21"/>
          <w:highlight w:val="none"/>
          <w:lang w:val="en-US" w:eastAsia="zh-CN"/>
        </w:rPr>
        <w:t>服务内容</w:t>
      </w:r>
    </w:p>
    <w:p w14:paraId="190C34E4">
      <w:pPr>
        <w:pStyle w:val="13"/>
        <w:numPr>
          <w:ilvl w:val="0"/>
          <w:numId w:val="14"/>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物理防制</w:t>
      </w:r>
    </w:p>
    <w:p w14:paraId="4C1F680A">
      <w:pPr>
        <w:pStyle w:val="13"/>
        <w:numPr>
          <w:ilvl w:val="0"/>
          <w:numId w:val="1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毒饵站建设与维护：在公共外环境围墙边、绿化带侧建设长效毒饵站，特别针对背街小巷进行加密布放。定期检查、更换鼠药，清理死鼠。</w:t>
      </w:r>
    </w:p>
    <w:p w14:paraId="023AC74A">
      <w:pPr>
        <w:pStyle w:val="13"/>
        <w:numPr>
          <w:ilvl w:val="0"/>
          <w:numId w:val="1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防蚊闸/防鼠网安装：排查室内外所有积水点、蚊虫孳生地、全面清积水、清理杂物，重点公共区域下水道井口安装三防闸。</w:t>
      </w:r>
    </w:p>
    <w:p w14:paraId="7F5ACFBC">
      <w:pPr>
        <w:pStyle w:val="13"/>
        <w:numPr>
          <w:ilvl w:val="0"/>
          <w:numId w:val="1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诱蝇笼设置：在公园公厕周边、垃圾收集点附近悬挂诱蝇笼，定期清理更换。</w:t>
      </w:r>
    </w:p>
    <w:p w14:paraId="0EFEA2BE">
      <w:pPr>
        <w:pStyle w:val="13"/>
        <w:numPr>
          <w:ilvl w:val="0"/>
          <w:numId w:val="16"/>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化学消杀</w:t>
      </w:r>
    </w:p>
    <w:p w14:paraId="453FEC55">
      <w:pPr>
        <w:pStyle w:val="13"/>
        <w:numPr>
          <w:ilvl w:val="0"/>
          <w:numId w:val="17"/>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常态化消杀</w:t>
      </w:r>
    </w:p>
    <w:p w14:paraId="00EAE2F1">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服务期每月施药根据上级部门要求开展；灭鼠、灭蝇、灭蟑，每月消杀四次。其中灭蚊方面，根据《东莞市爱国卫生运动和蚊媒传染病防控长效机制实施方案》，每年12月至次年3月，每月消杀不低于一次；每年4至5月，每月消杀不低于四次；每年6至11月，每月消杀不低于八次。</w:t>
      </w:r>
      <w:r>
        <w:rPr>
          <w:rFonts w:hint="default" w:ascii="宋体" w:hAnsi="宋体" w:cs="宋体"/>
          <w:iCs/>
          <w:color w:val="auto"/>
          <w:szCs w:val="21"/>
          <w:highlight w:val="none"/>
        </w:rPr>
        <w:t>确保服务区域内病媒生物密度达到国家C级及以上标准</w:t>
      </w:r>
      <w:r>
        <w:rPr>
          <w:rFonts w:hint="eastAsia" w:ascii="宋体" w:hAnsi="宋体" w:cs="宋体"/>
          <w:iCs/>
          <w:color w:val="auto"/>
          <w:szCs w:val="21"/>
          <w:highlight w:val="none"/>
          <w:lang w:eastAsia="zh-CN"/>
        </w:rPr>
        <w:t>。</w:t>
      </w:r>
    </w:p>
    <w:p w14:paraId="3A375049">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在迎接国检和卫检期间，适当加派人员集中消杀，力求减少“四害”密度。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417"/>
        <w:gridCol w:w="4678"/>
        <w:gridCol w:w="1782"/>
      </w:tblGrid>
      <w:tr w14:paraId="3053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14:paraId="68321AB5">
            <w:pPr>
              <w:keepNext w:val="0"/>
              <w:keepLines w:val="0"/>
              <w:pageBreakBefore w:val="0"/>
              <w:widowControl/>
              <w:kinsoku/>
              <w:wordWrap/>
              <w:overflowPunct/>
              <w:topLinePunct w:val="0"/>
              <w:bidi w:val="0"/>
              <w:spacing w:line="600" w:lineRule="exac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序号</w:t>
            </w:r>
          </w:p>
        </w:tc>
        <w:tc>
          <w:tcPr>
            <w:tcW w:w="1417" w:type="dxa"/>
            <w:vAlign w:val="center"/>
          </w:tcPr>
          <w:p w14:paraId="1D40C3CA">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服务项目</w:t>
            </w:r>
          </w:p>
        </w:tc>
        <w:tc>
          <w:tcPr>
            <w:tcW w:w="4678" w:type="dxa"/>
            <w:vAlign w:val="center"/>
          </w:tcPr>
          <w:p w14:paraId="5F733F52">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服务内容</w:t>
            </w:r>
          </w:p>
        </w:tc>
        <w:tc>
          <w:tcPr>
            <w:tcW w:w="1782" w:type="dxa"/>
            <w:vAlign w:val="center"/>
          </w:tcPr>
          <w:p w14:paraId="1B612710">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服务要求</w:t>
            </w:r>
          </w:p>
        </w:tc>
      </w:tr>
      <w:tr w14:paraId="73FE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14:paraId="753786D5">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p>
        </w:tc>
        <w:tc>
          <w:tcPr>
            <w:tcW w:w="1417" w:type="dxa"/>
            <w:vMerge w:val="restart"/>
            <w:vAlign w:val="center"/>
          </w:tcPr>
          <w:p w14:paraId="2AF18908">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灭鼠</w:t>
            </w:r>
          </w:p>
        </w:tc>
        <w:tc>
          <w:tcPr>
            <w:tcW w:w="4678" w:type="dxa"/>
            <w:vAlign w:val="center"/>
          </w:tcPr>
          <w:p w14:paraId="0DAAB50B">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每月全面对公共环境和扩大覆盖面范围投放灭鼠药，做好相关警示标识。</w:t>
            </w:r>
          </w:p>
        </w:tc>
        <w:tc>
          <w:tcPr>
            <w:tcW w:w="1782" w:type="dxa"/>
            <w:vAlign w:val="center"/>
          </w:tcPr>
          <w:p w14:paraId="148B8CAF">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09F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4E946B6D">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0B8291CA">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6F613F51">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公共环境每月检查鼠迹，发现鼠迹立即清理并及时按常规投放和补充毒饵。</w:t>
            </w:r>
          </w:p>
        </w:tc>
        <w:tc>
          <w:tcPr>
            <w:tcW w:w="1782" w:type="dxa"/>
            <w:vAlign w:val="center"/>
          </w:tcPr>
          <w:p w14:paraId="62C8948A">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18AA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010CB282">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3590E0CD">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674D7A5D">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单位灭鼠须安装鼠屋，按常规投药和补投药，做好相关警示标识。</w:t>
            </w:r>
          </w:p>
        </w:tc>
        <w:tc>
          <w:tcPr>
            <w:tcW w:w="1782" w:type="dxa"/>
            <w:vAlign w:val="center"/>
          </w:tcPr>
          <w:p w14:paraId="468BB656">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03E4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7" w:type="dxa"/>
            <w:vMerge w:val="continue"/>
            <w:vAlign w:val="center"/>
          </w:tcPr>
          <w:p w14:paraId="33B6AEAC">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76F326A7">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10896CF0">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4</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按国家考核标准对鼠密度进行监测。</w:t>
            </w:r>
          </w:p>
        </w:tc>
        <w:tc>
          <w:tcPr>
            <w:tcW w:w="1782" w:type="dxa"/>
            <w:vAlign w:val="center"/>
          </w:tcPr>
          <w:p w14:paraId="179DDE6B">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r w14:paraId="4B08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14:paraId="5968E287">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2</w:t>
            </w:r>
          </w:p>
        </w:tc>
        <w:tc>
          <w:tcPr>
            <w:tcW w:w="1417" w:type="dxa"/>
            <w:vMerge w:val="restart"/>
            <w:vAlign w:val="center"/>
          </w:tcPr>
          <w:p w14:paraId="1F8B79D5">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灭蚊</w:t>
            </w:r>
          </w:p>
        </w:tc>
        <w:tc>
          <w:tcPr>
            <w:tcW w:w="4678" w:type="dxa"/>
            <w:vAlign w:val="center"/>
          </w:tcPr>
          <w:p w14:paraId="7EFA12ED">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大、中型水体必须每周检查一次，发现幼虫孳生立即施药。</w:t>
            </w:r>
          </w:p>
        </w:tc>
        <w:tc>
          <w:tcPr>
            <w:tcW w:w="1782" w:type="dxa"/>
            <w:vAlign w:val="center"/>
          </w:tcPr>
          <w:p w14:paraId="78F0A970">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每周1次</w:t>
            </w:r>
          </w:p>
        </w:tc>
      </w:tr>
      <w:tr w14:paraId="72D7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4F20DBE9">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2FC65E24">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07AC4961">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下水道沉沙井（有积水的），投放孳生地药物进行灭杀，每周1次，控制蚊幼虫孳生。</w:t>
            </w:r>
          </w:p>
        </w:tc>
        <w:tc>
          <w:tcPr>
            <w:tcW w:w="1782" w:type="dxa"/>
            <w:vAlign w:val="center"/>
          </w:tcPr>
          <w:p w14:paraId="12A63931">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每周1次</w:t>
            </w:r>
          </w:p>
        </w:tc>
      </w:tr>
      <w:tr w14:paraId="24E2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5E8B8065">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6F999AFE">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2AFB26DA">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清理外环境小积水，控制蚊虫孳生，并施药处理。</w:t>
            </w:r>
          </w:p>
        </w:tc>
        <w:tc>
          <w:tcPr>
            <w:tcW w:w="1782" w:type="dxa"/>
            <w:vAlign w:val="center"/>
          </w:tcPr>
          <w:p w14:paraId="5E123A8C">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1896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2D9DD57E">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3BC7B2EF">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01A3C32E">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4</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下水道烟熏灭蚊：每月结合灭蟑对外环境的下水道进行热烟雾处理。</w:t>
            </w:r>
          </w:p>
        </w:tc>
        <w:tc>
          <w:tcPr>
            <w:tcW w:w="1782" w:type="dxa"/>
            <w:vAlign w:val="center"/>
          </w:tcPr>
          <w:p w14:paraId="09533C0F">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1051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23E88940">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41A35A9C">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63F4F863">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5</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公共区域每月全面查治孳生地一次，并作空间喷洒灭成蚊；高峰期</w:t>
            </w:r>
            <w:r>
              <w:rPr>
                <w:rFonts w:hint="eastAsia" w:ascii="宋体" w:hAnsi="宋体" w:eastAsia="宋体" w:cs="宋体"/>
                <w:color w:val="auto"/>
                <w:sz w:val="21"/>
                <w:szCs w:val="22"/>
                <w:highlight w:val="none"/>
                <w:lang w:val="en-US" w:eastAsia="zh-CN"/>
              </w:rPr>
              <w:t>6-</w:t>
            </w:r>
            <w:r>
              <w:rPr>
                <w:rFonts w:hint="eastAsia" w:ascii="宋体" w:hAnsi="宋体" w:eastAsia="宋体" w:cs="宋体"/>
                <w:color w:val="auto"/>
                <w:sz w:val="21"/>
                <w:szCs w:val="22"/>
                <w:highlight w:val="none"/>
              </w:rPr>
              <w:t>11月每月增加施工。</w:t>
            </w:r>
          </w:p>
        </w:tc>
        <w:tc>
          <w:tcPr>
            <w:tcW w:w="1782" w:type="dxa"/>
            <w:vAlign w:val="center"/>
          </w:tcPr>
          <w:p w14:paraId="1CFCDBA2">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eastAsia="zh-CN"/>
              </w:rPr>
              <w:t>每月</w:t>
            </w:r>
            <w:r>
              <w:rPr>
                <w:rFonts w:hint="eastAsia" w:ascii="宋体" w:hAnsi="宋体" w:eastAsia="宋体" w:cs="宋体"/>
                <w:color w:val="auto"/>
                <w:sz w:val="21"/>
                <w:szCs w:val="22"/>
                <w:highlight w:val="none"/>
                <w:lang w:val="en-US" w:eastAsia="zh-CN"/>
              </w:rPr>
              <w:t>不少于</w:t>
            </w:r>
            <w:r>
              <w:rPr>
                <w:rFonts w:hint="eastAsia" w:ascii="宋体" w:hAnsi="宋体" w:eastAsia="宋体" w:cs="宋体"/>
                <w:color w:val="auto"/>
                <w:sz w:val="21"/>
                <w:szCs w:val="22"/>
                <w:highlight w:val="none"/>
                <w:lang w:eastAsia="zh-CN"/>
              </w:rPr>
              <w:t>1次（12-3月）；</w:t>
            </w: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不少于4</w:t>
            </w:r>
            <w:r>
              <w:rPr>
                <w:rFonts w:hint="eastAsia" w:ascii="宋体" w:hAnsi="宋体" w:eastAsia="宋体" w:cs="宋体"/>
                <w:color w:val="auto"/>
                <w:sz w:val="21"/>
                <w:szCs w:val="22"/>
                <w:highlight w:val="none"/>
              </w:rPr>
              <w:t>次</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4-</w:t>
            </w:r>
            <w:r>
              <w:rPr>
                <w:rFonts w:hint="eastAsia" w:ascii="宋体" w:hAnsi="宋体" w:eastAsia="宋体" w:cs="宋体"/>
                <w:color w:val="auto"/>
                <w:sz w:val="21"/>
                <w:szCs w:val="22"/>
                <w:highlight w:val="none"/>
                <w:lang w:val="en-US" w:eastAsia="zh-CN"/>
              </w:rPr>
              <w:t>5</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lang w:eastAsia="zh-CN"/>
              </w:rPr>
              <w:t>每月</w:t>
            </w:r>
            <w:r>
              <w:rPr>
                <w:rFonts w:hint="eastAsia" w:ascii="宋体" w:hAnsi="宋体" w:eastAsia="宋体" w:cs="宋体"/>
                <w:color w:val="auto"/>
                <w:sz w:val="21"/>
                <w:szCs w:val="22"/>
                <w:highlight w:val="none"/>
                <w:lang w:val="en-US" w:eastAsia="zh-CN"/>
              </w:rPr>
              <w:t>不少于8</w:t>
            </w:r>
            <w:r>
              <w:rPr>
                <w:rFonts w:hint="eastAsia" w:ascii="宋体" w:hAnsi="宋体" w:eastAsia="宋体" w:cs="宋体"/>
                <w:color w:val="auto"/>
                <w:sz w:val="21"/>
                <w:szCs w:val="22"/>
                <w:highlight w:val="none"/>
              </w:rPr>
              <w:t>次</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6</w:t>
            </w:r>
            <w:r>
              <w:rPr>
                <w:rFonts w:hint="eastAsia" w:ascii="宋体" w:hAnsi="宋体" w:eastAsia="宋体" w:cs="宋体"/>
                <w:color w:val="auto"/>
                <w:sz w:val="21"/>
                <w:szCs w:val="22"/>
                <w:highlight w:val="none"/>
              </w:rPr>
              <w:t>-11月</w:t>
            </w:r>
            <w:r>
              <w:rPr>
                <w:rFonts w:hint="eastAsia" w:ascii="宋体" w:hAnsi="宋体" w:eastAsia="宋体" w:cs="宋体"/>
                <w:color w:val="auto"/>
                <w:sz w:val="21"/>
                <w:szCs w:val="22"/>
                <w:highlight w:val="none"/>
                <w:lang w:eastAsia="zh-CN"/>
              </w:rPr>
              <w:t>）</w:t>
            </w:r>
          </w:p>
        </w:tc>
      </w:tr>
      <w:tr w14:paraId="7C1B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87" w:type="dxa"/>
            <w:vMerge w:val="continue"/>
            <w:vAlign w:val="center"/>
          </w:tcPr>
          <w:p w14:paraId="242D1F95">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2C1EE4F1">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32684290">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6</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按国家考核标准对蚊密度进行监测。</w:t>
            </w:r>
          </w:p>
        </w:tc>
        <w:tc>
          <w:tcPr>
            <w:tcW w:w="1782" w:type="dxa"/>
            <w:vAlign w:val="center"/>
          </w:tcPr>
          <w:p w14:paraId="74EF1157">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r w14:paraId="1584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14:paraId="53694AF6">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p>
        </w:tc>
        <w:tc>
          <w:tcPr>
            <w:tcW w:w="1417" w:type="dxa"/>
            <w:vMerge w:val="restart"/>
            <w:vAlign w:val="center"/>
          </w:tcPr>
          <w:p w14:paraId="1DAFF6CD">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灭蝇</w:t>
            </w:r>
          </w:p>
        </w:tc>
        <w:tc>
          <w:tcPr>
            <w:tcW w:w="4678" w:type="dxa"/>
            <w:vAlign w:val="center"/>
          </w:tcPr>
          <w:p w14:paraId="1070F659">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公共区域每月作</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次滞留喷洒灭成蝇</w:t>
            </w:r>
          </w:p>
        </w:tc>
        <w:tc>
          <w:tcPr>
            <w:tcW w:w="1782" w:type="dxa"/>
            <w:vAlign w:val="center"/>
          </w:tcPr>
          <w:p w14:paraId="030C101E">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每月</w:t>
            </w:r>
            <w:r>
              <w:rPr>
                <w:rFonts w:hint="eastAsia" w:ascii="宋体" w:hAnsi="宋体" w:eastAsia="宋体" w:cs="宋体"/>
                <w:color w:val="auto"/>
                <w:sz w:val="21"/>
                <w:szCs w:val="22"/>
                <w:highlight w:val="none"/>
              </w:rPr>
              <w:t>4次</w:t>
            </w:r>
          </w:p>
        </w:tc>
      </w:tr>
      <w:tr w14:paraId="7CC8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7" w:type="dxa"/>
            <w:vMerge w:val="continue"/>
            <w:vAlign w:val="center"/>
          </w:tcPr>
          <w:p w14:paraId="5BE4BA58">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16376A11">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3EBB8355">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重点场所孳生地：每周检查处理并喷药灭杀。</w:t>
            </w:r>
          </w:p>
        </w:tc>
        <w:tc>
          <w:tcPr>
            <w:tcW w:w="1782" w:type="dxa"/>
            <w:vAlign w:val="center"/>
          </w:tcPr>
          <w:p w14:paraId="55D5D862">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每周1次</w:t>
            </w:r>
          </w:p>
        </w:tc>
      </w:tr>
      <w:tr w14:paraId="5812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7" w:type="dxa"/>
            <w:vMerge w:val="continue"/>
            <w:vAlign w:val="center"/>
          </w:tcPr>
          <w:p w14:paraId="2E3A39FE">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03BF36AA">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2CEED612">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按国家考核标准对成蝇密度进行监测。</w:t>
            </w:r>
          </w:p>
        </w:tc>
        <w:tc>
          <w:tcPr>
            <w:tcW w:w="1782" w:type="dxa"/>
            <w:vAlign w:val="center"/>
          </w:tcPr>
          <w:p w14:paraId="125FEC91">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r w14:paraId="09A0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7" w:type="dxa"/>
            <w:vMerge w:val="restart"/>
            <w:vAlign w:val="center"/>
          </w:tcPr>
          <w:p w14:paraId="3A6DC7D7">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4</w:t>
            </w:r>
          </w:p>
        </w:tc>
        <w:tc>
          <w:tcPr>
            <w:tcW w:w="1417" w:type="dxa"/>
            <w:vMerge w:val="restart"/>
            <w:vAlign w:val="center"/>
          </w:tcPr>
          <w:p w14:paraId="23D2E17B">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灭蟑螂</w:t>
            </w:r>
          </w:p>
        </w:tc>
        <w:tc>
          <w:tcPr>
            <w:tcW w:w="4678" w:type="dxa"/>
            <w:vAlign w:val="center"/>
          </w:tcPr>
          <w:p w14:paraId="2C0A66D1">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公共区域每月检查蟑迹并清理；</w:t>
            </w:r>
          </w:p>
        </w:tc>
        <w:tc>
          <w:tcPr>
            <w:tcW w:w="1782" w:type="dxa"/>
            <w:vAlign w:val="center"/>
          </w:tcPr>
          <w:p w14:paraId="20B66D77">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r w14:paraId="0EC4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0B65F4F7">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47493675">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199B0D20">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下水道灭蟑螂：每月热烟雾处理</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c>
          <w:tcPr>
            <w:tcW w:w="1782" w:type="dxa"/>
            <w:vAlign w:val="center"/>
          </w:tcPr>
          <w:p w14:paraId="4AB11762">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每月</w:t>
            </w:r>
            <w:r>
              <w:rPr>
                <w:rFonts w:hint="eastAsia" w:ascii="宋体" w:hAnsi="宋体" w:eastAsia="宋体" w:cs="宋体"/>
                <w:color w:val="auto"/>
                <w:sz w:val="21"/>
                <w:szCs w:val="22"/>
                <w:highlight w:val="none"/>
              </w:rPr>
              <w:t>4次</w:t>
            </w:r>
          </w:p>
        </w:tc>
      </w:tr>
      <w:tr w14:paraId="56B9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7" w:type="dxa"/>
            <w:vMerge w:val="continue"/>
            <w:vAlign w:val="center"/>
          </w:tcPr>
          <w:p w14:paraId="6CE978F9">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65257191">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593B00D6">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按国家考核标准进行结蟑螂密度监测。</w:t>
            </w:r>
          </w:p>
        </w:tc>
        <w:tc>
          <w:tcPr>
            <w:tcW w:w="1782" w:type="dxa"/>
            <w:vAlign w:val="center"/>
          </w:tcPr>
          <w:p w14:paraId="75CCA731">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bl>
    <w:p w14:paraId="6B0F1E8C">
      <w:pPr>
        <w:pStyle w:val="13"/>
        <w:numPr>
          <w:ilvl w:val="0"/>
          <w:numId w:val="17"/>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其余任务</w:t>
      </w:r>
    </w:p>
    <w:p w14:paraId="388BBA91">
      <w:pPr>
        <w:pStyle w:val="13"/>
        <w:numPr>
          <w:ilvl w:val="0"/>
          <w:numId w:val="18"/>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传染病疫情应急：如周边发生蚊媒传染病疫情，立即启动应急预案，对疫点周边所有积水（包括天台、阳台、废弃容器）进行全面清理，投放灭幼剂，并对核心区进行每日一次的强化消杀。</w:t>
      </w:r>
    </w:p>
    <w:p w14:paraId="7FB08B3C">
      <w:pPr>
        <w:pStyle w:val="13"/>
        <w:numPr>
          <w:ilvl w:val="0"/>
          <w:numId w:val="18"/>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投诉处理：接到市民关于某区域“四害”密集的投诉后，</w:t>
      </w:r>
      <w:r>
        <w:rPr>
          <w:rFonts w:hint="eastAsia" w:ascii="宋体" w:hAnsi="宋体" w:eastAsia="宋体" w:cs="宋体"/>
          <w:iCs/>
          <w:color w:val="auto"/>
          <w:szCs w:val="21"/>
          <w:highlight w:val="none"/>
          <w:lang w:val="en-US" w:eastAsia="zh-CN"/>
        </w:rPr>
        <w:t>成交供应商</w:t>
      </w:r>
      <w:r>
        <w:rPr>
          <w:rFonts w:hint="default" w:ascii="宋体" w:hAnsi="宋体" w:eastAsia="宋体" w:cs="宋体"/>
          <w:iCs/>
          <w:color w:val="auto"/>
          <w:szCs w:val="21"/>
          <w:highlight w:val="none"/>
          <w:lang w:val="en-US" w:eastAsia="zh-CN"/>
        </w:rPr>
        <w:t>承诺24小时内到达现场勘查，48小时内完成应急消杀，并建立问题台账，实行销号管理。</w:t>
      </w:r>
    </w:p>
    <w:p w14:paraId="38894170">
      <w:pPr>
        <w:pStyle w:val="13"/>
        <w:numPr>
          <w:ilvl w:val="0"/>
          <w:numId w:val="18"/>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专项任务：如有创文、创卫</w:t>
      </w:r>
      <w:r>
        <w:rPr>
          <w:rFonts w:hint="eastAsia" w:ascii="宋体" w:hAnsi="宋体" w:cs="宋体"/>
          <w:iCs/>
          <w:color w:val="auto"/>
          <w:szCs w:val="21"/>
          <w:highlight w:val="none"/>
          <w:lang w:val="en-US" w:eastAsia="zh-CN"/>
        </w:rPr>
        <w:t>、</w:t>
      </w:r>
      <w:r>
        <w:rPr>
          <w:rFonts w:hint="default" w:ascii="宋体" w:hAnsi="宋体" w:eastAsia="宋体" w:cs="宋体"/>
          <w:iCs/>
          <w:color w:val="auto"/>
          <w:szCs w:val="21"/>
          <w:highlight w:val="none"/>
          <w:lang w:val="en-US" w:eastAsia="zh-CN"/>
        </w:rPr>
        <w:t>其他重要迎检工作</w:t>
      </w:r>
      <w:r>
        <w:rPr>
          <w:rFonts w:hint="eastAsia" w:ascii="宋体" w:hAnsi="宋体" w:cs="宋体"/>
          <w:iCs/>
          <w:color w:val="auto"/>
          <w:szCs w:val="21"/>
          <w:highlight w:val="none"/>
          <w:lang w:val="en-US" w:eastAsia="zh-CN"/>
        </w:rPr>
        <w:t>、上级文件要求</w:t>
      </w:r>
      <w:r>
        <w:rPr>
          <w:rFonts w:hint="default" w:ascii="宋体" w:hAnsi="宋体" w:eastAsia="宋体" w:cs="宋体"/>
          <w:iCs/>
          <w:color w:val="auto"/>
          <w:szCs w:val="21"/>
          <w:highlight w:val="none"/>
          <w:lang w:val="en-US" w:eastAsia="zh-CN"/>
        </w:rPr>
        <w:t>和其余领导交办专项消杀任务</w:t>
      </w:r>
      <w:r>
        <w:rPr>
          <w:rFonts w:hint="eastAsia" w:ascii="宋体" w:hAnsi="宋体" w:cs="宋体"/>
          <w:iCs/>
          <w:color w:val="auto"/>
          <w:szCs w:val="21"/>
          <w:highlight w:val="none"/>
          <w:lang w:val="en-US" w:eastAsia="zh-CN"/>
        </w:rPr>
        <w:t>，不得另外增加费用</w:t>
      </w:r>
      <w:r>
        <w:rPr>
          <w:rFonts w:hint="default" w:ascii="宋体" w:hAnsi="宋体" w:eastAsia="宋体" w:cs="宋体"/>
          <w:iCs/>
          <w:color w:val="auto"/>
          <w:szCs w:val="21"/>
          <w:highlight w:val="none"/>
          <w:lang w:val="en-US" w:eastAsia="zh-CN"/>
        </w:rPr>
        <w:t>。</w:t>
      </w:r>
    </w:p>
    <w:p w14:paraId="72546B33">
      <w:pPr>
        <w:pStyle w:val="13"/>
        <w:numPr>
          <w:ilvl w:val="0"/>
          <w:numId w:val="17"/>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除</w:t>
      </w:r>
      <w:r>
        <w:rPr>
          <w:rFonts w:hint="eastAsia" w:ascii="宋体" w:hAnsi="宋体" w:eastAsia="宋体" w:cs="宋体"/>
          <w:iCs/>
          <w:color w:val="auto"/>
          <w:szCs w:val="21"/>
          <w:highlight w:val="none"/>
          <w:lang w:eastAsia="zh-CN"/>
        </w:rPr>
        <w:t>“四害”</w:t>
      </w:r>
      <w:r>
        <w:rPr>
          <w:rFonts w:hint="eastAsia" w:ascii="宋体" w:hAnsi="宋体" w:cs="宋体"/>
          <w:iCs/>
          <w:color w:val="auto"/>
          <w:szCs w:val="21"/>
          <w:highlight w:val="none"/>
          <w:lang w:val="en-US" w:eastAsia="zh-CN"/>
        </w:rPr>
        <w:t>人员配置</w:t>
      </w:r>
    </w:p>
    <w:tbl>
      <w:tblPr>
        <w:tblStyle w:val="6"/>
        <w:tblW w:w="4686" w:type="pct"/>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573"/>
        <w:gridCol w:w="1888"/>
        <w:gridCol w:w="3353"/>
      </w:tblGrid>
      <w:tr w14:paraId="2727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6F4FBD8C">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序号</w:t>
            </w:r>
          </w:p>
        </w:tc>
        <w:tc>
          <w:tcPr>
            <w:tcW w:w="1478" w:type="pct"/>
            <w:tcMar>
              <w:top w:w="0" w:type="dxa"/>
              <w:left w:w="105" w:type="dxa"/>
              <w:bottom w:w="0" w:type="dxa"/>
              <w:right w:w="105" w:type="dxa"/>
            </w:tcMar>
            <w:vAlign w:val="center"/>
          </w:tcPr>
          <w:p w14:paraId="100CB8B1">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岗位</w:t>
            </w:r>
          </w:p>
        </w:tc>
        <w:tc>
          <w:tcPr>
            <w:tcW w:w="1085" w:type="pct"/>
            <w:tcMar>
              <w:top w:w="0" w:type="dxa"/>
              <w:left w:w="105" w:type="dxa"/>
              <w:bottom w:w="0" w:type="dxa"/>
              <w:right w:w="105" w:type="dxa"/>
            </w:tcMar>
            <w:vAlign w:val="center"/>
          </w:tcPr>
          <w:p w14:paraId="37DA1D56">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人数</w:t>
            </w:r>
          </w:p>
        </w:tc>
        <w:tc>
          <w:tcPr>
            <w:tcW w:w="1927" w:type="pct"/>
            <w:tcMar>
              <w:top w:w="0" w:type="dxa"/>
              <w:left w:w="105" w:type="dxa"/>
              <w:bottom w:w="0" w:type="dxa"/>
              <w:right w:w="105" w:type="dxa"/>
            </w:tcMar>
            <w:vAlign w:val="center"/>
          </w:tcPr>
          <w:p w14:paraId="381A4C61">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备注</w:t>
            </w:r>
          </w:p>
        </w:tc>
      </w:tr>
      <w:tr w14:paraId="6754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61B4770E">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1</w:t>
            </w:r>
          </w:p>
        </w:tc>
        <w:tc>
          <w:tcPr>
            <w:tcW w:w="1478" w:type="pct"/>
            <w:tcMar>
              <w:top w:w="0" w:type="dxa"/>
              <w:left w:w="105" w:type="dxa"/>
              <w:bottom w:w="0" w:type="dxa"/>
              <w:right w:w="105" w:type="dxa"/>
            </w:tcMar>
            <w:vAlign w:val="center"/>
          </w:tcPr>
          <w:p w14:paraId="7AC14ADC">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项目经理</w:t>
            </w:r>
          </w:p>
        </w:tc>
        <w:tc>
          <w:tcPr>
            <w:tcW w:w="1085" w:type="pct"/>
            <w:tcMar>
              <w:top w:w="0" w:type="dxa"/>
              <w:left w:w="105" w:type="dxa"/>
              <w:bottom w:w="0" w:type="dxa"/>
              <w:right w:w="105" w:type="dxa"/>
            </w:tcMar>
            <w:vAlign w:val="center"/>
          </w:tcPr>
          <w:p w14:paraId="51869E86">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1</w:t>
            </w:r>
          </w:p>
        </w:tc>
        <w:tc>
          <w:tcPr>
            <w:tcW w:w="1927" w:type="pct"/>
            <w:tcMar>
              <w:top w:w="0" w:type="dxa"/>
              <w:left w:w="105" w:type="dxa"/>
              <w:bottom w:w="0" w:type="dxa"/>
              <w:right w:w="105" w:type="dxa"/>
            </w:tcMar>
            <w:vAlign w:val="center"/>
          </w:tcPr>
          <w:p w14:paraId="08988288">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负责全面工作，5年以上工作经验</w:t>
            </w:r>
          </w:p>
        </w:tc>
      </w:tr>
      <w:tr w14:paraId="7EC2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45B4D196">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2</w:t>
            </w:r>
          </w:p>
        </w:tc>
        <w:tc>
          <w:tcPr>
            <w:tcW w:w="1478" w:type="pct"/>
            <w:tcMar>
              <w:top w:w="0" w:type="dxa"/>
              <w:left w:w="105" w:type="dxa"/>
              <w:bottom w:w="0" w:type="dxa"/>
              <w:right w:w="105" w:type="dxa"/>
            </w:tcMar>
            <w:vAlign w:val="center"/>
          </w:tcPr>
          <w:p w14:paraId="73221693">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组长兼技术巡查员</w:t>
            </w:r>
          </w:p>
        </w:tc>
        <w:tc>
          <w:tcPr>
            <w:tcW w:w="1085" w:type="pct"/>
            <w:tcMar>
              <w:top w:w="0" w:type="dxa"/>
              <w:left w:w="105" w:type="dxa"/>
              <w:bottom w:w="0" w:type="dxa"/>
              <w:right w:w="105" w:type="dxa"/>
            </w:tcMar>
            <w:vAlign w:val="center"/>
          </w:tcPr>
          <w:p w14:paraId="01E306BA">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1</w:t>
            </w:r>
            <w:r>
              <w:rPr>
                <w:rFonts w:hint="eastAsia" w:ascii="宋体" w:hAnsi="宋体" w:cs="宋体"/>
                <w:iCs/>
                <w:color w:val="auto"/>
                <w:szCs w:val="21"/>
                <w:highlight w:val="none"/>
                <w:lang w:val="en-US" w:eastAsia="zh-CN"/>
              </w:rPr>
              <w:t>（不少于）</w:t>
            </w:r>
          </w:p>
        </w:tc>
        <w:tc>
          <w:tcPr>
            <w:tcW w:w="1927" w:type="pct"/>
            <w:tcMar>
              <w:top w:w="0" w:type="dxa"/>
              <w:left w:w="105" w:type="dxa"/>
              <w:bottom w:w="0" w:type="dxa"/>
              <w:right w:w="105" w:type="dxa"/>
            </w:tcMar>
            <w:vAlign w:val="center"/>
          </w:tcPr>
          <w:p w14:paraId="79E3129A">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负责小组施工工作，</w:t>
            </w:r>
            <w:r>
              <w:rPr>
                <w:rFonts w:hint="eastAsia" w:ascii="宋体" w:hAnsi="宋体" w:cs="宋体"/>
                <w:iCs/>
                <w:color w:val="auto"/>
                <w:szCs w:val="21"/>
                <w:highlight w:val="none"/>
                <w:lang w:val="en-US" w:eastAsia="zh-CN"/>
              </w:rPr>
              <w:t>3</w:t>
            </w:r>
            <w:r>
              <w:rPr>
                <w:rFonts w:hint="eastAsia" w:ascii="宋体" w:hAnsi="宋体" w:eastAsia="宋体" w:cs="宋体"/>
                <w:iCs/>
                <w:color w:val="auto"/>
                <w:szCs w:val="21"/>
                <w:highlight w:val="none"/>
                <w:lang w:val="en-US" w:eastAsia="zh-CN"/>
              </w:rPr>
              <w:t>年以上工作经验</w:t>
            </w:r>
            <w:r>
              <w:rPr>
                <w:rFonts w:hint="eastAsia" w:ascii="宋体" w:hAnsi="宋体" w:cs="宋体"/>
                <w:iCs/>
                <w:color w:val="auto"/>
                <w:szCs w:val="21"/>
                <w:highlight w:val="none"/>
                <w:lang w:val="en-US" w:eastAsia="zh-CN"/>
              </w:rPr>
              <w:t>，</w:t>
            </w:r>
          </w:p>
        </w:tc>
      </w:tr>
      <w:tr w14:paraId="0DAF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74B3444B">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3</w:t>
            </w:r>
          </w:p>
        </w:tc>
        <w:tc>
          <w:tcPr>
            <w:tcW w:w="1478" w:type="pct"/>
            <w:tcMar>
              <w:top w:w="0" w:type="dxa"/>
              <w:left w:w="105" w:type="dxa"/>
              <w:bottom w:w="0" w:type="dxa"/>
              <w:right w:w="105" w:type="dxa"/>
            </w:tcMar>
            <w:vAlign w:val="center"/>
          </w:tcPr>
          <w:p w14:paraId="5A05E573">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文员</w:t>
            </w:r>
          </w:p>
        </w:tc>
        <w:tc>
          <w:tcPr>
            <w:tcW w:w="1085" w:type="pct"/>
            <w:tcMar>
              <w:top w:w="0" w:type="dxa"/>
              <w:left w:w="105" w:type="dxa"/>
              <w:bottom w:w="0" w:type="dxa"/>
              <w:right w:w="105" w:type="dxa"/>
            </w:tcMar>
            <w:vAlign w:val="center"/>
          </w:tcPr>
          <w:p w14:paraId="354044E1">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1</w:t>
            </w:r>
            <w:r>
              <w:rPr>
                <w:rFonts w:hint="eastAsia" w:ascii="宋体" w:hAnsi="宋体" w:cs="宋体"/>
                <w:iCs/>
                <w:color w:val="auto"/>
                <w:szCs w:val="21"/>
                <w:highlight w:val="none"/>
                <w:lang w:val="en-US" w:eastAsia="zh-CN"/>
              </w:rPr>
              <w:t>（不少于）</w:t>
            </w:r>
          </w:p>
        </w:tc>
        <w:tc>
          <w:tcPr>
            <w:tcW w:w="1927" w:type="pct"/>
            <w:tcMar>
              <w:top w:w="0" w:type="dxa"/>
              <w:left w:w="105" w:type="dxa"/>
              <w:bottom w:w="0" w:type="dxa"/>
              <w:right w:w="105" w:type="dxa"/>
            </w:tcMar>
            <w:vAlign w:val="center"/>
          </w:tcPr>
          <w:p w14:paraId="7FCA18A4">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负责小组资料工作</w:t>
            </w:r>
          </w:p>
        </w:tc>
      </w:tr>
      <w:tr w14:paraId="5110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23CAD034">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4</w:t>
            </w:r>
          </w:p>
        </w:tc>
        <w:tc>
          <w:tcPr>
            <w:tcW w:w="1478" w:type="pct"/>
            <w:tcMar>
              <w:top w:w="0" w:type="dxa"/>
              <w:left w:w="105" w:type="dxa"/>
              <w:bottom w:w="0" w:type="dxa"/>
              <w:right w:w="105" w:type="dxa"/>
            </w:tcMar>
            <w:vAlign w:val="center"/>
          </w:tcPr>
          <w:p w14:paraId="423176D3">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作业人员</w:t>
            </w:r>
          </w:p>
        </w:tc>
        <w:tc>
          <w:tcPr>
            <w:tcW w:w="1085" w:type="pct"/>
            <w:tcMar>
              <w:top w:w="0" w:type="dxa"/>
              <w:left w:w="105" w:type="dxa"/>
              <w:bottom w:w="0" w:type="dxa"/>
              <w:right w:w="105" w:type="dxa"/>
            </w:tcMar>
            <w:vAlign w:val="center"/>
          </w:tcPr>
          <w:p w14:paraId="027D8EBB">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6</w:t>
            </w:r>
            <w:r>
              <w:rPr>
                <w:rFonts w:hint="eastAsia" w:ascii="宋体" w:hAnsi="宋体" w:cs="宋体"/>
                <w:iCs/>
                <w:color w:val="auto"/>
                <w:szCs w:val="21"/>
                <w:highlight w:val="none"/>
                <w:lang w:val="en-US" w:eastAsia="zh-CN"/>
              </w:rPr>
              <w:t>（不少于）</w:t>
            </w:r>
          </w:p>
        </w:tc>
        <w:tc>
          <w:tcPr>
            <w:tcW w:w="1927" w:type="pct"/>
            <w:tcMar>
              <w:top w:w="0" w:type="dxa"/>
              <w:left w:w="105" w:type="dxa"/>
              <w:bottom w:w="0" w:type="dxa"/>
              <w:right w:w="105" w:type="dxa"/>
            </w:tcMar>
            <w:vAlign w:val="center"/>
          </w:tcPr>
          <w:p w14:paraId="6DA5C4A3">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现场作业人员</w:t>
            </w:r>
          </w:p>
        </w:tc>
      </w:tr>
      <w:tr w14:paraId="048E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7" w:type="pct"/>
            <w:gridSpan w:val="2"/>
            <w:tcMar>
              <w:top w:w="0" w:type="dxa"/>
              <w:left w:w="105" w:type="dxa"/>
              <w:bottom w:w="0" w:type="dxa"/>
              <w:right w:w="105" w:type="dxa"/>
            </w:tcMar>
            <w:vAlign w:val="center"/>
          </w:tcPr>
          <w:p w14:paraId="35FD0193">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合计</w:t>
            </w:r>
          </w:p>
        </w:tc>
        <w:tc>
          <w:tcPr>
            <w:tcW w:w="1085" w:type="pct"/>
            <w:tcMar>
              <w:top w:w="0" w:type="dxa"/>
              <w:left w:w="105" w:type="dxa"/>
              <w:bottom w:w="0" w:type="dxa"/>
              <w:right w:w="105" w:type="dxa"/>
            </w:tcMar>
            <w:vAlign w:val="center"/>
          </w:tcPr>
          <w:p w14:paraId="64D45283">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9</w:t>
            </w:r>
          </w:p>
        </w:tc>
        <w:tc>
          <w:tcPr>
            <w:tcW w:w="1927" w:type="pct"/>
            <w:tcMar>
              <w:top w:w="0" w:type="dxa"/>
              <w:left w:w="105" w:type="dxa"/>
              <w:bottom w:w="0" w:type="dxa"/>
              <w:right w:w="105" w:type="dxa"/>
            </w:tcMar>
            <w:vAlign w:val="center"/>
          </w:tcPr>
          <w:p w14:paraId="4710AACB">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w:t>
            </w:r>
          </w:p>
        </w:tc>
      </w:tr>
    </w:tbl>
    <w:p w14:paraId="60B85C34">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注：本项目所有现场作业人员，须持有消杀服务、害虫防治、病媒生物防制相关行业有效上岗证书，实行全员持证上岗。</w:t>
      </w:r>
      <w:bookmarkEnd w:id="8"/>
    </w:p>
    <w:p w14:paraId="55DC34A1">
      <w:pPr>
        <w:pStyle w:val="13"/>
        <w:numPr>
          <w:ilvl w:val="0"/>
          <w:numId w:val="0"/>
        </w:numPr>
        <w:snapToGrid w:val="0"/>
        <w:spacing w:line="360" w:lineRule="auto"/>
        <w:ind w:left="420" w:leftChars="0" w:hanging="420" w:firstLineChars="0"/>
        <w:contextualSpacing/>
        <w:rPr>
          <w:rFonts w:hint="default" w:ascii="宋体" w:hAnsi="宋体" w:eastAsia="宋体" w:cs="宋体"/>
          <w:iCs/>
          <w:color w:val="auto"/>
          <w:szCs w:val="21"/>
          <w:highlight w:val="none"/>
          <w:lang w:val="en-US"/>
        </w:rPr>
      </w:pPr>
      <w:r>
        <w:rPr>
          <w:rFonts w:hint="eastAsia" w:ascii="宋体" w:hAnsi="宋体" w:eastAsia="宋体" w:cs="宋体"/>
          <w:iCs/>
          <w:color w:val="auto"/>
          <w:kern w:val="2"/>
          <w:sz w:val="21"/>
          <w:szCs w:val="21"/>
          <w:highlight w:val="none"/>
          <w:lang w:val="en-US" w:eastAsia="zh-CN" w:bidi="ar-SA"/>
        </w:rPr>
        <w:t>(三)</w:t>
      </w:r>
      <w:r>
        <w:rPr>
          <w:rFonts w:hint="eastAsia" w:ascii="宋体" w:hAnsi="宋体" w:cs="宋体"/>
          <w:iCs/>
          <w:color w:val="auto"/>
          <w:szCs w:val="21"/>
          <w:highlight w:val="none"/>
          <w:lang w:val="en-US" w:eastAsia="zh-CN"/>
        </w:rPr>
        <w:t>工作要求</w:t>
      </w:r>
    </w:p>
    <w:p w14:paraId="6ADB8853">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承包范围内收集动物尸体工作（含老鼠、蟑螂等收集清理工作），并将尸体做无害化处理</w:t>
      </w:r>
      <w:r>
        <w:rPr>
          <w:rFonts w:hint="eastAsia" w:ascii="宋体" w:hAnsi="宋体" w:cs="宋体"/>
          <w:iCs/>
          <w:color w:val="auto"/>
          <w:kern w:val="2"/>
          <w:sz w:val="21"/>
          <w:szCs w:val="21"/>
          <w:highlight w:val="none"/>
          <w:lang w:val="en-US" w:eastAsia="zh-CN" w:bidi="ar-SA"/>
        </w:rPr>
        <w:t>。</w:t>
      </w:r>
    </w:p>
    <w:p w14:paraId="412B2615">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kern w:val="2"/>
          <w:sz w:val="21"/>
          <w:szCs w:val="21"/>
          <w:highlight w:val="none"/>
          <w:lang w:val="en-US" w:eastAsia="zh-CN" w:bidi="ar-SA"/>
        </w:rPr>
        <w:t>应在进场一个月前在采购人所在地设置固定办公室和仓库，并设置固定联系电话，建立24小时值班制度，应付突发事件的发生</w:t>
      </w:r>
      <w:r>
        <w:rPr>
          <w:rFonts w:hint="eastAsia" w:ascii="宋体" w:hAnsi="宋体" w:cs="宋体"/>
          <w:iCs/>
          <w:color w:val="auto"/>
          <w:kern w:val="2"/>
          <w:sz w:val="21"/>
          <w:szCs w:val="21"/>
          <w:highlight w:val="none"/>
          <w:lang w:val="en-US" w:eastAsia="zh-CN" w:bidi="ar-SA"/>
        </w:rPr>
        <w:t>。</w:t>
      </w:r>
    </w:p>
    <w:p w14:paraId="4590BA4D">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kern w:val="2"/>
          <w:sz w:val="21"/>
          <w:szCs w:val="21"/>
          <w:highlight w:val="none"/>
          <w:lang w:val="en-US" w:eastAsia="zh-CN" w:bidi="ar-SA"/>
        </w:rPr>
        <w:t>必须具备证件齐全的若干工具，配备满足项目要求的除“四害”人员</w:t>
      </w:r>
      <w:r>
        <w:rPr>
          <w:rFonts w:hint="eastAsia" w:ascii="宋体" w:hAnsi="宋体" w:cs="宋体"/>
          <w:iCs/>
          <w:color w:val="auto"/>
          <w:kern w:val="2"/>
          <w:sz w:val="21"/>
          <w:szCs w:val="21"/>
          <w:highlight w:val="none"/>
          <w:lang w:val="en-US" w:eastAsia="zh-CN" w:bidi="ar-SA"/>
        </w:rPr>
        <w:t>。</w:t>
      </w:r>
    </w:p>
    <w:p w14:paraId="3EFB6017">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kern w:val="2"/>
          <w:sz w:val="21"/>
          <w:szCs w:val="21"/>
          <w:highlight w:val="none"/>
          <w:lang w:val="en-US" w:eastAsia="zh-CN" w:bidi="ar-SA"/>
        </w:rPr>
        <w:t>必须坚持“预防为主，综合防治”的消杀方针，使用国家规定或爱卫会认定和推荐的药物。除“四害”药物要建立进出登记台账，并取得“三证”。作业时要注意安全用药，废弃药物要妥善处理，防止污染</w:t>
      </w:r>
      <w:r>
        <w:rPr>
          <w:rFonts w:hint="eastAsia" w:ascii="宋体" w:hAnsi="宋体" w:cs="宋体"/>
          <w:iCs/>
          <w:color w:val="auto"/>
          <w:kern w:val="2"/>
          <w:sz w:val="21"/>
          <w:szCs w:val="21"/>
          <w:highlight w:val="none"/>
          <w:lang w:val="en-US" w:eastAsia="zh-CN" w:bidi="ar-SA"/>
        </w:rPr>
        <w:t>。</w:t>
      </w:r>
    </w:p>
    <w:p w14:paraId="1CFE0D44">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kern w:val="2"/>
          <w:sz w:val="21"/>
          <w:szCs w:val="21"/>
          <w:highlight w:val="none"/>
          <w:lang w:val="en-US" w:eastAsia="zh-CN" w:bidi="ar-SA"/>
        </w:rPr>
        <w:t>有完整的病媒生物预防控制操作规程，</w:t>
      </w:r>
      <w:r>
        <w:rPr>
          <w:rFonts w:hint="eastAsia" w:ascii="宋体" w:hAnsi="宋体" w:cs="宋体"/>
          <w:iCs/>
          <w:color w:val="auto"/>
          <w:szCs w:val="21"/>
          <w:highlight w:val="none"/>
        </w:rPr>
        <w:t>确保服务区域内病媒生物</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四害</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rPr>
        <w:t>密度达到国家C级及以上标准</w:t>
      </w:r>
      <w:r>
        <w:rPr>
          <w:rFonts w:hint="eastAsia" w:ascii="宋体" w:hAnsi="宋体" w:eastAsia="宋体" w:cs="宋体"/>
          <w:iCs/>
          <w:color w:val="auto"/>
          <w:kern w:val="2"/>
          <w:sz w:val="21"/>
          <w:szCs w:val="21"/>
          <w:highlight w:val="none"/>
          <w:lang w:val="en-US" w:eastAsia="zh-CN" w:bidi="ar-SA"/>
        </w:rPr>
        <w:t>，并具有完善的事故应急方案</w:t>
      </w:r>
      <w:r>
        <w:rPr>
          <w:rFonts w:hint="eastAsia" w:ascii="宋体" w:hAnsi="宋体" w:cs="宋体"/>
          <w:iCs/>
          <w:color w:val="auto"/>
          <w:kern w:val="2"/>
          <w:sz w:val="21"/>
          <w:szCs w:val="21"/>
          <w:highlight w:val="none"/>
          <w:lang w:val="en-US" w:eastAsia="zh-CN" w:bidi="ar-SA"/>
        </w:rPr>
        <w:t>。</w:t>
      </w:r>
    </w:p>
    <w:p w14:paraId="0582DE19">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严格按照</w:t>
      </w:r>
      <w:r>
        <w:rPr>
          <w:rFonts w:hint="eastAsia" w:ascii="宋体" w:hAnsi="宋体" w:cs="宋体"/>
          <w:iCs/>
          <w:color w:val="auto"/>
          <w:kern w:val="2"/>
          <w:sz w:val="21"/>
          <w:szCs w:val="21"/>
          <w:highlight w:val="none"/>
          <w:lang w:val="en-US" w:eastAsia="zh-CN" w:bidi="ar-SA"/>
        </w:rPr>
        <w:t>石龙</w:t>
      </w:r>
      <w:r>
        <w:rPr>
          <w:rFonts w:hint="eastAsia" w:ascii="宋体" w:hAnsi="宋体" w:eastAsia="宋体" w:cs="宋体"/>
          <w:iCs/>
          <w:color w:val="auto"/>
          <w:kern w:val="2"/>
          <w:sz w:val="21"/>
          <w:szCs w:val="21"/>
          <w:highlight w:val="none"/>
          <w:lang w:val="en-US" w:eastAsia="zh-CN" w:bidi="ar-SA"/>
        </w:rPr>
        <w:t>镇卫生健康局的要求除“四害”，并配合</w:t>
      </w:r>
      <w:r>
        <w:rPr>
          <w:rFonts w:hint="eastAsia" w:ascii="宋体" w:hAnsi="宋体" w:cs="宋体"/>
          <w:iCs/>
          <w:color w:val="auto"/>
          <w:kern w:val="2"/>
          <w:sz w:val="21"/>
          <w:szCs w:val="21"/>
          <w:highlight w:val="none"/>
          <w:lang w:val="en-US" w:eastAsia="zh-CN" w:bidi="ar-SA"/>
        </w:rPr>
        <w:t>石龙</w:t>
      </w:r>
      <w:r>
        <w:rPr>
          <w:rFonts w:hint="eastAsia" w:ascii="宋体" w:hAnsi="宋体" w:eastAsia="宋体" w:cs="宋体"/>
          <w:iCs/>
          <w:color w:val="auto"/>
          <w:kern w:val="2"/>
          <w:sz w:val="21"/>
          <w:szCs w:val="21"/>
          <w:highlight w:val="none"/>
          <w:lang w:val="en-US" w:eastAsia="zh-CN" w:bidi="ar-SA"/>
        </w:rPr>
        <w:t>镇卫生健康局做好各项检查工作，提供相关的技术指导</w:t>
      </w:r>
      <w:r>
        <w:rPr>
          <w:rFonts w:hint="eastAsia" w:ascii="宋体" w:hAnsi="宋体" w:cs="宋体"/>
          <w:iCs/>
          <w:color w:val="auto"/>
          <w:kern w:val="2"/>
          <w:sz w:val="21"/>
          <w:szCs w:val="21"/>
          <w:highlight w:val="none"/>
          <w:lang w:val="en-US" w:eastAsia="zh-CN" w:bidi="ar-SA"/>
        </w:rPr>
        <w:t>。</w:t>
      </w:r>
    </w:p>
    <w:p w14:paraId="4356105B">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kern w:val="2"/>
          <w:sz w:val="21"/>
          <w:szCs w:val="21"/>
          <w:highlight w:val="none"/>
          <w:lang w:val="en-US" w:eastAsia="zh-CN" w:bidi="ar-SA"/>
        </w:rPr>
        <w:t>须遵守相关环保法律法规，采取一切合理的措施保护现场内外的环境，避免由于自身原因造成污染或人员、财产损害损失，并保证一旦发生上述情况，采购人免于承担责任</w:t>
      </w:r>
      <w:r>
        <w:rPr>
          <w:rFonts w:hint="eastAsia" w:ascii="宋体" w:hAnsi="宋体" w:cs="宋体"/>
          <w:iCs/>
          <w:color w:val="auto"/>
          <w:kern w:val="2"/>
          <w:sz w:val="21"/>
          <w:szCs w:val="21"/>
          <w:highlight w:val="none"/>
          <w:lang w:val="en-US" w:eastAsia="zh-CN" w:bidi="ar-SA"/>
        </w:rPr>
        <w:t>。</w:t>
      </w:r>
    </w:p>
    <w:p w14:paraId="1CF25E23">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kern w:val="2"/>
          <w:sz w:val="21"/>
          <w:szCs w:val="21"/>
          <w:highlight w:val="none"/>
          <w:lang w:val="en-US" w:eastAsia="zh-CN" w:bidi="ar-SA"/>
        </w:rPr>
        <w:t>须遵守行业的相关安全生产管理规定，严格按安全标准组织实施，采取必要的安全防护措施，消除事故隐患，并接受采购人的监督检查。项目执行期间，因</w:t>
      </w: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kern w:val="2"/>
          <w:sz w:val="21"/>
          <w:szCs w:val="21"/>
          <w:highlight w:val="none"/>
          <w:lang w:val="en-US" w:eastAsia="zh-CN" w:bidi="ar-SA"/>
        </w:rPr>
        <w:t>违反安全操作规程或安全措施不力造成的损失和责任均由</w:t>
      </w: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kern w:val="2"/>
          <w:sz w:val="21"/>
          <w:szCs w:val="21"/>
          <w:highlight w:val="none"/>
          <w:lang w:val="en-US" w:eastAsia="zh-CN" w:bidi="ar-SA"/>
        </w:rPr>
        <w:t>承担。</w:t>
      </w:r>
    </w:p>
    <w:p w14:paraId="642F06F5">
      <w:pPr>
        <w:pStyle w:val="13"/>
        <w:numPr>
          <w:ilvl w:val="0"/>
          <w:numId w:val="0"/>
        </w:numPr>
        <w:snapToGrid w:val="0"/>
        <w:spacing w:line="360" w:lineRule="auto"/>
        <w:ind w:leftChars="0"/>
        <w:contextualSpacing/>
        <w:rPr>
          <w:highlight w:val="none"/>
        </w:rPr>
      </w:pPr>
      <w:r>
        <w:rPr>
          <w:rFonts w:hint="eastAsia" w:ascii="宋体" w:hAnsi="宋体" w:eastAsia="宋体" w:cs="宋体"/>
          <w:iCs/>
          <w:color w:val="auto"/>
          <w:kern w:val="2"/>
          <w:sz w:val="21"/>
          <w:szCs w:val="21"/>
          <w:highlight w:val="none"/>
          <w:lang w:val="en-US" w:eastAsia="zh-CN" w:bidi="ar-SA"/>
        </w:rPr>
        <w:t>(</w:t>
      </w:r>
      <w:r>
        <w:rPr>
          <w:rFonts w:hint="eastAsia" w:ascii="宋体" w:hAnsi="宋体" w:cs="宋体"/>
          <w:iCs/>
          <w:color w:val="auto"/>
          <w:kern w:val="2"/>
          <w:sz w:val="21"/>
          <w:szCs w:val="21"/>
          <w:highlight w:val="none"/>
          <w:lang w:val="en-US" w:eastAsia="zh-CN" w:bidi="ar-SA"/>
        </w:rPr>
        <w:t>四</w:t>
      </w:r>
      <w:r>
        <w:rPr>
          <w:rFonts w:hint="eastAsia" w:ascii="宋体" w:hAnsi="宋体" w:eastAsia="宋体" w:cs="宋体"/>
          <w:iCs/>
          <w:color w:val="auto"/>
          <w:kern w:val="2"/>
          <w:sz w:val="21"/>
          <w:szCs w:val="21"/>
          <w:highlight w:val="none"/>
          <w:lang w:val="en-US" w:eastAsia="zh-CN" w:bidi="ar-SA"/>
        </w:rPr>
        <w:t>)除“四害”作业细则</w:t>
      </w:r>
    </w:p>
    <w:p w14:paraId="0D8BF754">
      <w:pPr>
        <w:pStyle w:val="13"/>
        <w:numPr>
          <w:ilvl w:val="0"/>
          <w:numId w:val="20"/>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灭鼠：</w:t>
      </w:r>
    </w:p>
    <w:p w14:paraId="0EDB8A08">
      <w:pPr>
        <w:pStyle w:val="13"/>
        <w:numPr>
          <w:ilvl w:val="0"/>
          <w:numId w:val="21"/>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使用老鼠的嗜好食物，如稻谷、小麦、花生米、快食面等，混拌第一代及第二代的低毒、抗凝血慢性灭鼠药剂配制成毒饵，作为防治药物进行诱杀。</w:t>
      </w:r>
    </w:p>
    <w:p w14:paraId="0E0860E4">
      <w:pPr>
        <w:pStyle w:val="13"/>
        <w:numPr>
          <w:ilvl w:val="0"/>
          <w:numId w:val="21"/>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根据老鼠的生活习性和活动范围分类灭鼠</w:t>
      </w:r>
    </w:p>
    <w:p w14:paraId="02AE4D17">
      <w:pPr>
        <w:pStyle w:val="13"/>
        <w:numPr>
          <w:ilvl w:val="0"/>
          <w:numId w:val="22"/>
        </w:numPr>
        <w:snapToGrid w:val="0"/>
        <w:spacing w:line="360" w:lineRule="auto"/>
        <w:ind w:left="0" w:leftChars="0" w:firstLine="420" w:firstLineChars="20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对闲置工地附近的绿化带、公园实施灭鼠：因绿化带地面较潮湿，采用防潮的小塑料袋装毒饵或药箱定点布放投药。</w:t>
      </w:r>
    </w:p>
    <w:p w14:paraId="35A493F9">
      <w:pPr>
        <w:pStyle w:val="13"/>
        <w:numPr>
          <w:ilvl w:val="0"/>
          <w:numId w:val="22"/>
        </w:numPr>
        <w:snapToGrid w:val="0"/>
        <w:spacing w:line="360" w:lineRule="auto"/>
        <w:ind w:left="0" w:leftChars="0" w:firstLine="420" w:firstLineChars="20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对市场、垃圾中转站、厕所附近的绿化树木实施灭鼠：因上述</w:t>
      </w:r>
      <w:r>
        <w:rPr>
          <w:rFonts w:hint="eastAsia" w:ascii="宋体" w:hAnsi="宋体" w:cs="宋体"/>
          <w:iCs/>
          <w:color w:val="auto"/>
          <w:szCs w:val="21"/>
          <w:highlight w:val="none"/>
          <w:lang w:val="en-US" w:eastAsia="zh-CN"/>
        </w:rPr>
        <w:t>区域</w:t>
      </w:r>
      <w:r>
        <w:rPr>
          <w:rFonts w:hint="eastAsia" w:ascii="宋体" w:hAnsi="宋体" w:eastAsia="宋体" w:cs="宋体"/>
          <w:iCs/>
          <w:color w:val="auto"/>
          <w:szCs w:val="21"/>
          <w:highlight w:val="none"/>
          <w:lang w:val="en-US" w:eastAsia="zh-CN"/>
        </w:rPr>
        <w:t>是老鼠活动频繁区域，所以根椐鼠害活动区域环境特点，采用沿线周边毒鼠药箱饱和投药。</w:t>
      </w:r>
    </w:p>
    <w:p w14:paraId="371F8BAB">
      <w:pPr>
        <w:pStyle w:val="13"/>
        <w:numPr>
          <w:ilvl w:val="0"/>
          <w:numId w:val="23"/>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效果检查和施工跟进</w:t>
      </w:r>
    </w:p>
    <w:p w14:paraId="0E2689F0">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老鼠在取食毒饵后，一般在5-7天内中毒而亡。中标人应在5</w:t>
      </w:r>
      <w:r>
        <w:rPr>
          <w:rFonts w:hint="eastAsia" w:ascii="宋体" w:hAnsi="宋体" w:cs="宋体"/>
          <w:iCs/>
          <w:color w:val="auto"/>
          <w:szCs w:val="21"/>
          <w:highlight w:val="none"/>
          <w:lang w:val="en-US" w:eastAsia="zh-CN"/>
        </w:rPr>
        <w:t>天</w:t>
      </w:r>
      <w:r>
        <w:rPr>
          <w:rFonts w:hint="eastAsia" w:ascii="宋体" w:hAnsi="宋体" w:eastAsia="宋体" w:cs="宋体"/>
          <w:iCs/>
          <w:color w:val="auto"/>
          <w:szCs w:val="21"/>
          <w:highlight w:val="none"/>
          <w:lang w:val="en-US" w:eastAsia="zh-CN"/>
        </w:rPr>
        <w:t>内进行效果检查，对发现在承包范围内的捕获或中毒死亡的鼠类进行清检收回，统一集中进行无毒化处理。发现诱饵被食完要及时补投毒饵，确保消杀效果彻底。</w:t>
      </w:r>
    </w:p>
    <w:p w14:paraId="19B4F516">
      <w:pPr>
        <w:pStyle w:val="13"/>
        <w:numPr>
          <w:ilvl w:val="0"/>
          <w:numId w:val="24"/>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药物投放应采用轮番换药及定时补充投药量相结合的方式，根据鼠害活动走道区域的变化适时调整布药点，让存活鼠害对毒饵有更好的口味和足够的吸食量。同时在施工过程中不断对绿化树木、闲置工地下水道、排水口、管道口、墙洞等附近的绿化树木、绿化带周围环境加以检查，及时完善上述环境的防鼠设施。</w:t>
      </w:r>
    </w:p>
    <w:p w14:paraId="749B03F3">
      <w:pPr>
        <w:pStyle w:val="13"/>
        <w:numPr>
          <w:ilvl w:val="0"/>
          <w:numId w:val="20"/>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灭蚊：</w:t>
      </w:r>
    </w:p>
    <w:p w14:paraId="6E0C9933">
      <w:pPr>
        <w:pStyle w:val="13"/>
        <w:numPr>
          <w:ilvl w:val="0"/>
          <w:numId w:val="2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蚊药物的使用，喷施必须基于“环保.高效”的基础，采用药物参考广东省媒介伊蚊抗药性及现场药效最新评估情况，选择伊蚊未产生高抗性的环保、高效杀虫药，生物防治型药物进行消杀防治处理，使用过程中应根据虫害的情况不定期轮番更换施工药物”。</w:t>
      </w:r>
    </w:p>
    <w:p w14:paraId="1885811E">
      <w:pPr>
        <w:pStyle w:val="13"/>
        <w:numPr>
          <w:ilvl w:val="0"/>
          <w:numId w:val="2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灭蚊的方法</w:t>
      </w:r>
    </w:p>
    <w:p w14:paraId="4C494B3A">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根据成蚊在黄昏、夜晚、早晨活动范围大，且喜栖息于阴暗潮湿地的特点，采用常用剂量喷杀承包范围内的绿化带附近的下水道口、沙井盖上的成蚊，将蚊害活动密度降低直至灭治。</w:t>
      </w:r>
    </w:p>
    <w:p w14:paraId="6730B16D">
      <w:pPr>
        <w:pStyle w:val="13"/>
        <w:numPr>
          <w:ilvl w:val="0"/>
          <w:numId w:val="2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在蚊害高发季节和蚊类危害突发的情况下，应增加喷杀次数，保障环境清新优美。</w:t>
      </w:r>
    </w:p>
    <w:p w14:paraId="06158851">
      <w:pPr>
        <w:pStyle w:val="13"/>
        <w:numPr>
          <w:ilvl w:val="0"/>
          <w:numId w:val="2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施工跟进</w:t>
      </w:r>
    </w:p>
    <w:p w14:paraId="0915CB28">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在施工完毕后的次日，应派出施工人员对喷杀范围环境进行检查，对容易滋生蚊类幼虫的场所如污水积水，阴暗处等，若发现有幼虫产生的，即采用生物药剂投入水体的方法进行消杀处理。</w:t>
      </w:r>
    </w:p>
    <w:p w14:paraId="2DAD5B39">
      <w:pPr>
        <w:pStyle w:val="13"/>
        <w:numPr>
          <w:ilvl w:val="0"/>
          <w:numId w:val="20"/>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灭蝇：</w:t>
      </w:r>
    </w:p>
    <w:p w14:paraId="18D65873">
      <w:pPr>
        <w:pStyle w:val="13"/>
        <w:numPr>
          <w:ilvl w:val="0"/>
          <w:numId w:val="26"/>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灭蝇措施方法</w:t>
      </w:r>
    </w:p>
    <w:p w14:paraId="66A44C64">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承包范围内垃圾桶、果皮箱、厕所、肉菜市场等附近绿化带树木容易滋生苍蝇的场所，采用菊酯类的药物喷杀处理，把蝇类进行治灭。根据蝇类的滋生及活动区域习性，如成蝇主要公布在有垃圾堆积的地方等，采用菊酯或残杀威等低毒的杀虫乳油作常量喷洒，重点部位加重剂量喷杀，对不宜喷洒区域，则采用不定期悬挂粘蝇纸捕杀。</w:t>
      </w:r>
    </w:p>
    <w:p w14:paraId="518818A4">
      <w:pPr>
        <w:pStyle w:val="13"/>
        <w:numPr>
          <w:ilvl w:val="0"/>
          <w:numId w:val="26"/>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施工</w:t>
      </w:r>
    </w:p>
    <w:p w14:paraId="194D15F4">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喷药完毕后，加强对容易滋生蝇幼虫的地方进行巡视，发现有幼虫滋生的即采用灭蝇幼虫药剂喷洒滋生地方的方法进行处理，力求将蝇消灭在萌芽状态。</w:t>
      </w:r>
    </w:p>
    <w:p w14:paraId="4E8F9769">
      <w:pPr>
        <w:pStyle w:val="13"/>
        <w:numPr>
          <w:ilvl w:val="0"/>
          <w:numId w:val="20"/>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灭蟑螂：</w:t>
      </w:r>
    </w:p>
    <w:p w14:paraId="3F82B059">
      <w:pPr>
        <w:pStyle w:val="13"/>
        <w:numPr>
          <w:ilvl w:val="0"/>
          <w:numId w:val="27"/>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蟑螂的防治措施方法</w:t>
      </w:r>
    </w:p>
    <w:p w14:paraId="121E9579">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承包范围内绿化带附近的沙井、下水道采用热烟雾机烟熏和常量剂喷洒处理，对不宜使用热烟雾熏杀处理的区域，采用菊酯类杀虫乳油实施喷洒，或施放灭蟑粉、灭蟑胶饵。并重点加强对蟑螂栖息的孔洞和缝隙用线状喷头进行缝隙喷洒。</w:t>
      </w:r>
    </w:p>
    <w:p w14:paraId="67821563">
      <w:pPr>
        <w:pStyle w:val="13"/>
        <w:numPr>
          <w:ilvl w:val="0"/>
          <w:numId w:val="27"/>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补充措施</w:t>
      </w:r>
    </w:p>
    <w:p w14:paraId="7832BCE2">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对不便喷药的部位及难以杀灭的德国小蠊，则采用毒饵法或定点布放粘捕盒进行诱杀，将毒饵点或粘捕盒布在蟑螂经常出没的地方，采用量少堆多的方法，以使害虫有更多的机会取食。</w:t>
      </w:r>
    </w:p>
    <w:p w14:paraId="717DCCA2">
      <w:pPr>
        <w:pStyle w:val="13"/>
        <w:numPr>
          <w:ilvl w:val="0"/>
          <w:numId w:val="27"/>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施工记录</w:t>
      </w:r>
    </w:p>
    <w:p w14:paraId="15CA70FA">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施工结束后，按要求填写施工日程表。</w:t>
      </w:r>
    </w:p>
    <w:p w14:paraId="4C57126A">
      <w:pPr>
        <w:pStyle w:val="13"/>
        <w:numPr>
          <w:ilvl w:val="0"/>
          <w:numId w:val="0"/>
        </w:numPr>
        <w:snapToGrid w:val="0"/>
        <w:spacing w:line="360" w:lineRule="auto"/>
        <w:contextualSpacing/>
        <w:rPr>
          <w:rFonts w:hint="eastAsia" w:ascii="宋体" w:hAnsi="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(五)</w:t>
      </w:r>
      <w:r>
        <w:rPr>
          <w:rFonts w:hint="eastAsia" w:ascii="宋体" w:hAnsi="宋体" w:cs="宋体"/>
          <w:iCs/>
          <w:color w:val="auto"/>
          <w:kern w:val="2"/>
          <w:sz w:val="21"/>
          <w:szCs w:val="21"/>
          <w:highlight w:val="none"/>
          <w:lang w:val="en-US" w:eastAsia="zh-CN" w:bidi="ar-SA"/>
        </w:rPr>
        <w:t>质量控制</w:t>
      </w:r>
    </w:p>
    <w:p w14:paraId="472C77D0">
      <w:pPr>
        <w:pStyle w:val="13"/>
        <w:numPr>
          <w:ilvl w:val="0"/>
          <w:numId w:val="28"/>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default" w:ascii="宋体" w:hAnsi="宋体" w:cs="宋体"/>
          <w:iCs/>
          <w:color w:val="auto"/>
          <w:kern w:val="2"/>
          <w:sz w:val="21"/>
          <w:szCs w:val="21"/>
          <w:highlight w:val="none"/>
          <w:lang w:val="en-US" w:eastAsia="zh-CN" w:bidi="ar-SA"/>
        </w:rPr>
        <w:t>密度监测：每月</w:t>
      </w:r>
      <w:r>
        <w:rPr>
          <w:rFonts w:hint="eastAsia" w:ascii="宋体" w:hAnsi="宋体" w:eastAsia="宋体" w:cs="宋体"/>
          <w:iCs/>
          <w:color w:val="auto"/>
          <w:szCs w:val="21"/>
          <w:highlight w:val="none"/>
          <w:lang w:val="en-US" w:eastAsia="zh-CN"/>
        </w:rPr>
        <w:t>成交供应商</w:t>
      </w:r>
      <w:r>
        <w:rPr>
          <w:rFonts w:hint="default" w:ascii="宋体" w:hAnsi="宋体" w:cs="宋体"/>
          <w:iCs/>
          <w:color w:val="auto"/>
          <w:kern w:val="2"/>
          <w:sz w:val="21"/>
          <w:szCs w:val="21"/>
          <w:highlight w:val="none"/>
          <w:lang w:val="en-US" w:eastAsia="zh-CN" w:bidi="ar-SA"/>
        </w:rPr>
        <w:t>进行一次自查，每月配合镇卫健局和镇疾控中心进行第三方效果评估，根据实际情况进行动态调整评估次数。若四害密度不能达到国家标准C级，则增加次数以确保达标，且不得要求增加费用。</w:t>
      </w:r>
    </w:p>
    <w:p w14:paraId="652CCC41">
      <w:pPr>
        <w:pStyle w:val="13"/>
        <w:numPr>
          <w:ilvl w:val="0"/>
          <w:numId w:val="28"/>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default" w:ascii="宋体" w:hAnsi="宋体" w:cs="宋体"/>
          <w:iCs/>
          <w:color w:val="auto"/>
          <w:kern w:val="2"/>
          <w:sz w:val="21"/>
          <w:szCs w:val="21"/>
          <w:highlight w:val="none"/>
          <w:lang w:val="en-US" w:eastAsia="zh-CN" w:bidi="ar-SA"/>
        </w:rPr>
        <w:t>数字化管理：</w:t>
      </w:r>
      <w:r>
        <w:rPr>
          <w:rFonts w:hint="eastAsia" w:ascii="宋体" w:hAnsi="宋体" w:eastAsia="宋体" w:cs="宋体"/>
          <w:iCs/>
          <w:color w:val="auto"/>
          <w:szCs w:val="21"/>
          <w:highlight w:val="none"/>
          <w:lang w:val="en-US" w:eastAsia="zh-CN"/>
        </w:rPr>
        <w:t>成交供应商</w:t>
      </w:r>
      <w:r>
        <w:rPr>
          <w:rFonts w:hint="default" w:ascii="宋体" w:hAnsi="宋体" w:cs="宋体"/>
          <w:iCs/>
          <w:color w:val="auto"/>
          <w:kern w:val="2"/>
          <w:sz w:val="21"/>
          <w:szCs w:val="21"/>
          <w:highlight w:val="none"/>
          <w:lang w:val="en-US" w:eastAsia="zh-CN" w:bidi="ar-SA"/>
        </w:rPr>
        <w:t>建立“周巡月更”管理台账，对每次投药量、消杀点位进行记录，实现可追溯。</w:t>
      </w:r>
    </w:p>
    <w:p w14:paraId="223DAFB2">
      <w:pPr>
        <w:pStyle w:val="13"/>
        <w:numPr>
          <w:ilvl w:val="0"/>
          <w:numId w:val="28"/>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default" w:ascii="宋体" w:hAnsi="宋体" w:cs="宋体"/>
          <w:iCs/>
          <w:color w:val="auto"/>
          <w:kern w:val="2"/>
          <w:sz w:val="21"/>
          <w:szCs w:val="21"/>
          <w:highlight w:val="none"/>
          <w:lang w:val="en-US" w:eastAsia="zh-CN" w:bidi="ar-SA"/>
        </w:rPr>
        <w:t>联合督导配合：</w:t>
      </w:r>
      <w:r>
        <w:rPr>
          <w:rFonts w:hint="eastAsia" w:ascii="宋体" w:hAnsi="宋体" w:eastAsia="宋体" w:cs="宋体"/>
          <w:iCs/>
          <w:color w:val="auto"/>
          <w:szCs w:val="21"/>
          <w:highlight w:val="none"/>
          <w:lang w:val="en-US" w:eastAsia="zh-CN"/>
        </w:rPr>
        <w:t>成交供应商</w:t>
      </w:r>
      <w:r>
        <w:rPr>
          <w:rFonts w:hint="default" w:ascii="宋体" w:hAnsi="宋体" w:cs="宋体"/>
          <w:iCs/>
          <w:color w:val="auto"/>
          <w:kern w:val="2"/>
          <w:sz w:val="21"/>
          <w:szCs w:val="21"/>
          <w:highlight w:val="none"/>
          <w:lang w:val="en-US" w:eastAsia="zh-CN" w:bidi="ar-SA"/>
        </w:rPr>
        <w:t>配合我局的检查工作，对发现的风险点（如闲置地、卫生死角）立即整改。</w:t>
      </w:r>
    </w:p>
    <w:p w14:paraId="01D8DD8C">
      <w:pPr>
        <w:pStyle w:val="13"/>
        <w:numPr>
          <w:ilvl w:val="0"/>
          <w:numId w:val="0"/>
        </w:numPr>
        <w:snapToGrid w:val="0"/>
        <w:spacing w:line="360" w:lineRule="auto"/>
        <w:ind w:left="420" w:leftChars="0" w:hanging="42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w:t>
      </w:r>
      <w:r>
        <w:rPr>
          <w:rFonts w:hint="eastAsia" w:ascii="宋体" w:hAnsi="宋体" w:cs="宋体"/>
          <w:iCs/>
          <w:color w:val="auto"/>
          <w:kern w:val="2"/>
          <w:sz w:val="21"/>
          <w:szCs w:val="21"/>
          <w:highlight w:val="none"/>
          <w:lang w:val="en-US" w:eastAsia="zh-CN" w:bidi="ar-SA"/>
        </w:rPr>
        <w:t>六</w:t>
      </w:r>
      <w:r>
        <w:rPr>
          <w:rFonts w:hint="eastAsia" w:ascii="宋体" w:hAnsi="宋体" w:eastAsia="宋体" w:cs="宋体"/>
          <w:iCs/>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其他要求</w:t>
      </w:r>
    </w:p>
    <w:p w14:paraId="648FAC47">
      <w:pPr>
        <w:pStyle w:val="13"/>
        <w:numPr>
          <w:ilvl w:val="0"/>
          <w:numId w:val="2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成交供应商须针对项目实施期间可能出现的台风、极端天气、重大接待、节假日活动、病媒生物异常等各类突发事件及特殊情形，编制专项应急处置方案，明确信息传达流程、人员设备调配方式及岗位责任分工；同时建立常态化应急工作预案，储备固定作业人员与应急物资，遇自然灾害、紧急任务、突击保障等情况，须第一时间响应采购人调度安排，主动配合加班作业，确保各项应急保障工作按时保质落实到位。</w:t>
      </w:r>
    </w:p>
    <w:p w14:paraId="19426EA1">
      <w:pPr>
        <w:pStyle w:val="13"/>
        <w:numPr>
          <w:ilvl w:val="0"/>
          <w:numId w:val="2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成交</w:t>
      </w:r>
      <w:r>
        <w:rPr>
          <w:rFonts w:hint="default" w:ascii="宋体" w:hAnsi="宋体" w:cs="宋体"/>
          <w:iCs/>
          <w:color w:val="auto"/>
          <w:kern w:val="2"/>
          <w:sz w:val="21"/>
          <w:szCs w:val="21"/>
          <w:highlight w:val="none"/>
          <w:lang w:val="en-US" w:eastAsia="zh-CN" w:bidi="ar-SA"/>
        </w:rPr>
        <w:t>供应商在接到采购人、属地社区的现场处置及协助工作通知后，须及时安排管理人员到场跟进，全程配合开展相关处置工作。若现场问题无法即时完成整改处理，工作人员需在规定时限内，及时向采购人及属地社区反馈整改进度与处置结果。</w:t>
      </w:r>
    </w:p>
    <w:p w14:paraId="716E17B2">
      <w:pPr>
        <w:pStyle w:val="13"/>
        <w:numPr>
          <w:ilvl w:val="0"/>
          <w:numId w:val="2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成交</w:t>
      </w:r>
      <w:r>
        <w:rPr>
          <w:rFonts w:hint="default" w:ascii="宋体" w:hAnsi="宋体" w:cs="宋体"/>
          <w:iCs/>
          <w:color w:val="auto"/>
          <w:kern w:val="2"/>
          <w:sz w:val="21"/>
          <w:szCs w:val="21"/>
          <w:highlight w:val="none"/>
          <w:lang w:val="en-US" w:eastAsia="zh-CN" w:bidi="ar-SA"/>
        </w:rPr>
        <w:t>供应商须自觉接受并积极配合采购人、属地社区、专项检查组、疾控部门及相关职能部门的日常监督、现场检查与业务指导。同时主动服从采购人安排的各类突击整治、迎检保障</w:t>
      </w:r>
      <w:r>
        <w:rPr>
          <w:rFonts w:hint="eastAsia" w:ascii="宋体" w:hAnsi="宋体" w:cs="宋体"/>
          <w:iCs/>
          <w:color w:val="auto"/>
          <w:kern w:val="2"/>
          <w:sz w:val="21"/>
          <w:szCs w:val="21"/>
          <w:highlight w:val="none"/>
          <w:lang w:val="en-US" w:eastAsia="zh-CN" w:bidi="ar-SA"/>
        </w:rPr>
        <w:t>、上级文件要求</w:t>
      </w:r>
      <w:r>
        <w:rPr>
          <w:rFonts w:hint="default" w:ascii="宋体" w:hAnsi="宋体" w:cs="宋体"/>
          <w:iCs/>
          <w:color w:val="auto"/>
          <w:kern w:val="2"/>
          <w:sz w:val="21"/>
          <w:szCs w:val="21"/>
          <w:highlight w:val="none"/>
          <w:lang w:val="en-US" w:eastAsia="zh-CN" w:bidi="ar-SA"/>
        </w:rPr>
        <w:t>等临时工作任务，严格按照工作标准与时限要求，保质保量完成各项分配工作。</w:t>
      </w:r>
    </w:p>
    <w:p w14:paraId="4DA8C96F">
      <w:pPr>
        <w:pStyle w:val="13"/>
        <w:numPr>
          <w:ilvl w:val="0"/>
          <w:numId w:val="2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成交</w:t>
      </w:r>
      <w:r>
        <w:rPr>
          <w:rFonts w:hint="default" w:ascii="宋体" w:hAnsi="宋体" w:cs="宋体"/>
          <w:iCs/>
          <w:color w:val="auto"/>
          <w:kern w:val="2"/>
          <w:sz w:val="21"/>
          <w:szCs w:val="21"/>
          <w:highlight w:val="none"/>
          <w:lang w:val="en-US" w:eastAsia="zh-CN" w:bidi="ar-SA"/>
        </w:rPr>
        <w:t>供应商需定期组织全员岗前培训，内容涵盖作业安全规范、交通出行准则、消防安全常识、服务质量标准及实操操作技能等内容。要求全体作业人员熟知岗位职责、作业区域、工作时段、服务要求及质量标准；作业前统一规范着装，保持仪容整洁，佩戴工作证件，备齐作业工具，准时抵达作业点位开展工作。所有人员须经培训考核合格后方可上岗作业</w:t>
      </w:r>
      <w:r>
        <w:rPr>
          <w:rFonts w:hint="eastAsia" w:ascii="宋体" w:hAnsi="宋体" w:cs="宋体"/>
          <w:iCs/>
          <w:color w:val="auto"/>
          <w:kern w:val="2"/>
          <w:sz w:val="21"/>
          <w:szCs w:val="21"/>
          <w:highlight w:val="none"/>
          <w:lang w:val="en-US" w:eastAsia="zh-CN" w:bidi="ar-SA"/>
        </w:rPr>
        <w:t>。</w:t>
      </w:r>
    </w:p>
    <w:p w14:paraId="0BBB8C3D">
      <w:pPr>
        <w:pStyle w:val="13"/>
        <w:numPr>
          <w:ilvl w:val="0"/>
          <w:numId w:val="2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成交</w:t>
      </w:r>
      <w:r>
        <w:rPr>
          <w:rFonts w:hint="default" w:ascii="宋体" w:hAnsi="宋体" w:cs="宋体"/>
          <w:iCs/>
          <w:color w:val="auto"/>
          <w:kern w:val="2"/>
          <w:sz w:val="21"/>
          <w:szCs w:val="21"/>
          <w:highlight w:val="none"/>
          <w:lang w:val="en-US" w:eastAsia="zh-CN" w:bidi="ar-SA"/>
        </w:rPr>
        <w:t>供应商须要求全体员工遵纪守法，在岗期间认真履职、安全文明作业，主动接受采购人、属地社区及相关部门的监督指导，严格遵守各项管理制度与作业规范。严禁弄虚作假，不得借工作之便开展违规违纪及超出合同约定的行为。同时，除四害监督人员需全程巡查跟进各项作业质量，确保服务达到合同标准。</w:t>
      </w:r>
    </w:p>
    <w:p w14:paraId="5E82E75E">
      <w:pPr>
        <w:pStyle w:val="13"/>
        <w:numPr>
          <w:ilvl w:val="0"/>
          <w:numId w:val="2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成交</w:t>
      </w:r>
      <w:r>
        <w:rPr>
          <w:rFonts w:hint="default" w:ascii="宋体" w:hAnsi="宋体" w:cs="宋体"/>
          <w:iCs/>
          <w:color w:val="auto"/>
          <w:kern w:val="2"/>
          <w:sz w:val="21"/>
          <w:szCs w:val="21"/>
          <w:highlight w:val="none"/>
          <w:lang w:val="en-US" w:eastAsia="zh-CN" w:bidi="ar-SA"/>
        </w:rPr>
        <w:t>供应商需做好日常工作台账记录，如实填写各类巡查、作业及验收表格，安排专人负责日常检查、资料整理与归档留存。完整保存各类工作资料，确保内容真实有效，为日常检查、督导工作提供可靠依据。</w:t>
      </w:r>
    </w:p>
    <w:p w14:paraId="0C5CF580">
      <w:pPr>
        <w:pStyle w:val="13"/>
        <w:numPr>
          <w:ilvl w:val="0"/>
          <w:numId w:val="29"/>
        </w:numPr>
        <w:tabs>
          <w:tab w:val="left" w:pos="420"/>
        </w:tabs>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成交供应商接到采购人日常及紧急处置通知后，须在2小时内抵达现场，及时开展消杀、处置等服务工作。</w:t>
      </w:r>
    </w:p>
    <w:p w14:paraId="739B519C">
      <w:pPr>
        <w:pStyle w:val="13"/>
        <w:numPr>
          <w:ilvl w:val="0"/>
          <w:numId w:val="30"/>
        </w:numPr>
        <w:snapToGrid w:val="0"/>
        <w:spacing w:line="360" w:lineRule="auto"/>
        <w:ind w:left="420" w:leftChars="0" w:hanging="420"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w:t>
      </w:r>
      <w:r>
        <w:rPr>
          <w:rFonts w:hint="eastAsia" w:ascii="宋体" w:hAnsi="宋体" w:eastAsia="宋体" w:cs="宋体"/>
          <w:iCs/>
          <w:color w:val="auto"/>
          <w:szCs w:val="21"/>
          <w:highlight w:val="none"/>
          <w:lang w:eastAsia="zh-CN"/>
        </w:rPr>
        <w:t>石龙镇病媒生物防制考核评分表</w:t>
      </w:r>
      <w:r>
        <w:rPr>
          <w:rFonts w:hint="eastAsia" w:ascii="宋体" w:hAnsi="宋体" w:eastAsia="宋体" w:cs="宋体"/>
          <w:iCs/>
          <w:color w:val="auto"/>
          <w:szCs w:val="21"/>
          <w:highlight w:val="none"/>
          <w:lang w:val="en-US" w:eastAsia="zh-CN"/>
        </w:rPr>
        <w:t>》</w:t>
      </w:r>
    </w:p>
    <w:p w14:paraId="5853247B">
      <w:pPr>
        <w:pStyle w:val="13"/>
        <w:numPr>
          <w:ilvl w:val="0"/>
          <w:numId w:val="0"/>
        </w:numPr>
        <w:snapToGrid w:val="0"/>
        <w:spacing w:line="360" w:lineRule="auto"/>
        <w:ind w:left="0" w:leftChars="0" w:firstLine="218" w:firstLineChars="104"/>
        <w:contextualSpacing/>
        <w:rPr>
          <w:rFonts w:hint="eastAsia" w:ascii="宋体" w:hAnsi="宋体" w:eastAsia="宋体" w:cs="宋体"/>
          <w:iCs/>
          <w:color w:val="auto"/>
          <w:szCs w:val="21"/>
          <w:highlight w:val="none"/>
          <w:lang w:val="en-US" w:eastAsia="zh-CN"/>
        </w:rPr>
      </w:pPr>
      <w:r>
        <w:rPr>
          <w:rFonts w:hint="eastAsia"/>
          <w:highlight w:val="none"/>
          <w:lang w:val="en-US" w:eastAsia="zh-CN"/>
        </w:rPr>
        <w:t>附件1：</w:t>
      </w:r>
      <w:r>
        <w:rPr>
          <w:rFonts w:hint="eastAsia" w:ascii="宋体" w:hAnsi="宋体" w:eastAsia="宋体" w:cs="宋体"/>
          <w:iCs/>
          <w:color w:val="auto"/>
          <w:szCs w:val="21"/>
          <w:highlight w:val="none"/>
          <w:lang w:val="en-US" w:eastAsia="zh-CN"/>
        </w:rPr>
        <w:t>《</w:t>
      </w:r>
      <w:r>
        <w:rPr>
          <w:rFonts w:hint="eastAsia" w:ascii="宋体" w:hAnsi="宋体" w:eastAsia="宋体" w:cs="宋体"/>
          <w:iCs/>
          <w:color w:val="auto"/>
          <w:szCs w:val="21"/>
          <w:highlight w:val="none"/>
          <w:lang w:eastAsia="zh-CN"/>
        </w:rPr>
        <w:t>石龙镇病媒生物防制考核评分表</w:t>
      </w:r>
      <w:r>
        <w:rPr>
          <w:rFonts w:hint="eastAsia" w:ascii="宋体" w:hAnsi="宋体" w:eastAsia="宋体" w:cs="宋体"/>
          <w:iCs/>
          <w:color w:val="auto"/>
          <w:szCs w:val="21"/>
          <w:highlight w:val="none"/>
          <w:lang w:val="en-US" w:eastAsia="zh-CN"/>
        </w:rPr>
        <w:t>》</w:t>
      </w:r>
    </w:p>
    <w:tbl>
      <w:tblPr>
        <w:tblStyle w:val="6"/>
        <w:tblW w:w="4821" w:type="pct"/>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39"/>
        <w:gridCol w:w="708"/>
        <w:gridCol w:w="3889"/>
        <w:gridCol w:w="600"/>
        <w:gridCol w:w="2533"/>
        <w:gridCol w:w="431"/>
        <w:gridCol w:w="378"/>
      </w:tblGrid>
      <w:tr w14:paraId="2C79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244" w:type="pct"/>
            <w:shd w:val="clear" w:color="auto" w:fill="auto"/>
            <w:tcMar>
              <w:top w:w="120" w:type="dxa"/>
              <w:left w:w="120" w:type="dxa"/>
              <w:bottom w:w="120" w:type="dxa"/>
              <w:right w:w="120" w:type="dxa"/>
            </w:tcMar>
            <w:vAlign w:val="center"/>
          </w:tcPr>
          <w:p w14:paraId="4663FE3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序号</w:t>
            </w:r>
          </w:p>
        </w:tc>
        <w:tc>
          <w:tcPr>
            <w:tcW w:w="394" w:type="pct"/>
            <w:shd w:val="clear" w:color="auto" w:fill="auto"/>
            <w:tcMar>
              <w:top w:w="120" w:type="dxa"/>
              <w:left w:w="120" w:type="dxa"/>
              <w:bottom w:w="120" w:type="dxa"/>
              <w:right w:w="120" w:type="dxa"/>
            </w:tcMar>
            <w:vAlign w:val="center"/>
          </w:tcPr>
          <w:p w14:paraId="7DA1534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考核项目</w:t>
            </w:r>
          </w:p>
        </w:tc>
        <w:tc>
          <w:tcPr>
            <w:tcW w:w="2165" w:type="pct"/>
            <w:shd w:val="clear" w:color="auto" w:fill="auto"/>
            <w:tcMar>
              <w:top w:w="120" w:type="dxa"/>
              <w:left w:w="120" w:type="dxa"/>
              <w:bottom w:w="120" w:type="dxa"/>
              <w:right w:w="120" w:type="dxa"/>
            </w:tcMar>
            <w:vAlign w:val="center"/>
          </w:tcPr>
          <w:p w14:paraId="3A57BA5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考核内容</w:t>
            </w:r>
          </w:p>
        </w:tc>
        <w:tc>
          <w:tcPr>
            <w:tcW w:w="334" w:type="pct"/>
            <w:shd w:val="clear" w:color="auto" w:fill="auto"/>
            <w:tcMar>
              <w:top w:w="120" w:type="dxa"/>
              <w:left w:w="120" w:type="dxa"/>
              <w:bottom w:w="120" w:type="dxa"/>
              <w:right w:w="120" w:type="dxa"/>
            </w:tcMar>
            <w:vAlign w:val="center"/>
          </w:tcPr>
          <w:p w14:paraId="3F8C2A1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分值</w:t>
            </w:r>
          </w:p>
        </w:tc>
        <w:tc>
          <w:tcPr>
            <w:tcW w:w="1410" w:type="pct"/>
            <w:shd w:val="clear" w:color="auto" w:fill="auto"/>
            <w:tcMar>
              <w:top w:w="120" w:type="dxa"/>
              <w:left w:w="120" w:type="dxa"/>
              <w:bottom w:w="120" w:type="dxa"/>
              <w:right w:w="120" w:type="dxa"/>
            </w:tcMar>
            <w:vAlign w:val="center"/>
          </w:tcPr>
          <w:p w14:paraId="36220FA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扣分标准</w:t>
            </w:r>
          </w:p>
        </w:tc>
        <w:tc>
          <w:tcPr>
            <w:tcW w:w="240" w:type="pct"/>
            <w:shd w:val="clear" w:color="auto" w:fill="auto"/>
            <w:tcMar>
              <w:top w:w="120" w:type="dxa"/>
              <w:left w:w="120" w:type="dxa"/>
              <w:bottom w:w="120" w:type="dxa"/>
              <w:right w:w="120" w:type="dxa"/>
            </w:tcMar>
            <w:vAlign w:val="center"/>
          </w:tcPr>
          <w:p w14:paraId="671609B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考核扣分</w:t>
            </w:r>
          </w:p>
        </w:tc>
        <w:tc>
          <w:tcPr>
            <w:tcW w:w="210" w:type="pct"/>
            <w:shd w:val="clear" w:color="auto" w:fill="auto"/>
            <w:tcMar>
              <w:top w:w="120" w:type="dxa"/>
              <w:left w:w="120" w:type="dxa"/>
              <w:bottom w:w="120" w:type="dxa"/>
              <w:right w:w="120" w:type="dxa"/>
            </w:tcMar>
            <w:vAlign w:val="center"/>
          </w:tcPr>
          <w:p w14:paraId="3E19147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备注</w:t>
            </w:r>
          </w:p>
        </w:tc>
      </w:tr>
      <w:tr w14:paraId="663C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9" w:hRule="atLeast"/>
        </w:trPr>
        <w:tc>
          <w:tcPr>
            <w:tcW w:w="244" w:type="pct"/>
            <w:vMerge w:val="restart"/>
            <w:shd w:val="clear" w:color="auto" w:fill="auto"/>
            <w:tcMar>
              <w:top w:w="120" w:type="dxa"/>
              <w:left w:w="120" w:type="dxa"/>
              <w:bottom w:w="120" w:type="dxa"/>
              <w:right w:w="120" w:type="dxa"/>
            </w:tcMar>
            <w:vAlign w:val="center"/>
          </w:tcPr>
          <w:p w14:paraId="3BC87FB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一</w:t>
            </w:r>
          </w:p>
        </w:tc>
        <w:tc>
          <w:tcPr>
            <w:tcW w:w="394" w:type="pct"/>
            <w:vMerge w:val="restart"/>
            <w:shd w:val="clear" w:color="auto" w:fill="auto"/>
            <w:tcMar>
              <w:top w:w="120" w:type="dxa"/>
              <w:left w:w="120" w:type="dxa"/>
              <w:bottom w:w="120" w:type="dxa"/>
              <w:right w:w="120" w:type="dxa"/>
            </w:tcMar>
            <w:vAlign w:val="center"/>
          </w:tcPr>
          <w:p w14:paraId="376628F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人员与综合管理</w:t>
            </w:r>
          </w:p>
        </w:tc>
        <w:tc>
          <w:tcPr>
            <w:tcW w:w="2165" w:type="pct"/>
            <w:shd w:val="clear" w:color="auto" w:fill="auto"/>
            <w:tcMar>
              <w:top w:w="120" w:type="dxa"/>
              <w:left w:w="120" w:type="dxa"/>
              <w:bottom w:w="120" w:type="dxa"/>
              <w:right w:w="120" w:type="dxa"/>
            </w:tcMar>
            <w:vAlign w:val="center"/>
          </w:tcPr>
          <w:p w14:paraId="0663E45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w:t>
            </w:r>
            <w:r>
              <w:rPr>
                <w:rFonts w:hint="eastAsia" w:ascii="宋体" w:hAnsi="宋体" w:eastAsia="宋体" w:cs="宋体"/>
                <w:iCs/>
                <w:color w:val="auto"/>
                <w:kern w:val="2"/>
                <w:sz w:val="21"/>
                <w:szCs w:val="21"/>
                <w:highlight w:val="none"/>
                <w:lang w:val="en-US" w:eastAsia="zh-CN" w:bidi="ar-SA"/>
              </w:rPr>
              <w:t>成交人</w:t>
            </w:r>
            <w:r>
              <w:rPr>
                <w:rFonts w:hint="eastAsia" w:ascii="宋体" w:hAnsi="宋体" w:eastAsia="宋体" w:cs="宋体"/>
                <w:iCs/>
                <w:color w:val="auto"/>
                <w:sz w:val="21"/>
                <w:szCs w:val="21"/>
                <w:highlight w:val="none"/>
                <w:lang w:val="en-US" w:eastAsia="zh-CN"/>
              </w:rPr>
              <w:t>须固定管理人员及专业作业人员全程提供服务，所有人员须持有效上岗证、专业技术证书，不得擅自更换投标备案人员，更换需提前经采购人同意。</w:t>
            </w:r>
          </w:p>
        </w:tc>
        <w:tc>
          <w:tcPr>
            <w:tcW w:w="334" w:type="pct"/>
            <w:shd w:val="clear" w:color="auto" w:fill="auto"/>
            <w:tcMar>
              <w:top w:w="120" w:type="dxa"/>
              <w:left w:w="120" w:type="dxa"/>
              <w:bottom w:w="120" w:type="dxa"/>
              <w:right w:w="120" w:type="dxa"/>
            </w:tcMar>
            <w:vAlign w:val="center"/>
          </w:tcPr>
          <w:p w14:paraId="74B97F5B">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2E71077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每发现1次不符合要求，扣1分，扣完为止。</w:t>
            </w:r>
          </w:p>
        </w:tc>
        <w:tc>
          <w:tcPr>
            <w:tcW w:w="240" w:type="pct"/>
            <w:shd w:val="clear" w:color="auto" w:fill="auto"/>
            <w:tcMar>
              <w:top w:w="120" w:type="dxa"/>
              <w:left w:w="120" w:type="dxa"/>
              <w:bottom w:w="120" w:type="dxa"/>
              <w:right w:w="120" w:type="dxa"/>
            </w:tcMar>
            <w:vAlign w:val="center"/>
          </w:tcPr>
          <w:p w14:paraId="4DEA369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1D2ED1A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3946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7" w:hRule="atLeast"/>
        </w:trPr>
        <w:tc>
          <w:tcPr>
            <w:tcW w:w="244" w:type="pct"/>
            <w:vMerge w:val="continue"/>
            <w:shd w:val="clear" w:color="auto" w:fill="auto"/>
            <w:tcMar>
              <w:top w:w="120" w:type="dxa"/>
              <w:left w:w="120" w:type="dxa"/>
              <w:bottom w:w="120" w:type="dxa"/>
              <w:right w:w="120" w:type="dxa"/>
            </w:tcMar>
            <w:vAlign w:val="center"/>
          </w:tcPr>
          <w:p w14:paraId="452ECAC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7A4D8FC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198FA31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2.作业人员须统一着装、佩戴标识上岗。</w:t>
            </w:r>
          </w:p>
        </w:tc>
        <w:tc>
          <w:tcPr>
            <w:tcW w:w="334" w:type="pct"/>
            <w:shd w:val="clear" w:color="auto" w:fill="auto"/>
            <w:tcMar>
              <w:top w:w="120" w:type="dxa"/>
              <w:left w:w="120" w:type="dxa"/>
              <w:bottom w:w="120" w:type="dxa"/>
              <w:right w:w="120" w:type="dxa"/>
            </w:tcMar>
            <w:vAlign w:val="center"/>
          </w:tcPr>
          <w:p w14:paraId="2C0BDB35">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760DC81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每发现1人未按要求着装、佩戴标识，扣0.5分，扣完为止。</w:t>
            </w:r>
          </w:p>
        </w:tc>
        <w:tc>
          <w:tcPr>
            <w:tcW w:w="240" w:type="pct"/>
            <w:shd w:val="clear" w:color="auto" w:fill="auto"/>
            <w:tcMar>
              <w:top w:w="120" w:type="dxa"/>
              <w:left w:w="120" w:type="dxa"/>
              <w:bottom w:w="120" w:type="dxa"/>
              <w:right w:w="120" w:type="dxa"/>
            </w:tcMar>
            <w:vAlign w:val="center"/>
          </w:tcPr>
          <w:p w14:paraId="2E95D05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7E3CD1B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76FD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8" w:hRule="atLeast"/>
        </w:trPr>
        <w:tc>
          <w:tcPr>
            <w:tcW w:w="244" w:type="pct"/>
            <w:vMerge w:val="continue"/>
            <w:shd w:val="clear" w:color="auto" w:fill="auto"/>
            <w:tcMar>
              <w:top w:w="120" w:type="dxa"/>
              <w:left w:w="120" w:type="dxa"/>
              <w:bottom w:w="120" w:type="dxa"/>
              <w:right w:w="120" w:type="dxa"/>
            </w:tcMar>
            <w:vAlign w:val="center"/>
          </w:tcPr>
          <w:p w14:paraId="4473EE3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3BE7C68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4C3A244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3.工作人员数量需符合投标文件承诺标准。</w:t>
            </w:r>
          </w:p>
        </w:tc>
        <w:tc>
          <w:tcPr>
            <w:tcW w:w="334" w:type="pct"/>
            <w:shd w:val="clear" w:color="auto" w:fill="auto"/>
            <w:tcMar>
              <w:top w:w="120" w:type="dxa"/>
              <w:left w:w="120" w:type="dxa"/>
              <w:bottom w:w="120" w:type="dxa"/>
              <w:right w:w="120" w:type="dxa"/>
            </w:tcMar>
            <w:vAlign w:val="center"/>
          </w:tcPr>
          <w:p w14:paraId="745E7C7E">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6D5F54D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人员数量每少1人，扣0.5分，扣完为止。</w:t>
            </w:r>
          </w:p>
        </w:tc>
        <w:tc>
          <w:tcPr>
            <w:tcW w:w="240" w:type="pct"/>
            <w:shd w:val="clear" w:color="auto" w:fill="auto"/>
            <w:tcMar>
              <w:top w:w="120" w:type="dxa"/>
              <w:left w:w="120" w:type="dxa"/>
              <w:bottom w:w="120" w:type="dxa"/>
              <w:right w:w="120" w:type="dxa"/>
            </w:tcMar>
            <w:vAlign w:val="center"/>
          </w:tcPr>
          <w:p w14:paraId="421E55E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215593F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37C2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9" w:hRule="atLeast"/>
        </w:trPr>
        <w:tc>
          <w:tcPr>
            <w:tcW w:w="244" w:type="pct"/>
            <w:vMerge w:val="continue"/>
            <w:shd w:val="clear" w:color="auto" w:fill="auto"/>
            <w:tcMar>
              <w:top w:w="120" w:type="dxa"/>
              <w:left w:w="120" w:type="dxa"/>
              <w:bottom w:w="120" w:type="dxa"/>
              <w:right w:w="120" w:type="dxa"/>
            </w:tcMar>
            <w:vAlign w:val="center"/>
          </w:tcPr>
          <w:p w14:paraId="720DFA2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402617B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11F7491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4.工作人员须持证上岗，文明作业，与群众保持良好沟通，无有效投诉。</w:t>
            </w:r>
          </w:p>
        </w:tc>
        <w:tc>
          <w:tcPr>
            <w:tcW w:w="334" w:type="pct"/>
            <w:shd w:val="clear" w:color="auto" w:fill="auto"/>
            <w:tcMar>
              <w:top w:w="120" w:type="dxa"/>
              <w:left w:w="120" w:type="dxa"/>
              <w:bottom w:w="120" w:type="dxa"/>
              <w:right w:w="120" w:type="dxa"/>
            </w:tcMar>
            <w:vAlign w:val="center"/>
          </w:tcPr>
          <w:p w14:paraId="45C64986">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2484BCA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无证上岗每人次扣0.5分；经查实的群众有效投诉，每次扣0.5分，扣完为止。</w:t>
            </w:r>
          </w:p>
        </w:tc>
        <w:tc>
          <w:tcPr>
            <w:tcW w:w="240" w:type="pct"/>
            <w:shd w:val="clear" w:color="auto" w:fill="auto"/>
            <w:tcMar>
              <w:top w:w="120" w:type="dxa"/>
              <w:left w:w="120" w:type="dxa"/>
              <w:bottom w:w="120" w:type="dxa"/>
              <w:right w:w="120" w:type="dxa"/>
            </w:tcMar>
            <w:vAlign w:val="center"/>
          </w:tcPr>
          <w:p w14:paraId="3489C7A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E84776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736D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2" w:hRule="atLeast"/>
        </w:trPr>
        <w:tc>
          <w:tcPr>
            <w:tcW w:w="244" w:type="pct"/>
            <w:vMerge w:val="continue"/>
            <w:shd w:val="clear" w:color="auto" w:fill="auto"/>
            <w:tcMar>
              <w:top w:w="120" w:type="dxa"/>
              <w:left w:w="120" w:type="dxa"/>
              <w:bottom w:w="120" w:type="dxa"/>
              <w:right w:w="120" w:type="dxa"/>
            </w:tcMar>
            <w:vAlign w:val="center"/>
          </w:tcPr>
          <w:p w14:paraId="3E3EC39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CC2F61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1752528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5.每月按要求（包括次数和标准等）完成除“四害”消杀行动，留存完整作业台账、工作记录。</w:t>
            </w:r>
          </w:p>
        </w:tc>
        <w:tc>
          <w:tcPr>
            <w:tcW w:w="334" w:type="pct"/>
            <w:shd w:val="clear" w:color="auto" w:fill="auto"/>
            <w:tcMar>
              <w:top w:w="120" w:type="dxa"/>
              <w:left w:w="120" w:type="dxa"/>
              <w:bottom w:w="120" w:type="dxa"/>
              <w:right w:w="120" w:type="dxa"/>
            </w:tcMar>
            <w:vAlign w:val="center"/>
          </w:tcPr>
          <w:p w14:paraId="31800ABF">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38F838D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未按要求开展月度消杀、无完整行动台账，每次扣2分，扣完为止。</w:t>
            </w:r>
          </w:p>
        </w:tc>
        <w:tc>
          <w:tcPr>
            <w:tcW w:w="240" w:type="pct"/>
            <w:shd w:val="clear" w:color="auto" w:fill="auto"/>
            <w:tcMar>
              <w:top w:w="120" w:type="dxa"/>
              <w:left w:w="120" w:type="dxa"/>
              <w:bottom w:w="120" w:type="dxa"/>
              <w:right w:w="120" w:type="dxa"/>
            </w:tcMar>
            <w:vAlign w:val="center"/>
          </w:tcPr>
          <w:p w14:paraId="1AA8F74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25F584B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6854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9" w:hRule="atLeast"/>
        </w:trPr>
        <w:tc>
          <w:tcPr>
            <w:tcW w:w="244" w:type="pct"/>
            <w:vMerge w:val="continue"/>
            <w:shd w:val="clear" w:color="auto" w:fill="auto"/>
            <w:tcMar>
              <w:top w:w="120" w:type="dxa"/>
              <w:left w:w="120" w:type="dxa"/>
              <w:bottom w:w="120" w:type="dxa"/>
              <w:right w:w="120" w:type="dxa"/>
            </w:tcMar>
            <w:vAlign w:val="center"/>
          </w:tcPr>
          <w:p w14:paraId="5C4749A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A35FAE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3E14CD7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6.积极配合采购人各级检查、督导工作，及时处置突发问题，无被上级通报、媒体曝光、群众负面反馈情况。</w:t>
            </w:r>
          </w:p>
        </w:tc>
        <w:tc>
          <w:tcPr>
            <w:tcW w:w="334" w:type="pct"/>
            <w:shd w:val="clear" w:color="auto" w:fill="auto"/>
            <w:tcMar>
              <w:top w:w="120" w:type="dxa"/>
              <w:left w:w="120" w:type="dxa"/>
              <w:bottom w:w="120" w:type="dxa"/>
              <w:right w:w="120" w:type="dxa"/>
            </w:tcMar>
            <w:vAlign w:val="center"/>
          </w:tcPr>
          <w:p w14:paraId="31903A0B">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5</w:t>
            </w:r>
          </w:p>
        </w:tc>
        <w:tc>
          <w:tcPr>
            <w:tcW w:w="1410" w:type="pct"/>
            <w:shd w:val="clear" w:color="auto" w:fill="auto"/>
            <w:tcMar>
              <w:top w:w="120" w:type="dxa"/>
              <w:left w:w="120" w:type="dxa"/>
              <w:bottom w:w="120" w:type="dxa"/>
              <w:right w:w="120" w:type="dxa"/>
            </w:tcMar>
            <w:vAlign w:val="center"/>
          </w:tcPr>
          <w:p w14:paraId="509FFE8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未配合检查、出现批评投诉、媒体曝光等情况，经查实每次扣1分，扣完为止。</w:t>
            </w:r>
          </w:p>
        </w:tc>
        <w:tc>
          <w:tcPr>
            <w:tcW w:w="240" w:type="pct"/>
            <w:shd w:val="clear" w:color="auto" w:fill="auto"/>
            <w:tcMar>
              <w:top w:w="120" w:type="dxa"/>
              <w:left w:w="120" w:type="dxa"/>
              <w:bottom w:w="120" w:type="dxa"/>
              <w:right w:w="120" w:type="dxa"/>
            </w:tcMar>
            <w:vAlign w:val="center"/>
          </w:tcPr>
          <w:p w14:paraId="7A7D6BE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977DD2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313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2" w:hRule="atLeast"/>
        </w:trPr>
        <w:tc>
          <w:tcPr>
            <w:tcW w:w="244" w:type="pct"/>
            <w:vMerge w:val="continue"/>
            <w:shd w:val="clear" w:color="auto" w:fill="auto"/>
            <w:tcMar>
              <w:top w:w="120" w:type="dxa"/>
              <w:left w:w="120" w:type="dxa"/>
              <w:bottom w:w="120" w:type="dxa"/>
              <w:right w:w="120" w:type="dxa"/>
            </w:tcMar>
            <w:vAlign w:val="center"/>
          </w:tcPr>
          <w:p w14:paraId="6C05CE0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98CFF8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7A3E7CA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7.所用消杀药物、器具须符合国家行业标准，具备正规合格证明，药品三证齐全，作业方式规范合规。</w:t>
            </w:r>
          </w:p>
        </w:tc>
        <w:tc>
          <w:tcPr>
            <w:tcW w:w="334" w:type="pct"/>
            <w:shd w:val="clear" w:color="auto" w:fill="auto"/>
            <w:tcMar>
              <w:top w:w="120" w:type="dxa"/>
              <w:left w:w="120" w:type="dxa"/>
              <w:bottom w:w="120" w:type="dxa"/>
              <w:right w:w="120" w:type="dxa"/>
            </w:tcMar>
            <w:vAlign w:val="center"/>
          </w:tcPr>
          <w:p w14:paraId="38238951">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1737381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每发现1次药品无合格证明、作业方式不规范，扣1分，扣完为止。</w:t>
            </w:r>
          </w:p>
        </w:tc>
        <w:tc>
          <w:tcPr>
            <w:tcW w:w="240" w:type="pct"/>
            <w:shd w:val="clear" w:color="auto" w:fill="auto"/>
            <w:tcMar>
              <w:top w:w="120" w:type="dxa"/>
              <w:left w:w="120" w:type="dxa"/>
              <w:bottom w:w="120" w:type="dxa"/>
              <w:right w:w="120" w:type="dxa"/>
            </w:tcMar>
            <w:vAlign w:val="center"/>
          </w:tcPr>
          <w:p w14:paraId="0D0FCAF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1561038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328A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7A96961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7558359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6F6F6B6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8.严格遵守采购人各项管理规章制度，服从日常监督管理。</w:t>
            </w:r>
          </w:p>
        </w:tc>
        <w:tc>
          <w:tcPr>
            <w:tcW w:w="334" w:type="pct"/>
            <w:shd w:val="clear" w:color="auto" w:fill="auto"/>
            <w:tcMar>
              <w:top w:w="120" w:type="dxa"/>
              <w:left w:w="120" w:type="dxa"/>
              <w:bottom w:w="120" w:type="dxa"/>
              <w:right w:w="120" w:type="dxa"/>
            </w:tcMar>
            <w:vAlign w:val="center"/>
          </w:tcPr>
          <w:p w14:paraId="3DFEC75C">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26C242F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违反管理规定，每次扣2分，扣完为止。</w:t>
            </w:r>
          </w:p>
        </w:tc>
        <w:tc>
          <w:tcPr>
            <w:tcW w:w="240" w:type="pct"/>
            <w:shd w:val="clear" w:color="auto" w:fill="auto"/>
            <w:tcMar>
              <w:top w:w="120" w:type="dxa"/>
              <w:left w:w="120" w:type="dxa"/>
              <w:bottom w:w="120" w:type="dxa"/>
              <w:right w:w="120" w:type="dxa"/>
            </w:tcMar>
            <w:vAlign w:val="center"/>
          </w:tcPr>
          <w:p w14:paraId="2336ECE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1689720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1B92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8" w:hRule="atLeast"/>
        </w:trPr>
        <w:tc>
          <w:tcPr>
            <w:tcW w:w="244" w:type="pct"/>
            <w:vMerge w:val="continue"/>
            <w:shd w:val="clear" w:color="auto" w:fill="auto"/>
            <w:tcMar>
              <w:top w:w="120" w:type="dxa"/>
              <w:left w:w="120" w:type="dxa"/>
              <w:bottom w:w="120" w:type="dxa"/>
              <w:right w:w="120" w:type="dxa"/>
            </w:tcMar>
            <w:vAlign w:val="center"/>
          </w:tcPr>
          <w:p w14:paraId="620F1BA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CD9586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0005E24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9.节假日（春节、元旦、五一、国庆等）及重大活动期间，需提前落实专项除“四害”保障消杀工作。</w:t>
            </w:r>
          </w:p>
        </w:tc>
        <w:tc>
          <w:tcPr>
            <w:tcW w:w="334" w:type="pct"/>
            <w:shd w:val="clear" w:color="auto" w:fill="auto"/>
            <w:tcMar>
              <w:top w:w="120" w:type="dxa"/>
              <w:left w:w="120" w:type="dxa"/>
              <w:bottom w:w="120" w:type="dxa"/>
              <w:right w:w="120" w:type="dxa"/>
            </w:tcMar>
            <w:vAlign w:val="center"/>
          </w:tcPr>
          <w:p w14:paraId="735E1DAB">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5F4FE79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未按要求完成节假日、专项重点消杀保障工作，每次扣2分。</w:t>
            </w:r>
          </w:p>
        </w:tc>
        <w:tc>
          <w:tcPr>
            <w:tcW w:w="240" w:type="pct"/>
            <w:shd w:val="clear" w:color="auto" w:fill="auto"/>
            <w:tcMar>
              <w:top w:w="120" w:type="dxa"/>
              <w:left w:w="120" w:type="dxa"/>
              <w:bottom w:w="120" w:type="dxa"/>
              <w:right w:w="120" w:type="dxa"/>
            </w:tcMar>
            <w:vAlign w:val="center"/>
          </w:tcPr>
          <w:p w14:paraId="678D3B5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DD617A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2C42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rPr>
        <w:tc>
          <w:tcPr>
            <w:tcW w:w="244" w:type="pct"/>
            <w:vMerge w:val="continue"/>
            <w:shd w:val="clear" w:color="auto" w:fill="auto"/>
            <w:tcMar>
              <w:top w:w="120" w:type="dxa"/>
              <w:left w:w="120" w:type="dxa"/>
              <w:bottom w:w="120" w:type="dxa"/>
              <w:right w:w="120" w:type="dxa"/>
            </w:tcMar>
            <w:vAlign w:val="center"/>
          </w:tcPr>
          <w:p w14:paraId="2CB4702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3D78AD2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6F35DBA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10.建立完善安全生产、现场管理制度，作业全程文明安全。</w:t>
            </w:r>
          </w:p>
        </w:tc>
        <w:tc>
          <w:tcPr>
            <w:tcW w:w="334" w:type="pct"/>
            <w:shd w:val="clear" w:color="auto" w:fill="auto"/>
            <w:tcMar>
              <w:top w:w="120" w:type="dxa"/>
              <w:left w:w="120" w:type="dxa"/>
              <w:bottom w:w="120" w:type="dxa"/>
              <w:right w:w="120" w:type="dxa"/>
            </w:tcMar>
            <w:vAlign w:val="center"/>
          </w:tcPr>
          <w:p w14:paraId="1252D503">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7AF16EC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管理制度缺失、现场作业不规范，不符合要求扣1分/次，扣完为止。</w:t>
            </w:r>
          </w:p>
        </w:tc>
        <w:tc>
          <w:tcPr>
            <w:tcW w:w="240" w:type="pct"/>
            <w:shd w:val="clear" w:color="auto" w:fill="auto"/>
            <w:tcMar>
              <w:top w:w="120" w:type="dxa"/>
              <w:left w:w="120" w:type="dxa"/>
              <w:bottom w:w="120" w:type="dxa"/>
              <w:right w:w="120" w:type="dxa"/>
            </w:tcMar>
            <w:vAlign w:val="center"/>
          </w:tcPr>
          <w:p w14:paraId="696531C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2F83867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1EED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7E5DFA9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二</w:t>
            </w:r>
          </w:p>
        </w:tc>
        <w:tc>
          <w:tcPr>
            <w:tcW w:w="394" w:type="pct"/>
            <w:vMerge w:val="restart"/>
            <w:shd w:val="clear" w:color="auto" w:fill="auto"/>
            <w:tcMar>
              <w:top w:w="120" w:type="dxa"/>
              <w:left w:w="120" w:type="dxa"/>
              <w:bottom w:w="120" w:type="dxa"/>
              <w:right w:w="120" w:type="dxa"/>
            </w:tcMar>
            <w:vAlign w:val="center"/>
          </w:tcPr>
          <w:p w14:paraId="5472758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灭鼠防治</w:t>
            </w:r>
          </w:p>
        </w:tc>
        <w:tc>
          <w:tcPr>
            <w:tcW w:w="2165" w:type="pct"/>
            <w:shd w:val="clear" w:color="auto" w:fill="auto"/>
            <w:tcMar>
              <w:top w:w="120" w:type="dxa"/>
              <w:left w:w="120" w:type="dxa"/>
              <w:bottom w:w="120" w:type="dxa"/>
              <w:right w:w="120" w:type="dxa"/>
            </w:tcMar>
            <w:vAlign w:val="center"/>
          </w:tcPr>
          <w:p w14:paraId="28B6C91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1.粉迹法监测：每15㎡房间布放20*20cm滑石粉块，鼠迹足印阳性率低于2%。</w:t>
            </w:r>
          </w:p>
        </w:tc>
        <w:tc>
          <w:tcPr>
            <w:tcW w:w="334" w:type="pct"/>
            <w:shd w:val="clear" w:color="auto" w:fill="auto"/>
            <w:tcMar>
              <w:top w:w="120" w:type="dxa"/>
              <w:left w:w="120" w:type="dxa"/>
              <w:bottom w:w="120" w:type="dxa"/>
              <w:right w:w="120" w:type="dxa"/>
            </w:tcMar>
            <w:vAlign w:val="center"/>
          </w:tcPr>
          <w:p w14:paraId="1C893116">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33C130C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阳性率每超出0.1% 扣1分，扣完为止。</w:t>
            </w:r>
          </w:p>
        </w:tc>
        <w:tc>
          <w:tcPr>
            <w:tcW w:w="240" w:type="pct"/>
            <w:shd w:val="clear" w:color="auto" w:fill="auto"/>
            <w:tcMar>
              <w:top w:w="120" w:type="dxa"/>
              <w:left w:w="120" w:type="dxa"/>
              <w:bottom w:w="120" w:type="dxa"/>
              <w:right w:w="120" w:type="dxa"/>
            </w:tcMar>
            <w:vAlign w:val="center"/>
          </w:tcPr>
          <w:p w14:paraId="2DBF3F0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5AD7F13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3248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59CC092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4C62D3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7A17456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2.室内鼠迹（鼠洞、鼠粪、鼠咬痕、鼠胶痕）阳性房间占比不超过2%。</w:t>
            </w:r>
          </w:p>
        </w:tc>
        <w:tc>
          <w:tcPr>
            <w:tcW w:w="334" w:type="pct"/>
            <w:shd w:val="clear" w:color="auto" w:fill="auto"/>
            <w:tcMar>
              <w:top w:w="120" w:type="dxa"/>
              <w:left w:w="120" w:type="dxa"/>
              <w:bottom w:w="120" w:type="dxa"/>
              <w:right w:w="120" w:type="dxa"/>
            </w:tcMar>
            <w:vAlign w:val="center"/>
          </w:tcPr>
          <w:p w14:paraId="46850D36">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210417E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6D423F3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0979E7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10D1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6B7ABFC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2676F2C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3CAF031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3.2000米外环境鼠迹点位不超过2处。</w:t>
            </w:r>
          </w:p>
        </w:tc>
        <w:tc>
          <w:tcPr>
            <w:tcW w:w="334" w:type="pct"/>
            <w:shd w:val="clear" w:color="auto" w:fill="auto"/>
            <w:tcMar>
              <w:top w:w="120" w:type="dxa"/>
              <w:left w:w="120" w:type="dxa"/>
              <w:bottom w:w="120" w:type="dxa"/>
              <w:right w:w="120" w:type="dxa"/>
            </w:tcMar>
            <w:vAlign w:val="center"/>
          </w:tcPr>
          <w:p w14:paraId="5B961618">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39C8F72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每超出1处点位扣2分，扣完为止。</w:t>
            </w:r>
          </w:p>
        </w:tc>
        <w:tc>
          <w:tcPr>
            <w:tcW w:w="240" w:type="pct"/>
            <w:shd w:val="clear" w:color="auto" w:fill="auto"/>
            <w:tcMar>
              <w:top w:w="120" w:type="dxa"/>
              <w:left w:w="120" w:type="dxa"/>
              <w:bottom w:w="120" w:type="dxa"/>
              <w:right w:w="120" w:type="dxa"/>
            </w:tcMar>
            <w:vAlign w:val="center"/>
          </w:tcPr>
          <w:p w14:paraId="3E6602F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04D88C2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0013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060DBE2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32844DC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18EEAF5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绿化带内每100平方米老鼠洞、死老鼠不超过2处。</w:t>
            </w:r>
          </w:p>
        </w:tc>
        <w:tc>
          <w:tcPr>
            <w:tcW w:w="334" w:type="pct"/>
            <w:shd w:val="clear" w:color="auto" w:fill="auto"/>
            <w:tcMar>
              <w:top w:w="120" w:type="dxa"/>
              <w:left w:w="120" w:type="dxa"/>
              <w:bottom w:w="120" w:type="dxa"/>
              <w:right w:w="120" w:type="dxa"/>
            </w:tcMar>
            <w:vAlign w:val="center"/>
          </w:tcPr>
          <w:p w14:paraId="7FF2877A">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646FABA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sz w:val="21"/>
                <w:szCs w:val="21"/>
                <w:highlight w:val="none"/>
              </w:rPr>
              <w:t>发现每10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平方米有</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个老鼠洞，扣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分，超过的每多</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240" w:type="pct"/>
            <w:shd w:val="clear" w:color="auto" w:fill="auto"/>
            <w:tcMar>
              <w:top w:w="120" w:type="dxa"/>
              <w:left w:w="120" w:type="dxa"/>
              <w:bottom w:w="120" w:type="dxa"/>
              <w:right w:w="120" w:type="dxa"/>
            </w:tcMar>
            <w:vAlign w:val="center"/>
          </w:tcPr>
          <w:p w14:paraId="5A727A2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61FB947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2A2B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4" w:hRule="atLeast"/>
        </w:trPr>
        <w:tc>
          <w:tcPr>
            <w:tcW w:w="244" w:type="pct"/>
            <w:vMerge w:val="continue"/>
            <w:shd w:val="clear" w:color="auto" w:fill="auto"/>
            <w:tcMar>
              <w:top w:w="120" w:type="dxa"/>
              <w:left w:w="120" w:type="dxa"/>
              <w:bottom w:w="120" w:type="dxa"/>
              <w:right w:w="120" w:type="dxa"/>
            </w:tcMar>
            <w:vAlign w:val="center"/>
          </w:tcPr>
          <w:p w14:paraId="78EA1D2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2323A9B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09864EC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检查沉沙井、下水道内老鼠(含死)</w:t>
            </w:r>
            <w:r>
              <w:rPr>
                <w:rFonts w:hint="eastAsia" w:ascii="宋体" w:hAnsi="宋体" w:eastAsia="宋体" w:cs="宋体"/>
                <w:sz w:val="21"/>
                <w:szCs w:val="21"/>
                <w:highlight w:val="none"/>
                <w:lang w:eastAsia="zh-CN"/>
              </w:rPr>
              <w:t>。</w:t>
            </w:r>
          </w:p>
        </w:tc>
        <w:tc>
          <w:tcPr>
            <w:tcW w:w="334" w:type="pct"/>
            <w:shd w:val="clear" w:color="auto" w:fill="auto"/>
            <w:tcMar>
              <w:top w:w="120" w:type="dxa"/>
              <w:left w:w="120" w:type="dxa"/>
              <w:bottom w:w="120" w:type="dxa"/>
              <w:right w:w="120" w:type="dxa"/>
            </w:tcMar>
            <w:vAlign w:val="center"/>
          </w:tcPr>
          <w:p w14:paraId="5C1945AC">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4DA8311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同一路段500米范围内发现老鼠(含死)三只的，扣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分，超过的每多</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240" w:type="pct"/>
            <w:shd w:val="clear" w:color="auto" w:fill="auto"/>
            <w:tcMar>
              <w:top w:w="120" w:type="dxa"/>
              <w:left w:w="120" w:type="dxa"/>
              <w:bottom w:w="120" w:type="dxa"/>
              <w:right w:w="120" w:type="dxa"/>
            </w:tcMar>
            <w:vAlign w:val="center"/>
          </w:tcPr>
          <w:p w14:paraId="081F678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06270BE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1680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218B50D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三</w:t>
            </w:r>
          </w:p>
        </w:tc>
        <w:tc>
          <w:tcPr>
            <w:tcW w:w="394" w:type="pct"/>
            <w:vMerge w:val="restart"/>
            <w:shd w:val="clear" w:color="auto" w:fill="auto"/>
            <w:tcMar>
              <w:top w:w="120" w:type="dxa"/>
              <w:left w:w="120" w:type="dxa"/>
              <w:bottom w:w="120" w:type="dxa"/>
              <w:right w:w="120" w:type="dxa"/>
            </w:tcMar>
            <w:vAlign w:val="center"/>
          </w:tcPr>
          <w:p w14:paraId="476C8F2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灭蚊防治</w:t>
            </w:r>
          </w:p>
        </w:tc>
        <w:tc>
          <w:tcPr>
            <w:tcW w:w="2165" w:type="pct"/>
            <w:shd w:val="clear" w:color="auto" w:fill="auto"/>
            <w:tcMar>
              <w:top w:w="120" w:type="dxa"/>
              <w:left w:w="120" w:type="dxa"/>
              <w:bottom w:w="120" w:type="dxa"/>
              <w:right w:w="120" w:type="dxa"/>
            </w:tcMar>
            <w:vAlign w:val="center"/>
          </w:tcPr>
          <w:p w14:paraId="1A1C822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1.居民区、单位外环境各类存水容器、积水处蚊幼、蚊蛹阳性率低于2%。</w:t>
            </w:r>
          </w:p>
        </w:tc>
        <w:tc>
          <w:tcPr>
            <w:tcW w:w="334" w:type="pct"/>
            <w:shd w:val="clear" w:color="auto" w:fill="auto"/>
            <w:tcMar>
              <w:top w:w="120" w:type="dxa"/>
              <w:left w:w="120" w:type="dxa"/>
              <w:bottom w:w="120" w:type="dxa"/>
              <w:right w:w="120" w:type="dxa"/>
            </w:tcMar>
            <w:vAlign w:val="center"/>
          </w:tcPr>
          <w:p w14:paraId="4263B2BD">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6FF9342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阳性率每超出0.1%扣1分，扣完为止。</w:t>
            </w:r>
          </w:p>
        </w:tc>
        <w:tc>
          <w:tcPr>
            <w:tcW w:w="240" w:type="pct"/>
            <w:shd w:val="clear" w:color="auto" w:fill="auto"/>
            <w:tcMar>
              <w:top w:w="120" w:type="dxa"/>
              <w:left w:w="120" w:type="dxa"/>
              <w:bottom w:w="120" w:type="dxa"/>
              <w:right w:w="120" w:type="dxa"/>
            </w:tcMar>
            <w:vAlign w:val="center"/>
          </w:tcPr>
          <w:p w14:paraId="497B2D8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2E12DED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6BFF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127386F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9B7DB4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6E9C948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2.</w:t>
            </w:r>
            <w:r>
              <w:rPr>
                <w:rFonts w:hint="eastAsia" w:ascii="宋体" w:hAnsi="宋体" w:eastAsia="宋体" w:cs="宋体"/>
                <w:sz w:val="21"/>
                <w:szCs w:val="21"/>
                <w:highlight w:val="none"/>
              </w:rPr>
              <w:t>用500ML收集勺采集城区内大中型水体中的蚊幼虫或蛹，阳性率低于1%,阳性勺内幼虫或蛹的平均数不超过3只</w:t>
            </w:r>
            <w:r>
              <w:rPr>
                <w:rFonts w:hint="eastAsia" w:ascii="宋体" w:hAnsi="宋体" w:eastAsia="宋体" w:cs="宋体"/>
                <w:iCs/>
                <w:color w:val="auto"/>
                <w:sz w:val="21"/>
                <w:szCs w:val="21"/>
                <w:highlight w:val="none"/>
                <w:lang w:val="en-US" w:eastAsia="zh-CN"/>
              </w:rPr>
              <w:t>。</w:t>
            </w:r>
          </w:p>
        </w:tc>
        <w:tc>
          <w:tcPr>
            <w:tcW w:w="334" w:type="pct"/>
            <w:shd w:val="clear" w:color="auto" w:fill="auto"/>
            <w:tcMar>
              <w:top w:w="120" w:type="dxa"/>
              <w:left w:w="120" w:type="dxa"/>
              <w:bottom w:w="120" w:type="dxa"/>
              <w:right w:w="120" w:type="dxa"/>
            </w:tcMar>
            <w:vAlign w:val="center"/>
          </w:tcPr>
          <w:p w14:paraId="02AE0518">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03C9146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每超出1只扣1分，扣完为止。</w:t>
            </w:r>
          </w:p>
        </w:tc>
        <w:tc>
          <w:tcPr>
            <w:tcW w:w="240" w:type="pct"/>
            <w:shd w:val="clear" w:color="auto" w:fill="auto"/>
            <w:tcMar>
              <w:top w:w="120" w:type="dxa"/>
              <w:left w:w="120" w:type="dxa"/>
              <w:bottom w:w="120" w:type="dxa"/>
              <w:right w:w="120" w:type="dxa"/>
            </w:tcMar>
            <w:vAlign w:val="center"/>
          </w:tcPr>
          <w:p w14:paraId="2D451FE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269857F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0126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2C0A13D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4A23745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0B2075B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3.特殊场所蚊虫监测：白天人工诱蚊60分钟，人均诱获蚊虫不超过1只/人次。</w:t>
            </w:r>
          </w:p>
        </w:tc>
        <w:tc>
          <w:tcPr>
            <w:tcW w:w="334" w:type="pct"/>
            <w:shd w:val="clear" w:color="auto" w:fill="auto"/>
            <w:tcMar>
              <w:top w:w="120" w:type="dxa"/>
              <w:left w:w="120" w:type="dxa"/>
              <w:bottom w:w="120" w:type="dxa"/>
              <w:right w:w="120" w:type="dxa"/>
            </w:tcMar>
            <w:vAlign w:val="center"/>
          </w:tcPr>
          <w:p w14:paraId="7B655F5C">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2C20F40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每超出1只/人次扣1分，扣完为止。</w:t>
            </w:r>
          </w:p>
        </w:tc>
        <w:tc>
          <w:tcPr>
            <w:tcW w:w="240" w:type="pct"/>
            <w:shd w:val="clear" w:color="auto" w:fill="auto"/>
            <w:tcMar>
              <w:top w:w="120" w:type="dxa"/>
              <w:left w:w="120" w:type="dxa"/>
              <w:bottom w:w="120" w:type="dxa"/>
              <w:right w:w="120" w:type="dxa"/>
            </w:tcMar>
            <w:vAlign w:val="center"/>
          </w:tcPr>
          <w:p w14:paraId="0A44510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03EEF0D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5F53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08D6665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72E95AF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772C517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对阴暗潮湿地、下水道、沙井口、污水积水的地方，查蚊子密度。</w:t>
            </w:r>
          </w:p>
        </w:tc>
        <w:tc>
          <w:tcPr>
            <w:tcW w:w="334" w:type="pct"/>
            <w:shd w:val="clear" w:color="auto" w:fill="auto"/>
            <w:tcMar>
              <w:top w:w="120" w:type="dxa"/>
              <w:left w:w="120" w:type="dxa"/>
              <w:bottom w:w="120" w:type="dxa"/>
              <w:right w:w="120" w:type="dxa"/>
            </w:tcMar>
            <w:vAlign w:val="center"/>
          </w:tcPr>
          <w:p w14:paraId="18E5B5CB">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235C5D7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sz w:val="21"/>
                <w:szCs w:val="21"/>
                <w:highlight w:val="none"/>
              </w:rPr>
              <w:t>每发现3只蚊子的，扣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240" w:type="pct"/>
            <w:shd w:val="clear" w:color="auto" w:fill="auto"/>
            <w:tcMar>
              <w:top w:w="120" w:type="dxa"/>
              <w:left w:w="120" w:type="dxa"/>
              <w:bottom w:w="120" w:type="dxa"/>
              <w:right w:w="120" w:type="dxa"/>
            </w:tcMar>
            <w:vAlign w:val="center"/>
          </w:tcPr>
          <w:p w14:paraId="647C293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4AFE9F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0C8B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08C7B2C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四</w:t>
            </w:r>
          </w:p>
        </w:tc>
        <w:tc>
          <w:tcPr>
            <w:tcW w:w="394" w:type="pct"/>
            <w:vMerge w:val="restart"/>
            <w:shd w:val="clear" w:color="auto" w:fill="auto"/>
            <w:tcMar>
              <w:top w:w="120" w:type="dxa"/>
              <w:left w:w="120" w:type="dxa"/>
              <w:bottom w:w="120" w:type="dxa"/>
              <w:right w:w="120" w:type="dxa"/>
            </w:tcMar>
            <w:vAlign w:val="center"/>
          </w:tcPr>
          <w:p w14:paraId="6E86452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灭蝇防治</w:t>
            </w:r>
          </w:p>
        </w:tc>
        <w:tc>
          <w:tcPr>
            <w:tcW w:w="2165" w:type="pct"/>
            <w:shd w:val="clear" w:color="auto" w:fill="auto"/>
            <w:tcMar>
              <w:top w:w="120" w:type="dxa"/>
              <w:left w:w="120" w:type="dxa"/>
              <w:bottom w:w="120" w:type="dxa"/>
              <w:right w:w="120" w:type="dxa"/>
            </w:tcMar>
            <w:vAlign w:val="center"/>
          </w:tcPr>
          <w:p w14:paraId="32C8BE2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1.重点单位</w:t>
            </w:r>
            <w:r>
              <w:rPr>
                <w:rFonts w:hint="eastAsia" w:ascii="宋体" w:hAnsi="宋体" w:eastAsia="宋体" w:cs="宋体"/>
                <w:sz w:val="21"/>
                <w:szCs w:val="21"/>
                <w:highlight w:val="none"/>
              </w:rPr>
              <w:t>(如饮食、食品加工、销售业)</w:t>
            </w:r>
            <w:r>
              <w:rPr>
                <w:rFonts w:hint="eastAsia" w:ascii="宋体" w:hAnsi="宋体" w:eastAsia="宋体" w:cs="宋体"/>
                <w:iCs/>
                <w:color w:val="auto"/>
                <w:sz w:val="21"/>
                <w:szCs w:val="21"/>
                <w:highlight w:val="none"/>
                <w:lang w:val="en-US" w:eastAsia="zh-CN"/>
              </w:rPr>
              <w:t>有蝇房间占比不超过1%。</w:t>
            </w:r>
          </w:p>
        </w:tc>
        <w:tc>
          <w:tcPr>
            <w:tcW w:w="334" w:type="pct"/>
            <w:shd w:val="clear" w:color="auto" w:fill="auto"/>
            <w:tcMar>
              <w:top w:w="120" w:type="dxa"/>
              <w:left w:w="120" w:type="dxa"/>
              <w:bottom w:w="120" w:type="dxa"/>
              <w:right w:w="120" w:type="dxa"/>
            </w:tcMar>
            <w:vAlign w:val="center"/>
          </w:tcPr>
          <w:p w14:paraId="4D0BEC82">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7E7E246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1C439AF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6C57062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6B1C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2DF32AF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2B9F743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6AA03B6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2.加工、销售、存放直接入口食品的重点场所（厨房、市场等），全程无活蝇滋生。</w:t>
            </w:r>
          </w:p>
        </w:tc>
        <w:tc>
          <w:tcPr>
            <w:tcW w:w="334" w:type="pct"/>
            <w:shd w:val="clear" w:color="auto" w:fill="auto"/>
            <w:tcMar>
              <w:top w:w="120" w:type="dxa"/>
              <w:left w:w="120" w:type="dxa"/>
              <w:bottom w:w="120" w:type="dxa"/>
              <w:right w:w="120" w:type="dxa"/>
            </w:tcMar>
            <w:vAlign w:val="center"/>
          </w:tcPr>
          <w:p w14:paraId="24535FBD">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246790B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每发现1只活蝇扣0.5分，扣完为止。</w:t>
            </w:r>
          </w:p>
        </w:tc>
        <w:tc>
          <w:tcPr>
            <w:tcW w:w="240" w:type="pct"/>
            <w:shd w:val="clear" w:color="auto" w:fill="auto"/>
            <w:tcMar>
              <w:top w:w="120" w:type="dxa"/>
              <w:left w:w="120" w:type="dxa"/>
              <w:bottom w:w="120" w:type="dxa"/>
              <w:right w:w="120" w:type="dxa"/>
            </w:tcMar>
            <w:vAlign w:val="center"/>
          </w:tcPr>
          <w:p w14:paraId="29D612B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4772AA6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169E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1" w:hRule="atLeast"/>
        </w:trPr>
        <w:tc>
          <w:tcPr>
            <w:tcW w:w="244" w:type="pct"/>
            <w:vMerge w:val="continue"/>
            <w:shd w:val="clear" w:color="auto" w:fill="auto"/>
            <w:tcMar>
              <w:top w:w="120" w:type="dxa"/>
              <w:left w:w="120" w:type="dxa"/>
              <w:bottom w:w="120" w:type="dxa"/>
              <w:right w:w="120" w:type="dxa"/>
            </w:tcMar>
            <w:vAlign w:val="center"/>
          </w:tcPr>
          <w:p w14:paraId="26BDF98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35EC197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142BE68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3.一般单位有蝇房间占比不超过3%。</w:t>
            </w:r>
          </w:p>
        </w:tc>
        <w:tc>
          <w:tcPr>
            <w:tcW w:w="334" w:type="pct"/>
            <w:shd w:val="clear" w:color="auto" w:fill="auto"/>
            <w:tcMar>
              <w:top w:w="120" w:type="dxa"/>
              <w:left w:w="120" w:type="dxa"/>
              <w:bottom w:w="120" w:type="dxa"/>
              <w:right w:w="120" w:type="dxa"/>
            </w:tcMar>
            <w:vAlign w:val="center"/>
          </w:tcPr>
          <w:p w14:paraId="176E171D">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2E4886F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2E01B26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77D7E6D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4002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6" w:hRule="atLeast"/>
        </w:trPr>
        <w:tc>
          <w:tcPr>
            <w:tcW w:w="244" w:type="pct"/>
            <w:vMerge w:val="continue"/>
            <w:shd w:val="clear" w:color="auto" w:fill="auto"/>
            <w:tcMar>
              <w:top w:w="120" w:type="dxa"/>
              <w:left w:w="120" w:type="dxa"/>
              <w:bottom w:w="120" w:type="dxa"/>
              <w:right w:w="120" w:type="dxa"/>
            </w:tcMar>
            <w:vAlign w:val="center"/>
          </w:tcPr>
          <w:p w14:paraId="0E34306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36FE26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446388B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4.蝇类孳生地（垃圾收集点、垃圾存放地等）得到全面有效治理，幼虫、蛹检出率不超过3%。</w:t>
            </w:r>
          </w:p>
        </w:tc>
        <w:tc>
          <w:tcPr>
            <w:tcW w:w="334" w:type="pct"/>
            <w:shd w:val="clear" w:color="auto" w:fill="auto"/>
            <w:tcMar>
              <w:top w:w="120" w:type="dxa"/>
              <w:left w:w="120" w:type="dxa"/>
              <w:bottom w:w="120" w:type="dxa"/>
              <w:right w:w="120" w:type="dxa"/>
            </w:tcMar>
            <w:vAlign w:val="center"/>
          </w:tcPr>
          <w:p w14:paraId="7DDD01CC">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368F768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274D2B0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7BD1534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241E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6" w:hRule="atLeast"/>
        </w:trPr>
        <w:tc>
          <w:tcPr>
            <w:tcW w:w="244" w:type="pct"/>
            <w:vMerge w:val="continue"/>
            <w:shd w:val="clear" w:color="auto" w:fill="auto"/>
            <w:tcMar>
              <w:top w:w="120" w:type="dxa"/>
              <w:left w:w="120" w:type="dxa"/>
              <w:bottom w:w="120" w:type="dxa"/>
              <w:right w:w="120" w:type="dxa"/>
            </w:tcMar>
            <w:vAlign w:val="center"/>
          </w:tcPr>
          <w:p w14:paraId="73D2B68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F4CFBD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6AA07A3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检查绿化带内或附近的果皮箱、垃圾桶、厕所、菜市场周边的苍蝇密度。</w:t>
            </w:r>
          </w:p>
        </w:tc>
        <w:tc>
          <w:tcPr>
            <w:tcW w:w="334" w:type="pct"/>
            <w:shd w:val="clear" w:color="auto" w:fill="auto"/>
            <w:tcMar>
              <w:top w:w="120" w:type="dxa"/>
              <w:left w:w="120" w:type="dxa"/>
              <w:bottom w:w="120" w:type="dxa"/>
              <w:right w:w="120" w:type="dxa"/>
            </w:tcMar>
            <w:vAlign w:val="center"/>
          </w:tcPr>
          <w:p w14:paraId="475161DF">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6E42C37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sz w:val="21"/>
                <w:szCs w:val="21"/>
                <w:highlight w:val="none"/>
              </w:rPr>
              <w:t>每发现3只苍蝇的，扣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tc>
        <w:tc>
          <w:tcPr>
            <w:tcW w:w="240" w:type="pct"/>
            <w:shd w:val="clear" w:color="auto" w:fill="auto"/>
            <w:tcMar>
              <w:top w:w="120" w:type="dxa"/>
              <w:left w:w="120" w:type="dxa"/>
              <w:bottom w:w="120" w:type="dxa"/>
              <w:right w:w="120" w:type="dxa"/>
            </w:tcMar>
            <w:vAlign w:val="center"/>
          </w:tcPr>
          <w:p w14:paraId="5B4876D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51AE193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72C9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1183D43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五</w:t>
            </w:r>
          </w:p>
        </w:tc>
        <w:tc>
          <w:tcPr>
            <w:tcW w:w="394" w:type="pct"/>
            <w:vMerge w:val="restart"/>
            <w:shd w:val="clear" w:color="auto" w:fill="auto"/>
            <w:tcMar>
              <w:top w:w="120" w:type="dxa"/>
              <w:left w:w="120" w:type="dxa"/>
              <w:bottom w:w="120" w:type="dxa"/>
              <w:right w:w="120" w:type="dxa"/>
            </w:tcMar>
            <w:vAlign w:val="center"/>
          </w:tcPr>
          <w:p w14:paraId="563F51D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灭蟑防治</w:t>
            </w:r>
          </w:p>
        </w:tc>
        <w:tc>
          <w:tcPr>
            <w:tcW w:w="2165" w:type="pct"/>
            <w:shd w:val="clear" w:color="auto" w:fill="auto"/>
            <w:tcMar>
              <w:top w:w="120" w:type="dxa"/>
              <w:left w:w="120" w:type="dxa"/>
              <w:bottom w:w="120" w:type="dxa"/>
              <w:right w:w="120" w:type="dxa"/>
            </w:tcMar>
            <w:vAlign w:val="center"/>
          </w:tcPr>
          <w:p w14:paraId="41029BA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1.室内蟑螂成虫或若虫阳性房间占比不超过3%。</w:t>
            </w:r>
          </w:p>
        </w:tc>
        <w:tc>
          <w:tcPr>
            <w:tcW w:w="334" w:type="pct"/>
            <w:shd w:val="clear" w:color="auto" w:fill="auto"/>
            <w:tcMar>
              <w:top w:w="120" w:type="dxa"/>
              <w:left w:w="120" w:type="dxa"/>
              <w:bottom w:w="120" w:type="dxa"/>
              <w:right w:w="120" w:type="dxa"/>
            </w:tcMar>
            <w:vAlign w:val="center"/>
          </w:tcPr>
          <w:p w14:paraId="3280DB5A">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40ECD04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0D06E3A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75AD182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1642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1A771DD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6C0AF36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604B008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2.有活蟑螂、卵鞘的阳性房间占比不超过5%。</w:t>
            </w:r>
          </w:p>
        </w:tc>
        <w:tc>
          <w:tcPr>
            <w:tcW w:w="334" w:type="pct"/>
            <w:shd w:val="clear" w:color="auto" w:fill="auto"/>
            <w:tcMar>
              <w:top w:w="120" w:type="dxa"/>
              <w:left w:w="120" w:type="dxa"/>
              <w:bottom w:w="120" w:type="dxa"/>
              <w:right w:w="120" w:type="dxa"/>
            </w:tcMar>
            <w:vAlign w:val="center"/>
          </w:tcPr>
          <w:p w14:paraId="5F41BBED">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190B762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7416E83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1B09481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5597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65066DF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28EB8E2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294789C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3.蟑螂孳生栖息点位（孔洞缝隙、蟑螂粪便、蜕皮、蟑尸等）清理到位，阳性房间占比不超过5%。</w:t>
            </w:r>
          </w:p>
        </w:tc>
        <w:tc>
          <w:tcPr>
            <w:tcW w:w="334" w:type="pct"/>
            <w:shd w:val="clear" w:color="auto" w:fill="auto"/>
            <w:tcMar>
              <w:top w:w="120" w:type="dxa"/>
              <w:left w:w="120" w:type="dxa"/>
              <w:bottom w:w="120" w:type="dxa"/>
              <w:right w:w="120" w:type="dxa"/>
            </w:tcMar>
            <w:vAlign w:val="center"/>
          </w:tcPr>
          <w:p w14:paraId="7A177A2C">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6469591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167C951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05B321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4E35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26E8079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0810C5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518632D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w:t>
            </w:r>
            <w:r>
              <w:rPr>
                <w:rFonts w:hint="eastAsia" w:ascii="宋体" w:hAnsi="宋体" w:eastAsia="宋体" w:cs="宋体"/>
                <w:iCs/>
                <w:color w:val="auto"/>
                <w:sz w:val="21"/>
                <w:szCs w:val="21"/>
                <w:highlight w:val="none"/>
              </w:rPr>
              <w:t>检查沉沙井、下水道内蟑螂(含死)</w:t>
            </w:r>
          </w:p>
        </w:tc>
        <w:tc>
          <w:tcPr>
            <w:tcW w:w="334" w:type="pct"/>
            <w:shd w:val="clear" w:color="auto" w:fill="auto"/>
            <w:tcMar>
              <w:top w:w="120" w:type="dxa"/>
              <w:left w:w="120" w:type="dxa"/>
              <w:bottom w:w="120" w:type="dxa"/>
              <w:right w:w="120" w:type="dxa"/>
            </w:tcMar>
            <w:vAlign w:val="center"/>
          </w:tcPr>
          <w:p w14:paraId="2D4F5AA0">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30244B4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sz w:val="21"/>
                <w:szCs w:val="21"/>
                <w:highlight w:val="none"/>
              </w:rPr>
              <w:t>发现3只以上蟑螂(含死),扣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扣完为止。</w:t>
            </w:r>
          </w:p>
        </w:tc>
        <w:tc>
          <w:tcPr>
            <w:tcW w:w="240" w:type="pct"/>
            <w:shd w:val="clear" w:color="auto" w:fill="auto"/>
            <w:tcMar>
              <w:top w:w="120" w:type="dxa"/>
              <w:left w:w="120" w:type="dxa"/>
              <w:bottom w:w="120" w:type="dxa"/>
              <w:right w:w="120" w:type="dxa"/>
            </w:tcMar>
            <w:vAlign w:val="center"/>
          </w:tcPr>
          <w:p w14:paraId="3B7305E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69C660B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2C3A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06BFE87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六</w:t>
            </w:r>
          </w:p>
        </w:tc>
        <w:tc>
          <w:tcPr>
            <w:tcW w:w="394" w:type="pct"/>
            <w:vMerge w:val="restart"/>
            <w:shd w:val="clear" w:color="auto" w:fill="auto"/>
            <w:tcMar>
              <w:top w:w="120" w:type="dxa"/>
              <w:left w:w="120" w:type="dxa"/>
              <w:bottom w:w="120" w:type="dxa"/>
              <w:right w:w="120" w:type="dxa"/>
            </w:tcMar>
            <w:vAlign w:val="center"/>
          </w:tcPr>
          <w:p w14:paraId="0AC992A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综合服务评价</w:t>
            </w:r>
          </w:p>
        </w:tc>
        <w:tc>
          <w:tcPr>
            <w:tcW w:w="2165" w:type="pct"/>
            <w:shd w:val="clear" w:color="auto" w:fill="auto"/>
            <w:tcMar>
              <w:top w:w="120" w:type="dxa"/>
              <w:left w:w="120" w:type="dxa"/>
              <w:bottom w:w="120" w:type="dxa"/>
              <w:right w:w="120" w:type="dxa"/>
            </w:tcMar>
            <w:vAlign w:val="center"/>
          </w:tcPr>
          <w:p w14:paraId="6662619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1.每月采购人对中标人整体消杀服务开展综合评估。</w:t>
            </w:r>
          </w:p>
        </w:tc>
        <w:tc>
          <w:tcPr>
            <w:tcW w:w="334" w:type="pct"/>
            <w:shd w:val="clear" w:color="auto" w:fill="auto"/>
            <w:tcMar>
              <w:top w:w="120" w:type="dxa"/>
              <w:left w:w="120" w:type="dxa"/>
              <w:bottom w:w="120" w:type="dxa"/>
              <w:right w:w="120" w:type="dxa"/>
            </w:tcMar>
            <w:vAlign w:val="center"/>
          </w:tcPr>
          <w:p w14:paraId="7AFD7B6C">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1CE7617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评估发现服务问题，每次扣1分，扣完为止。</w:t>
            </w:r>
          </w:p>
        </w:tc>
        <w:tc>
          <w:tcPr>
            <w:tcW w:w="240" w:type="pct"/>
            <w:shd w:val="clear" w:color="auto" w:fill="auto"/>
            <w:tcMar>
              <w:top w:w="120" w:type="dxa"/>
              <w:left w:w="120" w:type="dxa"/>
              <w:bottom w:w="120" w:type="dxa"/>
              <w:right w:w="120" w:type="dxa"/>
            </w:tcMar>
            <w:vAlign w:val="center"/>
          </w:tcPr>
          <w:p w14:paraId="2A79291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7BFA7C2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6DB9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54" w:hRule="atLeast"/>
        </w:trPr>
        <w:tc>
          <w:tcPr>
            <w:tcW w:w="244" w:type="pct"/>
            <w:vMerge w:val="continue"/>
            <w:shd w:val="clear" w:color="auto" w:fill="auto"/>
            <w:tcMar>
              <w:top w:w="120" w:type="dxa"/>
              <w:left w:w="120" w:type="dxa"/>
              <w:bottom w:w="120" w:type="dxa"/>
              <w:right w:w="120" w:type="dxa"/>
            </w:tcMar>
            <w:vAlign w:val="center"/>
          </w:tcPr>
          <w:p w14:paraId="6B7D3EE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0A60753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0BB3FD3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2.严格按照合同约定规范施药、安全放药，无违规用药、违规操作行为。</w:t>
            </w:r>
          </w:p>
        </w:tc>
        <w:tc>
          <w:tcPr>
            <w:tcW w:w="334" w:type="pct"/>
            <w:shd w:val="clear" w:color="auto" w:fill="auto"/>
            <w:tcMar>
              <w:top w:w="120" w:type="dxa"/>
              <w:left w:w="120" w:type="dxa"/>
              <w:bottom w:w="120" w:type="dxa"/>
              <w:right w:w="120" w:type="dxa"/>
            </w:tcMar>
            <w:vAlign w:val="center"/>
          </w:tcPr>
          <w:p w14:paraId="6557F63E">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5</w:t>
            </w:r>
          </w:p>
        </w:tc>
        <w:tc>
          <w:tcPr>
            <w:tcW w:w="1410" w:type="pct"/>
            <w:shd w:val="clear" w:color="auto" w:fill="auto"/>
            <w:tcMar>
              <w:top w:w="120" w:type="dxa"/>
              <w:left w:w="120" w:type="dxa"/>
              <w:bottom w:w="120" w:type="dxa"/>
              <w:right w:w="120" w:type="dxa"/>
            </w:tcMar>
            <w:vAlign w:val="center"/>
          </w:tcPr>
          <w:p w14:paraId="0DF2D5C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每发现1次施药、放药、用药不符合合同规范要求，扣0.5分，扣完为止。</w:t>
            </w:r>
          </w:p>
        </w:tc>
        <w:tc>
          <w:tcPr>
            <w:tcW w:w="240" w:type="pct"/>
            <w:shd w:val="clear" w:color="auto" w:fill="auto"/>
            <w:tcMar>
              <w:top w:w="120" w:type="dxa"/>
              <w:left w:w="120" w:type="dxa"/>
              <w:bottom w:w="120" w:type="dxa"/>
              <w:right w:w="120" w:type="dxa"/>
            </w:tcMar>
            <w:vAlign w:val="center"/>
          </w:tcPr>
          <w:p w14:paraId="0B9EFBC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214E2F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1B51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shd w:val="clear" w:color="auto" w:fill="auto"/>
            <w:tcMar>
              <w:top w:w="120" w:type="dxa"/>
              <w:left w:w="120" w:type="dxa"/>
              <w:bottom w:w="120" w:type="dxa"/>
              <w:right w:w="120" w:type="dxa"/>
            </w:tcMar>
            <w:vAlign w:val="center"/>
          </w:tcPr>
          <w:p w14:paraId="0E3CD62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w:t>
            </w:r>
          </w:p>
        </w:tc>
        <w:tc>
          <w:tcPr>
            <w:tcW w:w="394" w:type="pct"/>
            <w:shd w:val="clear" w:color="auto" w:fill="auto"/>
            <w:tcMar>
              <w:top w:w="120" w:type="dxa"/>
              <w:left w:w="120" w:type="dxa"/>
              <w:bottom w:w="120" w:type="dxa"/>
              <w:right w:w="120" w:type="dxa"/>
            </w:tcMar>
            <w:vAlign w:val="center"/>
          </w:tcPr>
          <w:p w14:paraId="15B03BA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满分合计</w:t>
            </w:r>
          </w:p>
        </w:tc>
        <w:tc>
          <w:tcPr>
            <w:tcW w:w="2165" w:type="pct"/>
            <w:shd w:val="clear" w:color="auto" w:fill="auto"/>
            <w:tcMar>
              <w:top w:w="120" w:type="dxa"/>
              <w:left w:w="120" w:type="dxa"/>
              <w:bottom w:w="120" w:type="dxa"/>
              <w:right w:w="120" w:type="dxa"/>
            </w:tcMar>
            <w:vAlign w:val="center"/>
          </w:tcPr>
          <w:p w14:paraId="1F00BF9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w:t>
            </w:r>
          </w:p>
        </w:tc>
        <w:tc>
          <w:tcPr>
            <w:tcW w:w="334" w:type="pct"/>
            <w:shd w:val="clear" w:color="auto" w:fill="auto"/>
            <w:tcMar>
              <w:top w:w="120" w:type="dxa"/>
              <w:left w:w="120" w:type="dxa"/>
              <w:bottom w:w="120" w:type="dxa"/>
              <w:right w:w="120" w:type="dxa"/>
            </w:tcMar>
            <w:vAlign w:val="center"/>
          </w:tcPr>
          <w:p w14:paraId="1780A0A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100分</w:t>
            </w:r>
          </w:p>
        </w:tc>
        <w:tc>
          <w:tcPr>
            <w:tcW w:w="1410" w:type="pct"/>
            <w:shd w:val="clear" w:color="auto" w:fill="auto"/>
            <w:tcMar>
              <w:top w:w="120" w:type="dxa"/>
              <w:left w:w="120" w:type="dxa"/>
              <w:bottom w:w="120" w:type="dxa"/>
              <w:right w:w="120" w:type="dxa"/>
            </w:tcMar>
            <w:vAlign w:val="center"/>
          </w:tcPr>
          <w:p w14:paraId="42C1E9E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w:t>
            </w:r>
          </w:p>
        </w:tc>
        <w:tc>
          <w:tcPr>
            <w:tcW w:w="240" w:type="pct"/>
            <w:shd w:val="clear" w:color="auto" w:fill="auto"/>
            <w:tcMar>
              <w:top w:w="120" w:type="dxa"/>
              <w:left w:w="120" w:type="dxa"/>
              <w:bottom w:w="120" w:type="dxa"/>
              <w:right w:w="120" w:type="dxa"/>
            </w:tcMar>
            <w:vAlign w:val="center"/>
          </w:tcPr>
          <w:p w14:paraId="1242D6F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w:t>
            </w:r>
          </w:p>
        </w:tc>
        <w:tc>
          <w:tcPr>
            <w:tcW w:w="210" w:type="pct"/>
            <w:shd w:val="clear" w:color="auto" w:fill="auto"/>
            <w:tcMar>
              <w:top w:w="120" w:type="dxa"/>
              <w:left w:w="120" w:type="dxa"/>
              <w:bottom w:w="120" w:type="dxa"/>
              <w:right w:w="120" w:type="dxa"/>
            </w:tcMar>
            <w:vAlign w:val="center"/>
          </w:tcPr>
          <w:p w14:paraId="11AD737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w:t>
            </w:r>
          </w:p>
        </w:tc>
      </w:tr>
    </w:tbl>
    <w:p w14:paraId="354F9EB7">
      <w:pPr>
        <w:pStyle w:val="13"/>
        <w:numPr>
          <w:ilvl w:val="0"/>
          <w:numId w:val="0"/>
        </w:numPr>
        <w:snapToGrid w:val="0"/>
        <w:spacing w:line="360" w:lineRule="auto"/>
        <w:ind w:leftChars="0"/>
        <w:contextualSpacing/>
        <w:rPr>
          <w:rFonts w:hint="eastAsia" w:ascii="宋体" w:hAnsi="宋体" w:eastAsia="宋体" w:cs="宋体"/>
          <w:iCs/>
          <w:color w:val="auto"/>
          <w:sz w:val="21"/>
          <w:szCs w:val="21"/>
          <w:highlight w:val="none"/>
        </w:rPr>
      </w:pPr>
    </w:p>
    <w:p w14:paraId="12D6DE96">
      <w:pPr>
        <w:keepNext w:val="0"/>
        <w:keepLines w:val="0"/>
        <w:widowControl/>
        <w:suppressLineNumbers w:val="0"/>
        <w:jc w:val="left"/>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注：1、此表总分100分，当月考核得分≥90分，全额支付该月服务费；当月考核得分为80-90分（含80分、不含90分）的，支付该月服务费的90%；当月考核得分为70-80分（含70分、不含80分）的，支付该月服务费的85%；当月考核得分＜70分的，支付该月服务费的80%，且视为月度考核不合格。采购人有权要求</w:t>
      </w: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sz w:val="21"/>
          <w:szCs w:val="21"/>
          <w:highlight w:val="none"/>
          <w:lang w:val="en-US" w:eastAsia="zh-CN"/>
        </w:rPr>
        <w:t>在指定期限内完成整改，整改后仍不合格的，可额外扣减当月服务费5%-10%</w:t>
      </w:r>
      <w:r>
        <w:rPr>
          <w:rFonts w:hint="eastAsia" w:ascii="宋体" w:hAnsi="宋体" w:cs="宋体"/>
          <w:iCs/>
          <w:color w:val="auto"/>
          <w:sz w:val="21"/>
          <w:szCs w:val="21"/>
          <w:highlight w:val="none"/>
          <w:lang w:val="en-US" w:eastAsia="zh-CN"/>
        </w:rPr>
        <w:t>。</w:t>
      </w:r>
    </w:p>
    <w:p w14:paraId="0C39A747">
      <w:pPr>
        <w:keepNext w:val="0"/>
        <w:keepLines w:val="0"/>
        <w:widowControl/>
        <w:suppressLineNumbers w:val="0"/>
        <w:jc w:val="left"/>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2、本项目所称年度考核不合格是指：</w:t>
      </w: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sz w:val="21"/>
          <w:szCs w:val="21"/>
          <w:highlight w:val="none"/>
          <w:lang w:val="en-US" w:eastAsia="zh-CN"/>
        </w:rPr>
        <w:t>服务每满1年后，该年度内12次月度考核得分的平均值＜70分的情形；</w:t>
      </w:r>
      <w:r>
        <w:rPr>
          <w:rFonts w:hint="eastAsia" w:ascii="宋体" w:hAnsi="宋体" w:cs="宋体"/>
          <w:iCs/>
          <w:color w:val="auto"/>
          <w:sz w:val="21"/>
          <w:szCs w:val="21"/>
          <w:highlight w:val="none"/>
          <w:lang w:val="en-US" w:eastAsia="zh-CN"/>
        </w:rPr>
        <w:t>在</w:t>
      </w:r>
      <w:r>
        <w:rPr>
          <w:rFonts w:hint="eastAsia" w:ascii="宋体" w:hAnsi="宋体" w:eastAsia="宋体" w:cs="宋体"/>
          <w:iCs/>
          <w:color w:val="auto"/>
          <w:sz w:val="21"/>
          <w:szCs w:val="21"/>
          <w:highlight w:val="none"/>
          <w:lang w:val="en-US" w:eastAsia="zh-CN"/>
        </w:rPr>
        <w:t>服务期内，</w:t>
      </w: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sz w:val="21"/>
          <w:szCs w:val="21"/>
          <w:highlight w:val="none"/>
          <w:lang w:val="en-US" w:eastAsia="zh-CN"/>
        </w:rPr>
        <w:t>若出现累计3次月度考核不合格（即当月得分＜70分），或出现1次年度考核不合格的，采购人有权单方面解除合同，由此造成的经济损失和法律责任，由</w:t>
      </w:r>
      <w:r>
        <w:rPr>
          <w:rFonts w:hint="eastAsia" w:ascii="宋体" w:hAnsi="宋体" w:eastAsia="宋体" w:cs="宋体"/>
          <w:iCs/>
          <w:color w:val="auto"/>
          <w:szCs w:val="21"/>
          <w:highlight w:val="none"/>
          <w:lang w:val="en-US" w:eastAsia="zh-CN"/>
        </w:rPr>
        <w:t>成交供应商</w:t>
      </w:r>
      <w:r>
        <w:rPr>
          <w:rFonts w:hint="eastAsia" w:ascii="宋体" w:hAnsi="宋体" w:eastAsia="宋体" w:cs="宋体"/>
          <w:iCs/>
          <w:color w:val="auto"/>
          <w:sz w:val="21"/>
          <w:szCs w:val="21"/>
          <w:highlight w:val="none"/>
          <w:lang w:val="en-US" w:eastAsia="zh-CN"/>
        </w:rPr>
        <w:t>自行承担。</w:t>
      </w:r>
    </w:p>
    <w:p w14:paraId="28BA1700">
      <w:pPr>
        <w:keepNext w:val="0"/>
        <w:keepLines w:val="0"/>
        <w:widowControl/>
        <w:suppressLineNumbers w:val="0"/>
        <w:jc w:val="left"/>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3、采购人可按照相关管理规定和单位实际需要，对本考核表内容做出调整，调整方案经双方确认后实行。</w:t>
      </w:r>
    </w:p>
    <w:p w14:paraId="2A387794">
      <w:pPr>
        <w:pStyle w:val="13"/>
        <w:numPr>
          <w:ilvl w:val="0"/>
          <w:numId w:val="0"/>
        </w:numPr>
        <w:snapToGrid w:val="0"/>
        <w:spacing w:line="360" w:lineRule="auto"/>
        <w:ind w:leftChars="0"/>
        <w:contextualSpacing/>
        <w:rPr>
          <w:rFonts w:hint="eastAsia" w:ascii="宋体" w:hAnsi="宋体" w:eastAsia="宋体" w:cs="宋体"/>
          <w:iCs/>
          <w:color w:val="auto"/>
          <w:sz w:val="21"/>
          <w:szCs w:val="21"/>
          <w:highlight w:val="none"/>
          <w:lang w:val="en-US" w:eastAsia="zh-CN"/>
        </w:rPr>
      </w:pPr>
    </w:p>
    <w:p w14:paraId="18D3AD8F">
      <w:pPr>
        <w:pStyle w:val="3"/>
        <w:keepNext w:val="0"/>
        <w:keepLines w:val="0"/>
        <w:pageBreakBefore/>
        <w:spacing w:after="240" w:line="360" w:lineRule="auto"/>
        <w:jc w:val="center"/>
        <w:rPr>
          <w:rFonts w:asciiTheme="minorEastAsia" w:hAnsiTheme="minorEastAsia" w:eastAsiaTheme="minorEastAsia"/>
          <w:spacing w:val="20"/>
          <w:sz w:val="32"/>
          <w:szCs w:val="32"/>
          <w:highlight w:val="none"/>
        </w:rPr>
      </w:pPr>
      <w:r>
        <w:rPr>
          <w:rFonts w:hint="eastAsia" w:asciiTheme="minorEastAsia" w:hAnsiTheme="minorEastAsia" w:eastAsiaTheme="minorEastAsia"/>
          <w:spacing w:val="20"/>
          <w:sz w:val="32"/>
          <w:szCs w:val="32"/>
          <w:highlight w:val="none"/>
        </w:rPr>
        <w:t>第三章 磋商须知</w:t>
      </w:r>
      <w:bookmarkEnd w:id="9"/>
    </w:p>
    <w:p w14:paraId="34BDFEF4">
      <w:pPr>
        <w:widowControl/>
        <w:snapToGrid w:val="0"/>
        <w:spacing w:line="360" w:lineRule="auto"/>
        <w:ind w:firstLine="480"/>
        <w:contextualSpacing/>
        <w:jc w:val="left"/>
        <w:rPr>
          <w:rFonts w:ascii="宋体" w:hAnsi="宋体"/>
          <w:kern w:val="0"/>
          <w:szCs w:val="21"/>
          <w:highlight w:val="none"/>
          <w:lang w:eastAsia="zh-Hans"/>
        </w:rPr>
      </w:pPr>
      <w:r>
        <w:rPr>
          <w:rFonts w:ascii="宋体" w:hAnsi="宋体"/>
          <w:kern w:val="0"/>
          <w:szCs w:val="21"/>
          <w:highlight w:val="none"/>
          <w:lang w:eastAsia="zh-Hans"/>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75C44B2E">
      <w:pPr>
        <w:pStyle w:val="13"/>
        <w:widowControl/>
        <w:numPr>
          <w:ilvl w:val="0"/>
          <w:numId w:val="31"/>
        </w:numPr>
        <w:snapToGrid w:val="0"/>
        <w:spacing w:line="360" w:lineRule="auto"/>
        <w:ind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名词解释</w:t>
      </w:r>
    </w:p>
    <w:p w14:paraId="4F6D90E8">
      <w:pPr>
        <w:pStyle w:val="13"/>
        <w:widowControl/>
        <w:numPr>
          <w:ilvl w:val="0"/>
          <w:numId w:val="32"/>
        </w:numPr>
        <w:snapToGrid w:val="0"/>
        <w:spacing w:line="360" w:lineRule="auto"/>
        <w:ind w:left="284" w:hanging="284"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采购代理机构：是负责整个采购活动的组织，依法负责编制和发布磋商文件，对磋商文件拥有最终的解释权，不以任何身份出任磋商小组成员。</w:t>
      </w:r>
    </w:p>
    <w:p w14:paraId="113727CF">
      <w:pPr>
        <w:pStyle w:val="13"/>
        <w:widowControl/>
        <w:numPr>
          <w:ilvl w:val="0"/>
          <w:numId w:val="32"/>
        </w:numPr>
        <w:snapToGrid w:val="0"/>
        <w:spacing w:line="360" w:lineRule="auto"/>
        <w:ind w:left="284" w:hanging="284"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采购人：是采购活动当事人之一，负责项目的整体规划、技术方案可行性设计论证与实施，作为合同采购方（用户）的主体承担质疑回复、履行合同、验收与评价等义务。</w:t>
      </w:r>
    </w:p>
    <w:p w14:paraId="3E88D848">
      <w:pPr>
        <w:pStyle w:val="13"/>
        <w:widowControl/>
        <w:numPr>
          <w:ilvl w:val="0"/>
          <w:numId w:val="32"/>
        </w:numPr>
        <w:snapToGrid w:val="0"/>
        <w:spacing w:line="360" w:lineRule="auto"/>
        <w:ind w:left="284" w:hanging="284" w:firstLineChars="0"/>
        <w:contextualSpacing/>
        <w:jc w:val="left"/>
        <w:rPr>
          <w:rFonts w:ascii="宋体" w:hAnsi="宋体"/>
          <w:kern w:val="0"/>
          <w:szCs w:val="21"/>
          <w:highlight w:val="none"/>
          <w:lang w:eastAsia="zh-Hans"/>
        </w:rPr>
      </w:pPr>
      <w:r>
        <w:rPr>
          <w:rFonts w:hint="eastAsia" w:ascii="宋体" w:hAnsi="宋体"/>
          <w:kern w:val="0"/>
          <w:szCs w:val="21"/>
          <w:highlight w:val="none"/>
          <w:lang w:eastAsia="zh-Hans"/>
        </w:rPr>
        <w:t>供应商：是指向采购人提供货物、工程或者服务的法人、其他组织或者自然人</w:t>
      </w:r>
      <w:r>
        <w:rPr>
          <w:rFonts w:ascii="宋体" w:hAnsi="宋体"/>
          <w:kern w:val="0"/>
          <w:szCs w:val="21"/>
          <w:highlight w:val="none"/>
          <w:lang w:eastAsia="zh-Hans"/>
        </w:rPr>
        <w:t>。</w:t>
      </w:r>
    </w:p>
    <w:p w14:paraId="3D5ED1CB">
      <w:pPr>
        <w:pStyle w:val="13"/>
        <w:widowControl/>
        <w:numPr>
          <w:ilvl w:val="0"/>
          <w:numId w:val="32"/>
        </w:numPr>
        <w:snapToGrid w:val="0"/>
        <w:spacing w:line="360" w:lineRule="auto"/>
        <w:ind w:left="284" w:hanging="284"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磋商小组</w:t>
      </w:r>
      <w:r>
        <w:rPr>
          <w:rFonts w:hint="eastAsia" w:ascii="宋体" w:hAnsi="宋体"/>
          <w:kern w:val="0"/>
          <w:szCs w:val="21"/>
          <w:highlight w:val="none"/>
          <w:lang w:eastAsia="zh-Hans"/>
        </w:rPr>
        <w:t>：</w:t>
      </w:r>
      <w:r>
        <w:rPr>
          <w:rFonts w:ascii="宋体" w:hAnsi="宋体"/>
          <w:kern w:val="0"/>
          <w:szCs w:val="21"/>
          <w:highlight w:val="none"/>
          <w:lang w:eastAsia="zh-Hans"/>
        </w:rPr>
        <w:t>是指</w:t>
      </w:r>
      <w:r>
        <w:rPr>
          <w:rFonts w:hint="eastAsia" w:ascii="宋体" w:hAnsi="宋体"/>
          <w:kern w:val="0"/>
          <w:szCs w:val="21"/>
          <w:highlight w:val="none"/>
          <w:lang w:val="en-US" w:eastAsia="zh-CN"/>
        </w:rPr>
        <w:t>参考</w:t>
      </w:r>
      <w:r>
        <w:rPr>
          <w:rFonts w:ascii="宋体" w:hAnsi="宋体"/>
          <w:kern w:val="0"/>
          <w:szCs w:val="21"/>
          <w:highlight w:val="none"/>
          <w:lang w:eastAsia="zh-Hans"/>
        </w:rPr>
        <w:t>《中华人民共和国政府采购法》等法律法规规定，由采购人代表和有关专家组成以确定成交供应商或者推荐成交候选供应商的临时组织。</w:t>
      </w:r>
    </w:p>
    <w:p w14:paraId="5576E7D4">
      <w:pPr>
        <w:pStyle w:val="13"/>
        <w:widowControl/>
        <w:numPr>
          <w:ilvl w:val="0"/>
          <w:numId w:val="32"/>
        </w:numPr>
        <w:snapToGrid w:val="0"/>
        <w:spacing w:line="360" w:lineRule="auto"/>
        <w:ind w:left="284" w:hanging="284"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成交供应商</w:t>
      </w:r>
      <w:r>
        <w:rPr>
          <w:rFonts w:hint="eastAsia" w:ascii="宋体" w:hAnsi="宋体"/>
          <w:kern w:val="0"/>
          <w:szCs w:val="21"/>
          <w:highlight w:val="none"/>
          <w:lang w:eastAsia="zh-Hans"/>
        </w:rPr>
        <w:t>：</w:t>
      </w:r>
      <w:r>
        <w:rPr>
          <w:rFonts w:ascii="宋体" w:hAnsi="宋体"/>
          <w:kern w:val="0"/>
          <w:szCs w:val="21"/>
          <w:highlight w:val="none"/>
          <w:lang w:eastAsia="zh-Hans"/>
        </w:rPr>
        <w:t>是指经磋商小组评审确定的对磋商文件做出实质性响应，经采购人按照规定在磋商小组推荐的成交候选供应商中确定的或磋商小组受采购人委托直接确认的供应商。</w:t>
      </w:r>
    </w:p>
    <w:p w14:paraId="1ECC5D72">
      <w:pPr>
        <w:pStyle w:val="13"/>
        <w:widowControl/>
        <w:numPr>
          <w:ilvl w:val="0"/>
          <w:numId w:val="32"/>
        </w:numPr>
        <w:snapToGrid w:val="0"/>
        <w:spacing w:line="360" w:lineRule="auto"/>
        <w:ind w:left="284" w:hanging="284" w:firstLineChars="0"/>
        <w:contextualSpacing/>
        <w:jc w:val="left"/>
        <w:rPr>
          <w:rFonts w:ascii="宋体" w:hAnsi="宋体"/>
          <w:kern w:val="0"/>
          <w:szCs w:val="21"/>
          <w:highlight w:val="none"/>
        </w:rPr>
      </w:pPr>
      <w:r>
        <w:rPr>
          <w:rFonts w:ascii="宋体" w:hAnsi="宋体"/>
          <w:kern w:val="0"/>
          <w:szCs w:val="21"/>
          <w:highlight w:val="none"/>
          <w:lang w:eastAsia="zh-Hans"/>
        </w:rPr>
        <w:t>磋商文件：是指包括磋商公告和磋商文件及其补充、变更和澄清等一系列文件。</w:t>
      </w:r>
    </w:p>
    <w:p w14:paraId="5DE3CA71">
      <w:pPr>
        <w:pStyle w:val="13"/>
        <w:widowControl/>
        <w:numPr>
          <w:ilvl w:val="0"/>
          <w:numId w:val="31"/>
        </w:numPr>
        <w:snapToGrid w:val="0"/>
        <w:spacing w:before="156" w:beforeLines="50" w:line="360" w:lineRule="auto"/>
        <w:ind w:left="442" w:hanging="442" w:firstLineChars="0"/>
        <w:contextualSpacing/>
        <w:jc w:val="left"/>
        <w:outlineLvl w:val="3"/>
        <w:rPr>
          <w:rFonts w:ascii="宋体" w:hAnsi="宋体"/>
          <w:b/>
          <w:kern w:val="0"/>
          <w:szCs w:val="21"/>
          <w:highlight w:val="none"/>
        </w:rPr>
      </w:pPr>
      <w:r>
        <w:rPr>
          <w:rFonts w:ascii="宋体" w:hAnsi="宋体"/>
          <w:b/>
          <w:kern w:val="0"/>
          <w:szCs w:val="21"/>
          <w:highlight w:val="none"/>
          <w:lang w:eastAsia="zh-Hans"/>
        </w:rPr>
        <w:t>须知前附表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852"/>
        <w:gridCol w:w="6721"/>
      </w:tblGrid>
      <w:tr w14:paraId="362D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000" w:type="pct"/>
            <w:gridSpan w:val="3"/>
            <w:vAlign w:val="center"/>
          </w:tcPr>
          <w:p w14:paraId="57FF9DA8">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本表与</w:t>
            </w:r>
            <w:r>
              <w:rPr>
                <w:rFonts w:hint="eastAsia" w:ascii="宋体" w:hAnsi="宋体"/>
                <w:kern w:val="0"/>
                <w:szCs w:val="21"/>
                <w:highlight w:val="none"/>
                <w:lang w:eastAsia="zh-Hans"/>
              </w:rPr>
              <w:t>磋商文件</w:t>
            </w:r>
            <w:r>
              <w:rPr>
                <w:rFonts w:ascii="宋体" w:hAnsi="宋体"/>
                <w:kern w:val="0"/>
                <w:szCs w:val="21"/>
                <w:highlight w:val="none"/>
                <w:lang w:eastAsia="zh-Hans"/>
              </w:rPr>
              <w:t>对应章节的内容若不一致，以本表为准。</w:t>
            </w:r>
          </w:p>
        </w:tc>
      </w:tr>
      <w:tr w14:paraId="61A5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7944AC9">
            <w:pPr>
              <w:widowControl/>
              <w:snapToGrid w:val="0"/>
              <w:spacing w:line="400" w:lineRule="exact"/>
              <w:contextualSpacing/>
              <w:jc w:val="center"/>
              <w:rPr>
                <w:rFonts w:ascii="宋体" w:hAnsi="宋体"/>
                <w:kern w:val="0"/>
                <w:szCs w:val="21"/>
                <w:highlight w:val="none"/>
                <w:lang w:eastAsia="zh-Hans"/>
              </w:rPr>
            </w:pPr>
            <w:r>
              <w:rPr>
                <w:rFonts w:ascii="宋体" w:hAnsi="宋体"/>
                <w:kern w:val="0"/>
                <w:szCs w:val="21"/>
                <w:highlight w:val="none"/>
                <w:lang w:eastAsia="zh-Hans"/>
              </w:rPr>
              <w:t>序号</w:t>
            </w:r>
          </w:p>
        </w:tc>
        <w:tc>
          <w:tcPr>
            <w:tcW w:w="997" w:type="pct"/>
            <w:vAlign w:val="center"/>
          </w:tcPr>
          <w:p w14:paraId="61F5C02F">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条款名称</w:t>
            </w:r>
          </w:p>
        </w:tc>
        <w:tc>
          <w:tcPr>
            <w:tcW w:w="3619" w:type="pct"/>
            <w:vAlign w:val="center"/>
          </w:tcPr>
          <w:p w14:paraId="35EC4CD7">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内容及要求</w:t>
            </w:r>
          </w:p>
        </w:tc>
      </w:tr>
      <w:tr w14:paraId="1267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F595156">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1</w:t>
            </w:r>
          </w:p>
        </w:tc>
        <w:tc>
          <w:tcPr>
            <w:tcW w:w="997" w:type="pct"/>
            <w:vAlign w:val="center"/>
          </w:tcPr>
          <w:p w14:paraId="6C0C85B7">
            <w:pPr>
              <w:widowControl/>
              <w:snapToGrid w:val="0"/>
              <w:spacing w:line="400" w:lineRule="exact"/>
              <w:contextualSpacing/>
              <w:rPr>
                <w:rFonts w:ascii="宋体" w:hAnsi="宋体"/>
                <w:kern w:val="0"/>
                <w:szCs w:val="21"/>
                <w:highlight w:val="none"/>
              </w:rPr>
            </w:pPr>
            <w:r>
              <w:rPr>
                <w:rFonts w:hint="eastAsia" w:ascii="宋体" w:hAnsi="宋体"/>
                <w:kern w:val="0"/>
                <w:szCs w:val="21"/>
                <w:highlight w:val="none"/>
                <w:lang w:eastAsia="zh-Hans"/>
              </w:rPr>
              <w:t>项目属性</w:t>
            </w:r>
          </w:p>
        </w:tc>
        <w:tc>
          <w:tcPr>
            <w:tcW w:w="3619" w:type="pct"/>
            <w:vAlign w:val="center"/>
          </w:tcPr>
          <w:p w14:paraId="7DF65D36">
            <w:pPr>
              <w:widowControl/>
              <w:snapToGrid w:val="0"/>
              <w:spacing w:line="400" w:lineRule="exact"/>
              <w:contextualSpacing/>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服务</w:t>
            </w:r>
          </w:p>
        </w:tc>
      </w:tr>
      <w:tr w14:paraId="6A4F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32A5933">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2</w:t>
            </w:r>
          </w:p>
        </w:tc>
        <w:tc>
          <w:tcPr>
            <w:tcW w:w="997" w:type="pct"/>
            <w:vAlign w:val="center"/>
          </w:tcPr>
          <w:p w14:paraId="0F7F6A8E">
            <w:pPr>
              <w:widowControl/>
              <w:snapToGrid w:val="0"/>
              <w:spacing w:line="400" w:lineRule="exact"/>
              <w:contextualSpacing/>
              <w:rPr>
                <w:rFonts w:ascii="宋体" w:hAnsi="宋体"/>
                <w:kern w:val="0"/>
                <w:szCs w:val="21"/>
                <w:highlight w:val="none"/>
              </w:rPr>
            </w:pPr>
            <w:r>
              <w:rPr>
                <w:rFonts w:hint="eastAsia" w:ascii="宋体" w:hAnsi="宋体"/>
                <w:kern w:val="0"/>
                <w:szCs w:val="21"/>
                <w:highlight w:val="none"/>
              </w:rPr>
              <w:t>资金属性</w:t>
            </w:r>
          </w:p>
        </w:tc>
        <w:tc>
          <w:tcPr>
            <w:tcW w:w="3619" w:type="pct"/>
            <w:vAlign w:val="center"/>
          </w:tcPr>
          <w:p w14:paraId="2033282C">
            <w:pPr>
              <w:widowControl/>
              <w:snapToGrid w:val="0"/>
              <w:spacing w:line="400" w:lineRule="exact"/>
              <w:contextualSpacing/>
              <w:rPr>
                <w:rFonts w:ascii="宋体" w:hAnsi="宋体"/>
                <w:kern w:val="0"/>
                <w:szCs w:val="21"/>
                <w:highlight w:val="none"/>
              </w:rPr>
            </w:pPr>
            <w:r>
              <w:rPr>
                <w:rFonts w:hint="eastAsia" w:ascii="宋体" w:hAnsi="宋体"/>
                <w:kern w:val="0"/>
                <w:szCs w:val="21"/>
                <w:highlight w:val="none"/>
                <w:lang w:val="en-US" w:eastAsia="zh-CN"/>
              </w:rPr>
              <w:t>财政性</w:t>
            </w:r>
            <w:r>
              <w:rPr>
                <w:rFonts w:hint="eastAsia" w:ascii="宋体" w:hAnsi="宋体"/>
                <w:kern w:val="0"/>
                <w:szCs w:val="21"/>
                <w:highlight w:val="none"/>
              </w:rPr>
              <w:t>资金</w:t>
            </w:r>
          </w:p>
        </w:tc>
      </w:tr>
      <w:tr w14:paraId="6ED4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1D82BDDE">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3</w:t>
            </w:r>
          </w:p>
        </w:tc>
        <w:tc>
          <w:tcPr>
            <w:tcW w:w="997" w:type="pct"/>
            <w:vAlign w:val="center"/>
          </w:tcPr>
          <w:p w14:paraId="7A5E0046">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评</w:t>
            </w:r>
            <w:r>
              <w:rPr>
                <w:rFonts w:hint="eastAsia" w:ascii="宋体" w:hAnsi="宋体"/>
                <w:kern w:val="0"/>
                <w:szCs w:val="21"/>
                <w:highlight w:val="none"/>
                <w:lang w:eastAsia="zh-Hans"/>
              </w:rPr>
              <w:t>审</w:t>
            </w:r>
            <w:r>
              <w:rPr>
                <w:rFonts w:ascii="宋体" w:hAnsi="宋体"/>
                <w:kern w:val="0"/>
                <w:szCs w:val="21"/>
                <w:highlight w:val="none"/>
                <w:lang w:eastAsia="zh-Hans"/>
              </w:rPr>
              <w:t>办法</w:t>
            </w:r>
          </w:p>
        </w:tc>
        <w:tc>
          <w:tcPr>
            <w:tcW w:w="3619" w:type="pct"/>
            <w:vAlign w:val="center"/>
          </w:tcPr>
          <w:p w14:paraId="1FF94AE9">
            <w:pPr>
              <w:widowControl/>
              <w:snapToGrid w:val="0"/>
              <w:spacing w:line="400" w:lineRule="exact"/>
              <w:contextualSpacing/>
              <w:rPr>
                <w:rFonts w:ascii="宋体" w:hAnsi="宋体"/>
                <w:kern w:val="0"/>
                <w:szCs w:val="21"/>
                <w:highlight w:val="none"/>
              </w:rPr>
            </w:pPr>
            <w:r>
              <w:rPr>
                <w:rFonts w:hint="eastAsia" w:ascii="宋体" w:hAnsi="宋体"/>
                <w:color w:val="auto"/>
                <w:kern w:val="0"/>
                <w:szCs w:val="21"/>
                <w:highlight w:val="none"/>
              </w:rPr>
              <w:t>综合评分法</w:t>
            </w:r>
          </w:p>
        </w:tc>
      </w:tr>
      <w:tr w14:paraId="17CD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9114510">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4</w:t>
            </w:r>
          </w:p>
        </w:tc>
        <w:tc>
          <w:tcPr>
            <w:tcW w:w="997" w:type="pct"/>
            <w:vAlign w:val="center"/>
          </w:tcPr>
          <w:p w14:paraId="6C28612B">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现场踏勘</w:t>
            </w:r>
          </w:p>
        </w:tc>
        <w:tc>
          <w:tcPr>
            <w:tcW w:w="3619" w:type="pct"/>
            <w:vAlign w:val="center"/>
          </w:tcPr>
          <w:p w14:paraId="0851F4C1">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否</w:t>
            </w:r>
          </w:p>
        </w:tc>
      </w:tr>
      <w:tr w14:paraId="2179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875EA09">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5</w:t>
            </w:r>
          </w:p>
        </w:tc>
        <w:tc>
          <w:tcPr>
            <w:tcW w:w="997" w:type="pct"/>
            <w:vAlign w:val="center"/>
          </w:tcPr>
          <w:p w14:paraId="4A8E52F4">
            <w:pPr>
              <w:widowControl/>
              <w:snapToGrid w:val="0"/>
              <w:spacing w:line="400" w:lineRule="exact"/>
              <w:contextualSpacing/>
              <w:rPr>
                <w:rFonts w:ascii="宋体" w:hAnsi="宋体"/>
                <w:kern w:val="0"/>
                <w:szCs w:val="21"/>
                <w:highlight w:val="none"/>
                <w:lang w:eastAsia="zh-Hans"/>
              </w:rPr>
            </w:pPr>
            <w:r>
              <w:rPr>
                <w:rFonts w:hint="eastAsia" w:ascii="宋体" w:hAnsi="宋体"/>
                <w:kern w:val="0"/>
                <w:szCs w:val="21"/>
                <w:highlight w:val="none"/>
                <w:lang w:eastAsia="zh-Hans"/>
              </w:rPr>
              <w:t>响应</w:t>
            </w:r>
            <w:r>
              <w:rPr>
                <w:rFonts w:ascii="宋体" w:hAnsi="宋体"/>
                <w:kern w:val="0"/>
                <w:szCs w:val="21"/>
                <w:highlight w:val="none"/>
                <w:lang w:eastAsia="zh-Hans"/>
              </w:rPr>
              <w:t>有效期</w:t>
            </w:r>
          </w:p>
        </w:tc>
        <w:tc>
          <w:tcPr>
            <w:tcW w:w="3619" w:type="pct"/>
            <w:vAlign w:val="center"/>
          </w:tcPr>
          <w:p w14:paraId="04243349">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从提交响应文件的截止之日起90日历天</w:t>
            </w:r>
            <w:r>
              <w:rPr>
                <w:rFonts w:hint="eastAsia" w:ascii="宋体" w:hAnsi="宋体"/>
                <w:kern w:val="0"/>
                <w:szCs w:val="21"/>
                <w:highlight w:val="none"/>
                <w:lang w:eastAsia="zh-Hans"/>
              </w:rPr>
              <w:t>。</w:t>
            </w:r>
          </w:p>
        </w:tc>
      </w:tr>
      <w:tr w14:paraId="457B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6ACDF6F">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6</w:t>
            </w:r>
          </w:p>
        </w:tc>
        <w:tc>
          <w:tcPr>
            <w:tcW w:w="997" w:type="pct"/>
            <w:vAlign w:val="center"/>
          </w:tcPr>
          <w:p w14:paraId="5F226309">
            <w:pPr>
              <w:widowControl/>
              <w:snapToGrid w:val="0"/>
              <w:spacing w:line="400" w:lineRule="exact"/>
              <w:contextualSpacing/>
              <w:rPr>
                <w:rFonts w:ascii="宋体" w:hAnsi="宋体"/>
                <w:kern w:val="0"/>
                <w:szCs w:val="21"/>
                <w:highlight w:val="none"/>
                <w:lang w:eastAsia="zh-Hans"/>
              </w:rPr>
            </w:pPr>
            <w:r>
              <w:rPr>
                <w:rFonts w:hint="eastAsia" w:ascii="宋体" w:hAnsi="宋体"/>
                <w:kern w:val="0"/>
                <w:szCs w:val="21"/>
                <w:highlight w:val="none"/>
                <w:lang w:eastAsia="zh-Hans"/>
              </w:rPr>
              <w:t>响应</w:t>
            </w:r>
            <w:r>
              <w:rPr>
                <w:rFonts w:ascii="宋体" w:hAnsi="宋体"/>
                <w:kern w:val="0"/>
                <w:szCs w:val="21"/>
                <w:highlight w:val="none"/>
                <w:lang w:eastAsia="zh-Hans"/>
              </w:rPr>
              <w:t>保证金</w:t>
            </w:r>
          </w:p>
        </w:tc>
        <w:tc>
          <w:tcPr>
            <w:tcW w:w="3619" w:type="pct"/>
            <w:vAlign w:val="center"/>
          </w:tcPr>
          <w:p w14:paraId="685025D7">
            <w:pPr>
              <w:widowControl/>
              <w:snapToGrid w:val="0"/>
              <w:spacing w:line="400" w:lineRule="exact"/>
              <w:contextualSpacing/>
              <w:rPr>
                <w:rFonts w:ascii="宋体" w:hAnsi="宋体"/>
                <w:kern w:val="0"/>
                <w:szCs w:val="21"/>
                <w:highlight w:val="none"/>
              </w:rPr>
            </w:pPr>
            <w:r>
              <w:rPr>
                <w:rFonts w:hint="eastAsia" w:ascii="宋体" w:hAnsi="宋体"/>
                <w:kern w:val="0"/>
                <w:szCs w:val="21"/>
                <w:highlight w:val="none"/>
                <w:lang w:val="en-US" w:eastAsia="zh-CN"/>
              </w:rPr>
              <w:t>不收取</w:t>
            </w:r>
            <w:r>
              <w:rPr>
                <w:rFonts w:ascii="宋体" w:hAnsi="宋体"/>
                <w:kern w:val="0"/>
                <w:szCs w:val="21"/>
                <w:highlight w:val="none"/>
                <w:lang w:eastAsia="zh-Hans"/>
              </w:rPr>
              <w:t>。</w:t>
            </w:r>
          </w:p>
        </w:tc>
      </w:tr>
      <w:tr w14:paraId="20EA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E51FEBF">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7</w:t>
            </w:r>
          </w:p>
        </w:tc>
        <w:tc>
          <w:tcPr>
            <w:tcW w:w="997" w:type="pct"/>
            <w:vAlign w:val="center"/>
          </w:tcPr>
          <w:p w14:paraId="77937539">
            <w:pPr>
              <w:widowControl/>
              <w:snapToGrid w:val="0"/>
              <w:spacing w:line="400" w:lineRule="exact"/>
              <w:contextualSpacing/>
              <w:rPr>
                <w:rFonts w:ascii="宋体" w:hAnsi="宋体"/>
                <w:kern w:val="0"/>
                <w:szCs w:val="21"/>
                <w:highlight w:val="none"/>
                <w:lang w:eastAsia="zh-Hans"/>
              </w:rPr>
            </w:pPr>
            <w:r>
              <w:rPr>
                <w:rFonts w:hint="eastAsia" w:ascii="宋体" w:hAnsi="宋体"/>
                <w:kern w:val="0"/>
                <w:szCs w:val="21"/>
                <w:highlight w:val="none"/>
                <w:lang w:eastAsia="zh-Hans"/>
              </w:rPr>
              <w:t>响应</w:t>
            </w:r>
            <w:r>
              <w:rPr>
                <w:rFonts w:ascii="宋体" w:hAnsi="宋体"/>
                <w:kern w:val="0"/>
                <w:szCs w:val="21"/>
                <w:highlight w:val="none"/>
                <w:lang w:eastAsia="zh-Hans"/>
              </w:rPr>
              <w:t>文件要求</w:t>
            </w:r>
          </w:p>
        </w:tc>
        <w:tc>
          <w:tcPr>
            <w:tcW w:w="3619" w:type="pct"/>
            <w:vAlign w:val="center"/>
          </w:tcPr>
          <w:p w14:paraId="32A192B6">
            <w:pPr>
              <w:widowControl/>
              <w:snapToGrid w:val="0"/>
              <w:spacing w:line="400" w:lineRule="exact"/>
              <w:contextualSpacing/>
              <w:rPr>
                <w:rFonts w:ascii="宋体" w:hAnsi="宋体"/>
                <w:kern w:val="0"/>
                <w:szCs w:val="21"/>
                <w:highlight w:val="none"/>
                <w:lang w:eastAsia="zh-Hans"/>
              </w:rPr>
            </w:pPr>
            <w:r>
              <w:rPr>
                <w:rFonts w:ascii="宋体" w:hAnsi="宋体"/>
                <w:b/>
                <w:kern w:val="0"/>
                <w:szCs w:val="21"/>
                <w:highlight w:val="none"/>
                <w:lang w:eastAsia="zh-Hans"/>
              </w:rPr>
              <w:t>一、电子</w:t>
            </w:r>
            <w:r>
              <w:rPr>
                <w:rFonts w:hint="eastAsia" w:ascii="宋体" w:hAnsi="宋体"/>
                <w:b/>
                <w:kern w:val="0"/>
                <w:szCs w:val="21"/>
                <w:highlight w:val="none"/>
                <w:lang w:eastAsia="zh-Hans"/>
              </w:rPr>
              <w:t>响应</w:t>
            </w:r>
            <w:r>
              <w:rPr>
                <w:rFonts w:ascii="宋体" w:hAnsi="宋体"/>
                <w:b/>
                <w:kern w:val="0"/>
                <w:szCs w:val="21"/>
                <w:highlight w:val="none"/>
                <w:lang w:eastAsia="zh-Hans"/>
              </w:rPr>
              <w:t>文件：</w:t>
            </w:r>
          </w:p>
          <w:p w14:paraId="20069C6E">
            <w:pPr>
              <w:widowControl/>
              <w:snapToGrid w:val="0"/>
              <w:spacing w:line="400" w:lineRule="exact"/>
              <w:contextualSpacing/>
              <w:rPr>
                <w:rFonts w:ascii="宋体" w:hAnsi="宋体"/>
                <w:kern w:val="0"/>
                <w:szCs w:val="21"/>
                <w:highlight w:val="none"/>
              </w:rPr>
            </w:pPr>
            <w:r>
              <w:rPr>
                <w:rFonts w:ascii="宋体" w:hAnsi="宋体"/>
                <w:kern w:val="0"/>
                <w:szCs w:val="21"/>
                <w:highlight w:val="none"/>
                <w:lang w:eastAsia="zh-Hans"/>
              </w:rPr>
              <w:t>电</w:t>
            </w:r>
            <w:r>
              <w:rPr>
                <w:rFonts w:hint="eastAsia" w:ascii="宋体" w:hAnsi="宋体"/>
                <w:kern w:val="0"/>
                <w:szCs w:val="21"/>
                <w:highlight w:val="none"/>
                <w:lang w:eastAsia="zh-Hans"/>
              </w:rPr>
              <w:t>子响应</w:t>
            </w:r>
            <w:r>
              <w:rPr>
                <w:rFonts w:ascii="宋体" w:hAnsi="宋体"/>
                <w:kern w:val="0"/>
                <w:szCs w:val="21"/>
                <w:highlight w:val="none"/>
                <w:lang w:eastAsia="zh-Hans"/>
              </w:rPr>
              <w:t>文件U盘(或光盘)</w:t>
            </w:r>
            <w:r>
              <w:rPr>
                <w:rFonts w:hint="eastAsia" w:ascii="宋体" w:hAnsi="宋体"/>
                <w:kern w:val="0"/>
                <w:szCs w:val="21"/>
                <w:highlight w:val="none"/>
              </w:rPr>
              <w:t>1</w:t>
            </w:r>
            <w:r>
              <w:rPr>
                <w:rFonts w:ascii="宋体" w:hAnsi="宋体"/>
                <w:kern w:val="0"/>
                <w:szCs w:val="21"/>
                <w:highlight w:val="none"/>
                <w:lang w:eastAsia="zh-Hans"/>
              </w:rPr>
              <w:t>份</w:t>
            </w:r>
            <w:r>
              <w:rPr>
                <w:rFonts w:hint="eastAsia" w:ascii="宋体" w:hAnsi="宋体"/>
                <w:kern w:val="0"/>
                <w:szCs w:val="21"/>
                <w:highlight w:val="none"/>
                <w:lang w:eastAsia="zh-Hans"/>
              </w:rPr>
              <w:t>。</w:t>
            </w:r>
          </w:p>
          <w:p w14:paraId="488C4EEE">
            <w:pPr>
              <w:widowControl/>
              <w:snapToGrid w:val="0"/>
              <w:spacing w:line="400" w:lineRule="exact"/>
              <w:contextualSpacing/>
              <w:rPr>
                <w:rFonts w:ascii="宋体" w:hAnsi="宋体"/>
                <w:kern w:val="0"/>
                <w:szCs w:val="21"/>
                <w:highlight w:val="none"/>
              </w:rPr>
            </w:pPr>
            <w:r>
              <w:rPr>
                <w:rFonts w:ascii="宋体" w:hAnsi="宋体"/>
                <w:b/>
                <w:kern w:val="0"/>
                <w:szCs w:val="21"/>
                <w:highlight w:val="none"/>
                <w:lang w:eastAsia="zh-Hans"/>
              </w:rPr>
              <w:t>二、</w:t>
            </w:r>
            <w:r>
              <w:rPr>
                <w:rFonts w:hint="eastAsia" w:ascii="宋体" w:hAnsi="宋体"/>
                <w:b/>
                <w:kern w:val="0"/>
                <w:szCs w:val="21"/>
                <w:highlight w:val="none"/>
                <w:lang w:eastAsia="zh-Hans"/>
              </w:rPr>
              <w:t>响应</w:t>
            </w:r>
            <w:r>
              <w:rPr>
                <w:rFonts w:ascii="宋体" w:hAnsi="宋体"/>
                <w:b/>
                <w:kern w:val="0"/>
                <w:szCs w:val="21"/>
                <w:highlight w:val="none"/>
                <w:lang w:eastAsia="zh-Hans"/>
              </w:rPr>
              <w:t>文件：</w:t>
            </w:r>
          </w:p>
          <w:p w14:paraId="48FB2126">
            <w:pPr>
              <w:widowControl/>
              <w:snapToGrid w:val="0"/>
              <w:spacing w:line="400" w:lineRule="exact"/>
              <w:contextualSpacing/>
              <w:rPr>
                <w:rFonts w:ascii="宋体" w:hAnsi="宋体"/>
                <w:kern w:val="0"/>
                <w:szCs w:val="21"/>
                <w:highlight w:val="none"/>
              </w:rPr>
            </w:pPr>
            <w:r>
              <w:rPr>
                <w:rFonts w:hint="eastAsia" w:ascii="宋体" w:hAnsi="宋体"/>
                <w:kern w:val="0"/>
                <w:szCs w:val="21"/>
                <w:highlight w:val="none"/>
                <w:lang w:eastAsia="zh-Hans"/>
              </w:rPr>
              <w:t>响应</w:t>
            </w:r>
            <w:r>
              <w:rPr>
                <w:rFonts w:ascii="宋体" w:hAnsi="宋体"/>
                <w:kern w:val="0"/>
                <w:szCs w:val="21"/>
                <w:highlight w:val="none"/>
                <w:lang w:eastAsia="zh-Hans"/>
              </w:rPr>
              <w:t>文件正本</w:t>
            </w:r>
            <w:r>
              <w:rPr>
                <w:rFonts w:hint="eastAsia" w:ascii="宋体" w:hAnsi="宋体"/>
                <w:kern w:val="0"/>
                <w:szCs w:val="21"/>
                <w:highlight w:val="none"/>
              </w:rPr>
              <w:t>1</w:t>
            </w:r>
            <w:r>
              <w:rPr>
                <w:rFonts w:ascii="宋体" w:hAnsi="宋体"/>
                <w:kern w:val="0"/>
                <w:szCs w:val="21"/>
                <w:highlight w:val="none"/>
                <w:lang w:eastAsia="zh-Hans"/>
              </w:rPr>
              <w:t>份，</w:t>
            </w:r>
            <w:r>
              <w:rPr>
                <w:rFonts w:hint="eastAsia" w:ascii="宋体" w:hAnsi="宋体"/>
                <w:kern w:val="0"/>
                <w:szCs w:val="21"/>
                <w:highlight w:val="none"/>
                <w:lang w:eastAsia="zh-Hans"/>
              </w:rPr>
              <w:t>响应</w:t>
            </w:r>
            <w:r>
              <w:rPr>
                <w:rFonts w:ascii="宋体" w:hAnsi="宋体"/>
                <w:kern w:val="0"/>
                <w:szCs w:val="21"/>
                <w:highlight w:val="none"/>
                <w:lang w:eastAsia="zh-Hans"/>
              </w:rPr>
              <w:t>文件副本</w:t>
            </w:r>
            <w:r>
              <w:rPr>
                <w:rFonts w:hint="eastAsia" w:ascii="宋体" w:hAnsi="宋体"/>
                <w:kern w:val="0"/>
                <w:szCs w:val="21"/>
                <w:highlight w:val="none"/>
              </w:rPr>
              <w:t>3</w:t>
            </w:r>
            <w:r>
              <w:rPr>
                <w:rFonts w:ascii="宋体" w:hAnsi="宋体"/>
                <w:kern w:val="0"/>
                <w:szCs w:val="21"/>
                <w:highlight w:val="none"/>
                <w:lang w:eastAsia="zh-Hans"/>
              </w:rPr>
              <w:t>份。</w:t>
            </w:r>
          </w:p>
          <w:p w14:paraId="02FC5DB6">
            <w:pPr>
              <w:widowControl/>
              <w:snapToGrid w:val="0"/>
              <w:spacing w:line="400" w:lineRule="exact"/>
              <w:contextualSpacing/>
              <w:rPr>
                <w:rFonts w:ascii="宋体" w:hAnsi="宋体"/>
                <w:kern w:val="0"/>
                <w:szCs w:val="21"/>
                <w:highlight w:val="none"/>
              </w:rPr>
            </w:pPr>
            <w:r>
              <w:rPr>
                <w:rFonts w:ascii="宋体" w:hAnsi="宋体"/>
                <w:kern w:val="0"/>
                <w:szCs w:val="21"/>
                <w:highlight w:val="none"/>
                <w:lang w:eastAsia="zh-Hans"/>
              </w:rPr>
              <w:t>（递交的</w:t>
            </w:r>
            <w:r>
              <w:rPr>
                <w:rFonts w:hint="eastAsia" w:ascii="宋体" w:hAnsi="宋体"/>
                <w:kern w:val="0"/>
                <w:szCs w:val="21"/>
                <w:highlight w:val="none"/>
                <w:lang w:eastAsia="zh-Hans"/>
              </w:rPr>
              <w:t>响应</w:t>
            </w:r>
            <w:r>
              <w:rPr>
                <w:rFonts w:ascii="宋体" w:hAnsi="宋体"/>
                <w:kern w:val="0"/>
                <w:szCs w:val="21"/>
                <w:highlight w:val="none"/>
                <w:lang w:eastAsia="zh-Hans"/>
              </w:rPr>
              <w:t>文件需密封完好，</w:t>
            </w:r>
            <w:r>
              <w:rPr>
                <w:rFonts w:hint="eastAsia" w:ascii="宋体" w:hAnsi="宋体"/>
                <w:kern w:val="0"/>
                <w:szCs w:val="21"/>
                <w:highlight w:val="none"/>
                <w:lang w:eastAsia="zh-Hans"/>
              </w:rPr>
              <w:t>每套响应文件须清楚地标明“正本”或“副本”。若副本与正本不符，以正本为准。</w:t>
            </w:r>
            <w:r>
              <w:rPr>
                <w:rFonts w:ascii="宋体" w:hAnsi="宋体"/>
                <w:kern w:val="0"/>
                <w:szCs w:val="21"/>
                <w:highlight w:val="none"/>
                <w:lang w:eastAsia="zh-Hans"/>
              </w:rPr>
              <w:t>）</w:t>
            </w:r>
          </w:p>
        </w:tc>
      </w:tr>
      <w:tr w14:paraId="1045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D1A1296">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8</w:t>
            </w:r>
          </w:p>
        </w:tc>
        <w:tc>
          <w:tcPr>
            <w:tcW w:w="997" w:type="pct"/>
            <w:vAlign w:val="center"/>
          </w:tcPr>
          <w:p w14:paraId="1304C33B">
            <w:pPr>
              <w:widowControl/>
              <w:snapToGrid w:val="0"/>
              <w:spacing w:line="400" w:lineRule="exact"/>
              <w:contextualSpacing/>
              <w:rPr>
                <w:rFonts w:ascii="宋体" w:hAnsi="宋体"/>
                <w:color w:val="auto"/>
                <w:kern w:val="0"/>
                <w:szCs w:val="21"/>
                <w:highlight w:val="none"/>
                <w:lang w:eastAsia="zh-Hans"/>
              </w:rPr>
            </w:pPr>
            <w:r>
              <w:rPr>
                <w:rFonts w:hint="eastAsia" w:ascii="宋体" w:hAnsi="宋体"/>
                <w:color w:val="auto"/>
                <w:kern w:val="0"/>
                <w:szCs w:val="21"/>
                <w:highlight w:val="none"/>
                <w:lang w:eastAsia="zh-Hans"/>
              </w:rPr>
              <w:t>成交</w:t>
            </w:r>
            <w:r>
              <w:rPr>
                <w:rFonts w:ascii="宋体" w:hAnsi="宋体"/>
                <w:color w:val="auto"/>
                <w:kern w:val="0"/>
                <w:szCs w:val="21"/>
                <w:highlight w:val="none"/>
                <w:lang w:eastAsia="zh-Hans"/>
              </w:rPr>
              <w:t>候选供应商推荐家数</w:t>
            </w:r>
          </w:p>
        </w:tc>
        <w:tc>
          <w:tcPr>
            <w:tcW w:w="3619" w:type="pct"/>
            <w:vAlign w:val="center"/>
          </w:tcPr>
          <w:p w14:paraId="496E09FC">
            <w:pPr>
              <w:widowControl/>
              <w:snapToGrid w:val="0"/>
              <w:spacing w:line="400" w:lineRule="exact"/>
              <w:contextualSpacing/>
              <w:rPr>
                <w:rFonts w:ascii="宋体" w:hAnsi="宋体"/>
                <w:color w:val="auto"/>
                <w:kern w:val="0"/>
                <w:szCs w:val="21"/>
                <w:highlight w:val="none"/>
                <w:lang w:eastAsia="zh-Hans"/>
              </w:rPr>
            </w:pPr>
            <w:r>
              <w:rPr>
                <w:rFonts w:hint="eastAsia" w:ascii="宋体" w:hAnsi="宋体"/>
                <w:color w:val="auto"/>
                <w:kern w:val="0"/>
                <w:szCs w:val="21"/>
                <w:highlight w:val="none"/>
              </w:rPr>
              <w:t>3</w:t>
            </w:r>
            <w:r>
              <w:rPr>
                <w:rFonts w:ascii="宋体" w:hAnsi="宋体"/>
                <w:color w:val="auto"/>
                <w:kern w:val="0"/>
                <w:szCs w:val="21"/>
                <w:highlight w:val="none"/>
                <w:lang w:eastAsia="zh-Hans"/>
              </w:rPr>
              <w:t>家</w:t>
            </w:r>
          </w:p>
        </w:tc>
      </w:tr>
      <w:tr w14:paraId="3932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72453E2">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9</w:t>
            </w:r>
          </w:p>
        </w:tc>
        <w:tc>
          <w:tcPr>
            <w:tcW w:w="997" w:type="pct"/>
            <w:vAlign w:val="center"/>
          </w:tcPr>
          <w:p w14:paraId="7006645E">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成交供应商数量</w:t>
            </w:r>
          </w:p>
        </w:tc>
        <w:tc>
          <w:tcPr>
            <w:tcW w:w="3619" w:type="pct"/>
            <w:vAlign w:val="center"/>
          </w:tcPr>
          <w:p w14:paraId="4BEC00D6">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1家</w:t>
            </w:r>
          </w:p>
        </w:tc>
      </w:tr>
      <w:tr w14:paraId="2C62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384" w:type="pct"/>
            <w:vAlign w:val="center"/>
          </w:tcPr>
          <w:p w14:paraId="0C23B40D">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10</w:t>
            </w:r>
          </w:p>
        </w:tc>
        <w:tc>
          <w:tcPr>
            <w:tcW w:w="997" w:type="pct"/>
            <w:vAlign w:val="center"/>
          </w:tcPr>
          <w:p w14:paraId="0D55BC85">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有效供应商家数</w:t>
            </w:r>
          </w:p>
        </w:tc>
        <w:tc>
          <w:tcPr>
            <w:tcW w:w="3619" w:type="pct"/>
            <w:vAlign w:val="center"/>
          </w:tcPr>
          <w:p w14:paraId="208945F6">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3家</w:t>
            </w:r>
          </w:p>
          <w:p w14:paraId="01E13EAE">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此人数约定了开启与评审过程中的最低有效供应商家数，当家数不足时项目将不得开启、不得评审或直接终止采购。</w:t>
            </w:r>
          </w:p>
        </w:tc>
      </w:tr>
      <w:tr w14:paraId="05F3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2718F7D">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11</w:t>
            </w:r>
          </w:p>
        </w:tc>
        <w:tc>
          <w:tcPr>
            <w:tcW w:w="997" w:type="pct"/>
            <w:vAlign w:val="center"/>
          </w:tcPr>
          <w:p w14:paraId="5EA7F4E3">
            <w:pPr>
              <w:widowControl/>
              <w:snapToGrid w:val="0"/>
              <w:spacing w:line="400" w:lineRule="exact"/>
              <w:contextualSpacing/>
              <w:rPr>
                <w:rFonts w:ascii="宋体" w:hAnsi="宋体"/>
                <w:kern w:val="0"/>
                <w:szCs w:val="21"/>
                <w:highlight w:val="none"/>
                <w:lang w:eastAsia="zh-Hans"/>
              </w:rPr>
            </w:pPr>
            <w:r>
              <w:rPr>
                <w:rFonts w:hint="eastAsia" w:ascii="宋体" w:hAnsi="宋体"/>
                <w:kern w:val="0"/>
                <w:szCs w:val="21"/>
                <w:highlight w:val="none"/>
                <w:lang w:eastAsia="zh-Hans"/>
              </w:rPr>
              <w:t>成交</w:t>
            </w:r>
            <w:r>
              <w:rPr>
                <w:rFonts w:ascii="宋体" w:hAnsi="宋体"/>
                <w:kern w:val="0"/>
                <w:szCs w:val="21"/>
                <w:highlight w:val="none"/>
                <w:lang w:eastAsia="zh-Hans"/>
              </w:rPr>
              <w:t>供应商确定方式</w:t>
            </w:r>
          </w:p>
        </w:tc>
        <w:tc>
          <w:tcPr>
            <w:tcW w:w="3619" w:type="pct"/>
            <w:vAlign w:val="center"/>
          </w:tcPr>
          <w:p w14:paraId="261E879D">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采购人按照评审报告中推荐的成交候选人确定成交人</w:t>
            </w:r>
          </w:p>
        </w:tc>
      </w:tr>
      <w:tr w14:paraId="2EC4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69401460">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12</w:t>
            </w:r>
          </w:p>
        </w:tc>
        <w:tc>
          <w:tcPr>
            <w:tcW w:w="997" w:type="pct"/>
            <w:vAlign w:val="center"/>
          </w:tcPr>
          <w:p w14:paraId="1F5ED47E">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代理服务费</w:t>
            </w:r>
          </w:p>
        </w:tc>
        <w:tc>
          <w:tcPr>
            <w:tcW w:w="3619" w:type="pct"/>
            <w:vAlign w:val="center"/>
          </w:tcPr>
          <w:p w14:paraId="6333977B">
            <w:pPr>
              <w:widowControl/>
              <w:snapToGrid w:val="0"/>
              <w:spacing w:line="400" w:lineRule="exact"/>
              <w:contextualSpacing/>
              <w:rPr>
                <w:rFonts w:ascii="宋体" w:hAnsi="宋体"/>
                <w:kern w:val="0"/>
                <w:szCs w:val="21"/>
                <w:highlight w:val="none"/>
                <w:lang w:eastAsia="zh-Hans"/>
              </w:rPr>
            </w:pPr>
            <w:r>
              <w:rPr>
                <w:rFonts w:hint="eastAsia" w:ascii="宋体" w:hAnsi="宋体"/>
                <w:kern w:val="0"/>
                <w:szCs w:val="21"/>
                <w:highlight w:val="none"/>
                <w:lang w:eastAsia="zh-Hans"/>
              </w:rPr>
              <w:t>收取。采购机构代理服务收费标准：以中标(成交)金额作为采购代理服务费的计算基数，采用差额定率累进法计算，具体计算费率按规定标准“服务类”收取代理服务费。100万元以下，1.5%;100~500万元，0.8%;500~1000万元，0.45%;1000~5000万元，0.25%;5000万元~1亿元，0.1%;1~5亿元，0.05%;5~10亿元，0.035%;10~50亿元，0.008%;50~100亿元，0.006%;100亿以上，0.004%。</w:t>
            </w:r>
          </w:p>
        </w:tc>
      </w:tr>
      <w:tr w14:paraId="2661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84" w:type="pct"/>
            <w:vAlign w:val="center"/>
          </w:tcPr>
          <w:p w14:paraId="24FAE492">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13</w:t>
            </w:r>
          </w:p>
        </w:tc>
        <w:tc>
          <w:tcPr>
            <w:tcW w:w="997" w:type="pct"/>
            <w:vAlign w:val="center"/>
          </w:tcPr>
          <w:p w14:paraId="1EBA4D84">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代理服务费收取方式</w:t>
            </w:r>
          </w:p>
        </w:tc>
        <w:tc>
          <w:tcPr>
            <w:tcW w:w="3619" w:type="pct"/>
            <w:vAlign w:val="center"/>
          </w:tcPr>
          <w:p w14:paraId="0D594549">
            <w:pPr>
              <w:widowControl/>
              <w:snapToGrid w:val="0"/>
              <w:spacing w:line="400" w:lineRule="exact"/>
              <w:contextualSpacing/>
              <w:rPr>
                <w:rFonts w:ascii="宋体" w:hAnsi="宋体"/>
                <w:kern w:val="0"/>
                <w:szCs w:val="21"/>
                <w:highlight w:val="none"/>
                <w:lang w:eastAsia="zh-Hans"/>
              </w:rPr>
            </w:pPr>
            <w:r>
              <w:rPr>
                <w:rFonts w:ascii="宋体" w:hAnsi="宋体"/>
                <w:kern w:val="0"/>
                <w:szCs w:val="21"/>
                <w:highlight w:val="none"/>
                <w:lang w:eastAsia="zh-Hans"/>
              </w:rPr>
              <w:t>向</w:t>
            </w:r>
            <w:r>
              <w:rPr>
                <w:rFonts w:hint="eastAsia" w:ascii="宋体" w:hAnsi="宋体"/>
                <w:kern w:val="0"/>
                <w:szCs w:val="21"/>
                <w:highlight w:val="none"/>
                <w:lang w:eastAsia="zh-Hans"/>
              </w:rPr>
              <w:t>成交</w:t>
            </w:r>
            <w:r>
              <w:rPr>
                <w:rFonts w:ascii="宋体" w:hAnsi="宋体"/>
                <w:kern w:val="0"/>
                <w:szCs w:val="21"/>
                <w:highlight w:val="none"/>
                <w:lang w:eastAsia="zh-Hans"/>
              </w:rPr>
              <w:t>供应商收取</w:t>
            </w:r>
          </w:p>
        </w:tc>
      </w:tr>
      <w:tr w14:paraId="285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84" w:type="pct"/>
            <w:vAlign w:val="center"/>
          </w:tcPr>
          <w:p w14:paraId="167624B1">
            <w:pPr>
              <w:widowControl/>
              <w:snapToGrid w:val="0"/>
              <w:spacing w:line="400" w:lineRule="exact"/>
              <w:contextualSpacing/>
              <w:jc w:val="center"/>
              <w:rPr>
                <w:rFonts w:ascii="宋体" w:hAnsi="宋体"/>
                <w:kern w:val="0"/>
                <w:szCs w:val="21"/>
                <w:highlight w:val="none"/>
              </w:rPr>
            </w:pPr>
            <w:r>
              <w:rPr>
                <w:rFonts w:hint="eastAsia" w:ascii="宋体" w:hAnsi="宋体"/>
                <w:kern w:val="0"/>
                <w:szCs w:val="21"/>
                <w:highlight w:val="none"/>
              </w:rPr>
              <w:t>14</w:t>
            </w:r>
          </w:p>
        </w:tc>
        <w:tc>
          <w:tcPr>
            <w:tcW w:w="997" w:type="pct"/>
            <w:vAlign w:val="center"/>
          </w:tcPr>
          <w:p w14:paraId="2D453196">
            <w:pPr>
              <w:widowControl/>
              <w:snapToGrid w:val="0"/>
              <w:spacing w:line="400" w:lineRule="exact"/>
              <w:contextualSpacing/>
              <w:rPr>
                <w:rFonts w:ascii="宋体" w:hAnsi="宋体"/>
                <w:color w:val="auto"/>
                <w:kern w:val="0"/>
                <w:szCs w:val="21"/>
                <w:highlight w:val="none"/>
                <w:lang w:eastAsia="zh-Hans"/>
              </w:rPr>
            </w:pPr>
            <w:r>
              <w:rPr>
                <w:rFonts w:hint="eastAsia" w:ascii="宋体" w:hAnsi="宋体"/>
                <w:color w:val="auto"/>
                <w:kern w:val="0"/>
                <w:szCs w:val="21"/>
                <w:highlight w:val="none"/>
                <w:lang w:eastAsia="zh-Hans"/>
              </w:rPr>
              <w:t>履约担保</w:t>
            </w:r>
          </w:p>
        </w:tc>
        <w:tc>
          <w:tcPr>
            <w:tcW w:w="3619" w:type="pct"/>
            <w:vAlign w:val="center"/>
          </w:tcPr>
          <w:p w14:paraId="5BC0765C">
            <w:pPr>
              <w:widowControl/>
              <w:snapToGrid w:val="0"/>
              <w:spacing w:line="400" w:lineRule="exact"/>
              <w:contextualSpacing/>
              <w:rPr>
                <w:rFonts w:ascii="宋体" w:hAnsi="宋体"/>
                <w:color w:val="auto"/>
                <w:kern w:val="0"/>
                <w:szCs w:val="21"/>
                <w:highlight w:val="none"/>
                <w:lang w:eastAsia="zh-Hans"/>
              </w:rPr>
            </w:pPr>
            <w:r>
              <w:rPr>
                <w:rFonts w:hint="eastAsia" w:ascii="宋体" w:hAnsi="宋体"/>
                <w:color w:val="auto"/>
                <w:szCs w:val="21"/>
                <w:highlight w:val="none"/>
                <w:lang w:val="en-US" w:eastAsia="zh-CN"/>
              </w:rPr>
              <w:t>不收取</w:t>
            </w:r>
            <w:r>
              <w:rPr>
                <w:rFonts w:ascii="宋体" w:hAnsi="宋体"/>
                <w:color w:val="auto"/>
                <w:szCs w:val="21"/>
                <w:highlight w:val="none"/>
                <w:lang w:val="zh-CN"/>
              </w:rPr>
              <w:t>。</w:t>
            </w:r>
          </w:p>
        </w:tc>
      </w:tr>
    </w:tbl>
    <w:p w14:paraId="420D7E1F">
      <w:pPr>
        <w:widowControl/>
        <w:snapToGrid w:val="0"/>
        <w:spacing w:before="312" w:beforeLines="100" w:line="360" w:lineRule="auto"/>
        <w:contextualSpacing/>
        <w:jc w:val="left"/>
        <w:outlineLvl w:val="9"/>
        <w:rPr>
          <w:rFonts w:ascii="宋体" w:hAnsi="宋体"/>
          <w:b/>
          <w:kern w:val="0"/>
          <w:szCs w:val="21"/>
          <w:highlight w:val="none"/>
        </w:rPr>
      </w:pPr>
    </w:p>
    <w:p w14:paraId="00DD2CF4">
      <w:pPr>
        <w:pStyle w:val="13"/>
        <w:widowControl/>
        <w:numPr>
          <w:ilvl w:val="0"/>
          <w:numId w:val="31"/>
        </w:numPr>
        <w:snapToGrid w:val="0"/>
        <w:spacing w:line="360" w:lineRule="auto"/>
        <w:ind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说明</w:t>
      </w:r>
    </w:p>
    <w:p w14:paraId="40124942">
      <w:pPr>
        <w:pStyle w:val="13"/>
        <w:widowControl/>
        <w:numPr>
          <w:ilvl w:val="3"/>
          <w:numId w:val="33"/>
        </w:numPr>
        <w:tabs>
          <w:tab w:val="left" w:pos="284"/>
          <w:tab w:val="left" w:pos="993"/>
          <w:tab w:val="left" w:pos="1418"/>
        </w:tabs>
        <w:snapToGrid w:val="0"/>
        <w:spacing w:line="360" w:lineRule="auto"/>
        <w:ind w:hanging="1760"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总则</w:t>
      </w:r>
    </w:p>
    <w:p w14:paraId="189140CC">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本磋商文件</w:t>
      </w:r>
      <w:r>
        <w:rPr>
          <w:rFonts w:hint="eastAsia" w:ascii="宋体" w:hAnsi="宋体"/>
          <w:color w:val="auto"/>
          <w:kern w:val="0"/>
          <w:szCs w:val="21"/>
          <w:highlight w:val="none"/>
          <w:lang w:eastAsia="zh-Hans"/>
        </w:rPr>
        <w:t>参考</w:t>
      </w:r>
      <w:r>
        <w:rPr>
          <w:rFonts w:ascii="宋体" w:hAnsi="宋体"/>
          <w:kern w:val="0"/>
          <w:szCs w:val="21"/>
          <w:highlight w:val="none"/>
          <w:lang w:eastAsia="zh-Hans"/>
        </w:rPr>
        <w:t>《中华人民共和国政府采购法》、《中华人民共和国政府采购法实施条例》（国务院令第658号）和《政府采购竞争性磋商采购方式管理暂行办法》（财库〔2014〕214号）</w:t>
      </w:r>
      <w:r>
        <w:rPr>
          <w:rFonts w:hint="eastAsia" w:ascii="宋体" w:hAnsi="宋体"/>
          <w:kern w:val="0"/>
          <w:szCs w:val="21"/>
          <w:highlight w:val="none"/>
          <w:lang w:eastAsia="zh-Hans"/>
        </w:rPr>
        <w:t>等</w:t>
      </w:r>
      <w:r>
        <w:rPr>
          <w:rFonts w:ascii="宋体" w:hAnsi="宋体"/>
          <w:kern w:val="0"/>
          <w:szCs w:val="21"/>
          <w:highlight w:val="none"/>
          <w:lang w:eastAsia="zh-Hans"/>
        </w:rPr>
        <w:t>有关法律、法规、规章制度编制。</w:t>
      </w:r>
    </w:p>
    <w:p w14:paraId="176F8C8E">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供应商应仔细阅读本项目信息公告及磋商文件的所有内容（包括变更、补充、澄清以及修改等，且均为磋商文件的组成部分），按照磋商文件要求以及格式编制响应文件，并保证其真实性，否则一切后果自负。</w:t>
      </w:r>
    </w:p>
    <w:p w14:paraId="2D6FF123">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本次竞争性磋商项目，是以磋商公告的方式邀请非特定的供应商参加磋商。</w:t>
      </w:r>
    </w:p>
    <w:p w14:paraId="3A82A57B">
      <w:pPr>
        <w:pStyle w:val="13"/>
        <w:widowControl/>
        <w:numPr>
          <w:ilvl w:val="3"/>
          <w:numId w:val="33"/>
        </w:numPr>
        <w:tabs>
          <w:tab w:val="left" w:pos="284"/>
          <w:tab w:val="left" w:pos="993"/>
          <w:tab w:val="left" w:pos="1418"/>
        </w:tabs>
        <w:snapToGrid w:val="0"/>
        <w:spacing w:line="360" w:lineRule="auto"/>
        <w:ind w:hanging="1760"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适用范围</w:t>
      </w:r>
    </w:p>
    <w:p w14:paraId="41132A63">
      <w:pPr>
        <w:widowControl/>
        <w:snapToGrid w:val="0"/>
        <w:spacing w:line="360" w:lineRule="auto"/>
        <w:ind w:firstLine="480"/>
        <w:contextualSpacing/>
        <w:jc w:val="left"/>
        <w:rPr>
          <w:rFonts w:ascii="宋体" w:hAnsi="宋体"/>
          <w:kern w:val="0"/>
          <w:szCs w:val="21"/>
          <w:highlight w:val="none"/>
          <w:lang w:eastAsia="zh-Hans"/>
        </w:rPr>
      </w:pPr>
      <w:r>
        <w:rPr>
          <w:rFonts w:ascii="宋体" w:hAnsi="宋体"/>
          <w:kern w:val="0"/>
          <w:szCs w:val="21"/>
          <w:highlight w:val="none"/>
          <w:lang w:eastAsia="zh-Hans"/>
        </w:rPr>
        <w:t>本磋商文件仅适用于本次磋商公告中所涉及的项目和内容。</w:t>
      </w:r>
    </w:p>
    <w:p w14:paraId="174DF57A">
      <w:pPr>
        <w:pStyle w:val="13"/>
        <w:widowControl/>
        <w:numPr>
          <w:ilvl w:val="3"/>
          <w:numId w:val="33"/>
        </w:numPr>
        <w:tabs>
          <w:tab w:val="left" w:pos="284"/>
          <w:tab w:val="left" w:pos="993"/>
          <w:tab w:val="left" w:pos="1418"/>
        </w:tabs>
        <w:snapToGrid w:val="0"/>
        <w:spacing w:line="360" w:lineRule="auto"/>
        <w:ind w:hanging="1760"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进口产品</w:t>
      </w:r>
    </w:p>
    <w:p w14:paraId="24CF172C">
      <w:pPr>
        <w:widowControl/>
        <w:snapToGrid w:val="0"/>
        <w:spacing w:line="360" w:lineRule="auto"/>
        <w:ind w:firstLine="424" w:firstLineChars="202"/>
        <w:contextualSpacing/>
        <w:jc w:val="left"/>
        <w:rPr>
          <w:rFonts w:ascii="宋体" w:hAnsi="宋体"/>
          <w:kern w:val="0"/>
          <w:szCs w:val="21"/>
          <w:highlight w:val="none"/>
          <w:lang w:eastAsia="zh-Hans"/>
        </w:rPr>
      </w:pPr>
      <w:r>
        <w:rPr>
          <w:rFonts w:ascii="宋体" w:hAnsi="宋体"/>
          <w:kern w:val="0"/>
          <w:szCs w:val="21"/>
          <w:highlight w:val="none"/>
          <w:lang w:eastAsia="zh-Hans"/>
        </w:rPr>
        <w:t>若本项目允许采购进口产品，供应商应保证所投产品可履行合法报通关手续进入中国关境内。</w:t>
      </w:r>
    </w:p>
    <w:p w14:paraId="37B8C242">
      <w:pPr>
        <w:widowControl/>
        <w:snapToGrid w:val="0"/>
        <w:spacing w:line="360" w:lineRule="auto"/>
        <w:ind w:firstLine="424" w:firstLineChars="202"/>
        <w:contextualSpacing/>
        <w:jc w:val="left"/>
        <w:rPr>
          <w:rFonts w:ascii="宋体" w:hAnsi="宋体"/>
          <w:kern w:val="0"/>
          <w:szCs w:val="21"/>
          <w:highlight w:val="none"/>
          <w:lang w:eastAsia="zh-Hans"/>
        </w:rPr>
      </w:pPr>
      <w:r>
        <w:rPr>
          <w:rFonts w:ascii="宋体" w:hAnsi="宋体"/>
          <w:kern w:val="0"/>
          <w:szCs w:val="21"/>
          <w:highlight w:val="none"/>
          <w:lang w:eastAsia="zh-Hans"/>
        </w:rPr>
        <w:t>若本项目不允许采购进口产品，如供应商所投产品为进口产品，其响应将被认定为响应无效。</w:t>
      </w:r>
    </w:p>
    <w:p w14:paraId="46013E8F">
      <w:pPr>
        <w:pStyle w:val="13"/>
        <w:widowControl/>
        <w:numPr>
          <w:ilvl w:val="3"/>
          <w:numId w:val="33"/>
        </w:numPr>
        <w:tabs>
          <w:tab w:val="left" w:pos="284"/>
          <w:tab w:val="left" w:pos="993"/>
          <w:tab w:val="left" w:pos="1418"/>
        </w:tabs>
        <w:snapToGrid w:val="0"/>
        <w:spacing w:line="360" w:lineRule="auto"/>
        <w:ind w:hanging="1760"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磋商费用</w:t>
      </w:r>
    </w:p>
    <w:p w14:paraId="38C9D2F6">
      <w:pPr>
        <w:widowControl/>
        <w:snapToGrid w:val="0"/>
        <w:spacing w:line="360" w:lineRule="auto"/>
        <w:ind w:firstLine="480"/>
        <w:contextualSpacing/>
        <w:jc w:val="left"/>
        <w:rPr>
          <w:rFonts w:ascii="宋体" w:hAnsi="宋体"/>
          <w:kern w:val="0"/>
          <w:szCs w:val="21"/>
          <w:highlight w:val="none"/>
          <w:lang w:eastAsia="zh-Hans"/>
        </w:rPr>
      </w:pPr>
      <w:r>
        <w:rPr>
          <w:rFonts w:ascii="宋体" w:hAnsi="宋体"/>
          <w:kern w:val="0"/>
          <w:szCs w:val="21"/>
          <w:highlight w:val="none"/>
          <w:lang w:eastAsia="zh-Hans"/>
        </w:rPr>
        <w:t>不论磋商结果如何，供应商应承担所有与准备和参加磋商有关的费用。采购代理机构和采购人均无义务和责任承担相关费用。</w:t>
      </w:r>
    </w:p>
    <w:p w14:paraId="31AEE722">
      <w:pPr>
        <w:pStyle w:val="13"/>
        <w:widowControl/>
        <w:numPr>
          <w:ilvl w:val="3"/>
          <w:numId w:val="33"/>
        </w:numPr>
        <w:tabs>
          <w:tab w:val="left" w:pos="284"/>
          <w:tab w:val="left" w:pos="993"/>
          <w:tab w:val="left" w:pos="1418"/>
        </w:tabs>
        <w:snapToGrid w:val="0"/>
        <w:spacing w:line="360" w:lineRule="auto"/>
        <w:ind w:hanging="1760"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以联合体形式磋商的，应符合以下规定：</w:t>
      </w:r>
    </w:p>
    <w:p w14:paraId="30891E70">
      <w:pPr>
        <w:pStyle w:val="13"/>
        <w:widowControl/>
        <w:numPr>
          <w:ilvl w:val="0"/>
          <w:numId w:val="34"/>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联合体各方均应当满足《中华人民共和国政府采购法》第二十二条规定的条件，并在响应文件中提供联合体各方的相关证明材料。</w:t>
      </w:r>
    </w:p>
    <w:p w14:paraId="3827E80A">
      <w:pPr>
        <w:pStyle w:val="13"/>
        <w:widowControl/>
        <w:numPr>
          <w:ilvl w:val="0"/>
          <w:numId w:val="34"/>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48D3E83C">
      <w:pPr>
        <w:pStyle w:val="13"/>
        <w:widowControl/>
        <w:numPr>
          <w:ilvl w:val="0"/>
          <w:numId w:val="34"/>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对于需交响应保证金的，以牵头方名义缴纳。</w:t>
      </w:r>
    </w:p>
    <w:p w14:paraId="71C6890E">
      <w:pPr>
        <w:pStyle w:val="13"/>
        <w:widowControl/>
        <w:numPr>
          <w:ilvl w:val="0"/>
          <w:numId w:val="34"/>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联合体成员存在不良信用记录的，视同联合体存在不良信用记录。</w:t>
      </w:r>
    </w:p>
    <w:p w14:paraId="7FF8EBC4">
      <w:pPr>
        <w:pStyle w:val="13"/>
        <w:widowControl/>
        <w:numPr>
          <w:ilvl w:val="0"/>
          <w:numId w:val="34"/>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433900AC">
      <w:pPr>
        <w:pStyle w:val="13"/>
        <w:widowControl/>
        <w:numPr>
          <w:ilvl w:val="0"/>
          <w:numId w:val="34"/>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联合体各方应当共同与采购人签订采购合同，就合同约定的事项对采购人承担连带责任。</w:t>
      </w:r>
    </w:p>
    <w:p w14:paraId="7CDB9083">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6.关联企业响应说明</w:t>
      </w:r>
    </w:p>
    <w:p w14:paraId="18027132">
      <w:pPr>
        <w:pStyle w:val="13"/>
        <w:widowControl/>
        <w:numPr>
          <w:ilvl w:val="0"/>
          <w:numId w:val="35"/>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对于不接受联合体响应的采购项目（采购包）：法定代表人或单位负责人为同一个人或者存在直接控股、管理关系的不同供应商，不得同时参加同一项目或同一采购包的响应。如同时参加，则评审时将同时被拒绝。</w:t>
      </w:r>
    </w:p>
    <w:p w14:paraId="5C866E2F">
      <w:pPr>
        <w:pStyle w:val="13"/>
        <w:widowControl/>
        <w:numPr>
          <w:ilvl w:val="0"/>
          <w:numId w:val="35"/>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C3DFA4F">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7.关于中小微企业响应</w:t>
      </w:r>
    </w:p>
    <w:p w14:paraId="2105E785">
      <w:pPr>
        <w:pStyle w:val="13"/>
        <w:widowControl/>
        <w:numPr>
          <w:ilvl w:val="0"/>
          <w:numId w:val="36"/>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w:t>
      </w:r>
    </w:p>
    <w:p w14:paraId="6ECFF586">
      <w:pPr>
        <w:pStyle w:val="13"/>
        <w:widowControl/>
        <w:numPr>
          <w:ilvl w:val="0"/>
          <w:numId w:val="36"/>
        </w:numPr>
        <w:snapToGrid w:val="0"/>
        <w:spacing w:line="360" w:lineRule="auto"/>
        <w:ind w:firstLineChars="0"/>
        <w:contextualSpacing/>
        <w:jc w:val="left"/>
        <w:rPr>
          <w:rFonts w:ascii="宋体" w:hAnsi="宋体"/>
          <w:kern w:val="0"/>
          <w:szCs w:val="21"/>
          <w:highlight w:val="none"/>
          <w:lang w:eastAsia="zh-Hans"/>
        </w:rPr>
      </w:pPr>
      <w:r>
        <w:rPr>
          <w:rFonts w:hint="eastAsia" w:ascii="宋体" w:hAnsi="宋体"/>
          <w:kern w:val="0"/>
          <w:szCs w:val="21"/>
          <w:highlight w:val="none"/>
          <w:lang w:val="en-US" w:eastAsia="zh-CN"/>
        </w:rPr>
        <w:t>参考</w:t>
      </w:r>
      <w:r>
        <w:rPr>
          <w:rFonts w:ascii="宋体" w:hAnsi="宋体"/>
          <w:kern w:val="0"/>
          <w:szCs w:val="21"/>
          <w:highlight w:val="none"/>
          <w:lang w:eastAsia="zh-Hans"/>
        </w:rPr>
        <w:t>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532E9721">
      <w:pPr>
        <w:pStyle w:val="13"/>
        <w:widowControl/>
        <w:numPr>
          <w:ilvl w:val="0"/>
          <w:numId w:val="36"/>
        </w:numPr>
        <w:snapToGrid w:val="0"/>
        <w:spacing w:line="360" w:lineRule="auto"/>
        <w:ind w:firstLineChars="0"/>
        <w:contextualSpacing/>
        <w:jc w:val="left"/>
        <w:rPr>
          <w:rFonts w:ascii="宋体" w:hAnsi="宋体"/>
          <w:kern w:val="0"/>
          <w:szCs w:val="21"/>
          <w:highlight w:val="none"/>
          <w:lang w:eastAsia="zh-Hans"/>
        </w:rPr>
      </w:pPr>
      <w:r>
        <w:rPr>
          <w:rFonts w:hint="eastAsia" w:ascii="宋体" w:hAnsi="宋体"/>
          <w:kern w:val="0"/>
          <w:szCs w:val="21"/>
          <w:highlight w:val="none"/>
          <w:lang w:val="en-US" w:eastAsia="zh-CN"/>
        </w:rPr>
        <w:t>参考</w:t>
      </w:r>
      <w:r>
        <w:rPr>
          <w:rFonts w:ascii="宋体" w:hAnsi="宋体"/>
          <w:kern w:val="0"/>
          <w:szCs w:val="21"/>
          <w:highlight w:val="none"/>
          <w:lang w:eastAsia="zh-Hans"/>
        </w:rPr>
        <w:t>财库〔2017〕141号《财政部 民政部 中国残疾人联合会关于促进残疾人就业政府采购政策的通知》，在采购活动中，残疾人福利性单位视同小型、微型企业，享受采购支持政策的残疾人福利性单位应当同时满足《财政部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采购活动时，应当提供《残疾人福利性单位声明函》，并对声明的真实性负责。</w:t>
      </w:r>
    </w:p>
    <w:p w14:paraId="3D68AD59">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8.纪律与保密事项</w:t>
      </w:r>
    </w:p>
    <w:p w14:paraId="73CEF96F">
      <w:pPr>
        <w:pStyle w:val="13"/>
        <w:widowControl/>
        <w:numPr>
          <w:ilvl w:val="0"/>
          <w:numId w:val="37"/>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供应商不得相互串通磋商报价，不得妨碍其他供应商的公平竞争，不得损害采购人或其他供应商的合法权益，供应商不得以向采购人、磋商小组成员行贿或者采取其他不正当手段谋取成交。</w:t>
      </w:r>
    </w:p>
    <w:p w14:paraId="664409D0">
      <w:pPr>
        <w:pStyle w:val="13"/>
        <w:widowControl/>
        <w:numPr>
          <w:ilvl w:val="0"/>
          <w:numId w:val="37"/>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供应商不得与采购人就响应价格、响应方案等实质性内容进行磋商，也不得私下接触磋商小组成员。</w:t>
      </w:r>
    </w:p>
    <w:p w14:paraId="4CE4A82A">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9.语言文字以及度量衡单位</w:t>
      </w:r>
    </w:p>
    <w:p w14:paraId="7B14278D">
      <w:pPr>
        <w:pStyle w:val="13"/>
        <w:widowControl/>
        <w:numPr>
          <w:ilvl w:val="0"/>
          <w:numId w:val="38"/>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F3E3353">
      <w:pPr>
        <w:pStyle w:val="13"/>
        <w:widowControl/>
        <w:numPr>
          <w:ilvl w:val="0"/>
          <w:numId w:val="38"/>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除非磋商文件的技术规格中另有规定，供应商在响应文件中及其与采购人和采购代理机构的所有往来文件中的计量单位均应采用中华人民共和国法定计量单位。</w:t>
      </w:r>
    </w:p>
    <w:p w14:paraId="2043CE99">
      <w:pPr>
        <w:pStyle w:val="13"/>
        <w:widowControl/>
        <w:numPr>
          <w:ilvl w:val="0"/>
          <w:numId w:val="38"/>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供应商所提供的货物和服务均应以人民币报价，货币单位：元。</w:t>
      </w:r>
    </w:p>
    <w:p w14:paraId="64597615">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10. 现场踏勘（如有）</w:t>
      </w:r>
    </w:p>
    <w:p w14:paraId="5713EDCD">
      <w:pPr>
        <w:pStyle w:val="13"/>
        <w:widowControl/>
        <w:numPr>
          <w:ilvl w:val="0"/>
          <w:numId w:val="39"/>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磋商文件规定组织踏勘现场的，采购人按磋商文件规定的时间、地点组织供应商踏勘项目现场。</w:t>
      </w:r>
    </w:p>
    <w:p w14:paraId="3296BA13">
      <w:pPr>
        <w:pStyle w:val="13"/>
        <w:widowControl/>
        <w:numPr>
          <w:ilvl w:val="0"/>
          <w:numId w:val="39"/>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供应商自行承担踏勘现场发生的责任、风险和自身费用。</w:t>
      </w:r>
    </w:p>
    <w:p w14:paraId="5B6D3441">
      <w:pPr>
        <w:pStyle w:val="13"/>
        <w:widowControl/>
        <w:numPr>
          <w:ilvl w:val="0"/>
          <w:numId w:val="39"/>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采购人在踏勘现场中介绍的资料和数据等，不构成对磋商文件的修改或不作为供应商编制响应文件的依据。</w:t>
      </w:r>
    </w:p>
    <w:p w14:paraId="077A9B27">
      <w:pPr>
        <w:pStyle w:val="13"/>
        <w:widowControl/>
        <w:numPr>
          <w:ilvl w:val="0"/>
          <w:numId w:val="31"/>
        </w:numPr>
        <w:snapToGrid w:val="0"/>
        <w:spacing w:line="360" w:lineRule="auto"/>
        <w:ind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磋商文件的澄清和修改</w:t>
      </w:r>
    </w:p>
    <w:p w14:paraId="059ECC1D">
      <w:pPr>
        <w:pStyle w:val="13"/>
        <w:widowControl/>
        <w:numPr>
          <w:ilvl w:val="0"/>
          <w:numId w:val="40"/>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380916B4">
      <w:pPr>
        <w:pStyle w:val="13"/>
        <w:widowControl/>
        <w:numPr>
          <w:ilvl w:val="0"/>
          <w:numId w:val="40"/>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7F42A17C">
      <w:pPr>
        <w:pStyle w:val="13"/>
        <w:widowControl/>
        <w:numPr>
          <w:ilvl w:val="0"/>
          <w:numId w:val="40"/>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供应商在规定的时间内未对磋商文件提出疑问、质疑或要求澄清的，将视其为无异议。对磋商文件中描述有歧义或前后不一致的地方，磋商小组有权进行评判，但对同一条款的评判应适用于每个供应商。</w:t>
      </w:r>
    </w:p>
    <w:p w14:paraId="3A39FCD2">
      <w:pPr>
        <w:pStyle w:val="13"/>
        <w:widowControl/>
        <w:numPr>
          <w:ilvl w:val="0"/>
          <w:numId w:val="31"/>
        </w:numPr>
        <w:snapToGrid w:val="0"/>
        <w:spacing w:line="360" w:lineRule="auto"/>
        <w:ind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响应要求</w:t>
      </w:r>
    </w:p>
    <w:p w14:paraId="215666C0">
      <w:pPr>
        <w:pStyle w:val="13"/>
        <w:widowControl/>
        <w:numPr>
          <w:ilvl w:val="0"/>
          <w:numId w:val="41"/>
        </w:numPr>
        <w:snapToGrid w:val="0"/>
        <w:spacing w:line="360" w:lineRule="auto"/>
        <w:ind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响应文件的制作</w:t>
      </w:r>
    </w:p>
    <w:p w14:paraId="4CCA673A">
      <w:pPr>
        <w:pStyle w:val="13"/>
        <w:widowControl/>
        <w:numPr>
          <w:ilvl w:val="0"/>
          <w:numId w:val="42"/>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供应商应按照“第二章采购需求”的需求内容、责任范围以及合同条款进行报价。并按“首次报价表”和“分项报价表</w:t>
      </w:r>
      <w:r>
        <w:rPr>
          <w:rFonts w:hint="eastAsia" w:ascii="宋体" w:hAnsi="宋体"/>
          <w:kern w:val="0"/>
          <w:szCs w:val="21"/>
          <w:highlight w:val="none"/>
          <w:lang w:eastAsia="zh-CN"/>
        </w:rPr>
        <w:t>（</w:t>
      </w:r>
      <w:r>
        <w:rPr>
          <w:rFonts w:hint="eastAsia" w:ascii="宋体" w:hAnsi="宋体"/>
          <w:kern w:val="0"/>
          <w:szCs w:val="21"/>
          <w:highlight w:val="none"/>
          <w:lang w:val="en-US" w:eastAsia="zh-CN"/>
        </w:rPr>
        <w:t>如适用</w:t>
      </w:r>
      <w:r>
        <w:rPr>
          <w:rFonts w:hint="eastAsia" w:ascii="宋体" w:hAnsi="宋体"/>
          <w:kern w:val="0"/>
          <w:szCs w:val="21"/>
          <w:highlight w:val="none"/>
          <w:lang w:eastAsia="zh-CN"/>
        </w:rPr>
        <w:t>）</w:t>
      </w:r>
      <w:r>
        <w:rPr>
          <w:rFonts w:ascii="宋体" w:hAnsi="宋体"/>
          <w:kern w:val="0"/>
          <w:szCs w:val="21"/>
          <w:highlight w:val="none"/>
          <w:lang w:eastAsia="zh-Hans"/>
        </w:rPr>
        <w:t>”规定的格式报出总价和分项价格。磋商总价中不得包含磋商文件要求以外的内容，否则，在评审时不予核减。</w:t>
      </w:r>
    </w:p>
    <w:p w14:paraId="0BE6FCCE">
      <w:pPr>
        <w:pStyle w:val="13"/>
        <w:widowControl/>
        <w:numPr>
          <w:ilvl w:val="0"/>
          <w:numId w:val="42"/>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磋商报价包括本项目采购需求和投入使用的所有费用，包括但不限于主件、标准附件、备品备件、施工、服务、专用工具、安装、调试、检验、培训、运输、保险、税款等。</w:t>
      </w:r>
    </w:p>
    <w:p w14:paraId="533722C1">
      <w:pPr>
        <w:pStyle w:val="13"/>
        <w:widowControl/>
        <w:numPr>
          <w:ilvl w:val="0"/>
          <w:numId w:val="42"/>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磋商报价不得有选择性报价和附有条件的报价，否则将导致响应无效。</w:t>
      </w:r>
    </w:p>
    <w:p w14:paraId="2AAD5990">
      <w:pPr>
        <w:pStyle w:val="13"/>
        <w:widowControl/>
        <w:numPr>
          <w:ilvl w:val="0"/>
          <w:numId w:val="42"/>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如有对多个采购包响应的，要对每个采购包独立制作电子响应文件。</w:t>
      </w:r>
    </w:p>
    <w:p w14:paraId="0E273CF8">
      <w:pPr>
        <w:pStyle w:val="13"/>
        <w:widowControl/>
        <w:numPr>
          <w:ilvl w:val="0"/>
          <w:numId w:val="42"/>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供应商不得将同一个项目或同一个采购包的内容拆开响应，否则其报价将被视为非实质性响应。</w:t>
      </w:r>
    </w:p>
    <w:p w14:paraId="57462301">
      <w:pPr>
        <w:pStyle w:val="13"/>
        <w:widowControl/>
        <w:numPr>
          <w:ilvl w:val="0"/>
          <w:numId w:val="42"/>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供应商须对磋商文件的对应要求给予唯一的实质性响应，否则将视为不响应。</w:t>
      </w:r>
    </w:p>
    <w:p w14:paraId="68B87D3F">
      <w:pPr>
        <w:pStyle w:val="13"/>
        <w:widowControl/>
        <w:numPr>
          <w:ilvl w:val="0"/>
          <w:numId w:val="42"/>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磋商文件中，凡标有“</w:t>
      </w:r>
      <w:r>
        <w:rPr>
          <w:rFonts w:ascii="宋体" w:hAnsi="宋体" w:cs="Segoe UI Symbol"/>
          <w:kern w:val="0"/>
          <w:szCs w:val="21"/>
          <w:highlight w:val="none"/>
          <w:lang w:eastAsia="zh-Hans"/>
        </w:rPr>
        <w:t>★</w:t>
      </w:r>
      <w:r>
        <w:rPr>
          <w:rFonts w:ascii="宋体" w:hAnsi="宋体" w:cs="Calibri"/>
          <w:kern w:val="0"/>
          <w:szCs w:val="21"/>
          <w:highlight w:val="none"/>
          <w:lang w:eastAsia="zh-Hans"/>
        </w:rPr>
        <w:t>”</w:t>
      </w:r>
      <w:r>
        <w:rPr>
          <w:rFonts w:ascii="宋体" w:hAnsi="宋体"/>
          <w:kern w:val="0"/>
          <w:szCs w:val="21"/>
          <w:highlight w:val="none"/>
          <w:lang w:eastAsia="zh-Hans"/>
        </w:rPr>
        <w:t>的地方均为实质性响应条款，供应商若有一项带“</w:t>
      </w:r>
      <w:r>
        <w:rPr>
          <w:rFonts w:ascii="宋体" w:hAnsi="宋体" w:cs="Segoe UI Symbol"/>
          <w:kern w:val="0"/>
          <w:szCs w:val="21"/>
          <w:highlight w:val="none"/>
          <w:lang w:eastAsia="zh-Hans"/>
        </w:rPr>
        <w:t>★</w:t>
      </w:r>
      <w:r>
        <w:rPr>
          <w:rFonts w:ascii="宋体" w:hAnsi="宋体" w:cs="Calibri"/>
          <w:kern w:val="0"/>
          <w:szCs w:val="21"/>
          <w:highlight w:val="none"/>
          <w:lang w:eastAsia="zh-Hans"/>
        </w:rPr>
        <w:t>”</w:t>
      </w:r>
      <w:r>
        <w:rPr>
          <w:rFonts w:ascii="宋体" w:hAnsi="宋体"/>
          <w:kern w:val="0"/>
          <w:szCs w:val="21"/>
          <w:highlight w:val="none"/>
          <w:lang w:eastAsia="zh-Hans"/>
        </w:rPr>
        <w:t>的条款未响应或不满足，将按无效响应处理。</w:t>
      </w:r>
    </w:p>
    <w:p w14:paraId="6F07C3D3">
      <w:pPr>
        <w:pStyle w:val="13"/>
        <w:widowControl/>
        <w:numPr>
          <w:ilvl w:val="0"/>
          <w:numId w:val="42"/>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供应商必须按磋商文件指定的格式填写各种报价，各报价应计算正确。除在磋商文件另有规定外（如：报折扣、报优惠率等），计量单位应使用中华人民共和国法定计量单位，以人民币填报所有报价。</w:t>
      </w:r>
    </w:p>
    <w:p w14:paraId="0EC0835C">
      <w:pPr>
        <w:pStyle w:val="13"/>
        <w:widowControl/>
        <w:numPr>
          <w:ilvl w:val="0"/>
          <w:numId w:val="42"/>
        </w:numPr>
        <w:snapToGrid w:val="0"/>
        <w:spacing w:line="360" w:lineRule="auto"/>
        <w:ind w:firstLineChars="0"/>
        <w:contextualSpacing/>
        <w:jc w:val="left"/>
        <w:rPr>
          <w:rFonts w:ascii="宋体" w:hAnsi="宋体"/>
          <w:color w:val="auto"/>
          <w:kern w:val="0"/>
          <w:szCs w:val="21"/>
          <w:highlight w:val="none"/>
          <w:lang w:eastAsia="zh-Hans"/>
        </w:rPr>
      </w:pPr>
      <w:r>
        <w:rPr>
          <w:rFonts w:ascii="宋体" w:hAnsi="宋体"/>
          <w:kern w:val="0"/>
          <w:szCs w:val="21"/>
          <w:highlight w:val="none"/>
          <w:lang w:eastAsia="zh-Hans"/>
        </w:rPr>
        <w:t>响应文件以及供应商与采购人、代理机构就有关响应的往来函电均应使用中文。供应商提交的支持性文件和印制的文件可以用另一种语言，但相应内容应翻译成中文，在解释响应文件时以中文文本为</w:t>
      </w:r>
      <w:r>
        <w:rPr>
          <w:rFonts w:ascii="宋体" w:hAnsi="宋体"/>
          <w:color w:val="auto"/>
          <w:kern w:val="0"/>
          <w:szCs w:val="21"/>
          <w:highlight w:val="none"/>
          <w:lang w:eastAsia="zh-Hans"/>
        </w:rPr>
        <w:t>准。</w:t>
      </w:r>
    </w:p>
    <w:p w14:paraId="402B995C">
      <w:pPr>
        <w:pStyle w:val="13"/>
        <w:widowControl/>
        <w:numPr>
          <w:ilvl w:val="0"/>
          <w:numId w:val="42"/>
        </w:numPr>
        <w:snapToGrid w:val="0"/>
        <w:spacing w:after="312" w:afterLines="100" w:line="360" w:lineRule="auto"/>
        <w:ind w:left="442" w:hanging="442" w:firstLineChars="0"/>
        <w:contextualSpacing/>
        <w:jc w:val="left"/>
        <w:rPr>
          <w:rFonts w:ascii="宋体" w:hAnsi="宋体"/>
          <w:color w:val="auto"/>
          <w:kern w:val="0"/>
          <w:szCs w:val="21"/>
          <w:highlight w:val="none"/>
          <w:lang w:eastAsia="zh-Hans"/>
        </w:rPr>
      </w:pPr>
      <w:r>
        <w:rPr>
          <w:rFonts w:ascii="宋体" w:hAnsi="宋体"/>
          <w:color w:val="auto"/>
          <w:kern w:val="0"/>
          <w:szCs w:val="21"/>
          <w:highlight w:val="none"/>
          <w:lang w:eastAsia="zh-Hans"/>
        </w:rPr>
        <w:t>供应商应按磋商文件的规定及附件要求的内容和格式完整地填写和提供资料。供应商必须对响应文件所提供的全部资料的真实性承担法律责任，并无条件接受采购人和采购监督管理部门对其中任何资料进行核实（核对原件）的要求。采购人核对发现有不一致或供应商无正当理由不按时提供原件的，应当书面知会代理机构，</w:t>
      </w:r>
      <w:r>
        <w:rPr>
          <w:rFonts w:hint="eastAsia" w:ascii="宋体" w:hAnsi="宋体"/>
          <w:color w:val="auto"/>
          <w:kern w:val="0"/>
          <w:szCs w:val="21"/>
          <w:highlight w:val="none"/>
          <w:lang w:eastAsia="zh-Hans"/>
        </w:rPr>
        <w:t>并书面报告监督管理部门</w:t>
      </w:r>
      <w:r>
        <w:rPr>
          <w:rFonts w:ascii="宋体" w:hAnsi="宋体"/>
          <w:color w:val="auto"/>
          <w:kern w:val="0"/>
          <w:szCs w:val="21"/>
          <w:highlight w:val="none"/>
          <w:lang w:eastAsia="zh-Hans"/>
        </w:rPr>
        <w:t>。</w:t>
      </w:r>
    </w:p>
    <w:p w14:paraId="3B2AA416">
      <w:pPr>
        <w:pStyle w:val="13"/>
        <w:widowControl/>
        <w:numPr>
          <w:ilvl w:val="0"/>
          <w:numId w:val="41"/>
        </w:numPr>
        <w:snapToGrid w:val="0"/>
        <w:spacing w:before="156" w:beforeLines="50" w:line="360" w:lineRule="auto"/>
        <w:ind w:left="442" w:hanging="442" w:firstLineChars="0"/>
        <w:contextualSpacing/>
        <w:jc w:val="left"/>
        <w:outlineLvl w:val="3"/>
        <w:rPr>
          <w:rFonts w:ascii="宋体" w:hAnsi="宋体"/>
          <w:kern w:val="0"/>
          <w:szCs w:val="21"/>
          <w:highlight w:val="none"/>
          <w:lang w:eastAsia="zh-Hans"/>
        </w:rPr>
      </w:pPr>
      <w:bookmarkStart w:id="10" w:name="_Toc416770231"/>
      <w:bookmarkStart w:id="11" w:name="_Toc416771341"/>
      <w:bookmarkStart w:id="12" w:name="_Toc410736154"/>
      <w:bookmarkStart w:id="13" w:name="_Toc410738954"/>
      <w:r>
        <w:rPr>
          <w:rFonts w:hint="eastAsia" w:asciiTheme="minorEastAsia" w:hAnsiTheme="minorEastAsia" w:eastAsiaTheme="minorEastAsia"/>
          <w:b/>
          <w:bCs/>
          <w:highlight w:val="none"/>
        </w:rPr>
        <w:t>响应文件的式样和签署</w:t>
      </w:r>
      <w:bookmarkEnd w:id="10"/>
      <w:bookmarkEnd w:id="11"/>
      <w:bookmarkEnd w:id="12"/>
      <w:bookmarkEnd w:id="13"/>
    </w:p>
    <w:p w14:paraId="6DE5B1BD">
      <w:pPr>
        <w:pStyle w:val="13"/>
        <w:numPr>
          <w:ilvl w:val="0"/>
          <w:numId w:val="43"/>
        </w:numPr>
        <w:tabs>
          <w:tab w:val="left" w:pos="567"/>
          <w:tab w:val="left" w:pos="851"/>
        </w:tabs>
        <w:autoSpaceDE w:val="0"/>
        <w:autoSpaceDN w:val="0"/>
        <w:spacing w:line="360" w:lineRule="auto"/>
        <w:ind w:left="567" w:hanging="567" w:firstLineChars="0"/>
        <w:jc w:val="left"/>
        <w:rPr>
          <w:rFonts w:ascii="宋体" w:hAnsi="宋体"/>
          <w:highlight w:val="none"/>
        </w:rPr>
      </w:pPr>
      <w:r>
        <w:rPr>
          <w:rFonts w:hint="eastAsia" w:ascii="宋体" w:hAnsi="宋体"/>
          <w:bCs/>
          <w:szCs w:val="21"/>
          <w:highlight w:val="none"/>
        </w:rPr>
        <w:t>响应文件的式样：供应商应准备一份响应文件正本、电子响应文件和</w:t>
      </w:r>
      <w:r>
        <w:rPr>
          <w:rFonts w:hint="eastAsia" w:ascii="宋体" w:hAnsi="宋体"/>
          <w:b/>
          <w:bCs/>
          <w:szCs w:val="21"/>
          <w:highlight w:val="none"/>
          <w:u w:val="single"/>
          <w:lang w:eastAsia="zh-CN"/>
        </w:rPr>
        <w:t>《</w:t>
      </w:r>
      <w:r>
        <w:rPr>
          <w:rFonts w:hint="eastAsia" w:ascii="宋体" w:hAnsi="宋体"/>
          <w:b/>
          <w:bCs/>
          <w:szCs w:val="21"/>
          <w:highlight w:val="none"/>
          <w:u w:val="single"/>
        </w:rPr>
        <w:t>须知前附表</w:t>
      </w:r>
      <w:r>
        <w:rPr>
          <w:rFonts w:hint="eastAsia" w:ascii="宋体" w:hAnsi="宋体"/>
          <w:b/>
          <w:bCs/>
          <w:szCs w:val="21"/>
          <w:highlight w:val="none"/>
          <w:u w:val="single"/>
          <w:lang w:eastAsia="zh-CN"/>
        </w:rPr>
        <w:t>》</w:t>
      </w:r>
      <w:r>
        <w:rPr>
          <w:rFonts w:hint="eastAsia" w:ascii="宋体" w:hAnsi="宋体"/>
          <w:bCs/>
          <w:szCs w:val="21"/>
          <w:highlight w:val="none"/>
        </w:rPr>
        <w:t>中规定数目的副本，响应文件的副本可采用正本的复印件。每套响应文件须清楚地标明“正本”或“副本”。若副本与正本不符，以正本为准。</w:t>
      </w:r>
    </w:p>
    <w:p w14:paraId="1FE08005">
      <w:pPr>
        <w:pStyle w:val="13"/>
        <w:numPr>
          <w:ilvl w:val="0"/>
          <w:numId w:val="43"/>
        </w:numPr>
        <w:tabs>
          <w:tab w:val="left" w:pos="567"/>
          <w:tab w:val="left" w:pos="851"/>
        </w:tabs>
        <w:autoSpaceDE w:val="0"/>
        <w:autoSpaceDN w:val="0"/>
        <w:spacing w:line="360" w:lineRule="auto"/>
        <w:ind w:left="567" w:hanging="567" w:firstLineChars="0"/>
        <w:jc w:val="left"/>
        <w:rPr>
          <w:rFonts w:ascii="宋体" w:hAnsi="宋体" w:cs="宋体"/>
          <w:highlight w:val="none"/>
          <w:lang w:eastAsia="zh-TW"/>
        </w:rPr>
      </w:pPr>
      <w:r>
        <w:rPr>
          <w:rFonts w:hint="eastAsia" w:ascii="宋体" w:hAnsi="宋体" w:cs="宋体"/>
          <w:highlight w:val="none"/>
          <w:lang w:eastAsia="zh-TW"/>
        </w:rPr>
        <w:t>响应文件</w:t>
      </w:r>
      <w:r>
        <w:rPr>
          <w:rFonts w:hint="eastAsia" w:ascii="宋体" w:hAnsi="宋体" w:cs="宋体"/>
          <w:highlight w:val="none"/>
        </w:rPr>
        <w:t>的签署</w:t>
      </w:r>
    </w:p>
    <w:p w14:paraId="029C0A13">
      <w:pPr>
        <w:pStyle w:val="13"/>
        <w:numPr>
          <w:ilvl w:val="0"/>
          <w:numId w:val="44"/>
        </w:numPr>
        <w:tabs>
          <w:tab w:val="left" w:pos="360"/>
          <w:tab w:val="left" w:pos="567"/>
          <w:tab w:val="left" w:pos="851"/>
        </w:tabs>
        <w:autoSpaceDE w:val="0"/>
        <w:autoSpaceDN w:val="0"/>
        <w:spacing w:line="360" w:lineRule="auto"/>
        <w:ind w:left="567" w:hanging="567" w:firstLineChars="0"/>
        <w:rPr>
          <w:rFonts w:ascii="宋体" w:hAnsi="宋体" w:cs="宋体"/>
          <w:highlight w:val="none"/>
          <w:lang w:eastAsia="zh-TW"/>
        </w:rPr>
      </w:pPr>
      <w:r>
        <w:rPr>
          <w:rFonts w:hint="eastAsia" w:ascii="宋体" w:hAnsi="宋体"/>
          <w:bCs/>
          <w:szCs w:val="21"/>
          <w:highlight w:val="none"/>
        </w:rPr>
        <w:t>响应文件的正本需打印或用不褪色墨水书写，响应文件要求签名的由法定代表人或经其正式授权的代表签字，响应文件要求盖章的需加盖供应商公章，副本可由正本复印而成，与正本具有同等法律效力。授权代表须将以书面形式出具的《法定代表人授权委托书》附在响应文件中；</w:t>
      </w:r>
    </w:p>
    <w:p w14:paraId="373B2E9B">
      <w:pPr>
        <w:pStyle w:val="13"/>
        <w:numPr>
          <w:ilvl w:val="0"/>
          <w:numId w:val="44"/>
        </w:numPr>
        <w:tabs>
          <w:tab w:val="left" w:pos="360"/>
          <w:tab w:val="left" w:pos="567"/>
          <w:tab w:val="left" w:pos="851"/>
        </w:tabs>
        <w:autoSpaceDE w:val="0"/>
        <w:autoSpaceDN w:val="0"/>
        <w:spacing w:line="360" w:lineRule="auto"/>
        <w:ind w:left="567" w:hanging="567" w:firstLineChars="0"/>
        <w:rPr>
          <w:rFonts w:ascii="宋体" w:hAnsi="宋体" w:cs="宋体"/>
          <w:highlight w:val="none"/>
        </w:rPr>
      </w:pPr>
      <w:r>
        <w:rPr>
          <w:rFonts w:hint="eastAsia" w:ascii="宋体" w:hAnsi="宋体"/>
          <w:bCs/>
          <w:szCs w:val="21"/>
          <w:highlight w:val="none"/>
        </w:rPr>
        <w:t>响应文件中的任何重要的插字、涂改和增删，必须由法定代表人或经其正式授权的代表在旁边签署。</w:t>
      </w:r>
    </w:p>
    <w:p w14:paraId="7477B086">
      <w:pPr>
        <w:pStyle w:val="13"/>
        <w:numPr>
          <w:ilvl w:val="0"/>
          <w:numId w:val="43"/>
        </w:numPr>
        <w:tabs>
          <w:tab w:val="left" w:pos="567"/>
          <w:tab w:val="left" w:pos="851"/>
        </w:tabs>
        <w:autoSpaceDE w:val="0"/>
        <w:autoSpaceDN w:val="0"/>
        <w:spacing w:line="360" w:lineRule="auto"/>
        <w:ind w:left="567" w:hanging="567" w:firstLineChars="0"/>
        <w:jc w:val="left"/>
        <w:rPr>
          <w:rFonts w:cs="宋体" w:asciiTheme="minorEastAsia" w:hAnsiTheme="minorEastAsia" w:eastAsiaTheme="minorEastAsia"/>
          <w:highlight w:val="none"/>
        </w:rPr>
      </w:pPr>
      <w:r>
        <w:rPr>
          <w:rFonts w:hint="eastAsia" w:ascii="宋体" w:hAnsi="宋体"/>
          <w:bCs/>
          <w:szCs w:val="21"/>
          <w:highlight w:val="none"/>
        </w:rPr>
        <w:t>响应文件的“正本”及所有“副本”的封面及骑缝均须加盖供应商公章。</w:t>
      </w:r>
    </w:p>
    <w:p w14:paraId="2EBBE8B6">
      <w:pPr>
        <w:pStyle w:val="13"/>
        <w:widowControl/>
        <w:numPr>
          <w:ilvl w:val="0"/>
          <w:numId w:val="41"/>
        </w:numPr>
        <w:snapToGrid w:val="0"/>
        <w:spacing w:before="156" w:beforeLines="50" w:line="360" w:lineRule="auto"/>
        <w:ind w:left="442" w:hanging="442" w:firstLineChars="0"/>
        <w:contextualSpacing/>
        <w:jc w:val="left"/>
        <w:outlineLvl w:val="3"/>
        <w:rPr>
          <w:rFonts w:asciiTheme="minorEastAsia" w:hAnsiTheme="minorEastAsia" w:eastAsiaTheme="minorEastAsia"/>
          <w:b/>
          <w:highlight w:val="none"/>
        </w:rPr>
      </w:pPr>
      <w:bookmarkStart w:id="14" w:name="_Toc502738627"/>
      <w:bookmarkStart w:id="15" w:name="_Toc416770232"/>
      <w:bookmarkStart w:id="16" w:name="_Toc410738955"/>
      <w:bookmarkStart w:id="17" w:name="_Toc416771342"/>
      <w:bookmarkStart w:id="18" w:name="_Toc410736155"/>
      <w:r>
        <w:rPr>
          <w:rFonts w:hint="eastAsia" w:asciiTheme="minorEastAsia" w:hAnsiTheme="minorEastAsia" w:eastAsiaTheme="minorEastAsia"/>
          <w:b/>
          <w:bCs/>
          <w:highlight w:val="none"/>
        </w:rPr>
        <w:t>响应文件的递交</w:t>
      </w:r>
      <w:bookmarkEnd w:id="14"/>
      <w:bookmarkEnd w:id="15"/>
      <w:bookmarkEnd w:id="16"/>
      <w:bookmarkEnd w:id="17"/>
      <w:bookmarkEnd w:id="18"/>
    </w:p>
    <w:p w14:paraId="79DB5479">
      <w:pPr>
        <w:pStyle w:val="13"/>
        <w:numPr>
          <w:ilvl w:val="0"/>
          <w:numId w:val="45"/>
        </w:numPr>
        <w:tabs>
          <w:tab w:val="left" w:pos="360"/>
          <w:tab w:val="left" w:pos="709"/>
        </w:tabs>
        <w:autoSpaceDE w:val="0"/>
        <w:autoSpaceDN w:val="0"/>
        <w:spacing w:line="360" w:lineRule="auto"/>
        <w:ind w:hanging="704" w:firstLineChars="0"/>
        <w:rPr>
          <w:rFonts w:asciiTheme="minorEastAsia" w:hAnsiTheme="minorEastAsia" w:eastAsiaTheme="minorEastAsia"/>
          <w:b/>
          <w:bCs/>
          <w:highlight w:val="none"/>
        </w:rPr>
      </w:pPr>
      <w:bookmarkStart w:id="19" w:name="_Toc410736156"/>
      <w:bookmarkStart w:id="20" w:name="_Toc416770233"/>
      <w:bookmarkStart w:id="21" w:name="_Toc410738956"/>
      <w:bookmarkStart w:id="22" w:name="_Toc416771343"/>
      <w:r>
        <w:rPr>
          <w:rFonts w:hint="eastAsia" w:asciiTheme="minorEastAsia" w:hAnsiTheme="minorEastAsia" w:eastAsiaTheme="minorEastAsia"/>
          <w:b/>
          <w:bCs/>
          <w:highlight w:val="none"/>
        </w:rPr>
        <w:t>响应文件的密封和标记</w:t>
      </w:r>
      <w:bookmarkEnd w:id="19"/>
      <w:bookmarkEnd w:id="20"/>
      <w:bookmarkEnd w:id="21"/>
      <w:bookmarkEnd w:id="22"/>
    </w:p>
    <w:p w14:paraId="6E44954C">
      <w:pPr>
        <w:pStyle w:val="13"/>
        <w:numPr>
          <w:ilvl w:val="0"/>
          <w:numId w:val="46"/>
        </w:numPr>
        <w:tabs>
          <w:tab w:val="left" w:pos="360"/>
          <w:tab w:val="left" w:pos="567"/>
        </w:tabs>
        <w:autoSpaceDE w:val="0"/>
        <w:autoSpaceDN w:val="0"/>
        <w:spacing w:line="360" w:lineRule="auto"/>
        <w:ind w:left="567" w:hanging="567" w:firstLineChars="0"/>
        <w:jc w:val="lef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rPr>
        <w:t>供应商应当对响应文件进行装订（所有文件均不允许采用活动夹方式装订），如供应商对磋商文件多个包组进行参加磋商的，其响应文件的编制应按每个包的要求分别装订和封装。</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622"/>
        <w:gridCol w:w="1722"/>
        <w:gridCol w:w="4205"/>
      </w:tblGrid>
      <w:tr w14:paraId="2480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7" w:type="pct"/>
            <w:vAlign w:val="center"/>
          </w:tcPr>
          <w:p w14:paraId="582081D0">
            <w:pPr>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1412" w:type="pct"/>
            <w:vAlign w:val="center"/>
          </w:tcPr>
          <w:p w14:paraId="7220F67B">
            <w:pPr>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文件名称</w:t>
            </w:r>
          </w:p>
        </w:tc>
        <w:tc>
          <w:tcPr>
            <w:tcW w:w="927" w:type="pct"/>
            <w:vAlign w:val="center"/>
          </w:tcPr>
          <w:p w14:paraId="759CB86D">
            <w:pPr>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装订</w:t>
            </w:r>
          </w:p>
        </w:tc>
        <w:tc>
          <w:tcPr>
            <w:tcW w:w="2264" w:type="pct"/>
            <w:vAlign w:val="center"/>
          </w:tcPr>
          <w:p w14:paraId="185C3598">
            <w:pPr>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包装</w:t>
            </w:r>
          </w:p>
        </w:tc>
      </w:tr>
      <w:tr w14:paraId="50A8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pct"/>
          </w:tcPr>
          <w:p w14:paraId="7D95C054">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1412" w:type="pct"/>
          </w:tcPr>
          <w:p w14:paraId="75004794">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响应文件</w:t>
            </w:r>
          </w:p>
        </w:tc>
        <w:tc>
          <w:tcPr>
            <w:tcW w:w="927" w:type="pct"/>
          </w:tcPr>
          <w:p w14:paraId="26C6FCB7">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每份独立装订</w:t>
            </w:r>
          </w:p>
        </w:tc>
        <w:tc>
          <w:tcPr>
            <w:tcW w:w="2264" w:type="pct"/>
          </w:tcPr>
          <w:p w14:paraId="3AD9CD6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正本、副本、电子响应文件一起密封包装</w:t>
            </w:r>
          </w:p>
        </w:tc>
      </w:tr>
    </w:tbl>
    <w:p w14:paraId="474D36EC">
      <w:pPr>
        <w:pStyle w:val="13"/>
        <w:numPr>
          <w:ilvl w:val="0"/>
          <w:numId w:val="46"/>
        </w:numPr>
        <w:tabs>
          <w:tab w:val="left" w:pos="360"/>
          <w:tab w:val="left" w:pos="567"/>
        </w:tabs>
        <w:autoSpaceDE w:val="0"/>
        <w:autoSpaceDN w:val="0"/>
        <w:spacing w:line="360" w:lineRule="auto"/>
        <w:ind w:left="567" w:hanging="567" w:firstLineChars="0"/>
        <w:jc w:val="left"/>
        <w:rPr>
          <w:rFonts w:ascii="宋体" w:hAnsi="宋体"/>
          <w:bCs/>
          <w:szCs w:val="21"/>
          <w:highlight w:val="none"/>
        </w:rPr>
      </w:pPr>
      <w:r>
        <w:rPr>
          <w:rFonts w:hint="eastAsia" w:ascii="宋体" w:hAnsi="宋体"/>
          <w:bCs/>
          <w:szCs w:val="21"/>
          <w:highlight w:val="none"/>
        </w:rPr>
        <w:t>电子响应文件</w:t>
      </w:r>
      <w:bookmarkStart w:id="23" w:name="_Hlk86740118"/>
      <w:r>
        <w:rPr>
          <w:rFonts w:hint="eastAsia" w:ascii="宋体" w:hAnsi="宋体"/>
          <w:bCs/>
          <w:szCs w:val="21"/>
          <w:highlight w:val="none"/>
        </w:rPr>
        <w:t>须同时提交以下文件</w:t>
      </w:r>
      <w:bookmarkEnd w:id="23"/>
      <w:r>
        <w:rPr>
          <w:rFonts w:hint="eastAsia" w:ascii="宋体" w:hAnsi="宋体"/>
          <w:bCs/>
          <w:szCs w:val="21"/>
          <w:highlight w:val="none"/>
        </w:rPr>
        <w:t>：</w:t>
      </w:r>
      <w:bookmarkStart w:id="24" w:name="_Hlk86740096"/>
      <w:r>
        <w:rPr>
          <w:rFonts w:hint="eastAsia" w:ascii="宋体" w:hAnsi="宋体"/>
          <w:bCs/>
          <w:szCs w:val="21"/>
          <w:highlight w:val="none"/>
        </w:rPr>
        <w:t>①可编辑的WORD或 EXCEL 格式文件。②按磋商文件要求签署、盖章后的正本响应文件扫描成PDF格式文件。</w:t>
      </w:r>
      <w:r>
        <w:rPr>
          <w:rFonts w:ascii="宋体" w:hAnsi="宋体"/>
          <w:bCs/>
          <w:szCs w:val="21"/>
          <w:highlight w:val="none"/>
        </w:rPr>
        <w:t>电子文件</w:t>
      </w:r>
      <w:r>
        <w:rPr>
          <w:rFonts w:hint="eastAsia" w:ascii="宋体" w:hAnsi="宋体"/>
          <w:bCs/>
          <w:szCs w:val="21"/>
          <w:highlight w:val="none"/>
        </w:rPr>
        <w:t>由</w:t>
      </w:r>
      <w:r>
        <w:rPr>
          <w:rFonts w:ascii="宋体" w:hAnsi="宋体"/>
          <w:bCs/>
          <w:szCs w:val="21"/>
          <w:highlight w:val="none"/>
        </w:rPr>
        <w:t>CD-R光盘</w:t>
      </w:r>
      <w:r>
        <w:rPr>
          <w:rFonts w:hint="eastAsia" w:ascii="宋体" w:hAnsi="宋体"/>
          <w:bCs/>
          <w:szCs w:val="21"/>
          <w:highlight w:val="none"/>
        </w:rPr>
        <w:t>或U盘</w:t>
      </w:r>
      <w:r>
        <w:rPr>
          <w:rFonts w:ascii="宋体" w:hAnsi="宋体"/>
          <w:bCs/>
          <w:szCs w:val="21"/>
          <w:highlight w:val="none"/>
        </w:rPr>
        <w:t>储存</w:t>
      </w:r>
      <w:bookmarkEnd w:id="24"/>
      <w:r>
        <w:rPr>
          <w:rFonts w:hint="eastAsia" w:ascii="宋体" w:hAnsi="宋体"/>
          <w:bCs/>
          <w:szCs w:val="21"/>
          <w:highlight w:val="none"/>
        </w:rPr>
        <w:t>。</w:t>
      </w:r>
    </w:p>
    <w:p w14:paraId="7840E142">
      <w:pPr>
        <w:pStyle w:val="13"/>
        <w:numPr>
          <w:ilvl w:val="0"/>
          <w:numId w:val="46"/>
        </w:numPr>
        <w:tabs>
          <w:tab w:val="left" w:pos="360"/>
          <w:tab w:val="left" w:pos="567"/>
        </w:tabs>
        <w:autoSpaceDE w:val="0"/>
        <w:autoSpaceDN w:val="0"/>
        <w:spacing w:line="360" w:lineRule="auto"/>
        <w:ind w:left="567" w:hanging="567" w:firstLineChars="0"/>
        <w:jc w:val="left"/>
        <w:rPr>
          <w:rFonts w:asciiTheme="minorEastAsia" w:hAnsiTheme="minorEastAsia" w:eastAsiaTheme="minorEastAsia"/>
          <w:highlight w:val="none"/>
        </w:rPr>
      </w:pPr>
      <w:bookmarkStart w:id="25" w:name="_Hlk90987241"/>
      <w:r>
        <w:rPr>
          <w:rFonts w:hint="eastAsia" w:ascii="宋体" w:hAnsi="宋体"/>
          <w:bCs/>
          <w:szCs w:val="21"/>
          <w:highlight w:val="none"/>
        </w:rPr>
        <w:t>供应商应将响应文件（含正、副本）、电子响应文件一起密封包装一起密封包装，且在信封上标明“响应文件</w:t>
      </w:r>
      <w:r>
        <w:rPr>
          <w:rFonts w:ascii="宋体" w:hAnsi="宋体"/>
          <w:bCs/>
          <w:szCs w:val="21"/>
          <w:highlight w:val="none"/>
        </w:rPr>
        <w:t>”</w:t>
      </w:r>
      <w:r>
        <w:rPr>
          <w:rFonts w:hint="eastAsia" w:ascii="宋体" w:hAnsi="宋体"/>
          <w:bCs/>
          <w:szCs w:val="21"/>
          <w:highlight w:val="none"/>
        </w:rPr>
        <w:t>的字</w:t>
      </w:r>
      <w:r>
        <w:rPr>
          <w:rFonts w:hint="eastAsia" w:asciiTheme="minorEastAsia" w:hAnsiTheme="minorEastAsia" w:eastAsiaTheme="minorEastAsia"/>
          <w:bCs/>
          <w:szCs w:val="21"/>
          <w:highlight w:val="none"/>
        </w:rPr>
        <w:t>样。</w:t>
      </w:r>
    </w:p>
    <w:bookmarkEnd w:id="25"/>
    <w:p w14:paraId="6C0EA5E6">
      <w:pPr>
        <w:pStyle w:val="13"/>
        <w:widowControl/>
        <w:numPr>
          <w:ilvl w:val="0"/>
          <w:numId w:val="41"/>
        </w:numPr>
        <w:snapToGrid w:val="0"/>
        <w:spacing w:before="156" w:beforeLines="50" w:line="360" w:lineRule="auto"/>
        <w:ind w:left="442" w:hanging="442" w:firstLineChars="0"/>
        <w:contextualSpacing/>
        <w:jc w:val="left"/>
        <w:outlineLvl w:val="3"/>
        <w:rPr>
          <w:rFonts w:asciiTheme="minorEastAsia" w:hAnsiTheme="minorEastAsia" w:eastAsiaTheme="minorEastAsia"/>
          <w:b/>
          <w:bCs/>
          <w:highlight w:val="none"/>
        </w:rPr>
      </w:pPr>
      <w:bookmarkStart w:id="26" w:name="_Toc416771344"/>
      <w:bookmarkStart w:id="27" w:name="_Toc410736157"/>
      <w:bookmarkStart w:id="28" w:name="_Toc410738957"/>
      <w:bookmarkStart w:id="29" w:name="_Toc416770234"/>
      <w:r>
        <w:rPr>
          <w:rFonts w:hint="eastAsia" w:asciiTheme="minorEastAsia" w:hAnsiTheme="minorEastAsia" w:eastAsiaTheme="minorEastAsia"/>
          <w:b/>
          <w:bCs/>
          <w:highlight w:val="none"/>
        </w:rPr>
        <w:t>响应文件包装密封</w:t>
      </w:r>
    </w:p>
    <w:p w14:paraId="08FF4B64">
      <w:pPr>
        <w:pStyle w:val="13"/>
        <w:numPr>
          <w:ilvl w:val="0"/>
          <w:numId w:val="47"/>
        </w:numPr>
        <w:tabs>
          <w:tab w:val="left" w:pos="360"/>
        </w:tabs>
        <w:autoSpaceDE w:val="0"/>
        <w:autoSpaceDN w:val="0"/>
        <w:spacing w:line="360" w:lineRule="auto"/>
        <w:ind w:left="567" w:hanging="567" w:firstLineChars="0"/>
        <w:jc w:val="left"/>
        <w:rPr>
          <w:rFonts w:ascii="宋体" w:hAnsi="宋体"/>
          <w:b/>
          <w:bCs/>
          <w:highlight w:val="none"/>
        </w:rPr>
      </w:pPr>
      <w:r>
        <w:rPr>
          <w:rFonts w:hint="eastAsia" w:ascii="宋体" w:hAnsi="宋体"/>
          <w:bCs/>
          <w:szCs w:val="21"/>
          <w:highlight w:val="none"/>
        </w:rPr>
        <w:t>供应商应将响应文件密封包装；</w:t>
      </w:r>
    </w:p>
    <w:p w14:paraId="44FBDEEB">
      <w:pPr>
        <w:pStyle w:val="13"/>
        <w:numPr>
          <w:ilvl w:val="0"/>
          <w:numId w:val="47"/>
        </w:numPr>
        <w:tabs>
          <w:tab w:val="left" w:pos="360"/>
        </w:tabs>
        <w:autoSpaceDE w:val="0"/>
        <w:autoSpaceDN w:val="0"/>
        <w:spacing w:line="360" w:lineRule="auto"/>
        <w:ind w:left="567" w:hanging="567" w:firstLineChars="0"/>
        <w:jc w:val="left"/>
        <w:rPr>
          <w:rFonts w:ascii="宋体" w:hAnsi="宋体"/>
          <w:b/>
          <w:bCs/>
          <w:highlight w:val="none"/>
        </w:rPr>
      </w:pPr>
      <w:r>
        <w:rPr>
          <w:rFonts w:hint="eastAsia" w:ascii="宋体" w:hAnsi="宋体"/>
          <w:bCs/>
          <w:szCs w:val="21"/>
          <w:highlight w:val="none"/>
        </w:rPr>
        <w:t>不足以造成响应文件可从外包装内散出而导致响应文件泄密的，不认定为响应文件未密封。</w:t>
      </w:r>
    </w:p>
    <w:p w14:paraId="0DA3C1EE">
      <w:pPr>
        <w:pStyle w:val="13"/>
        <w:numPr>
          <w:ilvl w:val="0"/>
          <w:numId w:val="47"/>
        </w:numPr>
        <w:tabs>
          <w:tab w:val="left" w:pos="360"/>
        </w:tabs>
        <w:autoSpaceDE w:val="0"/>
        <w:autoSpaceDN w:val="0"/>
        <w:spacing w:line="360" w:lineRule="auto"/>
        <w:ind w:left="567" w:hanging="567" w:firstLineChars="0"/>
        <w:jc w:val="left"/>
        <w:rPr>
          <w:rFonts w:ascii="宋体" w:hAnsi="宋体"/>
          <w:b/>
          <w:bCs/>
          <w:highlight w:val="none"/>
        </w:rPr>
      </w:pPr>
      <w:r>
        <w:rPr>
          <w:rFonts w:hint="eastAsia" w:ascii="宋体" w:hAnsi="宋体"/>
          <w:bCs/>
          <w:szCs w:val="21"/>
          <w:highlight w:val="none"/>
        </w:rPr>
        <w:t>包装封套均应注明：</w:t>
      </w:r>
    </w:p>
    <w:p w14:paraId="5E5371CB">
      <w:pPr>
        <w:autoSpaceDE w:val="0"/>
        <w:autoSpaceDN w:val="0"/>
        <w:spacing w:line="360" w:lineRule="auto"/>
        <w:ind w:firstLine="424" w:firstLineChars="202"/>
        <w:jc w:val="left"/>
        <w:rPr>
          <w:rFonts w:ascii="宋体" w:hAnsi="宋体"/>
          <w:bCs/>
          <w:highlight w:val="none"/>
        </w:rPr>
      </w:pPr>
      <w:r>
        <w:rPr>
          <w:rFonts w:hint="eastAsia" w:ascii="宋体" w:hAnsi="宋体"/>
          <w:bCs/>
          <w:highlight w:val="none"/>
        </w:rPr>
        <w:t>收件人名称：</w:t>
      </w:r>
      <w:r>
        <w:rPr>
          <w:rFonts w:hint="eastAsia" w:ascii="宋体" w:hAnsi="宋体"/>
          <w:bCs/>
          <w:highlight w:val="none"/>
          <w:u w:val="single"/>
        </w:rPr>
        <w:t xml:space="preserve">广东智汇城市招标采购有限公司   </w:t>
      </w:r>
    </w:p>
    <w:p w14:paraId="42416AA3">
      <w:pPr>
        <w:autoSpaceDE w:val="0"/>
        <w:autoSpaceDN w:val="0"/>
        <w:spacing w:line="360" w:lineRule="auto"/>
        <w:ind w:firstLine="424" w:firstLineChars="202"/>
        <w:jc w:val="left"/>
        <w:rPr>
          <w:rFonts w:ascii="宋体" w:hAnsi="宋体"/>
          <w:bCs/>
          <w:highlight w:val="none"/>
        </w:rPr>
      </w:pPr>
      <w:r>
        <w:rPr>
          <w:rFonts w:hint="eastAsia" w:ascii="宋体" w:hAnsi="宋体"/>
          <w:bCs/>
          <w:highlight w:val="none"/>
        </w:rPr>
        <w:t>供应商名称：</w:t>
      </w:r>
      <w:r>
        <w:rPr>
          <w:rFonts w:hint="eastAsia" w:ascii="宋体" w:hAnsi="宋体"/>
          <w:bCs/>
          <w:highlight w:val="none"/>
          <w:u w:val="single"/>
        </w:rPr>
        <w:t xml:space="preserve">                               </w:t>
      </w:r>
    </w:p>
    <w:p w14:paraId="62A4CCA6">
      <w:pPr>
        <w:autoSpaceDE w:val="0"/>
        <w:autoSpaceDN w:val="0"/>
        <w:spacing w:line="360" w:lineRule="auto"/>
        <w:ind w:firstLine="424" w:firstLineChars="202"/>
        <w:jc w:val="left"/>
        <w:rPr>
          <w:rFonts w:ascii="宋体" w:hAnsi="宋体"/>
          <w:bCs/>
          <w:highlight w:val="none"/>
        </w:rPr>
      </w:pPr>
      <w:r>
        <w:rPr>
          <w:rFonts w:hint="eastAsia" w:ascii="宋体" w:hAnsi="宋体"/>
          <w:bCs/>
          <w:highlight w:val="none"/>
        </w:rPr>
        <w:t>项目名称：</w:t>
      </w:r>
      <w:r>
        <w:rPr>
          <w:rFonts w:hint="eastAsia" w:ascii="宋体" w:hAnsi="宋体"/>
          <w:bCs/>
          <w:highlight w:val="none"/>
          <w:u w:val="single"/>
        </w:rPr>
        <w:t xml:space="preserve">      </w:t>
      </w:r>
      <w:r>
        <w:rPr>
          <w:rFonts w:hint="eastAsia" w:ascii="宋体" w:hAnsi="宋体"/>
          <w:b/>
          <w:bCs w:val="0"/>
          <w:highlight w:val="none"/>
          <w:u w:val="single"/>
        </w:rPr>
        <w:t>（详见</w:t>
      </w:r>
      <w:r>
        <w:rPr>
          <w:rFonts w:hint="eastAsia" w:ascii="宋体" w:hAnsi="宋体"/>
          <w:b/>
          <w:bCs w:val="0"/>
          <w:highlight w:val="none"/>
          <w:u w:val="single"/>
          <w:lang w:eastAsia="zh-CN"/>
        </w:rPr>
        <w:t>《</w:t>
      </w:r>
      <w:r>
        <w:rPr>
          <w:rFonts w:hint="eastAsia" w:ascii="宋体" w:hAnsi="宋体"/>
          <w:b/>
          <w:bCs w:val="0"/>
          <w:highlight w:val="none"/>
          <w:u w:val="single"/>
        </w:rPr>
        <w:t>磋商邀请</w:t>
      </w:r>
      <w:r>
        <w:rPr>
          <w:rFonts w:hint="eastAsia" w:ascii="宋体" w:hAnsi="宋体"/>
          <w:b/>
          <w:bCs w:val="0"/>
          <w:highlight w:val="none"/>
          <w:u w:val="single"/>
          <w:lang w:eastAsia="zh-CN"/>
        </w:rPr>
        <w:t>》</w:t>
      </w:r>
      <w:r>
        <w:rPr>
          <w:rFonts w:hint="eastAsia" w:ascii="宋体" w:hAnsi="宋体"/>
          <w:b/>
          <w:bCs w:val="0"/>
          <w:highlight w:val="none"/>
          <w:u w:val="single"/>
        </w:rPr>
        <w:t>）</w:t>
      </w:r>
      <w:r>
        <w:rPr>
          <w:rFonts w:hint="eastAsia" w:ascii="宋体" w:hAnsi="宋体"/>
          <w:bCs/>
          <w:highlight w:val="none"/>
          <w:u w:val="single"/>
        </w:rPr>
        <w:t xml:space="preserve">       </w:t>
      </w:r>
    </w:p>
    <w:p w14:paraId="674BE98C">
      <w:pPr>
        <w:autoSpaceDE w:val="0"/>
        <w:autoSpaceDN w:val="0"/>
        <w:spacing w:line="360" w:lineRule="auto"/>
        <w:ind w:firstLine="424" w:firstLineChars="202"/>
        <w:jc w:val="left"/>
        <w:rPr>
          <w:rFonts w:ascii="宋体" w:hAnsi="宋体"/>
          <w:bCs/>
          <w:highlight w:val="none"/>
        </w:rPr>
      </w:pPr>
      <w:r>
        <w:rPr>
          <w:rFonts w:hint="eastAsia" w:ascii="宋体" w:hAnsi="宋体"/>
          <w:bCs/>
          <w:highlight w:val="none"/>
        </w:rPr>
        <w:t>项目编号：</w:t>
      </w:r>
      <w:r>
        <w:rPr>
          <w:rFonts w:hint="eastAsia" w:ascii="宋体" w:hAnsi="宋体"/>
          <w:bCs/>
          <w:highlight w:val="none"/>
          <w:u w:val="single"/>
        </w:rPr>
        <w:t xml:space="preserve">      </w:t>
      </w:r>
      <w:r>
        <w:rPr>
          <w:rFonts w:hint="eastAsia" w:ascii="宋体" w:hAnsi="宋体"/>
          <w:b/>
          <w:bCs w:val="0"/>
          <w:highlight w:val="none"/>
          <w:u w:val="single"/>
        </w:rPr>
        <w:t>（详见</w:t>
      </w:r>
      <w:r>
        <w:rPr>
          <w:rFonts w:hint="eastAsia" w:ascii="宋体" w:hAnsi="宋体"/>
          <w:b/>
          <w:bCs w:val="0"/>
          <w:highlight w:val="none"/>
          <w:u w:val="single"/>
          <w:lang w:eastAsia="zh-CN"/>
        </w:rPr>
        <w:t>《</w:t>
      </w:r>
      <w:r>
        <w:rPr>
          <w:rFonts w:hint="eastAsia" w:ascii="宋体" w:hAnsi="宋体"/>
          <w:b/>
          <w:bCs w:val="0"/>
          <w:highlight w:val="none"/>
          <w:u w:val="single"/>
        </w:rPr>
        <w:t>磋商邀请</w:t>
      </w:r>
      <w:r>
        <w:rPr>
          <w:rFonts w:hint="eastAsia" w:ascii="宋体" w:hAnsi="宋体"/>
          <w:b/>
          <w:bCs w:val="0"/>
          <w:highlight w:val="none"/>
          <w:u w:val="single"/>
          <w:lang w:eastAsia="zh-CN"/>
        </w:rPr>
        <w:t>》</w:t>
      </w:r>
      <w:r>
        <w:rPr>
          <w:rFonts w:hint="eastAsia" w:ascii="宋体" w:hAnsi="宋体"/>
          <w:b/>
          <w:bCs w:val="0"/>
          <w:highlight w:val="none"/>
          <w:u w:val="single"/>
        </w:rPr>
        <w:t>）</w:t>
      </w:r>
      <w:r>
        <w:rPr>
          <w:rFonts w:hint="eastAsia" w:ascii="宋体" w:hAnsi="宋体"/>
          <w:bCs/>
          <w:highlight w:val="none"/>
          <w:u w:val="single"/>
        </w:rPr>
        <w:t xml:space="preserve">       </w:t>
      </w:r>
    </w:p>
    <w:p w14:paraId="664B999E">
      <w:pPr>
        <w:autoSpaceDE w:val="0"/>
        <w:autoSpaceDN w:val="0"/>
        <w:spacing w:line="360" w:lineRule="auto"/>
        <w:ind w:firstLine="424" w:firstLineChars="202"/>
        <w:jc w:val="left"/>
        <w:rPr>
          <w:rFonts w:asciiTheme="minorEastAsia" w:hAnsiTheme="minorEastAsia" w:eastAsiaTheme="minorEastAsia"/>
          <w:bCs/>
          <w:highlight w:val="none"/>
        </w:rPr>
      </w:pPr>
      <w:r>
        <w:rPr>
          <w:rFonts w:hint="eastAsia" w:ascii="宋体" w:hAnsi="宋体"/>
          <w:bCs/>
          <w:highlight w:val="none"/>
        </w:rPr>
        <w:t>注明：“</w:t>
      </w:r>
      <w:r>
        <w:rPr>
          <w:rFonts w:hint="eastAsia" w:ascii="宋体" w:hAnsi="宋体"/>
          <w:bCs/>
          <w:highlight w:val="none"/>
          <w:u w:val="single"/>
        </w:rPr>
        <w:t xml:space="preserve">于  年  月  日北京时间  ： </w:t>
      </w:r>
      <w:r>
        <w:rPr>
          <w:rFonts w:ascii="宋体" w:hAnsi="宋体"/>
          <w:bCs/>
          <w:highlight w:val="none"/>
          <w:u w:val="single"/>
        </w:rPr>
        <w:t xml:space="preserve"> </w:t>
      </w:r>
      <w:r>
        <w:rPr>
          <w:rFonts w:hint="eastAsia" w:ascii="宋体" w:hAnsi="宋体"/>
          <w:b/>
          <w:bCs w:val="0"/>
          <w:highlight w:val="none"/>
          <w:u w:val="single"/>
        </w:rPr>
        <w:t>（详见</w:t>
      </w:r>
      <w:r>
        <w:rPr>
          <w:rFonts w:hint="eastAsia" w:ascii="宋体" w:hAnsi="宋体"/>
          <w:b/>
          <w:bCs w:val="0"/>
          <w:highlight w:val="none"/>
          <w:u w:val="single"/>
          <w:lang w:eastAsia="zh-CN"/>
        </w:rPr>
        <w:t>《</w:t>
      </w:r>
      <w:r>
        <w:rPr>
          <w:rFonts w:hint="eastAsia" w:ascii="宋体" w:hAnsi="宋体"/>
          <w:b/>
          <w:bCs w:val="0"/>
          <w:highlight w:val="none"/>
          <w:u w:val="single"/>
        </w:rPr>
        <w:t>磋商邀请</w:t>
      </w:r>
      <w:r>
        <w:rPr>
          <w:rFonts w:hint="eastAsia" w:ascii="宋体" w:hAnsi="宋体"/>
          <w:b/>
          <w:bCs w:val="0"/>
          <w:highlight w:val="none"/>
          <w:u w:val="single"/>
          <w:lang w:eastAsia="zh-CN"/>
        </w:rPr>
        <w:t>》</w:t>
      </w:r>
      <w:r>
        <w:rPr>
          <w:rFonts w:hint="eastAsia" w:ascii="宋体" w:hAnsi="宋体"/>
          <w:b/>
          <w:bCs w:val="0"/>
          <w:highlight w:val="none"/>
          <w:u w:val="single"/>
        </w:rPr>
        <w:t>）</w:t>
      </w:r>
      <w:r>
        <w:rPr>
          <w:rFonts w:hint="eastAsia" w:ascii="宋体" w:hAnsi="宋体"/>
          <w:bCs/>
          <w:highlight w:val="none"/>
        </w:rPr>
        <w:t>之前不得启封”的字样。</w:t>
      </w:r>
    </w:p>
    <w:p w14:paraId="7D51229A">
      <w:pPr>
        <w:pStyle w:val="13"/>
        <w:numPr>
          <w:ilvl w:val="0"/>
          <w:numId w:val="47"/>
        </w:numPr>
        <w:tabs>
          <w:tab w:val="left" w:pos="360"/>
        </w:tabs>
        <w:autoSpaceDE w:val="0"/>
        <w:autoSpaceDN w:val="0"/>
        <w:spacing w:line="360" w:lineRule="auto"/>
        <w:ind w:left="567" w:hanging="567" w:firstLineChars="0"/>
        <w:jc w:val="left"/>
        <w:rPr>
          <w:rFonts w:asciiTheme="minorEastAsia" w:hAnsiTheme="minorEastAsia" w:eastAsiaTheme="minorEastAsia"/>
          <w:b/>
          <w:bCs/>
          <w:highlight w:val="none"/>
        </w:rPr>
      </w:pPr>
      <w:r>
        <w:rPr>
          <w:rFonts w:hint="eastAsia" w:asciiTheme="minorEastAsia" w:hAnsiTheme="minorEastAsia" w:eastAsiaTheme="minorEastAsia"/>
          <w:bCs/>
          <w:spacing w:val="-4"/>
          <w:szCs w:val="21"/>
          <w:highlight w:val="none"/>
        </w:rPr>
        <w:t>如果未按本须知上款要求加写标记和密封，采购代理机构对误投或提前启封概不负责。</w:t>
      </w:r>
    </w:p>
    <w:p w14:paraId="2CA976D7">
      <w:pPr>
        <w:pStyle w:val="13"/>
        <w:widowControl/>
        <w:numPr>
          <w:ilvl w:val="0"/>
          <w:numId w:val="41"/>
        </w:numPr>
        <w:snapToGrid w:val="0"/>
        <w:spacing w:before="312" w:beforeLines="100" w:line="360" w:lineRule="auto"/>
        <w:ind w:left="442" w:hanging="442" w:firstLineChars="0"/>
        <w:contextualSpacing/>
        <w:jc w:val="left"/>
        <w:outlineLvl w:val="3"/>
        <w:rPr>
          <w:rFonts w:asciiTheme="minorEastAsia" w:hAnsiTheme="minorEastAsia" w:eastAsiaTheme="minorEastAsia"/>
          <w:b/>
          <w:bCs/>
          <w:highlight w:val="none"/>
        </w:rPr>
      </w:pPr>
      <w:r>
        <w:rPr>
          <w:rFonts w:hint="eastAsia" w:asciiTheme="minorEastAsia" w:hAnsiTheme="minorEastAsia" w:eastAsiaTheme="minorEastAsia"/>
          <w:b/>
          <w:bCs/>
          <w:highlight w:val="none"/>
        </w:rPr>
        <w:t>响应文件递交截止期</w:t>
      </w:r>
      <w:bookmarkEnd w:id="26"/>
      <w:bookmarkEnd w:id="27"/>
      <w:bookmarkEnd w:id="28"/>
      <w:bookmarkEnd w:id="29"/>
    </w:p>
    <w:p w14:paraId="7C40EA8C">
      <w:pPr>
        <w:pStyle w:val="13"/>
        <w:numPr>
          <w:ilvl w:val="0"/>
          <w:numId w:val="48"/>
        </w:numPr>
        <w:tabs>
          <w:tab w:val="left" w:pos="567"/>
        </w:tabs>
        <w:autoSpaceDE w:val="0"/>
        <w:autoSpaceDN w:val="0"/>
        <w:spacing w:line="360" w:lineRule="auto"/>
        <w:ind w:left="426" w:hanging="426" w:firstLineChars="0"/>
        <w:jc w:val="left"/>
        <w:rPr>
          <w:rFonts w:asciiTheme="minorEastAsia" w:hAnsiTheme="minorEastAsia" w:eastAsiaTheme="minorEastAsia"/>
          <w:highlight w:val="none"/>
        </w:rPr>
      </w:pPr>
      <w:r>
        <w:rPr>
          <w:rFonts w:hint="eastAsia" w:asciiTheme="minorEastAsia" w:hAnsiTheme="minorEastAsia" w:eastAsiaTheme="minorEastAsia"/>
          <w:bCs/>
          <w:szCs w:val="21"/>
          <w:highlight w:val="none"/>
        </w:rPr>
        <w:t>供应商应在不迟于</w:t>
      </w:r>
      <w:r>
        <w:rPr>
          <w:rFonts w:hint="eastAsia" w:ascii="宋体" w:hAnsi="宋体"/>
          <w:b/>
          <w:bCs w:val="0"/>
          <w:highlight w:val="none"/>
          <w:u w:val="single"/>
          <w:lang w:eastAsia="zh-CN"/>
        </w:rPr>
        <w:t>《</w:t>
      </w:r>
      <w:r>
        <w:rPr>
          <w:rFonts w:hint="eastAsia" w:ascii="宋体" w:hAnsi="宋体"/>
          <w:b/>
          <w:bCs w:val="0"/>
          <w:highlight w:val="none"/>
          <w:u w:val="single"/>
        </w:rPr>
        <w:t>磋商邀请</w:t>
      </w:r>
      <w:r>
        <w:rPr>
          <w:rFonts w:hint="eastAsia" w:ascii="宋体" w:hAnsi="宋体"/>
          <w:b/>
          <w:bCs w:val="0"/>
          <w:highlight w:val="none"/>
          <w:u w:val="single"/>
          <w:lang w:eastAsia="zh-CN"/>
        </w:rPr>
        <w:t>》</w:t>
      </w:r>
      <w:r>
        <w:rPr>
          <w:rFonts w:hint="eastAsia" w:asciiTheme="minorEastAsia" w:hAnsiTheme="minorEastAsia" w:eastAsiaTheme="minorEastAsia"/>
          <w:bCs/>
          <w:szCs w:val="21"/>
          <w:highlight w:val="none"/>
        </w:rPr>
        <w:t>中规定的截止日期和时间将响应文件递交至采购代理机构，递交地点应是</w:t>
      </w:r>
      <w:r>
        <w:rPr>
          <w:rFonts w:hint="eastAsia" w:ascii="宋体" w:hAnsi="宋体"/>
          <w:b/>
          <w:bCs w:val="0"/>
          <w:highlight w:val="none"/>
          <w:u w:val="single"/>
          <w:lang w:eastAsia="zh-CN"/>
        </w:rPr>
        <w:t>《</w:t>
      </w:r>
      <w:r>
        <w:rPr>
          <w:rFonts w:hint="eastAsia" w:ascii="宋体" w:hAnsi="宋体"/>
          <w:b/>
          <w:bCs w:val="0"/>
          <w:highlight w:val="none"/>
          <w:u w:val="single"/>
        </w:rPr>
        <w:t>磋商邀请</w:t>
      </w:r>
      <w:r>
        <w:rPr>
          <w:rFonts w:hint="eastAsia" w:ascii="宋体" w:hAnsi="宋体"/>
          <w:b/>
          <w:bCs w:val="0"/>
          <w:highlight w:val="none"/>
          <w:u w:val="single"/>
          <w:lang w:eastAsia="zh-CN"/>
        </w:rPr>
        <w:t>》</w:t>
      </w:r>
      <w:r>
        <w:rPr>
          <w:rFonts w:hint="eastAsia" w:asciiTheme="minorEastAsia" w:hAnsiTheme="minorEastAsia" w:eastAsiaTheme="minorEastAsia"/>
          <w:bCs/>
          <w:szCs w:val="21"/>
          <w:highlight w:val="none"/>
        </w:rPr>
        <w:t>中指明的地址。</w:t>
      </w:r>
    </w:p>
    <w:p w14:paraId="6172F1E5">
      <w:pPr>
        <w:pStyle w:val="13"/>
        <w:numPr>
          <w:ilvl w:val="0"/>
          <w:numId w:val="48"/>
        </w:numPr>
        <w:tabs>
          <w:tab w:val="left" w:pos="567"/>
        </w:tabs>
        <w:autoSpaceDE w:val="0"/>
        <w:autoSpaceDN w:val="0"/>
        <w:spacing w:line="360" w:lineRule="auto"/>
        <w:ind w:left="426" w:hanging="426" w:firstLineChars="0"/>
        <w:jc w:val="left"/>
        <w:rPr>
          <w:rFonts w:asciiTheme="minorEastAsia" w:hAnsiTheme="minorEastAsia" w:eastAsiaTheme="minorEastAsia"/>
          <w:highlight w:val="none"/>
        </w:rPr>
      </w:pPr>
      <w:r>
        <w:rPr>
          <w:rFonts w:hint="eastAsia" w:asciiTheme="minorEastAsia" w:hAnsiTheme="minorEastAsia" w:eastAsiaTheme="minorEastAsia"/>
          <w:bCs/>
          <w:szCs w:val="21"/>
          <w:highlight w:val="none"/>
        </w:rPr>
        <w:t>为使供应商准备磋商时有充分时间对磋商文件的修改部分进行研究，采购代理机构可适当推迟磋商截止期，但应发布公告并书面通知所有获取磋商文件的潜在供应商。在此情况下，采购人和供应商受磋商截止期制约的所有权利和义务均应延长至新的截止期。</w:t>
      </w:r>
    </w:p>
    <w:p w14:paraId="11B6D3E8">
      <w:pPr>
        <w:pStyle w:val="13"/>
        <w:numPr>
          <w:ilvl w:val="0"/>
          <w:numId w:val="48"/>
        </w:numPr>
        <w:tabs>
          <w:tab w:val="left" w:pos="567"/>
        </w:tabs>
        <w:autoSpaceDE w:val="0"/>
        <w:autoSpaceDN w:val="0"/>
        <w:spacing w:line="360" w:lineRule="auto"/>
        <w:ind w:left="426" w:hanging="426" w:firstLineChars="0"/>
        <w:jc w:val="left"/>
        <w:rPr>
          <w:rFonts w:asciiTheme="minorEastAsia" w:hAnsiTheme="minorEastAsia" w:eastAsiaTheme="minorEastAsia"/>
          <w:highlight w:val="none"/>
        </w:rPr>
      </w:pPr>
      <w:r>
        <w:rPr>
          <w:rFonts w:hint="eastAsia" w:asciiTheme="minorEastAsia" w:hAnsiTheme="minorEastAsia" w:eastAsiaTheme="minorEastAsia"/>
          <w:bCs/>
          <w:szCs w:val="21"/>
          <w:highlight w:val="none"/>
        </w:rPr>
        <w:t>采购代理机构将拒绝在规定的磋商截止期后收到的任何响应文件。</w:t>
      </w:r>
    </w:p>
    <w:p w14:paraId="4974A3AF">
      <w:pPr>
        <w:pStyle w:val="13"/>
        <w:widowControl/>
        <w:numPr>
          <w:ilvl w:val="0"/>
          <w:numId w:val="41"/>
        </w:numPr>
        <w:snapToGrid w:val="0"/>
        <w:spacing w:before="156" w:beforeLines="50" w:line="360" w:lineRule="auto"/>
        <w:ind w:left="442" w:hanging="442" w:firstLineChars="0"/>
        <w:contextualSpacing/>
        <w:jc w:val="left"/>
        <w:outlineLvl w:val="3"/>
        <w:rPr>
          <w:rFonts w:ascii="宋体" w:hAnsi="宋体"/>
          <w:kern w:val="0"/>
          <w:szCs w:val="21"/>
          <w:highlight w:val="none"/>
          <w:lang w:eastAsia="zh-Hans"/>
        </w:rPr>
      </w:pPr>
      <w:r>
        <w:rPr>
          <w:rFonts w:asciiTheme="minorEastAsia" w:hAnsiTheme="minorEastAsia" w:eastAsiaTheme="minorEastAsia"/>
          <w:b/>
          <w:bCs/>
          <w:highlight w:val="none"/>
        </w:rPr>
        <w:t>响应文件的修改、撤回与撤销</w:t>
      </w:r>
    </w:p>
    <w:p w14:paraId="1AB85116">
      <w:pPr>
        <w:pStyle w:val="13"/>
        <w:widowControl/>
        <w:numPr>
          <w:ilvl w:val="0"/>
          <w:numId w:val="49"/>
        </w:numPr>
        <w:snapToGrid w:val="0"/>
        <w:spacing w:line="360" w:lineRule="auto"/>
        <w:ind w:left="426" w:hanging="426" w:firstLineChars="0"/>
        <w:contextualSpacing/>
        <w:jc w:val="left"/>
        <w:rPr>
          <w:rFonts w:ascii="宋体" w:hAnsi="宋体"/>
          <w:kern w:val="0"/>
          <w:szCs w:val="21"/>
          <w:highlight w:val="none"/>
          <w:lang w:eastAsia="zh-Hans"/>
        </w:rPr>
      </w:pPr>
      <w:r>
        <w:rPr>
          <w:rFonts w:hint="eastAsia" w:ascii="宋体" w:hAnsi="宋体"/>
          <w:kern w:val="0"/>
          <w:szCs w:val="21"/>
          <w:highlight w:val="none"/>
          <w:lang w:eastAsia="zh-Hans"/>
        </w:rPr>
        <w:t>在提交响应文件截止时间前，供应商可以修改或撤回响应文件，并于提交响应文件截止时间前将修改后重新提供响应文件，到达响应文件提交截止时间后，将不允许修改或撤回。</w:t>
      </w:r>
    </w:p>
    <w:p w14:paraId="2C0B6AAC">
      <w:pPr>
        <w:pStyle w:val="13"/>
        <w:widowControl/>
        <w:numPr>
          <w:ilvl w:val="0"/>
          <w:numId w:val="49"/>
        </w:numPr>
        <w:snapToGrid w:val="0"/>
        <w:spacing w:line="360" w:lineRule="auto"/>
        <w:ind w:left="426" w:hanging="426"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在提交响应文件截止时间后，供应商不得补充、修改和更换响应文件。</w:t>
      </w:r>
    </w:p>
    <w:p w14:paraId="56E49514">
      <w:pPr>
        <w:pStyle w:val="13"/>
        <w:widowControl/>
        <w:numPr>
          <w:ilvl w:val="0"/>
          <w:numId w:val="41"/>
        </w:numPr>
        <w:snapToGrid w:val="0"/>
        <w:spacing w:before="156" w:beforeLines="50" w:line="360" w:lineRule="auto"/>
        <w:ind w:left="442" w:hanging="442"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响应保</w:t>
      </w:r>
      <w:r>
        <w:rPr>
          <w:rFonts w:ascii="宋体" w:hAnsi="宋体"/>
          <w:b/>
          <w:color w:val="auto"/>
          <w:kern w:val="0"/>
          <w:szCs w:val="21"/>
          <w:highlight w:val="none"/>
          <w:lang w:eastAsia="zh-Hans"/>
        </w:rPr>
        <w:t>证金</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lang w:val="en-US" w:eastAsia="zh-CN"/>
        </w:rPr>
        <w:t>本项目不适用</w:t>
      </w:r>
      <w:r>
        <w:rPr>
          <w:rFonts w:hint="eastAsia" w:ascii="宋体" w:hAnsi="宋体"/>
          <w:b/>
          <w:color w:val="auto"/>
          <w:kern w:val="0"/>
          <w:szCs w:val="21"/>
          <w:highlight w:val="none"/>
          <w:lang w:eastAsia="zh-CN"/>
        </w:rPr>
        <w:t>）</w:t>
      </w:r>
    </w:p>
    <w:p w14:paraId="1A37F3D0">
      <w:pPr>
        <w:pStyle w:val="13"/>
        <w:widowControl/>
        <w:numPr>
          <w:ilvl w:val="0"/>
          <w:numId w:val="50"/>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响应保证金的缴纳</w:t>
      </w:r>
    </w:p>
    <w:p w14:paraId="6F913A57">
      <w:pPr>
        <w:pStyle w:val="13"/>
        <w:widowControl/>
        <w:numPr>
          <w:ilvl w:val="0"/>
          <w:numId w:val="51"/>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供应商在提交响应文件的同时，应按</w:t>
      </w:r>
      <w:r>
        <w:rPr>
          <w:rFonts w:hint="eastAsia" w:ascii="宋体" w:hAnsi="宋体"/>
          <w:b/>
          <w:bCs/>
          <w:szCs w:val="21"/>
          <w:highlight w:val="none"/>
          <w:u w:val="single"/>
          <w:lang w:eastAsia="zh-CN"/>
        </w:rPr>
        <w:t>《</w:t>
      </w:r>
      <w:r>
        <w:rPr>
          <w:rFonts w:hint="eastAsia" w:ascii="宋体" w:hAnsi="宋体"/>
          <w:b/>
          <w:bCs/>
          <w:szCs w:val="21"/>
          <w:highlight w:val="none"/>
          <w:u w:val="single"/>
        </w:rPr>
        <w:t>须知前附表</w:t>
      </w:r>
      <w:r>
        <w:rPr>
          <w:rFonts w:hint="eastAsia" w:ascii="宋体" w:hAnsi="宋体"/>
          <w:b/>
          <w:bCs/>
          <w:szCs w:val="21"/>
          <w:highlight w:val="none"/>
          <w:u w:val="single"/>
          <w:lang w:eastAsia="zh-CN"/>
        </w:rPr>
        <w:t>》</w:t>
      </w:r>
      <w:r>
        <w:rPr>
          <w:rFonts w:ascii="宋体" w:hAnsi="宋体"/>
          <w:kern w:val="0"/>
          <w:szCs w:val="21"/>
          <w:highlight w:val="none"/>
          <w:lang w:eastAsia="zh-Hans"/>
        </w:rPr>
        <w:t>规定的金额和缴纳要求缴纳响应保证金，并作为其响应文件的组成部分。</w:t>
      </w:r>
    </w:p>
    <w:p w14:paraId="2DF501F8">
      <w:pPr>
        <w:pStyle w:val="13"/>
        <w:widowControl/>
        <w:numPr>
          <w:ilvl w:val="0"/>
          <w:numId w:val="51"/>
        </w:numPr>
        <w:snapToGrid w:val="0"/>
        <w:spacing w:line="360" w:lineRule="auto"/>
        <w:ind w:left="567" w:hanging="567" w:firstLineChars="0"/>
        <w:contextualSpacing/>
        <w:jc w:val="left"/>
        <w:rPr>
          <w:rFonts w:ascii="宋体" w:hAnsi="宋体"/>
          <w:kern w:val="0"/>
          <w:szCs w:val="21"/>
          <w:highlight w:val="none"/>
        </w:rPr>
      </w:pPr>
      <w:r>
        <w:rPr>
          <w:rFonts w:ascii="宋体" w:hAnsi="宋体"/>
          <w:kern w:val="0"/>
          <w:szCs w:val="21"/>
          <w:highlight w:val="none"/>
          <w:lang w:eastAsia="zh-Hans"/>
        </w:rPr>
        <w:t>如采用转账、支票、本票、汇票形式提交的，响应保证金从供应商基本账户递交。请各供应商在响应文件递交截止时间前按</w:t>
      </w:r>
      <w:r>
        <w:rPr>
          <w:rFonts w:hint="eastAsia" w:ascii="宋体" w:hAnsi="宋体"/>
          <w:b/>
          <w:bCs/>
          <w:szCs w:val="21"/>
          <w:highlight w:val="none"/>
          <w:u w:val="single"/>
          <w:lang w:eastAsia="zh-CN"/>
        </w:rPr>
        <w:t>《</w:t>
      </w:r>
      <w:r>
        <w:rPr>
          <w:rFonts w:hint="eastAsia" w:ascii="宋体" w:hAnsi="宋体"/>
          <w:b/>
          <w:bCs/>
          <w:szCs w:val="21"/>
          <w:highlight w:val="none"/>
          <w:u w:val="single"/>
        </w:rPr>
        <w:t>须知前附表</w:t>
      </w:r>
      <w:r>
        <w:rPr>
          <w:rFonts w:hint="eastAsia" w:ascii="宋体" w:hAnsi="宋体"/>
          <w:b/>
          <w:bCs/>
          <w:szCs w:val="21"/>
          <w:highlight w:val="none"/>
          <w:u w:val="single"/>
          <w:lang w:eastAsia="zh-CN"/>
        </w:rPr>
        <w:t>》</w:t>
      </w:r>
      <w:r>
        <w:rPr>
          <w:rFonts w:hint="eastAsia" w:ascii="宋体" w:hAnsi="宋体"/>
          <w:kern w:val="0"/>
          <w:szCs w:val="21"/>
          <w:highlight w:val="none"/>
          <w:lang w:eastAsia="zh-Hans"/>
        </w:rPr>
        <w:t>规定的金额递交至采购代理机构，到账情况以开标时采购代理机构查询的信息为准。</w:t>
      </w:r>
    </w:p>
    <w:p w14:paraId="67E0E52B">
      <w:pPr>
        <w:pStyle w:val="13"/>
        <w:widowControl/>
        <w:numPr>
          <w:ilvl w:val="0"/>
          <w:numId w:val="51"/>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如采用金融机构、专业担保机构开具的响应保函等形式提交响应保证金的，响应保函须开具给采购人，并与响应文件一同递交。</w:t>
      </w:r>
    </w:p>
    <w:p w14:paraId="4B04A81C">
      <w:pPr>
        <w:pStyle w:val="13"/>
        <w:widowControl/>
        <w:numPr>
          <w:ilvl w:val="0"/>
          <w:numId w:val="50"/>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响应保证金的退还：</w:t>
      </w:r>
    </w:p>
    <w:p w14:paraId="0CB22074">
      <w:pPr>
        <w:pStyle w:val="13"/>
        <w:widowControl/>
        <w:numPr>
          <w:ilvl w:val="0"/>
          <w:numId w:val="52"/>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供应商在递交响应文件截止时间前放弃响应的，自所投采购包结果公告发出后5个工作日内退还。</w:t>
      </w:r>
    </w:p>
    <w:p w14:paraId="2893B34C">
      <w:pPr>
        <w:pStyle w:val="13"/>
        <w:widowControl/>
        <w:numPr>
          <w:ilvl w:val="0"/>
          <w:numId w:val="52"/>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未成交的供应商保证金，在成交供应商发出后5个工作日内原额退还。</w:t>
      </w:r>
    </w:p>
    <w:p w14:paraId="45522414">
      <w:pPr>
        <w:pStyle w:val="13"/>
        <w:widowControl/>
        <w:numPr>
          <w:ilvl w:val="0"/>
          <w:numId w:val="52"/>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成交供应商的响应保证金,在成交供应商与采购人签订采购合同后5个工作日内原额退还。</w:t>
      </w:r>
    </w:p>
    <w:p w14:paraId="7B3EF951">
      <w:pPr>
        <w:widowControl/>
        <w:snapToGrid w:val="0"/>
        <w:spacing w:line="360" w:lineRule="auto"/>
        <w:ind w:firstLine="567" w:firstLineChars="270"/>
        <w:contextualSpacing/>
        <w:jc w:val="left"/>
        <w:rPr>
          <w:rFonts w:ascii="宋体" w:hAnsi="宋体"/>
          <w:kern w:val="0"/>
          <w:szCs w:val="21"/>
          <w:highlight w:val="none"/>
          <w:lang w:eastAsia="zh-Hans"/>
        </w:rPr>
      </w:pPr>
      <w:r>
        <w:rPr>
          <w:rFonts w:ascii="宋体" w:hAnsi="宋体"/>
          <w:kern w:val="0"/>
          <w:szCs w:val="21"/>
          <w:highlight w:val="none"/>
          <w:lang w:eastAsia="zh-Hans"/>
        </w:rPr>
        <w:t>备注：但因供应商自身原因导致无法及时退还的除外。</w:t>
      </w:r>
    </w:p>
    <w:p w14:paraId="39EF8167">
      <w:pPr>
        <w:pStyle w:val="13"/>
        <w:widowControl/>
        <w:numPr>
          <w:ilvl w:val="0"/>
          <w:numId w:val="50"/>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有下列情形之一的，响应保证金将不予退还：</w:t>
      </w:r>
    </w:p>
    <w:p w14:paraId="34441254">
      <w:pPr>
        <w:pStyle w:val="13"/>
        <w:widowControl/>
        <w:numPr>
          <w:ilvl w:val="0"/>
          <w:numId w:val="53"/>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提供虚假材料谋取成交的；</w:t>
      </w:r>
    </w:p>
    <w:p w14:paraId="327FE60D">
      <w:pPr>
        <w:pStyle w:val="13"/>
        <w:widowControl/>
        <w:numPr>
          <w:ilvl w:val="0"/>
          <w:numId w:val="53"/>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供应商在磋商文件规定的响应有效期内撤销其响应；</w:t>
      </w:r>
    </w:p>
    <w:p w14:paraId="6FA949C6">
      <w:pPr>
        <w:pStyle w:val="13"/>
        <w:widowControl/>
        <w:numPr>
          <w:ilvl w:val="0"/>
          <w:numId w:val="53"/>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成交后，无正当理由放弃成交资格；</w:t>
      </w:r>
    </w:p>
    <w:p w14:paraId="4C8034F4">
      <w:pPr>
        <w:pStyle w:val="13"/>
        <w:widowControl/>
        <w:numPr>
          <w:ilvl w:val="0"/>
          <w:numId w:val="53"/>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成交后，无正当理由不与采购人签订合同；</w:t>
      </w:r>
    </w:p>
    <w:p w14:paraId="6D7C5093">
      <w:pPr>
        <w:pStyle w:val="13"/>
        <w:widowControl/>
        <w:numPr>
          <w:ilvl w:val="0"/>
          <w:numId w:val="53"/>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法律法规和磋商文件规定的其他情形。</w:t>
      </w:r>
    </w:p>
    <w:p w14:paraId="552C12BC">
      <w:pPr>
        <w:pStyle w:val="13"/>
        <w:widowControl/>
        <w:numPr>
          <w:ilvl w:val="0"/>
          <w:numId w:val="41"/>
        </w:numPr>
        <w:snapToGrid w:val="0"/>
        <w:spacing w:before="156" w:beforeLines="50" w:line="360" w:lineRule="auto"/>
        <w:ind w:left="442" w:hanging="442"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响应有效期</w:t>
      </w:r>
    </w:p>
    <w:p w14:paraId="16B611C3">
      <w:pPr>
        <w:pStyle w:val="13"/>
        <w:widowControl/>
        <w:numPr>
          <w:ilvl w:val="0"/>
          <w:numId w:val="54"/>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响应有效期内供应商撤销响应文件的，采购人或者采购代理机构可以不退还响应保证金（如有）。采用响应保函方式替代保证金的，采购人或者采购代理机构可以向担保机构索赔保证金。</w:t>
      </w:r>
    </w:p>
    <w:p w14:paraId="66AA616B">
      <w:pPr>
        <w:pStyle w:val="13"/>
        <w:widowControl/>
        <w:numPr>
          <w:ilvl w:val="0"/>
          <w:numId w:val="54"/>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3168403B">
      <w:pPr>
        <w:pStyle w:val="13"/>
        <w:widowControl/>
        <w:numPr>
          <w:ilvl w:val="0"/>
          <w:numId w:val="41"/>
        </w:numPr>
        <w:snapToGrid w:val="0"/>
        <w:spacing w:before="156" w:beforeLines="50" w:line="360" w:lineRule="auto"/>
        <w:ind w:left="442" w:hanging="442"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样品（演示）</w:t>
      </w:r>
    </w:p>
    <w:p w14:paraId="0774E2AA">
      <w:pPr>
        <w:pStyle w:val="13"/>
        <w:widowControl/>
        <w:numPr>
          <w:ilvl w:val="0"/>
          <w:numId w:val="55"/>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磋商文件规定供应商提交样品的，样品属于响应文件的组成部分。样品的生产、运输、安装、保全等一切费用由供应商自理。</w:t>
      </w:r>
    </w:p>
    <w:p w14:paraId="2A285552">
      <w:pPr>
        <w:pStyle w:val="13"/>
        <w:widowControl/>
        <w:numPr>
          <w:ilvl w:val="0"/>
          <w:numId w:val="55"/>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递交响应文件截止时间前，供应商应将样品送达至指定地点。若需要现场演示的，供应商应提前做好演示准备（包括演示设备）。</w:t>
      </w:r>
    </w:p>
    <w:p w14:paraId="685E0227">
      <w:pPr>
        <w:pStyle w:val="13"/>
        <w:widowControl/>
        <w:numPr>
          <w:ilvl w:val="0"/>
          <w:numId w:val="55"/>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79858A6D">
      <w:pPr>
        <w:pStyle w:val="13"/>
        <w:widowControl/>
        <w:numPr>
          <w:ilvl w:val="0"/>
          <w:numId w:val="41"/>
        </w:numPr>
        <w:snapToGrid w:val="0"/>
        <w:spacing w:before="156" w:beforeLines="50" w:line="360" w:lineRule="auto"/>
        <w:ind w:left="442" w:hanging="442"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除磋商文件另有规定外，有下列情形之一的，响应无效：</w:t>
      </w:r>
    </w:p>
    <w:p w14:paraId="131C65E5">
      <w:pPr>
        <w:pStyle w:val="13"/>
        <w:widowControl/>
        <w:numPr>
          <w:ilvl w:val="0"/>
          <w:numId w:val="56"/>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响应文件未按照磋商文件要求签署、盖章；</w:t>
      </w:r>
    </w:p>
    <w:p w14:paraId="437DC40E">
      <w:pPr>
        <w:pStyle w:val="13"/>
        <w:widowControl/>
        <w:numPr>
          <w:ilvl w:val="0"/>
          <w:numId w:val="56"/>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不符合磋商文件中规定的资格要求；</w:t>
      </w:r>
    </w:p>
    <w:p w14:paraId="4AD719F6">
      <w:pPr>
        <w:pStyle w:val="13"/>
        <w:widowControl/>
        <w:numPr>
          <w:ilvl w:val="0"/>
          <w:numId w:val="56"/>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磋商报价超过磋商文件中规定的预算金额或最高限价；</w:t>
      </w:r>
    </w:p>
    <w:p w14:paraId="390BDA25">
      <w:pPr>
        <w:pStyle w:val="13"/>
        <w:widowControl/>
        <w:numPr>
          <w:ilvl w:val="0"/>
          <w:numId w:val="56"/>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响应文件含有采购人不能接受的附加条件；</w:t>
      </w:r>
    </w:p>
    <w:p w14:paraId="16BC86E0">
      <w:pPr>
        <w:pStyle w:val="13"/>
        <w:widowControl/>
        <w:numPr>
          <w:ilvl w:val="0"/>
          <w:numId w:val="56"/>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有关法律、法规和规章及磋商文件规定的其他无效情形。</w:t>
      </w:r>
    </w:p>
    <w:p w14:paraId="598EF326">
      <w:pPr>
        <w:pStyle w:val="13"/>
        <w:widowControl/>
        <w:numPr>
          <w:ilvl w:val="0"/>
          <w:numId w:val="31"/>
        </w:numPr>
        <w:snapToGrid w:val="0"/>
        <w:spacing w:line="360" w:lineRule="auto"/>
        <w:ind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磋商、评审和结果确定</w:t>
      </w:r>
    </w:p>
    <w:p w14:paraId="5C12E659">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1.响应文件的开启</w:t>
      </w:r>
    </w:p>
    <w:p w14:paraId="0C46F2A3">
      <w:pPr>
        <w:pStyle w:val="13"/>
        <w:widowControl/>
        <w:numPr>
          <w:ilvl w:val="0"/>
          <w:numId w:val="57"/>
        </w:numPr>
        <w:snapToGrid w:val="0"/>
        <w:spacing w:line="360" w:lineRule="auto"/>
        <w:ind w:firstLineChars="0"/>
        <w:contextualSpacing/>
        <w:jc w:val="left"/>
        <w:rPr>
          <w:rFonts w:ascii="宋体" w:hAnsi="宋体"/>
          <w:kern w:val="0"/>
          <w:szCs w:val="21"/>
          <w:highlight w:val="none"/>
          <w:lang w:eastAsia="zh-Hans"/>
        </w:rPr>
      </w:pPr>
      <w:r>
        <w:rPr>
          <w:rFonts w:hint="eastAsia" w:ascii="宋体" w:hAnsi="宋体"/>
          <w:kern w:val="0"/>
          <w:szCs w:val="21"/>
          <w:highlight w:val="none"/>
          <w:lang w:eastAsia="zh-Hans"/>
        </w:rPr>
        <w:t>采购代理机构按</w:t>
      </w:r>
      <w:r>
        <w:rPr>
          <w:rFonts w:hint="eastAsia" w:ascii="宋体" w:hAnsi="宋体"/>
          <w:b/>
          <w:bCs w:val="0"/>
          <w:highlight w:val="none"/>
          <w:u w:val="single"/>
          <w:lang w:eastAsia="zh-CN"/>
        </w:rPr>
        <w:t>《</w:t>
      </w:r>
      <w:r>
        <w:rPr>
          <w:rFonts w:hint="eastAsia" w:ascii="宋体" w:hAnsi="宋体"/>
          <w:b/>
          <w:bCs w:val="0"/>
          <w:highlight w:val="none"/>
          <w:u w:val="single"/>
        </w:rPr>
        <w:t>磋商邀请</w:t>
      </w:r>
      <w:r>
        <w:rPr>
          <w:rFonts w:hint="eastAsia" w:ascii="宋体" w:hAnsi="宋体"/>
          <w:b/>
          <w:bCs w:val="0"/>
          <w:highlight w:val="none"/>
          <w:u w:val="single"/>
          <w:lang w:eastAsia="zh-CN"/>
        </w:rPr>
        <w:t>》</w:t>
      </w:r>
      <w:r>
        <w:rPr>
          <w:rFonts w:hint="eastAsia" w:ascii="宋体" w:hAnsi="宋体"/>
          <w:kern w:val="0"/>
          <w:szCs w:val="21"/>
          <w:highlight w:val="none"/>
          <w:lang w:eastAsia="zh-Hans"/>
        </w:rPr>
        <w:t>中规定的日期、时间和地点组织公开开启。开启时邀请所有供应商代表参加。参加开启的法定代表人或其授权代表携带有效身份证签名报到以证明其出席。</w:t>
      </w:r>
    </w:p>
    <w:p w14:paraId="13217637">
      <w:pPr>
        <w:pStyle w:val="13"/>
        <w:widowControl/>
        <w:numPr>
          <w:ilvl w:val="0"/>
          <w:numId w:val="57"/>
        </w:numPr>
        <w:snapToGrid w:val="0"/>
        <w:spacing w:line="360" w:lineRule="auto"/>
        <w:ind w:firstLineChars="0"/>
        <w:contextualSpacing/>
        <w:jc w:val="left"/>
        <w:rPr>
          <w:rFonts w:ascii="宋体" w:hAnsi="宋体"/>
          <w:kern w:val="0"/>
          <w:szCs w:val="21"/>
          <w:highlight w:val="none"/>
          <w:lang w:eastAsia="zh-Hans"/>
        </w:rPr>
      </w:pPr>
      <w:r>
        <w:rPr>
          <w:rFonts w:hint="eastAsia" w:ascii="宋体" w:hAnsi="宋体"/>
          <w:kern w:val="0"/>
          <w:szCs w:val="21"/>
          <w:highlight w:val="none"/>
          <w:lang w:eastAsia="zh-Hans"/>
        </w:rPr>
        <w:t>响应文件递交截止时间后，由全体供应商对全部响应文件的密封情况进行检查。</w:t>
      </w:r>
    </w:p>
    <w:p w14:paraId="05C0C7AB">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2.评审（详见第四章）</w:t>
      </w:r>
    </w:p>
    <w:p w14:paraId="4FB89AA0">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3.成交</w:t>
      </w:r>
    </w:p>
    <w:p w14:paraId="7810CC1B">
      <w:pPr>
        <w:pStyle w:val="13"/>
        <w:widowControl/>
        <w:numPr>
          <w:ilvl w:val="0"/>
          <w:numId w:val="58"/>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成交结果公告：</w:t>
      </w:r>
    </w:p>
    <w:p w14:paraId="37731BCC">
      <w:pPr>
        <w:pStyle w:val="13"/>
        <w:widowControl/>
        <w:numPr>
          <w:ilvl w:val="0"/>
          <w:numId w:val="59"/>
        </w:numPr>
        <w:tabs>
          <w:tab w:val="left" w:pos="567"/>
        </w:tabs>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成交供应商确定之日起2个工作日内，采购人或采购代理机构将在</w:t>
      </w:r>
      <w:r>
        <w:rPr>
          <w:rFonts w:hint="eastAsia" w:ascii="宋体" w:hAnsi="宋体"/>
          <w:kern w:val="0"/>
          <w:szCs w:val="21"/>
          <w:highlight w:val="none"/>
          <w:lang w:eastAsia="zh-Hans"/>
        </w:rPr>
        <w:t>指定媒体</w:t>
      </w:r>
      <w:r>
        <w:rPr>
          <w:rFonts w:ascii="宋体" w:hAnsi="宋体"/>
          <w:kern w:val="0"/>
          <w:szCs w:val="21"/>
          <w:highlight w:val="none"/>
          <w:lang w:eastAsia="zh-Hans"/>
        </w:rPr>
        <w:t>上以公告的形式发布成交结果，结果公告的公告期限为 1 个工作日。结果公告同时作为采购代理机构通知除成交供应商外的其他供应商没有成交的书面形式，采购代理机构不再以其它方式另行通知。</w:t>
      </w:r>
    </w:p>
    <w:p w14:paraId="55FE41D7">
      <w:pPr>
        <w:pStyle w:val="13"/>
        <w:widowControl/>
        <w:numPr>
          <w:ilvl w:val="0"/>
          <w:numId w:val="58"/>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成交通知书：</w:t>
      </w:r>
    </w:p>
    <w:p w14:paraId="1630C20E">
      <w:pPr>
        <w:pStyle w:val="13"/>
        <w:widowControl/>
        <w:numPr>
          <w:ilvl w:val="0"/>
          <w:numId w:val="60"/>
        </w:numPr>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成交通知书发出后，采购人不得违法改变成交结果，成交供应商不得放弃成交。成交供应商放弃成交的，应当依法承担相应的法律责任。</w:t>
      </w:r>
    </w:p>
    <w:p w14:paraId="20479A09">
      <w:pPr>
        <w:pStyle w:val="13"/>
        <w:widowControl/>
        <w:numPr>
          <w:ilvl w:val="0"/>
          <w:numId w:val="31"/>
        </w:numPr>
        <w:snapToGrid w:val="0"/>
        <w:spacing w:line="360" w:lineRule="auto"/>
        <w:ind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询问、质疑与投诉</w:t>
      </w:r>
    </w:p>
    <w:p w14:paraId="75ED075C">
      <w:pPr>
        <w:pStyle w:val="13"/>
        <w:widowControl/>
        <w:numPr>
          <w:ilvl w:val="3"/>
          <w:numId w:val="61"/>
        </w:numPr>
        <w:snapToGrid w:val="0"/>
        <w:spacing w:line="360" w:lineRule="auto"/>
        <w:ind w:left="426" w:hanging="426"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询问</w:t>
      </w:r>
    </w:p>
    <w:p w14:paraId="21404830">
      <w:pPr>
        <w:pStyle w:val="13"/>
        <w:numPr>
          <w:ilvl w:val="0"/>
          <w:numId w:val="62"/>
        </w:numPr>
        <w:snapToGrid w:val="0"/>
        <w:spacing w:line="360" w:lineRule="auto"/>
        <w:ind w:left="442" w:hanging="442" w:firstLineChars="0"/>
        <w:contextualSpacing/>
        <w:rPr>
          <w:rFonts w:ascii="宋体" w:hAnsi="宋体"/>
          <w:highlight w:val="none"/>
        </w:rPr>
      </w:pPr>
      <w:r>
        <w:rPr>
          <w:rFonts w:ascii="宋体" w:hAnsi="宋体"/>
          <w:highlight w:val="none"/>
        </w:rPr>
        <w:t>供应商对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第一章</w:t>
      </w:r>
      <w:r>
        <w:rPr>
          <w:rFonts w:hint="eastAsia" w:ascii="宋体" w:hAnsi="宋体"/>
          <w:b/>
          <w:bCs w:val="0"/>
          <w:highlight w:val="none"/>
          <w:u w:val="single"/>
          <w:lang w:eastAsia="zh-CN"/>
        </w:rPr>
        <w:t>《</w:t>
      </w:r>
      <w:r>
        <w:rPr>
          <w:rFonts w:hint="eastAsia" w:ascii="宋体" w:hAnsi="宋体"/>
          <w:b/>
          <w:bCs w:val="0"/>
          <w:highlight w:val="none"/>
          <w:u w:val="single"/>
        </w:rPr>
        <w:t>磋商邀请</w:t>
      </w:r>
      <w:r>
        <w:rPr>
          <w:rFonts w:hint="eastAsia" w:ascii="宋体" w:hAnsi="宋体"/>
          <w:b/>
          <w:bCs w:val="0"/>
          <w:highlight w:val="none"/>
          <w:u w:val="single"/>
          <w:lang w:eastAsia="zh-CN"/>
        </w:rPr>
        <w:t>》</w:t>
      </w:r>
      <w:r>
        <w:rPr>
          <w:rFonts w:ascii="宋体" w:hAnsi="宋体"/>
          <w:highlight w:val="none"/>
        </w:rPr>
        <w:t>中“采购人、采购代理机构的名称、地址和联系方式”。</w:t>
      </w:r>
    </w:p>
    <w:p w14:paraId="3A1E2557">
      <w:pPr>
        <w:pStyle w:val="13"/>
        <w:widowControl/>
        <w:numPr>
          <w:ilvl w:val="3"/>
          <w:numId w:val="61"/>
        </w:numPr>
        <w:snapToGrid w:val="0"/>
        <w:spacing w:line="360" w:lineRule="auto"/>
        <w:ind w:left="426" w:hanging="426"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质疑</w:t>
      </w:r>
    </w:p>
    <w:p w14:paraId="318B5485">
      <w:pPr>
        <w:pStyle w:val="13"/>
        <w:widowControl/>
        <w:numPr>
          <w:ilvl w:val="0"/>
          <w:numId w:val="63"/>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FFFFE1F">
      <w:pPr>
        <w:pStyle w:val="13"/>
        <w:widowControl/>
        <w:numPr>
          <w:ilvl w:val="0"/>
          <w:numId w:val="64"/>
        </w:numPr>
        <w:tabs>
          <w:tab w:val="left" w:pos="709"/>
        </w:tabs>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对磋商文件提出质疑的，为获取磋商文件之日或者磋商文件公告期限届满之日；</w:t>
      </w:r>
    </w:p>
    <w:p w14:paraId="3C491FFB">
      <w:pPr>
        <w:pStyle w:val="13"/>
        <w:widowControl/>
        <w:numPr>
          <w:ilvl w:val="0"/>
          <w:numId w:val="64"/>
        </w:numPr>
        <w:tabs>
          <w:tab w:val="left" w:pos="709"/>
        </w:tabs>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对采购过程提出质疑的，为各采购程序环节结束之日；</w:t>
      </w:r>
    </w:p>
    <w:p w14:paraId="1D214208">
      <w:pPr>
        <w:pStyle w:val="13"/>
        <w:widowControl/>
        <w:numPr>
          <w:ilvl w:val="0"/>
          <w:numId w:val="64"/>
        </w:numPr>
        <w:tabs>
          <w:tab w:val="left" w:pos="709"/>
        </w:tabs>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对成交结果提出质疑的，为成交结果公告期限届满之日。</w:t>
      </w:r>
    </w:p>
    <w:p w14:paraId="1FEEF524">
      <w:pPr>
        <w:pStyle w:val="13"/>
        <w:widowControl/>
        <w:numPr>
          <w:ilvl w:val="0"/>
          <w:numId w:val="63"/>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质疑函应当包括下列主要内容：</w:t>
      </w:r>
    </w:p>
    <w:p w14:paraId="2D3F1D74">
      <w:pPr>
        <w:pStyle w:val="13"/>
        <w:widowControl/>
        <w:numPr>
          <w:ilvl w:val="0"/>
          <w:numId w:val="65"/>
        </w:numPr>
        <w:tabs>
          <w:tab w:val="left" w:pos="284"/>
          <w:tab w:val="left" w:pos="567"/>
        </w:tabs>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质疑供应商和相关供应商的名称、地址、邮编、联系人及联系电话等；</w:t>
      </w:r>
    </w:p>
    <w:p w14:paraId="6959A788">
      <w:pPr>
        <w:pStyle w:val="13"/>
        <w:widowControl/>
        <w:numPr>
          <w:ilvl w:val="0"/>
          <w:numId w:val="65"/>
        </w:numPr>
        <w:tabs>
          <w:tab w:val="left" w:pos="284"/>
          <w:tab w:val="left" w:pos="567"/>
        </w:tabs>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质疑项目名称及编号、具体明确的质疑事项和与质疑事项相关的请求；</w:t>
      </w:r>
    </w:p>
    <w:p w14:paraId="0849DB73">
      <w:pPr>
        <w:pStyle w:val="13"/>
        <w:widowControl/>
        <w:numPr>
          <w:ilvl w:val="0"/>
          <w:numId w:val="65"/>
        </w:numPr>
        <w:tabs>
          <w:tab w:val="left" w:pos="284"/>
          <w:tab w:val="left" w:pos="567"/>
        </w:tabs>
        <w:snapToGrid w:val="0"/>
        <w:spacing w:line="360" w:lineRule="auto"/>
        <w:ind w:left="567" w:hanging="567"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认为磋商文件、采购过程和成交结果使自己的合法权益受到损害的法律依据、事实依据、相关证明材料及证据来源；</w:t>
      </w:r>
    </w:p>
    <w:p w14:paraId="67E9F5EA">
      <w:pPr>
        <w:pStyle w:val="13"/>
        <w:widowControl/>
        <w:numPr>
          <w:ilvl w:val="0"/>
          <w:numId w:val="65"/>
        </w:numPr>
        <w:tabs>
          <w:tab w:val="left" w:pos="284"/>
          <w:tab w:val="left" w:pos="567"/>
        </w:tabs>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提出质疑的日期。</w:t>
      </w:r>
    </w:p>
    <w:p w14:paraId="158C0CD1">
      <w:pPr>
        <w:pStyle w:val="13"/>
        <w:widowControl/>
        <w:numPr>
          <w:ilvl w:val="0"/>
          <w:numId w:val="63"/>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质疑函应当署名。质疑供应商为自然人的，应当由本人签字；质疑供应商为法人或者其他组织的，应当由法定代表人、主要负责人，或者其授权代表签字或者盖章，并加盖公章。</w:t>
      </w:r>
    </w:p>
    <w:p w14:paraId="38D47C9A">
      <w:pPr>
        <w:pStyle w:val="13"/>
        <w:widowControl/>
        <w:numPr>
          <w:ilvl w:val="0"/>
          <w:numId w:val="63"/>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以联合体形式参加采购活动的，其质疑应当由联合体成员委托主体提出。</w:t>
      </w:r>
    </w:p>
    <w:p w14:paraId="4ABCEF25">
      <w:pPr>
        <w:pStyle w:val="13"/>
        <w:widowControl/>
        <w:numPr>
          <w:ilvl w:val="0"/>
          <w:numId w:val="63"/>
        </w:numPr>
        <w:snapToGrid w:val="0"/>
        <w:spacing w:line="360" w:lineRule="auto"/>
        <w:ind w:firstLineChars="0"/>
        <w:contextualSpacing/>
        <w:jc w:val="left"/>
        <w:rPr>
          <w:rFonts w:ascii="宋体" w:hAnsi="宋体"/>
          <w:color w:val="auto"/>
          <w:kern w:val="0"/>
          <w:szCs w:val="21"/>
          <w:highlight w:val="none"/>
          <w:lang w:eastAsia="zh-Hans"/>
        </w:rPr>
      </w:pPr>
      <w:r>
        <w:rPr>
          <w:rFonts w:ascii="宋体" w:hAnsi="宋体"/>
          <w:kern w:val="0"/>
          <w:szCs w:val="21"/>
          <w:highlight w:val="none"/>
          <w:lang w:eastAsia="zh-Hans"/>
        </w:rPr>
        <w:t>供应商质疑应当有明确的请求和必要的证明材料。质疑内容不得含有虚假、恶意成份。依照谁主张谁举证的原则，提出质疑者必须同时提交相关确凿的证据材料和注明证据的确切来源，证据来源必须合法，采购</w:t>
      </w:r>
      <w:r>
        <w:rPr>
          <w:rFonts w:ascii="宋体" w:hAnsi="宋体"/>
          <w:color w:val="auto"/>
          <w:kern w:val="0"/>
          <w:szCs w:val="21"/>
          <w:highlight w:val="none"/>
          <w:lang w:eastAsia="zh-Hans"/>
        </w:rPr>
        <w:t>人或采购代理机构有权将质疑函转发质疑事项各关联方，请其作出解释说明。对捏造事实、滥用维权扰乱采购秩序的恶意质疑者，将上报采购</w:t>
      </w:r>
      <w:r>
        <w:rPr>
          <w:rFonts w:hint="eastAsia" w:ascii="宋体" w:hAnsi="宋体"/>
          <w:color w:val="auto"/>
          <w:kern w:val="0"/>
          <w:szCs w:val="21"/>
          <w:highlight w:val="none"/>
          <w:lang w:val="en-US" w:eastAsia="zh-CN"/>
        </w:rPr>
        <w:t>人相关</w:t>
      </w:r>
      <w:r>
        <w:rPr>
          <w:rFonts w:ascii="宋体" w:hAnsi="宋体"/>
          <w:color w:val="auto"/>
          <w:kern w:val="0"/>
          <w:szCs w:val="21"/>
          <w:highlight w:val="none"/>
          <w:lang w:eastAsia="zh-Hans"/>
        </w:rPr>
        <w:t>部门依法处理。</w:t>
      </w:r>
    </w:p>
    <w:p w14:paraId="4D2F380E">
      <w:pPr>
        <w:pStyle w:val="13"/>
        <w:widowControl/>
        <w:numPr>
          <w:ilvl w:val="0"/>
          <w:numId w:val="63"/>
        </w:numPr>
        <w:snapToGrid w:val="0"/>
        <w:spacing w:line="360" w:lineRule="auto"/>
        <w:ind w:firstLineChars="0"/>
        <w:contextualSpacing/>
        <w:jc w:val="left"/>
        <w:rPr>
          <w:rFonts w:ascii="宋体" w:hAnsi="宋体"/>
          <w:color w:val="auto"/>
          <w:kern w:val="0"/>
          <w:szCs w:val="21"/>
          <w:highlight w:val="none"/>
          <w:lang w:eastAsia="zh-Hans"/>
        </w:rPr>
      </w:pPr>
      <w:r>
        <w:rPr>
          <w:rFonts w:ascii="宋体" w:hAnsi="宋体"/>
          <w:color w:val="auto"/>
          <w:kern w:val="0"/>
          <w:szCs w:val="21"/>
          <w:highlight w:val="none"/>
          <w:lang w:eastAsia="zh-Hans"/>
        </w:rPr>
        <w:t>质疑联系方式如下：</w:t>
      </w:r>
    </w:p>
    <w:p w14:paraId="27865438">
      <w:pPr>
        <w:widowControl/>
        <w:snapToGrid w:val="0"/>
        <w:spacing w:line="360" w:lineRule="auto"/>
        <w:ind w:firstLine="480"/>
        <w:contextualSpacing/>
        <w:jc w:val="left"/>
        <w:rPr>
          <w:rFonts w:hint="default" w:ascii="宋体" w:hAnsi="宋体" w:eastAsia="宋体"/>
          <w:color w:val="auto"/>
          <w:kern w:val="0"/>
          <w:szCs w:val="21"/>
          <w:highlight w:val="none"/>
          <w:lang w:val="en-US" w:eastAsia="zh-CN"/>
        </w:rPr>
      </w:pPr>
      <w:r>
        <w:rPr>
          <w:rFonts w:ascii="宋体" w:hAnsi="宋体"/>
          <w:color w:val="auto"/>
          <w:kern w:val="0"/>
          <w:szCs w:val="21"/>
          <w:highlight w:val="none"/>
          <w:lang w:eastAsia="zh-Hans"/>
        </w:rPr>
        <w:t>质疑联系人：</w:t>
      </w:r>
      <w:r>
        <w:rPr>
          <w:rFonts w:hint="eastAsia" w:ascii="宋体" w:hAnsi="宋体"/>
          <w:color w:val="auto"/>
          <w:kern w:val="0"/>
          <w:szCs w:val="21"/>
          <w:highlight w:val="none"/>
          <w:lang w:val="en-US" w:eastAsia="zh-CN"/>
        </w:rPr>
        <w:t>黄小姐</w:t>
      </w:r>
    </w:p>
    <w:p w14:paraId="6759A7BB">
      <w:pPr>
        <w:widowControl/>
        <w:snapToGrid w:val="0"/>
        <w:spacing w:line="360" w:lineRule="auto"/>
        <w:ind w:firstLine="480"/>
        <w:contextualSpacing/>
        <w:jc w:val="left"/>
        <w:rPr>
          <w:rFonts w:ascii="宋体" w:hAnsi="宋体"/>
          <w:color w:val="auto"/>
          <w:kern w:val="0"/>
          <w:szCs w:val="21"/>
          <w:highlight w:val="none"/>
          <w:lang w:eastAsia="zh-Hans"/>
        </w:rPr>
      </w:pPr>
      <w:r>
        <w:rPr>
          <w:rFonts w:ascii="宋体" w:hAnsi="宋体"/>
          <w:color w:val="auto"/>
          <w:kern w:val="0"/>
          <w:szCs w:val="21"/>
          <w:highlight w:val="none"/>
          <w:lang w:eastAsia="zh-Hans"/>
        </w:rPr>
        <w:t>电话：</w:t>
      </w:r>
      <w:r>
        <w:rPr>
          <w:rFonts w:hint="eastAsia" w:ascii="宋体" w:hAnsi="宋体" w:eastAsia="宋体" w:cs="Times New Roman"/>
          <w:color w:val="auto"/>
          <w:sz w:val="21"/>
          <w:szCs w:val="21"/>
          <w:highlight w:val="none"/>
        </w:rPr>
        <w:t>0769</w:t>
      </w:r>
      <w:r>
        <w:rPr>
          <w:rFonts w:hint="eastAsia" w:ascii="宋体" w:hAnsi="宋体" w:eastAsia="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rPr>
        <w:t>22367009</w:t>
      </w:r>
    </w:p>
    <w:p w14:paraId="7584A465">
      <w:pPr>
        <w:widowControl/>
        <w:snapToGrid w:val="0"/>
        <w:spacing w:line="360" w:lineRule="auto"/>
        <w:ind w:firstLine="480"/>
        <w:contextualSpacing/>
        <w:jc w:val="left"/>
        <w:rPr>
          <w:rFonts w:ascii="宋体" w:hAnsi="宋体"/>
          <w:color w:val="auto"/>
          <w:kern w:val="0"/>
          <w:szCs w:val="21"/>
          <w:highlight w:val="none"/>
          <w:lang w:eastAsia="zh-Hans"/>
        </w:rPr>
      </w:pPr>
      <w:r>
        <w:rPr>
          <w:rFonts w:ascii="宋体" w:hAnsi="宋体"/>
          <w:color w:val="auto"/>
          <w:kern w:val="0"/>
          <w:szCs w:val="21"/>
          <w:highlight w:val="none"/>
          <w:lang w:eastAsia="zh-Hans"/>
        </w:rPr>
        <w:t>传真：/</w:t>
      </w:r>
    </w:p>
    <w:p w14:paraId="7CA3B35E">
      <w:pPr>
        <w:widowControl/>
        <w:snapToGrid w:val="0"/>
        <w:spacing w:line="360" w:lineRule="auto"/>
        <w:ind w:firstLine="480"/>
        <w:contextualSpacing/>
        <w:jc w:val="left"/>
        <w:rPr>
          <w:rFonts w:ascii="宋体" w:hAnsi="宋体"/>
          <w:color w:val="auto"/>
          <w:kern w:val="0"/>
          <w:szCs w:val="21"/>
          <w:highlight w:val="none"/>
          <w:lang w:eastAsia="zh-Hans"/>
        </w:rPr>
      </w:pPr>
      <w:r>
        <w:rPr>
          <w:rFonts w:ascii="宋体" w:hAnsi="宋体"/>
          <w:color w:val="auto"/>
          <w:kern w:val="0"/>
          <w:szCs w:val="21"/>
          <w:highlight w:val="none"/>
          <w:lang w:eastAsia="zh-Hans"/>
        </w:rPr>
        <w:t>邮箱：</w:t>
      </w:r>
      <w:r>
        <w:rPr>
          <w:rFonts w:ascii="宋体" w:hAnsi="宋体" w:eastAsia="宋体" w:cs="Times New Roman"/>
          <w:color w:val="auto"/>
          <w:sz w:val="21"/>
          <w:szCs w:val="21"/>
          <w:highlight w:val="none"/>
        </w:rPr>
        <w:t>zhcity_gd@163.com</w:t>
      </w:r>
    </w:p>
    <w:p w14:paraId="2F2526F1">
      <w:pPr>
        <w:widowControl/>
        <w:snapToGrid w:val="0"/>
        <w:spacing w:line="360" w:lineRule="auto"/>
        <w:ind w:firstLine="480"/>
        <w:contextualSpacing/>
        <w:jc w:val="left"/>
        <w:rPr>
          <w:rFonts w:ascii="宋体" w:hAnsi="宋体"/>
          <w:color w:val="auto"/>
          <w:kern w:val="0"/>
          <w:szCs w:val="21"/>
          <w:highlight w:val="none"/>
          <w:lang w:eastAsia="zh-Hans"/>
        </w:rPr>
      </w:pPr>
      <w:r>
        <w:rPr>
          <w:rFonts w:ascii="宋体" w:hAnsi="宋体"/>
          <w:color w:val="auto"/>
          <w:kern w:val="0"/>
          <w:szCs w:val="21"/>
          <w:highlight w:val="none"/>
          <w:lang w:eastAsia="zh-Hans"/>
        </w:rPr>
        <w:t>地址：</w:t>
      </w:r>
      <w:r>
        <w:rPr>
          <w:rFonts w:hint="eastAsia" w:ascii="宋体" w:hAnsi="宋体" w:eastAsia="宋体" w:cs="Times New Roman"/>
          <w:color w:val="auto"/>
          <w:sz w:val="21"/>
          <w:szCs w:val="21"/>
          <w:highlight w:val="none"/>
        </w:rPr>
        <w:t>东莞市南城街道雅园产业园区路5号1栋1楼</w:t>
      </w:r>
    </w:p>
    <w:p w14:paraId="3F53C6E4">
      <w:pPr>
        <w:widowControl/>
        <w:snapToGrid w:val="0"/>
        <w:spacing w:line="360" w:lineRule="auto"/>
        <w:ind w:firstLine="480"/>
        <w:contextualSpacing/>
        <w:jc w:val="left"/>
        <w:rPr>
          <w:rFonts w:ascii="宋体" w:hAnsi="宋体"/>
          <w:color w:val="auto"/>
          <w:kern w:val="0"/>
          <w:szCs w:val="21"/>
          <w:highlight w:val="none"/>
          <w:lang w:eastAsia="zh-Hans"/>
        </w:rPr>
      </w:pPr>
      <w:r>
        <w:rPr>
          <w:rFonts w:ascii="宋体" w:hAnsi="宋体"/>
          <w:color w:val="auto"/>
          <w:kern w:val="0"/>
          <w:szCs w:val="21"/>
          <w:highlight w:val="none"/>
          <w:lang w:eastAsia="zh-Hans"/>
        </w:rPr>
        <w:t>邮编：523000</w:t>
      </w:r>
    </w:p>
    <w:p w14:paraId="0C01DC6B">
      <w:pPr>
        <w:pStyle w:val="13"/>
        <w:widowControl/>
        <w:numPr>
          <w:ilvl w:val="3"/>
          <w:numId w:val="61"/>
        </w:numPr>
        <w:snapToGrid w:val="0"/>
        <w:spacing w:line="360" w:lineRule="auto"/>
        <w:ind w:left="426" w:hanging="426" w:firstLineChars="0"/>
        <w:contextualSpacing/>
        <w:jc w:val="left"/>
        <w:outlineLvl w:val="3"/>
        <w:rPr>
          <w:rFonts w:ascii="宋体" w:hAnsi="宋体"/>
          <w:color w:val="auto"/>
          <w:kern w:val="0"/>
          <w:szCs w:val="21"/>
          <w:highlight w:val="none"/>
          <w:lang w:eastAsia="zh-Hans"/>
        </w:rPr>
      </w:pPr>
      <w:r>
        <w:rPr>
          <w:rFonts w:ascii="宋体" w:hAnsi="宋体"/>
          <w:b/>
          <w:color w:val="auto"/>
          <w:kern w:val="0"/>
          <w:szCs w:val="21"/>
          <w:highlight w:val="none"/>
          <w:lang w:eastAsia="zh-Hans"/>
        </w:rPr>
        <w:t>投诉</w:t>
      </w:r>
    </w:p>
    <w:p w14:paraId="78F2BD11">
      <w:pPr>
        <w:widowControl/>
        <w:snapToGrid w:val="0"/>
        <w:spacing w:line="360" w:lineRule="auto"/>
        <w:ind w:firstLine="480"/>
        <w:contextualSpacing/>
        <w:jc w:val="left"/>
        <w:rPr>
          <w:rFonts w:ascii="宋体" w:hAnsi="宋体"/>
          <w:color w:val="auto"/>
          <w:kern w:val="0"/>
          <w:szCs w:val="21"/>
          <w:highlight w:val="none"/>
        </w:rPr>
      </w:pPr>
      <w:r>
        <w:rPr>
          <w:rFonts w:ascii="宋体" w:hAnsi="宋体"/>
          <w:color w:val="auto"/>
          <w:kern w:val="0"/>
          <w:szCs w:val="21"/>
          <w:highlight w:val="none"/>
          <w:lang w:eastAsia="zh-Hans"/>
        </w:rPr>
        <w:t>质疑人对采购人或采购代理机构的质疑答复不满意或在规定时间内未得到答复的，可以在答复期满后15个工作日内，向本项目</w:t>
      </w:r>
      <w:r>
        <w:rPr>
          <w:rFonts w:hint="eastAsia" w:ascii="宋体" w:hAnsi="宋体"/>
          <w:color w:val="auto"/>
          <w:kern w:val="0"/>
          <w:szCs w:val="21"/>
          <w:highlight w:val="none"/>
          <w:lang w:val="en-US" w:eastAsia="zh-CN"/>
        </w:rPr>
        <w:t>采购人相关</w:t>
      </w:r>
      <w:r>
        <w:rPr>
          <w:rFonts w:ascii="宋体" w:hAnsi="宋体"/>
          <w:color w:val="auto"/>
          <w:kern w:val="0"/>
          <w:szCs w:val="21"/>
          <w:highlight w:val="none"/>
          <w:lang w:eastAsia="zh-Hans"/>
        </w:rPr>
        <w:t>部门提起投诉。</w:t>
      </w:r>
    </w:p>
    <w:p w14:paraId="4C767DFE">
      <w:pPr>
        <w:pStyle w:val="13"/>
        <w:widowControl/>
        <w:numPr>
          <w:ilvl w:val="0"/>
          <w:numId w:val="31"/>
        </w:numPr>
        <w:snapToGrid w:val="0"/>
        <w:spacing w:before="156" w:beforeLines="50" w:line="360" w:lineRule="auto"/>
        <w:ind w:left="442" w:hanging="442" w:firstLineChars="0"/>
        <w:contextualSpacing/>
        <w:jc w:val="left"/>
        <w:outlineLvl w:val="3"/>
        <w:rPr>
          <w:rFonts w:ascii="宋体" w:hAnsi="宋体"/>
          <w:color w:val="auto"/>
          <w:kern w:val="0"/>
          <w:szCs w:val="21"/>
          <w:highlight w:val="none"/>
        </w:rPr>
      </w:pPr>
      <w:r>
        <w:rPr>
          <w:rFonts w:ascii="宋体" w:hAnsi="宋体"/>
          <w:b/>
          <w:color w:val="auto"/>
          <w:kern w:val="0"/>
          <w:szCs w:val="21"/>
          <w:highlight w:val="none"/>
          <w:lang w:eastAsia="zh-Hans"/>
        </w:rPr>
        <w:t>履约担保</w:t>
      </w:r>
      <w:r>
        <w:rPr>
          <w:rFonts w:hint="eastAsia" w:ascii="宋体" w:hAnsi="宋体"/>
          <w:b/>
          <w:color w:val="auto"/>
          <w:kern w:val="0"/>
          <w:szCs w:val="21"/>
          <w:highlight w:val="none"/>
          <w:lang w:eastAsia="zh-CN"/>
        </w:rPr>
        <w:t>（</w:t>
      </w:r>
      <w:r>
        <w:rPr>
          <w:rFonts w:hint="eastAsia" w:ascii="宋体" w:hAnsi="宋体"/>
          <w:b/>
          <w:color w:val="auto"/>
          <w:kern w:val="0"/>
          <w:szCs w:val="21"/>
          <w:highlight w:val="none"/>
          <w:lang w:val="en-US" w:eastAsia="zh-CN"/>
        </w:rPr>
        <w:t>本项目不适用</w:t>
      </w:r>
      <w:r>
        <w:rPr>
          <w:rFonts w:hint="eastAsia" w:ascii="宋体" w:hAnsi="宋体"/>
          <w:b/>
          <w:color w:val="auto"/>
          <w:kern w:val="0"/>
          <w:szCs w:val="21"/>
          <w:highlight w:val="none"/>
          <w:lang w:eastAsia="zh-CN"/>
        </w:rPr>
        <w:t>）</w:t>
      </w:r>
    </w:p>
    <w:p w14:paraId="6F5129F0">
      <w:pPr>
        <w:widowControl/>
        <w:numPr>
          <w:ilvl w:val="0"/>
          <w:numId w:val="66"/>
        </w:numPr>
        <w:snapToGrid w:val="0"/>
        <w:spacing w:line="360" w:lineRule="auto"/>
        <w:ind w:left="442" w:hanging="442"/>
        <w:contextualSpacing/>
        <w:jc w:val="left"/>
        <w:outlineLvl w:val="3"/>
        <w:rPr>
          <w:rFonts w:ascii="宋体" w:hAnsi="宋体"/>
          <w:color w:val="auto"/>
          <w:kern w:val="0"/>
          <w:szCs w:val="21"/>
          <w:highlight w:val="none"/>
        </w:rPr>
      </w:pPr>
      <w:r>
        <w:rPr>
          <w:rFonts w:hint="eastAsia" w:ascii="宋体" w:hAnsi="宋体"/>
          <w:color w:val="auto"/>
          <w:kern w:val="0"/>
          <w:szCs w:val="21"/>
          <w:highlight w:val="none"/>
        </w:rPr>
        <w:t>成交</w:t>
      </w:r>
      <w:r>
        <w:rPr>
          <w:rFonts w:ascii="宋体" w:hAnsi="宋体"/>
          <w:color w:val="auto"/>
          <w:kern w:val="0"/>
          <w:szCs w:val="21"/>
          <w:highlight w:val="none"/>
        </w:rPr>
        <w:t>供应商应按</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rPr>
        <w:t>须知前附表</w:t>
      </w:r>
      <w:r>
        <w:rPr>
          <w:rFonts w:hint="eastAsia" w:ascii="宋体" w:hAnsi="宋体"/>
          <w:b/>
          <w:bCs/>
          <w:color w:val="auto"/>
          <w:szCs w:val="21"/>
          <w:highlight w:val="none"/>
          <w:u w:val="single"/>
          <w:lang w:eastAsia="zh-CN"/>
        </w:rPr>
        <w:t>》</w:t>
      </w:r>
      <w:r>
        <w:rPr>
          <w:rFonts w:ascii="宋体" w:hAnsi="宋体"/>
          <w:color w:val="auto"/>
          <w:kern w:val="0"/>
          <w:szCs w:val="21"/>
          <w:highlight w:val="none"/>
        </w:rPr>
        <w:t>要求向采购人缴纳履约担保（如采用保函形式，格式详见</w:t>
      </w:r>
      <w:r>
        <w:rPr>
          <w:rFonts w:hint="eastAsia" w:ascii="宋体" w:hAnsi="宋体"/>
          <w:color w:val="auto"/>
          <w:kern w:val="0"/>
          <w:szCs w:val="21"/>
          <w:highlight w:val="none"/>
        </w:rPr>
        <w:t>磋商</w:t>
      </w:r>
      <w:r>
        <w:rPr>
          <w:rFonts w:ascii="宋体" w:hAnsi="宋体"/>
          <w:color w:val="auto"/>
          <w:kern w:val="0"/>
          <w:szCs w:val="21"/>
          <w:highlight w:val="none"/>
        </w:rPr>
        <w:t>文件第</w:t>
      </w:r>
      <w:r>
        <w:rPr>
          <w:rFonts w:hint="eastAsia" w:ascii="宋体" w:hAnsi="宋体"/>
          <w:color w:val="auto"/>
          <w:kern w:val="0"/>
          <w:szCs w:val="21"/>
          <w:highlight w:val="none"/>
        </w:rPr>
        <w:t>六</w:t>
      </w:r>
      <w:r>
        <w:rPr>
          <w:rFonts w:ascii="宋体" w:hAnsi="宋体"/>
          <w:color w:val="auto"/>
          <w:kern w:val="0"/>
          <w:szCs w:val="21"/>
          <w:highlight w:val="none"/>
        </w:rPr>
        <w:t>章</w:t>
      </w:r>
      <w:r>
        <w:rPr>
          <w:rFonts w:hint="eastAsia" w:ascii="宋体" w:hAnsi="宋体"/>
          <w:color w:val="auto"/>
          <w:kern w:val="0"/>
          <w:szCs w:val="21"/>
          <w:highlight w:val="none"/>
        </w:rPr>
        <w:t>响应</w:t>
      </w:r>
      <w:r>
        <w:rPr>
          <w:rFonts w:ascii="宋体" w:hAnsi="宋体"/>
          <w:color w:val="auto"/>
          <w:kern w:val="0"/>
          <w:szCs w:val="21"/>
          <w:highlight w:val="none"/>
        </w:rPr>
        <w:t>文件格式</w:t>
      </w:r>
      <w:r>
        <w:rPr>
          <w:rFonts w:hint="eastAsia" w:ascii="宋体" w:hAnsi="宋体"/>
          <w:color w:val="auto"/>
          <w:kern w:val="0"/>
          <w:szCs w:val="21"/>
          <w:highlight w:val="none"/>
        </w:rPr>
        <w:t>-履约担保</w:t>
      </w:r>
      <w:r>
        <w:rPr>
          <w:rFonts w:ascii="宋体" w:hAnsi="宋体"/>
          <w:color w:val="auto"/>
          <w:kern w:val="0"/>
          <w:szCs w:val="21"/>
          <w:highlight w:val="none"/>
        </w:rPr>
        <w:t>）。履约担保可以采用银行转账或</w:t>
      </w:r>
      <w:r>
        <w:rPr>
          <w:rFonts w:hint="eastAsia" w:ascii="宋体" w:hAnsi="宋体"/>
          <w:color w:val="auto"/>
          <w:kern w:val="0"/>
          <w:szCs w:val="21"/>
          <w:highlight w:val="none"/>
        </w:rPr>
        <w:t>支票、汇票、本票或者金融机构、担保机构出具的保函等非现金形式提交。</w:t>
      </w:r>
    </w:p>
    <w:p w14:paraId="624202A6">
      <w:pPr>
        <w:widowControl/>
        <w:numPr>
          <w:ilvl w:val="0"/>
          <w:numId w:val="66"/>
        </w:numPr>
        <w:snapToGrid w:val="0"/>
        <w:spacing w:line="360" w:lineRule="auto"/>
        <w:ind w:left="442" w:hanging="442"/>
        <w:contextualSpacing/>
        <w:jc w:val="left"/>
        <w:outlineLvl w:val="3"/>
        <w:rPr>
          <w:rFonts w:ascii="宋体" w:hAnsi="宋体"/>
          <w:color w:val="auto"/>
          <w:kern w:val="0"/>
          <w:szCs w:val="21"/>
          <w:highlight w:val="none"/>
        </w:rPr>
      </w:pPr>
      <w:r>
        <w:rPr>
          <w:rFonts w:ascii="宋体" w:hAnsi="宋体"/>
          <w:color w:val="auto"/>
          <w:kern w:val="0"/>
          <w:szCs w:val="21"/>
          <w:highlight w:val="none"/>
        </w:rPr>
        <w:t>在整个项目验收合格后，</w:t>
      </w:r>
      <w:r>
        <w:rPr>
          <w:rFonts w:hint="eastAsia" w:ascii="宋体" w:hAnsi="宋体"/>
          <w:color w:val="auto"/>
          <w:kern w:val="0"/>
          <w:szCs w:val="21"/>
          <w:highlight w:val="none"/>
        </w:rPr>
        <w:t>成交供应商</w:t>
      </w:r>
      <w:r>
        <w:rPr>
          <w:rFonts w:ascii="宋体" w:hAnsi="宋体"/>
          <w:color w:val="auto"/>
          <w:kern w:val="0"/>
          <w:szCs w:val="21"/>
          <w:highlight w:val="none"/>
        </w:rPr>
        <w:t>向采购人提交退回履约保证金的申请，采购人办理履约保证金退还手续，将履约保证金退回原</w:t>
      </w:r>
      <w:r>
        <w:rPr>
          <w:rFonts w:hint="eastAsia" w:ascii="宋体" w:hAnsi="宋体"/>
          <w:color w:val="auto"/>
          <w:kern w:val="0"/>
          <w:szCs w:val="21"/>
          <w:highlight w:val="none"/>
        </w:rPr>
        <w:t>成交供应商</w:t>
      </w:r>
      <w:r>
        <w:rPr>
          <w:rFonts w:ascii="宋体" w:hAnsi="宋体"/>
          <w:color w:val="auto"/>
          <w:kern w:val="0"/>
          <w:szCs w:val="21"/>
          <w:highlight w:val="none"/>
        </w:rPr>
        <w:t>的汇入账户。</w:t>
      </w:r>
    </w:p>
    <w:p w14:paraId="134C3C46">
      <w:pPr>
        <w:pStyle w:val="13"/>
        <w:widowControl/>
        <w:numPr>
          <w:ilvl w:val="0"/>
          <w:numId w:val="31"/>
        </w:numPr>
        <w:snapToGrid w:val="0"/>
        <w:spacing w:before="156" w:beforeLines="50" w:line="360" w:lineRule="auto"/>
        <w:ind w:left="442" w:hanging="442"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合同签订和履行</w:t>
      </w:r>
    </w:p>
    <w:p w14:paraId="6EB11016">
      <w:pPr>
        <w:pStyle w:val="13"/>
        <w:widowControl/>
        <w:numPr>
          <w:ilvl w:val="3"/>
          <w:numId w:val="67"/>
        </w:numPr>
        <w:snapToGrid w:val="0"/>
        <w:spacing w:line="360" w:lineRule="auto"/>
        <w:ind w:left="426" w:hanging="426" w:firstLineChars="0"/>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合同签订</w:t>
      </w:r>
    </w:p>
    <w:p w14:paraId="011B753D">
      <w:pPr>
        <w:pStyle w:val="13"/>
        <w:widowControl/>
        <w:numPr>
          <w:ilvl w:val="0"/>
          <w:numId w:val="68"/>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采购人应当自《成交通知书》发出之日起三十日内，按照磋商文件和成交供应商响应文件的约定，与成交供应商签订合同。所签订的合同不得对磋商文件和成交供应商响应文件作实质性修改。</w:t>
      </w:r>
    </w:p>
    <w:p w14:paraId="0B7C003E">
      <w:pPr>
        <w:pStyle w:val="13"/>
        <w:widowControl/>
        <w:numPr>
          <w:ilvl w:val="0"/>
          <w:numId w:val="68"/>
        </w:numPr>
        <w:snapToGrid w:val="0"/>
        <w:spacing w:line="360" w:lineRule="auto"/>
        <w:ind w:firstLineChars="0"/>
        <w:contextualSpacing/>
        <w:jc w:val="left"/>
        <w:rPr>
          <w:rFonts w:ascii="宋体" w:hAnsi="宋体"/>
          <w:kern w:val="0"/>
          <w:szCs w:val="21"/>
          <w:highlight w:val="none"/>
          <w:lang w:eastAsia="zh-Hans"/>
        </w:rPr>
      </w:pPr>
      <w:r>
        <w:rPr>
          <w:rFonts w:ascii="宋体" w:hAnsi="宋体"/>
          <w:kern w:val="0"/>
          <w:szCs w:val="21"/>
          <w:highlight w:val="none"/>
          <w:lang w:eastAsia="zh-Hans"/>
        </w:rPr>
        <w:t>采购人不得提出试用合格等任何不合理的要求作为签订合同的条件，且不得与成交供应商私下订立背离合同实质性内容的协议。</w:t>
      </w:r>
    </w:p>
    <w:p w14:paraId="2F22112F">
      <w:pPr>
        <w:widowControl/>
        <w:snapToGrid w:val="0"/>
        <w:spacing w:line="360" w:lineRule="auto"/>
        <w:contextualSpacing/>
        <w:jc w:val="left"/>
        <w:outlineLvl w:val="3"/>
        <w:rPr>
          <w:rFonts w:ascii="宋体" w:hAnsi="宋体"/>
          <w:kern w:val="0"/>
          <w:szCs w:val="21"/>
          <w:highlight w:val="none"/>
          <w:lang w:eastAsia="zh-Hans"/>
        </w:rPr>
      </w:pPr>
      <w:r>
        <w:rPr>
          <w:rFonts w:ascii="宋体" w:hAnsi="宋体"/>
          <w:b/>
          <w:kern w:val="0"/>
          <w:szCs w:val="21"/>
          <w:highlight w:val="none"/>
          <w:lang w:eastAsia="zh-Hans"/>
        </w:rPr>
        <w:t>2.合同的履行</w:t>
      </w:r>
    </w:p>
    <w:p w14:paraId="394AA1BD">
      <w:pPr>
        <w:pStyle w:val="13"/>
        <w:widowControl/>
        <w:numPr>
          <w:ilvl w:val="0"/>
          <w:numId w:val="69"/>
        </w:numPr>
        <w:snapToGrid w:val="0"/>
        <w:spacing w:line="360" w:lineRule="auto"/>
        <w:ind w:left="442" w:hanging="442" w:firstLineChars="0"/>
        <w:contextualSpacing/>
        <w:jc w:val="left"/>
        <w:rPr>
          <w:rFonts w:ascii="宋体" w:hAnsi="宋体"/>
          <w:kern w:val="0"/>
          <w:szCs w:val="21"/>
          <w:highlight w:val="none"/>
          <w:lang w:eastAsia="zh-Hans"/>
        </w:rPr>
      </w:pPr>
      <w:r>
        <w:rPr>
          <w:rFonts w:hint="eastAsia" w:ascii="宋体" w:hAnsi="宋体"/>
          <w:kern w:val="0"/>
          <w:szCs w:val="21"/>
          <w:highlight w:val="none"/>
          <w:lang w:eastAsia="zh-Hans"/>
        </w:rPr>
        <w:t>采购合同订立后，合同各方不得擅自变更、中止或者终止合同。采购合同需要变更的，采购人应将有关合同变更内容，以书面形式报监督管理部门备案；因特殊情况需要中止或终止合同的，采购人应将中止或终止合同的理由以及相应措施，以书面形式报监督管理部门备案。</w:t>
      </w:r>
    </w:p>
    <w:p w14:paraId="0647BF7F">
      <w:pPr>
        <w:pStyle w:val="13"/>
        <w:numPr>
          <w:ilvl w:val="0"/>
          <w:numId w:val="69"/>
        </w:numPr>
        <w:snapToGrid w:val="0"/>
        <w:spacing w:line="360" w:lineRule="auto"/>
        <w:ind w:left="442" w:hanging="442" w:firstLineChars="0"/>
        <w:contextualSpacing/>
        <w:rPr>
          <w:b/>
          <w:sz w:val="24"/>
          <w:highlight w:val="none"/>
          <w:lang w:eastAsia="zh-CN"/>
        </w:rPr>
      </w:pPr>
      <w:r>
        <w:rPr>
          <w:rFonts w:ascii="宋体" w:hAnsi="宋体"/>
          <w:kern w:val="0"/>
          <w:szCs w:val="21"/>
          <w:highlight w:val="none"/>
          <w:lang w:eastAsia="zh-Hans"/>
        </w:rPr>
        <w:t>采购合同履行中，采购人需追加与合同标的相同的货物、工程或者服务的，在不改变合同其他条款的前提下，可以与成交供应商签订补充合同，但所补充合同的采购金额不得超过原采购金额的10%。</w:t>
      </w:r>
      <w:r>
        <w:rPr>
          <w:rFonts w:hint="eastAsia" w:ascii="宋体" w:hAnsi="宋体"/>
          <w:kern w:val="0"/>
          <w:szCs w:val="21"/>
          <w:highlight w:val="none"/>
          <w:lang w:eastAsia="zh-Hans"/>
        </w:rPr>
        <w:t>签订补充合同的必须按规定备案。</w:t>
      </w:r>
    </w:p>
    <w:p w14:paraId="76596B07">
      <w:pPr>
        <w:rPr>
          <w:b/>
          <w:sz w:val="24"/>
          <w:highlight w:val="none"/>
          <w:lang w:eastAsia="zh-CN"/>
        </w:rPr>
      </w:pPr>
      <w:r>
        <w:rPr>
          <w:rFonts w:hint="eastAsia" w:ascii="宋体" w:hAnsi="宋体"/>
          <w:kern w:val="0"/>
          <w:szCs w:val="21"/>
          <w:highlight w:val="none"/>
          <w:lang w:eastAsia="zh-Hans"/>
        </w:rPr>
        <w:br w:type="page"/>
      </w:r>
    </w:p>
    <w:p w14:paraId="53E0CCEE">
      <w:pPr>
        <w:pStyle w:val="3"/>
        <w:keepNext w:val="0"/>
        <w:keepLines w:val="0"/>
        <w:pageBreakBefore/>
        <w:spacing w:after="240" w:line="360" w:lineRule="auto"/>
        <w:jc w:val="center"/>
        <w:rPr>
          <w:rFonts w:asciiTheme="minorEastAsia" w:hAnsiTheme="minorEastAsia" w:eastAsiaTheme="minorEastAsia"/>
          <w:spacing w:val="20"/>
          <w:sz w:val="32"/>
          <w:szCs w:val="32"/>
          <w:highlight w:val="none"/>
        </w:rPr>
      </w:pPr>
      <w:bookmarkStart w:id="30" w:name="_Toc521951135"/>
      <w:bookmarkStart w:id="31" w:name="_Toc391627751"/>
      <w:bookmarkStart w:id="32" w:name="_Toc405313955"/>
      <w:bookmarkStart w:id="33" w:name="_Toc2386"/>
      <w:r>
        <w:rPr>
          <w:rFonts w:hint="eastAsia" w:asciiTheme="minorEastAsia" w:hAnsiTheme="minorEastAsia" w:eastAsiaTheme="minorEastAsia"/>
          <w:spacing w:val="20"/>
          <w:sz w:val="32"/>
          <w:szCs w:val="32"/>
          <w:highlight w:val="none"/>
        </w:rPr>
        <w:t>第</w:t>
      </w:r>
      <w:bookmarkEnd w:id="30"/>
      <w:bookmarkEnd w:id="31"/>
      <w:bookmarkEnd w:id="32"/>
      <w:bookmarkStart w:id="34" w:name="_Hlk46687785"/>
      <w:r>
        <w:rPr>
          <w:rFonts w:hint="eastAsia" w:asciiTheme="minorEastAsia" w:hAnsiTheme="minorEastAsia" w:eastAsiaTheme="minorEastAsia"/>
          <w:spacing w:val="20"/>
          <w:sz w:val="32"/>
          <w:szCs w:val="32"/>
          <w:highlight w:val="none"/>
        </w:rPr>
        <w:t>四章 评审</w:t>
      </w:r>
      <w:bookmarkEnd w:id="33"/>
    </w:p>
    <w:bookmarkEnd w:id="34"/>
    <w:p w14:paraId="722297AE">
      <w:pPr>
        <w:pStyle w:val="13"/>
        <w:numPr>
          <w:ilvl w:val="0"/>
          <w:numId w:val="70"/>
        </w:numPr>
        <w:snapToGrid w:val="0"/>
        <w:spacing w:line="360" w:lineRule="auto"/>
        <w:ind w:left="442" w:hanging="442" w:firstLineChars="0"/>
        <w:contextualSpacing/>
        <w:rPr>
          <w:b/>
          <w:bCs/>
          <w:highlight w:val="none"/>
        </w:rPr>
      </w:pPr>
      <w:r>
        <w:rPr>
          <w:b/>
          <w:bCs/>
          <w:highlight w:val="none"/>
        </w:rPr>
        <w:t>评审要求</w:t>
      </w:r>
    </w:p>
    <w:p w14:paraId="3421EA85">
      <w:pPr>
        <w:pStyle w:val="11"/>
        <w:numPr>
          <w:ilvl w:val="3"/>
          <w:numId w:val="71"/>
        </w:numPr>
        <w:snapToGrid w:val="0"/>
        <w:spacing w:line="360" w:lineRule="auto"/>
        <w:ind w:left="284" w:hanging="284"/>
        <w:contextualSpacing/>
        <w:outlineLvl w:val="3"/>
        <w:rPr>
          <w:rFonts w:hint="default" w:asciiTheme="minorEastAsia" w:hAnsiTheme="minorEastAsia"/>
          <w:sz w:val="21"/>
          <w:szCs w:val="21"/>
          <w:highlight w:val="none"/>
        </w:rPr>
      </w:pPr>
      <w:r>
        <w:rPr>
          <w:rFonts w:asciiTheme="minorEastAsia" w:hAnsiTheme="minorEastAsia"/>
          <w:b/>
          <w:sz w:val="21"/>
          <w:szCs w:val="21"/>
          <w:highlight w:val="none"/>
        </w:rPr>
        <w:t>评审方法</w:t>
      </w:r>
    </w:p>
    <w:p w14:paraId="142EB0FC">
      <w:pPr>
        <w:pStyle w:val="11"/>
        <w:snapToGrid w:val="0"/>
        <w:spacing w:line="360" w:lineRule="auto"/>
        <w:ind w:firstLine="420" w:firstLineChars="200"/>
        <w:contextualSpacing/>
        <w:rPr>
          <w:rFonts w:hint="default" w:ascii="宋体" w:hAnsi="宋体" w:eastAsia="宋体"/>
          <w:sz w:val="21"/>
          <w:szCs w:val="21"/>
          <w:highlight w:val="none"/>
        </w:rPr>
      </w:pPr>
      <w:r>
        <w:rPr>
          <w:rFonts w:ascii="宋体" w:hAnsi="宋体" w:eastAsia="宋体"/>
          <w:sz w:val="21"/>
          <w:szCs w:val="21"/>
          <w:highlight w:val="none"/>
        </w:rPr>
        <w:t>综合评分法,是指响应文件满足磋商文件全部实质性要求，且按照评审因素的量化指标评审得分最高的供应商为成交候选人的评标方法。（最低报价不是成交的唯一依据。）</w:t>
      </w:r>
    </w:p>
    <w:p w14:paraId="5E485DA8">
      <w:pPr>
        <w:pStyle w:val="11"/>
        <w:numPr>
          <w:ilvl w:val="3"/>
          <w:numId w:val="71"/>
        </w:numPr>
        <w:snapToGrid w:val="0"/>
        <w:spacing w:line="360" w:lineRule="auto"/>
        <w:ind w:left="284" w:hanging="284"/>
        <w:contextualSpacing/>
        <w:outlineLvl w:val="3"/>
        <w:rPr>
          <w:rFonts w:hint="default"/>
          <w:highlight w:val="none"/>
        </w:rPr>
      </w:pPr>
      <w:r>
        <w:rPr>
          <w:rFonts w:asciiTheme="minorEastAsia" w:hAnsiTheme="minorEastAsia"/>
          <w:b/>
          <w:sz w:val="21"/>
          <w:szCs w:val="21"/>
          <w:highlight w:val="none"/>
        </w:rPr>
        <w:t>评审原则</w:t>
      </w:r>
    </w:p>
    <w:p w14:paraId="193DD305">
      <w:pPr>
        <w:pStyle w:val="11"/>
        <w:numPr>
          <w:ilvl w:val="0"/>
          <w:numId w:val="72"/>
        </w:numPr>
        <w:snapToGrid w:val="0"/>
        <w:spacing w:line="360" w:lineRule="auto"/>
        <w:contextualSpacing/>
        <w:rPr>
          <w:rFonts w:hint="default" w:ascii="宋体" w:hAnsi="宋体" w:eastAsia="宋体"/>
          <w:sz w:val="21"/>
          <w:szCs w:val="21"/>
          <w:highlight w:val="none"/>
        </w:rPr>
      </w:pPr>
      <w:r>
        <w:rPr>
          <w:rFonts w:ascii="宋体" w:hAnsi="宋体" w:eastAsia="宋体"/>
          <w:sz w:val="21"/>
          <w:szCs w:val="21"/>
          <w:highlight w:val="none"/>
        </w:rPr>
        <w:t>评审活动遵循公平、公正、科学和择优的原则，以磋商文件和响应文件为评审的基本依据，并按照磋商文件规定的评审方法和评审标准进行评审。</w:t>
      </w:r>
    </w:p>
    <w:p w14:paraId="73D52A40">
      <w:pPr>
        <w:pStyle w:val="11"/>
        <w:numPr>
          <w:ilvl w:val="0"/>
          <w:numId w:val="72"/>
        </w:numPr>
        <w:snapToGrid w:val="0"/>
        <w:spacing w:line="360" w:lineRule="auto"/>
        <w:contextualSpacing/>
        <w:rPr>
          <w:rFonts w:hint="default"/>
          <w:highlight w:val="none"/>
        </w:rPr>
      </w:pPr>
      <w:r>
        <w:rPr>
          <w:rFonts w:ascii="宋体" w:hAnsi="宋体" w:eastAsia="宋体"/>
          <w:sz w:val="21"/>
          <w:szCs w:val="21"/>
          <w:highlight w:val="none"/>
        </w:rPr>
        <w:t>具体评审事项由磋商小组负责，并按磋商文件的规定办法进行评审。对磋商文件中描述有歧义或前后不一致的地方，磋商小组有权按法律法规的规定进行评判，但对同一条款的评判应适用于每个响应供应商。</w:t>
      </w:r>
    </w:p>
    <w:p w14:paraId="53C2C55F">
      <w:pPr>
        <w:pStyle w:val="11"/>
        <w:numPr>
          <w:ilvl w:val="3"/>
          <w:numId w:val="71"/>
        </w:numPr>
        <w:snapToGrid w:val="0"/>
        <w:spacing w:line="360" w:lineRule="auto"/>
        <w:ind w:left="284" w:hanging="284"/>
        <w:contextualSpacing/>
        <w:outlineLvl w:val="3"/>
        <w:rPr>
          <w:rFonts w:hint="default" w:ascii="宋体" w:hAnsi="宋体" w:eastAsia="宋体"/>
          <w:highlight w:val="none"/>
        </w:rPr>
      </w:pPr>
      <w:r>
        <w:rPr>
          <w:rFonts w:ascii="宋体" w:hAnsi="宋体" w:eastAsia="宋体"/>
          <w:b/>
          <w:sz w:val="21"/>
          <w:szCs w:val="21"/>
          <w:highlight w:val="none"/>
        </w:rPr>
        <w:t>磋商小组</w:t>
      </w:r>
    </w:p>
    <w:p w14:paraId="721AAB8B">
      <w:pPr>
        <w:pStyle w:val="11"/>
        <w:numPr>
          <w:ilvl w:val="0"/>
          <w:numId w:val="73"/>
        </w:numPr>
        <w:snapToGrid w:val="0"/>
        <w:spacing w:line="360" w:lineRule="auto"/>
        <w:ind w:left="442" w:hanging="442"/>
        <w:contextualSpacing/>
        <w:rPr>
          <w:rFonts w:hint="default" w:ascii="宋体" w:hAnsi="宋体" w:eastAsia="宋体"/>
          <w:sz w:val="21"/>
          <w:szCs w:val="21"/>
          <w:highlight w:val="none"/>
        </w:rPr>
      </w:pPr>
      <w:r>
        <w:rPr>
          <w:rFonts w:ascii="宋体" w:hAnsi="宋体" w:eastAsia="宋体"/>
          <w:sz w:val="21"/>
          <w:szCs w:val="21"/>
          <w:highlight w:val="none"/>
        </w:rPr>
        <w:t>磋商小组由采购人代表和评审专家组成，成员人数应当为3人及以上单数，其中技术、经济等方面的评审专家不得少于成员总数的三分之二。</w:t>
      </w:r>
    </w:p>
    <w:p w14:paraId="0433F221">
      <w:pPr>
        <w:pStyle w:val="11"/>
        <w:numPr>
          <w:ilvl w:val="0"/>
          <w:numId w:val="73"/>
        </w:numPr>
        <w:snapToGrid w:val="0"/>
        <w:spacing w:line="360" w:lineRule="auto"/>
        <w:ind w:left="442" w:hanging="442"/>
        <w:contextualSpacing/>
        <w:rPr>
          <w:rFonts w:hint="default" w:asciiTheme="minorEastAsia" w:hAnsiTheme="minorEastAsia"/>
          <w:bCs/>
          <w:sz w:val="21"/>
          <w:szCs w:val="21"/>
          <w:highlight w:val="none"/>
        </w:rPr>
      </w:pPr>
      <w:r>
        <w:rPr>
          <w:rFonts w:cs="宋体" w:asciiTheme="minorEastAsia" w:hAnsiTheme="minorEastAsia"/>
          <w:sz w:val="21"/>
          <w:szCs w:val="21"/>
          <w:highlight w:val="none"/>
          <w:lang w:eastAsia="zh-TW"/>
        </w:rPr>
        <w:t>磋商小组成员名单在</w:t>
      </w:r>
      <w:r>
        <w:rPr>
          <w:rFonts w:cs="宋体" w:asciiTheme="minorEastAsia" w:hAnsiTheme="minorEastAsia"/>
          <w:sz w:val="21"/>
          <w:szCs w:val="21"/>
          <w:highlight w:val="none"/>
        </w:rPr>
        <w:t>成交结果</w:t>
      </w:r>
      <w:r>
        <w:rPr>
          <w:rFonts w:cs="宋体" w:asciiTheme="minorEastAsia" w:hAnsiTheme="minorEastAsia"/>
          <w:sz w:val="21"/>
          <w:szCs w:val="21"/>
          <w:highlight w:val="none"/>
          <w:lang w:eastAsia="zh-TW"/>
        </w:rPr>
        <w:t>公告前应当保密。</w:t>
      </w:r>
      <w:r>
        <w:rPr>
          <w:rFonts w:asciiTheme="minorEastAsia" w:hAnsiTheme="minorEastAsia"/>
          <w:bCs/>
          <w:sz w:val="21"/>
          <w:szCs w:val="21"/>
          <w:highlight w:val="none"/>
        </w:rPr>
        <w:t>评审专家有下列情形之一的，受到邀请应主动提出回避，采购当事人也可以要求该评审专家回避：</w:t>
      </w:r>
    </w:p>
    <w:p w14:paraId="57DC8E90">
      <w:pPr>
        <w:pStyle w:val="14"/>
        <w:numPr>
          <w:ilvl w:val="2"/>
          <w:numId w:val="74"/>
        </w:numPr>
        <w:tabs>
          <w:tab w:val="left" w:pos="709"/>
        </w:tabs>
        <w:snapToGrid w:val="0"/>
        <w:spacing w:line="360" w:lineRule="auto"/>
        <w:ind w:firstLineChars="0"/>
        <w:contextualSpacing/>
        <w:rPr>
          <w:rFonts w:asciiTheme="minorEastAsia" w:hAnsiTheme="minorEastAsia" w:eastAsiaTheme="minorEastAsia"/>
          <w:bCs/>
          <w:szCs w:val="21"/>
          <w:highlight w:val="none"/>
        </w:rPr>
      </w:pPr>
      <w:r>
        <w:rPr>
          <w:rFonts w:hint="eastAsia" w:cs="宋体" w:asciiTheme="minorEastAsia" w:hAnsiTheme="minorEastAsia" w:eastAsiaTheme="minorEastAsia"/>
          <w:szCs w:val="21"/>
          <w:highlight w:val="none"/>
          <w:lang w:eastAsia="zh-TW"/>
        </w:rPr>
        <w:t>参加采购活动前</w:t>
      </w:r>
      <w:r>
        <w:rPr>
          <w:rFonts w:cs="宋体" w:asciiTheme="minorEastAsia" w:hAnsiTheme="minorEastAsia" w:eastAsiaTheme="minorEastAsia"/>
          <w:szCs w:val="21"/>
          <w:highlight w:val="none"/>
          <w:lang w:eastAsia="zh-TW"/>
        </w:rPr>
        <w:t>3年内与供应商存在劳动关系</w:t>
      </w:r>
      <w:r>
        <w:rPr>
          <w:rFonts w:hint="eastAsia" w:cs="宋体" w:asciiTheme="minorEastAsia" w:hAnsiTheme="minorEastAsia" w:eastAsiaTheme="minorEastAsia"/>
          <w:szCs w:val="21"/>
          <w:highlight w:val="none"/>
          <w:lang w:eastAsia="zh-TW"/>
        </w:rPr>
        <w:t>；</w:t>
      </w:r>
    </w:p>
    <w:p w14:paraId="43561B74">
      <w:pPr>
        <w:pStyle w:val="14"/>
        <w:numPr>
          <w:ilvl w:val="2"/>
          <w:numId w:val="74"/>
        </w:numPr>
        <w:tabs>
          <w:tab w:val="left" w:pos="709"/>
        </w:tabs>
        <w:snapToGrid w:val="0"/>
        <w:spacing w:line="360" w:lineRule="auto"/>
        <w:ind w:firstLineChars="0"/>
        <w:contextualSpacing/>
        <w:rPr>
          <w:rFonts w:asciiTheme="minorEastAsia" w:hAnsiTheme="minorEastAsia" w:eastAsiaTheme="minorEastAsia"/>
          <w:bCs/>
          <w:szCs w:val="21"/>
          <w:highlight w:val="none"/>
        </w:rPr>
      </w:pPr>
      <w:r>
        <w:rPr>
          <w:rFonts w:hint="eastAsia" w:cs="宋体" w:asciiTheme="minorEastAsia" w:hAnsiTheme="minorEastAsia" w:eastAsiaTheme="minorEastAsia"/>
          <w:szCs w:val="21"/>
          <w:highlight w:val="none"/>
          <w:lang w:eastAsia="zh-TW"/>
        </w:rPr>
        <w:t>参加采购活动前</w:t>
      </w:r>
      <w:r>
        <w:rPr>
          <w:rFonts w:cs="宋体" w:asciiTheme="minorEastAsia" w:hAnsiTheme="minorEastAsia" w:eastAsiaTheme="minorEastAsia"/>
          <w:szCs w:val="21"/>
          <w:highlight w:val="none"/>
          <w:lang w:eastAsia="zh-TW"/>
        </w:rPr>
        <w:t>3年内担任供应商的董事、监事；</w:t>
      </w:r>
    </w:p>
    <w:p w14:paraId="5968159E">
      <w:pPr>
        <w:pStyle w:val="14"/>
        <w:numPr>
          <w:ilvl w:val="2"/>
          <w:numId w:val="74"/>
        </w:numPr>
        <w:tabs>
          <w:tab w:val="left" w:pos="709"/>
        </w:tabs>
        <w:snapToGrid w:val="0"/>
        <w:spacing w:line="360" w:lineRule="auto"/>
        <w:ind w:firstLineChars="0"/>
        <w:contextualSpacing/>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参加采购活动前</w:t>
      </w:r>
      <w:r>
        <w:rPr>
          <w:rFonts w:asciiTheme="minorEastAsia" w:hAnsiTheme="minorEastAsia" w:eastAsiaTheme="minorEastAsia"/>
          <w:bCs/>
          <w:szCs w:val="21"/>
          <w:highlight w:val="none"/>
        </w:rPr>
        <w:t>3年内是供应商的控股股东或者实际控制人</w:t>
      </w:r>
      <w:r>
        <w:rPr>
          <w:rFonts w:hint="eastAsia" w:asciiTheme="minorEastAsia" w:hAnsiTheme="minorEastAsia" w:eastAsiaTheme="minorEastAsia"/>
          <w:bCs/>
          <w:szCs w:val="21"/>
          <w:highlight w:val="none"/>
        </w:rPr>
        <w:t>；</w:t>
      </w:r>
    </w:p>
    <w:p w14:paraId="09123E7F">
      <w:pPr>
        <w:pStyle w:val="14"/>
        <w:numPr>
          <w:ilvl w:val="2"/>
          <w:numId w:val="74"/>
        </w:numPr>
        <w:tabs>
          <w:tab w:val="left" w:pos="709"/>
        </w:tabs>
        <w:snapToGrid w:val="0"/>
        <w:spacing w:line="360" w:lineRule="auto"/>
        <w:ind w:firstLineChars="0"/>
        <w:contextualSpacing/>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与供应商的法定代表人或者负责人有夫妻、直系血亲、三代以内旁系血亲或者近姻亲关系</w:t>
      </w:r>
      <w:r>
        <w:rPr>
          <w:rFonts w:hint="eastAsia" w:asciiTheme="minorEastAsia" w:hAnsiTheme="minorEastAsia" w:eastAsiaTheme="minorEastAsia"/>
          <w:bCs/>
          <w:spacing w:val="-4"/>
          <w:szCs w:val="21"/>
          <w:highlight w:val="none"/>
        </w:rPr>
        <w:t>；</w:t>
      </w:r>
    </w:p>
    <w:p w14:paraId="1BF4376D">
      <w:pPr>
        <w:pStyle w:val="14"/>
        <w:numPr>
          <w:ilvl w:val="2"/>
          <w:numId w:val="74"/>
        </w:numPr>
        <w:tabs>
          <w:tab w:val="left" w:pos="709"/>
        </w:tabs>
        <w:snapToGrid w:val="0"/>
        <w:spacing w:line="360" w:lineRule="auto"/>
        <w:ind w:firstLineChars="0"/>
        <w:contextualSpacing/>
        <w:rPr>
          <w:rFonts w:asciiTheme="minorEastAsia" w:hAnsiTheme="minorEastAsia" w:eastAsiaTheme="minorEastAsia"/>
          <w:bCs/>
          <w:szCs w:val="21"/>
          <w:highlight w:val="none"/>
        </w:rPr>
      </w:pPr>
      <w:r>
        <w:rPr>
          <w:rFonts w:hint="eastAsia" w:cs="宋体" w:asciiTheme="minorEastAsia" w:hAnsiTheme="minorEastAsia" w:eastAsiaTheme="minorEastAsia"/>
          <w:szCs w:val="21"/>
          <w:highlight w:val="none"/>
          <w:lang w:eastAsia="zh-TW"/>
        </w:rPr>
        <w:t>与供应商有其他可能影响采购活动公平、公正进行的关系。</w:t>
      </w:r>
    </w:p>
    <w:p w14:paraId="02FF074D">
      <w:pPr>
        <w:pStyle w:val="11"/>
        <w:numPr>
          <w:ilvl w:val="0"/>
          <w:numId w:val="73"/>
        </w:numPr>
        <w:snapToGrid w:val="0"/>
        <w:spacing w:line="360" w:lineRule="auto"/>
        <w:ind w:left="442" w:hanging="442"/>
        <w:contextualSpacing/>
        <w:rPr>
          <w:rFonts w:hint="default" w:asciiTheme="minorEastAsia" w:hAnsiTheme="minorEastAsia"/>
          <w:bCs/>
          <w:sz w:val="21"/>
          <w:szCs w:val="21"/>
          <w:highlight w:val="none"/>
        </w:rPr>
      </w:pPr>
      <w:r>
        <w:rPr>
          <w:rFonts w:asciiTheme="minorEastAsia" w:hAnsiTheme="minorEastAsia"/>
          <w:bCs/>
          <w:sz w:val="21"/>
          <w:szCs w:val="21"/>
          <w:highlight w:val="none"/>
        </w:rPr>
        <w:t>磋商小组成员和参与评审的有关工作人员不得透露对响应文件的评审和比较、成交候选人的推荐情况以及与评审有关的其他情况。</w:t>
      </w:r>
    </w:p>
    <w:p w14:paraId="0CC7B904">
      <w:pPr>
        <w:pStyle w:val="11"/>
        <w:numPr>
          <w:ilvl w:val="0"/>
          <w:numId w:val="73"/>
        </w:numPr>
        <w:snapToGrid w:val="0"/>
        <w:spacing w:line="360" w:lineRule="auto"/>
        <w:ind w:left="442" w:hanging="442"/>
        <w:contextualSpacing/>
        <w:rPr>
          <w:rFonts w:hint="default" w:asciiTheme="minorEastAsia" w:hAnsiTheme="minorEastAsia"/>
          <w:bCs/>
          <w:sz w:val="21"/>
          <w:szCs w:val="21"/>
          <w:highlight w:val="none"/>
        </w:rPr>
      </w:pPr>
      <w:r>
        <w:rPr>
          <w:rFonts w:asciiTheme="minorEastAsia" w:hAnsiTheme="minorEastAsia"/>
          <w:bCs/>
          <w:sz w:val="21"/>
          <w:szCs w:val="21"/>
          <w:highlight w:val="none"/>
        </w:rPr>
        <w:t>磋商小组负责具体评审事务，并独立履行下列职责：</w:t>
      </w:r>
    </w:p>
    <w:p w14:paraId="65119017">
      <w:pPr>
        <w:pStyle w:val="14"/>
        <w:widowControl/>
        <w:numPr>
          <w:ilvl w:val="2"/>
          <w:numId w:val="75"/>
        </w:numPr>
        <w:tabs>
          <w:tab w:val="left" w:pos="709"/>
        </w:tabs>
        <w:snapToGrid w:val="0"/>
        <w:spacing w:line="360" w:lineRule="auto"/>
        <w:ind w:firstLineChars="0"/>
        <w:contextualSpacing/>
        <w:jc w:val="left"/>
        <w:rPr>
          <w:rFonts w:cs="宋体" w:asciiTheme="minorEastAsia" w:hAnsiTheme="minorEastAsia" w:eastAsiaTheme="minorEastAsia"/>
          <w:szCs w:val="21"/>
          <w:highlight w:val="none"/>
          <w:lang w:eastAsia="zh-TW"/>
        </w:rPr>
      </w:pPr>
      <w:r>
        <w:rPr>
          <w:rFonts w:hint="eastAsia" w:cs="宋体" w:asciiTheme="minorEastAsia" w:hAnsiTheme="minorEastAsia" w:eastAsiaTheme="minorEastAsia"/>
          <w:szCs w:val="21"/>
          <w:highlight w:val="none"/>
          <w:lang w:eastAsia="zh-TW"/>
        </w:rPr>
        <w:t>审查、评价响应文件是否符合磋商文件的商务、技术等实质性要求；</w:t>
      </w:r>
    </w:p>
    <w:p w14:paraId="6DD1B7AE">
      <w:pPr>
        <w:pStyle w:val="14"/>
        <w:widowControl/>
        <w:numPr>
          <w:ilvl w:val="2"/>
          <w:numId w:val="75"/>
        </w:numPr>
        <w:tabs>
          <w:tab w:val="left" w:pos="709"/>
        </w:tabs>
        <w:snapToGrid w:val="0"/>
        <w:spacing w:line="360" w:lineRule="auto"/>
        <w:ind w:firstLineChars="0"/>
        <w:contextualSpacing/>
        <w:jc w:val="left"/>
        <w:rPr>
          <w:rFonts w:cs="宋体" w:asciiTheme="minorEastAsia" w:hAnsiTheme="minorEastAsia" w:eastAsiaTheme="minorEastAsia"/>
          <w:szCs w:val="21"/>
          <w:highlight w:val="none"/>
          <w:lang w:eastAsia="zh-TW"/>
        </w:rPr>
      </w:pPr>
      <w:r>
        <w:rPr>
          <w:rFonts w:hint="eastAsia" w:cs="宋体" w:asciiTheme="minorEastAsia" w:hAnsiTheme="minorEastAsia" w:eastAsiaTheme="minorEastAsia"/>
          <w:szCs w:val="21"/>
          <w:highlight w:val="none"/>
          <w:lang w:eastAsia="zh-TW"/>
        </w:rPr>
        <w:t>要求供应商对响应文件有关事项作出澄清或者说明；</w:t>
      </w:r>
    </w:p>
    <w:p w14:paraId="2180905D">
      <w:pPr>
        <w:pStyle w:val="14"/>
        <w:widowControl/>
        <w:numPr>
          <w:ilvl w:val="2"/>
          <w:numId w:val="75"/>
        </w:numPr>
        <w:tabs>
          <w:tab w:val="left" w:pos="709"/>
        </w:tabs>
        <w:snapToGrid w:val="0"/>
        <w:spacing w:line="360" w:lineRule="auto"/>
        <w:ind w:firstLineChars="0"/>
        <w:contextualSpacing/>
        <w:jc w:val="left"/>
        <w:rPr>
          <w:rFonts w:cs="宋体" w:asciiTheme="minorEastAsia" w:hAnsiTheme="minorEastAsia" w:eastAsiaTheme="minorEastAsia"/>
          <w:szCs w:val="21"/>
          <w:highlight w:val="none"/>
          <w:lang w:eastAsia="zh-TW"/>
        </w:rPr>
      </w:pPr>
      <w:r>
        <w:rPr>
          <w:rFonts w:hint="eastAsia" w:cs="宋体" w:asciiTheme="minorEastAsia" w:hAnsiTheme="minorEastAsia" w:eastAsiaTheme="minorEastAsia"/>
          <w:szCs w:val="21"/>
          <w:highlight w:val="none"/>
          <w:lang w:eastAsia="zh-TW"/>
        </w:rPr>
        <w:t>对响应文件进行比较和评价；</w:t>
      </w:r>
    </w:p>
    <w:p w14:paraId="5C2F06E4">
      <w:pPr>
        <w:pStyle w:val="14"/>
        <w:widowControl/>
        <w:numPr>
          <w:ilvl w:val="2"/>
          <w:numId w:val="75"/>
        </w:numPr>
        <w:tabs>
          <w:tab w:val="left" w:pos="709"/>
        </w:tabs>
        <w:snapToGrid w:val="0"/>
        <w:spacing w:line="360" w:lineRule="auto"/>
        <w:ind w:firstLineChars="0"/>
        <w:contextualSpacing/>
        <w:jc w:val="left"/>
        <w:rPr>
          <w:rFonts w:cs="宋体" w:asciiTheme="minorEastAsia" w:hAnsiTheme="minorEastAsia" w:eastAsiaTheme="minorEastAsia"/>
          <w:szCs w:val="21"/>
          <w:highlight w:val="none"/>
          <w:lang w:eastAsia="zh-TW"/>
        </w:rPr>
      </w:pPr>
      <w:r>
        <w:rPr>
          <w:rFonts w:hint="eastAsia" w:cs="宋体" w:asciiTheme="minorEastAsia" w:hAnsiTheme="minorEastAsia" w:eastAsiaTheme="minorEastAsia"/>
          <w:szCs w:val="21"/>
          <w:highlight w:val="none"/>
          <w:lang w:eastAsia="zh-TW"/>
        </w:rPr>
        <w:t>确定</w:t>
      </w:r>
      <w:r>
        <w:rPr>
          <w:rFonts w:hint="eastAsia" w:cs="宋体" w:asciiTheme="minorEastAsia" w:hAnsiTheme="minorEastAsia" w:eastAsiaTheme="minorEastAsia"/>
          <w:szCs w:val="21"/>
          <w:highlight w:val="none"/>
        </w:rPr>
        <w:t>成交</w:t>
      </w:r>
      <w:r>
        <w:rPr>
          <w:rFonts w:hint="eastAsia" w:cs="宋体" w:asciiTheme="minorEastAsia" w:hAnsiTheme="minorEastAsia" w:eastAsiaTheme="minorEastAsia"/>
          <w:szCs w:val="21"/>
          <w:highlight w:val="none"/>
          <w:lang w:eastAsia="zh-TW"/>
        </w:rPr>
        <w:t>候选人名单，以及根据采购人委托直接确定成交人；</w:t>
      </w:r>
    </w:p>
    <w:p w14:paraId="13284122">
      <w:pPr>
        <w:pStyle w:val="14"/>
        <w:widowControl/>
        <w:numPr>
          <w:ilvl w:val="2"/>
          <w:numId w:val="75"/>
        </w:numPr>
        <w:tabs>
          <w:tab w:val="left" w:pos="709"/>
        </w:tabs>
        <w:snapToGrid w:val="0"/>
        <w:spacing w:line="360" w:lineRule="auto"/>
        <w:ind w:firstLineChars="0"/>
        <w:contextualSpacing/>
        <w:jc w:val="left"/>
        <w:rPr>
          <w:rFonts w:cs="宋体" w:asciiTheme="minorEastAsia" w:hAnsiTheme="minorEastAsia" w:eastAsiaTheme="minorEastAsia"/>
          <w:szCs w:val="21"/>
          <w:highlight w:val="none"/>
          <w:lang w:eastAsia="zh-TW"/>
        </w:rPr>
      </w:pPr>
      <w:r>
        <w:rPr>
          <w:rFonts w:hint="eastAsia" w:cs="宋体" w:asciiTheme="minorEastAsia" w:hAnsiTheme="minorEastAsia" w:eastAsiaTheme="minorEastAsia"/>
          <w:szCs w:val="21"/>
          <w:highlight w:val="none"/>
          <w:lang w:eastAsia="zh-TW"/>
        </w:rPr>
        <w:t>向采购人、采购代理机构或者有关部门报告</w:t>
      </w:r>
      <w:r>
        <w:rPr>
          <w:rFonts w:hint="eastAsia" w:cs="宋体" w:asciiTheme="minorEastAsia" w:hAnsiTheme="minorEastAsia" w:eastAsiaTheme="minorEastAsia"/>
          <w:szCs w:val="21"/>
          <w:highlight w:val="none"/>
        </w:rPr>
        <w:t>评审</w:t>
      </w:r>
      <w:r>
        <w:rPr>
          <w:rFonts w:hint="eastAsia" w:cs="宋体" w:asciiTheme="minorEastAsia" w:hAnsiTheme="minorEastAsia" w:eastAsiaTheme="minorEastAsia"/>
          <w:szCs w:val="21"/>
          <w:highlight w:val="none"/>
          <w:lang w:eastAsia="zh-TW"/>
        </w:rPr>
        <w:t>中发现的违法行为。</w:t>
      </w:r>
    </w:p>
    <w:p w14:paraId="7E53A50A">
      <w:pPr>
        <w:pStyle w:val="11"/>
        <w:numPr>
          <w:ilvl w:val="0"/>
          <w:numId w:val="73"/>
        </w:numPr>
        <w:snapToGrid w:val="0"/>
        <w:spacing w:line="360" w:lineRule="auto"/>
        <w:ind w:left="442" w:hanging="442"/>
        <w:contextualSpacing/>
        <w:rPr>
          <w:rFonts w:hint="default" w:ascii="宋体" w:hAnsi="宋体" w:eastAsia="宋体"/>
          <w:sz w:val="21"/>
          <w:szCs w:val="21"/>
          <w:highlight w:val="none"/>
        </w:rPr>
      </w:pPr>
      <w:r>
        <w:rPr>
          <w:rFonts w:ascii="宋体" w:hAnsi="宋体" w:eastAsia="宋体"/>
          <w:sz w:val="21"/>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EF5E7A">
      <w:pPr>
        <w:pStyle w:val="11"/>
        <w:numPr>
          <w:ilvl w:val="0"/>
          <w:numId w:val="73"/>
        </w:numPr>
        <w:snapToGrid w:val="0"/>
        <w:spacing w:line="360" w:lineRule="auto"/>
        <w:ind w:left="442" w:hanging="442"/>
        <w:contextualSpacing/>
        <w:rPr>
          <w:rFonts w:hint="default" w:ascii="宋体" w:hAnsi="宋体" w:eastAsia="宋体"/>
          <w:sz w:val="21"/>
          <w:szCs w:val="21"/>
          <w:highlight w:val="none"/>
        </w:rPr>
      </w:pPr>
      <w:r>
        <w:rPr>
          <w:rFonts w:ascii="宋体" w:hAnsi="宋体" w:eastAsia="宋体"/>
          <w:sz w:val="21"/>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F085340">
      <w:pPr>
        <w:pStyle w:val="11"/>
        <w:numPr>
          <w:ilvl w:val="0"/>
          <w:numId w:val="73"/>
        </w:numPr>
        <w:snapToGrid w:val="0"/>
        <w:spacing w:line="360" w:lineRule="auto"/>
        <w:ind w:left="442" w:hanging="442"/>
        <w:contextualSpacing/>
        <w:rPr>
          <w:rFonts w:hint="default" w:ascii="宋体" w:hAnsi="宋体" w:eastAsia="宋体"/>
          <w:sz w:val="21"/>
          <w:szCs w:val="21"/>
          <w:highlight w:val="none"/>
        </w:rPr>
      </w:pPr>
      <w:r>
        <w:rPr>
          <w:rFonts w:ascii="宋体" w:hAnsi="宋体" w:eastAsia="宋体"/>
          <w:sz w:val="21"/>
          <w:szCs w:val="21"/>
          <w:highlight w:val="none"/>
        </w:rPr>
        <w:t xml:space="preserve">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 </w:t>
      </w:r>
    </w:p>
    <w:p w14:paraId="1D6E8B6E">
      <w:pPr>
        <w:pStyle w:val="11"/>
        <w:numPr>
          <w:ilvl w:val="0"/>
          <w:numId w:val="73"/>
        </w:numPr>
        <w:snapToGrid w:val="0"/>
        <w:spacing w:line="360" w:lineRule="auto"/>
        <w:ind w:left="442" w:hanging="442"/>
        <w:contextualSpacing/>
        <w:rPr>
          <w:rFonts w:hint="default"/>
          <w:highlight w:val="none"/>
        </w:rPr>
      </w:pPr>
      <w:r>
        <w:rPr>
          <w:rFonts w:ascii="宋体" w:hAnsi="宋体" w:eastAsia="宋体"/>
          <w:sz w:val="21"/>
          <w:szCs w:val="21"/>
          <w:highlight w:val="none"/>
        </w:rPr>
        <w:t>参与评审工作的所有人员必须</w:t>
      </w:r>
      <w:r>
        <w:rPr>
          <w:rFonts w:hint="eastAsia" w:ascii="宋体" w:hAnsi="宋体" w:eastAsia="宋体"/>
          <w:sz w:val="21"/>
          <w:szCs w:val="21"/>
          <w:highlight w:val="none"/>
          <w:lang w:val="en-US" w:eastAsia="zh-CN"/>
        </w:rPr>
        <w:t>参照</w:t>
      </w:r>
      <w:r>
        <w:rPr>
          <w:rFonts w:ascii="宋体" w:hAnsi="宋体" w:eastAsia="宋体"/>
          <w:sz w:val="21"/>
          <w:szCs w:val="21"/>
          <w:highlight w:val="none"/>
        </w:rPr>
        <w:t>《中华人民共和国政府采购法》、《中华人民共和国政府采购法实施条例》、《政府采购竞争性磋商采购方式管理暂行办法》及相关法律、法规的规定</w:t>
      </w:r>
      <w:r>
        <w:rPr>
          <w:rFonts w:hint="eastAsia" w:ascii="宋体" w:hAnsi="宋体" w:eastAsia="宋体"/>
          <w:sz w:val="21"/>
          <w:szCs w:val="21"/>
          <w:highlight w:val="none"/>
          <w:lang w:val="en-US" w:eastAsia="zh-CN"/>
        </w:rPr>
        <w:t>执行</w:t>
      </w:r>
      <w:r>
        <w:rPr>
          <w:rFonts w:ascii="宋体" w:hAnsi="宋体" w:eastAsia="宋体"/>
          <w:sz w:val="21"/>
          <w:szCs w:val="21"/>
          <w:highlight w:val="none"/>
        </w:rPr>
        <w:t>，以确保评审的公平、公正。</w:t>
      </w:r>
    </w:p>
    <w:p w14:paraId="34E7B1E2">
      <w:pPr>
        <w:pStyle w:val="11"/>
        <w:numPr>
          <w:ilvl w:val="3"/>
          <w:numId w:val="71"/>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有下列情形之一的，视为供应商串通响应，其响应无效</w:t>
      </w:r>
    </w:p>
    <w:p w14:paraId="30F57AA5">
      <w:pPr>
        <w:pStyle w:val="13"/>
        <w:numPr>
          <w:ilvl w:val="0"/>
          <w:numId w:val="76"/>
        </w:numPr>
        <w:snapToGrid w:val="0"/>
        <w:spacing w:line="360" w:lineRule="auto"/>
        <w:ind w:firstLineChars="0"/>
        <w:contextualSpacing/>
        <w:rPr>
          <w:highlight w:val="none"/>
        </w:rPr>
      </w:pPr>
      <w:r>
        <w:rPr>
          <w:highlight w:val="none"/>
        </w:rPr>
        <w:t>不同供应商的响应文件由同一单位或者个人编制；</w:t>
      </w:r>
    </w:p>
    <w:p w14:paraId="11BC39C9">
      <w:pPr>
        <w:pStyle w:val="13"/>
        <w:numPr>
          <w:ilvl w:val="0"/>
          <w:numId w:val="76"/>
        </w:numPr>
        <w:snapToGrid w:val="0"/>
        <w:spacing w:line="360" w:lineRule="auto"/>
        <w:ind w:firstLineChars="0"/>
        <w:contextualSpacing/>
        <w:rPr>
          <w:highlight w:val="none"/>
        </w:rPr>
      </w:pPr>
      <w:r>
        <w:rPr>
          <w:highlight w:val="none"/>
        </w:rPr>
        <w:t>不同供应商委托同一单位或者个人办理响应事宜；</w:t>
      </w:r>
    </w:p>
    <w:p w14:paraId="7D018D1D">
      <w:pPr>
        <w:pStyle w:val="13"/>
        <w:numPr>
          <w:ilvl w:val="0"/>
          <w:numId w:val="76"/>
        </w:numPr>
        <w:snapToGrid w:val="0"/>
        <w:spacing w:line="360" w:lineRule="auto"/>
        <w:ind w:firstLineChars="0"/>
        <w:contextualSpacing/>
        <w:rPr>
          <w:highlight w:val="none"/>
        </w:rPr>
      </w:pPr>
      <w:r>
        <w:rPr>
          <w:highlight w:val="none"/>
        </w:rPr>
        <w:t>不同供应商的响应文件载明的项目管理成员或者联系人员为同一人；</w:t>
      </w:r>
    </w:p>
    <w:p w14:paraId="3F8F7B1C">
      <w:pPr>
        <w:pStyle w:val="13"/>
        <w:numPr>
          <w:ilvl w:val="0"/>
          <w:numId w:val="76"/>
        </w:numPr>
        <w:snapToGrid w:val="0"/>
        <w:spacing w:line="360" w:lineRule="auto"/>
        <w:ind w:firstLineChars="0"/>
        <w:contextualSpacing/>
        <w:rPr>
          <w:highlight w:val="none"/>
        </w:rPr>
      </w:pPr>
      <w:r>
        <w:rPr>
          <w:highlight w:val="none"/>
        </w:rPr>
        <w:t>不同供应商的响应文件异常一致或者响应报价呈规律性差异；</w:t>
      </w:r>
    </w:p>
    <w:p w14:paraId="7E72B876">
      <w:pPr>
        <w:pStyle w:val="13"/>
        <w:numPr>
          <w:ilvl w:val="0"/>
          <w:numId w:val="76"/>
        </w:numPr>
        <w:snapToGrid w:val="0"/>
        <w:spacing w:line="360" w:lineRule="auto"/>
        <w:ind w:firstLineChars="0"/>
        <w:contextualSpacing/>
        <w:rPr>
          <w:highlight w:val="none"/>
        </w:rPr>
      </w:pPr>
      <w:r>
        <w:rPr>
          <w:highlight w:val="none"/>
        </w:rPr>
        <w:t>不同供应商的响应文件相互混装；</w:t>
      </w:r>
    </w:p>
    <w:p w14:paraId="121B7829">
      <w:pPr>
        <w:pStyle w:val="13"/>
        <w:numPr>
          <w:ilvl w:val="0"/>
          <w:numId w:val="76"/>
        </w:numPr>
        <w:snapToGrid w:val="0"/>
        <w:spacing w:line="360" w:lineRule="auto"/>
        <w:ind w:firstLineChars="0"/>
        <w:contextualSpacing/>
        <w:rPr>
          <w:highlight w:val="none"/>
        </w:rPr>
      </w:pPr>
      <w:r>
        <w:rPr>
          <w:highlight w:val="none"/>
        </w:rPr>
        <w:t>不同供应商的响应保证金支付款为从同一单位或个人的账户转出。</w:t>
      </w:r>
    </w:p>
    <w:p w14:paraId="42DD88F2">
      <w:pPr>
        <w:pStyle w:val="11"/>
        <w:numPr>
          <w:ilvl w:val="3"/>
          <w:numId w:val="71"/>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有下列情形之一的，属于恶意串通响应：</w:t>
      </w:r>
    </w:p>
    <w:p w14:paraId="47DB93C4">
      <w:pPr>
        <w:pStyle w:val="13"/>
        <w:numPr>
          <w:ilvl w:val="0"/>
          <w:numId w:val="77"/>
        </w:numPr>
        <w:snapToGrid w:val="0"/>
        <w:spacing w:line="360" w:lineRule="auto"/>
        <w:ind w:left="442" w:hanging="442" w:firstLineChars="0"/>
        <w:contextualSpacing/>
        <w:rPr>
          <w:highlight w:val="none"/>
        </w:rPr>
      </w:pPr>
      <w:r>
        <w:rPr>
          <w:highlight w:val="none"/>
        </w:rPr>
        <w:t>供应商直接或者间接从采购人或者采购代理机构处获得其他供应商的相关情况并修改其响应文件；</w:t>
      </w:r>
    </w:p>
    <w:p w14:paraId="4DC0969A">
      <w:pPr>
        <w:pStyle w:val="13"/>
        <w:numPr>
          <w:ilvl w:val="0"/>
          <w:numId w:val="77"/>
        </w:numPr>
        <w:snapToGrid w:val="0"/>
        <w:spacing w:line="360" w:lineRule="auto"/>
        <w:ind w:left="442" w:hanging="442" w:firstLineChars="0"/>
        <w:contextualSpacing/>
        <w:rPr>
          <w:highlight w:val="none"/>
        </w:rPr>
      </w:pPr>
      <w:r>
        <w:rPr>
          <w:highlight w:val="none"/>
        </w:rPr>
        <w:t>供应商按照采购人或者采购代理机构的授意撤换、修改响应文件；</w:t>
      </w:r>
    </w:p>
    <w:p w14:paraId="705E67F6">
      <w:pPr>
        <w:pStyle w:val="13"/>
        <w:numPr>
          <w:ilvl w:val="0"/>
          <w:numId w:val="77"/>
        </w:numPr>
        <w:snapToGrid w:val="0"/>
        <w:spacing w:line="360" w:lineRule="auto"/>
        <w:ind w:left="442" w:hanging="442" w:firstLineChars="0"/>
        <w:contextualSpacing/>
        <w:rPr>
          <w:highlight w:val="none"/>
        </w:rPr>
      </w:pPr>
      <w:r>
        <w:rPr>
          <w:highlight w:val="none"/>
        </w:rPr>
        <w:t>供应商之间协商报价、技术方案等响应文件的实质性内容；</w:t>
      </w:r>
    </w:p>
    <w:p w14:paraId="70C73649">
      <w:pPr>
        <w:pStyle w:val="13"/>
        <w:numPr>
          <w:ilvl w:val="0"/>
          <w:numId w:val="77"/>
        </w:numPr>
        <w:snapToGrid w:val="0"/>
        <w:spacing w:line="360" w:lineRule="auto"/>
        <w:ind w:left="442" w:hanging="442" w:firstLineChars="0"/>
        <w:contextualSpacing/>
        <w:rPr>
          <w:highlight w:val="none"/>
        </w:rPr>
      </w:pPr>
      <w:r>
        <w:rPr>
          <w:highlight w:val="none"/>
        </w:rPr>
        <w:t>属于同一集团、协会、商会等组织成员的供应商按照该组织要求协同参加采购活动；</w:t>
      </w:r>
    </w:p>
    <w:p w14:paraId="257A7A58">
      <w:pPr>
        <w:pStyle w:val="13"/>
        <w:numPr>
          <w:ilvl w:val="0"/>
          <w:numId w:val="77"/>
        </w:numPr>
        <w:snapToGrid w:val="0"/>
        <w:spacing w:line="360" w:lineRule="auto"/>
        <w:ind w:left="442" w:hanging="442" w:firstLineChars="0"/>
        <w:contextualSpacing/>
        <w:rPr>
          <w:highlight w:val="none"/>
        </w:rPr>
      </w:pPr>
      <w:r>
        <w:rPr>
          <w:highlight w:val="none"/>
        </w:rPr>
        <w:t>供应商之间事先约定由某一特定供应商成交；</w:t>
      </w:r>
    </w:p>
    <w:p w14:paraId="66B44421">
      <w:pPr>
        <w:pStyle w:val="13"/>
        <w:numPr>
          <w:ilvl w:val="0"/>
          <w:numId w:val="77"/>
        </w:numPr>
        <w:snapToGrid w:val="0"/>
        <w:spacing w:line="360" w:lineRule="auto"/>
        <w:ind w:left="442" w:hanging="442" w:firstLineChars="0"/>
        <w:contextualSpacing/>
        <w:rPr>
          <w:highlight w:val="none"/>
        </w:rPr>
      </w:pPr>
      <w:r>
        <w:rPr>
          <w:highlight w:val="none"/>
        </w:rPr>
        <w:t>供应商之间商定部分供应商放弃参加采购活动或者放弃成交；</w:t>
      </w:r>
    </w:p>
    <w:p w14:paraId="2CA68EBD">
      <w:pPr>
        <w:pStyle w:val="13"/>
        <w:numPr>
          <w:ilvl w:val="0"/>
          <w:numId w:val="77"/>
        </w:numPr>
        <w:snapToGrid w:val="0"/>
        <w:spacing w:line="360" w:lineRule="auto"/>
        <w:ind w:left="442" w:hanging="442" w:firstLineChars="0"/>
        <w:contextualSpacing/>
        <w:rPr>
          <w:highlight w:val="none"/>
        </w:rPr>
      </w:pPr>
      <w:r>
        <w:rPr>
          <w:highlight w:val="none"/>
        </w:rPr>
        <w:t>供应商与采购人或者采购代理机构之间、供应商相互之间，为谋求特定供应商成交或者排斥其他供应商的其他串通行为。</w:t>
      </w:r>
    </w:p>
    <w:p w14:paraId="0CBEBFF4">
      <w:pPr>
        <w:pStyle w:val="11"/>
        <w:numPr>
          <w:ilvl w:val="3"/>
          <w:numId w:val="71"/>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其他响应无效的情形</w:t>
      </w:r>
    </w:p>
    <w:p w14:paraId="0CD6BE93">
      <w:pPr>
        <w:snapToGrid w:val="0"/>
        <w:spacing w:line="360" w:lineRule="auto"/>
        <w:ind w:firstLine="420" w:firstLineChars="200"/>
        <w:contextualSpacing/>
        <w:rPr>
          <w:highlight w:val="none"/>
        </w:rPr>
      </w:pPr>
      <w:r>
        <w:rPr>
          <w:rFonts w:hint="eastAsia"/>
          <w:highlight w:val="none"/>
        </w:rPr>
        <w:t>详见资格性审查、符合性审查和磋商文件其他响应无效条款。</w:t>
      </w:r>
    </w:p>
    <w:p w14:paraId="2559B318">
      <w:pPr>
        <w:pStyle w:val="11"/>
        <w:numPr>
          <w:ilvl w:val="3"/>
          <w:numId w:val="71"/>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终止竞争性磋商采购活动的情形</w:t>
      </w:r>
    </w:p>
    <w:p w14:paraId="7D386134">
      <w:pPr>
        <w:pStyle w:val="13"/>
        <w:numPr>
          <w:ilvl w:val="0"/>
          <w:numId w:val="78"/>
        </w:numPr>
        <w:snapToGrid w:val="0"/>
        <w:spacing w:line="360" w:lineRule="auto"/>
        <w:ind w:firstLineChars="0"/>
        <w:contextualSpacing/>
        <w:rPr>
          <w:rFonts w:ascii="宋体" w:hAnsi="宋体"/>
          <w:highlight w:val="none"/>
        </w:rPr>
      </w:pPr>
      <w:r>
        <w:rPr>
          <w:rFonts w:hint="eastAsia" w:ascii="宋体" w:hAnsi="宋体"/>
          <w:highlight w:val="none"/>
        </w:rPr>
        <w:t>出现下列情形之一的，采购人或者采购代理机构应当终止竞争性磋商采购活动，发布项目终止公告并说明原因，重新开展采购活动：</w:t>
      </w:r>
    </w:p>
    <w:p w14:paraId="76F5FEA6">
      <w:pPr>
        <w:pStyle w:val="13"/>
        <w:numPr>
          <w:ilvl w:val="0"/>
          <w:numId w:val="79"/>
        </w:numPr>
        <w:snapToGrid w:val="0"/>
        <w:spacing w:line="360" w:lineRule="auto"/>
        <w:ind w:left="567" w:hanging="567" w:firstLineChars="0"/>
        <w:contextualSpacing/>
        <w:rPr>
          <w:rFonts w:ascii="宋体" w:hAnsi="宋体"/>
          <w:highlight w:val="none"/>
        </w:rPr>
      </w:pPr>
      <w:r>
        <w:rPr>
          <w:rFonts w:ascii="宋体" w:hAnsi="宋体"/>
          <w:highlight w:val="none"/>
        </w:rPr>
        <w:t>因情况变化，不再符合规定的竞争性磋商采购方式适用情形的；</w:t>
      </w:r>
    </w:p>
    <w:p w14:paraId="563722C2">
      <w:pPr>
        <w:pStyle w:val="13"/>
        <w:numPr>
          <w:ilvl w:val="0"/>
          <w:numId w:val="79"/>
        </w:numPr>
        <w:snapToGrid w:val="0"/>
        <w:spacing w:line="360" w:lineRule="auto"/>
        <w:ind w:left="567" w:hanging="567" w:firstLineChars="0"/>
        <w:contextualSpacing/>
        <w:rPr>
          <w:rFonts w:ascii="宋体" w:hAnsi="宋体"/>
          <w:highlight w:val="none"/>
        </w:rPr>
      </w:pPr>
      <w:r>
        <w:rPr>
          <w:rFonts w:ascii="宋体" w:hAnsi="宋体"/>
          <w:highlight w:val="none"/>
        </w:rPr>
        <w:t>出现影响采购公正的违法、违规行为的；</w:t>
      </w:r>
    </w:p>
    <w:p w14:paraId="21079763">
      <w:pPr>
        <w:pStyle w:val="13"/>
        <w:numPr>
          <w:ilvl w:val="0"/>
          <w:numId w:val="79"/>
        </w:numPr>
        <w:snapToGrid w:val="0"/>
        <w:spacing w:line="360" w:lineRule="auto"/>
        <w:ind w:left="567" w:hanging="567" w:firstLineChars="0"/>
        <w:contextualSpacing/>
        <w:rPr>
          <w:highlight w:val="none"/>
        </w:rPr>
      </w:pPr>
      <w:r>
        <w:rPr>
          <w:rFonts w:ascii="宋体" w:hAnsi="宋体"/>
          <w:highlight w:val="none"/>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w:t>
      </w:r>
      <w:r>
        <w:rPr>
          <w:rFonts w:ascii="宋体" w:hAnsi="宋体"/>
          <w:color w:val="auto"/>
          <w:highlight w:val="none"/>
        </w:rPr>
        <w:t>算</w:t>
      </w:r>
      <w:r>
        <w:rPr>
          <w:rFonts w:hint="eastAsia" w:ascii="宋体" w:hAnsi="宋体"/>
          <w:color w:val="auto"/>
          <w:highlight w:val="none"/>
        </w:rPr>
        <w:t>（或最高限价）</w:t>
      </w:r>
      <w:r>
        <w:rPr>
          <w:rFonts w:ascii="宋体" w:hAnsi="宋体"/>
          <w:color w:val="auto"/>
          <w:highlight w:val="none"/>
        </w:rPr>
        <w:t>的供</w:t>
      </w:r>
      <w:r>
        <w:rPr>
          <w:rFonts w:ascii="宋体" w:hAnsi="宋体"/>
          <w:highlight w:val="none"/>
        </w:rPr>
        <w:t>应商不足3家的；</w:t>
      </w:r>
    </w:p>
    <w:p w14:paraId="79CFF447">
      <w:pPr>
        <w:pStyle w:val="13"/>
        <w:numPr>
          <w:ilvl w:val="0"/>
          <w:numId w:val="79"/>
        </w:numPr>
        <w:snapToGrid w:val="0"/>
        <w:spacing w:line="360" w:lineRule="auto"/>
        <w:ind w:left="567" w:hanging="567" w:firstLineChars="0"/>
        <w:contextualSpacing/>
        <w:rPr>
          <w:highlight w:val="none"/>
        </w:rPr>
      </w:pPr>
      <w:r>
        <w:rPr>
          <w:highlight w:val="none"/>
        </w:rPr>
        <w:t>法律、法规以及磋商文件规定其他情形。</w:t>
      </w:r>
    </w:p>
    <w:p w14:paraId="39DB4BE4">
      <w:pPr>
        <w:pStyle w:val="11"/>
        <w:numPr>
          <w:ilvl w:val="3"/>
          <w:numId w:val="71"/>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确定成交供应商</w:t>
      </w:r>
    </w:p>
    <w:p w14:paraId="2CFB4CA9">
      <w:pPr>
        <w:snapToGrid w:val="0"/>
        <w:spacing w:line="360" w:lineRule="auto"/>
        <w:ind w:firstLine="420" w:firstLineChars="200"/>
        <w:contextualSpacing/>
        <w:rPr>
          <w:highlight w:val="none"/>
        </w:rPr>
      </w:pPr>
      <w:r>
        <w:rPr>
          <w:rFonts w:hint="eastAsia"/>
          <w:highlight w:val="none"/>
        </w:rPr>
        <w:t>磋商小组按照磋商文件确定的评审方法、步骤、标准，对响应文件进行评审。评审结束后，对供应商的评审名次进行排序，确定成交供应商或者推荐成交候选供应商。</w:t>
      </w:r>
    </w:p>
    <w:p w14:paraId="3FB8B946">
      <w:pPr>
        <w:pStyle w:val="11"/>
        <w:numPr>
          <w:ilvl w:val="3"/>
          <w:numId w:val="71"/>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价格修正</w:t>
      </w:r>
    </w:p>
    <w:p w14:paraId="2CA89004">
      <w:pPr>
        <w:pStyle w:val="13"/>
        <w:numPr>
          <w:ilvl w:val="0"/>
          <w:numId w:val="80"/>
        </w:numPr>
        <w:snapToGrid w:val="0"/>
        <w:spacing w:line="360" w:lineRule="auto"/>
        <w:ind w:firstLineChars="0"/>
        <w:contextualSpacing/>
        <w:rPr>
          <w:highlight w:val="none"/>
        </w:rPr>
      </w:pPr>
      <w:r>
        <w:rPr>
          <w:rFonts w:hint="eastAsia"/>
          <w:highlight w:val="none"/>
        </w:rPr>
        <w:t>对报价的计算错误按以下原则修正：</w:t>
      </w:r>
    </w:p>
    <w:p w14:paraId="03CEC0A6">
      <w:pPr>
        <w:pStyle w:val="13"/>
        <w:numPr>
          <w:ilvl w:val="0"/>
          <w:numId w:val="81"/>
        </w:numPr>
        <w:snapToGrid w:val="0"/>
        <w:spacing w:line="360" w:lineRule="auto"/>
        <w:ind w:left="709" w:hanging="709" w:firstLineChars="0"/>
        <w:contextualSpacing/>
        <w:rPr>
          <w:highlight w:val="none"/>
        </w:rPr>
      </w:pPr>
      <w:r>
        <w:rPr>
          <w:highlight w:val="none"/>
        </w:rPr>
        <w:t>响应文件中首次报价表（报价表）内容与响应文件中相应内容不一致的，以首次报价表（报价表）为准；</w:t>
      </w:r>
    </w:p>
    <w:p w14:paraId="6EB8FA87">
      <w:pPr>
        <w:pStyle w:val="13"/>
        <w:numPr>
          <w:ilvl w:val="0"/>
          <w:numId w:val="81"/>
        </w:numPr>
        <w:snapToGrid w:val="0"/>
        <w:spacing w:line="360" w:lineRule="auto"/>
        <w:ind w:left="709" w:hanging="709" w:firstLineChars="0"/>
        <w:contextualSpacing/>
        <w:rPr>
          <w:highlight w:val="none"/>
        </w:rPr>
      </w:pPr>
      <w:r>
        <w:rPr>
          <w:highlight w:val="none"/>
        </w:rPr>
        <w:t>大写金额和小写金额不一致的，以大写金额为准；</w:t>
      </w:r>
    </w:p>
    <w:p w14:paraId="7ED2C147">
      <w:pPr>
        <w:pStyle w:val="13"/>
        <w:numPr>
          <w:ilvl w:val="0"/>
          <w:numId w:val="81"/>
        </w:numPr>
        <w:snapToGrid w:val="0"/>
        <w:spacing w:line="360" w:lineRule="auto"/>
        <w:ind w:left="709" w:hanging="709" w:firstLineChars="0"/>
        <w:contextualSpacing/>
        <w:rPr>
          <w:highlight w:val="none"/>
        </w:rPr>
      </w:pPr>
      <w:r>
        <w:rPr>
          <w:highlight w:val="none"/>
        </w:rPr>
        <w:t>单价金额小数点或者百分比有明显错位的，以首次报价表的总价为准，并修改单价；</w:t>
      </w:r>
    </w:p>
    <w:p w14:paraId="54E8A67B">
      <w:pPr>
        <w:pStyle w:val="13"/>
        <w:numPr>
          <w:ilvl w:val="0"/>
          <w:numId w:val="81"/>
        </w:numPr>
        <w:snapToGrid w:val="0"/>
        <w:spacing w:line="360" w:lineRule="auto"/>
        <w:ind w:left="709" w:hanging="709" w:firstLineChars="0"/>
        <w:contextualSpacing/>
        <w:rPr>
          <w:rFonts w:hint="eastAsia" w:ascii="宋体" w:hAnsi="宋体" w:eastAsia="宋体" w:cs="宋体"/>
          <w:highlight w:val="none"/>
        </w:rPr>
      </w:pPr>
      <w:r>
        <w:rPr>
          <w:highlight w:val="none"/>
        </w:rPr>
        <w:t>总价金额与按单价汇总金额不一致的，以单价金额计算结果为准。但是单价金额计算结果超过</w:t>
      </w:r>
      <w:r>
        <w:rPr>
          <w:rFonts w:hint="eastAsia" w:ascii="宋体" w:hAnsi="宋体" w:eastAsia="宋体" w:cs="宋体"/>
          <w:highlight w:val="none"/>
        </w:rPr>
        <w:t>预算价的，对其按无效响应处理；</w:t>
      </w:r>
    </w:p>
    <w:p w14:paraId="602752B4">
      <w:pPr>
        <w:snapToGrid w:val="0"/>
        <w:spacing w:line="360" w:lineRule="auto"/>
        <w:contextualSpacing/>
        <w:rPr>
          <w:rFonts w:hint="eastAsia"/>
          <w:highlight w:val="none"/>
        </w:rPr>
      </w:pPr>
      <w:r>
        <w:rPr>
          <w:rFonts w:hint="eastAsia" w:ascii="宋体" w:hAnsi="宋体" w:eastAsia="宋体" w:cs="宋体"/>
          <w:highlight w:val="none"/>
        </w:rPr>
        <w:t>注：同时出现2种以上不一</w:t>
      </w:r>
      <w:r>
        <w:rPr>
          <w:rFonts w:hint="eastAsia"/>
          <w:highlight w:val="none"/>
        </w:rPr>
        <w:t>致的，按照前款规定的顺序修正。修正后的报价应当采用书面形式，并加盖公章，或者由法定代表人或其授权的代表签字，经供应商确认后产生约束力，供应商不确认的，其响应无效。</w:t>
      </w:r>
    </w:p>
    <w:p w14:paraId="726AAFA9">
      <w:pPr>
        <w:pStyle w:val="11"/>
        <w:numPr>
          <w:ilvl w:val="3"/>
          <w:numId w:val="71"/>
        </w:numPr>
        <w:snapToGrid w:val="0"/>
        <w:spacing w:line="360" w:lineRule="auto"/>
        <w:ind w:left="284" w:hanging="284"/>
        <w:contextualSpacing/>
        <w:outlineLvl w:val="3"/>
        <w:rPr>
          <w:rFonts w:hint="default"/>
          <w:highlight w:val="none"/>
        </w:rPr>
      </w:pPr>
      <w:r>
        <w:rPr>
          <w:rFonts w:hint="eastAsia" w:ascii="宋体" w:hAnsi="宋体" w:eastAsia="宋体"/>
          <w:b/>
          <w:sz w:val="21"/>
          <w:szCs w:val="21"/>
          <w:highlight w:val="none"/>
        </w:rPr>
        <w:t>异常低价审查</w:t>
      </w:r>
    </w:p>
    <w:p w14:paraId="0D2AD817">
      <w:pPr>
        <w:pStyle w:val="13"/>
        <w:numPr>
          <w:ilvl w:val="0"/>
          <w:numId w:val="82"/>
        </w:numPr>
        <w:snapToGrid w:val="0"/>
        <w:spacing w:line="360" w:lineRule="auto"/>
        <w:ind w:left="440" w:leftChars="0" w:hanging="440" w:firstLineChars="0"/>
        <w:contextualSpacing/>
        <w:rPr>
          <w:rFonts w:hint="eastAsia" w:ascii="宋体" w:hAnsi="宋体" w:eastAsia="宋体" w:cs="宋体"/>
          <w:highlight w:val="none"/>
        </w:rPr>
      </w:pPr>
      <w:r>
        <w:rPr>
          <w:rFonts w:hint="eastAsia" w:ascii="宋体" w:hAnsi="宋体" w:eastAsia="宋体" w:cs="宋体"/>
          <w:highlight w:val="none"/>
        </w:rPr>
        <w:t>在评审中出现下列情形之一的，评审委员会应当启动异常低价投标（响应）审查程序：</w:t>
      </w:r>
    </w:p>
    <w:p w14:paraId="2E5CFC81">
      <w:pPr>
        <w:pStyle w:val="13"/>
        <w:keepNext w:val="0"/>
        <w:keepLines w:val="0"/>
        <w:pageBreakBefore w:val="0"/>
        <w:widowControl w:val="0"/>
        <w:numPr>
          <w:ilvl w:val="0"/>
          <w:numId w:val="83"/>
        </w:numPr>
        <w:kinsoku/>
        <w:wordWrap/>
        <w:overflowPunct/>
        <w:topLinePunct w:val="0"/>
        <w:autoSpaceDE/>
        <w:autoSpaceDN/>
        <w:bidi w:val="0"/>
        <w:adjustRightInd/>
        <w:snapToGrid w:val="0"/>
        <w:spacing w:line="360" w:lineRule="auto"/>
        <w:ind w:left="735" w:leftChars="0" w:hanging="735" w:hangingChars="350"/>
        <w:contextualSpacing/>
        <w:textAlignment w:val="auto"/>
        <w:rPr>
          <w:rFonts w:hint="eastAsia" w:ascii="宋体" w:hAnsi="宋体" w:eastAsia="宋体" w:cs="宋体"/>
          <w:highlight w:val="none"/>
        </w:rPr>
      </w:pPr>
      <w:r>
        <w:rPr>
          <w:rFonts w:hint="eastAsia" w:ascii="宋体" w:hAnsi="宋体" w:eastAsia="宋体" w:cs="宋体"/>
          <w:highlight w:val="none"/>
        </w:rPr>
        <w:t>投标（响应）报价低于全部通过符合性审查供应商投标（响应）报价平均值50%的，即投标（响应）报价</w:t>
      </w:r>
      <w:r>
        <w:rPr>
          <w:rFonts w:hint="eastAsia" w:ascii="宋体" w:hAnsi="宋体" w:eastAsia="宋体" w:cs="宋体"/>
          <w:highlight w:val="none"/>
          <w:lang w:val="en-US" w:eastAsia="zh-CN"/>
        </w:rPr>
        <w:t>＜</w:t>
      </w:r>
      <w:r>
        <w:rPr>
          <w:rFonts w:hint="eastAsia" w:ascii="宋体" w:hAnsi="宋体" w:eastAsia="宋体" w:cs="宋体"/>
          <w:highlight w:val="none"/>
        </w:rPr>
        <w:t>全部通过符合性审查供应商投标（响应）报价平均值×50%；</w:t>
      </w:r>
    </w:p>
    <w:p w14:paraId="6461FD24">
      <w:pPr>
        <w:pStyle w:val="13"/>
        <w:keepNext w:val="0"/>
        <w:keepLines w:val="0"/>
        <w:pageBreakBefore w:val="0"/>
        <w:widowControl w:val="0"/>
        <w:numPr>
          <w:ilvl w:val="0"/>
          <w:numId w:val="83"/>
        </w:numPr>
        <w:kinsoku/>
        <w:wordWrap/>
        <w:overflowPunct/>
        <w:topLinePunct w:val="0"/>
        <w:autoSpaceDE/>
        <w:autoSpaceDN/>
        <w:bidi w:val="0"/>
        <w:adjustRightInd/>
        <w:snapToGrid w:val="0"/>
        <w:spacing w:line="360" w:lineRule="auto"/>
        <w:ind w:left="735" w:leftChars="0" w:hanging="735" w:hangingChars="350"/>
        <w:contextualSpacing/>
        <w:textAlignment w:val="auto"/>
        <w:rPr>
          <w:rFonts w:hint="eastAsia" w:ascii="宋体" w:hAnsi="宋体" w:eastAsia="宋体" w:cs="宋体"/>
          <w:highlight w:val="none"/>
        </w:rPr>
      </w:pPr>
      <w:r>
        <w:rPr>
          <w:rFonts w:hint="eastAsia" w:ascii="宋体" w:hAnsi="宋体" w:eastAsia="宋体" w:cs="宋体"/>
          <w:highlight w:val="none"/>
        </w:rPr>
        <w:t>投标（响应）报价低于通过符合性审查的次低报价供应商投标（响应）报价50%的，即投标（响应）报价</w:t>
      </w:r>
      <w:r>
        <w:rPr>
          <w:rFonts w:hint="eastAsia" w:ascii="宋体" w:hAnsi="宋体" w:eastAsia="宋体" w:cs="宋体"/>
          <w:highlight w:val="none"/>
          <w:lang w:val="en-US" w:eastAsia="zh-CN"/>
        </w:rPr>
        <w:t>＜</w:t>
      </w:r>
      <w:r>
        <w:rPr>
          <w:rFonts w:hint="eastAsia" w:ascii="宋体" w:hAnsi="宋体" w:eastAsia="宋体" w:cs="宋体"/>
          <w:highlight w:val="none"/>
        </w:rPr>
        <w:t>通过符合性审查的次低报价供应商投标（响应）报价×50%；</w:t>
      </w:r>
    </w:p>
    <w:p w14:paraId="1FC12233">
      <w:pPr>
        <w:pStyle w:val="13"/>
        <w:keepNext w:val="0"/>
        <w:keepLines w:val="0"/>
        <w:pageBreakBefore w:val="0"/>
        <w:widowControl w:val="0"/>
        <w:numPr>
          <w:ilvl w:val="0"/>
          <w:numId w:val="83"/>
        </w:numPr>
        <w:kinsoku/>
        <w:wordWrap/>
        <w:overflowPunct/>
        <w:topLinePunct w:val="0"/>
        <w:autoSpaceDE/>
        <w:autoSpaceDN/>
        <w:bidi w:val="0"/>
        <w:adjustRightInd/>
        <w:snapToGrid w:val="0"/>
        <w:spacing w:line="360" w:lineRule="auto"/>
        <w:ind w:left="735" w:leftChars="0" w:hanging="735" w:hangingChars="350"/>
        <w:contextualSpacing/>
        <w:textAlignment w:val="auto"/>
        <w:rPr>
          <w:rFonts w:hint="eastAsia" w:ascii="宋体" w:hAnsi="宋体" w:eastAsia="宋体" w:cs="宋体"/>
          <w:highlight w:val="none"/>
        </w:rPr>
      </w:pPr>
      <w:r>
        <w:rPr>
          <w:rFonts w:hint="eastAsia" w:ascii="宋体" w:hAnsi="宋体" w:eastAsia="宋体" w:cs="宋体"/>
          <w:highlight w:val="none"/>
        </w:rPr>
        <w:t>投标（响应）报价低于采购项目最高限价45%的，即投标（响应）报价</w:t>
      </w:r>
      <w:r>
        <w:rPr>
          <w:rFonts w:hint="eastAsia" w:ascii="宋体" w:hAnsi="宋体" w:eastAsia="宋体" w:cs="宋体"/>
          <w:highlight w:val="none"/>
          <w:lang w:val="en-US" w:eastAsia="zh-CN"/>
        </w:rPr>
        <w:t>＜</w:t>
      </w:r>
      <w:r>
        <w:rPr>
          <w:rFonts w:hint="eastAsia" w:ascii="宋体" w:hAnsi="宋体" w:eastAsia="宋体" w:cs="宋体"/>
          <w:highlight w:val="none"/>
        </w:rPr>
        <w:t>采购项目最高限价×45%；</w:t>
      </w:r>
    </w:p>
    <w:p w14:paraId="4CA700B8">
      <w:pPr>
        <w:pStyle w:val="13"/>
        <w:keepNext w:val="0"/>
        <w:keepLines w:val="0"/>
        <w:pageBreakBefore w:val="0"/>
        <w:widowControl w:val="0"/>
        <w:numPr>
          <w:ilvl w:val="0"/>
          <w:numId w:val="83"/>
        </w:numPr>
        <w:kinsoku/>
        <w:wordWrap/>
        <w:overflowPunct/>
        <w:topLinePunct w:val="0"/>
        <w:autoSpaceDE/>
        <w:autoSpaceDN/>
        <w:bidi w:val="0"/>
        <w:adjustRightInd/>
        <w:snapToGrid w:val="0"/>
        <w:spacing w:line="360" w:lineRule="auto"/>
        <w:ind w:left="735" w:leftChars="0" w:hanging="735" w:hangingChars="350"/>
        <w:contextualSpacing/>
        <w:textAlignment w:val="auto"/>
        <w:rPr>
          <w:rFonts w:hint="eastAsia" w:ascii="宋体" w:hAnsi="宋体" w:eastAsia="宋体" w:cs="宋体"/>
          <w:highlight w:val="none"/>
        </w:rPr>
      </w:pPr>
      <w:r>
        <w:rPr>
          <w:rFonts w:hint="eastAsia" w:ascii="宋体" w:hAnsi="宋体" w:eastAsia="宋体" w:cs="宋体"/>
          <w:highlight w:val="none"/>
        </w:rPr>
        <w:t>评审委员会基于专业判断，认为供应商报价过低，有可能影响产品质量或者不能诚信履约的其他情形。</w:t>
      </w:r>
    </w:p>
    <w:p w14:paraId="754E3E2A">
      <w:pPr>
        <w:pStyle w:val="13"/>
        <w:numPr>
          <w:ilvl w:val="0"/>
          <w:numId w:val="82"/>
        </w:numPr>
        <w:snapToGrid w:val="0"/>
        <w:spacing w:line="360" w:lineRule="auto"/>
        <w:ind w:left="440" w:leftChars="0" w:hanging="440" w:firstLineChars="0"/>
        <w:contextualSpacing/>
        <w:rPr>
          <w:rFonts w:hint="eastAsia" w:ascii="宋体" w:hAnsi="宋体" w:eastAsia="宋体" w:cs="宋体"/>
          <w:highlight w:val="none"/>
        </w:rPr>
      </w:pPr>
      <w:r>
        <w:rPr>
          <w:rFonts w:hint="eastAsia" w:ascii="宋体" w:hAnsi="宋体" w:eastAsia="宋体" w:cs="宋体"/>
          <w:highlight w:val="none"/>
        </w:rPr>
        <w:t>采购人可以结合具体项目实际情况，提高上述第</w:t>
      </w:r>
      <w:r>
        <w:rPr>
          <w:rFonts w:hint="eastAsia" w:ascii="宋体" w:hAnsi="宋体" w:eastAsia="宋体" w:cs="宋体"/>
          <w:highlight w:val="none"/>
          <w:lang w:val="en-US" w:eastAsia="zh-CN"/>
        </w:rPr>
        <w:t>10.1.</w:t>
      </w:r>
      <w:r>
        <w:rPr>
          <w:rFonts w:hint="eastAsia" w:ascii="宋体" w:hAnsi="宋体" w:eastAsia="宋体" w:cs="宋体"/>
          <w:highlight w:val="none"/>
        </w:rPr>
        <w:t>1项至</w:t>
      </w:r>
      <w:r>
        <w:rPr>
          <w:rFonts w:hint="eastAsia" w:ascii="宋体" w:hAnsi="宋体" w:eastAsia="宋体" w:cs="宋体"/>
          <w:highlight w:val="none"/>
          <w:lang w:val="en-US" w:eastAsia="zh-CN"/>
        </w:rPr>
        <w:t>10.1.</w:t>
      </w:r>
      <w:r>
        <w:rPr>
          <w:rFonts w:hint="eastAsia" w:ascii="宋体" w:hAnsi="宋体" w:eastAsia="宋体" w:cs="宋体"/>
          <w:highlight w:val="none"/>
        </w:rPr>
        <w:t>3项中启动异常低价投标（响应）审查的数值标准，但是最高不得超过65%。</w:t>
      </w:r>
    </w:p>
    <w:p w14:paraId="24ED2ECC">
      <w:pPr>
        <w:pStyle w:val="13"/>
        <w:numPr>
          <w:ilvl w:val="0"/>
          <w:numId w:val="82"/>
        </w:numPr>
        <w:snapToGrid w:val="0"/>
        <w:spacing w:line="360" w:lineRule="auto"/>
        <w:ind w:left="440" w:leftChars="0" w:hanging="440" w:firstLineChars="0"/>
        <w:contextualSpacing/>
        <w:rPr>
          <w:rFonts w:hint="eastAsia" w:ascii="宋体" w:hAnsi="宋体" w:eastAsia="宋体" w:cs="宋体"/>
          <w:highlight w:val="none"/>
        </w:rPr>
      </w:pPr>
      <w:r>
        <w:rPr>
          <w:rFonts w:hint="eastAsia" w:ascii="宋体" w:hAnsi="宋体" w:eastAsia="宋体" w:cs="宋体"/>
          <w:highlight w:val="none"/>
        </w:rPr>
        <w:t>相关法律法规对供应商报价有规定的，从其规定。</w:t>
      </w:r>
    </w:p>
    <w:p w14:paraId="36DBFDC3">
      <w:pPr>
        <w:pStyle w:val="13"/>
        <w:numPr>
          <w:ilvl w:val="0"/>
          <w:numId w:val="82"/>
        </w:numPr>
        <w:snapToGrid w:val="0"/>
        <w:spacing w:line="360" w:lineRule="auto"/>
        <w:ind w:left="440" w:leftChars="0" w:hanging="440" w:firstLineChars="0"/>
        <w:contextualSpacing/>
        <w:rPr>
          <w:rFonts w:hint="eastAsia"/>
          <w:highlight w:val="none"/>
        </w:rPr>
      </w:pPr>
      <w:r>
        <w:rPr>
          <w:rFonts w:hint="eastAsia" w:ascii="宋体" w:hAnsi="宋体" w:eastAsia="宋体" w:cs="宋体"/>
          <w:highlight w:val="none"/>
        </w:rPr>
        <w:t>评审委员会启动异常低价投标（响应）审查后，属于前述第</w:t>
      </w:r>
      <w:r>
        <w:rPr>
          <w:rFonts w:hint="eastAsia" w:ascii="宋体" w:hAnsi="宋体" w:eastAsia="宋体" w:cs="宋体"/>
          <w:highlight w:val="none"/>
          <w:lang w:val="en-US" w:eastAsia="zh-CN"/>
        </w:rPr>
        <w:t>10.1.</w:t>
      </w:r>
      <w:r>
        <w:rPr>
          <w:rFonts w:hint="eastAsia" w:ascii="宋体" w:hAnsi="宋体" w:eastAsia="宋体" w:cs="宋体"/>
          <w:highlight w:val="none"/>
        </w:rPr>
        <w:t>1项至</w:t>
      </w:r>
      <w:r>
        <w:rPr>
          <w:rFonts w:hint="eastAsia" w:ascii="宋体" w:hAnsi="宋体" w:eastAsia="宋体" w:cs="宋体"/>
          <w:highlight w:val="none"/>
          <w:lang w:val="en-US" w:eastAsia="zh-CN"/>
        </w:rPr>
        <w:t>10.1.</w:t>
      </w:r>
      <w:r>
        <w:rPr>
          <w:rFonts w:hint="eastAsia" w:ascii="宋体" w:hAnsi="宋体" w:cs="宋体"/>
          <w:highlight w:val="none"/>
          <w:lang w:val="en-US" w:eastAsia="zh-CN"/>
        </w:rPr>
        <w:t>4</w:t>
      </w:r>
      <w:r>
        <w:rPr>
          <w:rFonts w:hint="eastAsia" w:ascii="宋体" w:hAnsi="宋体" w:eastAsia="宋体" w:cs="宋体"/>
          <w:highlight w:val="none"/>
        </w:rPr>
        <w:t>项情形的，相关供应商在评审现场30分钟内对投标（响应）价格作出解释，提供项目具体成本测算等与报价合理性相关的书面说明及必要的证明材料，包括但不限于原材料成本、人工成本、制造费用等。其中，属于第</w:t>
      </w:r>
      <w:r>
        <w:rPr>
          <w:rFonts w:hint="eastAsia" w:ascii="宋体" w:hAnsi="宋体" w:eastAsia="宋体" w:cs="宋体"/>
          <w:highlight w:val="none"/>
          <w:lang w:val="en-US" w:eastAsia="zh-CN"/>
        </w:rPr>
        <w:t>10.1.</w:t>
      </w:r>
      <w:r>
        <w:rPr>
          <w:rFonts w:hint="eastAsia" w:ascii="宋体" w:hAnsi="宋体" w:eastAsia="宋体" w:cs="宋体"/>
          <w:highlight w:val="none"/>
        </w:rPr>
        <w:t>3项项情形，供应商已随投标（响应）文件</w:t>
      </w:r>
      <w:r>
        <w:rPr>
          <w:rFonts w:hint="eastAsia" w:ascii="宋体" w:hAnsi="宋体" w:cs="宋体"/>
          <w:highlight w:val="none"/>
          <w:lang w:val="en-US" w:eastAsia="zh-CN"/>
        </w:rPr>
        <w:t>一</w:t>
      </w:r>
      <w:r>
        <w:rPr>
          <w:rFonts w:hint="eastAsia" w:ascii="宋体" w:hAnsi="宋体" w:eastAsia="宋体" w:cs="宋体"/>
          <w:highlight w:val="none"/>
        </w:rPr>
        <w:t>并提交相关书面说明及必要的证明材料的，在评审现场可不再重复提交。</w:t>
      </w:r>
    </w:p>
    <w:p w14:paraId="105C48AE">
      <w:pPr>
        <w:pStyle w:val="13"/>
        <w:numPr>
          <w:ilvl w:val="0"/>
          <w:numId w:val="82"/>
        </w:numPr>
        <w:snapToGrid w:val="0"/>
        <w:spacing w:line="360" w:lineRule="auto"/>
        <w:ind w:left="440" w:leftChars="0" w:hanging="440" w:firstLineChars="0"/>
        <w:contextualSpacing/>
        <w:rPr>
          <w:rFonts w:hint="eastAsia"/>
          <w:highlight w:val="none"/>
        </w:rPr>
      </w:pPr>
      <w:r>
        <w:rPr>
          <w:rFonts w:hint="eastAsia" w:ascii="宋体" w:hAnsi="宋体" w:eastAsia="宋体" w:cs="宋体"/>
          <w:highlight w:val="none"/>
        </w:rPr>
        <w:t>评审委员会依据专业经验，参考同类项目中标（成交）价格、类似产品市场价格水平、行业人工费用标准、国家有关部门指导行业协会发布的行业平均成本等情况，对报价合理性进行判断。如果投标（响应）供应商不能提供书面说明、证明材料，或者提供的书面说明、证明材料不能证明其报价合理性的，评审委员会应当将其作为无效投标（响应）处理。如果投标（响应）供应商提供的书面说明、证明材料能证明其报价合理性的，评审结果为通过。</w:t>
      </w:r>
    </w:p>
    <w:p w14:paraId="2B065D54">
      <w:pPr>
        <w:pStyle w:val="13"/>
        <w:numPr>
          <w:ilvl w:val="0"/>
          <w:numId w:val="70"/>
        </w:numPr>
        <w:snapToGrid w:val="0"/>
        <w:spacing w:line="360" w:lineRule="auto"/>
        <w:ind w:left="442" w:hanging="442" w:firstLineChars="0"/>
        <w:contextualSpacing/>
        <w:rPr>
          <w:rFonts w:asciiTheme="minorEastAsia" w:hAnsiTheme="minorEastAsia"/>
          <w:b/>
          <w:bCs/>
          <w:szCs w:val="21"/>
          <w:highlight w:val="none"/>
        </w:rPr>
      </w:pPr>
      <w:r>
        <w:rPr>
          <w:b/>
          <w:bCs/>
          <w:highlight w:val="none"/>
        </w:rPr>
        <w:t>采购政策</w:t>
      </w:r>
    </w:p>
    <w:p w14:paraId="0A91B22A">
      <w:pPr>
        <w:pStyle w:val="13"/>
        <w:numPr>
          <w:ilvl w:val="1"/>
          <w:numId w:val="84"/>
        </w:numPr>
        <w:spacing w:line="360" w:lineRule="auto"/>
        <w:ind w:left="284" w:hanging="284" w:firstLineChars="0"/>
        <w:rPr>
          <w:rFonts w:asciiTheme="minorEastAsia" w:hAnsiTheme="minorEastAsia" w:eastAsiaTheme="minorEastAsia"/>
          <w:b/>
          <w:bCs/>
          <w:color w:val="auto"/>
          <w:szCs w:val="21"/>
          <w:highlight w:val="none"/>
        </w:rPr>
      </w:pPr>
      <w:r>
        <w:rPr>
          <w:rFonts w:hint="eastAsia" w:asciiTheme="minorEastAsia" w:hAnsiTheme="minorEastAsia" w:eastAsiaTheme="minorEastAsia"/>
          <w:b/>
          <w:bCs/>
          <w:szCs w:val="21"/>
          <w:highlight w:val="none"/>
        </w:rPr>
        <w:t>对小型或微型企业响应的扶</w:t>
      </w:r>
      <w:r>
        <w:rPr>
          <w:rFonts w:hint="eastAsia" w:asciiTheme="minorEastAsia" w:hAnsiTheme="minorEastAsia" w:eastAsiaTheme="minorEastAsia"/>
          <w:b/>
          <w:bCs/>
          <w:color w:val="auto"/>
          <w:szCs w:val="21"/>
          <w:highlight w:val="none"/>
        </w:rPr>
        <w:t>持</w:t>
      </w:r>
    </w:p>
    <w:p w14:paraId="0DDFEC2C">
      <w:pPr>
        <w:pStyle w:val="13"/>
        <w:numPr>
          <w:ilvl w:val="0"/>
          <w:numId w:val="85"/>
        </w:numPr>
        <w:spacing w:line="360" w:lineRule="auto"/>
        <w:ind w:firstLineChars="0"/>
        <w:rPr>
          <w:rFonts w:asciiTheme="minorEastAsia" w:hAnsiTheme="minorEastAsia" w:eastAsiaTheme="minorEastAsia" w:cstheme="minorBidi"/>
          <w:bCs/>
          <w:color w:val="auto"/>
          <w:szCs w:val="21"/>
          <w:highlight w:val="none"/>
        </w:rPr>
      </w:pPr>
      <w:r>
        <w:rPr>
          <w:rFonts w:hint="eastAsia" w:asciiTheme="minorEastAsia" w:hAnsiTheme="minorEastAsia" w:eastAsiaTheme="minorEastAsia"/>
          <w:bCs/>
          <w:color w:val="auto"/>
          <w:szCs w:val="21"/>
          <w:highlight w:val="none"/>
          <w:lang w:val="en-US" w:eastAsia="zh-CN"/>
        </w:rPr>
        <w:t>参照</w:t>
      </w:r>
      <w:r>
        <w:rPr>
          <w:rFonts w:hint="eastAsia" w:asciiTheme="minorEastAsia" w:hAnsiTheme="minorEastAsia" w:eastAsiaTheme="minorEastAsia"/>
          <w:bCs/>
          <w:color w:val="auto"/>
          <w:szCs w:val="21"/>
          <w:highlight w:val="none"/>
        </w:rPr>
        <w:t>财政部、工业和信息化部制定《政府采购促进中小企业发展管理办法》的规定，对小微企业报价给予</w:t>
      </w:r>
      <w:r>
        <w:rPr>
          <w:rFonts w:asciiTheme="minorEastAsia" w:hAnsiTheme="minorEastAsia" w:eastAsiaTheme="minorEastAsia"/>
          <w:bCs/>
          <w:color w:val="auto"/>
          <w:szCs w:val="21"/>
          <w:highlight w:val="none"/>
        </w:rPr>
        <w:t>10</w:t>
      </w:r>
      <w:r>
        <w:rPr>
          <w:rFonts w:hint="eastAsia" w:asciiTheme="minorEastAsia" w:hAnsiTheme="minorEastAsia" w:eastAsiaTheme="minorEastAsia"/>
          <w:bCs/>
          <w:color w:val="auto"/>
          <w:szCs w:val="21"/>
          <w:highlight w:val="none"/>
        </w:rPr>
        <w:t>%的扣除，用扣除后的价格参与评审。参加采购活动的中小企业应当提供《中小企业声明函》。</w:t>
      </w:r>
      <w:r>
        <w:rPr>
          <w:rFonts w:hint="eastAsia" w:asciiTheme="minorEastAsia" w:hAnsiTheme="minorEastAsia" w:eastAsiaTheme="minorEastAsia" w:cstheme="minorBidi"/>
          <w:bCs/>
          <w:color w:val="auto"/>
          <w:szCs w:val="21"/>
          <w:highlight w:val="none"/>
        </w:rPr>
        <w:t>（详见磋商文件第六章响应文件格式）</w:t>
      </w:r>
    </w:p>
    <w:p w14:paraId="50F77A30">
      <w:pPr>
        <w:numPr>
          <w:ilvl w:val="1"/>
          <w:numId w:val="84"/>
        </w:numPr>
        <w:spacing w:line="360" w:lineRule="auto"/>
        <w:ind w:left="284" w:hanging="284"/>
        <w:rPr>
          <w:rFonts w:asciiTheme="minorEastAsia" w:hAnsiTheme="minorEastAsia" w:eastAsiaTheme="minorEastAsia" w:cstheme="minorBidi"/>
          <w:b/>
          <w:bCs/>
          <w:color w:val="auto"/>
          <w:szCs w:val="21"/>
          <w:highlight w:val="none"/>
        </w:rPr>
      </w:pPr>
      <w:r>
        <w:rPr>
          <w:rFonts w:hint="eastAsia" w:asciiTheme="minorEastAsia" w:hAnsiTheme="minorEastAsia" w:eastAsiaTheme="minorEastAsia" w:cstheme="minorBidi"/>
          <w:b/>
          <w:bCs/>
          <w:color w:val="auto"/>
          <w:szCs w:val="21"/>
          <w:highlight w:val="none"/>
        </w:rPr>
        <w:t>对监狱企业响应的扶持</w:t>
      </w:r>
    </w:p>
    <w:p w14:paraId="28CED969">
      <w:pPr>
        <w:pStyle w:val="13"/>
        <w:numPr>
          <w:ilvl w:val="0"/>
          <w:numId w:val="86"/>
        </w:numPr>
        <w:spacing w:line="360" w:lineRule="auto"/>
        <w:ind w:firstLineChars="0"/>
        <w:rPr>
          <w:rFonts w:asciiTheme="minorEastAsia" w:hAnsiTheme="minorEastAsia" w:eastAsiaTheme="minorEastAsia" w:cstheme="minorBidi"/>
          <w:bCs/>
          <w:szCs w:val="21"/>
          <w:highlight w:val="none"/>
        </w:rPr>
      </w:pPr>
      <w:r>
        <w:rPr>
          <w:rFonts w:hint="eastAsia" w:asciiTheme="minorEastAsia" w:hAnsiTheme="minorEastAsia" w:eastAsiaTheme="minorEastAsia" w:cstheme="minorBidi"/>
          <w:bCs/>
          <w:szCs w:val="21"/>
          <w:highlight w:val="none"/>
          <w:lang w:val="en-US" w:eastAsia="zh-CN"/>
        </w:rPr>
        <w:t>参照</w:t>
      </w:r>
      <w:r>
        <w:rPr>
          <w:rFonts w:hint="eastAsia" w:asciiTheme="minorEastAsia" w:hAnsiTheme="minorEastAsia" w:eastAsiaTheme="minorEastAsia" w:cstheme="minorBidi"/>
          <w:bCs/>
          <w:szCs w:val="21"/>
          <w:highlight w:val="none"/>
        </w:rPr>
        <w:t>《关于政府采购支持监狱企业发展有关问题的通知》（财库</w:t>
      </w:r>
      <w:r>
        <w:rPr>
          <w:rFonts w:asciiTheme="minorEastAsia" w:hAnsiTheme="minorEastAsia" w:eastAsiaTheme="minorEastAsia" w:cstheme="minorBidi"/>
          <w:bCs/>
          <w:szCs w:val="21"/>
          <w:highlight w:val="none"/>
        </w:rPr>
        <w:t>[2014]68号）的规定，监狱企业视同小型、微型企业，享受一定比例的价格折扣优惠，用扣除后的价格作为其参与评审的价格。监狱企业参加采购活动时，应当提供由省级或以上监狱管理局、戒毒管理局（含新疆生产建设兵团）出具的属于监狱企业的证明文件，否则不予认可。</w:t>
      </w:r>
      <w:r>
        <w:rPr>
          <w:rFonts w:hint="eastAsia" w:asciiTheme="minorEastAsia" w:hAnsiTheme="minorEastAsia" w:eastAsiaTheme="minorEastAsia" w:cstheme="minorBidi"/>
          <w:bCs/>
          <w:szCs w:val="21"/>
          <w:highlight w:val="none"/>
        </w:rPr>
        <w:t>（详见磋商文件第六章响应文件格式）</w:t>
      </w:r>
    </w:p>
    <w:p w14:paraId="239547E1">
      <w:pPr>
        <w:numPr>
          <w:ilvl w:val="1"/>
          <w:numId w:val="84"/>
        </w:numPr>
        <w:spacing w:line="360" w:lineRule="auto"/>
        <w:ind w:left="284" w:hanging="284"/>
        <w:rPr>
          <w:rFonts w:asciiTheme="minorEastAsia" w:hAnsiTheme="minorEastAsia" w:eastAsiaTheme="minorEastAsia" w:cstheme="minorBidi"/>
          <w:b/>
          <w:bCs/>
          <w:szCs w:val="21"/>
          <w:highlight w:val="none"/>
        </w:rPr>
      </w:pPr>
      <w:r>
        <w:rPr>
          <w:rFonts w:hint="eastAsia" w:asciiTheme="minorEastAsia" w:hAnsiTheme="minorEastAsia" w:eastAsiaTheme="minorEastAsia" w:cstheme="minorBidi"/>
          <w:b/>
          <w:bCs/>
          <w:szCs w:val="21"/>
          <w:highlight w:val="none"/>
        </w:rPr>
        <w:t>对残疾人福利性单位响应的扶持</w:t>
      </w:r>
    </w:p>
    <w:p w14:paraId="59C4CA4B">
      <w:pPr>
        <w:pStyle w:val="13"/>
        <w:numPr>
          <w:ilvl w:val="0"/>
          <w:numId w:val="87"/>
        </w:numPr>
        <w:spacing w:line="360" w:lineRule="auto"/>
        <w:ind w:firstLineChars="0"/>
        <w:rPr>
          <w:rFonts w:asciiTheme="minorEastAsia" w:hAnsiTheme="minorEastAsia" w:eastAsiaTheme="minorEastAsia" w:cstheme="minorBidi"/>
          <w:bCs/>
          <w:color w:val="auto"/>
          <w:szCs w:val="21"/>
          <w:highlight w:val="none"/>
        </w:rPr>
      </w:pPr>
      <w:r>
        <w:rPr>
          <w:rFonts w:hint="eastAsia" w:asciiTheme="minorEastAsia" w:hAnsiTheme="minorEastAsia" w:eastAsiaTheme="minorEastAsia" w:cstheme="minorBidi"/>
          <w:bCs/>
          <w:szCs w:val="21"/>
          <w:highlight w:val="none"/>
          <w:lang w:val="en-US" w:eastAsia="zh-CN"/>
        </w:rPr>
        <w:t>参照</w:t>
      </w:r>
      <w:r>
        <w:rPr>
          <w:rFonts w:hint="eastAsia" w:asciiTheme="minorEastAsia" w:hAnsiTheme="minorEastAsia" w:eastAsiaTheme="minorEastAsia" w:cstheme="minorBidi"/>
          <w:bCs/>
          <w:szCs w:val="21"/>
          <w:highlight w:val="none"/>
        </w:rPr>
        <w:t>财政部</w:t>
      </w:r>
      <w:r>
        <w:rPr>
          <w:rFonts w:asciiTheme="minorEastAsia" w:hAnsiTheme="minorEastAsia" w:eastAsiaTheme="minorEastAsia" w:cstheme="minorBidi"/>
          <w:bCs/>
          <w:szCs w:val="21"/>
          <w:highlight w:val="none"/>
        </w:rPr>
        <w:t xml:space="preserve"> </w:t>
      </w:r>
      <w:r>
        <w:rPr>
          <w:rFonts w:hint="eastAsia" w:asciiTheme="minorEastAsia" w:hAnsiTheme="minorEastAsia" w:eastAsiaTheme="minorEastAsia" w:cstheme="minorBidi"/>
          <w:bCs/>
          <w:szCs w:val="21"/>
          <w:highlight w:val="none"/>
        </w:rPr>
        <w:t>民政部</w:t>
      </w:r>
      <w:r>
        <w:rPr>
          <w:rFonts w:asciiTheme="minorEastAsia" w:hAnsiTheme="minorEastAsia" w:eastAsiaTheme="minorEastAsia" w:cstheme="minorBidi"/>
          <w:bCs/>
          <w:szCs w:val="21"/>
          <w:highlight w:val="none"/>
        </w:rPr>
        <w:t xml:space="preserve"> </w:t>
      </w:r>
      <w:r>
        <w:rPr>
          <w:rFonts w:hint="eastAsia" w:asciiTheme="minorEastAsia" w:hAnsiTheme="minorEastAsia" w:eastAsiaTheme="minorEastAsia" w:cstheme="minorBidi"/>
          <w:bCs/>
          <w:szCs w:val="21"/>
          <w:highlight w:val="none"/>
        </w:rPr>
        <w:t>中国残疾人联合会《关于促进残疾人就业政府采购政策的通知》（财库</w:t>
      </w:r>
      <w:r>
        <w:rPr>
          <w:rFonts w:asciiTheme="minorEastAsia" w:hAnsiTheme="minorEastAsia" w:eastAsiaTheme="minorEastAsia" w:cstheme="minorBidi"/>
          <w:bCs/>
          <w:szCs w:val="21"/>
          <w:highlight w:val="none"/>
        </w:rPr>
        <w:t>[2017]</w:t>
      </w:r>
      <w:r>
        <w:rPr>
          <w:rFonts w:hint="eastAsia" w:asciiTheme="minorEastAsia" w:hAnsiTheme="minorEastAsia" w:eastAsiaTheme="minorEastAsia" w:cstheme="minorBidi"/>
          <w:bCs/>
          <w:szCs w:val="21"/>
          <w:highlight w:val="none"/>
        </w:rPr>
        <w:t>1</w:t>
      </w:r>
      <w:r>
        <w:rPr>
          <w:rFonts w:asciiTheme="minorEastAsia" w:hAnsiTheme="minorEastAsia" w:eastAsiaTheme="minorEastAsia" w:cstheme="minorBidi"/>
          <w:bCs/>
          <w:szCs w:val="21"/>
          <w:highlight w:val="none"/>
        </w:rPr>
        <w:t>41号）的规定，残疾人福利性单位视同小型、微型企业，享受一定比例的价格折扣优</w:t>
      </w:r>
      <w:r>
        <w:rPr>
          <w:rFonts w:asciiTheme="minorEastAsia" w:hAnsiTheme="minorEastAsia" w:eastAsiaTheme="minorEastAsia" w:cstheme="minorBidi"/>
          <w:bCs/>
          <w:color w:val="auto"/>
          <w:szCs w:val="21"/>
          <w:highlight w:val="none"/>
        </w:rPr>
        <w:t>惠，用扣除后的价格作为其参与评审的价格。参加采购活动的残疾人福利性单位应当提供《残疾人福利性单位声明函》</w:t>
      </w:r>
      <w:r>
        <w:rPr>
          <w:rFonts w:hint="eastAsia" w:asciiTheme="minorEastAsia" w:hAnsiTheme="minorEastAsia" w:eastAsiaTheme="minorEastAsia" w:cstheme="minorBidi"/>
          <w:bCs/>
          <w:color w:val="auto"/>
          <w:szCs w:val="21"/>
          <w:highlight w:val="none"/>
        </w:rPr>
        <w:t>。（详见磋商文件第六章响应文件格式）</w:t>
      </w:r>
    </w:p>
    <w:p w14:paraId="5F724764">
      <w:pPr>
        <w:numPr>
          <w:ilvl w:val="1"/>
          <w:numId w:val="84"/>
        </w:numPr>
        <w:spacing w:line="360" w:lineRule="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asciiTheme="minorEastAsia" w:hAnsiTheme="minorEastAsia" w:eastAsiaTheme="minorEastAsia"/>
          <w:bCs/>
          <w:color w:val="auto"/>
          <w:szCs w:val="21"/>
          <w:highlight w:val="none"/>
        </w:rPr>
        <w:t>4</w:t>
      </w:r>
      <w:r>
        <w:rPr>
          <w:rFonts w:hint="eastAsia" w:asciiTheme="minorEastAsia" w:hAnsiTheme="minorEastAsia" w:eastAsiaTheme="minorEastAsia"/>
          <w:bCs/>
          <w:color w:val="auto"/>
          <w:szCs w:val="21"/>
          <w:highlight w:val="none"/>
        </w:rPr>
        <w:t>%的扣除</w:t>
      </w:r>
      <w:r>
        <w:rPr>
          <w:rFonts w:asciiTheme="minorEastAsia" w:hAnsiTheme="minorEastAsia" w:eastAsiaTheme="minorEastAsia"/>
          <w:bCs/>
          <w:color w:val="auto"/>
          <w:szCs w:val="21"/>
          <w:highlight w:val="none"/>
        </w:rPr>
        <w:t>。</w:t>
      </w:r>
    </w:p>
    <w:p w14:paraId="2311AFB9">
      <w:pPr>
        <w:numPr>
          <w:ilvl w:val="1"/>
          <w:numId w:val="84"/>
        </w:numPr>
        <w:spacing w:line="360" w:lineRule="auto"/>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监狱企业产品、残疾人福利性单位产品价格扣除</w:t>
      </w:r>
    </w:p>
    <w:p w14:paraId="672534E6">
      <w:pPr>
        <w:spacing w:line="360" w:lineRule="auto"/>
        <w:ind w:left="567" w:leftChars="27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监狱企业、</w:t>
      </w:r>
      <w:r>
        <w:rPr>
          <w:rFonts w:asciiTheme="minorEastAsia" w:hAnsiTheme="minorEastAsia" w:eastAsiaTheme="minorEastAsia"/>
          <w:bCs/>
          <w:color w:val="auto"/>
          <w:szCs w:val="21"/>
          <w:highlight w:val="none"/>
        </w:rPr>
        <w:t>残疾人福利性单位视同小微企业</w:t>
      </w:r>
      <w:r>
        <w:rPr>
          <w:rFonts w:hint="eastAsia" w:asciiTheme="minorEastAsia" w:hAnsiTheme="minorEastAsia" w:eastAsiaTheme="minorEastAsia"/>
          <w:bCs/>
          <w:color w:val="auto"/>
          <w:szCs w:val="21"/>
          <w:highlight w:val="none"/>
        </w:rPr>
        <w:t>，按上述第1、</w:t>
      </w:r>
      <w:r>
        <w:rPr>
          <w:rFonts w:asciiTheme="minorEastAsia" w:hAnsiTheme="minorEastAsia" w:eastAsiaTheme="minorEastAsia"/>
          <w:bCs/>
          <w:color w:val="auto"/>
          <w:szCs w:val="21"/>
          <w:highlight w:val="none"/>
        </w:rPr>
        <w:t>4</w:t>
      </w:r>
      <w:r>
        <w:rPr>
          <w:rFonts w:hint="eastAsia" w:asciiTheme="minorEastAsia" w:hAnsiTheme="minorEastAsia" w:eastAsiaTheme="minorEastAsia"/>
          <w:bCs/>
          <w:color w:val="auto"/>
          <w:szCs w:val="21"/>
          <w:highlight w:val="none"/>
        </w:rPr>
        <w:t>条款享受评审中价格扣除。</w:t>
      </w:r>
    </w:p>
    <w:p w14:paraId="3BDB78F7">
      <w:pPr>
        <w:numPr>
          <w:ilvl w:val="1"/>
          <w:numId w:val="84"/>
        </w:numPr>
        <w:spacing w:line="360" w:lineRule="auto"/>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供应商同时为小型、微型企业、监狱企业、残疾人福利性单位任两种或以上情况的，评审中只享受一次价格扣除，不重复进行价格扣除。</w:t>
      </w:r>
    </w:p>
    <w:p w14:paraId="51E6CBEE">
      <w:pPr>
        <w:numPr>
          <w:ilvl w:val="1"/>
          <w:numId w:val="84"/>
        </w:numPr>
        <w:spacing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节能产品、环境标志产品价格扣除：</w:t>
      </w:r>
    </w:p>
    <w:p w14:paraId="38F579D8">
      <w:pPr>
        <w:pStyle w:val="13"/>
        <w:numPr>
          <w:ilvl w:val="0"/>
          <w:numId w:val="88"/>
        </w:numPr>
        <w:spacing w:line="360" w:lineRule="auto"/>
        <w:ind w:firstLineChars="0"/>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产品(针对非政府强制采购产品)纳入财政部发展改革委颁发最新节能产品政府采购品目清单的，</w:t>
      </w:r>
      <w:r>
        <w:rPr>
          <w:rFonts w:hint="eastAsia" w:asciiTheme="minorEastAsia" w:hAnsiTheme="minorEastAsia" w:eastAsiaTheme="minorEastAsia" w:cstheme="minorBidi"/>
          <w:bCs/>
          <w:highlight w:val="none"/>
        </w:rPr>
        <w:t>对</w:t>
      </w:r>
      <w:r>
        <w:rPr>
          <w:rFonts w:hint="eastAsia" w:asciiTheme="minorEastAsia" w:hAnsiTheme="minorEastAsia" w:eastAsiaTheme="minorEastAsia" w:cstheme="minorBidi"/>
          <w:szCs w:val="21"/>
          <w:highlight w:val="none"/>
        </w:rPr>
        <w:t>节能</w:t>
      </w:r>
      <w:r>
        <w:rPr>
          <w:rFonts w:hint="eastAsia" w:asciiTheme="minorEastAsia" w:hAnsiTheme="minorEastAsia" w:eastAsiaTheme="minorEastAsia" w:cstheme="minorBidi"/>
          <w:bCs/>
          <w:highlight w:val="none"/>
        </w:rPr>
        <w:t>产品的价格给予1%的扣除，用扣除后的价格参与评审。（</w:t>
      </w:r>
      <w:r>
        <w:rPr>
          <w:rFonts w:hint="eastAsia" w:asciiTheme="minorEastAsia" w:hAnsiTheme="minorEastAsia" w:eastAsiaTheme="minorEastAsia" w:cstheme="minorBidi"/>
          <w:szCs w:val="21"/>
          <w:highlight w:val="none"/>
        </w:rPr>
        <w:t>提供产品有效期内的节能产品认证证书复印件加盖供应商公章）。</w:t>
      </w:r>
    </w:p>
    <w:p w14:paraId="7AA5DEBC">
      <w:pPr>
        <w:numPr>
          <w:ilvl w:val="0"/>
          <w:numId w:val="88"/>
        </w:numPr>
        <w:spacing w:line="360" w:lineRule="auto"/>
        <w:rPr>
          <w:rFonts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产品纳入财政部环境保护部颁布最新环境标志产品政府采购品目清单的，</w:t>
      </w:r>
      <w:r>
        <w:rPr>
          <w:rFonts w:hint="eastAsia" w:asciiTheme="minorEastAsia" w:hAnsiTheme="minorEastAsia" w:eastAsiaTheme="minorEastAsia" w:cstheme="minorBidi"/>
          <w:bCs/>
          <w:highlight w:val="none"/>
        </w:rPr>
        <w:t>对</w:t>
      </w:r>
      <w:r>
        <w:rPr>
          <w:rFonts w:hint="eastAsia" w:asciiTheme="minorEastAsia" w:hAnsiTheme="minorEastAsia" w:eastAsiaTheme="minorEastAsia" w:cstheme="minorBidi"/>
          <w:szCs w:val="21"/>
          <w:highlight w:val="none"/>
        </w:rPr>
        <w:t>环境标志产品</w:t>
      </w:r>
      <w:r>
        <w:rPr>
          <w:rFonts w:hint="eastAsia" w:asciiTheme="minorEastAsia" w:hAnsiTheme="minorEastAsia" w:eastAsiaTheme="minorEastAsia" w:cstheme="minorBidi"/>
          <w:bCs/>
          <w:highlight w:val="none"/>
        </w:rPr>
        <w:t>的价格给予1%的扣除，用扣除后的价格参与评审。（</w:t>
      </w:r>
      <w:r>
        <w:rPr>
          <w:rFonts w:hint="eastAsia" w:asciiTheme="minorEastAsia" w:hAnsiTheme="minorEastAsia" w:eastAsiaTheme="minorEastAsia" w:cstheme="minorBidi"/>
          <w:szCs w:val="21"/>
          <w:highlight w:val="none"/>
        </w:rPr>
        <w:t>提供产品有效期内的环境标志产品认证证书复印件加盖供应商公章）。</w:t>
      </w:r>
    </w:p>
    <w:p w14:paraId="5932D89E">
      <w:pPr>
        <w:numPr>
          <w:ilvl w:val="1"/>
          <w:numId w:val="84"/>
        </w:numPr>
        <w:spacing w:line="360" w:lineRule="auto"/>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价格分应当采用低价优先法计算，即满足磋商文件要求且最后报价最低的供应商的价格为磋商基准价，其价格分为满分。其他供应商的价格分统一按照下列公式计算：</w:t>
      </w:r>
    </w:p>
    <w:p w14:paraId="2FDC6472">
      <w:pPr>
        <w:pStyle w:val="14"/>
        <w:spacing w:line="360" w:lineRule="auto"/>
        <w:ind w:firstLineChars="0"/>
        <w:jc w:val="left"/>
        <w:rPr>
          <w:rFonts w:asciiTheme="minorEastAsia" w:hAnsiTheme="minorEastAsia" w:eastAsiaTheme="minorEastAsia"/>
          <w:highlight w:val="none"/>
        </w:rPr>
      </w:pPr>
      <w:r>
        <w:rPr>
          <w:rFonts w:hint="eastAsia" w:asciiTheme="minorEastAsia" w:hAnsiTheme="minorEastAsia" w:eastAsiaTheme="minorEastAsia"/>
          <w:bCs/>
          <w:szCs w:val="21"/>
          <w:highlight w:val="none"/>
        </w:rPr>
        <w:t>磋商报价得分</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磋商</w:t>
      </w:r>
      <w:r>
        <w:rPr>
          <w:rFonts w:asciiTheme="minorEastAsia" w:hAnsiTheme="minorEastAsia" w:eastAsiaTheme="minorEastAsia"/>
          <w:bCs/>
          <w:szCs w:val="21"/>
          <w:highlight w:val="none"/>
        </w:rPr>
        <w:t>基准价／</w:t>
      </w:r>
      <w:r>
        <w:rPr>
          <w:rFonts w:hint="eastAsia" w:asciiTheme="minorEastAsia" w:hAnsiTheme="minorEastAsia" w:eastAsiaTheme="minorEastAsia"/>
          <w:bCs/>
          <w:szCs w:val="21"/>
          <w:highlight w:val="none"/>
        </w:rPr>
        <w:t>最后磋商报价</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价格权值×</w:t>
      </w:r>
      <w:r>
        <w:rPr>
          <w:rFonts w:hint="eastAsia" w:asciiTheme="minorEastAsia" w:hAnsiTheme="minorEastAsia" w:eastAsiaTheme="minorEastAsia"/>
          <w:highlight w:val="none"/>
        </w:rPr>
        <w:t>100</w:t>
      </w:r>
    </w:p>
    <w:p w14:paraId="611E27F7">
      <w:pPr>
        <w:pStyle w:val="14"/>
        <w:spacing w:line="360" w:lineRule="auto"/>
        <w:ind w:left="-2" w:leftChars="-1" w:firstLine="0" w:firstLineChars="0"/>
        <w:jc w:val="lef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注：因落实采购政策进行价格调整的，以调整后的价格计算磋商</w:t>
      </w:r>
      <w:r>
        <w:rPr>
          <w:rFonts w:asciiTheme="minorEastAsia" w:hAnsiTheme="minorEastAsia" w:eastAsiaTheme="minorEastAsia"/>
          <w:bCs/>
          <w:szCs w:val="21"/>
          <w:highlight w:val="none"/>
        </w:rPr>
        <w:t>基准价</w:t>
      </w:r>
      <w:r>
        <w:rPr>
          <w:rFonts w:hint="eastAsia" w:asciiTheme="minorEastAsia" w:hAnsiTheme="minorEastAsia" w:eastAsiaTheme="minorEastAsia"/>
          <w:bCs/>
          <w:szCs w:val="21"/>
          <w:highlight w:val="none"/>
        </w:rPr>
        <w:t>和最后磋商报价。</w:t>
      </w:r>
    </w:p>
    <w:p w14:paraId="2F4613C0">
      <w:pPr>
        <w:numPr>
          <w:ilvl w:val="1"/>
          <w:numId w:val="84"/>
        </w:numPr>
        <w:spacing w:line="360" w:lineRule="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商务技术及价格评分权值分配</w:t>
      </w:r>
    </w:p>
    <w:tbl>
      <w:tblPr>
        <w:tblStyle w:val="6"/>
        <w:tblW w:w="500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12"/>
        <w:gridCol w:w="2011"/>
        <w:gridCol w:w="2010"/>
        <w:gridCol w:w="2010"/>
        <w:gridCol w:w="1450"/>
      </w:tblGrid>
      <w:tr w14:paraId="07761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75" w:type="pct"/>
            <w:vAlign w:val="center"/>
          </w:tcPr>
          <w:p w14:paraId="68091E03">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评分项目</w:t>
            </w:r>
          </w:p>
        </w:tc>
        <w:tc>
          <w:tcPr>
            <w:tcW w:w="1082" w:type="pct"/>
            <w:vAlign w:val="center"/>
          </w:tcPr>
          <w:p w14:paraId="114D0595">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价格部分</w:t>
            </w:r>
          </w:p>
        </w:tc>
        <w:tc>
          <w:tcPr>
            <w:tcW w:w="1081" w:type="pct"/>
            <w:vAlign w:val="center"/>
          </w:tcPr>
          <w:p w14:paraId="6904D4F7">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商务部分</w:t>
            </w:r>
          </w:p>
        </w:tc>
        <w:tc>
          <w:tcPr>
            <w:tcW w:w="1081" w:type="pct"/>
            <w:vAlign w:val="center"/>
          </w:tcPr>
          <w:p w14:paraId="659D22A6">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技术部分</w:t>
            </w:r>
          </w:p>
        </w:tc>
        <w:tc>
          <w:tcPr>
            <w:tcW w:w="780" w:type="pct"/>
            <w:vAlign w:val="center"/>
          </w:tcPr>
          <w:p w14:paraId="076501D9">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w:t>
            </w:r>
          </w:p>
        </w:tc>
      </w:tr>
      <w:tr w14:paraId="39A33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75" w:type="pct"/>
            <w:vAlign w:val="center"/>
          </w:tcPr>
          <w:p w14:paraId="682F4291">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权值</w:t>
            </w:r>
          </w:p>
        </w:tc>
        <w:tc>
          <w:tcPr>
            <w:tcW w:w="1082" w:type="pct"/>
            <w:vAlign w:val="center"/>
          </w:tcPr>
          <w:p w14:paraId="192F07ED">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15</w:t>
            </w:r>
            <w:r>
              <w:rPr>
                <w:rFonts w:hint="eastAsia" w:asciiTheme="minorEastAsia" w:hAnsiTheme="minorEastAsia" w:eastAsiaTheme="minorEastAsia"/>
                <w:color w:val="auto"/>
                <w:highlight w:val="none"/>
              </w:rPr>
              <w:t>%</w:t>
            </w:r>
          </w:p>
        </w:tc>
        <w:tc>
          <w:tcPr>
            <w:tcW w:w="1081" w:type="pct"/>
            <w:vAlign w:val="center"/>
          </w:tcPr>
          <w:p w14:paraId="757BCE28">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25</w:t>
            </w:r>
            <w:r>
              <w:rPr>
                <w:rFonts w:hint="eastAsia" w:asciiTheme="minorEastAsia" w:hAnsiTheme="minorEastAsia" w:eastAsiaTheme="minorEastAsia"/>
                <w:color w:val="auto"/>
                <w:highlight w:val="none"/>
              </w:rPr>
              <w:t>%</w:t>
            </w:r>
          </w:p>
        </w:tc>
        <w:tc>
          <w:tcPr>
            <w:tcW w:w="1081" w:type="pct"/>
            <w:vAlign w:val="center"/>
          </w:tcPr>
          <w:p w14:paraId="62EAEA54">
            <w:pPr>
              <w:jc w:val="center"/>
              <w:rPr>
                <w:rFonts w:hint="eastAsia" w:asciiTheme="minorEastAsia" w:hAnsiTheme="minorEastAsia" w:eastAsiaTheme="minorEastAsia"/>
                <w:i/>
                <w:color w:val="auto"/>
                <w:highlight w:val="none"/>
              </w:rPr>
            </w:pPr>
            <w:r>
              <w:rPr>
                <w:rFonts w:hint="eastAsia" w:asciiTheme="minorEastAsia" w:hAnsiTheme="minorEastAsia" w:eastAsiaTheme="minorEastAsia"/>
                <w:color w:val="auto"/>
                <w:highlight w:val="none"/>
                <w:lang w:val="en-US" w:eastAsia="zh-CN"/>
              </w:rPr>
              <w:t>60</w:t>
            </w:r>
            <w:r>
              <w:rPr>
                <w:rFonts w:hint="eastAsia" w:asciiTheme="minorEastAsia" w:hAnsiTheme="minorEastAsia" w:eastAsiaTheme="minorEastAsia"/>
                <w:color w:val="auto"/>
                <w:highlight w:val="none"/>
              </w:rPr>
              <w:t>%</w:t>
            </w:r>
          </w:p>
        </w:tc>
        <w:tc>
          <w:tcPr>
            <w:tcW w:w="780" w:type="pct"/>
          </w:tcPr>
          <w:p w14:paraId="727B08AD">
            <w:pPr>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100</w:t>
            </w:r>
            <w:r>
              <w:rPr>
                <w:rFonts w:hint="eastAsia" w:asciiTheme="minorEastAsia" w:hAnsiTheme="minorEastAsia" w:eastAsiaTheme="minorEastAsia"/>
                <w:color w:val="auto"/>
                <w:highlight w:val="none"/>
              </w:rPr>
              <w:t>%</w:t>
            </w:r>
          </w:p>
        </w:tc>
      </w:tr>
    </w:tbl>
    <w:p w14:paraId="7C8730FE">
      <w:pPr>
        <w:pStyle w:val="14"/>
        <w:numPr>
          <w:ilvl w:val="0"/>
          <w:numId w:val="89"/>
        </w:numPr>
        <w:spacing w:before="156" w:beforeLines="50" w:line="360" w:lineRule="auto"/>
        <w:ind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综合得分＝商务得分＋技术得分＋价格得分</w:t>
      </w:r>
    </w:p>
    <w:p w14:paraId="481DA8B5">
      <w:pPr>
        <w:pStyle w:val="11"/>
        <w:spacing w:line="360" w:lineRule="auto"/>
        <w:outlineLvl w:val="9"/>
        <w:rPr>
          <w:rFonts w:hint="default"/>
          <w:b/>
          <w:sz w:val="24"/>
          <w:highlight w:val="none"/>
        </w:rPr>
      </w:pPr>
    </w:p>
    <w:p w14:paraId="530094F9">
      <w:pPr>
        <w:pStyle w:val="13"/>
        <w:numPr>
          <w:ilvl w:val="0"/>
          <w:numId w:val="70"/>
        </w:numPr>
        <w:snapToGrid w:val="0"/>
        <w:spacing w:line="360" w:lineRule="auto"/>
        <w:ind w:left="442" w:hanging="442" w:firstLineChars="0"/>
        <w:contextualSpacing/>
        <w:rPr>
          <w:highlight w:val="none"/>
        </w:rPr>
      </w:pPr>
      <w:r>
        <w:rPr>
          <w:b/>
          <w:bCs/>
          <w:highlight w:val="none"/>
        </w:rPr>
        <w:t>评审程序</w:t>
      </w:r>
    </w:p>
    <w:p w14:paraId="585FF1BE">
      <w:pPr>
        <w:pStyle w:val="11"/>
        <w:numPr>
          <w:ilvl w:val="0"/>
          <w:numId w:val="90"/>
        </w:numPr>
        <w:snapToGrid w:val="0"/>
        <w:spacing w:line="360" w:lineRule="auto"/>
        <w:ind w:left="284" w:hanging="284"/>
        <w:contextualSpacing/>
        <w:outlineLvl w:val="3"/>
        <w:rPr>
          <w:rFonts w:hint="default" w:ascii="宋体" w:hAnsi="宋体" w:eastAsia="宋体"/>
          <w:sz w:val="21"/>
          <w:szCs w:val="21"/>
          <w:highlight w:val="none"/>
        </w:rPr>
      </w:pPr>
      <w:r>
        <w:rPr>
          <w:rFonts w:ascii="宋体" w:hAnsi="宋体" w:eastAsia="宋体"/>
          <w:b/>
          <w:sz w:val="21"/>
          <w:szCs w:val="21"/>
          <w:highlight w:val="none"/>
        </w:rPr>
        <w:t>资格性审查和符合性审查</w:t>
      </w:r>
    </w:p>
    <w:p w14:paraId="08F71396">
      <w:pPr>
        <w:pStyle w:val="11"/>
        <w:numPr>
          <w:ilvl w:val="0"/>
          <w:numId w:val="91"/>
        </w:numPr>
        <w:snapToGrid w:val="0"/>
        <w:spacing w:line="360" w:lineRule="auto"/>
        <w:contextualSpacing/>
        <w:rPr>
          <w:rFonts w:hint="default" w:ascii="宋体" w:hAnsi="宋体" w:eastAsia="宋体"/>
          <w:sz w:val="21"/>
          <w:szCs w:val="21"/>
          <w:highlight w:val="none"/>
        </w:rPr>
      </w:pPr>
      <w:r>
        <w:rPr>
          <w:rFonts w:ascii="宋体" w:hAnsi="宋体" w:eastAsia="宋体"/>
          <w:sz w:val="21"/>
          <w:szCs w:val="21"/>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453D6656">
      <w:pPr>
        <w:pStyle w:val="11"/>
        <w:numPr>
          <w:ilvl w:val="0"/>
          <w:numId w:val="91"/>
        </w:numPr>
        <w:snapToGrid w:val="0"/>
        <w:spacing w:line="360" w:lineRule="auto"/>
        <w:contextualSpacing/>
        <w:rPr>
          <w:rFonts w:ascii="宋体" w:hAnsi="宋体" w:eastAsia="宋体"/>
          <w:b/>
          <w:bCs/>
          <w:sz w:val="21"/>
          <w:szCs w:val="21"/>
          <w:highlight w:val="none"/>
        </w:rPr>
      </w:pPr>
      <w:r>
        <w:rPr>
          <w:rFonts w:ascii="宋体" w:hAnsi="宋体" w:eastAsia="宋体"/>
          <w:sz w:val="21"/>
          <w:szCs w:val="21"/>
          <w:highlight w:val="none"/>
        </w:rPr>
        <w:t>磋商小组对各磋商供应商进行资格性和符合性审查过程中，对初步被认定为初审不合格或无效响应者应实行及时告知，由磋商小组组长或采购人代表将集体意见及时告知报价当事人。</w:t>
      </w:r>
    </w:p>
    <w:p w14:paraId="1292AC7D">
      <w:pPr>
        <w:pStyle w:val="11"/>
        <w:snapToGrid w:val="0"/>
        <w:spacing w:line="360" w:lineRule="auto"/>
        <w:contextualSpacing/>
        <w:rPr>
          <w:rFonts w:hint="default"/>
          <w:b/>
          <w:bCs/>
          <w:highlight w:val="none"/>
        </w:rPr>
      </w:pPr>
      <w:r>
        <w:rPr>
          <w:rFonts w:ascii="宋体" w:hAnsi="宋体" w:eastAsia="宋体"/>
          <w:b/>
          <w:bCs/>
          <w:sz w:val="21"/>
          <w:szCs w:val="21"/>
          <w:highlight w:val="none"/>
        </w:rPr>
        <w:t>表一资格性审查表：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565"/>
        <w:gridCol w:w="5868"/>
      </w:tblGrid>
      <w:tr w14:paraId="20BB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9" w:type="pct"/>
            <w:vAlign w:val="center"/>
          </w:tcPr>
          <w:p w14:paraId="64C6BB3F">
            <w:pPr>
              <w:widowControl/>
              <w:snapToGrid w:val="0"/>
              <w:spacing w:line="360" w:lineRule="auto"/>
              <w:contextualSpacing/>
              <w:jc w:val="center"/>
              <w:rPr>
                <w:rFonts w:hint="eastAsia" w:ascii="宋体" w:hAnsi="宋体"/>
                <w:b/>
                <w:bCs/>
                <w:color w:val="auto"/>
                <w:kern w:val="0"/>
                <w:szCs w:val="21"/>
                <w:highlight w:val="none"/>
                <w:lang w:eastAsia="zh-Hans"/>
              </w:rPr>
            </w:pPr>
            <w:r>
              <w:rPr>
                <w:rFonts w:ascii="宋体" w:hAnsi="宋体"/>
                <w:b/>
                <w:bCs/>
                <w:color w:val="auto"/>
                <w:kern w:val="0"/>
                <w:szCs w:val="21"/>
                <w:highlight w:val="none"/>
                <w:lang w:eastAsia="zh-Hans"/>
              </w:rPr>
              <w:t>序号</w:t>
            </w:r>
          </w:p>
        </w:tc>
        <w:tc>
          <w:tcPr>
            <w:tcW w:w="4540" w:type="pct"/>
            <w:gridSpan w:val="2"/>
            <w:vAlign w:val="center"/>
          </w:tcPr>
          <w:p w14:paraId="7B944D46">
            <w:pPr>
              <w:widowControl/>
              <w:snapToGrid w:val="0"/>
              <w:spacing w:line="360" w:lineRule="auto"/>
              <w:contextualSpacing/>
              <w:jc w:val="center"/>
              <w:rPr>
                <w:rFonts w:hint="eastAsia" w:ascii="宋体" w:hAnsi="宋体"/>
                <w:b/>
                <w:bCs/>
                <w:color w:val="auto"/>
                <w:kern w:val="0"/>
                <w:szCs w:val="21"/>
                <w:highlight w:val="none"/>
                <w:lang w:eastAsia="zh-Hans"/>
              </w:rPr>
            </w:pPr>
            <w:r>
              <w:rPr>
                <w:rFonts w:ascii="宋体" w:hAnsi="宋体"/>
                <w:b/>
                <w:bCs/>
                <w:color w:val="auto"/>
                <w:kern w:val="0"/>
                <w:szCs w:val="21"/>
                <w:highlight w:val="none"/>
                <w:lang w:eastAsia="zh-Hans"/>
              </w:rPr>
              <w:t>资格审查内容</w:t>
            </w:r>
          </w:p>
        </w:tc>
      </w:tr>
      <w:tr w14:paraId="5725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59" w:type="pct"/>
            <w:vAlign w:val="center"/>
          </w:tcPr>
          <w:p w14:paraId="4306C9F6">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4540" w:type="pct"/>
            <w:gridSpan w:val="2"/>
            <w:vAlign w:val="center"/>
          </w:tcPr>
          <w:p w14:paraId="187D35E1">
            <w:pPr>
              <w:widowControl/>
              <w:snapToGrid w:val="0"/>
              <w:spacing w:line="360" w:lineRule="auto"/>
              <w:contextualSpacing/>
              <w:rPr>
                <w:rFonts w:hint="eastAsia" w:ascii="宋体" w:hAnsi="宋体"/>
                <w:color w:val="auto"/>
                <w:kern w:val="0"/>
                <w:szCs w:val="21"/>
                <w:highlight w:val="none"/>
              </w:rPr>
            </w:pPr>
            <w:r>
              <w:rPr>
                <w:rFonts w:hint="eastAsia" w:ascii="宋体" w:hAnsi="宋体"/>
                <w:color w:val="auto"/>
                <w:kern w:val="0"/>
                <w:szCs w:val="21"/>
                <w:highlight w:val="none"/>
              </w:rPr>
              <w:t>满足《中华人民共和国政府采购法》第二十二条规定：</w:t>
            </w:r>
          </w:p>
        </w:tc>
      </w:tr>
      <w:tr w14:paraId="68DD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578A2932">
            <w:pPr>
              <w:widowControl/>
              <w:snapToGrid w:val="0"/>
              <w:spacing w:line="360" w:lineRule="auto"/>
              <w:contextualSpacing/>
              <w:jc w:val="center"/>
              <w:rPr>
                <w:rFonts w:hint="eastAsia" w:ascii="宋体" w:hAnsi="宋体"/>
                <w:color w:val="auto"/>
                <w:kern w:val="0"/>
                <w:szCs w:val="21"/>
                <w:highlight w:val="none"/>
              </w:rPr>
            </w:pPr>
            <w:r>
              <w:rPr>
                <w:rFonts w:ascii="宋体" w:hAnsi="宋体"/>
                <w:color w:val="auto"/>
                <w:kern w:val="0"/>
                <w:szCs w:val="21"/>
                <w:highlight w:val="none"/>
                <w:lang w:eastAsia="zh-Hans"/>
              </w:rPr>
              <w:t>1</w:t>
            </w:r>
            <w:r>
              <w:rPr>
                <w:rFonts w:hint="eastAsia" w:ascii="宋体" w:hAnsi="宋体"/>
                <w:color w:val="auto"/>
                <w:kern w:val="0"/>
                <w:szCs w:val="21"/>
                <w:highlight w:val="none"/>
              </w:rPr>
              <w:t>.1</w:t>
            </w:r>
          </w:p>
        </w:tc>
        <w:tc>
          <w:tcPr>
            <w:tcW w:w="1381" w:type="pct"/>
            <w:vAlign w:val="center"/>
          </w:tcPr>
          <w:p w14:paraId="308818ED">
            <w:pPr>
              <w:widowControl/>
              <w:snapToGrid w:val="0"/>
              <w:spacing w:line="360" w:lineRule="auto"/>
              <w:contextualSpacing/>
              <w:rPr>
                <w:rFonts w:hint="eastAsia" w:ascii="宋体" w:hAnsi="宋体"/>
                <w:color w:val="auto"/>
                <w:kern w:val="0"/>
                <w:szCs w:val="21"/>
                <w:highlight w:val="none"/>
                <w:lang w:eastAsia="zh-Hans"/>
              </w:rPr>
            </w:pPr>
            <w:r>
              <w:rPr>
                <w:rFonts w:ascii="宋体" w:hAnsi="宋体"/>
                <w:color w:val="auto"/>
                <w:kern w:val="0"/>
                <w:szCs w:val="21"/>
                <w:highlight w:val="none"/>
                <w:lang w:eastAsia="zh-Hans"/>
              </w:rPr>
              <w:t>具有独立承担民事责任的能力</w:t>
            </w:r>
          </w:p>
        </w:tc>
        <w:tc>
          <w:tcPr>
            <w:tcW w:w="3159" w:type="pct"/>
            <w:vAlign w:val="center"/>
          </w:tcPr>
          <w:p w14:paraId="34BAF82C">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提供在中华人民共和国境内注册的法人或其他组织的营业执照或事业单位法人证书或社会团体法人登记证书复印件，如供应商为自然人的提供自然人身份证明复印件；如国家另有规定的，则从其规定。（分支机构响应，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r>
      <w:tr w14:paraId="4B79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325FA201">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1381" w:type="pct"/>
            <w:vAlign w:val="center"/>
          </w:tcPr>
          <w:p w14:paraId="59E7326C">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具有良好的商业信誉和健全的财务会计制度</w:t>
            </w:r>
          </w:p>
        </w:tc>
        <w:tc>
          <w:tcPr>
            <w:tcW w:w="3159" w:type="pct"/>
            <w:vAlign w:val="center"/>
          </w:tcPr>
          <w:p w14:paraId="3217ECE9">
            <w:pPr>
              <w:widowControl/>
              <w:snapToGrid w:val="0"/>
              <w:spacing w:line="360" w:lineRule="auto"/>
              <w:contextualSpacing/>
              <w:rPr>
                <w:rFonts w:hint="eastAsia" w:ascii="宋体" w:hAnsi="宋体"/>
                <w:color w:val="auto"/>
                <w:kern w:val="0"/>
                <w:szCs w:val="21"/>
                <w:highlight w:val="none"/>
                <w:lang w:eastAsia="zh-Hans"/>
              </w:rPr>
            </w:pPr>
            <w:r>
              <w:rPr>
                <w:rFonts w:hint="eastAsia"/>
                <w:bCs/>
                <w:color w:val="auto"/>
                <w:kern w:val="0"/>
                <w:szCs w:val="21"/>
                <w:highlight w:val="none"/>
              </w:rPr>
              <w:t>提</w:t>
            </w:r>
            <w:r>
              <w:rPr>
                <w:rFonts w:hint="eastAsia" w:ascii="宋体" w:hAnsi="宋体" w:eastAsia="宋体" w:cs="宋体"/>
                <w:bCs/>
                <w:color w:val="auto"/>
                <w:kern w:val="0"/>
                <w:szCs w:val="21"/>
                <w:highlight w:val="none"/>
              </w:rPr>
              <w:t>供2024年</w:t>
            </w:r>
            <w:r>
              <w:rPr>
                <w:rFonts w:hint="eastAsia" w:ascii="宋体" w:hAnsi="宋体" w:cs="宋体"/>
                <w:bCs/>
                <w:color w:val="auto"/>
                <w:kern w:val="0"/>
                <w:szCs w:val="21"/>
                <w:highlight w:val="none"/>
                <w:lang w:val="en-US" w:eastAsia="zh-CN"/>
              </w:rPr>
              <w:t>或2025年</w:t>
            </w:r>
            <w:r>
              <w:rPr>
                <w:rFonts w:hint="eastAsia"/>
                <w:bCs/>
                <w:color w:val="auto"/>
                <w:kern w:val="0"/>
                <w:szCs w:val="21"/>
                <w:highlight w:val="none"/>
              </w:rPr>
              <w:t>财务状况报告或者基本户开户银行出具的资信证明或提供资格条件承诺函（详见响应文件格式）。</w:t>
            </w:r>
          </w:p>
        </w:tc>
      </w:tr>
      <w:tr w14:paraId="20D2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24AFDD9D">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1381" w:type="pct"/>
            <w:vAlign w:val="center"/>
          </w:tcPr>
          <w:p w14:paraId="5CA7EAF8">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履行合同所必需的设备和专业技术能力</w:t>
            </w:r>
          </w:p>
        </w:tc>
        <w:tc>
          <w:tcPr>
            <w:tcW w:w="3159" w:type="pct"/>
            <w:vAlign w:val="center"/>
          </w:tcPr>
          <w:p w14:paraId="63100300">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在响应文件中填报设备及专业技术能力情况或提供资格条件承诺函（详见响应文件格式）。</w:t>
            </w:r>
          </w:p>
        </w:tc>
      </w:tr>
      <w:tr w14:paraId="538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0CB59DF1">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1.4</w:t>
            </w:r>
          </w:p>
        </w:tc>
        <w:tc>
          <w:tcPr>
            <w:tcW w:w="1381" w:type="pct"/>
            <w:vAlign w:val="center"/>
          </w:tcPr>
          <w:p w14:paraId="2241D4DE">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有依法缴纳税收和社会保障资金的良好记录</w:t>
            </w:r>
          </w:p>
        </w:tc>
        <w:tc>
          <w:tcPr>
            <w:tcW w:w="3159" w:type="pct"/>
            <w:vAlign w:val="center"/>
          </w:tcPr>
          <w:p w14:paraId="708D0478">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提供响应截止日前6个月内任意1个月依法缴纳税收和社会保障资金的相关材料；如依法免税或不需要缴纳社会保障资金的，提供相应证明材料。或提供资格条件承诺函（详见响应文件格式）。</w:t>
            </w:r>
          </w:p>
        </w:tc>
      </w:tr>
      <w:tr w14:paraId="3C6B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074A1B7F">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1.5</w:t>
            </w:r>
          </w:p>
        </w:tc>
        <w:tc>
          <w:tcPr>
            <w:tcW w:w="1381" w:type="pct"/>
            <w:vAlign w:val="center"/>
          </w:tcPr>
          <w:p w14:paraId="32BB48E0">
            <w:pPr>
              <w:widowControl/>
              <w:snapToGrid w:val="0"/>
              <w:spacing w:line="360" w:lineRule="auto"/>
              <w:contextualSpacing/>
              <w:rPr>
                <w:rFonts w:hint="eastAsia" w:ascii="宋体" w:hAnsi="宋体"/>
                <w:color w:val="auto"/>
                <w:kern w:val="0"/>
                <w:szCs w:val="21"/>
                <w:highlight w:val="none"/>
                <w:lang w:eastAsia="zh-Hans"/>
              </w:rPr>
            </w:pPr>
            <w:r>
              <w:rPr>
                <w:rFonts w:ascii="宋体" w:hAnsi="宋体"/>
                <w:color w:val="auto"/>
                <w:kern w:val="0"/>
                <w:szCs w:val="21"/>
                <w:highlight w:val="none"/>
                <w:lang w:eastAsia="zh-Hans"/>
              </w:rPr>
              <w:t>参加采购活动前3年内，在经营活动中没有重大违法记录</w:t>
            </w:r>
          </w:p>
        </w:tc>
        <w:tc>
          <w:tcPr>
            <w:tcW w:w="3159" w:type="pct"/>
            <w:vAlign w:val="center"/>
          </w:tcPr>
          <w:p w14:paraId="3FCCC226">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提供资格条件承诺函（详见响应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419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16F4EED7">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1381" w:type="pct"/>
            <w:vAlign w:val="center"/>
          </w:tcPr>
          <w:p w14:paraId="5A05496A">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落实采购政策需满足的资格要求</w:t>
            </w:r>
          </w:p>
        </w:tc>
        <w:tc>
          <w:tcPr>
            <w:tcW w:w="3159" w:type="pct"/>
            <w:vAlign w:val="center"/>
          </w:tcPr>
          <w:p w14:paraId="4CFE6C5C">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本项目</w:t>
            </w:r>
            <w:r>
              <w:rPr>
                <w:rFonts w:hint="eastAsia" w:ascii="宋体" w:hAnsi="宋体"/>
                <w:color w:val="auto"/>
                <w:kern w:val="0"/>
                <w:szCs w:val="21"/>
                <w:highlight w:val="none"/>
                <w:lang w:val="en-US" w:eastAsia="zh-CN"/>
              </w:rPr>
              <w:t>不</w:t>
            </w:r>
            <w:r>
              <w:rPr>
                <w:rFonts w:hint="eastAsia" w:ascii="宋体" w:hAnsi="宋体"/>
                <w:color w:val="auto"/>
                <w:kern w:val="0"/>
                <w:szCs w:val="21"/>
                <w:highlight w:val="none"/>
                <w:lang w:eastAsia="zh-Hans"/>
              </w:rPr>
              <w:t>专门面向中小企业采购。</w:t>
            </w:r>
          </w:p>
        </w:tc>
      </w:tr>
      <w:tr w14:paraId="76D8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59" w:type="pct"/>
            <w:vAlign w:val="center"/>
          </w:tcPr>
          <w:p w14:paraId="4DC5D64E">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4540" w:type="pct"/>
            <w:gridSpan w:val="2"/>
            <w:vAlign w:val="center"/>
          </w:tcPr>
          <w:p w14:paraId="15807DCA">
            <w:pPr>
              <w:widowControl/>
              <w:snapToGrid w:val="0"/>
              <w:spacing w:line="360" w:lineRule="auto"/>
              <w:contextualSpacing/>
              <w:rPr>
                <w:rFonts w:hint="eastAsia" w:ascii="宋体" w:hAnsi="宋体"/>
                <w:color w:val="auto"/>
                <w:kern w:val="0"/>
                <w:szCs w:val="21"/>
                <w:highlight w:val="none"/>
              </w:rPr>
            </w:pPr>
            <w:r>
              <w:rPr>
                <w:rFonts w:hint="eastAsia" w:ascii="宋体" w:hAnsi="宋体"/>
                <w:color w:val="auto"/>
                <w:kern w:val="0"/>
                <w:szCs w:val="21"/>
                <w:highlight w:val="none"/>
                <w:lang w:eastAsia="zh-Hans"/>
              </w:rPr>
              <w:t>本项目的特定资格要求：</w:t>
            </w:r>
          </w:p>
        </w:tc>
      </w:tr>
      <w:tr w14:paraId="5B60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1973661D">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3.1</w:t>
            </w:r>
          </w:p>
        </w:tc>
        <w:tc>
          <w:tcPr>
            <w:tcW w:w="1381" w:type="pct"/>
            <w:vAlign w:val="center"/>
          </w:tcPr>
          <w:p w14:paraId="0627879F">
            <w:pPr>
              <w:widowControl/>
              <w:snapToGrid w:val="0"/>
              <w:spacing w:line="360" w:lineRule="auto"/>
              <w:contextualSpacing/>
              <w:rPr>
                <w:rFonts w:hint="eastAsia" w:ascii="宋体" w:hAnsi="宋体"/>
                <w:color w:val="auto"/>
                <w:kern w:val="0"/>
                <w:szCs w:val="21"/>
                <w:highlight w:val="none"/>
              </w:rPr>
            </w:pPr>
            <w:r>
              <w:rPr>
                <w:rFonts w:hint="eastAsia" w:ascii="宋体" w:hAnsi="宋体"/>
                <w:color w:val="auto"/>
                <w:kern w:val="0"/>
                <w:szCs w:val="21"/>
                <w:highlight w:val="none"/>
                <w:lang w:eastAsia="zh-Hans"/>
              </w:rPr>
              <w:t>供应商信用记录</w:t>
            </w:r>
          </w:p>
        </w:tc>
        <w:tc>
          <w:tcPr>
            <w:tcW w:w="3159" w:type="pct"/>
            <w:vAlign w:val="center"/>
          </w:tcPr>
          <w:p w14:paraId="4C7FE884">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58D4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698CB3C6">
            <w:pPr>
              <w:widowControl/>
              <w:snapToGrid w:val="0"/>
              <w:spacing w:line="360" w:lineRule="auto"/>
              <w:contextualSpacing/>
              <w:jc w:val="center"/>
              <w:rPr>
                <w:rFonts w:hint="eastAsia" w:ascii="宋体" w:hAnsi="宋体"/>
                <w:color w:val="auto"/>
                <w:kern w:val="0"/>
                <w:szCs w:val="21"/>
                <w:highlight w:val="none"/>
              </w:rPr>
            </w:pPr>
            <w:r>
              <w:rPr>
                <w:rFonts w:hint="eastAsia" w:ascii="宋体" w:hAnsi="宋体"/>
                <w:color w:val="auto"/>
                <w:kern w:val="0"/>
                <w:szCs w:val="21"/>
                <w:highlight w:val="none"/>
              </w:rPr>
              <w:t>3.2</w:t>
            </w:r>
          </w:p>
        </w:tc>
        <w:tc>
          <w:tcPr>
            <w:tcW w:w="1381" w:type="pct"/>
            <w:vAlign w:val="center"/>
          </w:tcPr>
          <w:p w14:paraId="1D48C561">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供应商必须符合法律、行政法规规定的其他条件</w:t>
            </w:r>
          </w:p>
        </w:tc>
        <w:tc>
          <w:tcPr>
            <w:tcW w:w="3159" w:type="pct"/>
            <w:vAlign w:val="center"/>
          </w:tcPr>
          <w:p w14:paraId="7E2D9595">
            <w:pPr>
              <w:widowControl/>
              <w:snapToGrid w:val="0"/>
              <w:spacing w:line="360" w:lineRule="auto"/>
              <w:contextualSpacing/>
              <w:rPr>
                <w:rFonts w:hint="eastAsia" w:ascii="宋体" w:hAnsi="宋体"/>
                <w:color w:val="auto"/>
                <w:kern w:val="0"/>
                <w:szCs w:val="21"/>
                <w:highlight w:val="none"/>
                <w:lang w:eastAsia="zh-Hans"/>
              </w:rPr>
            </w:pPr>
            <w:r>
              <w:rPr>
                <w:rFonts w:hint="eastAsia" w:ascii="宋体" w:hAnsi="宋体"/>
                <w:color w:val="auto"/>
                <w:kern w:val="0"/>
                <w:szCs w:val="21"/>
                <w:highlight w:val="none"/>
                <w:lang w:eastAsia="zh-Hans"/>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bl>
    <w:p w14:paraId="0CA67AF6">
      <w:pPr>
        <w:pStyle w:val="11"/>
        <w:outlineLvl w:val="9"/>
        <w:rPr>
          <w:rFonts w:hint="default"/>
          <w:b/>
          <w:sz w:val="24"/>
          <w:highlight w:val="none"/>
        </w:rPr>
      </w:pPr>
    </w:p>
    <w:p w14:paraId="0498200E">
      <w:pPr>
        <w:rPr>
          <w:rFonts w:ascii="宋体" w:hAnsi="宋体"/>
          <w:b/>
          <w:bCs/>
          <w:kern w:val="0"/>
          <w:szCs w:val="21"/>
          <w:highlight w:val="none"/>
          <w:lang w:eastAsia="zh-Hans"/>
        </w:rPr>
      </w:pPr>
      <w:r>
        <w:rPr>
          <w:rFonts w:ascii="宋体" w:hAnsi="宋体"/>
          <w:b/>
          <w:bCs/>
          <w:kern w:val="0"/>
          <w:szCs w:val="21"/>
          <w:highlight w:val="none"/>
          <w:lang w:eastAsia="zh-Hans"/>
        </w:rPr>
        <w:t>表二符合性审查表：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82"/>
      </w:tblGrid>
      <w:tr w14:paraId="6CC0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9" w:type="pct"/>
            <w:vAlign w:val="center"/>
          </w:tcPr>
          <w:p w14:paraId="1D3C2D15">
            <w:pPr>
              <w:widowControl/>
              <w:spacing w:line="360" w:lineRule="auto"/>
              <w:jc w:val="left"/>
              <w:rPr>
                <w:rFonts w:ascii="宋体" w:hAnsi="宋体"/>
                <w:b/>
                <w:bCs/>
                <w:kern w:val="0"/>
                <w:szCs w:val="21"/>
                <w:highlight w:val="none"/>
                <w:lang w:eastAsia="zh-Hans"/>
              </w:rPr>
            </w:pPr>
            <w:r>
              <w:rPr>
                <w:rFonts w:ascii="宋体" w:hAnsi="宋体"/>
                <w:b/>
                <w:bCs/>
                <w:kern w:val="0"/>
                <w:szCs w:val="21"/>
                <w:highlight w:val="none"/>
                <w:lang w:eastAsia="zh-Hans"/>
              </w:rPr>
              <w:t>序号</w:t>
            </w:r>
          </w:p>
        </w:tc>
        <w:tc>
          <w:tcPr>
            <w:tcW w:w="4621" w:type="pct"/>
            <w:vAlign w:val="center"/>
          </w:tcPr>
          <w:p w14:paraId="3E9F5EB4">
            <w:pPr>
              <w:widowControl/>
              <w:spacing w:line="360" w:lineRule="auto"/>
              <w:jc w:val="left"/>
              <w:rPr>
                <w:rFonts w:ascii="宋体" w:hAnsi="宋体"/>
                <w:b/>
                <w:bCs/>
                <w:kern w:val="0"/>
                <w:szCs w:val="21"/>
                <w:highlight w:val="none"/>
                <w:lang w:eastAsia="zh-Hans"/>
              </w:rPr>
            </w:pPr>
            <w:r>
              <w:rPr>
                <w:rFonts w:hint="eastAsia" w:ascii="宋体" w:hAnsi="宋体"/>
                <w:b/>
                <w:bCs/>
                <w:kern w:val="0"/>
                <w:szCs w:val="21"/>
                <w:highlight w:val="none"/>
                <w:lang w:eastAsia="zh-Hans"/>
              </w:rPr>
              <w:t>审查内容</w:t>
            </w:r>
          </w:p>
        </w:tc>
      </w:tr>
      <w:tr w14:paraId="1C7B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12874D1D">
            <w:pPr>
              <w:widowControl/>
              <w:spacing w:line="360" w:lineRule="auto"/>
              <w:jc w:val="center"/>
              <w:rPr>
                <w:rFonts w:ascii="宋体" w:hAnsi="宋体"/>
                <w:kern w:val="0"/>
                <w:szCs w:val="21"/>
                <w:highlight w:val="none"/>
                <w:lang w:eastAsia="zh-Hans"/>
              </w:rPr>
            </w:pPr>
            <w:r>
              <w:rPr>
                <w:rFonts w:ascii="宋体" w:hAnsi="宋体"/>
                <w:kern w:val="0"/>
                <w:szCs w:val="21"/>
                <w:highlight w:val="none"/>
                <w:lang w:eastAsia="zh-Hans"/>
              </w:rPr>
              <w:t>1</w:t>
            </w:r>
          </w:p>
        </w:tc>
        <w:tc>
          <w:tcPr>
            <w:tcW w:w="4621" w:type="pct"/>
          </w:tcPr>
          <w:p w14:paraId="6831296E">
            <w:pPr>
              <w:widowControl/>
              <w:spacing w:line="360" w:lineRule="auto"/>
              <w:jc w:val="left"/>
              <w:rPr>
                <w:rFonts w:ascii="宋体" w:hAnsi="宋体"/>
                <w:kern w:val="0"/>
                <w:szCs w:val="21"/>
                <w:highlight w:val="none"/>
              </w:rPr>
            </w:pPr>
            <w:r>
              <w:rPr>
                <w:rFonts w:ascii="宋体" w:hAnsi="宋体"/>
                <w:kern w:val="0"/>
                <w:szCs w:val="21"/>
                <w:highlight w:val="none"/>
                <w:lang w:eastAsia="zh-Hans"/>
              </w:rPr>
              <w:t>报价符合本项目报价要求。</w:t>
            </w:r>
          </w:p>
        </w:tc>
      </w:tr>
      <w:tr w14:paraId="5D4D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4088544D">
            <w:pPr>
              <w:widowControl/>
              <w:spacing w:line="360" w:lineRule="auto"/>
              <w:jc w:val="center"/>
              <w:rPr>
                <w:rFonts w:ascii="宋体" w:hAnsi="宋体"/>
                <w:kern w:val="0"/>
                <w:szCs w:val="21"/>
                <w:highlight w:val="none"/>
                <w:lang w:eastAsia="zh-Hans"/>
              </w:rPr>
            </w:pPr>
            <w:r>
              <w:rPr>
                <w:rFonts w:ascii="宋体" w:hAnsi="宋体"/>
                <w:kern w:val="0"/>
                <w:szCs w:val="21"/>
                <w:highlight w:val="none"/>
                <w:lang w:eastAsia="zh-Hans"/>
              </w:rPr>
              <w:t>2</w:t>
            </w:r>
          </w:p>
        </w:tc>
        <w:tc>
          <w:tcPr>
            <w:tcW w:w="4621" w:type="pct"/>
          </w:tcPr>
          <w:p w14:paraId="322ED109">
            <w:pPr>
              <w:widowControl/>
              <w:spacing w:line="360" w:lineRule="auto"/>
              <w:jc w:val="left"/>
              <w:rPr>
                <w:rFonts w:ascii="宋体" w:hAnsi="宋体"/>
                <w:kern w:val="0"/>
                <w:szCs w:val="21"/>
                <w:highlight w:val="none"/>
              </w:rPr>
            </w:pPr>
            <w:r>
              <w:rPr>
                <w:rFonts w:ascii="宋体" w:hAnsi="宋体"/>
                <w:kern w:val="0"/>
                <w:szCs w:val="21"/>
                <w:highlight w:val="none"/>
                <w:lang w:eastAsia="zh-Hans"/>
              </w:rPr>
              <w:t>法人授权委托证明。(</w:t>
            </w:r>
            <w:r>
              <w:rPr>
                <w:rFonts w:hint="eastAsia" w:ascii="宋体" w:hAnsi="宋体"/>
                <w:kern w:val="0"/>
                <w:szCs w:val="21"/>
                <w:highlight w:val="none"/>
                <w:lang w:eastAsia="zh-Hans"/>
              </w:rPr>
              <w:t>供应商</w:t>
            </w:r>
            <w:r>
              <w:rPr>
                <w:rFonts w:ascii="宋体" w:hAnsi="宋体"/>
                <w:kern w:val="0"/>
                <w:szCs w:val="21"/>
                <w:highlight w:val="none"/>
                <w:lang w:eastAsia="zh-Hans"/>
              </w:rPr>
              <w:t>代表为法定代表人的除外)</w:t>
            </w:r>
          </w:p>
        </w:tc>
      </w:tr>
      <w:tr w14:paraId="26FD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030DB47A">
            <w:pPr>
              <w:widowControl/>
              <w:spacing w:line="360" w:lineRule="auto"/>
              <w:jc w:val="center"/>
              <w:rPr>
                <w:rFonts w:ascii="宋体" w:hAnsi="宋体"/>
                <w:kern w:val="0"/>
                <w:szCs w:val="21"/>
                <w:highlight w:val="none"/>
                <w:lang w:eastAsia="zh-Hans"/>
              </w:rPr>
            </w:pPr>
            <w:r>
              <w:rPr>
                <w:rFonts w:ascii="宋体" w:hAnsi="宋体"/>
                <w:kern w:val="0"/>
                <w:szCs w:val="21"/>
                <w:highlight w:val="none"/>
                <w:lang w:eastAsia="zh-Hans"/>
              </w:rPr>
              <w:t>3</w:t>
            </w:r>
          </w:p>
        </w:tc>
        <w:tc>
          <w:tcPr>
            <w:tcW w:w="4621" w:type="pct"/>
          </w:tcPr>
          <w:p w14:paraId="65073E73">
            <w:pPr>
              <w:widowControl/>
              <w:spacing w:line="360" w:lineRule="auto"/>
              <w:jc w:val="left"/>
              <w:rPr>
                <w:rFonts w:ascii="宋体" w:hAnsi="宋体"/>
                <w:spacing w:val="-4"/>
                <w:kern w:val="0"/>
                <w:szCs w:val="21"/>
                <w:highlight w:val="none"/>
              </w:rPr>
            </w:pPr>
            <w:r>
              <w:rPr>
                <w:rFonts w:hint="eastAsia" w:ascii="宋体" w:hAnsi="宋体"/>
                <w:spacing w:val="-4"/>
                <w:kern w:val="0"/>
                <w:szCs w:val="21"/>
                <w:highlight w:val="none"/>
                <w:lang w:eastAsia="zh-Hans"/>
              </w:rPr>
              <w:t>磋商</w:t>
            </w:r>
            <w:r>
              <w:rPr>
                <w:rFonts w:ascii="宋体" w:hAnsi="宋体"/>
                <w:spacing w:val="-4"/>
                <w:kern w:val="0"/>
                <w:szCs w:val="21"/>
                <w:highlight w:val="none"/>
                <w:lang w:eastAsia="zh-Hans"/>
              </w:rPr>
              <w:t>函已提交并符合</w:t>
            </w:r>
            <w:r>
              <w:rPr>
                <w:rFonts w:hint="eastAsia" w:ascii="宋体" w:hAnsi="宋体"/>
                <w:spacing w:val="-4"/>
                <w:kern w:val="0"/>
                <w:szCs w:val="21"/>
                <w:highlight w:val="none"/>
                <w:lang w:eastAsia="zh-Hans"/>
              </w:rPr>
              <w:t>磋商</w:t>
            </w:r>
            <w:r>
              <w:rPr>
                <w:rFonts w:ascii="宋体" w:hAnsi="宋体"/>
                <w:spacing w:val="-4"/>
                <w:kern w:val="0"/>
                <w:szCs w:val="21"/>
                <w:highlight w:val="none"/>
                <w:lang w:eastAsia="zh-Hans"/>
              </w:rPr>
              <w:t>文件要求的，且</w:t>
            </w:r>
            <w:r>
              <w:rPr>
                <w:rFonts w:hint="eastAsia" w:ascii="宋体" w:hAnsi="宋体"/>
                <w:spacing w:val="-4"/>
                <w:kern w:val="0"/>
                <w:szCs w:val="21"/>
                <w:highlight w:val="none"/>
                <w:lang w:eastAsia="zh-Hans"/>
              </w:rPr>
              <w:t>响应</w:t>
            </w:r>
            <w:r>
              <w:rPr>
                <w:rFonts w:ascii="宋体" w:hAnsi="宋体"/>
                <w:spacing w:val="-4"/>
                <w:kern w:val="0"/>
                <w:szCs w:val="21"/>
                <w:highlight w:val="none"/>
                <w:lang w:eastAsia="zh-Hans"/>
              </w:rPr>
              <w:t>有效期不少于</w:t>
            </w:r>
            <w:r>
              <w:rPr>
                <w:rFonts w:hint="eastAsia" w:ascii="宋体" w:hAnsi="宋体"/>
                <w:spacing w:val="-4"/>
                <w:kern w:val="0"/>
                <w:szCs w:val="21"/>
                <w:highlight w:val="none"/>
                <w:lang w:eastAsia="zh-Hans"/>
              </w:rPr>
              <w:t>磋商</w:t>
            </w:r>
            <w:r>
              <w:rPr>
                <w:rFonts w:ascii="宋体" w:hAnsi="宋体"/>
                <w:spacing w:val="-4"/>
                <w:kern w:val="0"/>
                <w:szCs w:val="21"/>
                <w:highlight w:val="none"/>
                <w:lang w:eastAsia="zh-Hans"/>
              </w:rPr>
              <w:t>文件中载明的</w:t>
            </w:r>
            <w:r>
              <w:rPr>
                <w:rFonts w:hint="eastAsia" w:ascii="宋体" w:hAnsi="宋体"/>
                <w:spacing w:val="-4"/>
                <w:kern w:val="0"/>
                <w:szCs w:val="21"/>
                <w:highlight w:val="none"/>
                <w:lang w:eastAsia="zh-Hans"/>
              </w:rPr>
              <w:t>响应</w:t>
            </w:r>
            <w:r>
              <w:rPr>
                <w:rFonts w:ascii="宋体" w:hAnsi="宋体"/>
                <w:spacing w:val="-4"/>
                <w:kern w:val="0"/>
                <w:szCs w:val="21"/>
                <w:highlight w:val="none"/>
                <w:lang w:eastAsia="zh-Hans"/>
              </w:rPr>
              <w:t>有效期。</w:t>
            </w:r>
          </w:p>
        </w:tc>
      </w:tr>
      <w:tr w14:paraId="5C81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6D77F004">
            <w:pPr>
              <w:widowControl/>
              <w:spacing w:line="360" w:lineRule="auto"/>
              <w:jc w:val="center"/>
              <w:rPr>
                <w:rFonts w:ascii="宋体" w:hAnsi="宋体"/>
                <w:kern w:val="0"/>
                <w:szCs w:val="21"/>
                <w:highlight w:val="none"/>
                <w:lang w:eastAsia="zh-Hans"/>
              </w:rPr>
            </w:pPr>
            <w:r>
              <w:rPr>
                <w:rFonts w:ascii="宋体" w:hAnsi="宋体"/>
                <w:kern w:val="0"/>
                <w:szCs w:val="21"/>
                <w:highlight w:val="none"/>
                <w:lang w:eastAsia="zh-Hans"/>
              </w:rPr>
              <w:t>4</w:t>
            </w:r>
          </w:p>
        </w:tc>
        <w:tc>
          <w:tcPr>
            <w:tcW w:w="4621" w:type="pct"/>
          </w:tcPr>
          <w:p w14:paraId="06682299">
            <w:pPr>
              <w:widowControl/>
              <w:spacing w:line="360" w:lineRule="auto"/>
              <w:jc w:val="left"/>
              <w:rPr>
                <w:rFonts w:ascii="宋体" w:hAnsi="宋体"/>
                <w:kern w:val="0"/>
                <w:szCs w:val="21"/>
                <w:highlight w:val="none"/>
              </w:rPr>
            </w:pPr>
            <w:r>
              <w:rPr>
                <w:rFonts w:hint="eastAsia" w:ascii="宋体" w:hAnsi="宋体"/>
                <w:kern w:val="0"/>
                <w:szCs w:val="21"/>
                <w:highlight w:val="none"/>
                <w:lang w:eastAsia="zh-Hans"/>
              </w:rPr>
              <w:t>响应</w:t>
            </w:r>
            <w:r>
              <w:rPr>
                <w:rFonts w:ascii="宋体" w:hAnsi="宋体"/>
                <w:kern w:val="0"/>
                <w:szCs w:val="21"/>
                <w:highlight w:val="none"/>
                <w:lang w:eastAsia="zh-Hans"/>
              </w:rPr>
              <w:t>文件的签署、盖章符合</w:t>
            </w:r>
            <w:r>
              <w:rPr>
                <w:rFonts w:hint="eastAsia" w:ascii="宋体" w:hAnsi="宋体"/>
                <w:kern w:val="0"/>
                <w:szCs w:val="21"/>
                <w:highlight w:val="none"/>
                <w:lang w:eastAsia="zh-Hans"/>
              </w:rPr>
              <w:t>磋商</w:t>
            </w:r>
            <w:r>
              <w:rPr>
                <w:rFonts w:ascii="宋体" w:hAnsi="宋体"/>
                <w:kern w:val="0"/>
                <w:szCs w:val="21"/>
                <w:highlight w:val="none"/>
                <w:lang w:eastAsia="zh-Hans"/>
              </w:rPr>
              <w:t>文件要求。</w:t>
            </w:r>
          </w:p>
        </w:tc>
      </w:tr>
      <w:tr w14:paraId="5BFC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2D47519D">
            <w:pPr>
              <w:widowControl/>
              <w:spacing w:line="360" w:lineRule="auto"/>
              <w:jc w:val="center"/>
              <w:rPr>
                <w:rFonts w:ascii="宋体" w:hAnsi="宋体"/>
                <w:kern w:val="0"/>
                <w:szCs w:val="21"/>
                <w:highlight w:val="none"/>
                <w:lang w:eastAsia="zh-Hans"/>
              </w:rPr>
            </w:pPr>
            <w:r>
              <w:rPr>
                <w:rFonts w:ascii="宋体" w:hAnsi="宋体"/>
                <w:kern w:val="0"/>
                <w:szCs w:val="21"/>
                <w:highlight w:val="none"/>
                <w:lang w:eastAsia="zh-Hans"/>
              </w:rPr>
              <w:t>5</w:t>
            </w:r>
          </w:p>
        </w:tc>
        <w:tc>
          <w:tcPr>
            <w:tcW w:w="4621" w:type="pct"/>
          </w:tcPr>
          <w:p w14:paraId="6B2100C4">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采购需求当中的</w:t>
            </w:r>
            <w:r>
              <w:rPr>
                <w:rFonts w:ascii="宋体" w:hAnsi="宋体" w:cs="Segoe UI Symbol"/>
                <w:kern w:val="0"/>
                <w:szCs w:val="21"/>
                <w:highlight w:val="none"/>
                <w:lang w:eastAsia="zh-Hans"/>
              </w:rPr>
              <w:t>★</w:t>
            </w:r>
            <w:r>
              <w:rPr>
                <w:rFonts w:ascii="宋体" w:hAnsi="宋体"/>
                <w:kern w:val="0"/>
                <w:szCs w:val="21"/>
                <w:highlight w:val="none"/>
                <w:lang w:eastAsia="zh-Hans"/>
              </w:rPr>
              <w:t>条款满足要求。(若本项目无</w:t>
            </w:r>
            <w:r>
              <w:rPr>
                <w:rFonts w:ascii="宋体" w:hAnsi="宋体" w:cs="Segoe UI Symbol"/>
                <w:kern w:val="0"/>
                <w:szCs w:val="21"/>
                <w:highlight w:val="none"/>
                <w:lang w:eastAsia="zh-Hans"/>
              </w:rPr>
              <w:t>★</w:t>
            </w:r>
            <w:r>
              <w:rPr>
                <w:rFonts w:ascii="宋体" w:hAnsi="宋体"/>
                <w:kern w:val="0"/>
                <w:szCs w:val="21"/>
                <w:highlight w:val="none"/>
                <w:lang w:eastAsia="zh-Hans"/>
              </w:rPr>
              <w:t>条款，此项通过)</w:t>
            </w:r>
          </w:p>
        </w:tc>
      </w:tr>
      <w:tr w14:paraId="6BD0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6C9B6899">
            <w:pPr>
              <w:widowControl/>
              <w:spacing w:line="360" w:lineRule="auto"/>
              <w:jc w:val="center"/>
              <w:rPr>
                <w:rFonts w:ascii="宋体" w:hAnsi="宋体"/>
                <w:kern w:val="0"/>
                <w:szCs w:val="21"/>
                <w:highlight w:val="none"/>
                <w:lang w:eastAsia="zh-Hans"/>
              </w:rPr>
            </w:pPr>
            <w:r>
              <w:rPr>
                <w:rFonts w:ascii="宋体" w:hAnsi="宋体"/>
                <w:kern w:val="0"/>
                <w:szCs w:val="21"/>
                <w:highlight w:val="none"/>
                <w:lang w:eastAsia="zh-Hans"/>
              </w:rPr>
              <w:t>6</w:t>
            </w:r>
          </w:p>
        </w:tc>
        <w:tc>
          <w:tcPr>
            <w:tcW w:w="4621" w:type="pct"/>
          </w:tcPr>
          <w:p w14:paraId="52FDFA90">
            <w:pPr>
              <w:widowControl/>
              <w:spacing w:line="360" w:lineRule="auto"/>
              <w:jc w:val="left"/>
              <w:rPr>
                <w:rFonts w:ascii="宋体" w:hAnsi="宋体"/>
                <w:kern w:val="0"/>
                <w:szCs w:val="21"/>
                <w:highlight w:val="none"/>
                <w:lang w:eastAsia="zh-Hans"/>
              </w:rPr>
            </w:pPr>
            <w:r>
              <w:rPr>
                <w:rFonts w:hint="eastAsia" w:ascii="宋体" w:hAnsi="宋体"/>
                <w:kern w:val="0"/>
                <w:szCs w:val="21"/>
                <w:highlight w:val="none"/>
                <w:lang w:eastAsia="zh-Hans"/>
              </w:rPr>
              <w:t>响应</w:t>
            </w:r>
            <w:r>
              <w:rPr>
                <w:rFonts w:ascii="宋体" w:hAnsi="宋体"/>
                <w:kern w:val="0"/>
                <w:szCs w:val="21"/>
                <w:highlight w:val="none"/>
                <w:lang w:eastAsia="zh-Hans"/>
              </w:rPr>
              <w:t>文件未出现选择性报价或有附加条件报价的情形。</w:t>
            </w:r>
          </w:p>
        </w:tc>
      </w:tr>
      <w:tr w14:paraId="4B7B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6D29F2CD">
            <w:pPr>
              <w:widowControl/>
              <w:spacing w:line="360" w:lineRule="auto"/>
              <w:jc w:val="center"/>
              <w:rPr>
                <w:rFonts w:ascii="宋体" w:hAnsi="宋体"/>
                <w:kern w:val="0"/>
                <w:szCs w:val="21"/>
                <w:highlight w:val="none"/>
                <w:lang w:eastAsia="zh-Hans"/>
              </w:rPr>
            </w:pPr>
            <w:r>
              <w:rPr>
                <w:rFonts w:ascii="宋体" w:hAnsi="宋体"/>
                <w:kern w:val="0"/>
                <w:szCs w:val="21"/>
                <w:highlight w:val="none"/>
                <w:lang w:eastAsia="zh-Hans"/>
              </w:rPr>
              <w:t>7</w:t>
            </w:r>
          </w:p>
        </w:tc>
        <w:tc>
          <w:tcPr>
            <w:tcW w:w="4621" w:type="pct"/>
          </w:tcPr>
          <w:p w14:paraId="03CC9F31">
            <w:pPr>
              <w:widowControl/>
              <w:spacing w:line="360" w:lineRule="auto"/>
              <w:jc w:val="left"/>
              <w:rPr>
                <w:rFonts w:ascii="宋体" w:hAnsi="宋体"/>
                <w:kern w:val="0"/>
                <w:szCs w:val="21"/>
                <w:highlight w:val="none"/>
                <w:lang w:eastAsia="zh-Hans"/>
              </w:rPr>
            </w:pPr>
            <w:r>
              <w:rPr>
                <w:rFonts w:hint="eastAsia" w:ascii="宋体" w:hAnsi="宋体"/>
                <w:kern w:val="0"/>
                <w:szCs w:val="21"/>
                <w:highlight w:val="none"/>
                <w:lang w:eastAsia="zh-Hans"/>
              </w:rPr>
              <w:t>响应</w:t>
            </w:r>
            <w:r>
              <w:rPr>
                <w:rFonts w:ascii="宋体" w:hAnsi="宋体"/>
                <w:kern w:val="0"/>
                <w:szCs w:val="21"/>
                <w:highlight w:val="none"/>
                <w:lang w:eastAsia="zh-Hans"/>
              </w:rPr>
              <w:t>文件没有</w:t>
            </w:r>
            <w:r>
              <w:rPr>
                <w:rFonts w:hint="eastAsia" w:ascii="宋体" w:hAnsi="宋体"/>
                <w:kern w:val="0"/>
                <w:szCs w:val="21"/>
                <w:highlight w:val="none"/>
                <w:lang w:eastAsia="zh-Hans"/>
              </w:rPr>
              <w:t>磋商</w:t>
            </w:r>
            <w:r>
              <w:rPr>
                <w:rFonts w:ascii="宋体" w:hAnsi="宋体"/>
                <w:kern w:val="0"/>
                <w:szCs w:val="21"/>
                <w:highlight w:val="none"/>
                <w:lang w:eastAsia="zh-Hans"/>
              </w:rPr>
              <w:t>文件中规定的其它无效</w:t>
            </w:r>
            <w:r>
              <w:rPr>
                <w:rFonts w:hint="eastAsia" w:ascii="宋体" w:hAnsi="宋体"/>
                <w:kern w:val="0"/>
                <w:szCs w:val="21"/>
                <w:highlight w:val="none"/>
                <w:lang w:eastAsia="zh-Hans"/>
              </w:rPr>
              <w:t>响应</w:t>
            </w:r>
            <w:r>
              <w:rPr>
                <w:rFonts w:ascii="宋体" w:hAnsi="宋体"/>
                <w:kern w:val="0"/>
                <w:szCs w:val="21"/>
                <w:highlight w:val="none"/>
                <w:lang w:eastAsia="zh-Hans"/>
              </w:rPr>
              <w:t>条款的。</w:t>
            </w:r>
          </w:p>
        </w:tc>
      </w:tr>
      <w:tr w14:paraId="7E88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0A03E6B6">
            <w:pPr>
              <w:widowControl/>
              <w:spacing w:line="360" w:lineRule="auto"/>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8</w:t>
            </w:r>
          </w:p>
        </w:tc>
        <w:tc>
          <w:tcPr>
            <w:tcW w:w="4621" w:type="pct"/>
          </w:tcPr>
          <w:p w14:paraId="5B0CD49F">
            <w:pPr>
              <w:widowControl/>
              <w:spacing w:line="360" w:lineRule="auto"/>
              <w:jc w:val="left"/>
              <w:rPr>
                <w:rFonts w:hint="eastAsia" w:ascii="宋体" w:hAnsi="宋体"/>
                <w:kern w:val="0"/>
                <w:szCs w:val="21"/>
                <w:highlight w:val="none"/>
                <w:lang w:eastAsia="zh-Hans"/>
              </w:rPr>
            </w:pPr>
            <w:r>
              <w:rPr>
                <w:rFonts w:hint="eastAsia" w:ascii="宋体" w:hAnsi="宋体"/>
                <w:kern w:val="0"/>
                <w:szCs w:val="21"/>
                <w:highlight w:val="none"/>
                <w:lang w:val="en-US" w:eastAsia="zh-CN"/>
              </w:rPr>
              <w:t>报价未触发</w:t>
            </w:r>
            <w:r>
              <w:rPr>
                <w:rFonts w:hint="eastAsia" w:ascii="宋体" w:hAnsi="宋体"/>
                <w:kern w:val="0"/>
                <w:szCs w:val="21"/>
                <w:highlight w:val="none"/>
                <w:lang w:eastAsia="zh-Hans"/>
              </w:rPr>
              <w:t>异常低价审查，</w:t>
            </w:r>
            <w:r>
              <w:rPr>
                <w:rFonts w:hint="eastAsia" w:ascii="宋体" w:hAnsi="宋体"/>
                <w:kern w:val="0"/>
                <w:szCs w:val="21"/>
                <w:highlight w:val="none"/>
                <w:lang w:val="en-US" w:eastAsia="zh-CN"/>
              </w:rPr>
              <w:t>或供应商能证明其报价合理性的</w:t>
            </w:r>
            <w:r>
              <w:rPr>
                <w:rFonts w:hint="eastAsia" w:ascii="宋体" w:hAnsi="宋体"/>
                <w:kern w:val="0"/>
                <w:szCs w:val="21"/>
                <w:highlight w:val="none"/>
                <w:lang w:eastAsia="zh-Hans"/>
              </w:rPr>
              <w:t>。</w:t>
            </w:r>
          </w:p>
        </w:tc>
      </w:tr>
    </w:tbl>
    <w:p w14:paraId="6A409334">
      <w:pPr>
        <w:pStyle w:val="11"/>
        <w:keepLines/>
        <w:widowControl w:val="0"/>
        <w:outlineLvl w:val="9"/>
        <w:rPr>
          <w:rFonts w:hint="default"/>
          <w:b/>
          <w:sz w:val="24"/>
          <w:highlight w:val="none"/>
          <w:lang w:eastAsia="zh-CN"/>
        </w:rPr>
      </w:pPr>
    </w:p>
    <w:p w14:paraId="571F787E">
      <w:pPr>
        <w:pStyle w:val="11"/>
        <w:numPr>
          <w:ilvl w:val="0"/>
          <w:numId w:val="90"/>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响应文件澄清</w:t>
      </w:r>
    </w:p>
    <w:p w14:paraId="5EB9038B">
      <w:pPr>
        <w:pStyle w:val="11"/>
        <w:numPr>
          <w:ilvl w:val="0"/>
          <w:numId w:val="92"/>
        </w:numPr>
        <w:snapToGrid w:val="0"/>
        <w:spacing w:line="360" w:lineRule="auto"/>
        <w:contextualSpacing/>
        <w:rPr>
          <w:rFonts w:hint="default" w:ascii="宋体" w:hAnsi="宋体" w:eastAsia="宋体"/>
          <w:sz w:val="21"/>
          <w:szCs w:val="21"/>
          <w:highlight w:val="none"/>
        </w:rPr>
      </w:pPr>
      <w:r>
        <w:rPr>
          <w:rFonts w:ascii="宋体" w:hAnsi="宋体" w:eastAsia="宋体"/>
          <w:sz w:val="21"/>
          <w:szCs w:val="21"/>
          <w:highlight w:val="none"/>
        </w:rPr>
        <w:t>对于响应文件中含义不明确、同类问题表述不一致或者有明显文字和计算错误的内容，磋商小组应当在评审过程中发起澄清，要求供应商针对价格或内容做出必要的澄清、说明或补正。</w:t>
      </w:r>
    </w:p>
    <w:p w14:paraId="39AEFA04">
      <w:pPr>
        <w:pStyle w:val="11"/>
        <w:numPr>
          <w:ilvl w:val="0"/>
          <w:numId w:val="92"/>
        </w:numPr>
        <w:snapToGrid w:val="0"/>
        <w:spacing w:line="360" w:lineRule="auto"/>
        <w:contextualSpacing/>
        <w:rPr>
          <w:rFonts w:hint="default" w:ascii="宋体" w:hAnsi="宋体" w:eastAsia="宋体"/>
          <w:sz w:val="21"/>
          <w:szCs w:val="21"/>
          <w:highlight w:val="none"/>
        </w:rPr>
      </w:pPr>
      <w:r>
        <w:rPr>
          <w:rFonts w:ascii="宋体" w:hAnsi="宋体" w:eastAsia="宋体"/>
          <w:sz w:val="21"/>
          <w:szCs w:val="21"/>
          <w:highlight w:val="none"/>
        </w:rPr>
        <w:t>供应商的澄清、说明或者补正不得超出响应文件的范围或者改变响应文件的实质性内容。</w:t>
      </w:r>
    </w:p>
    <w:p w14:paraId="5D710C4D">
      <w:pPr>
        <w:pStyle w:val="11"/>
        <w:numPr>
          <w:ilvl w:val="0"/>
          <w:numId w:val="92"/>
        </w:numPr>
        <w:snapToGrid w:val="0"/>
        <w:spacing w:line="360" w:lineRule="auto"/>
        <w:contextualSpacing/>
        <w:rPr>
          <w:rFonts w:hint="default" w:ascii="宋体" w:hAnsi="宋体" w:eastAsia="宋体"/>
          <w:sz w:val="21"/>
          <w:szCs w:val="21"/>
          <w:highlight w:val="none"/>
        </w:rPr>
      </w:pPr>
      <w:r>
        <w:rPr>
          <w:rFonts w:ascii="宋体" w:hAnsi="宋体" w:eastAsia="宋体"/>
          <w:sz w:val="21"/>
          <w:szCs w:val="21"/>
          <w:highlight w:val="none"/>
        </w:rPr>
        <w:t>磋商小组不接受供应商主动提出的澄清、说明或补正。</w:t>
      </w:r>
    </w:p>
    <w:p w14:paraId="0448C48B">
      <w:pPr>
        <w:pStyle w:val="11"/>
        <w:numPr>
          <w:ilvl w:val="0"/>
          <w:numId w:val="92"/>
        </w:numPr>
        <w:snapToGrid w:val="0"/>
        <w:spacing w:line="360" w:lineRule="auto"/>
        <w:contextualSpacing/>
        <w:rPr>
          <w:rFonts w:hint="default" w:ascii="宋体" w:hAnsi="宋体" w:eastAsia="宋体"/>
          <w:sz w:val="21"/>
          <w:szCs w:val="21"/>
          <w:highlight w:val="none"/>
        </w:rPr>
      </w:pPr>
      <w:r>
        <w:rPr>
          <w:rFonts w:ascii="宋体" w:hAnsi="宋体" w:eastAsia="宋体"/>
          <w:sz w:val="21"/>
          <w:szCs w:val="21"/>
          <w:highlight w:val="none"/>
        </w:rPr>
        <w:t>磋商小组对供应商提交的澄清、说明或补正有疑问的，可以要求供应商进一步澄清、说明或补正。</w:t>
      </w:r>
    </w:p>
    <w:p w14:paraId="13CE06B6">
      <w:pPr>
        <w:pStyle w:val="11"/>
        <w:numPr>
          <w:ilvl w:val="0"/>
          <w:numId w:val="90"/>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磋商</w:t>
      </w:r>
    </w:p>
    <w:p w14:paraId="3B67CBF9">
      <w:pPr>
        <w:pStyle w:val="11"/>
        <w:numPr>
          <w:ilvl w:val="0"/>
          <w:numId w:val="93"/>
        </w:numPr>
        <w:snapToGrid w:val="0"/>
        <w:spacing w:line="360" w:lineRule="auto"/>
        <w:ind w:left="442" w:hanging="442"/>
        <w:contextualSpacing/>
        <w:rPr>
          <w:rFonts w:hint="default" w:ascii="宋体" w:hAnsi="宋体" w:eastAsia="宋体"/>
          <w:sz w:val="21"/>
          <w:szCs w:val="21"/>
          <w:highlight w:val="none"/>
        </w:rPr>
      </w:pPr>
      <w:r>
        <w:rPr>
          <w:rFonts w:ascii="宋体" w:hAnsi="宋体" w:eastAsia="宋体"/>
          <w:sz w:val="21"/>
          <w:szCs w:val="21"/>
          <w:highlight w:val="none"/>
        </w:rPr>
        <w:t>磋商小组所有成员应当集中与单一供应商分别进行磋商，并给予所有参加磋商的供应商平等的磋商机会。</w:t>
      </w:r>
    </w:p>
    <w:p w14:paraId="1B575722">
      <w:pPr>
        <w:pStyle w:val="11"/>
        <w:numPr>
          <w:ilvl w:val="0"/>
          <w:numId w:val="93"/>
        </w:numPr>
        <w:snapToGrid w:val="0"/>
        <w:spacing w:line="360" w:lineRule="auto"/>
        <w:ind w:left="442" w:hanging="442"/>
        <w:contextualSpacing/>
        <w:rPr>
          <w:rFonts w:hint="default" w:ascii="宋体" w:hAnsi="宋体" w:eastAsia="宋体"/>
          <w:sz w:val="21"/>
          <w:szCs w:val="21"/>
          <w:highlight w:val="none"/>
        </w:rPr>
      </w:pPr>
      <w:r>
        <w:rPr>
          <w:rFonts w:ascii="宋体" w:hAnsi="宋体" w:eastAsia="宋体"/>
          <w:sz w:val="21"/>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F9D0B3A">
      <w:pPr>
        <w:pStyle w:val="11"/>
        <w:numPr>
          <w:ilvl w:val="0"/>
          <w:numId w:val="93"/>
        </w:numPr>
        <w:snapToGrid w:val="0"/>
        <w:spacing w:line="360" w:lineRule="auto"/>
        <w:ind w:left="442" w:hanging="442"/>
        <w:contextualSpacing/>
        <w:rPr>
          <w:rFonts w:hint="default" w:ascii="宋体" w:hAnsi="宋体" w:eastAsia="宋体"/>
          <w:sz w:val="21"/>
          <w:szCs w:val="21"/>
          <w:highlight w:val="none"/>
        </w:rPr>
      </w:pPr>
      <w:r>
        <w:rPr>
          <w:rFonts w:ascii="宋体" w:hAnsi="宋体" w:eastAsia="宋体"/>
          <w:sz w:val="21"/>
          <w:szCs w:val="21"/>
          <w:highlight w:val="none"/>
        </w:rPr>
        <w:t>对磋商文件作出的实质性变动是磋商文件的有效组成部分，磋商小组应当及时、同时通知所有参加磋商的供应商。</w:t>
      </w:r>
    </w:p>
    <w:p w14:paraId="56B45E6D">
      <w:pPr>
        <w:pStyle w:val="11"/>
        <w:numPr>
          <w:ilvl w:val="0"/>
          <w:numId w:val="93"/>
        </w:numPr>
        <w:snapToGrid w:val="0"/>
        <w:spacing w:line="360" w:lineRule="auto"/>
        <w:ind w:left="442" w:hanging="442"/>
        <w:contextualSpacing/>
        <w:rPr>
          <w:rFonts w:hint="default"/>
          <w:highlight w:val="none"/>
        </w:rPr>
      </w:pPr>
      <w:r>
        <w:rPr>
          <w:rFonts w:ascii="宋体" w:hAnsi="宋体" w:eastAsia="宋体"/>
          <w:sz w:val="21"/>
          <w:szCs w:val="21"/>
          <w:highlight w:val="none"/>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0262A1EB">
      <w:pPr>
        <w:pStyle w:val="11"/>
        <w:numPr>
          <w:ilvl w:val="0"/>
          <w:numId w:val="90"/>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最后报价</w:t>
      </w:r>
    </w:p>
    <w:p w14:paraId="47E761A9">
      <w:pPr>
        <w:pStyle w:val="11"/>
        <w:numPr>
          <w:ilvl w:val="0"/>
          <w:numId w:val="94"/>
        </w:numPr>
        <w:snapToGrid w:val="0"/>
        <w:spacing w:line="360" w:lineRule="auto"/>
        <w:contextualSpacing/>
        <w:rPr>
          <w:rFonts w:hint="default" w:ascii="宋体" w:hAnsi="宋体" w:eastAsia="宋体"/>
          <w:sz w:val="21"/>
          <w:szCs w:val="21"/>
          <w:highlight w:val="none"/>
        </w:rPr>
      </w:pPr>
      <w:r>
        <w:rPr>
          <w:rFonts w:ascii="宋体" w:hAnsi="宋体" w:eastAsia="宋体"/>
          <w:sz w:val="21"/>
          <w:szCs w:val="21"/>
          <w:highlight w:val="none"/>
        </w:rPr>
        <w:t>磋商结束后，磋商小组应当要求所有实质性响应的供应商在规定时间内提交最后报价。最后报价是供应商响应文件的有效组成部分。</w:t>
      </w:r>
    </w:p>
    <w:p w14:paraId="7616CD3A">
      <w:pPr>
        <w:pStyle w:val="11"/>
        <w:numPr>
          <w:ilvl w:val="0"/>
          <w:numId w:val="94"/>
        </w:numPr>
        <w:snapToGrid w:val="0"/>
        <w:spacing w:line="360" w:lineRule="auto"/>
        <w:contextualSpacing/>
        <w:rPr>
          <w:rFonts w:hint="default" w:ascii="宋体" w:hAnsi="宋体" w:eastAsia="宋体"/>
          <w:sz w:val="21"/>
          <w:szCs w:val="21"/>
          <w:highlight w:val="none"/>
          <w:lang w:eastAsia="zh-CN"/>
        </w:rPr>
      </w:pPr>
      <w:r>
        <w:rPr>
          <w:rFonts w:ascii="宋体" w:hAnsi="宋体" w:eastAsia="宋体"/>
          <w:sz w:val="21"/>
          <w:szCs w:val="21"/>
          <w:highlight w:val="none"/>
        </w:rPr>
        <w:t>已提交响应文件的供应商，在提交最后报价之前，可以根据磋商情况退出磋商。</w:t>
      </w:r>
    </w:p>
    <w:p w14:paraId="4E13AE41">
      <w:pPr>
        <w:pStyle w:val="11"/>
        <w:numPr>
          <w:ilvl w:val="0"/>
          <w:numId w:val="94"/>
        </w:numPr>
        <w:snapToGrid w:val="0"/>
        <w:spacing w:line="360" w:lineRule="auto"/>
        <w:contextualSpacing/>
        <w:rPr>
          <w:rFonts w:hint="default"/>
          <w:highlight w:val="none"/>
        </w:rPr>
      </w:pPr>
      <w:r>
        <w:rPr>
          <w:rFonts w:ascii="宋体" w:hAnsi="宋体" w:eastAsia="宋体"/>
          <w:sz w:val="21"/>
          <w:szCs w:val="21"/>
          <w:highlight w:val="none"/>
        </w:rPr>
        <w:t>除法规规定的特殊性情形外，提交最后报价的供应商不得少于3家。</w:t>
      </w:r>
    </w:p>
    <w:p w14:paraId="4B0B480D">
      <w:pPr>
        <w:pStyle w:val="11"/>
        <w:numPr>
          <w:ilvl w:val="0"/>
          <w:numId w:val="90"/>
        </w:numPr>
        <w:snapToGrid w:val="0"/>
        <w:spacing w:line="360" w:lineRule="auto"/>
        <w:ind w:left="284" w:hanging="284"/>
        <w:contextualSpacing/>
        <w:outlineLvl w:val="3"/>
        <w:rPr>
          <w:rFonts w:hint="default" w:asciiTheme="minorEastAsia" w:hAnsiTheme="minorEastAsia"/>
          <w:b/>
          <w:bCs/>
          <w:szCs w:val="21"/>
          <w:highlight w:val="none"/>
        </w:rPr>
      </w:pPr>
      <w:bookmarkStart w:id="35" w:name="_Toc169799783"/>
      <w:bookmarkStart w:id="36" w:name="_Toc169807544"/>
      <w:bookmarkStart w:id="37" w:name="_Toc7254"/>
      <w:bookmarkStart w:id="38" w:name="_Toc169799784"/>
      <w:bookmarkStart w:id="39" w:name="_Toc169807545"/>
      <w:r>
        <w:rPr>
          <w:rFonts w:ascii="宋体" w:hAnsi="宋体" w:eastAsia="宋体"/>
          <w:b/>
          <w:sz w:val="21"/>
          <w:szCs w:val="21"/>
          <w:highlight w:val="none"/>
        </w:rPr>
        <w:t>详细评审</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69"/>
        <w:gridCol w:w="945"/>
        <w:gridCol w:w="6139"/>
      </w:tblGrid>
      <w:tr w14:paraId="0A3C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4" w:type="pct"/>
            <w:vAlign w:val="center"/>
          </w:tcPr>
          <w:p w14:paraId="5E12C81C">
            <w:pPr>
              <w:spacing w:line="400" w:lineRule="exact"/>
              <w:jc w:val="center"/>
              <w:rPr>
                <w:rFonts w:hint="eastAsia" w:ascii="宋体" w:hAnsi="宋体" w:eastAsia="宋体" w:cs="宋体"/>
                <w:b/>
                <w:color w:val="000000"/>
                <w:szCs w:val="21"/>
                <w:highlight w:val="none"/>
              </w:rPr>
            </w:pPr>
            <w:bookmarkStart w:id="40" w:name="_Hlk169889554"/>
            <w:r>
              <w:rPr>
                <w:rFonts w:hint="eastAsia" w:ascii="宋体" w:hAnsi="宋体" w:eastAsia="宋体" w:cs="宋体"/>
                <w:b/>
                <w:color w:val="000000"/>
                <w:szCs w:val="21"/>
                <w:highlight w:val="none"/>
              </w:rPr>
              <w:t>序号</w:t>
            </w:r>
          </w:p>
        </w:tc>
        <w:tc>
          <w:tcPr>
            <w:tcW w:w="790" w:type="pct"/>
            <w:vAlign w:val="center"/>
          </w:tcPr>
          <w:p w14:paraId="57CB9DCD">
            <w:pPr>
              <w:spacing w:line="40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评分内容</w:t>
            </w:r>
          </w:p>
        </w:tc>
        <w:tc>
          <w:tcPr>
            <w:tcW w:w="508" w:type="pct"/>
            <w:vAlign w:val="center"/>
          </w:tcPr>
          <w:p w14:paraId="183D9F9D">
            <w:pPr>
              <w:spacing w:line="40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分值</w:t>
            </w:r>
          </w:p>
        </w:tc>
        <w:tc>
          <w:tcPr>
            <w:tcW w:w="3305" w:type="pct"/>
            <w:vAlign w:val="center"/>
          </w:tcPr>
          <w:p w14:paraId="2F0E2638">
            <w:pPr>
              <w:spacing w:line="40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评审标准</w:t>
            </w:r>
          </w:p>
        </w:tc>
      </w:tr>
      <w:tr w14:paraId="1F21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4"/>
            <w:vAlign w:val="center"/>
          </w:tcPr>
          <w:p w14:paraId="197B3D1A">
            <w:pPr>
              <w:pStyle w:val="15"/>
              <w:spacing w:after="62" w:afterLines="20" w:line="440" w:lineRule="exact"/>
              <w:ind w:firstLine="0" w:firstLineChars="0"/>
              <w:jc w:val="center"/>
              <w:rPr>
                <w:rFonts w:hint="eastAsia" w:ascii="宋体" w:hAnsi="宋体" w:eastAsia="宋体" w:cs="宋体"/>
                <w:b/>
                <w:color w:val="000000"/>
                <w:szCs w:val="21"/>
                <w:highlight w:val="none"/>
              </w:rPr>
            </w:pPr>
            <w:r>
              <w:rPr>
                <w:rFonts w:hint="eastAsia" w:ascii="宋体" w:hAnsi="宋体" w:eastAsia="宋体" w:cs="宋体"/>
                <w:b/>
                <w:color w:val="auto"/>
                <w:sz w:val="21"/>
                <w:szCs w:val="21"/>
                <w:highlight w:val="none"/>
              </w:rPr>
              <w:t>商务评审细则（</w:t>
            </w:r>
            <w:r>
              <w:rPr>
                <w:rFonts w:hint="eastAsia" w:asci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r>
      <w:tr w14:paraId="5FE3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394" w:type="pct"/>
            <w:vAlign w:val="center"/>
          </w:tcPr>
          <w:p w14:paraId="67C02FDA">
            <w:pPr>
              <w:spacing w:before="31" w:beforeLines="10" w:after="93" w:afterLines="30" w:line="440" w:lineRule="exact"/>
              <w:jc w:val="center"/>
              <w:rPr>
                <w:rFonts w:hint="eastAsia" w:ascii="宋体" w:hAnsi="宋体" w:eastAsia="宋体" w:cs="宋体"/>
                <w:color w:val="000000"/>
                <w:szCs w:val="21"/>
                <w:highlight w:val="none"/>
              </w:rPr>
            </w:pPr>
            <w:r>
              <w:rPr>
                <w:rFonts w:hint="eastAsia" w:asciiTheme="minorEastAsia" w:hAnsiTheme="minorEastAsia" w:eastAsiaTheme="minorEastAsia" w:cstheme="minorEastAsia"/>
                <w:color w:val="auto"/>
                <w:szCs w:val="21"/>
                <w:highlight w:val="none"/>
                <w:lang w:val="en-US" w:eastAsia="zh-CN"/>
              </w:rPr>
              <w:t>1</w:t>
            </w:r>
          </w:p>
        </w:tc>
        <w:tc>
          <w:tcPr>
            <w:tcW w:w="790" w:type="pct"/>
            <w:vAlign w:val="center"/>
          </w:tcPr>
          <w:p w14:paraId="224010E8">
            <w:pPr>
              <w:spacing w:before="31" w:beforeLines="10" w:after="30" w:line="440" w:lineRule="exact"/>
              <w:jc w:val="center"/>
              <w:rPr>
                <w:rFonts w:hint="eastAsia" w:ascii="宋体" w:hAnsi="宋体" w:eastAsia="宋体" w:cs="宋体"/>
                <w:bCs/>
                <w:color w:val="000000"/>
                <w:szCs w:val="21"/>
                <w:highlight w:val="none"/>
              </w:rPr>
            </w:pPr>
            <w:r>
              <w:rPr>
                <w:rFonts w:hint="eastAsia" w:asciiTheme="minorEastAsia" w:hAnsiTheme="minorEastAsia" w:eastAsiaTheme="minorEastAsia" w:cstheme="minorEastAsia"/>
                <w:color w:val="auto"/>
                <w:szCs w:val="21"/>
                <w:highlight w:val="none"/>
              </w:rPr>
              <w:t>业绩情况</w:t>
            </w:r>
          </w:p>
        </w:tc>
        <w:tc>
          <w:tcPr>
            <w:tcW w:w="508" w:type="pct"/>
            <w:vAlign w:val="center"/>
          </w:tcPr>
          <w:p w14:paraId="0A2B5E29">
            <w:pPr>
              <w:widowControl/>
              <w:spacing w:before="31" w:beforeLines="10" w:after="30" w:line="440" w:lineRule="exact"/>
              <w:jc w:val="center"/>
              <w:rPr>
                <w:rFonts w:hint="eastAsia" w:ascii="宋体" w:hAnsi="宋体" w:eastAsia="宋体" w:cs="宋体"/>
                <w:bCs/>
                <w:color w:val="000000"/>
                <w:szCs w:val="21"/>
                <w:highlight w:val="none"/>
              </w:rPr>
            </w:pPr>
            <w:r>
              <w:rPr>
                <w:rFonts w:hint="eastAsia" w:asciiTheme="minorEastAsia" w:hAnsiTheme="minorEastAsia" w:eastAsiaTheme="minorEastAsia" w:cstheme="minorEastAsia"/>
                <w:color w:val="auto"/>
                <w:szCs w:val="21"/>
                <w:highlight w:val="none"/>
                <w:lang w:val="en-US" w:eastAsia="zh-CN"/>
              </w:rPr>
              <w:t>21</w:t>
            </w:r>
            <w:r>
              <w:rPr>
                <w:rFonts w:hint="eastAsia" w:asciiTheme="minorEastAsia" w:hAnsiTheme="minorEastAsia" w:eastAsiaTheme="minorEastAsia" w:cstheme="minorEastAsia"/>
                <w:color w:val="auto"/>
                <w:szCs w:val="21"/>
                <w:highlight w:val="none"/>
              </w:rPr>
              <w:t>分</w:t>
            </w:r>
          </w:p>
        </w:tc>
        <w:tc>
          <w:tcPr>
            <w:tcW w:w="3305" w:type="pct"/>
            <w:vAlign w:val="center"/>
          </w:tcPr>
          <w:p w14:paraId="39D940DF">
            <w:pPr>
              <w:spacing w:before="31" w:beforeLines="10" w:after="30"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w:t>
            </w:r>
            <w:r>
              <w:rPr>
                <w:rFonts w:hint="eastAsia" w:ascii="宋体" w:hAnsi="宋体" w:eastAsia="宋体" w:cs="Times New Roman"/>
                <w:color w:val="auto"/>
                <w:szCs w:val="21"/>
                <w:highlight w:val="none"/>
                <w:lang w:val="en-US" w:eastAsia="zh-CN"/>
              </w:rPr>
              <w:t>供应</w:t>
            </w:r>
            <w:r>
              <w:rPr>
                <w:rFonts w:hint="eastAsia" w:asciiTheme="minorEastAsia" w:hAnsiTheme="minorEastAsia" w:eastAsiaTheme="minorEastAsia" w:cstheme="minorEastAsia"/>
                <w:bCs/>
                <w:color w:val="auto"/>
                <w:szCs w:val="21"/>
                <w:highlight w:val="none"/>
              </w:rPr>
              <w:t>商</w:t>
            </w:r>
            <w:r>
              <w:rPr>
                <w:rFonts w:hint="eastAsia" w:asciiTheme="minorEastAsia" w:hAnsiTheme="minorEastAsia" w:eastAsiaTheme="minorEastAsia" w:cstheme="minorEastAsia"/>
                <w:color w:val="auto"/>
                <w:szCs w:val="21"/>
                <w:highlight w:val="none"/>
                <w:lang w:val="en-US" w:eastAsia="zh-CN"/>
              </w:rPr>
              <w:t>提供</w:t>
            </w:r>
            <w:r>
              <w:rPr>
                <w:rFonts w:hint="eastAsia" w:asciiTheme="minorEastAsia" w:hAnsiTheme="minorEastAsia" w:eastAsiaTheme="minorEastAsia" w:cstheme="minorEastAsia"/>
                <w:color w:val="auto"/>
                <w:szCs w:val="21"/>
                <w:highlight w:val="none"/>
              </w:rPr>
              <w:t>除四害类（四害消杀防治类</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的项目业绩进行评审，每提供一项得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分，本项最高得</w:t>
            </w:r>
            <w:r>
              <w:rPr>
                <w:rFonts w:hint="eastAsia" w:asciiTheme="minorEastAsia" w:hAnsiTheme="minorEastAsia" w:eastAsiaTheme="minorEastAsia" w:cstheme="minorEastAsia"/>
                <w:color w:val="auto"/>
                <w:szCs w:val="21"/>
                <w:highlight w:val="none"/>
                <w:lang w:val="en-US" w:eastAsia="zh-CN"/>
              </w:rPr>
              <w:t>21</w:t>
            </w:r>
            <w:r>
              <w:rPr>
                <w:rFonts w:hint="eastAsia" w:asciiTheme="minorEastAsia" w:hAnsiTheme="minorEastAsia" w:eastAsiaTheme="minorEastAsia" w:cstheme="minorEastAsia"/>
                <w:color w:val="auto"/>
                <w:szCs w:val="21"/>
                <w:highlight w:val="none"/>
              </w:rPr>
              <w:t>分。</w:t>
            </w:r>
          </w:p>
          <w:p w14:paraId="6F7FF4DF">
            <w:pPr>
              <w:spacing w:before="31" w:beforeLines="10" w:after="30" w:line="440" w:lineRule="exact"/>
              <w:rPr>
                <w:rFonts w:hint="eastAsia" w:ascii="宋体" w:hAnsi="宋体" w:eastAsia="宋体" w:cs="宋体"/>
                <w:b/>
                <w:bCs/>
                <w:color w:val="000000"/>
                <w:szCs w:val="21"/>
                <w:highlight w:val="none"/>
                <w:u w:val="single"/>
              </w:rPr>
            </w:pPr>
            <w:r>
              <w:rPr>
                <w:rFonts w:hint="eastAsia" w:asciiTheme="minorEastAsia" w:hAnsiTheme="minorEastAsia" w:eastAsiaTheme="minorEastAsia" w:cstheme="minorEastAsia"/>
                <w:b/>
                <w:color w:val="auto"/>
                <w:szCs w:val="21"/>
                <w:highlight w:val="none"/>
                <w:u w:val="single"/>
              </w:rPr>
              <w:t>注：分支机构参与投标的，其总公司（总所）的业绩符合要求予以计分。须提供合同复印件加盖供应商公章。</w:t>
            </w:r>
          </w:p>
        </w:tc>
      </w:tr>
      <w:tr w14:paraId="0BC0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94" w:type="pct"/>
            <w:vAlign w:val="center"/>
          </w:tcPr>
          <w:p w14:paraId="7790F9A1">
            <w:pPr>
              <w:spacing w:before="31" w:beforeLines="10" w:after="93" w:afterLines="30" w:line="440" w:lineRule="exact"/>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790" w:type="pct"/>
            <w:vAlign w:val="center"/>
          </w:tcPr>
          <w:p w14:paraId="233724F0">
            <w:pPr>
              <w:spacing w:before="31" w:beforeLines="10" w:after="30" w:line="44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服务响应时间</w:t>
            </w:r>
          </w:p>
        </w:tc>
        <w:tc>
          <w:tcPr>
            <w:tcW w:w="508" w:type="pct"/>
            <w:vAlign w:val="center"/>
          </w:tcPr>
          <w:p w14:paraId="68A11177">
            <w:pPr>
              <w:widowControl/>
              <w:spacing w:before="31" w:beforeLines="10" w:after="93" w:afterLines="30" w:line="4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p>
        </w:tc>
        <w:tc>
          <w:tcPr>
            <w:tcW w:w="3305" w:type="pct"/>
            <w:vAlign w:val="center"/>
          </w:tcPr>
          <w:p w14:paraId="2C9F68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根据供应商提供的服务响应时间承诺进行评分：</w:t>
            </w:r>
          </w:p>
          <w:p w14:paraId="7BF952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1、</w:t>
            </w:r>
            <w:r>
              <w:rPr>
                <w:rFonts w:hint="eastAsia" w:asciiTheme="minorEastAsia" w:hAnsiTheme="minorEastAsia" w:eastAsiaTheme="minorEastAsia" w:cstheme="minorEastAsia"/>
                <w:bCs/>
                <w:color w:val="auto"/>
                <w:szCs w:val="21"/>
                <w:highlight w:val="none"/>
              </w:rPr>
              <w:t>供应商承诺在接到采购人通知后1小时</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含</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内到</w:t>
            </w:r>
            <w:r>
              <w:rPr>
                <w:rFonts w:hint="eastAsia" w:asciiTheme="minorEastAsia" w:hAnsiTheme="minorEastAsia" w:eastAsiaTheme="minorEastAsia" w:cstheme="minorEastAsia"/>
                <w:bCs/>
                <w:color w:val="auto"/>
                <w:szCs w:val="21"/>
                <w:highlight w:val="none"/>
                <w:lang w:val="en-US" w:eastAsia="zh-CN"/>
              </w:rPr>
              <w:t>达</w:t>
            </w:r>
            <w:r>
              <w:rPr>
                <w:rFonts w:hint="eastAsia" w:asciiTheme="minorEastAsia" w:hAnsiTheme="minorEastAsia" w:eastAsiaTheme="minorEastAsia" w:cstheme="minorEastAsia"/>
                <w:bCs/>
                <w:color w:val="auto"/>
                <w:szCs w:val="21"/>
                <w:highlight w:val="none"/>
              </w:rPr>
              <w:t>现场</w:t>
            </w:r>
            <w:r>
              <w:rPr>
                <w:rFonts w:hint="eastAsia" w:asciiTheme="minorEastAsia" w:hAnsiTheme="minorEastAsia" w:eastAsiaTheme="minorEastAsia" w:cstheme="minorEastAsia"/>
                <w:bCs/>
                <w:color w:val="auto"/>
                <w:szCs w:val="21"/>
                <w:highlight w:val="none"/>
                <w:lang w:val="en-US" w:eastAsia="zh-CN"/>
              </w:rPr>
              <w:t>的</w:t>
            </w:r>
            <w:r>
              <w:rPr>
                <w:rFonts w:hint="eastAsia" w:asciiTheme="minorEastAsia" w:hAnsiTheme="minorEastAsia" w:eastAsiaTheme="minorEastAsia" w:cstheme="minorEastAsia"/>
                <w:bCs/>
                <w:color w:val="auto"/>
                <w:szCs w:val="21"/>
                <w:highlight w:val="none"/>
              </w:rPr>
              <w:t>，得</w:t>
            </w:r>
            <w:r>
              <w:rPr>
                <w:rFonts w:hint="eastAsia" w:asciiTheme="minorEastAsia" w:hAnsiTheme="minorEastAsia" w:eastAsiaTheme="minorEastAsia" w:cstheme="minorEastAsia"/>
                <w:bCs/>
                <w:color w:val="auto"/>
                <w:szCs w:val="21"/>
                <w:highlight w:val="none"/>
                <w:lang w:val="en-US" w:eastAsia="zh-CN"/>
              </w:rPr>
              <w:t>4</w:t>
            </w:r>
            <w:r>
              <w:rPr>
                <w:rFonts w:hint="eastAsia" w:asciiTheme="minorEastAsia" w:hAnsiTheme="minorEastAsia" w:eastAsiaTheme="minorEastAsia" w:cstheme="minorEastAsia"/>
                <w:bCs/>
                <w:color w:val="auto"/>
                <w:szCs w:val="21"/>
                <w:highlight w:val="none"/>
              </w:rPr>
              <w:t>分；</w:t>
            </w:r>
          </w:p>
          <w:p w14:paraId="05BE97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供应商承诺在接到采购人通知后</w:t>
            </w:r>
            <w:r>
              <w:rPr>
                <w:rFonts w:hint="eastAsia" w:asciiTheme="minorEastAsia" w:hAnsiTheme="minorEastAsia" w:eastAsiaTheme="minorEastAsia" w:cstheme="minorEastAsia"/>
                <w:bCs/>
                <w:color w:val="auto"/>
                <w:szCs w:val="21"/>
                <w:highlight w:val="none"/>
                <w:lang w:val="en-US" w:eastAsia="zh-CN"/>
              </w:rPr>
              <w:t>1</w:t>
            </w:r>
            <w:r>
              <w:rPr>
                <w:rFonts w:hint="eastAsia" w:asciiTheme="minorEastAsia" w:hAnsiTheme="minorEastAsia" w:eastAsiaTheme="minorEastAsia" w:cstheme="minorEastAsia"/>
                <w:bCs/>
                <w:color w:val="auto"/>
                <w:szCs w:val="21"/>
                <w:highlight w:val="none"/>
              </w:rPr>
              <w:t>小时</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不含</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至1.5小时（含）</w:t>
            </w:r>
            <w:r>
              <w:rPr>
                <w:rFonts w:hint="eastAsia" w:asciiTheme="minorEastAsia" w:hAnsiTheme="minorEastAsia" w:eastAsiaTheme="minorEastAsia" w:cstheme="minorEastAsia"/>
                <w:bCs/>
                <w:color w:val="auto"/>
                <w:szCs w:val="21"/>
                <w:highlight w:val="none"/>
              </w:rPr>
              <w:t>内到现场</w:t>
            </w:r>
            <w:r>
              <w:rPr>
                <w:rFonts w:hint="eastAsia" w:asciiTheme="minorEastAsia" w:hAnsiTheme="minorEastAsia" w:eastAsiaTheme="minorEastAsia" w:cstheme="minorEastAsia"/>
                <w:bCs/>
                <w:color w:val="auto"/>
                <w:szCs w:val="21"/>
                <w:highlight w:val="none"/>
                <w:lang w:val="en-US" w:eastAsia="zh-CN"/>
              </w:rPr>
              <w:t>的</w:t>
            </w:r>
            <w:r>
              <w:rPr>
                <w:rFonts w:hint="eastAsia" w:asciiTheme="minorEastAsia" w:hAnsiTheme="minorEastAsia" w:eastAsiaTheme="minorEastAsia" w:cstheme="minorEastAsia"/>
                <w:bCs/>
                <w:color w:val="auto"/>
                <w:szCs w:val="21"/>
                <w:highlight w:val="none"/>
              </w:rPr>
              <w:t>，得</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分</w:t>
            </w:r>
            <w:r>
              <w:rPr>
                <w:rFonts w:hint="eastAsia" w:asciiTheme="minorEastAsia" w:hAnsiTheme="minorEastAsia" w:eastAsiaTheme="minorEastAsia" w:cstheme="minorEastAsia"/>
                <w:bCs/>
                <w:color w:val="auto"/>
                <w:szCs w:val="21"/>
                <w:highlight w:val="none"/>
                <w:lang w:eastAsia="zh-CN"/>
              </w:rPr>
              <w:t>；</w:t>
            </w:r>
          </w:p>
          <w:p w14:paraId="07D54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rPr>
              <w:t>供应商承诺在接到采购人通知后</w:t>
            </w:r>
            <w:r>
              <w:rPr>
                <w:rFonts w:hint="eastAsia" w:asciiTheme="minorEastAsia" w:hAnsiTheme="minorEastAsia" w:eastAsiaTheme="minorEastAsia" w:cstheme="minorEastAsia"/>
                <w:bCs/>
                <w:color w:val="auto"/>
                <w:szCs w:val="21"/>
                <w:highlight w:val="none"/>
                <w:lang w:val="en-US" w:eastAsia="zh-CN"/>
              </w:rPr>
              <w:t>1.5</w:t>
            </w:r>
            <w:r>
              <w:rPr>
                <w:rFonts w:hint="eastAsia" w:asciiTheme="minorEastAsia" w:hAnsiTheme="minorEastAsia" w:eastAsiaTheme="minorEastAsia" w:cstheme="minorEastAsia"/>
                <w:bCs/>
                <w:color w:val="auto"/>
                <w:szCs w:val="21"/>
                <w:highlight w:val="none"/>
              </w:rPr>
              <w:t>小时</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不含</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至2小时（含）</w:t>
            </w:r>
            <w:r>
              <w:rPr>
                <w:rFonts w:hint="eastAsia" w:asciiTheme="minorEastAsia" w:hAnsiTheme="minorEastAsia" w:eastAsiaTheme="minorEastAsia" w:cstheme="minorEastAsia"/>
                <w:bCs/>
                <w:color w:val="auto"/>
                <w:szCs w:val="21"/>
                <w:highlight w:val="none"/>
              </w:rPr>
              <w:t>内到</w:t>
            </w:r>
            <w:r>
              <w:rPr>
                <w:rFonts w:hint="eastAsia" w:asciiTheme="minorEastAsia" w:hAnsiTheme="minorEastAsia" w:eastAsiaTheme="minorEastAsia" w:cstheme="minorEastAsia"/>
                <w:bCs/>
                <w:color w:val="auto"/>
                <w:szCs w:val="21"/>
                <w:highlight w:val="none"/>
                <w:lang w:val="en-US" w:eastAsia="zh-CN"/>
              </w:rPr>
              <w:t>达</w:t>
            </w:r>
            <w:r>
              <w:rPr>
                <w:rFonts w:hint="eastAsia" w:asciiTheme="minorEastAsia" w:hAnsiTheme="minorEastAsia" w:eastAsiaTheme="minorEastAsia" w:cstheme="minorEastAsia"/>
                <w:bCs/>
                <w:color w:val="auto"/>
                <w:szCs w:val="21"/>
                <w:highlight w:val="none"/>
              </w:rPr>
              <w:t>现场</w:t>
            </w:r>
            <w:r>
              <w:rPr>
                <w:rFonts w:hint="eastAsia" w:asciiTheme="minorEastAsia" w:hAnsiTheme="minorEastAsia" w:eastAsiaTheme="minorEastAsia" w:cstheme="minorEastAsia"/>
                <w:bCs/>
                <w:color w:val="auto"/>
                <w:szCs w:val="21"/>
                <w:highlight w:val="none"/>
                <w:lang w:val="en-US" w:eastAsia="zh-CN"/>
              </w:rPr>
              <w:t>的</w:t>
            </w:r>
            <w:r>
              <w:rPr>
                <w:rFonts w:hint="eastAsia" w:asciiTheme="minorEastAsia" w:hAnsiTheme="minorEastAsia" w:eastAsiaTheme="minorEastAsia" w:cstheme="minorEastAsia"/>
                <w:bCs/>
                <w:color w:val="auto"/>
                <w:szCs w:val="21"/>
                <w:highlight w:val="none"/>
              </w:rPr>
              <w:t>，得</w:t>
            </w:r>
            <w:r>
              <w:rPr>
                <w:rFonts w:hint="eastAsia" w:asciiTheme="minorEastAsia" w:hAnsiTheme="minorEastAsia" w:eastAsiaTheme="minorEastAsia" w:cstheme="minorEastAsia"/>
                <w:bCs/>
                <w:color w:val="auto"/>
                <w:szCs w:val="21"/>
                <w:highlight w:val="none"/>
                <w:lang w:val="en-US" w:eastAsia="zh-CN"/>
              </w:rPr>
              <w:t>1</w:t>
            </w:r>
            <w:r>
              <w:rPr>
                <w:rFonts w:hint="eastAsia" w:asciiTheme="minorEastAsia" w:hAnsiTheme="minorEastAsia" w:eastAsiaTheme="minorEastAsia" w:cstheme="minorEastAsia"/>
                <w:bCs/>
                <w:color w:val="auto"/>
                <w:szCs w:val="21"/>
                <w:highlight w:val="none"/>
              </w:rPr>
              <w:t>分；</w:t>
            </w:r>
          </w:p>
          <w:p w14:paraId="607ADF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4、未提供服务响应承诺书或其他情形的，</w:t>
            </w:r>
            <w:r>
              <w:rPr>
                <w:rFonts w:hint="eastAsia" w:asciiTheme="minorEastAsia" w:hAnsiTheme="minorEastAsia" w:eastAsiaTheme="minorEastAsia" w:cstheme="minorEastAsia"/>
                <w:bCs/>
                <w:color w:val="auto"/>
                <w:szCs w:val="21"/>
                <w:highlight w:val="none"/>
              </w:rPr>
              <w:t>不得分。</w:t>
            </w:r>
          </w:p>
          <w:p w14:paraId="50D21FAD">
            <w:pPr>
              <w:keepNext w:val="0"/>
              <w:keepLines w:val="0"/>
              <w:pageBreakBefore w:val="0"/>
              <w:widowControl w:val="0"/>
              <w:kinsoku/>
              <w:wordWrap/>
              <w:overflowPunct/>
              <w:topLinePunct w:val="0"/>
              <w:autoSpaceDE/>
              <w:autoSpaceDN/>
              <w:bidi w:val="0"/>
              <w:adjustRightInd/>
              <w:snapToGrid/>
              <w:spacing w:before="31" w:beforeLines="10" w:after="30" w:line="440" w:lineRule="exact"/>
              <w:textAlignment w:val="auto"/>
              <w:rPr>
                <w:rFonts w:hint="eastAsia" w:asciiTheme="minorEastAsia" w:hAnsiTheme="minorEastAsia" w:eastAsiaTheme="minorEastAsia" w:cstheme="minorEastAsia"/>
                <w:b/>
                <w:bCs/>
                <w:color w:val="auto"/>
                <w:szCs w:val="21"/>
                <w:highlight w:val="none"/>
                <w:u w:val="single"/>
              </w:rPr>
            </w:pPr>
            <w:r>
              <w:rPr>
                <w:rFonts w:hint="eastAsia" w:asciiTheme="minorEastAsia" w:hAnsiTheme="minorEastAsia" w:eastAsiaTheme="minorEastAsia" w:cstheme="minorEastAsia"/>
                <w:b/>
                <w:bCs/>
                <w:color w:val="auto"/>
                <w:szCs w:val="21"/>
                <w:highlight w:val="none"/>
                <w:u w:val="single"/>
              </w:rPr>
              <w:t>注：须提供服务</w:t>
            </w:r>
            <w:r>
              <w:rPr>
                <w:rFonts w:hint="eastAsia" w:asciiTheme="minorEastAsia" w:hAnsiTheme="minorEastAsia" w:eastAsiaTheme="minorEastAsia" w:cstheme="minorEastAsia"/>
                <w:b/>
                <w:bCs/>
                <w:color w:val="auto"/>
                <w:szCs w:val="21"/>
                <w:highlight w:val="none"/>
                <w:u w:val="single"/>
                <w:lang w:val="en-US" w:eastAsia="zh-CN"/>
              </w:rPr>
              <w:t>响应</w:t>
            </w:r>
            <w:r>
              <w:rPr>
                <w:rFonts w:hint="eastAsia" w:asciiTheme="minorEastAsia" w:hAnsiTheme="minorEastAsia" w:eastAsiaTheme="minorEastAsia" w:cstheme="minorEastAsia"/>
                <w:b/>
                <w:bCs/>
                <w:color w:val="auto"/>
                <w:szCs w:val="21"/>
                <w:highlight w:val="none"/>
                <w:u w:val="single"/>
              </w:rPr>
              <w:t>承诺书加盖供应商公章</w:t>
            </w:r>
            <w:r>
              <w:rPr>
                <w:rFonts w:hint="eastAsia" w:asciiTheme="minorEastAsia" w:hAnsiTheme="minorEastAsia" w:eastAsiaTheme="minorEastAsia" w:cstheme="minorEastAsia"/>
                <w:b/>
                <w:bCs/>
                <w:color w:val="auto"/>
                <w:szCs w:val="21"/>
                <w:highlight w:val="none"/>
                <w:u w:val="single"/>
                <w:lang w:eastAsia="zh-CN"/>
              </w:rPr>
              <w:t>，</w:t>
            </w:r>
            <w:r>
              <w:rPr>
                <w:rFonts w:hint="eastAsia" w:asciiTheme="minorEastAsia" w:hAnsiTheme="minorEastAsia" w:eastAsiaTheme="minorEastAsia" w:cstheme="minorEastAsia"/>
                <w:b/>
                <w:bCs/>
                <w:color w:val="auto"/>
                <w:szCs w:val="21"/>
                <w:highlight w:val="none"/>
                <w:u w:val="single"/>
                <w:lang w:val="en-US" w:eastAsia="zh-CN"/>
              </w:rPr>
              <w:t>承诺书格式自拟</w:t>
            </w:r>
            <w:r>
              <w:rPr>
                <w:rFonts w:hint="eastAsia" w:asciiTheme="minorEastAsia" w:hAnsiTheme="minorEastAsia" w:eastAsiaTheme="minorEastAsia" w:cstheme="minorEastAsia"/>
                <w:b/>
                <w:bCs/>
                <w:color w:val="auto"/>
                <w:szCs w:val="21"/>
                <w:highlight w:val="none"/>
                <w:u w:val="single"/>
              </w:rPr>
              <w:t>。</w:t>
            </w:r>
          </w:p>
        </w:tc>
      </w:tr>
      <w:tr w14:paraId="7370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4"/>
            <w:vAlign w:val="center"/>
          </w:tcPr>
          <w:p w14:paraId="4EA2EE64">
            <w:pPr>
              <w:pStyle w:val="15"/>
              <w:spacing w:after="62" w:afterLines="20" w:line="440" w:lineRule="exact"/>
              <w:ind w:firstLine="0" w:firstLineChars="0"/>
              <w:jc w:val="center"/>
              <w:rPr>
                <w:rFonts w:hint="eastAsia" w:ascii="宋体" w:hAnsi="宋体" w:eastAsia="宋体" w:cs="宋体"/>
                <w:color w:val="000000"/>
                <w:sz w:val="31"/>
                <w:szCs w:val="28"/>
                <w:highlight w:val="none"/>
              </w:rPr>
            </w:pPr>
            <w:r>
              <w:rPr>
                <w:rFonts w:hint="eastAsia" w:ascii="宋体" w:hAnsi="宋体" w:eastAsia="宋体" w:cs="宋体"/>
                <w:b/>
                <w:color w:val="auto"/>
                <w:sz w:val="21"/>
                <w:szCs w:val="21"/>
                <w:highlight w:val="none"/>
              </w:rPr>
              <w:t>技术评审细则（</w:t>
            </w:r>
            <w:r>
              <w:rPr>
                <w:rFonts w:hint="eastAsia" w:ascii="宋体" w:eastAsia="宋体" w:cs="宋体"/>
                <w:b/>
                <w:color w:val="auto"/>
                <w:sz w:val="21"/>
                <w:szCs w:val="21"/>
                <w:highlight w:val="none"/>
                <w:lang w:val="en-US" w:eastAsia="zh-CN"/>
              </w:rPr>
              <w:t>60</w:t>
            </w:r>
            <w:r>
              <w:rPr>
                <w:rFonts w:hint="eastAsia" w:ascii="宋体" w:hAnsi="宋体" w:eastAsia="宋体" w:cs="宋体"/>
                <w:b/>
                <w:color w:val="auto"/>
                <w:sz w:val="21"/>
                <w:szCs w:val="21"/>
                <w:highlight w:val="none"/>
              </w:rPr>
              <w:t>分）</w:t>
            </w:r>
          </w:p>
        </w:tc>
      </w:tr>
      <w:tr w14:paraId="0F2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394" w:type="pct"/>
            <w:vAlign w:val="center"/>
          </w:tcPr>
          <w:p w14:paraId="1D1186EE">
            <w:pPr>
              <w:spacing w:before="31" w:beforeLines="10" w:after="93" w:afterLines="30" w:line="440" w:lineRule="exact"/>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rPr>
              <w:t>1</w:t>
            </w:r>
          </w:p>
        </w:tc>
        <w:tc>
          <w:tcPr>
            <w:tcW w:w="790" w:type="pct"/>
            <w:vAlign w:val="center"/>
          </w:tcPr>
          <w:p w14:paraId="3ECAD1C7">
            <w:pPr>
              <w:spacing w:before="31" w:beforeLines="10" w:after="30" w:line="440" w:lineRule="exact"/>
              <w:jc w:val="center"/>
              <w:rPr>
                <w:rFonts w:hint="eastAsia" w:ascii="宋体" w:hAnsi="宋体" w:eastAsia="宋体" w:cs="宋体"/>
                <w:color w:val="000000"/>
                <w:szCs w:val="21"/>
                <w:highlight w:val="none"/>
              </w:rPr>
            </w:pPr>
            <w:r>
              <w:rPr>
                <w:rFonts w:hint="eastAsia" w:asciiTheme="minorEastAsia" w:hAnsiTheme="minorEastAsia" w:eastAsiaTheme="minorEastAsia" w:cstheme="minorEastAsia"/>
                <w:color w:val="auto"/>
                <w:highlight w:val="none"/>
                <w:lang w:bidi="ar"/>
              </w:rPr>
              <w:t>项目总体方案</w:t>
            </w:r>
          </w:p>
        </w:tc>
        <w:tc>
          <w:tcPr>
            <w:tcW w:w="508" w:type="pct"/>
            <w:vAlign w:val="center"/>
          </w:tcPr>
          <w:p w14:paraId="73CFA321">
            <w:pPr>
              <w:widowControl/>
              <w:spacing w:before="31" w:beforeLines="10" w:after="30" w:line="440" w:lineRule="exact"/>
              <w:jc w:val="center"/>
              <w:rPr>
                <w:rFonts w:hint="eastAsia" w:ascii="宋体" w:hAnsi="宋体" w:eastAsia="宋体" w:cs="宋体"/>
                <w:color w:val="000000"/>
                <w:szCs w:val="21"/>
                <w:highlight w:val="none"/>
              </w:rPr>
            </w:pPr>
            <w:r>
              <w:rPr>
                <w:rFonts w:hint="eastAsia" w:asciiTheme="minorEastAsia" w:hAnsiTheme="minorEastAsia" w:eastAsiaTheme="minorEastAsia" w:cstheme="minorEastAsia"/>
                <w:color w:val="auto"/>
                <w:highlight w:val="none"/>
                <w:lang w:bidi="ar"/>
              </w:rPr>
              <w:t>1</w:t>
            </w:r>
            <w:r>
              <w:rPr>
                <w:rFonts w:hint="eastAsia" w:asciiTheme="minorEastAsia" w:hAnsiTheme="minorEastAsia" w:eastAsiaTheme="minorEastAsia" w:cstheme="minorEastAsia"/>
                <w:color w:val="auto"/>
                <w:highlight w:val="none"/>
                <w:lang w:val="en-US" w:eastAsia="zh-CN" w:bidi="ar"/>
              </w:rPr>
              <w:t>0</w:t>
            </w:r>
            <w:r>
              <w:rPr>
                <w:rFonts w:hint="eastAsia" w:asciiTheme="minorEastAsia" w:hAnsiTheme="minorEastAsia" w:eastAsiaTheme="minorEastAsia" w:cstheme="minorEastAsia"/>
                <w:color w:val="auto"/>
                <w:highlight w:val="none"/>
                <w:lang w:bidi="ar"/>
              </w:rPr>
              <w:t>分</w:t>
            </w:r>
          </w:p>
        </w:tc>
        <w:tc>
          <w:tcPr>
            <w:tcW w:w="3305" w:type="pct"/>
            <w:vAlign w:val="center"/>
          </w:tcPr>
          <w:p w14:paraId="11DCC0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根据供应商提供的项目总体方案（包括但不限于：项目管理架构与人员配置、作业部署与消杀频次、综合协调与配合机制等）进行评审：</w:t>
            </w:r>
          </w:p>
          <w:p w14:paraId="59DCE9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1、项目总体方案成熟可靠，管理架构科学完整（岗位设置齐全，人员配置充足），作业部署紧密贴合采购需求及病媒生物防治特点，消杀频次安排完全符合采购要求，方案内容详实完整，具有很强的针对性、前瞻性和可操作性，能完全结合项目实际情况且完全满足采购需求要求的，</w:t>
            </w:r>
            <w:r>
              <w:rPr>
                <w:rFonts w:hint="eastAsia" w:ascii="宋体" w:hAnsi="宋体" w:eastAsia="宋体" w:cs="宋体"/>
                <w:color w:val="000000"/>
                <w:szCs w:val="21"/>
                <w:highlight w:val="none"/>
              </w:rPr>
              <w:t>得10分；</w:t>
            </w:r>
          </w:p>
          <w:p w14:paraId="61840D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2、项目总体方案合理，管理架构及作业部署有序可行，人员配置基本满足要求，消杀频次安排基本符合采购要求，方案内容较为完整，与采购需求相适应，具有一定的针对性，能满足采购需求要求的，</w:t>
            </w:r>
            <w:r>
              <w:rPr>
                <w:rFonts w:hint="eastAsia" w:ascii="宋体" w:hAnsi="宋体" w:eastAsia="宋体" w:cs="宋体"/>
                <w:color w:val="000000"/>
                <w:szCs w:val="21"/>
                <w:highlight w:val="none"/>
              </w:rPr>
              <w:t>得7分；</w:t>
            </w:r>
          </w:p>
          <w:p w14:paraId="2A2DA6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3、项目总体方案基本合理，管理架构及作业部署基本可行，人员配置满足基本需求，消杀频次安排部分符合采购要求，方案内容较为完整，与采购需求基本契合，针对性一般，基本满足采购需求要求的，</w:t>
            </w:r>
            <w:r>
              <w:rPr>
                <w:rFonts w:hint="eastAsia" w:ascii="宋体" w:hAnsi="宋体" w:eastAsia="宋体" w:cs="宋体"/>
                <w:color w:val="000000"/>
                <w:szCs w:val="21"/>
                <w:highlight w:val="none"/>
              </w:rPr>
              <w:t>得4分；</w:t>
            </w:r>
          </w:p>
          <w:p w14:paraId="630EAC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4、项目总体方案存在不足，管理架构及作业部署不够完善，人员配置不足，消杀频次安排与采购要求差距较大，方案内容不够完整，与项目实际结合度不高，难以有效满足采购需求要求的，</w:t>
            </w:r>
            <w:r>
              <w:rPr>
                <w:rFonts w:hint="eastAsia" w:ascii="宋体" w:hAnsi="宋体" w:eastAsia="宋体" w:cs="宋体"/>
                <w:color w:val="000000"/>
                <w:szCs w:val="21"/>
                <w:highlight w:val="none"/>
              </w:rPr>
              <w:t>得1分；</w:t>
            </w:r>
          </w:p>
          <w:p w14:paraId="482176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未提供相关方案或其他情形的，得0分。</w:t>
            </w:r>
          </w:p>
        </w:tc>
      </w:tr>
      <w:tr w14:paraId="1F22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Align w:val="center"/>
          </w:tcPr>
          <w:p w14:paraId="4DF32C66">
            <w:pPr>
              <w:spacing w:before="31" w:beforeLines="10" w:after="93" w:afterLines="30" w:line="440" w:lineRule="exact"/>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rPr>
              <w:t>2</w:t>
            </w:r>
          </w:p>
        </w:tc>
        <w:tc>
          <w:tcPr>
            <w:tcW w:w="790" w:type="pct"/>
            <w:vAlign w:val="center"/>
          </w:tcPr>
          <w:p w14:paraId="10BD6AD9">
            <w:pPr>
              <w:spacing w:before="31" w:beforeLines="10" w:after="30" w:line="440" w:lineRule="exact"/>
              <w:jc w:val="center"/>
              <w:rPr>
                <w:rFonts w:hint="default" w:ascii="宋体" w:hAnsi="宋体" w:eastAsia="宋体" w:cs="宋体"/>
                <w:bCs/>
                <w:color w:val="000000"/>
                <w:szCs w:val="21"/>
                <w:highlight w:val="none"/>
                <w:lang w:val="en-US" w:eastAsia="zh-CN"/>
              </w:rPr>
            </w:pPr>
            <w:r>
              <w:rPr>
                <w:rFonts w:hint="eastAsia" w:asciiTheme="minorEastAsia" w:hAnsiTheme="minorEastAsia" w:eastAsiaTheme="minorEastAsia" w:cstheme="minorEastAsia"/>
                <w:color w:val="auto"/>
                <w:highlight w:val="none"/>
                <w:lang w:val="en-US" w:eastAsia="zh-CN"/>
              </w:rPr>
              <w:t>除四害服务方案</w:t>
            </w:r>
          </w:p>
        </w:tc>
        <w:tc>
          <w:tcPr>
            <w:tcW w:w="508" w:type="pct"/>
            <w:vAlign w:val="center"/>
          </w:tcPr>
          <w:p w14:paraId="37895B91">
            <w:pPr>
              <w:widowControl/>
              <w:spacing w:before="31" w:beforeLines="10" w:after="30" w:line="440" w:lineRule="exact"/>
              <w:jc w:val="center"/>
              <w:rPr>
                <w:rFonts w:hint="eastAsia" w:ascii="宋体" w:hAnsi="宋体" w:eastAsia="宋体" w:cs="宋体"/>
                <w:bCs/>
                <w:color w:val="000000"/>
                <w:szCs w:val="21"/>
                <w:highlight w:val="none"/>
              </w:rPr>
            </w:pPr>
            <w:r>
              <w:rPr>
                <w:rFonts w:hint="eastAsia" w:asciiTheme="minorEastAsia" w:hAnsiTheme="minorEastAsia" w:eastAsiaTheme="minorEastAsia" w:cstheme="minorEastAsia"/>
                <w:color w:val="auto"/>
                <w:highlight w:val="none"/>
              </w:rPr>
              <w:t>10分</w:t>
            </w:r>
          </w:p>
        </w:tc>
        <w:tc>
          <w:tcPr>
            <w:tcW w:w="3305" w:type="pct"/>
            <w:vAlign w:val="center"/>
          </w:tcPr>
          <w:p w14:paraId="7D3631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根据供应商针对本项目提供的除四害服务方案（包括但不限于：除四害服务工作目标、消杀工作计划、作业操作规程、孳生地治理方案等）进行评审：</w:t>
            </w:r>
          </w:p>
          <w:p w14:paraId="55DAB5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除四害服务方案全面且完善，服务工作目标非常明确，消杀工作计划和作业操作规程完全符合采购要求的频次与范围，孳生地治理方案对积水点、垃圾收集点、下水道等重点区域有全面覆盖和详细安排，能完全结合项目实际情况且完全满足采购需求要求的，得10分；</w:t>
            </w:r>
          </w:p>
          <w:p w14:paraId="506BAA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除四害服务方案较为全面且完善，服务工作目标较为明确，消杀工作计划和作业操作规程基本符合采购要求的频次与范围，孳生地治理方案对重点区域有较为全面的覆盖和安排，能较好结合项目实际情况且较好满足采购需求要求的，得7分；</w:t>
            </w:r>
          </w:p>
          <w:p w14:paraId="7E504E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除四害服务方案基本全面且完善，服务工作目标基本明确，消杀工作计划和作业操作规程部分符合采购要求的频次，孳生地治理方案对重点区域有基本覆盖，能基本结合项目实际情况且基本满足采购需求要求的，得4分；</w:t>
            </w:r>
          </w:p>
          <w:p w14:paraId="28B687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除四害服务方案存在不足，服务工作目标不够明确，消杀工作计划和作业操作规程与采购要求的频次差距较大，孳生地治理方案对重点区域覆盖不足，难以有效结合项目实际情况且难以满足采购需求要求的，得1分；</w:t>
            </w:r>
          </w:p>
          <w:p w14:paraId="75B89F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kern w:val="0"/>
                <w:szCs w:val="21"/>
                <w:highlight w:val="none"/>
              </w:rPr>
            </w:pPr>
            <w:r>
              <w:rPr>
                <w:rFonts w:hint="eastAsia" w:ascii="宋体" w:hAnsi="宋体" w:eastAsia="宋体" w:cs="宋体"/>
                <w:color w:val="000000"/>
                <w:szCs w:val="21"/>
                <w:highlight w:val="none"/>
                <w:lang w:val="en-US" w:eastAsia="zh-CN"/>
              </w:rPr>
              <w:t>5、未提供相关方案或其他情形的，得0分。</w:t>
            </w:r>
          </w:p>
        </w:tc>
      </w:tr>
      <w:tr w14:paraId="30CD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Align w:val="center"/>
          </w:tcPr>
          <w:p w14:paraId="6DD03508">
            <w:pPr>
              <w:spacing w:before="31" w:beforeLines="10" w:after="93" w:afterLines="30" w:line="440" w:lineRule="exact"/>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rPr>
              <w:t>3</w:t>
            </w:r>
          </w:p>
        </w:tc>
        <w:tc>
          <w:tcPr>
            <w:tcW w:w="790" w:type="pct"/>
            <w:vAlign w:val="center"/>
          </w:tcPr>
          <w:p w14:paraId="5C659B76">
            <w:pPr>
              <w:spacing w:before="31" w:beforeLines="10" w:after="30"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服务质量保证方案</w:t>
            </w:r>
          </w:p>
          <w:p w14:paraId="56ED6E5A">
            <w:pPr>
              <w:spacing w:before="31" w:beforeLines="10" w:after="30" w:line="440" w:lineRule="exact"/>
              <w:jc w:val="center"/>
              <w:rPr>
                <w:rFonts w:hint="eastAsia" w:ascii="宋体" w:hAnsi="宋体" w:eastAsia="宋体" w:cs="宋体"/>
                <w:bCs/>
                <w:color w:val="000000"/>
                <w:szCs w:val="21"/>
                <w:highlight w:val="none"/>
              </w:rPr>
            </w:pPr>
          </w:p>
        </w:tc>
        <w:tc>
          <w:tcPr>
            <w:tcW w:w="508" w:type="pct"/>
            <w:vAlign w:val="center"/>
          </w:tcPr>
          <w:p w14:paraId="31F74F4B">
            <w:pPr>
              <w:widowControl/>
              <w:spacing w:before="31" w:beforeLines="10" w:after="30" w:line="440" w:lineRule="exact"/>
              <w:jc w:val="center"/>
              <w:rPr>
                <w:rFonts w:hint="eastAsia" w:ascii="宋体" w:hAnsi="宋体" w:eastAsia="宋体" w:cs="宋体"/>
                <w:color w:val="000000"/>
                <w:szCs w:val="21"/>
                <w:highlight w:val="none"/>
              </w:rPr>
            </w:pPr>
            <w:r>
              <w:rPr>
                <w:rFonts w:hint="eastAsia" w:asciiTheme="minorEastAsia" w:hAnsiTheme="minorEastAsia" w:eastAsiaTheme="minorEastAsia" w:cstheme="minorEastAsia"/>
                <w:color w:val="auto"/>
                <w:highlight w:val="none"/>
                <w:lang w:bidi="ar"/>
              </w:rPr>
              <w:t>10分</w:t>
            </w:r>
          </w:p>
        </w:tc>
        <w:tc>
          <w:tcPr>
            <w:tcW w:w="3305" w:type="pct"/>
            <w:vAlign w:val="center"/>
          </w:tcPr>
          <w:p w14:paraId="3E97028F">
            <w:pPr>
              <w:keepNext w:val="0"/>
              <w:keepLines w:val="0"/>
              <w:pageBreakBefore w:val="0"/>
              <w:widowControl w:val="0"/>
              <w:kinsoku/>
              <w:wordWrap/>
              <w:overflowPunct/>
              <w:topLinePunct w:val="0"/>
              <w:autoSpaceDE/>
              <w:autoSpaceDN/>
              <w:bidi w:val="0"/>
              <w:adjustRightInd/>
              <w:snapToGrid/>
              <w:spacing w:before="31" w:beforeLines="10" w:after="30" w:line="440" w:lineRule="exac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根据供应商针对本项目提供的服务质量保证方案（包括但不限于：服务质量目标、服务质量管理制度、服务质量持续改进措施等）进行评审：</w:t>
            </w:r>
          </w:p>
          <w:p w14:paraId="517C4E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1、质量保证方案</w:t>
            </w:r>
            <w:r>
              <w:rPr>
                <w:rFonts w:hint="eastAsia" w:ascii="宋体" w:hAnsi="宋体" w:eastAsia="宋体" w:cs="宋体"/>
                <w:b w:val="0"/>
                <w:bCs w:val="0"/>
                <w:color w:val="auto"/>
                <w:sz w:val="21"/>
                <w:szCs w:val="21"/>
                <w:highlight w:val="none"/>
              </w:rPr>
              <w:t>详</w:t>
            </w:r>
            <w:r>
              <w:rPr>
                <w:rFonts w:hint="eastAsia" w:ascii="宋体" w:hAnsi="宋体" w:cs="宋体"/>
                <w:b w:val="0"/>
                <w:bCs w:val="0"/>
                <w:color w:val="auto"/>
                <w:sz w:val="21"/>
                <w:szCs w:val="21"/>
                <w:highlight w:val="none"/>
                <w:lang w:val="en-US" w:eastAsia="zh-CN"/>
              </w:rPr>
              <w:t>尽</w:t>
            </w:r>
            <w:r>
              <w:rPr>
                <w:rFonts w:hint="eastAsia" w:ascii="宋体" w:hAnsi="宋体" w:eastAsia="宋体" w:cs="宋体"/>
                <w:b w:val="0"/>
                <w:bCs w:val="0"/>
                <w:color w:val="auto"/>
                <w:sz w:val="21"/>
                <w:szCs w:val="21"/>
                <w:highlight w:val="none"/>
              </w:rPr>
              <w:t>完善</w:t>
            </w:r>
            <w:r>
              <w:rPr>
                <w:rFonts w:hint="eastAsia" w:asciiTheme="minorEastAsia" w:hAnsiTheme="minorEastAsia" w:eastAsiaTheme="minorEastAsia" w:cstheme="minorEastAsia"/>
                <w:bCs/>
                <w:color w:val="auto"/>
                <w:szCs w:val="21"/>
                <w:highlight w:val="none"/>
                <w:lang w:val="en-US" w:eastAsia="zh-CN"/>
              </w:rPr>
              <w:t>，质量目标完全符合四害密度控制标准，质量管理制度对监测频次、检查点位、台账记录有全面详细的规定，质量持续改进措施对密度不达标情况有明确的整改闭环要求，能完全结合项目实际情况且完全满足采购需求要求的，得10分；</w:t>
            </w:r>
          </w:p>
          <w:p w14:paraId="3E4AC3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质量保证方案较为完善，质量目标基本符合四害密度控制标准，质量管理制度对监测频次、检查点位有较为全面的规定，质量持续改进措施有基本的整改安排，能较好结合项目实际情况且较好满足采购需求要求的，得7分；</w:t>
            </w:r>
          </w:p>
          <w:p w14:paraId="5BE8D0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3、质量保证方案基本完善，质量目标与四害密度控制标准部分符合，质量管理制度对主要环节有基本规定，质量持续改进措施基本可行，能基本结合项目实际情况且基本满足采购需求要求的，得4分；</w:t>
            </w:r>
          </w:p>
          <w:p w14:paraId="7BD888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4、质量保证方案存在不足，质量目标与四害密度控制标准差距较大，质量管理制度不够完善，质量持续改进措施缺乏可操作性，难以有效结合项目实际情况且难以满足采购需求要求的，得1分；</w:t>
            </w:r>
          </w:p>
          <w:p w14:paraId="7EFF3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Cs w:val="21"/>
                <w:highlight w:val="none"/>
              </w:rPr>
            </w:pPr>
            <w:r>
              <w:rPr>
                <w:rFonts w:hint="eastAsia" w:asciiTheme="minorEastAsia" w:hAnsiTheme="minorEastAsia" w:eastAsiaTheme="minorEastAsia" w:cstheme="minorEastAsia"/>
                <w:bCs/>
                <w:color w:val="auto"/>
                <w:szCs w:val="21"/>
                <w:highlight w:val="none"/>
                <w:lang w:val="en-US" w:eastAsia="zh-CN"/>
              </w:rPr>
              <w:t>5、未提供相关方案或其他情形的，得0分。</w:t>
            </w:r>
          </w:p>
        </w:tc>
      </w:tr>
      <w:tr w14:paraId="41B4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Align w:val="center"/>
          </w:tcPr>
          <w:p w14:paraId="7E975FB5">
            <w:pPr>
              <w:spacing w:before="31" w:beforeLines="10" w:after="93" w:afterLines="30"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w:t>
            </w:r>
          </w:p>
        </w:tc>
        <w:tc>
          <w:tcPr>
            <w:tcW w:w="790" w:type="pct"/>
            <w:vAlign w:val="center"/>
          </w:tcPr>
          <w:p w14:paraId="38A865D9">
            <w:pPr>
              <w:spacing w:before="31" w:beforeLines="10" w:after="30" w:line="440" w:lineRule="exact"/>
              <w:jc w:val="center"/>
              <w:rPr>
                <w:rFonts w:hint="eastAsia" w:asciiTheme="minorEastAsia" w:hAnsiTheme="minorEastAsia" w:eastAsiaTheme="minorEastAsia" w:cstheme="minorEastAsia"/>
                <w:bCs/>
                <w:color w:val="auto"/>
                <w:highlight w:val="none"/>
                <w:lang w:bidi="ar"/>
              </w:rPr>
            </w:pPr>
            <w:r>
              <w:rPr>
                <w:rFonts w:hint="eastAsia" w:asciiTheme="minorEastAsia" w:hAnsiTheme="minorEastAsia" w:eastAsiaTheme="minorEastAsia" w:cstheme="minorEastAsia"/>
                <w:bCs/>
                <w:color w:val="auto"/>
                <w:highlight w:val="none"/>
                <w:lang w:bidi="ar"/>
              </w:rPr>
              <w:t>培训方案</w:t>
            </w:r>
          </w:p>
          <w:p w14:paraId="4E26B69F">
            <w:pPr>
              <w:spacing w:before="31" w:beforeLines="10" w:after="30" w:line="440" w:lineRule="exact"/>
              <w:jc w:val="center"/>
              <w:rPr>
                <w:rFonts w:hint="eastAsia" w:asciiTheme="minorEastAsia" w:hAnsiTheme="minorEastAsia" w:eastAsiaTheme="minorEastAsia" w:cstheme="minorEastAsia"/>
                <w:bCs/>
                <w:color w:val="auto"/>
                <w:highlight w:val="none"/>
                <w:lang w:bidi="ar"/>
              </w:rPr>
            </w:pPr>
          </w:p>
        </w:tc>
        <w:tc>
          <w:tcPr>
            <w:tcW w:w="508" w:type="pct"/>
            <w:vAlign w:val="center"/>
          </w:tcPr>
          <w:p w14:paraId="75FB6C13">
            <w:pPr>
              <w:widowControl/>
              <w:spacing w:before="31" w:beforeLines="10" w:after="30" w:line="440" w:lineRule="exact"/>
              <w:jc w:val="center"/>
              <w:rPr>
                <w:rFonts w:hint="eastAsia" w:asciiTheme="minorEastAsia" w:hAnsiTheme="minorEastAsia" w:eastAsiaTheme="minorEastAsia" w:cstheme="minorEastAsia"/>
                <w:color w:val="auto"/>
                <w:highlight w:val="none"/>
                <w:lang w:bidi="ar"/>
              </w:rPr>
            </w:pPr>
            <w:r>
              <w:rPr>
                <w:rFonts w:hint="eastAsia" w:asciiTheme="minorEastAsia" w:hAnsiTheme="minorEastAsia" w:eastAsiaTheme="minorEastAsia" w:cstheme="minorEastAsia"/>
                <w:color w:val="auto"/>
                <w:highlight w:val="none"/>
                <w:lang w:bidi="ar"/>
              </w:rPr>
              <w:t>10分</w:t>
            </w:r>
          </w:p>
        </w:tc>
        <w:tc>
          <w:tcPr>
            <w:tcW w:w="3305" w:type="pct"/>
            <w:vAlign w:val="center"/>
          </w:tcPr>
          <w:p w14:paraId="4319A191">
            <w:pPr>
              <w:pStyle w:val="15"/>
              <w:spacing w:line="440" w:lineRule="exact"/>
              <w:ind w:firstLine="0" w:firstLineChars="0"/>
              <w:jc w:val="left"/>
              <w:rPr>
                <w:rFonts w:hint="default" w:asciiTheme="minorEastAsia" w:hAnsiTheme="minorEastAsia" w:eastAsiaTheme="minorEastAsia" w:cstheme="minorEastAsia"/>
                <w:b/>
                <w:bCs/>
                <w:color w:val="auto"/>
                <w:sz w:val="21"/>
                <w:szCs w:val="22"/>
                <w:highlight w:val="none"/>
              </w:rPr>
            </w:pPr>
            <w:r>
              <w:rPr>
                <w:rFonts w:hint="default" w:asciiTheme="minorEastAsia" w:hAnsiTheme="minorEastAsia" w:eastAsiaTheme="minorEastAsia" w:cstheme="minorEastAsia"/>
                <w:b/>
                <w:bCs/>
                <w:color w:val="auto"/>
                <w:sz w:val="21"/>
                <w:szCs w:val="22"/>
                <w:highlight w:val="none"/>
              </w:rPr>
              <w:t>根据供应商针对本项目为作业人员提供的培训方案（包括但不限于：作业安全培训、消杀技能培训、岗位职责培训等）进行评审：</w:t>
            </w:r>
          </w:p>
          <w:p w14:paraId="671CF303">
            <w:pPr>
              <w:pStyle w:val="15"/>
              <w:spacing w:line="440" w:lineRule="exact"/>
              <w:ind w:firstLine="0" w:firstLineChars="0"/>
              <w:jc w:val="both"/>
              <w:rPr>
                <w:rFonts w:hint="default"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b w:val="0"/>
                <w:bCs w:val="0"/>
                <w:color w:val="auto"/>
                <w:sz w:val="21"/>
                <w:szCs w:val="22"/>
                <w:highlight w:val="none"/>
                <w:lang w:val="en-US" w:eastAsia="zh-CN"/>
              </w:rPr>
              <w:t>1、</w:t>
            </w:r>
            <w:r>
              <w:rPr>
                <w:rFonts w:hint="default" w:asciiTheme="minorEastAsia" w:hAnsiTheme="minorEastAsia" w:eastAsiaTheme="minorEastAsia" w:cstheme="minorEastAsia"/>
                <w:b w:val="0"/>
                <w:bCs w:val="0"/>
                <w:color w:val="auto"/>
                <w:sz w:val="21"/>
                <w:szCs w:val="22"/>
                <w:highlight w:val="none"/>
                <w:lang w:val="en-US" w:eastAsia="zh-CN"/>
              </w:rPr>
              <w:t>培训方案科学高效，培</w:t>
            </w:r>
            <w:r>
              <w:rPr>
                <w:rFonts w:hint="default" w:asciiTheme="minorEastAsia" w:hAnsiTheme="minorEastAsia" w:eastAsiaTheme="minorEastAsia" w:cstheme="minorEastAsia"/>
                <w:b w:val="0"/>
                <w:bCs w:val="0"/>
                <w:color w:val="auto"/>
                <w:kern w:val="2"/>
                <w:sz w:val="21"/>
                <w:szCs w:val="22"/>
                <w:highlight w:val="none"/>
                <w:lang w:val="en-US" w:eastAsia="zh-CN" w:bidi="ar-SA"/>
              </w:rPr>
              <w:t>训</w:t>
            </w:r>
            <w:r>
              <w:rPr>
                <w:rFonts w:hint="default" w:asciiTheme="minorEastAsia" w:hAnsiTheme="minorEastAsia" w:eastAsiaTheme="minorEastAsia" w:cstheme="minorEastAsia"/>
                <w:color w:val="auto"/>
                <w:kern w:val="2"/>
                <w:sz w:val="21"/>
                <w:szCs w:val="22"/>
                <w:highlight w:val="none"/>
                <w:lang w:val="en-US" w:eastAsia="zh-CN" w:bidi="ar-SA"/>
              </w:rPr>
              <w:t>内容对安全作业规范、药物使用知识、四害识别技能有全面覆盖，时间安排合理，有完备的考核合格后上岗机制，能完全结合项目实际情况且完全满足采购需求要求的，得10分；</w:t>
            </w:r>
          </w:p>
          <w:p w14:paraId="1B46440A">
            <w:pPr>
              <w:widowControl w:val="0"/>
              <w:spacing w:line="440" w:lineRule="exact"/>
              <w:ind w:firstLine="0" w:firstLineChars="0"/>
              <w:jc w:val="both"/>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2、</w:t>
            </w:r>
            <w:r>
              <w:rPr>
                <w:rFonts w:hint="default" w:asciiTheme="minorEastAsia" w:hAnsiTheme="minorEastAsia" w:eastAsiaTheme="minorEastAsia" w:cstheme="minorEastAsia"/>
                <w:color w:val="auto"/>
                <w:kern w:val="2"/>
                <w:sz w:val="21"/>
                <w:szCs w:val="22"/>
                <w:highlight w:val="none"/>
                <w:lang w:val="en-US" w:eastAsia="zh-CN" w:bidi="ar-SA"/>
              </w:rPr>
              <w:t>培训方案科学有效，培训内容对安全作业规范、药物使用知识有较为全面的覆盖，时间安排较为合理，有基本的培训考核机制，能较好结合项目实际情况且较好满足采购需求要求的，得7分；</w:t>
            </w:r>
          </w:p>
          <w:p w14:paraId="348A1737">
            <w:pPr>
              <w:widowControl w:val="0"/>
              <w:spacing w:line="440" w:lineRule="exact"/>
              <w:ind w:firstLine="0" w:firstLineChars="0"/>
              <w:jc w:val="both"/>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3、</w:t>
            </w:r>
            <w:r>
              <w:rPr>
                <w:rFonts w:hint="default" w:asciiTheme="minorEastAsia" w:hAnsiTheme="minorEastAsia" w:eastAsiaTheme="minorEastAsia" w:cstheme="minorEastAsia"/>
                <w:color w:val="auto"/>
                <w:kern w:val="2"/>
                <w:sz w:val="21"/>
                <w:szCs w:val="22"/>
                <w:highlight w:val="none"/>
                <w:lang w:val="en-US" w:eastAsia="zh-CN" w:bidi="ar-SA"/>
              </w:rPr>
              <w:t>培训方案较为可行，培训内容对主要环节有基本覆盖，时间安排基本合理，能基本结合项目实际情况且基本满足采购需求要求的，得4分；</w:t>
            </w:r>
          </w:p>
          <w:p w14:paraId="346B999E">
            <w:pPr>
              <w:widowControl w:val="0"/>
              <w:spacing w:line="440" w:lineRule="exact"/>
              <w:ind w:firstLine="0" w:firstLineChars="0"/>
              <w:jc w:val="both"/>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4、</w:t>
            </w:r>
            <w:r>
              <w:rPr>
                <w:rFonts w:hint="default" w:asciiTheme="minorEastAsia" w:hAnsiTheme="minorEastAsia" w:eastAsiaTheme="minorEastAsia" w:cstheme="minorEastAsia"/>
                <w:color w:val="auto"/>
                <w:kern w:val="2"/>
                <w:sz w:val="21"/>
                <w:szCs w:val="22"/>
                <w:highlight w:val="none"/>
                <w:lang w:val="en-US" w:eastAsia="zh-CN" w:bidi="ar-SA"/>
              </w:rPr>
              <w:t>培训方案存在不足，培训内容覆盖不全面，时间安排不合理，缺乏培训考核机制，难以有效结合项目实际情况且难以满足采购需求要求的，得1分；</w:t>
            </w:r>
          </w:p>
          <w:p w14:paraId="2807A4F6">
            <w:pPr>
              <w:widowControl w:val="0"/>
              <w:spacing w:line="440" w:lineRule="exact"/>
              <w:ind w:firstLine="0" w:firstLineChars="0"/>
              <w:jc w:val="both"/>
              <w:rPr>
                <w:rFonts w:hint="eastAsia" w:asciiTheme="minorEastAsia" w:hAnsiTheme="minorEastAsia" w:eastAsiaTheme="minorEastAsia" w:cstheme="minorEastAsia"/>
                <w:color w:val="auto"/>
                <w:highlight w:val="none"/>
                <w:lang w:val="en-US" w:eastAsia="zh-CN" w:bidi="ar"/>
              </w:rPr>
            </w:pPr>
            <w:r>
              <w:rPr>
                <w:rFonts w:hint="eastAsia" w:asciiTheme="minorEastAsia" w:hAnsiTheme="minorEastAsia" w:eastAsiaTheme="minorEastAsia" w:cstheme="minorEastAsia"/>
                <w:color w:val="auto"/>
                <w:kern w:val="2"/>
                <w:sz w:val="21"/>
                <w:szCs w:val="22"/>
                <w:highlight w:val="none"/>
                <w:lang w:val="en-US" w:eastAsia="zh-CN" w:bidi="ar-SA"/>
              </w:rPr>
              <w:t>5、</w:t>
            </w:r>
            <w:r>
              <w:rPr>
                <w:rFonts w:hint="default" w:asciiTheme="minorEastAsia" w:hAnsiTheme="minorEastAsia" w:eastAsiaTheme="minorEastAsia" w:cstheme="minorEastAsia"/>
                <w:color w:val="auto"/>
                <w:kern w:val="2"/>
                <w:sz w:val="21"/>
                <w:szCs w:val="22"/>
                <w:highlight w:val="none"/>
                <w:lang w:val="en-US" w:eastAsia="zh-CN" w:bidi="ar-SA"/>
              </w:rPr>
              <w:t>未提供相关方案或其他情形的，得0分。</w:t>
            </w:r>
          </w:p>
        </w:tc>
      </w:tr>
      <w:tr w14:paraId="3D7A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Align w:val="center"/>
          </w:tcPr>
          <w:p w14:paraId="31A543A1">
            <w:pPr>
              <w:spacing w:before="31" w:beforeLines="10" w:after="93" w:afterLines="30"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790" w:type="pct"/>
            <w:vAlign w:val="center"/>
          </w:tcPr>
          <w:p w14:paraId="5CF8DAEB">
            <w:pPr>
              <w:spacing w:before="31" w:beforeLines="10" w:after="30" w:line="440" w:lineRule="exact"/>
              <w:jc w:val="center"/>
              <w:rPr>
                <w:rFonts w:hint="eastAsia" w:asciiTheme="minorEastAsia" w:hAnsiTheme="minorEastAsia" w:eastAsiaTheme="minorEastAsia" w:cstheme="minorEastAsia"/>
                <w:bCs/>
                <w:color w:val="auto"/>
                <w:highlight w:val="none"/>
                <w:lang w:bidi="ar"/>
              </w:rPr>
            </w:pPr>
            <w:r>
              <w:rPr>
                <w:rFonts w:hint="eastAsia" w:asciiTheme="minorEastAsia" w:hAnsiTheme="minorEastAsia" w:eastAsiaTheme="minorEastAsia" w:cstheme="minorEastAsia"/>
                <w:color w:val="auto"/>
                <w:highlight w:val="none"/>
              </w:rPr>
              <w:t>售后服务方案</w:t>
            </w:r>
          </w:p>
        </w:tc>
        <w:tc>
          <w:tcPr>
            <w:tcW w:w="508" w:type="pct"/>
            <w:vAlign w:val="center"/>
          </w:tcPr>
          <w:p w14:paraId="37B5F638">
            <w:pPr>
              <w:widowControl/>
              <w:spacing w:before="31" w:beforeLines="10" w:after="30" w:line="440" w:lineRule="exact"/>
              <w:jc w:val="center"/>
              <w:rPr>
                <w:rFonts w:hint="eastAsia" w:asciiTheme="minorEastAsia" w:hAnsiTheme="minorEastAsia" w:eastAsiaTheme="minorEastAsia" w:cstheme="minorEastAsia"/>
                <w:color w:val="auto"/>
                <w:highlight w:val="none"/>
                <w:lang w:bidi="ar"/>
              </w:rPr>
            </w:pPr>
            <w:r>
              <w:rPr>
                <w:rFonts w:hint="eastAsia" w:asciiTheme="minorEastAsia" w:hAnsiTheme="minorEastAsia" w:eastAsiaTheme="minorEastAsia" w:cstheme="minorEastAsia"/>
                <w:color w:val="auto"/>
                <w:highlight w:val="none"/>
              </w:rPr>
              <w:t>10分</w:t>
            </w:r>
          </w:p>
        </w:tc>
        <w:tc>
          <w:tcPr>
            <w:tcW w:w="3305" w:type="pct"/>
            <w:vAlign w:val="center"/>
          </w:tcPr>
          <w:p w14:paraId="7D4CC01A">
            <w:pPr>
              <w:widowControl w:val="0"/>
              <w:spacing w:line="440" w:lineRule="exact"/>
              <w:ind w:firstLine="0" w:firstLineChars="0"/>
              <w:jc w:val="both"/>
              <w:rPr>
                <w:rFonts w:hint="eastAsia" w:asciiTheme="minorEastAsia" w:hAnsiTheme="minorEastAsia" w:eastAsiaTheme="minorEastAsia" w:cstheme="minorEastAsia"/>
                <w:b/>
                <w:bCs/>
                <w:color w:val="auto"/>
                <w:kern w:val="2"/>
                <w:sz w:val="21"/>
                <w:szCs w:val="22"/>
                <w:highlight w:val="none"/>
                <w:lang w:val="en-US" w:eastAsia="zh-CN" w:bidi="ar-SA"/>
              </w:rPr>
            </w:pPr>
            <w:r>
              <w:rPr>
                <w:rFonts w:hint="eastAsia" w:asciiTheme="minorEastAsia" w:hAnsiTheme="minorEastAsia" w:eastAsiaTheme="minorEastAsia" w:cstheme="minorEastAsia"/>
                <w:b/>
                <w:bCs/>
                <w:color w:val="auto"/>
                <w:kern w:val="2"/>
                <w:sz w:val="21"/>
                <w:szCs w:val="22"/>
                <w:highlight w:val="none"/>
                <w:lang w:val="en-US" w:eastAsia="zh-CN" w:bidi="ar-SA"/>
              </w:rPr>
              <w:t>根据供应商为本项目制定的售后服务方案（包括但不限于：售后服务承诺、服务响应机制、投诉处理机制等）进行评审：</w:t>
            </w:r>
          </w:p>
          <w:p w14:paraId="384654FF">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1、售后服务方案</w:t>
            </w:r>
            <w:r>
              <w:rPr>
                <w:rFonts w:hint="eastAsia" w:ascii="宋体" w:hAnsi="宋体" w:cs="宋体"/>
                <w:b w:val="0"/>
                <w:bCs w:val="0"/>
                <w:color w:val="auto"/>
                <w:sz w:val="21"/>
                <w:szCs w:val="21"/>
                <w:highlight w:val="none"/>
                <w:lang w:val="en-US" w:eastAsia="zh-CN"/>
              </w:rPr>
              <w:t>详尽</w:t>
            </w:r>
            <w:r>
              <w:rPr>
                <w:rFonts w:hint="eastAsia" w:ascii="宋体" w:hAnsi="宋体" w:eastAsia="宋体" w:cs="宋体"/>
                <w:b w:val="0"/>
                <w:bCs w:val="0"/>
                <w:color w:val="auto"/>
                <w:sz w:val="21"/>
                <w:szCs w:val="21"/>
                <w:highlight w:val="none"/>
              </w:rPr>
              <w:t>完善</w:t>
            </w:r>
            <w:r>
              <w:rPr>
                <w:rFonts w:hint="eastAsia" w:asciiTheme="minorEastAsia" w:hAnsiTheme="minorEastAsia" w:eastAsiaTheme="minorEastAsia" w:cstheme="minorEastAsia"/>
                <w:color w:val="auto"/>
                <w:kern w:val="2"/>
                <w:sz w:val="21"/>
                <w:szCs w:val="22"/>
                <w:highlight w:val="none"/>
                <w:lang w:val="en-US" w:eastAsia="zh-CN" w:bidi="ar-SA"/>
              </w:rPr>
              <w:t>，服务承诺明确具体，服务响应时间完全符合采购要求，投诉处理机制对受理时限、到场时限、完成时限有全面规定，能完全结合项目实际情况且完全满足采购需求要求的，得10分；</w:t>
            </w:r>
          </w:p>
          <w:p w14:paraId="3D1799BA">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2、售后服务方案较为完善，服务承诺较为明确，服务响应时间基本符合采购要求，投诉处理机制有明确的受理和处置流程，能较好结合项目实际情况且较好满足采购需求要求的，得7分；</w:t>
            </w:r>
          </w:p>
          <w:p w14:paraId="2B042964">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3、售后服务方案基本完善，服务承诺基本明确，服务响应时间部分符合采购要求，投诉处理机制有受理和处置流程，能基本结合项目实际情况且基本满足采购需求要求的，得4分；</w:t>
            </w:r>
          </w:p>
          <w:p w14:paraId="7008059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4、售后服务方案存在不足，服务承诺不够明确，服务响应时间与采购要求差距较大，投诉处理机制不完善，难以有效结合项目实际情况且难以满足采购需求要求的，得1分；</w:t>
            </w:r>
          </w:p>
          <w:p w14:paraId="27AEDA88">
            <w:pPr>
              <w:widowControl w:val="0"/>
              <w:spacing w:line="440" w:lineRule="exact"/>
              <w:ind w:firstLine="0" w:firstLineChars="0"/>
              <w:jc w:val="both"/>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5、未提供相关方案或其他情形的，得0分。</w:t>
            </w:r>
          </w:p>
        </w:tc>
      </w:tr>
      <w:tr w14:paraId="0A20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94" w:type="pct"/>
            <w:vAlign w:val="center"/>
          </w:tcPr>
          <w:p w14:paraId="0F6A2F59">
            <w:pPr>
              <w:spacing w:before="31" w:beforeLines="10" w:after="93" w:afterLines="30"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790" w:type="pct"/>
            <w:vAlign w:val="center"/>
          </w:tcPr>
          <w:p w14:paraId="2D5F1B71">
            <w:pPr>
              <w:spacing w:before="31" w:beforeLines="10" w:after="30" w:line="440" w:lineRule="exact"/>
              <w:jc w:val="center"/>
              <w:rPr>
                <w:rFonts w:hint="eastAsia" w:asciiTheme="minorEastAsia" w:hAnsiTheme="minorEastAsia" w:eastAsiaTheme="minorEastAsia" w:cstheme="minorEastAsia"/>
                <w:bCs/>
                <w:color w:val="auto"/>
                <w:highlight w:val="none"/>
                <w:lang w:eastAsia="zh-CN" w:bidi="ar"/>
              </w:rPr>
            </w:pPr>
            <w:r>
              <w:rPr>
                <w:rFonts w:hint="eastAsia" w:asciiTheme="minorEastAsia" w:hAnsiTheme="minorEastAsia" w:eastAsiaTheme="minorEastAsia" w:cstheme="minorEastAsia"/>
                <w:color w:val="auto"/>
                <w:highlight w:val="none"/>
              </w:rPr>
              <w:t>应急</w:t>
            </w:r>
            <w:r>
              <w:rPr>
                <w:rFonts w:hint="eastAsia" w:asciiTheme="minorEastAsia" w:hAnsiTheme="minorEastAsia" w:eastAsiaTheme="minorEastAsia" w:cstheme="minorEastAsia"/>
                <w:color w:val="auto"/>
                <w:highlight w:val="none"/>
                <w:lang w:val="en-US" w:eastAsia="zh-CN"/>
              </w:rPr>
              <w:t>预案</w:t>
            </w:r>
          </w:p>
        </w:tc>
        <w:tc>
          <w:tcPr>
            <w:tcW w:w="508" w:type="pct"/>
            <w:vAlign w:val="center"/>
          </w:tcPr>
          <w:p w14:paraId="24A335D0">
            <w:pPr>
              <w:widowControl/>
              <w:spacing w:before="31" w:beforeLines="10" w:after="30" w:line="440" w:lineRule="exact"/>
              <w:jc w:val="center"/>
              <w:rPr>
                <w:rFonts w:hint="eastAsia" w:asciiTheme="minorEastAsia" w:hAnsiTheme="minorEastAsia" w:eastAsiaTheme="minorEastAsia" w:cstheme="minorEastAsia"/>
                <w:color w:val="auto"/>
                <w:highlight w:val="none"/>
                <w:lang w:bidi="ar"/>
              </w:rPr>
            </w:pPr>
            <w:r>
              <w:rPr>
                <w:rFonts w:hint="eastAsia" w:asciiTheme="minorEastAsia" w:hAnsiTheme="minorEastAsia" w:eastAsiaTheme="minorEastAsia" w:cstheme="minorEastAsia"/>
                <w:color w:val="auto"/>
                <w:highlight w:val="none"/>
              </w:rPr>
              <w:t>10分</w:t>
            </w:r>
          </w:p>
        </w:tc>
        <w:tc>
          <w:tcPr>
            <w:tcW w:w="3305" w:type="pct"/>
            <w:vAlign w:val="center"/>
          </w:tcPr>
          <w:p w14:paraId="57BA6D94">
            <w:pPr>
              <w:widowControl w:val="0"/>
              <w:spacing w:line="440" w:lineRule="exact"/>
              <w:ind w:firstLine="0" w:firstLineChars="0"/>
              <w:jc w:val="both"/>
              <w:rPr>
                <w:rFonts w:hint="eastAsia" w:asciiTheme="minorEastAsia" w:hAnsiTheme="minorEastAsia" w:eastAsiaTheme="minorEastAsia" w:cstheme="minorEastAsia"/>
                <w:b/>
                <w:bCs/>
                <w:color w:val="auto"/>
                <w:kern w:val="2"/>
                <w:sz w:val="21"/>
                <w:szCs w:val="22"/>
                <w:highlight w:val="none"/>
                <w:lang w:val="en-US" w:eastAsia="zh-CN" w:bidi="ar-SA"/>
              </w:rPr>
            </w:pPr>
            <w:r>
              <w:rPr>
                <w:rFonts w:hint="default" w:asciiTheme="minorEastAsia" w:hAnsiTheme="minorEastAsia" w:eastAsiaTheme="minorEastAsia" w:cstheme="minorEastAsia"/>
                <w:b/>
                <w:bCs/>
                <w:color w:val="auto"/>
                <w:kern w:val="2"/>
                <w:sz w:val="21"/>
                <w:szCs w:val="22"/>
                <w:highlight w:val="none"/>
                <w:lang w:val="en-US" w:eastAsia="zh-CN" w:bidi="ar-SA"/>
              </w:rPr>
              <w:t>根据供应商为本项目制定的应急预案（包括但不限于：突发事件处理机制、应急响应组织架构、应急物资保障等）进行评审：</w:t>
            </w:r>
          </w:p>
          <w:p w14:paraId="265425AD">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1、</w:t>
            </w:r>
            <w:r>
              <w:rPr>
                <w:rFonts w:hint="default" w:asciiTheme="minorEastAsia" w:hAnsiTheme="minorEastAsia" w:eastAsiaTheme="minorEastAsia" w:cstheme="minorEastAsia"/>
                <w:color w:val="auto"/>
                <w:kern w:val="2"/>
                <w:sz w:val="21"/>
                <w:szCs w:val="22"/>
                <w:highlight w:val="none"/>
                <w:lang w:val="en-US" w:eastAsia="zh-CN" w:bidi="ar-SA"/>
              </w:rPr>
              <w:t>应急预案</w:t>
            </w:r>
            <w:r>
              <w:rPr>
                <w:rFonts w:hint="eastAsia" w:asciiTheme="minorEastAsia" w:hAnsiTheme="minorEastAsia" w:eastAsiaTheme="minorEastAsia" w:cstheme="minorEastAsia"/>
                <w:color w:val="auto"/>
                <w:kern w:val="2"/>
                <w:sz w:val="21"/>
                <w:szCs w:val="22"/>
                <w:highlight w:val="none"/>
                <w:lang w:val="en-US" w:eastAsia="zh-CN" w:bidi="ar-SA"/>
              </w:rPr>
              <w:t>详尽</w:t>
            </w:r>
            <w:r>
              <w:rPr>
                <w:rFonts w:hint="default" w:asciiTheme="minorEastAsia" w:hAnsiTheme="minorEastAsia" w:eastAsiaTheme="minorEastAsia" w:cstheme="minorEastAsia"/>
                <w:color w:val="auto"/>
                <w:kern w:val="2"/>
                <w:sz w:val="21"/>
                <w:szCs w:val="22"/>
                <w:highlight w:val="none"/>
                <w:lang w:val="en-US" w:eastAsia="zh-CN" w:bidi="ar-SA"/>
              </w:rPr>
              <w:t>完善，对蚊媒传染病疫情、突发四害密集投诉等突发事件有详尽预见，应急响应组织架构完整且职责明确，应急物资储备充足，有常备应急人员和明确的强化消杀作业要求，能完全结合项目实际情况且完全满足采购需求要求的，得10分；</w:t>
            </w:r>
          </w:p>
          <w:p w14:paraId="74DEA27F">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2、</w:t>
            </w:r>
            <w:r>
              <w:rPr>
                <w:rFonts w:hint="default" w:asciiTheme="minorEastAsia" w:hAnsiTheme="minorEastAsia" w:eastAsiaTheme="minorEastAsia" w:cstheme="minorEastAsia"/>
                <w:color w:val="auto"/>
                <w:kern w:val="2"/>
                <w:sz w:val="21"/>
                <w:szCs w:val="22"/>
                <w:highlight w:val="none"/>
                <w:lang w:val="en-US" w:eastAsia="zh-CN" w:bidi="ar-SA"/>
              </w:rPr>
              <w:t>应急预案较为完善，对主要突发事件有较为周到的预见，应急响应组织架构完整，应急物资储备基本满足需求，有常备应急人员安排，能较好结合项目实际情况且较好满足采购需求要求的，得7分；</w:t>
            </w:r>
          </w:p>
          <w:p w14:paraId="1CE6F858">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3、</w:t>
            </w:r>
            <w:r>
              <w:rPr>
                <w:rFonts w:hint="default" w:asciiTheme="minorEastAsia" w:hAnsiTheme="minorEastAsia" w:eastAsiaTheme="minorEastAsia" w:cstheme="minorEastAsia"/>
                <w:color w:val="auto"/>
                <w:kern w:val="2"/>
                <w:sz w:val="21"/>
                <w:szCs w:val="22"/>
                <w:highlight w:val="none"/>
                <w:lang w:val="en-US" w:eastAsia="zh-CN" w:bidi="ar-SA"/>
              </w:rPr>
              <w:t>应急预案基本完善，对突发事件有基本考量，应急响应组织架构基本完整，应急物资有基本储备，能基本结合项目实际情况且基本满足采购需求要求的，得4分；</w:t>
            </w:r>
          </w:p>
          <w:p w14:paraId="00B6EAEC">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4、</w:t>
            </w:r>
            <w:r>
              <w:rPr>
                <w:rFonts w:hint="default" w:asciiTheme="minorEastAsia" w:hAnsiTheme="minorEastAsia" w:eastAsiaTheme="minorEastAsia" w:cstheme="minorEastAsia"/>
                <w:color w:val="auto"/>
                <w:kern w:val="2"/>
                <w:sz w:val="21"/>
                <w:szCs w:val="22"/>
                <w:highlight w:val="none"/>
                <w:lang w:val="en-US" w:eastAsia="zh-CN" w:bidi="ar-SA"/>
              </w:rPr>
              <w:t>应急预案存在不足，对突发事件预见不够，应急响应组织架构不完整，应急物资储备不足，难以有效结合项目实际情况且难以满足采购需求要求的，得1分；</w:t>
            </w:r>
          </w:p>
          <w:p w14:paraId="2F6CFBB8">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highlight w:val="none"/>
                <w:lang w:val="en-US" w:eastAsia="zh-CN" w:bidi="ar"/>
              </w:rPr>
            </w:pPr>
            <w:r>
              <w:rPr>
                <w:rFonts w:hint="eastAsia" w:asciiTheme="minorEastAsia" w:hAnsiTheme="minorEastAsia" w:eastAsiaTheme="minorEastAsia" w:cstheme="minorEastAsia"/>
                <w:color w:val="auto"/>
                <w:kern w:val="2"/>
                <w:sz w:val="21"/>
                <w:szCs w:val="22"/>
                <w:highlight w:val="none"/>
                <w:lang w:val="en-US" w:eastAsia="zh-CN" w:bidi="ar-SA"/>
              </w:rPr>
              <w:t>5、</w:t>
            </w:r>
            <w:r>
              <w:rPr>
                <w:rFonts w:hint="default" w:asciiTheme="minorEastAsia" w:hAnsiTheme="minorEastAsia" w:eastAsiaTheme="minorEastAsia" w:cstheme="minorEastAsia"/>
                <w:color w:val="auto"/>
                <w:kern w:val="2"/>
                <w:sz w:val="21"/>
                <w:szCs w:val="22"/>
                <w:highlight w:val="none"/>
                <w:lang w:val="en-US" w:eastAsia="zh-CN" w:bidi="ar-SA"/>
              </w:rPr>
              <w:t>未提供相关方案或其他情形的，得0分。</w:t>
            </w:r>
          </w:p>
        </w:tc>
      </w:tr>
      <w:bookmarkEnd w:id="40"/>
    </w:tbl>
    <w:p w14:paraId="666B663A">
      <w:pPr>
        <w:pStyle w:val="11"/>
        <w:outlineLvl w:val="9"/>
        <w:rPr>
          <w:rFonts w:hint="default"/>
          <w:b/>
          <w:sz w:val="24"/>
          <w:highlight w:val="none"/>
        </w:rPr>
      </w:pPr>
    </w:p>
    <w:p w14:paraId="0D1F58B4">
      <w:pPr>
        <w:pStyle w:val="11"/>
        <w:numPr>
          <w:ilvl w:val="0"/>
          <w:numId w:val="90"/>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汇总、排序</w:t>
      </w:r>
    </w:p>
    <w:p w14:paraId="21483412">
      <w:pPr>
        <w:pStyle w:val="11"/>
        <w:snapToGrid w:val="0"/>
        <w:spacing w:after="156" w:afterLines="50" w:line="360" w:lineRule="auto"/>
        <w:ind w:firstLine="420" w:firstLineChars="200"/>
        <w:contextualSpacing/>
        <w:rPr>
          <w:rFonts w:hint="default" w:ascii="宋体" w:hAnsi="宋体" w:eastAsia="宋体"/>
          <w:sz w:val="24"/>
          <w:szCs w:val="24"/>
          <w:highlight w:val="none"/>
        </w:rPr>
      </w:pPr>
      <w:r>
        <w:rPr>
          <w:rFonts w:ascii="宋体" w:hAnsi="宋体" w:eastAsia="宋体"/>
          <w:sz w:val="21"/>
          <w:szCs w:val="21"/>
          <w:highlight w:val="none"/>
        </w:rPr>
        <w:t>评审结果按评审后总得分由高到低顺序排列。评审得分相同的，按最终报价由低到高顺序排列。得分且最终报价相同的，由磋商小组采取随机抽取的方式确定。排名第一的供应商为第一成交候选人，排名第二的供应商为第二成交候选人。</w:t>
      </w:r>
    </w:p>
    <w:p w14:paraId="1A28944B">
      <w:pPr>
        <w:pStyle w:val="11"/>
        <w:numPr>
          <w:ilvl w:val="0"/>
          <w:numId w:val="90"/>
        </w:numPr>
        <w:snapToGrid w:val="0"/>
        <w:spacing w:line="360" w:lineRule="auto"/>
        <w:ind w:left="284" w:hanging="284"/>
        <w:contextualSpacing/>
        <w:outlineLvl w:val="3"/>
        <w:rPr>
          <w:rFonts w:hint="default"/>
          <w:highlight w:val="none"/>
        </w:rPr>
      </w:pPr>
      <w:r>
        <w:rPr>
          <w:rFonts w:ascii="宋体" w:hAnsi="宋体" w:eastAsia="宋体"/>
          <w:b/>
          <w:sz w:val="21"/>
          <w:szCs w:val="21"/>
          <w:highlight w:val="none"/>
        </w:rPr>
        <w:t>其他无效响应的情形</w:t>
      </w:r>
    </w:p>
    <w:p w14:paraId="21BBA2E4">
      <w:pPr>
        <w:pStyle w:val="11"/>
        <w:numPr>
          <w:ilvl w:val="0"/>
          <w:numId w:val="95"/>
        </w:numPr>
        <w:spacing w:line="360" w:lineRule="auto"/>
        <w:ind w:left="442" w:hanging="442"/>
        <w:rPr>
          <w:rFonts w:hint="default" w:ascii="宋体" w:hAnsi="宋体" w:eastAsia="宋体"/>
          <w:sz w:val="21"/>
          <w:szCs w:val="21"/>
          <w:highlight w:val="none"/>
        </w:rPr>
      </w:pPr>
      <w:r>
        <w:rPr>
          <w:rFonts w:ascii="宋体" w:hAnsi="宋体" w:eastAsia="宋体"/>
          <w:sz w:val="21"/>
          <w:szCs w:val="21"/>
          <w:highlight w:val="none"/>
        </w:rPr>
        <w:t>评审期间，供应商没有按磋商小组的要求提交法定代表人或其委托代理人签字的澄清、说明、补正或改变了响应文件的实质性内容的。</w:t>
      </w:r>
    </w:p>
    <w:p w14:paraId="79454094">
      <w:pPr>
        <w:pStyle w:val="11"/>
        <w:numPr>
          <w:ilvl w:val="0"/>
          <w:numId w:val="95"/>
        </w:numPr>
        <w:spacing w:line="360" w:lineRule="auto"/>
        <w:ind w:left="442" w:hanging="442"/>
        <w:rPr>
          <w:rFonts w:hint="default" w:ascii="宋体" w:hAnsi="宋体" w:eastAsia="宋体"/>
          <w:sz w:val="21"/>
          <w:szCs w:val="21"/>
          <w:highlight w:val="none"/>
        </w:rPr>
      </w:pPr>
      <w:r>
        <w:rPr>
          <w:rFonts w:ascii="宋体" w:hAnsi="宋体" w:eastAsia="宋体"/>
          <w:sz w:val="21"/>
          <w:szCs w:val="21"/>
          <w:highlight w:val="none"/>
        </w:rPr>
        <w:t>响应文件提供虚假材料的。</w:t>
      </w:r>
    </w:p>
    <w:p w14:paraId="58949CAA">
      <w:pPr>
        <w:pStyle w:val="11"/>
        <w:numPr>
          <w:ilvl w:val="0"/>
          <w:numId w:val="95"/>
        </w:numPr>
        <w:spacing w:line="360" w:lineRule="auto"/>
        <w:ind w:left="442" w:hanging="442"/>
        <w:rPr>
          <w:rFonts w:hint="default" w:ascii="宋体" w:hAnsi="宋体" w:eastAsia="宋体"/>
          <w:sz w:val="21"/>
          <w:szCs w:val="21"/>
          <w:highlight w:val="none"/>
        </w:rPr>
      </w:pPr>
      <w:r>
        <w:rPr>
          <w:rFonts w:ascii="宋体" w:hAnsi="宋体" w:eastAsia="宋体"/>
          <w:sz w:val="21"/>
          <w:szCs w:val="21"/>
          <w:highlight w:val="none"/>
        </w:rPr>
        <w:t>供应商以他人名义响应、串通响应、以行贿手段谋取成交或者以其他弄虚作假方式响应的。</w:t>
      </w:r>
    </w:p>
    <w:p w14:paraId="5FBD809B">
      <w:pPr>
        <w:pStyle w:val="11"/>
        <w:numPr>
          <w:ilvl w:val="0"/>
          <w:numId w:val="95"/>
        </w:numPr>
        <w:spacing w:line="360" w:lineRule="auto"/>
        <w:ind w:left="442" w:hanging="442"/>
        <w:rPr>
          <w:rFonts w:hint="default" w:ascii="宋体" w:hAnsi="宋体" w:eastAsia="宋体"/>
          <w:sz w:val="21"/>
          <w:szCs w:val="21"/>
          <w:highlight w:val="none"/>
        </w:rPr>
      </w:pPr>
      <w:r>
        <w:rPr>
          <w:rFonts w:ascii="宋体" w:hAnsi="宋体" w:eastAsia="宋体"/>
          <w:sz w:val="21"/>
          <w:szCs w:val="21"/>
          <w:highlight w:val="none"/>
        </w:rPr>
        <w:t>供应商对采购人、采购代理机构、磋商小组及其工作人员施加影响，有碍招标公平、公正的。</w:t>
      </w:r>
    </w:p>
    <w:p w14:paraId="6AE5A0CF">
      <w:pPr>
        <w:pStyle w:val="11"/>
        <w:numPr>
          <w:ilvl w:val="0"/>
          <w:numId w:val="95"/>
        </w:numPr>
        <w:spacing w:line="360" w:lineRule="auto"/>
        <w:ind w:left="442" w:hanging="442"/>
        <w:rPr>
          <w:rFonts w:hint="default" w:ascii="宋体" w:hAnsi="宋体" w:eastAsia="宋体"/>
          <w:sz w:val="21"/>
          <w:szCs w:val="21"/>
          <w:highlight w:val="none"/>
        </w:rPr>
      </w:pPr>
      <w:r>
        <w:rPr>
          <w:rFonts w:ascii="宋体" w:hAnsi="宋体" w:eastAsia="宋体"/>
          <w:sz w:val="21"/>
          <w:szCs w:val="21"/>
          <w:highlight w:val="none"/>
        </w:rPr>
        <w:t>响应文件含有采购人不能接受的附加条件的。</w:t>
      </w:r>
    </w:p>
    <w:p w14:paraId="336CBEFD">
      <w:pPr>
        <w:pStyle w:val="11"/>
        <w:numPr>
          <w:ilvl w:val="0"/>
          <w:numId w:val="95"/>
        </w:numPr>
        <w:spacing w:line="360" w:lineRule="auto"/>
        <w:ind w:left="442" w:hanging="442"/>
        <w:rPr>
          <w:rFonts w:hint="default" w:ascii="宋体" w:hAnsi="宋体" w:eastAsia="宋体"/>
          <w:sz w:val="16"/>
          <w:szCs w:val="16"/>
          <w:highlight w:val="none"/>
        </w:rPr>
      </w:pPr>
      <w:r>
        <w:rPr>
          <w:rFonts w:ascii="宋体" w:hAnsi="宋体" w:eastAsia="宋体"/>
          <w:sz w:val="21"/>
          <w:szCs w:val="21"/>
          <w:highlight w:val="none"/>
        </w:rPr>
        <w:t>法律、法规和磋商文件规定的其他无效情形。</w:t>
      </w:r>
    </w:p>
    <w:p w14:paraId="5C8CDD46">
      <w:pPr>
        <w:pageBreakBefore/>
        <w:widowControl/>
        <w:jc w:val="center"/>
        <w:outlineLvl w:val="1"/>
        <w:rPr>
          <w:rFonts w:hint="eastAsia" w:ascii="宋体" w:hAnsi="宋体" w:eastAsia="宋体" w:cs="宋体"/>
          <w:b/>
          <w:color w:val="auto"/>
          <w:spacing w:val="20"/>
          <w:sz w:val="36"/>
          <w:szCs w:val="36"/>
          <w:highlight w:val="none"/>
        </w:rPr>
      </w:pPr>
      <w:r>
        <w:rPr>
          <w:rFonts w:hint="eastAsia" w:ascii="宋体" w:hAnsi="宋体" w:eastAsia="宋体" w:cs="宋体"/>
          <w:b/>
          <w:color w:val="auto"/>
          <w:kern w:val="0"/>
          <w:sz w:val="36"/>
          <w:szCs w:val="36"/>
          <w:highlight w:val="none"/>
          <w:lang w:eastAsia="zh-Hans"/>
        </w:rPr>
        <w:t>第五章 合同文本</w:t>
      </w:r>
      <w:bookmarkEnd w:id="35"/>
      <w:bookmarkEnd w:id="36"/>
    </w:p>
    <w:p w14:paraId="7854F0AE">
      <w:pPr>
        <w:keepLines/>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东莞市</w:t>
      </w:r>
      <w:r>
        <w:rPr>
          <w:rFonts w:hint="eastAsia" w:ascii="宋体" w:hAnsi="宋体" w:eastAsia="宋体" w:cs="宋体"/>
          <w:color w:val="auto"/>
          <w:szCs w:val="21"/>
          <w:highlight w:val="none"/>
          <w:u w:val="single"/>
          <w:lang w:eastAsia="zh-CN"/>
        </w:rPr>
        <w:t>石龙镇卫生健康局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p>
    <w:p w14:paraId="6DA243B6">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050C8AB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bookmarkStart w:id="41" w:name="_Hlk90988984"/>
      <w:r>
        <w:rPr>
          <w:rFonts w:hint="eastAsia" w:ascii="宋体" w:hAnsi="宋体" w:eastAsia="宋体" w:cs="宋体"/>
          <w:color w:val="auto"/>
          <w:szCs w:val="21"/>
          <w:highlight w:val="none"/>
        </w:rPr>
        <w:t>《中华人民共和国民法典</w:t>
      </w:r>
      <w:bookmarkEnd w:id="41"/>
      <w:r>
        <w:rPr>
          <w:rFonts w:hint="eastAsia" w:ascii="宋体" w:hAnsi="宋体" w:eastAsia="宋体" w:cs="宋体"/>
          <w:color w:val="auto"/>
          <w:szCs w:val="21"/>
          <w:highlight w:val="none"/>
        </w:rPr>
        <w:t>》及招标文件、中标通知书等相关资料的要求，经双方协商一致，签订本合同，共同遵守如下条款。</w:t>
      </w:r>
    </w:p>
    <w:p w14:paraId="4D33449C">
      <w:pPr>
        <w:pStyle w:val="13"/>
        <w:numPr>
          <w:ilvl w:val="0"/>
          <w:numId w:val="96"/>
        </w:numPr>
        <w:ind w:firstLineChars="0"/>
        <w:rPr>
          <w:rFonts w:hint="eastAsia" w:ascii="宋体" w:hAnsi="宋体" w:eastAsia="宋体" w:cs="宋体"/>
          <w:b/>
          <w:bCs/>
          <w:color w:val="auto"/>
          <w:spacing w:val="20"/>
          <w:szCs w:val="21"/>
          <w:highlight w:val="none"/>
        </w:rPr>
      </w:pPr>
      <w:r>
        <w:rPr>
          <w:rFonts w:hint="eastAsia" w:ascii="宋体" w:hAnsi="宋体" w:eastAsia="宋体" w:cs="宋体"/>
          <w:b/>
          <w:color w:val="auto"/>
          <w:spacing w:val="20"/>
          <w:szCs w:val="21"/>
          <w:highlight w:val="none"/>
        </w:rPr>
        <w:t>合同项目</w:t>
      </w:r>
    </w:p>
    <w:p w14:paraId="42DBE73E">
      <w:pPr>
        <w:pStyle w:val="13"/>
        <w:numPr>
          <w:ilvl w:val="0"/>
          <w:numId w:val="97"/>
        </w:numPr>
        <w:ind w:left="420" w:leftChars="0" w:hanging="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eastAsia="zh-CN"/>
        </w:rPr>
        <w:t>石龙镇“四害”消杀防控服务采购项目</w:t>
      </w:r>
    </w:p>
    <w:p w14:paraId="094315CF">
      <w:pPr>
        <w:pStyle w:val="13"/>
        <w:numPr>
          <w:ilvl w:val="0"/>
          <w:numId w:val="97"/>
        </w:numPr>
        <w:ind w:left="420" w:leftChars="0" w:hanging="42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lang w:eastAsia="zh-CN"/>
        </w:rPr>
        <w:t>ZHDGCZ2026015</w:t>
      </w:r>
      <w:r>
        <w:rPr>
          <w:rFonts w:hint="eastAsia" w:ascii="宋体" w:hAnsi="宋体" w:eastAsia="宋体" w:cs="宋体"/>
          <w:color w:val="auto"/>
          <w:szCs w:val="21"/>
          <w:highlight w:val="none"/>
          <w:u w:val="single"/>
        </w:rPr>
        <w:t xml:space="preserve">        </w:t>
      </w:r>
    </w:p>
    <w:p w14:paraId="12CDFEE1">
      <w:pPr>
        <w:pStyle w:val="13"/>
        <w:numPr>
          <w:ilvl w:val="0"/>
          <w:numId w:val="97"/>
        </w:numPr>
        <w:ind w:left="420" w:leftChars="0" w:hanging="420" w:firstLineChars="0"/>
        <w:rPr>
          <w:rFonts w:hint="eastAsia" w:ascii="宋体" w:hAnsi="宋体" w:eastAsia="宋体" w:cs="宋体"/>
          <w:color w:val="auto"/>
          <w:szCs w:val="21"/>
          <w:highlight w:val="none"/>
        </w:rPr>
      </w:pPr>
      <w:r>
        <w:rPr>
          <w:rFonts w:hint="eastAsia" w:ascii="宋体" w:hAnsi="宋体" w:eastAsia="宋体"/>
          <w:color w:val="000000" w:themeColor="text1"/>
          <w:szCs w:val="21"/>
          <w:highlight w:val="none"/>
          <w:u w:val="none"/>
          <w:lang w:val="en-US" w:eastAsia="zh-CN"/>
          <w14:textFill>
            <w14:solidFill>
              <w14:schemeClr w14:val="tx1"/>
            </w14:solidFill>
          </w14:textFill>
        </w:rPr>
        <w:t>服务地点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东莞市石龙镇</w:t>
      </w:r>
      <w:r>
        <w:rPr>
          <w:rFonts w:hint="eastAsia" w:ascii="宋体" w:hAnsi="宋体" w:eastAsia="宋体" w:cs="宋体"/>
          <w:color w:val="auto"/>
          <w:szCs w:val="21"/>
          <w:highlight w:val="none"/>
          <w:u w:val="single"/>
          <w:lang w:val="en-US" w:eastAsia="zh-CN"/>
        </w:rPr>
        <w:t>卫生健康局</w:t>
      </w:r>
      <w:r>
        <w:rPr>
          <w:rFonts w:hint="eastAsia" w:ascii="宋体" w:hAnsi="宋体" w:eastAsia="宋体" w:cs="宋体"/>
          <w:color w:val="auto"/>
          <w:szCs w:val="21"/>
          <w:highlight w:val="none"/>
          <w:u w:val="single"/>
        </w:rPr>
        <w:t>或</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指定地点</w:t>
      </w:r>
    </w:p>
    <w:p w14:paraId="08FE89D9">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14:textFill>
            <w14:solidFill>
              <w14:schemeClr w14:val="tx1"/>
            </w14:solidFill>
          </w14:textFill>
        </w:rPr>
        <w:t>项目概况</w:t>
      </w:r>
    </w:p>
    <w:p w14:paraId="4887BC6F">
      <w:pPr>
        <w:pStyle w:val="13"/>
        <w:numPr>
          <w:ilvl w:val="0"/>
          <w:numId w:val="98"/>
        </w:numPr>
        <w:ind w:left="425" w:leftChars="0" w:hanging="425"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项目概况：为全面提升辖区病媒生物防制的规范化、专业化能力，有效预防和管控老鼠、苍蝇、蚊子、蟑螂等病媒生物滋生蔓延，减少各类病媒生物危害，切实降低传染病发生与传播风险。持续改善整体人居环境卫生，结合辖区实际情况，常态化开展全域除“四害”消杀和防控工作，全力守护公共卫生安全，不断提升居民生活环境与生活质量。</w:t>
      </w:r>
    </w:p>
    <w:p w14:paraId="21070984">
      <w:pPr>
        <w:pStyle w:val="13"/>
        <w:numPr>
          <w:ilvl w:val="0"/>
          <w:numId w:val="98"/>
        </w:numPr>
        <w:ind w:left="425" w:leftChars="0" w:hanging="425"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服务时间：</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u w:val="single"/>
          <w14:textFill>
            <w14:solidFill>
              <w14:schemeClr w14:val="tx1"/>
            </w14:solidFill>
          </w14:textFill>
        </w:rPr>
        <w:t xml:space="preserve">     年   月   日至    年   月    日</w:t>
      </w:r>
      <w:r>
        <w:rPr>
          <w:rFonts w:hint="eastAsia" w:ascii="宋体" w:hAnsi="宋体" w:eastAsia="宋体"/>
          <w:color w:val="000000" w:themeColor="text1"/>
          <w:szCs w:val="21"/>
          <w:highlight w:val="none"/>
          <w14:textFill>
            <w14:solidFill>
              <w14:schemeClr w14:val="tx1"/>
            </w14:solidFill>
          </w14:textFill>
        </w:rPr>
        <w:t>(共</w:t>
      </w:r>
      <w:r>
        <w:rPr>
          <w:rFonts w:hint="eastAsia"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u w:val="single"/>
          <w:lang w:val="en-US" w:eastAsia="zh-CN"/>
          <w14:textFill>
            <w14:solidFill>
              <w14:schemeClr w14:val="tx1"/>
            </w14:solidFill>
          </w14:textFill>
        </w:rPr>
        <w:t>1</w:t>
      </w:r>
      <w:r>
        <w:rPr>
          <w:rFonts w:hint="eastAsia"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年)</w:t>
      </w:r>
    </w:p>
    <w:p w14:paraId="7912791D">
      <w:pPr>
        <w:pStyle w:val="13"/>
        <w:numPr>
          <w:ilvl w:val="0"/>
          <w:numId w:val="99"/>
        </w:numPr>
        <w:ind w:left="425" w:leftChars="0" w:hanging="425" w:firstLineChars="0"/>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u w:val="none"/>
          <w14:textFill>
            <w14:solidFill>
              <w14:schemeClr w14:val="tx1"/>
            </w14:solidFill>
          </w14:textFill>
        </w:rPr>
        <w:t>报价要求：</w:t>
      </w:r>
      <w:r>
        <w:rPr>
          <w:rFonts w:hint="eastAsia" w:ascii="宋体" w:hAnsi="宋体" w:eastAsia="宋体"/>
          <w:color w:val="000000" w:themeColor="text1"/>
          <w:szCs w:val="21"/>
          <w:highlight w:val="none"/>
          <w:u w:val="none"/>
          <w:lang w:val="en-US" w:eastAsia="zh-CN"/>
          <w14:textFill>
            <w14:solidFill>
              <w14:schemeClr w14:val="tx1"/>
            </w14:solidFill>
          </w14:textFill>
        </w:rPr>
        <w:t>乙方</w:t>
      </w:r>
      <w:r>
        <w:rPr>
          <w:rFonts w:hint="eastAsia" w:ascii="宋体" w:hAnsi="宋体" w:eastAsia="宋体"/>
          <w:color w:val="000000" w:themeColor="text1"/>
          <w:szCs w:val="21"/>
          <w:highlight w:val="none"/>
          <w:u w:val="none"/>
          <w14:textFill>
            <w14:solidFill>
              <w14:schemeClr w14:val="tx1"/>
            </w14:solidFill>
          </w14:textFill>
        </w:rPr>
        <w:t>应采用人民币报价。报价内容包括但不限于为完成本项目全部服务内容所需的一切费用，具体应包含：服务人员的工资、五险、福利、加班费、管理费用、相关用具及药物的使用费用、设备折旧费等项目履约的一切费用及其税费。</w:t>
      </w:r>
    </w:p>
    <w:p w14:paraId="0F690169">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14:textFill>
            <w14:solidFill>
              <w14:schemeClr w14:val="tx1"/>
            </w14:solidFill>
          </w14:textFill>
        </w:rPr>
        <w:t>总体要求</w:t>
      </w:r>
    </w:p>
    <w:p w14:paraId="3C955296">
      <w:pPr>
        <w:pStyle w:val="13"/>
        <w:numPr>
          <w:ilvl w:val="0"/>
          <w:numId w:val="100"/>
        </w:numPr>
        <w:autoSpaceDE w:val="0"/>
        <w:autoSpaceDN w:val="0"/>
        <w:adjustRightInd w:val="0"/>
        <w:ind w:left="420" w:leftChars="0" w:hanging="420"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甲方权利和义务</w:t>
      </w:r>
    </w:p>
    <w:p w14:paraId="28CF12B2">
      <w:pPr>
        <w:pStyle w:val="13"/>
        <w:numPr>
          <w:ilvl w:val="0"/>
          <w:numId w:val="101"/>
        </w:numPr>
        <w:tabs>
          <w:tab w:val="left" w:pos="1080"/>
        </w:tabs>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甲方有权随时检查乙方的服务履行情况，并向乙方提出修改。</w:t>
      </w:r>
    </w:p>
    <w:p w14:paraId="3F5465B1">
      <w:pPr>
        <w:pStyle w:val="13"/>
        <w:numPr>
          <w:ilvl w:val="0"/>
          <w:numId w:val="101"/>
        </w:numPr>
        <w:tabs>
          <w:tab w:val="left" w:pos="1080"/>
        </w:tabs>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当发生服务违约时，则甲方有权按约定在支付乙方合同款项中进行扣款 。</w:t>
      </w:r>
    </w:p>
    <w:p w14:paraId="0A82F615">
      <w:pPr>
        <w:pStyle w:val="13"/>
        <w:numPr>
          <w:ilvl w:val="0"/>
          <w:numId w:val="101"/>
        </w:numPr>
        <w:tabs>
          <w:tab w:val="left" w:pos="1080"/>
        </w:tabs>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在乙方提供服务时，如对甲方的设备造成了损坏，甲方有权要求乙方赔偿。</w:t>
      </w:r>
    </w:p>
    <w:p w14:paraId="01EC2C01">
      <w:pPr>
        <w:pStyle w:val="13"/>
        <w:numPr>
          <w:ilvl w:val="0"/>
          <w:numId w:val="101"/>
        </w:numPr>
        <w:tabs>
          <w:tab w:val="left" w:pos="1080"/>
        </w:tabs>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甲方应按合同规定向乙方支付服务费用。</w:t>
      </w:r>
    </w:p>
    <w:p w14:paraId="5D1B214A">
      <w:pPr>
        <w:pStyle w:val="13"/>
        <w:numPr>
          <w:ilvl w:val="0"/>
          <w:numId w:val="100"/>
        </w:numPr>
        <w:autoSpaceDE w:val="0"/>
        <w:autoSpaceDN w:val="0"/>
        <w:adjustRightInd w:val="0"/>
        <w:ind w:left="420" w:leftChars="0" w:hanging="420" w:firstLineChars="0"/>
        <w:jc w:val="left"/>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乙方权利和义务</w:t>
      </w:r>
    </w:p>
    <w:p w14:paraId="02FB2E19">
      <w:pPr>
        <w:pStyle w:val="13"/>
        <w:numPr>
          <w:ilvl w:val="0"/>
          <w:numId w:val="102"/>
        </w:numPr>
        <w:tabs>
          <w:tab w:val="left" w:pos="1080"/>
        </w:tabs>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乙方应按招标文件的要求和投标文件的承诺进行服务，发生任何服务的变更均须向甲方提出交书面报审报告。</w:t>
      </w:r>
    </w:p>
    <w:p w14:paraId="5FD9BE54">
      <w:pPr>
        <w:pStyle w:val="13"/>
        <w:numPr>
          <w:ilvl w:val="0"/>
          <w:numId w:val="102"/>
        </w:numPr>
        <w:tabs>
          <w:tab w:val="left" w:pos="1080"/>
        </w:tabs>
        <w:ind w:firstLineChars="0"/>
        <w:rPr>
          <w:rFonts w:hint="eastAsia" w:ascii="宋体" w:hAnsi="宋体" w:eastAsia="宋体"/>
          <w:color w:val="000000" w:themeColor="text1"/>
          <w:szCs w:val="21"/>
          <w:highlight w:val="none"/>
          <w:u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乙方有权要求甲方按时支付服务费用。</w:t>
      </w:r>
    </w:p>
    <w:p w14:paraId="3D229606">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lang w:val="en-US" w:eastAsia="zh-CN"/>
          <w14:textFill>
            <w14:solidFill>
              <w14:schemeClr w14:val="tx1"/>
            </w14:solidFill>
          </w14:textFill>
        </w:rPr>
        <w:t>付款方式</w:t>
      </w:r>
    </w:p>
    <w:p w14:paraId="01CF60AB">
      <w:pPr>
        <w:pStyle w:val="13"/>
        <w:numPr>
          <w:ilvl w:val="0"/>
          <w:numId w:val="103"/>
        </w:numPr>
        <w:snapToGrid w:val="0"/>
        <w:spacing w:line="360" w:lineRule="auto"/>
        <w:ind w:left="425" w:leftChars="0" w:hanging="425" w:firstLineChars="0"/>
        <w:contextualSpacing/>
        <w:rPr>
          <w:rFonts w:hint="eastAsia" w:ascii="宋体" w:hAnsi="宋体" w:eastAsia="宋体" w:cs="宋体"/>
          <w:iCs/>
          <w:color w:val="auto"/>
          <w:szCs w:val="21"/>
          <w:highlight w:val="none"/>
          <w:lang w:eastAsia="zh-CN"/>
        </w:rPr>
      </w:pPr>
      <w:r>
        <w:rPr>
          <w:rFonts w:hint="eastAsia" w:ascii="宋体" w:hAnsi="宋体" w:eastAsia="宋体" w:cs="宋体"/>
          <w:iCs/>
          <w:color w:val="auto"/>
          <w:szCs w:val="21"/>
          <w:highlight w:val="none"/>
          <w:lang w:val="en-US" w:eastAsia="zh-CN"/>
        </w:rPr>
        <w:t>本项目服务费按月支付，</w:t>
      </w:r>
      <w:r>
        <w:rPr>
          <w:rFonts w:hint="eastAsia" w:ascii="宋体" w:hAnsi="宋体" w:cs="宋体"/>
          <w:iCs/>
          <w:color w:val="auto"/>
          <w:szCs w:val="21"/>
          <w:highlight w:val="none"/>
          <w:lang w:val="en-US" w:eastAsia="zh-CN"/>
        </w:rPr>
        <w:t>月度总价</w:t>
      </w:r>
      <w:r>
        <w:rPr>
          <w:rFonts w:hint="eastAsia" w:ascii="宋体" w:hAnsi="宋体" w:eastAsia="宋体" w:cs="宋体"/>
          <w:iCs/>
          <w:color w:val="auto"/>
          <w:szCs w:val="21"/>
          <w:highlight w:val="none"/>
          <w:lang w:val="en-US" w:eastAsia="zh-CN"/>
        </w:rPr>
        <w:t>＝成交总价÷12个月。</w:t>
      </w:r>
      <w:r>
        <w:rPr>
          <w:rFonts w:hint="eastAsia" w:ascii="宋体" w:hAnsi="宋体" w:eastAsia="宋体"/>
          <w:color w:val="000000" w:themeColor="text1"/>
          <w:szCs w:val="21"/>
          <w:highlight w:val="none"/>
          <w14:textFill>
            <w14:solidFill>
              <w14:schemeClr w14:val="tx1"/>
            </w14:solidFill>
          </w14:textFill>
        </w:rPr>
        <w:t>乙方</w:t>
      </w:r>
      <w:r>
        <w:rPr>
          <w:rFonts w:hint="eastAsia" w:ascii="宋体" w:hAnsi="宋体" w:cs="宋体"/>
          <w:iCs/>
          <w:color w:val="auto"/>
          <w:szCs w:val="21"/>
          <w:highlight w:val="none"/>
          <w:lang w:val="en-US" w:eastAsia="zh-CN"/>
        </w:rPr>
        <w:t>在</w:t>
      </w:r>
      <w:r>
        <w:rPr>
          <w:rFonts w:hint="eastAsia" w:asciiTheme="minorEastAsia" w:hAnsiTheme="minorEastAsia"/>
          <w:iCs/>
          <w:color w:val="000000" w:themeColor="text1"/>
          <w:szCs w:val="21"/>
          <w:highlight w:val="none"/>
          <w:lang w:val="en-US" w:eastAsia="zh-CN"/>
          <w14:textFill>
            <w14:solidFill>
              <w14:schemeClr w14:val="tx1"/>
            </w14:solidFill>
          </w14:textFill>
        </w:rPr>
        <w:t>每月5日前</w:t>
      </w:r>
      <w:r>
        <w:rPr>
          <w:rFonts w:hint="eastAsia" w:ascii="宋体" w:hAnsi="宋体" w:eastAsia="宋体" w:cs="宋体"/>
          <w:iCs/>
          <w:color w:val="auto"/>
          <w:szCs w:val="21"/>
          <w:highlight w:val="none"/>
          <w:lang w:eastAsia="zh-CN"/>
        </w:rPr>
        <w:t>须凭等额、合规的有效增值税发票及经</w:t>
      </w:r>
      <w:r>
        <w:rPr>
          <w:rFonts w:hint="eastAsia" w:ascii="宋体" w:hAnsi="宋体" w:eastAsia="宋体" w:cs="宋体"/>
          <w:iCs/>
          <w:color w:val="auto"/>
          <w:szCs w:val="21"/>
          <w:highlight w:val="none"/>
          <w:lang w:val="en-US" w:eastAsia="zh-CN"/>
        </w:rPr>
        <w:t>甲方</w:t>
      </w:r>
      <w:r>
        <w:rPr>
          <w:rFonts w:hint="eastAsia" w:ascii="宋体" w:hAnsi="宋体" w:eastAsia="宋体" w:cs="宋体"/>
          <w:iCs/>
          <w:color w:val="auto"/>
          <w:szCs w:val="21"/>
          <w:highlight w:val="none"/>
          <w:lang w:eastAsia="zh-CN"/>
        </w:rPr>
        <w:t>确认的上一月度《石龙镇病媒生物防制考核评分表》与</w:t>
      </w:r>
      <w:r>
        <w:rPr>
          <w:rFonts w:hint="eastAsia" w:ascii="宋体" w:hAnsi="宋体" w:eastAsia="宋体" w:cs="宋体"/>
          <w:iCs/>
          <w:color w:val="auto"/>
          <w:szCs w:val="21"/>
          <w:highlight w:val="none"/>
          <w:lang w:val="en-US" w:eastAsia="zh-CN"/>
        </w:rPr>
        <w:t>甲方</w:t>
      </w:r>
      <w:r>
        <w:rPr>
          <w:rFonts w:hint="eastAsia" w:ascii="宋体" w:hAnsi="宋体" w:eastAsia="宋体" w:cs="宋体"/>
          <w:iCs/>
          <w:color w:val="auto"/>
          <w:szCs w:val="21"/>
          <w:highlight w:val="none"/>
          <w:lang w:eastAsia="zh-CN"/>
        </w:rPr>
        <w:t>结算，</w:t>
      </w:r>
      <w:r>
        <w:rPr>
          <w:rFonts w:hint="eastAsia" w:ascii="宋体" w:hAnsi="宋体" w:eastAsia="宋体" w:cs="宋体"/>
          <w:iCs/>
          <w:color w:val="auto"/>
          <w:szCs w:val="21"/>
          <w:highlight w:val="none"/>
          <w:lang w:val="en-US" w:eastAsia="zh-CN"/>
        </w:rPr>
        <w:t>甲方</w:t>
      </w:r>
      <w:r>
        <w:rPr>
          <w:rFonts w:hint="eastAsia" w:ascii="宋体" w:hAnsi="宋体" w:eastAsia="宋体" w:cs="宋体"/>
          <w:iCs/>
          <w:color w:val="auto"/>
          <w:szCs w:val="21"/>
          <w:highlight w:val="none"/>
          <w:lang w:eastAsia="zh-CN"/>
        </w:rPr>
        <w:t>按附件1：《石龙镇病媒生物防制考核评分表》规定扣减相应服务费后予以支付。</w:t>
      </w:r>
    </w:p>
    <w:p w14:paraId="3DE52B96">
      <w:pPr>
        <w:pStyle w:val="13"/>
        <w:numPr>
          <w:ilvl w:val="0"/>
          <w:numId w:val="103"/>
        </w:numPr>
        <w:snapToGrid w:val="0"/>
        <w:spacing w:line="360" w:lineRule="auto"/>
        <w:ind w:left="425" w:leftChars="0" w:hanging="425" w:firstLineChars="0"/>
        <w:contextualSpacing/>
        <w:rPr>
          <w:rFonts w:hint="eastAsia" w:ascii="宋体" w:hAnsi="宋体" w:eastAsia="宋体" w:cs="宋体"/>
          <w:iCs/>
          <w:color w:val="auto"/>
          <w:szCs w:val="21"/>
          <w:highlight w:val="none"/>
          <w:lang w:eastAsia="zh-CN"/>
        </w:rPr>
      </w:pPr>
      <w:r>
        <w:rPr>
          <w:rFonts w:hint="eastAsia" w:ascii="宋体" w:hAnsi="宋体" w:eastAsia="宋体" w:cs="宋体"/>
          <w:iCs/>
          <w:color w:val="auto"/>
          <w:szCs w:val="21"/>
          <w:highlight w:val="none"/>
          <w:lang w:val="en-US" w:eastAsia="zh-CN"/>
        </w:rPr>
        <w:t>甲方</w:t>
      </w:r>
      <w:r>
        <w:rPr>
          <w:rFonts w:hint="eastAsia" w:ascii="宋体" w:hAnsi="宋体" w:eastAsia="宋体" w:cs="宋体"/>
          <w:iCs/>
          <w:color w:val="auto"/>
          <w:szCs w:val="21"/>
          <w:highlight w:val="none"/>
          <w:lang w:eastAsia="zh-CN"/>
        </w:rPr>
        <w:t>自收到发票之日起10个工作日内办理财政支付手续（不含政府财政支付部门审核的时间），在规定时间内提出支付申请手续后即视为</w:t>
      </w:r>
      <w:r>
        <w:rPr>
          <w:rFonts w:hint="eastAsia" w:ascii="宋体" w:hAnsi="宋体" w:eastAsia="宋体" w:cs="宋体"/>
          <w:iCs/>
          <w:color w:val="auto"/>
          <w:szCs w:val="21"/>
          <w:highlight w:val="none"/>
          <w:lang w:val="en-US" w:eastAsia="zh-CN"/>
        </w:rPr>
        <w:t>甲方</w:t>
      </w:r>
      <w:r>
        <w:rPr>
          <w:rFonts w:hint="eastAsia" w:ascii="宋体" w:hAnsi="宋体" w:eastAsia="宋体" w:cs="宋体"/>
          <w:iCs/>
          <w:color w:val="auto"/>
          <w:szCs w:val="21"/>
          <w:highlight w:val="none"/>
          <w:lang w:eastAsia="zh-CN"/>
        </w:rPr>
        <w:t>已经按期支付。</w:t>
      </w:r>
    </w:p>
    <w:p w14:paraId="05C60612">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lang w:val="en-US" w:eastAsia="zh-CN"/>
          <w14:textFill>
            <w14:solidFill>
              <w14:schemeClr w14:val="tx1"/>
            </w14:solidFill>
          </w14:textFill>
        </w:rPr>
        <w:t>验收标准</w:t>
      </w:r>
    </w:p>
    <w:p w14:paraId="68104822">
      <w:pPr>
        <w:pStyle w:val="13"/>
        <w:numPr>
          <w:ilvl w:val="0"/>
          <w:numId w:val="104"/>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验收工作由</w:t>
      </w:r>
      <w:r>
        <w:rPr>
          <w:rFonts w:hint="eastAsia" w:ascii="宋体" w:hAnsi="宋体" w:eastAsia="宋体"/>
          <w:color w:val="000000" w:themeColor="text1"/>
          <w:szCs w:val="21"/>
          <w:highlight w:val="none"/>
          <w14:textFill>
            <w14:solidFill>
              <w14:schemeClr w14:val="tx1"/>
            </w14:solidFill>
          </w14:textFill>
        </w:rPr>
        <w:t>甲方</w:t>
      </w:r>
      <w:r>
        <w:rPr>
          <w:rFonts w:hint="eastAsia" w:ascii="宋体" w:hAnsi="宋体" w:eastAsia="宋体" w:cs="宋体"/>
          <w:iCs/>
          <w:color w:val="auto"/>
          <w:szCs w:val="21"/>
          <w:highlight w:val="none"/>
        </w:rPr>
        <w:t>（或</w:t>
      </w:r>
      <w:r>
        <w:rPr>
          <w:rFonts w:hint="eastAsia" w:ascii="宋体" w:hAnsi="宋体" w:eastAsia="宋体"/>
          <w:color w:val="000000" w:themeColor="text1"/>
          <w:szCs w:val="21"/>
          <w:highlight w:val="none"/>
          <w14:textFill>
            <w14:solidFill>
              <w14:schemeClr w14:val="tx1"/>
            </w14:solidFill>
          </w14:textFill>
        </w:rPr>
        <w:t>甲方</w:t>
      </w:r>
      <w:r>
        <w:rPr>
          <w:rFonts w:hint="eastAsia" w:ascii="宋体" w:hAnsi="宋体" w:eastAsia="宋体" w:cs="宋体"/>
          <w:iCs/>
          <w:color w:val="auto"/>
          <w:szCs w:val="21"/>
          <w:highlight w:val="none"/>
        </w:rPr>
        <w:t>指定的单位）和</w:t>
      </w:r>
      <w:r>
        <w:rPr>
          <w:rFonts w:hint="eastAsia" w:ascii="宋体" w:hAnsi="宋体" w:eastAsia="宋体"/>
          <w:color w:val="000000" w:themeColor="text1"/>
          <w:szCs w:val="21"/>
          <w:highlight w:val="none"/>
          <w14:textFill>
            <w14:solidFill>
              <w14:schemeClr w14:val="tx1"/>
            </w14:solidFill>
          </w14:textFill>
        </w:rPr>
        <w:t>乙方</w:t>
      </w:r>
      <w:r>
        <w:rPr>
          <w:rFonts w:hint="eastAsia" w:ascii="宋体" w:hAnsi="宋体" w:eastAsia="宋体" w:cs="宋体"/>
          <w:iCs/>
          <w:color w:val="auto"/>
          <w:szCs w:val="21"/>
          <w:highlight w:val="none"/>
        </w:rPr>
        <w:t>共同进行。</w:t>
      </w:r>
    </w:p>
    <w:p w14:paraId="58461EB6">
      <w:pPr>
        <w:pStyle w:val="13"/>
        <w:numPr>
          <w:ilvl w:val="0"/>
          <w:numId w:val="104"/>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验收阶段，</w:t>
      </w:r>
      <w:r>
        <w:rPr>
          <w:rFonts w:hint="eastAsia" w:ascii="宋体" w:hAnsi="宋体" w:eastAsia="宋体"/>
          <w:color w:val="000000" w:themeColor="text1"/>
          <w:szCs w:val="21"/>
          <w:highlight w:val="none"/>
          <w14:textFill>
            <w14:solidFill>
              <w14:schemeClr w14:val="tx1"/>
            </w14:solidFill>
          </w14:textFill>
        </w:rPr>
        <w:t>乙方</w:t>
      </w:r>
      <w:r>
        <w:rPr>
          <w:rFonts w:hint="eastAsia" w:ascii="宋体" w:hAnsi="宋体" w:eastAsia="宋体" w:cs="宋体"/>
          <w:iCs/>
          <w:color w:val="auto"/>
          <w:szCs w:val="21"/>
          <w:highlight w:val="none"/>
        </w:rPr>
        <w:t>须向</w:t>
      </w:r>
      <w:r>
        <w:rPr>
          <w:rFonts w:hint="eastAsia" w:ascii="宋体" w:hAnsi="宋体" w:eastAsia="宋体"/>
          <w:color w:val="000000" w:themeColor="text1"/>
          <w:szCs w:val="21"/>
          <w:highlight w:val="none"/>
          <w14:textFill>
            <w14:solidFill>
              <w14:schemeClr w14:val="tx1"/>
            </w14:solidFill>
          </w14:textFill>
        </w:rPr>
        <w:t>甲方</w:t>
      </w:r>
      <w:r>
        <w:rPr>
          <w:rFonts w:hint="eastAsia" w:ascii="宋体" w:hAnsi="宋体" w:eastAsia="宋体" w:cs="宋体"/>
          <w:iCs/>
          <w:color w:val="auto"/>
          <w:szCs w:val="21"/>
          <w:highlight w:val="none"/>
        </w:rPr>
        <w:t>提供验收所需相关资料（如有），并严格按照</w:t>
      </w:r>
      <w:r>
        <w:rPr>
          <w:rFonts w:hint="eastAsia" w:ascii="宋体" w:hAnsi="宋体" w:eastAsia="宋体"/>
          <w:color w:val="000000" w:themeColor="text1"/>
          <w:szCs w:val="21"/>
          <w:highlight w:val="none"/>
          <w14:textFill>
            <w14:solidFill>
              <w14:schemeClr w14:val="tx1"/>
            </w14:solidFill>
          </w14:textFill>
        </w:rPr>
        <w:t>甲方</w:t>
      </w:r>
      <w:r>
        <w:rPr>
          <w:rFonts w:hint="eastAsia" w:ascii="宋体" w:hAnsi="宋体" w:eastAsia="宋体" w:cs="宋体"/>
          <w:iCs/>
          <w:color w:val="auto"/>
          <w:szCs w:val="21"/>
          <w:highlight w:val="none"/>
        </w:rPr>
        <w:t>指定的验收方式，配合完成全部验收工作。</w:t>
      </w:r>
    </w:p>
    <w:p w14:paraId="1038D7B6">
      <w:pPr>
        <w:pStyle w:val="13"/>
        <w:numPr>
          <w:ilvl w:val="0"/>
          <w:numId w:val="104"/>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由</w:t>
      </w:r>
      <w:r>
        <w:rPr>
          <w:rFonts w:hint="eastAsia" w:ascii="宋体" w:hAnsi="宋体" w:eastAsia="宋体"/>
          <w:color w:val="000000" w:themeColor="text1"/>
          <w:szCs w:val="21"/>
          <w:highlight w:val="none"/>
          <w14:textFill>
            <w14:solidFill>
              <w14:schemeClr w14:val="tx1"/>
            </w14:solidFill>
          </w14:textFill>
        </w:rPr>
        <w:t>甲方</w:t>
      </w:r>
      <w:r>
        <w:rPr>
          <w:rFonts w:hint="eastAsia" w:ascii="宋体" w:hAnsi="宋体" w:eastAsia="宋体" w:cs="宋体"/>
          <w:iCs/>
          <w:color w:val="auto"/>
          <w:szCs w:val="21"/>
          <w:highlight w:val="none"/>
        </w:rPr>
        <w:t>对服务的质量及其他进行检验。如发现质量和</w:t>
      </w:r>
      <w:r>
        <w:rPr>
          <w:rFonts w:hint="eastAsia" w:ascii="宋体" w:hAnsi="宋体" w:eastAsia="宋体" w:cs="宋体"/>
          <w:iCs/>
          <w:color w:val="auto"/>
          <w:szCs w:val="21"/>
          <w:highlight w:val="none"/>
          <w:lang w:val="en-US" w:eastAsia="zh-CN"/>
        </w:rPr>
        <w:t>其他</w:t>
      </w:r>
      <w:r>
        <w:rPr>
          <w:rFonts w:hint="eastAsia" w:ascii="宋体" w:hAnsi="宋体" w:eastAsia="宋体" w:cs="宋体"/>
          <w:iCs/>
          <w:color w:val="auto"/>
          <w:szCs w:val="21"/>
          <w:highlight w:val="none"/>
        </w:rPr>
        <w:t>等任何一项与采购要求规定不符，</w:t>
      </w:r>
      <w:r>
        <w:rPr>
          <w:rFonts w:hint="eastAsia" w:ascii="宋体" w:hAnsi="宋体" w:eastAsia="宋体"/>
          <w:color w:val="000000" w:themeColor="text1"/>
          <w:szCs w:val="21"/>
          <w:highlight w:val="none"/>
          <w14:textFill>
            <w14:solidFill>
              <w14:schemeClr w14:val="tx1"/>
            </w14:solidFill>
          </w14:textFill>
        </w:rPr>
        <w:t>甲方</w:t>
      </w:r>
      <w:r>
        <w:rPr>
          <w:rFonts w:hint="eastAsia" w:ascii="宋体" w:hAnsi="宋体" w:eastAsia="宋体" w:cs="宋体"/>
          <w:iCs/>
          <w:color w:val="auto"/>
          <w:szCs w:val="21"/>
          <w:highlight w:val="none"/>
        </w:rPr>
        <w:t>有权拒绝接受。</w:t>
      </w:r>
    </w:p>
    <w:p w14:paraId="0790CB84">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lang w:val="en-US" w:eastAsia="zh-CN"/>
          <w14:textFill>
            <w14:solidFill>
              <w14:schemeClr w14:val="tx1"/>
            </w14:solidFill>
          </w14:textFill>
        </w:rPr>
        <w:t>技术要求</w:t>
      </w:r>
    </w:p>
    <w:p w14:paraId="17DBD87C">
      <w:pPr>
        <w:pStyle w:val="13"/>
        <w:numPr>
          <w:ilvl w:val="0"/>
          <w:numId w:val="0"/>
        </w:numPr>
        <w:snapToGrid w:val="0"/>
        <w:spacing w:line="360" w:lineRule="auto"/>
        <w:ind w:left="420" w:leftChars="0" w:hanging="420" w:firstLineChars="0"/>
        <w:contextualSpacing/>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Cs w:val="21"/>
          <w:highlight w:val="none"/>
          <w:lang w:val="en-US" w:eastAsia="zh-CN"/>
        </w:rPr>
        <w:t>除</w:t>
      </w:r>
      <w:r>
        <w:rPr>
          <w:rFonts w:hint="eastAsia" w:ascii="宋体" w:hAnsi="宋体" w:eastAsia="宋体" w:cs="宋体"/>
          <w:iCs/>
          <w:color w:val="auto"/>
          <w:szCs w:val="21"/>
          <w:highlight w:val="none"/>
          <w:lang w:eastAsia="zh-CN"/>
        </w:rPr>
        <w:t>“四害”</w:t>
      </w:r>
      <w:r>
        <w:rPr>
          <w:rFonts w:hint="eastAsia" w:ascii="宋体" w:hAnsi="宋体" w:eastAsia="宋体" w:cs="宋体"/>
          <w:color w:val="auto"/>
          <w:szCs w:val="21"/>
          <w:highlight w:val="none"/>
          <w:lang w:val="en-US" w:eastAsia="zh-CN"/>
        </w:rPr>
        <w:t>服务范围</w:t>
      </w:r>
    </w:p>
    <w:p w14:paraId="39110E76">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石龙镇辖区内的公共区域，覆盖主次干道、背街小巷、排水明沟、公共绿化带、河岸周边、非盈利性公益场所（如：公厕、垃圾压缩站、垃圾转运站等）等市政公共区域，包括但不限于5处公园、2处广场、5座垃圾中转站、32处公厕周边及7处农贸市场周边（不含室内的经营商户），总覆盖面积约180万平方米（不含物业小区及村（社区）非公共区域）。</w:t>
      </w:r>
    </w:p>
    <w:p w14:paraId="14492DF1">
      <w:pPr>
        <w:pStyle w:val="13"/>
        <w:numPr>
          <w:ilvl w:val="0"/>
          <w:numId w:val="0"/>
        </w:numPr>
        <w:snapToGrid w:val="0"/>
        <w:spacing w:line="360" w:lineRule="auto"/>
        <w:ind w:left="420" w:leftChars="0" w:hanging="420" w:firstLineChars="0"/>
        <w:contextualSpacing/>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Cs w:val="21"/>
          <w:highlight w:val="none"/>
          <w:lang w:val="en-US" w:eastAsia="zh-CN"/>
        </w:rPr>
        <w:t>服务内容</w:t>
      </w:r>
    </w:p>
    <w:p w14:paraId="302EAD7D">
      <w:pPr>
        <w:pStyle w:val="13"/>
        <w:numPr>
          <w:ilvl w:val="0"/>
          <w:numId w:val="10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物理防制</w:t>
      </w:r>
    </w:p>
    <w:p w14:paraId="0276D69B">
      <w:pPr>
        <w:pStyle w:val="13"/>
        <w:numPr>
          <w:ilvl w:val="0"/>
          <w:numId w:val="106"/>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毒饵站建设与维护：在公共外环境围墙边、绿化带侧建设长效毒饵站，特别针对背街小巷进行加密布放。定期检查、更换鼠药，清理死鼠。</w:t>
      </w:r>
    </w:p>
    <w:p w14:paraId="52E3C61E">
      <w:pPr>
        <w:pStyle w:val="13"/>
        <w:numPr>
          <w:ilvl w:val="0"/>
          <w:numId w:val="106"/>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防蚊闸/防鼠网安装：排查室内外所有积水点、蚊虫孳生地、全面清积水、清理杂物，重点公共区域下水道井口安装三防闸。</w:t>
      </w:r>
    </w:p>
    <w:p w14:paraId="657962DD">
      <w:pPr>
        <w:pStyle w:val="13"/>
        <w:numPr>
          <w:ilvl w:val="0"/>
          <w:numId w:val="106"/>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诱蝇笼设置：在公园公厕周边、垃圾收集点附近悬挂诱蝇笼，定期清理更换。</w:t>
      </w:r>
    </w:p>
    <w:p w14:paraId="7729C9FF">
      <w:pPr>
        <w:pStyle w:val="13"/>
        <w:numPr>
          <w:ilvl w:val="0"/>
          <w:numId w:val="107"/>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化学消杀</w:t>
      </w:r>
    </w:p>
    <w:p w14:paraId="7E71613D">
      <w:pPr>
        <w:pStyle w:val="13"/>
        <w:numPr>
          <w:ilvl w:val="0"/>
          <w:numId w:val="108"/>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常态化消杀</w:t>
      </w:r>
    </w:p>
    <w:p w14:paraId="2F3904F4">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服务期每月施药根据上级部门要求开展；灭鼠、灭蝇、灭蟑，每月消杀四次。其中灭蚊方面，根据《东莞市爱国卫生运动和蚊媒传染病防控长效机制实施方案》，每年12月至次年3月，每</w:t>
      </w:r>
      <w:r>
        <w:rPr>
          <w:rFonts w:hint="default" w:ascii="宋体" w:hAnsi="宋体" w:cs="宋体"/>
          <w:iCs/>
          <w:color w:val="auto"/>
          <w:szCs w:val="21"/>
          <w:highlight w:val="none"/>
        </w:rPr>
        <w:t>确保服务区域内病媒生物密度达到国家C级及以上标准</w:t>
      </w:r>
      <w:r>
        <w:rPr>
          <w:rFonts w:hint="eastAsia" w:ascii="宋体" w:hAnsi="宋体" w:cs="宋体"/>
          <w:iCs/>
          <w:color w:val="auto"/>
          <w:szCs w:val="21"/>
          <w:highlight w:val="none"/>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417"/>
        <w:gridCol w:w="4678"/>
        <w:gridCol w:w="1782"/>
      </w:tblGrid>
      <w:tr w14:paraId="0596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14:paraId="3FB94ADE">
            <w:pPr>
              <w:keepNext w:val="0"/>
              <w:keepLines w:val="0"/>
              <w:pageBreakBefore w:val="0"/>
              <w:widowControl/>
              <w:kinsoku/>
              <w:wordWrap/>
              <w:overflowPunct/>
              <w:topLinePunct w:val="0"/>
              <w:bidi w:val="0"/>
              <w:spacing w:line="600" w:lineRule="exac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序号</w:t>
            </w:r>
          </w:p>
        </w:tc>
        <w:tc>
          <w:tcPr>
            <w:tcW w:w="1417" w:type="dxa"/>
            <w:vAlign w:val="center"/>
          </w:tcPr>
          <w:p w14:paraId="2EBAE9F8">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服务项目</w:t>
            </w:r>
          </w:p>
        </w:tc>
        <w:tc>
          <w:tcPr>
            <w:tcW w:w="4678" w:type="dxa"/>
            <w:vAlign w:val="center"/>
          </w:tcPr>
          <w:p w14:paraId="03E2D401">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服务内容</w:t>
            </w:r>
          </w:p>
        </w:tc>
        <w:tc>
          <w:tcPr>
            <w:tcW w:w="1782" w:type="dxa"/>
            <w:vAlign w:val="center"/>
          </w:tcPr>
          <w:p w14:paraId="606CD57C">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服务要求</w:t>
            </w:r>
          </w:p>
        </w:tc>
      </w:tr>
      <w:tr w14:paraId="2E6C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14:paraId="3D3997C8">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p>
        </w:tc>
        <w:tc>
          <w:tcPr>
            <w:tcW w:w="1417" w:type="dxa"/>
            <w:vMerge w:val="restart"/>
            <w:vAlign w:val="center"/>
          </w:tcPr>
          <w:p w14:paraId="59ED2172">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灭鼠</w:t>
            </w:r>
          </w:p>
        </w:tc>
        <w:tc>
          <w:tcPr>
            <w:tcW w:w="4678" w:type="dxa"/>
            <w:vAlign w:val="center"/>
          </w:tcPr>
          <w:p w14:paraId="0FE25F4C">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每月全面对公共环境和扩大覆盖面范围投放灭鼠药，做好相关警示标识。</w:t>
            </w:r>
          </w:p>
        </w:tc>
        <w:tc>
          <w:tcPr>
            <w:tcW w:w="1782" w:type="dxa"/>
            <w:vAlign w:val="center"/>
          </w:tcPr>
          <w:p w14:paraId="715933B1">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60EA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4D34D301">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7FCF1170">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732B8E70">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公共环境每月检查鼠迹，发现鼠迹立即清理并及时按常规投放和补充毒饵。</w:t>
            </w:r>
          </w:p>
        </w:tc>
        <w:tc>
          <w:tcPr>
            <w:tcW w:w="1782" w:type="dxa"/>
            <w:vAlign w:val="center"/>
          </w:tcPr>
          <w:p w14:paraId="2BB00ACF">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0586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41474BDF">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07B51B9B">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473EE55F">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单位灭鼠须安装鼠屋，按常规投药和补投药，做好相关警示标识。</w:t>
            </w:r>
          </w:p>
        </w:tc>
        <w:tc>
          <w:tcPr>
            <w:tcW w:w="1782" w:type="dxa"/>
            <w:vAlign w:val="center"/>
          </w:tcPr>
          <w:p w14:paraId="7807090C">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2404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7" w:type="dxa"/>
            <w:vMerge w:val="continue"/>
            <w:vAlign w:val="center"/>
          </w:tcPr>
          <w:p w14:paraId="149A823A">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28BC759A">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0C4EF150">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4</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按国家考核标准对鼠密度进行监测。</w:t>
            </w:r>
          </w:p>
        </w:tc>
        <w:tc>
          <w:tcPr>
            <w:tcW w:w="1782" w:type="dxa"/>
            <w:vAlign w:val="center"/>
          </w:tcPr>
          <w:p w14:paraId="6D80300C">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r w14:paraId="34AA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14:paraId="6A12FB98">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2</w:t>
            </w:r>
          </w:p>
        </w:tc>
        <w:tc>
          <w:tcPr>
            <w:tcW w:w="1417" w:type="dxa"/>
            <w:vMerge w:val="restart"/>
            <w:vAlign w:val="center"/>
          </w:tcPr>
          <w:p w14:paraId="5F6922F8">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灭蚊</w:t>
            </w:r>
          </w:p>
        </w:tc>
        <w:tc>
          <w:tcPr>
            <w:tcW w:w="4678" w:type="dxa"/>
            <w:vAlign w:val="center"/>
          </w:tcPr>
          <w:p w14:paraId="077A122D">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大、中型水体必须每周检查一次，发现幼虫孳生立即施药。</w:t>
            </w:r>
          </w:p>
        </w:tc>
        <w:tc>
          <w:tcPr>
            <w:tcW w:w="1782" w:type="dxa"/>
            <w:vAlign w:val="center"/>
          </w:tcPr>
          <w:p w14:paraId="0733C90C">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每周1次</w:t>
            </w:r>
          </w:p>
        </w:tc>
      </w:tr>
      <w:tr w14:paraId="70E2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034D0149">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1D1143B8">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31E66824">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下水道沉沙井（有积水的），投放孳生地药物进行灭杀，每周1次，控制蚊幼虫孳生。</w:t>
            </w:r>
          </w:p>
        </w:tc>
        <w:tc>
          <w:tcPr>
            <w:tcW w:w="1782" w:type="dxa"/>
            <w:vAlign w:val="center"/>
          </w:tcPr>
          <w:p w14:paraId="202B9E1F">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每周1次</w:t>
            </w:r>
          </w:p>
        </w:tc>
      </w:tr>
      <w:tr w14:paraId="2DB6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1814BB73">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1D55F592">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53437F6E">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清理外环境小积水，控制蚊虫孳生，并施药处理。</w:t>
            </w:r>
          </w:p>
        </w:tc>
        <w:tc>
          <w:tcPr>
            <w:tcW w:w="1782" w:type="dxa"/>
            <w:vAlign w:val="center"/>
          </w:tcPr>
          <w:p w14:paraId="6D978113">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4592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0676D026">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72F21283">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071AA93A">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4</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下水道烟熏灭蚊：每月结合灭蟑对外环境的下水道进行热烟雾处理。</w:t>
            </w:r>
          </w:p>
        </w:tc>
        <w:tc>
          <w:tcPr>
            <w:tcW w:w="1782" w:type="dxa"/>
            <w:vAlign w:val="center"/>
          </w:tcPr>
          <w:p w14:paraId="5D590CCE">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r>
      <w:tr w14:paraId="6EBD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4575D40C">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04563100">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09307F73">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5</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公共区域每月全面查治孳生地一次，并作空间喷洒灭成蚊；高峰期</w:t>
            </w:r>
            <w:r>
              <w:rPr>
                <w:rFonts w:hint="eastAsia" w:ascii="宋体" w:hAnsi="宋体" w:eastAsia="宋体" w:cs="宋体"/>
                <w:color w:val="auto"/>
                <w:sz w:val="21"/>
                <w:szCs w:val="22"/>
                <w:highlight w:val="none"/>
                <w:lang w:val="en-US" w:eastAsia="zh-CN"/>
              </w:rPr>
              <w:t>6-</w:t>
            </w:r>
            <w:r>
              <w:rPr>
                <w:rFonts w:hint="eastAsia" w:ascii="宋体" w:hAnsi="宋体" w:eastAsia="宋体" w:cs="宋体"/>
                <w:color w:val="auto"/>
                <w:sz w:val="21"/>
                <w:szCs w:val="22"/>
                <w:highlight w:val="none"/>
              </w:rPr>
              <w:t>11月每月增加施工。</w:t>
            </w:r>
          </w:p>
        </w:tc>
        <w:tc>
          <w:tcPr>
            <w:tcW w:w="1782" w:type="dxa"/>
            <w:vAlign w:val="center"/>
          </w:tcPr>
          <w:p w14:paraId="4F72D025">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eastAsia="zh-CN"/>
              </w:rPr>
              <w:t>每月</w:t>
            </w:r>
            <w:r>
              <w:rPr>
                <w:rFonts w:hint="eastAsia" w:ascii="宋体" w:hAnsi="宋体" w:eastAsia="宋体" w:cs="宋体"/>
                <w:color w:val="auto"/>
                <w:sz w:val="21"/>
                <w:szCs w:val="22"/>
                <w:highlight w:val="none"/>
                <w:lang w:val="en-US" w:eastAsia="zh-CN"/>
              </w:rPr>
              <w:t>不少于</w:t>
            </w:r>
            <w:r>
              <w:rPr>
                <w:rFonts w:hint="eastAsia" w:ascii="宋体" w:hAnsi="宋体" w:eastAsia="宋体" w:cs="宋体"/>
                <w:color w:val="auto"/>
                <w:sz w:val="21"/>
                <w:szCs w:val="22"/>
                <w:highlight w:val="none"/>
                <w:lang w:eastAsia="zh-CN"/>
              </w:rPr>
              <w:t>1次（12-3月）；</w:t>
            </w:r>
            <w:r>
              <w:rPr>
                <w:rFonts w:hint="eastAsia" w:ascii="宋体" w:hAnsi="宋体" w:eastAsia="宋体" w:cs="宋体"/>
                <w:color w:val="auto"/>
                <w:sz w:val="21"/>
                <w:szCs w:val="22"/>
                <w:highlight w:val="none"/>
              </w:rPr>
              <w:t>每月</w:t>
            </w:r>
            <w:r>
              <w:rPr>
                <w:rFonts w:hint="eastAsia" w:ascii="宋体" w:hAnsi="宋体" w:eastAsia="宋体" w:cs="宋体"/>
                <w:color w:val="auto"/>
                <w:sz w:val="21"/>
                <w:szCs w:val="22"/>
                <w:highlight w:val="none"/>
                <w:lang w:val="en-US" w:eastAsia="zh-CN"/>
              </w:rPr>
              <w:t>不少于4</w:t>
            </w:r>
            <w:r>
              <w:rPr>
                <w:rFonts w:hint="eastAsia" w:ascii="宋体" w:hAnsi="宋体" w:eastAsia="宋体" w:cs="宋体"/>
                <w:color w:val="auto"/>
                <w:sz w:val="21"/>
                <w:szCs w:val="22"/>
                <w:highlight w:val="none"/>
              </w:rPr>
              <w:t>次</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4-</w:t>
            </w:r>
            <w:r>
              <w:rPr>
                <w:rFonts w:hint="eastAsia" w:ascii="宋体" w:hAnsi="宋体" w:eastAsia="宋体" w:cs="宋体"/>
                <w:color w:val="auto"/>
                <w:sz w:val="21"/>
                <w:szCs w:val="22"/>
                <w:highlight w:val="none"/>
                <w:lang w:val="en-US" w:eastAsia="zh-CN"/>
              </w:rPr>
              <w:t>5</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lang w:eastAsia="zh-CN"/>
              </w:rPr>
              <w:t>每月</w:t>
            </w:r>
            <w:r>
              <w:rPr>
                <w:rFonts w:hint="eastAsia" w:ascii="宋体" w:hAnsi="宋体" w:eastAsia="宋体" w:cs="宋体"/>
                <w:color w:val="auto"/>
                <w:sz w:val="21"/>
                <w:szCs w:val="22"/>
                <w:highlight w:val="none"/>
                <w:lang w:val="en-US" w:eastAsia="zh-CN"/>
              </w:rPr>
              <w:t>不少于8</w:t>
            </w:r>
            <w:r>
              <w:rPr>
                <w:rFonts w:hint="eastAsia" w:ascii="宋体" w:hAnsi="宋体" w:eastAsia="宋体" w:cs="宋体"/>
                <w:color w:val="auto"/>
                <w:sz w:val="21"/>
                <w:szCs w:val="22"/>
                <w:highlight w:val="none"/>
              </w:rPr>
              <w:t>次</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6</w:t>
            </w:r>
            <w:r>
              <w:rPr>
                <w:rFonts w:hint="eastAsia" w:ascii="宋体" w:hAnsi="宋体" w:eastAsia="宋体" w:cs="宋体"/>
                <w:color w:val="auto"/>
                <w:sz w:val="21"/>
                <w:szCs w:val="22"/>
                <w:highlight w:val="none"/>
              </w:rPr>
              <w:t>-11月</w:t>
            </w:r>
            <w:r>
              <w:rPr>
                <w:rFonts w:hint="eastAsia" w:ascii="宋体" w:hAnsi="宋体" w:eastAsia="宋体" w:cs="宋体"/>
                <w:color w:val="auto"/>
                <w:sz w:val="21"/>
                <w:szCs w:val="22"/>
                <w:highlight w:val="none"/>
                <w:lang w:eastAsia="zh-CN"/>
              </w:rPr>
              <w:t>）</w:t>
            </w:r>
          </w:p>
        </w:tc>
      </w:tr>
      <w:tr w14:paraId="1549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87" w:type="dxa"/>
            <w:vMerge w:val="continue"/>
            <w:vAlign w:val="center"/>
          </w:tcPr>
          <w:p w14:paraId="3680F1C6">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79E04E08">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2A8B8A52">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6</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按国家考核标准对蚊密度进行监测。</w:t>
            </w:r>
          </w:p>
        </w:tc>
        <w:tc>
          <w:tcPr>
            <w:tcW w:w="1782" w:type="dxa"/>
            <w:vAlign w:val="center"/>
          </w:tcPr>
          <w:p w14:paraId="192BBEBE">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r w14:paraId="3CB5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14:paraId="712F3FDD">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p>
        </w:tc>
        <w:tc>
          <w:tcPr>
            <w:tcW w:w="1417" w:type="dxa"/>
            <w:vMerge w:val="restart"/>
            <w:vAlign w:val="center"/>
          </w:tcPr>
          <w:p w14:paraId="48C19BEB">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灭蝇</w:t>
            </w:r>
          </w:p>
        </w:tc>
        <w:tc>
          <w:tcPr>
            <w:tcW w:w="4678" w:type="dxa"/>
            <w:vAlign w:val="center"/>
          </w:tcPr>
          <w:p w14:paraId="4F6BE721">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公共区域每月作</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次滞留喷洒灭成蝇</w:t>
            </w:r>
          </w:p>
        </w:tc>
        <w:tc>
          <w:tcPr>
            <w:tcW w:w="1782" w:type="dxa"/>
            <w:vAlign w:val="center"/>
          </w:tcPr>
          <w:p w14:paraId="536696E1">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每月</w:t>
            </w:r>
            <w:r>
              <w:rPr>
                <w:rFonts w:hint="eastAsia" w:ascii="宋体" w:hAnsi="宋体" w:eastAsia="宋体" w:cs="宋体"/>
                <w:color w:val="auto"/>
                <w:sz w:val="21"/>
                <w:szCs w:val="22"/>
                <w:highlight w:val="none"/>
              </w:rPr>
              <w:t>4次</w:t>
            </w:r>
          </w:p>
        </w:tc>
      </w:tr>
      <w:tr w14:paraId="4267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7" w:type="dxa"/>
            <w:vMerge w:val="continue"/>
            <w:vAlign w:val="center"/>
          </w:tcPr>
          <w:p w14:paraId="7087AB2B">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24AB8FDF">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5871C2D2">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重点场所孳生地：每周检查处理并喷药灭杀。</w:t>
            </w:r>
          </w:p>
        </w:tc>
        <w:tc>
          <w:tcPr>
            <w:tcW w:w="1782" w:type="dxa"/>
            <w:vAlign w:val="center"/>
          </w:tcPr>
          <w:p w14:paraId="48252B98">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每周1次</w:t>
            </w:r>
          </w:p>
        </w:tc>
      </w:tr>
      <w:tr w14:paraId="5F18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7" w:type="dxa"/>
            <w:vMerge w:val="continue"/>
            <w:vAlign w:val="center"/>
          </w:tcPr>
          <w:p w14:paraId="5D90B6C7">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67B61F60">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7FD289A3">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按国家考核标准对成蝇密度进行监测。</w:t>
            </w:r>
          </w:p>
        </w:tc>
        <w:tc>
          <w:tcPr>
            <w:tcW w:w="1782" w:type="dxa"/>
            <w:vAlign w:val="center"/>
          </w:tcPr>
          <w:p w14:paraId="7A8F33F0">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r w14:paraId="5D15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7" w:type="dxa"/>
            <w:vMerge w:val="restart"/>
            <w:vAlign w:val="center"/>
          </w:tcPr>
          <w:p w14:paraId="19888315">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4</w:t>
            </w:r>
          </w:p>
        </w:tc>
        <w:tc>
          <w:tcPr>
            <w:tcW w:w="1417" w:type="dxa"/>
            <w:vMerge w:val="restart"/>
            <w:vAlign w:val="center"/>
          </w:tcPr>
          <w:p w14:paraId="7E19D3AD">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灭蟑螂</w:t>
            </w:r>
          </w:p>
        </w:tc>
        <w:tc>
          <w:tcPr>
            <w:tcW w:w="4678" w:type="dxa"/>
            <w:vAlign w:val="center"/>
          </w:tcPr>
          <w:p w14:paraId="74574950">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公共区域每月检查蟑迹并清理；</w:t>
            </w:r>
          </w:p>
        </w:tc>
        <w:tc>
          <w:tcPr>
            <w:tcW w:w="1782" w:type="dxa"/>
            <w:vAlign w:val="center"/>
          </w:tcPr>
          <w:p w14:paraId="7D0A49F0">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r w14:paraId="6CF4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22017A31">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69C9550D">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67D9F5EC">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下水道灭蟑螂：每月热烟雾处理</w:t>
            </w: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次。</w:t>
            </w:r>
          </w:p>
        </w:tc>
        <w:tc>
          <w:tcPr>
            <w:tcW w:w="1782" w:type="dxa"/>
            <w:vAlign w:val="center"/>
          </w:tcPr>
          <w:p w14:paraId="00F750B4">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每月</w:t>
            </w:r>
            <w:r>
              <w:rPr>
                <w:rFonts w:hint="eastAsia" w:ascii="宋体" w:hAnsi="宋体" w:eastAsia="宋体" w:cs="宋体"/>
                <w:color w:val="auto"/>
                <w:sz w:val="21"/>
                <w:szCs w:val="22"/>
                <w:highlight w:val="none"/>
              </w:rPr>
              <w:t>4次</w:t>
            </w:r>
          </w:p>
        </w:tc>
      </w:tr>
      <w:tr w14:paraId="10F0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7" w:type="dxa"/>
            <w:vMerge w:val="continue"/>
            <w:vAlign w:val="center"/>
          </w:tcPr>
          <w:p w14:paraId="34E5B1FE">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1417" w:type="dxa"/>
            <w:vMerge w:val="continue"/>
            <w:vAlign w:val="center"/>
          </w:tcPr>
          <w:p w14:paraId="2AE0F672">
            <w:pPr>
              <w:keepNext w:val="0"/>
              <w:keepLines w:val="0"/>
              <w:pageBreakBefore w:val="0"/>
              <w:widowControl/>
              <w:kinsoku/>
              <w:wordWrap/>
              <w:overflowPunct/>
              <w:topLinePunct w:val="0"/>
              <w:bidi w:val="0"/>
              <w:spacing w:line="600" w:lineRule="exact"/>
              <w:jc w:val="center"/>
              <w:rPr>
                <w:rFonts w:hint="eastAsia" w:ascii="宋体" w:hAnsi="宋体" w:eastAsia="宋体" w:cs="宋体"/>
                <w:color w:val="auto"/>
                <w:sz w:val="21"/>
                <w:szCs w:val="22"/>
                <w:highlight w:val="none"/>
              </w:rPr>
            </w:pPr>
          </w:p>
        </w:tc>
        <w:tc>
          <w:tcPr>
            <w:tcW w:w="4678" w:type="dxa"/>
            <w:vAlign w:val="center"/>
          </w:tcPr>
          <w:p w14:paraId="077EE71B">
            <w:pPr>
              <w:pStyle w:val="11"/>
              <w:keepNext w:val="0"/>
              <w:keepLines w:val="0"/>
              <w:pageBreakBefore w:val="0"/>
              <w:widowControl/>
              <w:kinsoku/>
              <w:wordWrap/>
              <w:overflowPunct/>
              <w:topLinePunct w:val="0"/>
              <w:bidi w:val="0"/>
              <w:jc w:val="both"/>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按国家考核标准进行结蟑螂密度监测。</w:t>
            </w:r>
          </w:p>
        </w:tc>
        <w:tc>
          <w:tcPr>
            <w:tcW w:w="1782" w:type="dxa"/>
            <w:vAlign w:val="center"/>
          </w:tcPr>
          <w:p w14:paraId="475031D1">
            <w:pPr>
              <w:pStyle w:val="11"/>
              <w:keepNext w:val="0"/>
              <w:keepLines w:val="0"/>
              <w:pageBreakBefore w:val="0"/>
              <w:widowControl/>
              <w:kinsoku/>
              <w:wordWrap/>
              <w:overflowPunct/>
              <w:topLinePunct w:val="0"/>
              <w:bidi w:val="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每月1次</w:t>
            </w:r>
          </w:p>
        </w:tc>
      </w:tr>
    </w:tbl>
    <w:p w14:paraId="54CA9153">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contextualSpacing/>
        <w:textAlignment w:val="auto"/>
        <w:rPr>
          <w:rFonts w:hint="default" w:ascii="宋体" w:hAnsi="宋体" w:eastAsia="宋体" w:cs="宋体"/>
          <w:iCs/>
          <w:color w:val="auto"/>
          <w:szCs w:val="21"/>
          <w:highlight w:val="none"/>
          <w:lang w:val="en-US" w:eastAsia="zh-CN"/>
        </w:rPr>
      </w:pPr>
    </w:p>
    <w:p w14:paraId="24E7E911">
      <w:pPr>
        <w:pStyle w:val="13"/>
        <w:numPr>
          <w:ilvl w:val="0"/>
          <w:numId w:val="108"/>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其余任务</w:t>
      </w:r>
    </w:p>
    <w:p w14:paraId="7B030B5A">
      <w:pPr>
        <w:pStyle w:val="13"/>
        <w:numPr>
          <w:ilvl w:val="0"/>
          <w:numId w:val="109"/>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传染病疫情应急：如周边发生蚊媒传染病疫情，立即启动应急预案，对疫点周边所有积水（包括天台、阳台、废弃容器）进行全面清理，投放灭幼剂，并对核心区进行每日一次的强化消杀。</w:t>
      </w:r>
    </w:p>
    <w:p w14:paraId="2521DA59">
      <w:pPr>
        <w:pStyle w:val="13"/>
        <w:numPr>
          <w:ilvl w:val="0"/>
          <w:numId w:val="109"/>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投诉处理：接到市民关于某区域“四害”密集的投诉后，</w:t>
      </w:r>
      <w:r>
        <w:rPr>
          <w:rFonts w:hint="eastAsia" w:ascii="宋体" w:hAnsi="宋体" w:eastAsia="宋体" w:cs="宋体"/>
          <w:iCs/>
          <w:color w:val="auto"/>
          <w:szCs w:val="21"/>
          <w:highlight w:val="none"/>
          <w:lang w:val="en-US" w:eastAsia="zh-CN"/>
        </w:rPr>
        <w:t>乙方</w:t>
      </w:r>
      <w:r>
        <w:rPr>
          <w:rFonts w:hint="default" w:ascii="宋体" w:hAnsi="宋体" w:eastAsia="宋体" w:cs="宋体"/>
          <w:iCs/>
          <w:color w:val="auto"/>
          <w:szCs w:val="21"/>
          <w:highlight w:val="none"/>
          <w:lang w:val="en-US" w:eastAsia="zh-CN"/>
        </w:rPr>
        <w:t>承诺24小时内到达现场勘查，48小时内完成应急消杀，并建立问题台账，实行销号管理。</w:t>
      </w:r>
    </w:p>
    <w:p w14:paraId="48D14FE5">
      <w:pPr>
        <w:pStyle w:val="13"/>
        <w:numPr>
          <w:ilvl w:val="0"/>
          <w:numId w:val="109"/>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专项任务：如有创文、创卫</w:t>
      </w:r>
      <w:r>
        <w:rPr>
          <w:rFonts w:hint="eastAsia" w:ascii="宋体" w:hAnsi="宋体" w:cs="宋体"/>
          <w:iCs/>
          <w:color w:val="auto"/>
          <w:szCs w:val="21"/>
          <w:highlight w:val="none"/>
          <w:lang w:val="en-US" w:eastAsia="zh-CN"/>
        </w:rPr>
        <w:t>、</w:t>
      </w:r>
      <w:r>
        <w:rPr>
          <w:rFonts w:hint="default" w:ascii="宋体" w:hAnsi="宋体" w:eastAsia="宋体" w:cs="宋体"/>
          <w:iCs/>
          <w:color w:val="auto"/>
          <w:szCs w:val="21"/>
          <w:highlight w:val="none"/>
          <w:lang w:val="en-US" w:eastAsia="zh-CN"/>
        </w:rPr>
        <w:t>其他重要迎检工作</w:t>
      </w:r>
      <w:r>
        <w:rPr>
          <w:rFonts w:hint="eastAsia" w:ascii="宋体" w:hAnsi="宋体" w:cs="宋体"/>
          <w:iCs/>
          <w:color w:val="auto"/>
          <w:szCs w:val="21"/>
          <w:highlight w:val="none"/>
          <w:lang w:val="en-US" w:eastAsia="zh-CN"/>
        </w:rPr>
        <w:t>、上级文件要求</w:t>
      </w:r>
      <w:r>
        <w:rPr>
          <w:rFonts w:hint="default" w:ascii="宋体" w:hAnsi="宋体" w:eastAsia="宋体" w:cs="宋体"/>
          <w:iCs/>
          <w:color w:val="auto"/>
          <w:szCs w:val="21"/>
          <w:highlight w:val="none"/>
          <w:lang w:val="en-US" w:eastAsia="zh-CN"/>
        </w:rPr>
        <w:t>和其余领导交办专项消杀任务</w:t>
      </w:r>
      <w:r>
        <w:rPr>
          <w:rFonts w:hint="eastAsia" w:ascii="宋体" w:hAnsi="宋体" w:cs="宋体"/>
          <w:iCs/>
          <w:color w:val="auto"/>
          <w:szCs w:val="21"/>
          <w:highlight w:val="none"/>
          <w:lang w:val="en-US" w:eastAsia="zh-CN"/>
        </w:rPr>
        <w:t>，不得另外增加费用</w:t>
      </w:r>
      <w:r>
        <w:rPr>
          <w:rFonts w:hint="default" w:ascii="宋体" w:hAnsi="宋体" w:eastAsia="宋体" w:cs="宋体"/>
          <w:iCs/>
          <w:color w:val="auto"/>
          <w:szCs w:val="21"/>
          <w:highlight w:val="none"/>
          <w:lang w:val="en-US" w:eastAsia="zh-CN"/>
        </w:rPr>
        <w:t>。</w:t>
      </w:r>
    </w:p>
    <w:p w14:paraId="46F81CEB">
      <w:pPr>
        <w:pStyle w:val="13"/>
        <w:numPr>
          <w:ilvl w:val="0"/>
          <w:numId w:val="108"/>
        </w:numPr>
        <w:snapToGrid w:val="0"/>
        <w:spacing w:line="360" w:lineRule="auto"/>
        <w:ind w:left="425" w:leftChars="0" w:hanging="425" w:firstLineChars="0"/>
        <w:contextualSpacing/>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除</w:t>
      </w:r>
      <w:r>
        <w:rPr>
          <w:rFonts w:hint="eastAsia" w:ascii="宋体" w:hAnsi="宋体" w:eastAsia="宋体" w:cs="宋体"/>
          <w:iCs/>
          <w:color w:val="auto"/>
          <w:szCs w:val="21"/>
          <w:highlight w:val="none"/>
          <w:lang w:eastAsia="zh-CN"/>
        </w:rPr>
        <w:t>“四害”</w:t>
      </w:r>
      <w:r>
        <w:rPr>
          <w:rFonts w:hint="eastAsia" w:ascii="宋体" w:hAnsi="宋体" w:cs="宋体"/>
          <w:iCs/>
          <w:color w:val="auto"/>
          <w:szCs w:val="21"/>
          <w:highlight w:val="none"/>
          <w:lang w:val="en-US" w:eastAsia="zh-CN"/>
        </w:rPr>
        <w:t>人员配置</w:t>
      </w:r>
    </w:p>
    <w:tbl>
      <w:tblPr>
        <w:tblStyle w:val="6"/>
        <w:tblW w:w="4686" w:type="pct"/>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573"/>
        <w:gridCol w:w="1888"/>
        <w:gridCol w:w="3353"/>
      </w:tblGrid>
      <w:tr w14:paraId="2BA1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428BD859">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序号</w:t>
            </w:r>
          </w:p>
        </w:tc>
        <w:tc>
          <w:tcPr>
            <w:tcW w:w="1478" w:type="pct"/>
            <w:tcMar>
              <w:top w:w="0" w:type="dxa"/>
              <w:left w:w="105" w:type="dxa"/>
              <w:bottom w:w="0" w:type="dxa"/>
              <w:right w:w="105" w:type="dxa"/>
            </w:tcMar>
            <w:vAlign w:val="center"/>
          </w:tcPr>
          <w:p w14:paraId="73E25341">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岗位</w:t>
            </w:r>
          </w:p>
        </w:tc>
        <w:tc>
          <w:tcPr>
            <w:tcW w:w="1085" w:type="pct"/>
            <w:tcMar>
              <w:top w:w="0" w:type="dxa"/>
              <w:left w:w="105" w:type="dxa"/>
              <w:bottom w:w="0" w:type="dxa"/>
              <w:right w:w="105" w:type="dxa"/>
            </w:tcMar>
            <w:vAlign w:val="center"/>
          </w:tcPr>
          <w:p w14:paraId="7B01AC3B">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人数</w:t>
            </w:r>
          </w:p>
        </w:tc>
        <w:tc>
          <w:tcPr>
            <w:tcW w:w="1927" w:type="pct"/>
            <w:tcMar>
              <w:top w:w="0" w:type="dxa"/>
              <w:left w:w="105" w:type="dxa"/>
              <w:bottom w:w="0" w:type="dxa"/>
              <w:right w:w="105" w:type="dxa"/>
            </w:tcMar>
            <w:vAlign w:val="center"/>
          </w:tcPr>
          <w:p w14:paraId="081C9202">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备注</w:t>
            </w:r>
          </w:p>
        </w:tc>
      </w:tr>
      <w:tr w14:paraId="1378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64FF37B5">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1</w:t>
            </w:r>
          </w:p>
        </w:tc>
        <w:tc>
          <w:tcPr>
            <w:tcW w:w="1478" w:type="pct"/>
            <w:tcMar>
              <w:top w:w="0" w:type="dxa"/>
              <w:left w:w="105" w:type="dxa"/>
              <w:bottom w:w="0" w:type="dxa"/>
              <w:right w:w="105" w:type="dxa"/>
            </w:tcMar>
            <w:vAlign w:val="center"/>
          </w:tcPr>
          <w:p w14:paraId="5D4AB548">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项目经理</w:t>
            </w:r>
          </w:p>
        </w:tc>
        <w:tc>
          <w:tcPr>
            <w:tcW w:w="1085" w:type="pct"/>
            <w:tcMar>
              <w:top w:w="0" w:type="dxa"/>
              <w:left w:w="105" w:type="dxa"/>
              <w:bottom w:w="0" w:type="dxa"/>
              <w:right w:w="105" w:type="dxa"/>
            </w:tcMar>
            <w:vAlign w:val="center"/>
          </w:tcPr>
          <w:p w14:paraId="10BACBDD">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1</w:t>
            </w:r>
          </w:p>
        </w:tc>
        <w:tc>
          <w:tcPr>
            <w:tcW w:w="1927" w:type="pct"/>
            <w:tcMar>
              <w:top w:w="0" w:type="dxa"/>
              <w:left w:w="105" w:type="dxa"/>
              <w:bottom w:w="0" w:type="dxa"/>
              <w:right w:w="105" w:type="dxa"/>
            </w:tcMar>
            <w:vAlign w:val="center"/>
          </w:tcPr>
          <w:p w14:paraId="3EEDE1F8">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负责全面工作，5年以上工作经验</w:t>
            </w:r>
          </w:p>
        </w:tc>
      </w:tr>
      <w:tr w14:paraId="1F6F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680FED8A">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2</w:t>
            </w:r>
          </w:p>
        </w:tc>
        <w:tc>
          <w:tcPr>
            <w:tcW w:w="1478" w:type="pct"/>
            <w:tcMar>
              <w:top w:w="0" w:type="dxa"/>
              <w:left w:w="105" w:type="dxa"/>
              <w:bottom w:w="0" w:type="dxa"/>
              <w:right w:w="105" w:type="dxa"/>
            </w:tcMar>
            <w:vAlign w:val="center"/>
          </w:tcPr>
          <w:p w14:paraId="56559796">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组长兼技术巡查员</w:t>
            </w:r>
          </w:p>
        </w:tc>
        <w:tc>
          <w:tcPr>
            <w:tcW w:w="1085" w:type="pct"/>
            <w:tcMar>
              <w:top w:w="0" w:type="dxa"/>
              <w:left w:w="105" w:type="dxa"/>
              <w:bottom w:w="0" w:type="dxa"/>
              <w:right w:w="105" w:type="dxa"/>
            </w:tcMar>
            <w:vAlign w:val="center"/>
          </w:tcPr>
          <w:p w14:paraId="33D2611B">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1</w:t>
            </w:r>
            <w:r>
              <w:rPr>
                <w:rFonts w:hint="eastAsia" w:ascii="宋体" w:hAnsi="宋体" w:cs="宋体"/>
                <w:iCs/>
                <w:color w:val="auto"/>
                <w:szCs w:val="21"/>
                <w:highlight w:val="none"/>
                <w:lang w:val="en-US" w:eastAsia="zh-CN"/>
              </w:rPr>
              <w:t>（不少于）</w:t>
            </w:r>
          </w:p>
        </w:tc>
        <w:tc>
          <w:tcPr>
            <w:tcW w:w="1927" w:type="pct"/>
            <w:tcMar>
              <w:top w:w="0" w:type="dxa"/>
              <w:left w:w="105" w:type="dxa"/>
              <w:bottom w:w="0" w:type="dxa"/>
              <w:right w:w="105" w:type="dxa"/>
            </w:tcMar>
            <w:vAlign w:val="center"/>
          </w:tcPr>
          <w:p w14:paraId="7BB597F5">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负责小组施工工作，</w:t>
            </w:r>
            <w:r>
              <w:rPr>
                <w:rFonts w:hint="eastAsia" w:ascii="宋体" w:hAnsi="宋体" w:cs="宋体"/>
                <w:iCs/>
                <w:color w:val="auto"/>
                <w:szCs w:val="21"/>
                <w:highlight w:val="none"/>
                <w:lang w:val="en-US" w:eastAsia="zh-CN"/>
              </w:rPr>
              <w:t>3</w:t>
            </w:r>
            <w:r>
              <w:rPr>
                <w:rFonts w:hint="eastAsia" w:ascii="宋体" w:hAnsi="宋体" w:eastAsia="宋体" w:cs="宋体"/>
                <w:iCs/>
                <w:color w:val="auto"/>
                <w:szCs w:val="21"/>
                <w:highlight w:val="none"/>
                <w:lang w:val="en-US" w:eastAsia="zh-CN"/>
              </w:rPr>
              <w:t>年以上工作经验</w:t>
            </w:r>
            <w:r>
              <w:rPr>
                <w:rFonts w:hint="eastAsia" w:ascii="宋体" w:hAnsi="宋体" w:cs="宋体"/>
                <w:iCs/>
                <w:color w:val="auto"/>
                <w:szCs w:val="21"/>
                <w:highlight w:val="none"/>
                <w:lang w:val="en-US" w:eastAsia="zh-CN"/>
              </w:rPr>
              <w:t>，</w:t>
            </w:r>
          </w:p>
        </w:tc>
      </w:tr>
      <w:tr w14:paraId="72C2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043833BB">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default" w:ascii="宋体" w:hAnsi="宋体" w:eastAsia="宋体" w:cs="宋体"/>
                <w:iCs/>
                <w:color w:val="auto"/>
                <w:szCs w:val="21"/>
                <w:highlight w:val="none"/>
                <w:lang w:val="en-US" w:eastAsia="zh-CN"/>
              </w:rPr>
              <w:t>3</w:t>
            </w:r>
          </w:p>
        </w:tc>
        <w:tc>
          <w:tcPr>
            <w:tcW w:w="1478" w:type="pct"/>
            <w:tcMar>
              <w:top w:w="0" w:type="dxa"/>
              <w:left w:w="105" w:type="dxa"/>
              <w:bottom w:w="0" w:type="dxa"/>
              <w:right w:w="105" w:type="dxa"/>
            </w:tcMar>
            <w:vAlign w:val="center"/>
          </w:tcPr>
          <w:p w14:paraId="58F28C1F">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文员</w:t>
            </w:r>
          </w:p>
        </w:tc>
        <w:tc>
          <w:tcPr>
            <w:tcW w:w="1085" w:type="pct"/>
            <w:tcMar>
              <w:top w:w="0" w:type="dxa"/>
              <w:left w:w="105" w:type="dxa"/>
              <w:bottom w:w="0" w:type="dxa"/>
              <w:right w:w="105" w:type="dxa"/>
            </w:tcMar>
            <w:vAlign w:val="center"/>
          </w:tcPr>
          <w:p w14:paraId="4FBEFAE5">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1</w:t>
            </w:r>
            <w:r>
              <w:rPr>
                <w:rFonts w:hint="eastAsia" w:ascii="宋体" w:hAnsi="宋体" w:cs="宋体"/>
                <w:iCs/>
                <w:color w:val="auto"/>
                <w:szCs w:val="21"/>
                <w:highlight w:val="none"/>
                <w:lang w:val="en-US" w:eastAsia="zh-CN"/>
              </w:rPr>
              <w:t>（不少于）</w:t>
            </w:r>
          </w:p>
        </w:tc>
        <w:tc>
          <w:tcPr>
            <w:tcW w:w="1927" w:type="pct"/>
            <w:tcMar>
              <w:top w:w="0" w:type="dxa"/>
              <w:left w:w="105" w:type="dxa"/>
              <w:bottom w:w="0" w:type="dxa"/>
              <w:right w:w="105" w:type="dxa"/>
            </w:tcMar>
            <w:vAlign w:val="center"/>
          </w:tcPr>
          <w:p w14:paraId="3F5E14C6">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负责小组资料工作</w:t>
            </w:r>
          </w:p>
        </w:tc>
      </w:tr>
      <w:tr w14:paraId="721E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8" w:type="pct"/>
            <w:tcMar>
              <w:top w:w="0" w:type="dxa"/>
              <w:left w:w="105" w:type="dxa"/>
              <w:bottom w:w="0" w:type="dxa"/>
              <w:right w:w="105" w:type="dxa"/>
            </w:tcMar>
            <w:vAlign w:val="center"/>
          </w:tcPr>
          <w:p w14:paraId="168A256C">
            <w:pPr>
              <w:pStyle w:val="13"/>
              <w:numPr>
                <w:ilvl w:val="0"/>
                <w:numId w:val="0"/>
              </w:numPr>
              <w:snapToGrid w:val="0"/>
              <w:spacing w:line="360" w:lineRule="auto"/>
              <w:ind w:leftChars="0"/>
              <w:contextualSpacing/>
              <w:jc w:val="both"/>
              <w:rPr>
                <w:rFonts w:hint="default"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4</w:t>
            </w:r>
          </w:p>
        </w:tc>
        <w:tc>
          <w:tcPr>
            <w:tcW w:w="1478" w:type="pct"/>
            <w:tcMar>
              <w:top w:w="0" w:type="dxa"/>
              <w:left w:w="105" w:type="dxa"/>
              <w:bottom w:w="0" w:type="dxa"/>
              <w:right w:w="105" w:type="dxa"/>
            </w:tcMar>
            <w:vAlign w:val="center"/>
          </w:tcPr>
          <w:p w14:paraId="110D0BC6">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作业人员</w:t>
            </w:r>
          </w:p>
        </w:tc>
        <w:tc>
          <w:tcPr>
            <w:tcW w:w="1085" w:type="pct"/>
            <w:tcMar>
              <w:top w:w="0" w:type="dxa"/>
              <w:left w:w="105" w:type="dxa"/>
              <w:bottom w:w="0" w:type="dxa"/>
              <w:right w:w="105" w:type="dxa"/>
            </w:tcMar>
            <w:vAlign w:val="center"/>
          </w:tcPr>
          <w:p w14:paraId="5EC3DA76">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6</w:t>
            </w:r>
            <w:r>
              <w:rPr>
                <w:rFonts w:hint="eastAsia" w:ascii="宋体" w:hAnsi="宋体" w:cs="宋体"/>
                <w:iCs/>
                <w:color w:val="auto"/>
                <w:szCs w:val="21"/>
                <w:highlight w:val="none"/>
                <w:lang w:val="en-US" w:eastAsia="zh-CN"/>
              </w:rPr>
              <w:t>（不少于）</w:t>
            </w:r>
          </w:p>
        </w:tc>
        <w:tc>
          <w:tcPr>
            <w:tcW w:w="1927" w:type="pct"/>
            <w:tcMar>
              <w:top w:w="0" w:type="dxa"/>
              <w:left w:w="105" w:type="dxa"/>
              <w:bottom w:w="0" w:type="dxa"/>
              <w:right w:w="105" w:type="dxa"/>
            </w:tcMar>
            <w:vAlign w:val="center"/>
          </w:tcPr>
          <w:p w14:paraId="280C5248">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现场作业人员</w:t>
            </w:r>
          </w:p>
        </w:tc>
      </w:tr>
      <w:tr w14:paraId="237B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7" w:type="pct"/>
            <w:gridSpan w:val="2"/>
            <w:tcMar>
              <w:top w:w="0" w:type="dxa"/>
              <w:left w:w="105" w:type="dxa"/>
              <w:bottom w:w="0" w:type="dxa"/>
              <w:right w:w="105" w:type="dxa"/>
            </w:tcMar>
            <w:vAlign w:val="center"/>
          </w:tcPr>
          <w:p w14:paraId="600D5C3F">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合计</w:t>
            </w:r>
          </w:p>
        </w:tc>
        <w:tc>
          <w:tcPr>
            <w:tcW w:w="1085" w:type="pct"/>
            <w:tcMar>
              <w:top w:w="0" w:type="dxa"/>
              <w:left w:w="105" w:type="dxa"/>
              <w:bottom w:w="0" w:type="dxa"/>
              <w:right w:w="105" w:type="dxa"/>
            </w:tcMar>
            <w:vAlign w:val="center"/>
          </w:tcPr>
          <w:p w14:paraId="7E7C916C">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9</w:t>
            </w:r>
          </w:p>
        </w:tc>
        <w:tc>
          <w:tcPr>
            <w:tcW w:w="1927" w:type="pct"/>
            <w:tcMar>
              <w:top w:w="0" w:type="dxa"/>
              <w:left w:w="105" w:type="dxa"/>
              <w:bottom w:w="0" w:type="dxa"/>
              <w:right w:w="105" w:type="dxa"/>
            </w:tcMar>
            <w:vAlign w:val="center"/>
          </w:tcPr>
          <w:p w14:paraId="46524C31">
            <w:pPr>
              <w:pStyle w:val="13"/>
              <w:numPr>
                <w:ilvl w:val="0"/>
                <w:numId w:val="0"/>
              </w:numPr>
              <w:snapToGrid w:val="0"/>
              <w:spacing w:line="360" w:lineRule="auto"/>
              <w:ind w:leftChars="0"/>
              <w:contextualSpacing/>
              <w:jc w:val="both"/>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w:t>
            </w:r>
          </w:p>
        </w:tc>
      </w:tr>
    </w:tbl>
    <w:p w14:paraId="4C79EBA2">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注：本项目所有现场作业人员，须持有消杀服务、害虫防治、病媒生物防制相关行业有效上岗证书，实行全员持证上岗。</w:t>
      </w:r>
    </w:p>
    <w:p w14:paraId="489E9B0B">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lang w:val="en-US" w:eastAsia="zh-CN"/>
          <w14:textFill>
            <w14:solidFill>
              <w14:schemeClr w14:val="tx1"/>
            </w14:solidFill>
          </w14:textFill>
        </w:rPr>
        <w:t>工作要求</w:t>
      </w:r>
    </w:p>
    <w:p w14:paraId="6EBCFFF4">
      <w:pPr>
        <w:pStyle w:val="13"/>
        <w:numPr>
          <w:ilvl w:val="0"/>
          <w:numId w:val="110"/>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承包范围内收集动物尸体工作（含老鼠、蟑螂等收集清理工作），并将尸体做无害化处理</w:t>
      </w:r>
      <w:r>
        <w:rPr>
          <w:rFonts w:hint="eastAsia" w:ascii="宋体" w:hAnsi="宋体" w:cs="宋体"/>
          <w:iCs/>
          <w:color w:val="auto"/>
          <w:kern w:val="2"/>
          <w:sz w:val="21"/>
          <w:szCs w:val="21"/>
          <w:highlight w:val="none"/>
          <w:lang w:val="en-US" w:eastAsia="zh-CN" w:bidi="ar-SA"/>
        </w:rPr>
        <w:t>。</w:t>
      </w:r>
    </w:p>
    <w:p w14:paraId="6C04859F">
      <w:pPr>
        <w:pStyle w:val="13"/>
        <w:numPr>
          <w:ilvl w:val="0"/>
          <w:numId w:val="110"/>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eastAsia" w:ascii="宋体" w:hAnsi="宋体" w:eastAsia="宋体" w:cs="宋体"/>
          <w:iCs/>
          <w:color w:val="auto"/>
          <w:kern w:val="2"/>
          <w:sz w:val="21"/>
          <w:szCs w:val="21"/>
          <w:highlight w:val="none"/>
          <w:lang w:val="en-US" w:eastAsia="zh-CN" w:bidi="ar-SA"/>
        </w:rPr>
        <w:t>应在进场一个月前在采购人所在地设置固定办公室和仓库，并设置固定联系电话，建立24小时值班制度，应付突发事件的发生</w:t>
      </w:r>
      <w:r>
        <w:rPr>
          <w:rFonts w:hint="eastAsia" w:ascii="宋体" w:hAnsi="宋体" w:cs="宋体"/>
          <w:iCs/>
          <w:color w:val="auto"/>
          <w:kern w:val="2"/>
          <w:sz w:val="21"/>
          <w:szCs w:val="21"/>
          <w:highlight w:val="none"/>
          <w:lang w:val="en-US" w:eastAsia="zh-CN" w:bidi="ar-SA"/>
        </w:rPr>
        <w:t>。</w:t>
      </w:r>
    </w:p>
    <w:p w14:paraId="4D9A172F">
      <w:pPr>
        <w:pStyle w:val="13"/>
        <w:numPr>
          <w:ilvl w:val="0"/>
          <w:numId w:val="110"/>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eastAsia" w:ascii="宋体" w:hAnsi="宋体" w:eastAsia="宋体" w:cs="宋体"/>
          <w:iCs/>
          <w:color w:val="auto"/>
          <w:kern w:val="2"/>
          <w:sz w:val="21"/>
          <w:szCs w:val="21"/>
          <w:highlight w:val="none"/>
          <w:lang w:val="en-US" w:eastAsia="zh-CN" w:bidi="ar-SA"/>
        </w:rPr>
        <w:t>必须具备证件齐全的若干工具，配备满足项目要求的除“四害”人员</w:t>
      </w:r>
      <w:r>
        <w:rPr>
          <w:rFonts w:hint="eastAsia" w:ascii="宋体" w:hAnsi="宋体" w:cs="宋体"/>
          <w:iCs/>
          <w:color w:val="auto"/>
          <w:kern w:val="2"/>
          <w:sz w:val="21"/>
          <w:szCs w:val="21"/>
          <w:highlight w:val="none"/>
          <w:lang w:val="en-US" w:eastAsia="zh-CN" w:bidi="ar-SA"/>
        </w:rPr>
        <w:t>。</w:t>
      </w:r>
    </w:p>
    <w:p w14:paraId="206A9678">
      <w:pPr>
        <w:pStyle w:val="13"/>
        <w:numPr>
          <w:ilvl w:val="0"/>
          <w:numId w:val="110"/>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eastAsia" w:ascii="宋体" w:hAnsi="宋体" w:eastAsia="宋体" w:cs="宋体"/>
          <w:iCs/>
          <w:color w:val="auto"/>
          <w:kern w:val="2"/>
          <w:sz w:val="21"/>
          <w:szCs w:val="21"/>
          <w:highlight w:val="none"/>
          <w:lang w:val="en-US" w:eastAsia="zh-CN" w:bidi="ar-SA"/>
        </w:rPr>
        <w:t>必须坚持“预防为主，综合防治”的消杀方针，使用国家规定或爱卫会认定和推荐的药物。除“四害”药物要建立进出登记台账，并取得“三证”。作业时要注意安全用药，废弃药物要妥善处理，防止污染</w:t>
      </w:r>
      <w:r>
        <w:rPr>
          <w:rFonts w:hint="eastAsia" w:ascii="宋体" w:hAnsi="宋体" w:cs="宋体"/>
          <w:iCs/>
          <w:color w:val="auto"/>
          <w:kern w:val="2"/>
          <w:sz w:val="21"/>
          <w:szCs w:val="21"/>
          <w:highlight w:val="none"/>
          <w:lang w:val="en-US" w:eastAsia="zh-CN" w:bidi="ar-SA"/>
        </w:rPr>
        <w:t>。</w:t>
      </w:r>
    </w:p>
    <w:p w14:paraId="7012AC61">
      <w:pPr>
        <w:pStyle w:val="13"/>
        <w:numPr>
          <w:ilvl w:val="0"/>
          <w:numId w:val="19"/>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eastAsia" w:ascii="宋体" w:hAnsi="宋体" w:eastAsia="宋体" w:cs="宋体"/>
          <w:iCs/>
          <w:color w:val="auto"/>
          <w:kern w:val="2"/>
          <w:sz w:val="21"/>
          <w:szCs w:val="21"/>
          <w:highlight w:val="none"/>
          <w:lang w:val="en-US" w:eastAsia="zh-CN" w:bidi="ar-SA"/>
        </w:rPr>
        <w:t>有完整的病媒生物预防控制操作规程，</w:t>
      </w:r>
      <w:r>
        <w:rPr>
          <w:rFonts w:hint="eastAsia" w:ascii="宋体" w:hAnsi="宋体" w:cs="宋体"/>
          <w:iCs/>
          <w:color w:val="auto"/>
          <w:szCs w:val="21"/>
          <w:highlight w:val="none"/>
        </w:rPr>
        <w:t>确保服务区域内病媒生物</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四害</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rPr>
        <w:t>密度达到国家C级及以上标准</w:t>
      </w:r>
      <w:r>
        <w:rPr>
          <w:rFonts w:hint="eastAsia" w:ascii="宋体" w:hAnsi="宋体" w:eastAsia="宋体" w:cs="宋体"/>
          <w:iCs/>
          <w:color w:val="auto"/>
          <w:kern w:val="2"/>
          <w:sz w:val="21"/>
          <w:szCs w:val="21"/>
          <w:highlight w:val="none"/>
          <w:lang w:val="en-US" w:eastAsia="zh-CN" w:bidi="ar-SA"/>
        </w:rPr>
        <w:t>，并具有完善的事故应急方案</w:t>
      </w:r>
      <w:r>
        <w:rPr>
          <w:rFonts w:hint="eastAsia" w:ascii="宋体" w:hAnsi="宋体" w:cs="宋体"/>
          <w:iCs/>
          <w:color w:val="auto"/>
          <w:kern w:val="2"/>
          <w:sz w:val="21"/>
          <w:szCs w:val="21"/>
          <w:highlight w:val="none"/>
          <w:lang w:val="en-US" w:eastAsia="zh-CN" w:bidi="ar-SA"/>
        </w:rPr>
        <w:t>。</w:t>
      </w:r>
    </w:p>
    <w:p w14:paraId="4AA29D4D">
      <w:pPr>
        <w:pStyle w:val="13"/>
        <w:numPr>
          <w:ilvl w:val="0"/>
          <w:numId w:val="110"/>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kern w:val="2"/>
          <w:sz w:val="21"/>
          <w:szCs w:val="21"/>
          <w:highlight w:val="none"/>
          <w:lang w:val="en-US" w:eastAsia="zh-CN" w:bidi="ar-SA"/>
        </w:rPr>
        <w:t>严格按照</w:t>
      </w:r>
      <w:r>
        <w:rPr>
          <w:rFonts w:hint="eastAsia" w:ascii="宋体" w:hAnsi="宋体" w:cs="宋体"/>
          <w:iCs/>
          <w:color w:val="auto"/>
          <w:kern w:val="2"/>
          <w:sz w:val="21"/>
          <w:szCs w:val="21"/>
          <w:highlight w:val="none"/>
          <w:lang w:val="en-US" w:eastAsia="zh-CN" w:bidi="ar-SA"/>
        </w:rPr>
        <w:t>石龙</w:t>
      </w:r>
      <w:r>
        <w:rPr>
          <w:rFonts w:hint="eastAsia" w:ascii="宋体" w:hAnsi="宋体" w:eastAsia="宋体" w:cs="宋体"/>
          <w:iCs/>
          <w:color w:val="auto"/>
          <w:kern w:val="2"/>
          <w:sz w:val="21"/>
          <w:szCs w:val="21"/>
          <w:highlight w:val="none"/>
          <w:lang w:val="en-US" w:eastAsia="zh-CN" w:bidi="ar-SA"/>
        </w:rPr>
        <w:t>镇卫生健康局的要求除“四害”，并配合</w:t>
      </w:r>
      <w:r>
        <w:rPr>
          <w:rFonts w:hint="eastAsia" w:ascii="宋体" w:hAnsi="宋体" w:cs="宋体"/>
          <w:iCs/>
          <w:color w:val="auto"/>
          <w:kern w:val="2"/>
          <w:sz w:val="21"/>
          <w:szCs w:val="21"/>
          <w:highlight w:val="none"/>
          <w:lang w:val="en-US" w:eastAsia="zh-CN" w:bidi="ar-SA"/>
        </w:rPr>
        <w:t>石龙</w:t>
      </w:r>
      <w:r>
        <w:rPr>
          <w:rFonts w:hint="eastAsia" w:ascii="宋体" w:hAnsi="宋体" w:eastAsia="宋体" w:cs="宋体"/>
          <w:iCs/>
          <w:color w:val="auto"/>
          <w:kern w:val="2"/>
          <w:sz w:val="21"/>
          <w:szCs w:val="21"/>
          <w:highlight w:val="none"/>
          <w:lang w:val="en-US" w:eastAsia="zh-CN" w:bidi="ar-SA"/>
        </w:rPr>
        <w:t>镇卫生健康局做好各项检查工作，提供相关的技术指导</w:t>
      </w:r>
      <w:r>
        <w:rPr>
          <w:rFonts w:hint="eastAsia" w:ascii="宋体" w:hAnsi="宋体" w:cs="宋体"/>
          <w:iCs/>
          <w:color w:val="auto"/>
          <w:kern w:val="2"/>
          <w:sz w:val="21"/>
          <w:szCs w:val="21"/>
          <w:highlight w:val="none"/>
          <w:lang w:val="en-US" w:eastAsia="zh-CN" w:bidi="ar-SA"/>
        </w:rPr>
        <w:t>。</w:t>
      </w:r>
    </w:p>
    <w:p w14:paraId="6EFD785E">
      <w:pPr>
        <w:pStyle w:val="13"/>
        <w:numPr>
          <w:ilvl w:val="0"/>
          <w:numId w:val="110"/>
        </w:numPr>
        <w:snapToGrid w:val="0"/>
        <w:spacing w:line="360" w:lineRule="auto"/>
        <w:ind w:left="425" w:leftChars="0" w:hanging="425" w:firstLineChars="0"/>
        <w:contextualSpacing/>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eastAsia" w:ascii="宋体" w:hAnsi="宋体" w:eastAsia="宋体" w:cs="宋体"/>
          <w:iCs/>
          <w:color w:val="auto"/>
          <w:kern w:val="2"/>
          <w:sz w:val="21"/>
          <w:szCs w:val="21"/>
          <w:highlight w:val="none"/>
          <w:lang w:val="en-US" w:eastAsia="zh-CN" w:bidi="ar-SA"/>
        </w:rPr>
        <w:t>须遵守相关环保法律法规，采取一切合理的措施保护现场内外的环境，避免由于自身原因造成污染或人员、财产损害损失，并保证一旦发生上述情况，采购人免于承担责任</w:t>
      </w:r>
      <w:r>
        <w:rPr>
          <w:rFonts w:hint="eastAsia" w:ascii="宋体" w:hAnsi="宋体" w:cs="宋体"/>
          <w:iCs/>
          <w:color w:val="auto"/>
          <w:kern w:val="2"/>
          <w:sz w:val="21"/>
          <w:szCs w:val="21"/>
          <w:highlight w:val="none"/>
          <w:lang w:val="en-US" w:eastAsia="zh-CN" w:bidi="ar-SA"/>
        </w:rPr>
        <w:t>。</w:t>
      </w:r>
    </w:p>
    <w:p w14:paraId="271A6FC8">
      <w:pPr>
        <w:pStyle w:val="13"/>
        <w:numPr>
          <w:ilvl w:val="0"/>
          <w:numId w:val="110"/>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lang w:val="en-US" w:eastAsia="zh-CN"/>
        </w:rPr>
        <w:t>乙方</w:t>
      </w:r>
      <w:r>
        <w:rPr>
          <w:rFonts w:hint="eastAsia" w:ascii="宋体" w:hAnsi="宋体" w:eastAsia="宋体" w:cs="宋体"/>
          <w:iCs/>
          <w:color w:val="auto"/>
          <w:kern w:val="2"/>
          <w:sz w:val="21"/>
          <w:szCs w:val="21"/>
          <w:highlight w:val="none"/>
          <w:lang w:val="en-US" w:eastAsia="zh-CN" w:bidi="ar-SA"/>
        </w:rPr>
        <w:t>须遵守行业的相关安全生产管理规定，严格按安全标准组织实施，采取必要的安全防护措施，消除事故隐患，并接受采购人的监督检查。项目执行期间，因</w:t>
      </w:r>
      <w:r>
        <w:rPr>
          <w:rFonts w:hint="eastAsia" w:ascii="宋体" w:hAnsi="宋体" w:eastAsia="宋体" w:cs="宋体"/>
          <w:iCs/>
          <w:color w:val="auto"/>
          <w:szCs w:val="21"/>
          <w:highlight w:val="none"/>
          <w:lang w:val="en-US" w:eastAsia="zh-CN"/>
        </w:rPr>
        <w:t>乙方</w:t>
      </w:r>
      <w:r>
        <w:rPr>
          <w:rFonts w:hint="eastAsia" w:ascii="宋体" w:hAnsi="宋体" w:eastAsia="宋体" w:cs="宋体"/>
          <w:iCs/>
          <w:color w:val="auto"/>
          <w:kern w:val="2"/>
          <w:sz w:val="21"/>
          <w:szCs w:val="21"/>
          <w:highlight w:val="none"/>
          <w:lang w:val="en-US" w:eastAsia="zh-CN" w:bidi="ar-SA"/>
        </w:rPr>
        <w:t>反安全操作规程或安全措施不力造成的损失和责任均由</w:t>
      </w:r>
      <w:r>
        <w:rPr>
          <w:rFonts w:hint="eastAsia" w:ascii="宋体" w:hAnsi="宋体" w:eastAsia="宋体" w:cs="宋体"/>
          <w:iCs/>
          <w:color w:val="auto"/>
          <w:szCs w:val="21"/>
          <w:highlight w:val="none"/>
          <w:lang w:val="en-US" w:eastAsia="zh-CN"/>
        </w:rPr>
        <w:t>乙方</w:t>
      </w:r>
      <w:r>
        <w:rPr>
          <w:rFonts w:hint="eastAsia" w:ascii="宋体" w:hAnsi="宋体" w:eastAsia="宋体" w:cs="宋体"/>
          <w:iCs/>
          <w:color w:val="auto"/>
          <w:kern w:val="2"/>
          <w:sz w:val="21"/>
          <w:szCs w:val="21"/>
          <w:highlight w:val="none"/>
          <w:lang w:val="en-US" w:eastAsia="zh-CN" w:bidi="ar-SA"/>
        </w:rPr>
        <w:t>承担。</w:t>
      </w:r>
    </w:p>
    <w:p w14:paraId="149A71FC">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lang w:val="en-US" w:eastAsia="zh-CN"/>
          <w14:textFill>
            <w14:solidFill>
              <w14:schemeClr w14:val="tx1"/>
            </w14:solidFill>
          </w14:textFill>
        </w:rPr>
        <w:t>除四害工作细则</w:t>
      </w:r>
    </w:p>
    <w:p w14:paraId="4E0394F8">
      <w:pPr>
        <w:pStyle w:val="13"/>
        <w:numPr>
          <w:ilvl w:val="0"/>
          <w:numId w:val="111"/>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灭鼠：</w:t>
      </w:r>
    </w:p>
    <w:p w14:paraId="7345D711">
      <w:pPr>
        <w:pStyle w:val="13"/>
        <w:numPr>
          <w:ilvl w:val="0"/>
          <w:numId w:val="112"/>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使用老鼠的嗜好食物，如稻谷、小麦、花生米、快食面等，混拌第一代及第二代的低毒、抗凝血慢性灭鼠药剂配制成毒饵，作为防治药物进行诱杀。</w:t>
      </w:r>
    </w:p>
    <w:p w14:paraId="76622996">
      <w:pPr>
        <w:pStyle w:val="13"/>
        <w:numPr>
          <w:ilvl w:val="0"/>
          <w:numId w:val="112"/>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根据老鼠的生活习性和活动范围分类灭鼠</w:t>
      </w:r>
    </w:p>
    <w:p w14:paraId="0C7A3336">
      <w:pPr>
        <w:pStyle w:val="13"/>
        <w:numPr>
          <w:ilvl w:val="0"/>
          <w:numId w:val="113"/>
        </w:numPr>
        <w:snapToGrid w:val="0"/>
        <w:spacing w:line="360" w:lineRule="auto"/>
        <w:ind w:left="0" w:leftChars="0" w:firstLine="420" w:firstLineChars="20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对闲置工地附近的绿化带、公园实施灭鼠：因绿化带地面较潮湿，采用防潮的小塑料袋装毒饵或药箱定点布放投药。</w:t>
      </w:r>
    </w:p>
    <w:p w14:paraId="5BA89E99">
      <w:pPr>
        <w:pStyle w:val="13"/>
        <w:numPr>
          <w:ilvl w:val="0"/>
          <w:numId w:val="113"/>
        </w:numPr>
        <w:snapToGrid w:val="0"/>
        <w:spacing w:line="360" w:lineRule="auto"/>
        <w:ind w:left="0" w:leftChars="0" w:firstLine="420" w:firstLineChars="20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对市场、垃圾中转站、厕所附近的绿化树木实施灭鼠：因上述</w:t>
      </w:r>
      <w:r>
        <w:rPr>
          <w:rFonts w:hint="eastAsia" w:ascii="宋体" w:hAnsi="宋体" w:cs="宋体"/>
          <w:iCs/>
          <w:color w:val="auto"/>
          <w:szCs w:val="21"/>
          <w:highlight w:val="none"/>
          <w:lang w:val="en-US" w:eastAsia="zh-CN"/>
        </w:rPr>
        <w:t>区域</w:t>
      </w:r>
      <w:r>
        <w:rPr>
          <w:rFonts w:hint="eastAsia" w:ascii="宋体" w:hAnsi="宋体" w:eastAsia="宋体" w:cs="宋体"/>
          <w:iCs/>
          <w:color w:val="auto"/>
          <w:szCs w:val="21"/>
          <w:highlight w:val="none"/>
          <w:lang w:val="en-US" w:eastAsia="zh-CN"/>
        </w:rPr>
        <w:t>是老鼠活动频繁区域，所以根椐鼠害活动区域环境特点，采用沿线周边毒鼠药箱饱和投药。</w:t>
      </w:r>
    </w:p>
    <w:p w14:paraId="2A6A24C5">
      <w:pPr>
        <w:pStyle w:val="13"/>
        <w:numPr>
          <w:ilvl w:val="0"/>
          <w:numId w:val="112"/>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效果检查和施工跟进</w:t>
      </w:r>
    </w:p>
    <w:p w14:paraId="672C9A82">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老鼠在取食毒饵后，一般在5-7天内中毒而亡。中标人应在5</w:t>
      </w:r>
      <w:r>
        <w:rPr>
          <w:rFonts w:hint="eastAsia" w:ascii="宋体" w:hAnsi="宋体" w:cs="宋体"/>
          <w:iCs/>
          <w:color w:val="auto"/>
          <w:szCs w:val="21"/>
          <w:highlight w:val="none"/>
          <w:lang w:val="en-US" w:eastAsia="zh-CN"/>
        </w:rPr>
        <w:t>天</w:t>
      </w:r>
      <w:r>
        <w:rPr>
          <w:rFonts w:hint="eastAsia" w:ascii="宋体" w:hAnsi="宋体" w:eastAsia="宋体" w:cs="宋体"/>
          <w:iCs/>
          <w:color w:val="auto"/>
          <w:szCs w:val="21"/>
          <w:highlight w:val="none"/>
          <w:lang w:val="en-US" w:eastAsia="zh-CN"/>
        </w:rPr>
        <w:t>内进行效果检查，对发现在承包范围内的捕获或中毒死亡的鼠类进行清检收回，统一集中进行无毒化处理。发现诱饵被食完要及时补投毒饵，确保消杀效果彻底。</w:t>
      </w:r>
    </w:p>
    <w:p w14:paraId="24631EBE">
      <w:pPr>
        <w:pStyle w:val="13"/>
        <w:numPr>
          <w:ilvl w:val="0"/>
          <w:numId w:val="112"/>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药物投放应采用轮番换药及定时补充投药量相结合的方式，根据鼠害活动走道区域的变化适时调整布药点，让存活鼠害对毒饵有更好的口味和足够的吸食量。同时在施工过程中不断对绿化树木、闲置工地下水道、排水口、管道口、墙洞等附近的绿化树木、绿化带周围环境加以检查，及时完善上述环境的防鼠设施。</w:t>
      </w:r>
    </w:p>
    <w:p w14:paraId="70311B95">
      <w:pPr>
        <w:pStyle w:val="13"/>
        <w:numPr>
          <w:ilvl w:val="0"/>
          <w:numId w:val="111"/>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灭蚊：</w:t>
      </w:r>
    </w:p>
    <w:p w14:paraId="3909A22A">
      <w:pPr>
        <w:pStyle w:val="13"/>
        <w:numPr>
          <w:ilvl w:val="0"/>
          <w:numId w:val="114"/>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蚊药物的使用，喷施必须基于“环保.高效”的基础，采用药物参考广东省媒介伊蚊抗药性及现场药效最新评估情况，选择伊蚊未产生高抗性的环保、高效杀虫药，生物防治型药物进行消杀防治处理，使用过程中应根据虫害的情况不定期轮番更换施工药物”。</w:t>
      </w:r>
    </w:p>
    <w:p w14:paraId="4DA25046">
      <w:pPr>
        <w:pStyle w:val="13"/>
        <w:numPr>
          <w:ilvl w:val="0"/>
          <w:numId w:val="114"/>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灭蚊的方法</w:t>
      </w:r>
    </w:p>
    <w:p w14:paraId="525C354F">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根据成蚊在黄昏、夜晚、早晨活动范围大，且喜栖息于阴暗潮湿地的特点，采用常用剂量喷杀承包范围内的绿化带附近的下水道口、沙井盖上的成蚊，将蚊害活动密度降低直至灭治。</w:t>
      </w:r>
    </w:p>
    <w:p w14:paraId="3B306DA6">
      <w:pPr>
        <w:pStyle w:val="13"/>
        <w:numPr>
          <w:ilvl w:val="0"/>
          <w:numId w:val="114"/>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在蚊害高发季节和蚊类危害突发的情况下，应增加喷杀次数，保障环境清新优美。</w:t>
      </w:r>
    </w:p>
    <w:p w14:paraId="0645A54B">
      <w:pPr>
        <w:pStyle w:val="13"/>
        <w:numPr>
          <w:ilvl w:val="0"/>
          <w:numId w:val="114"/>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施工跟进</w:t>
      </w:r>
    </w:p>
    <w:p w14:paraId="25D8F635">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在施工完毕后的次日，应派出施工人员对喷杀范围环境进行检查，对容易滋生蚊类幼虫的场所如污水积水，阴暗处等，若发现有幼虫产生的，即采用生物药剂投入水体的方法进行消杀处理。</w:t>
      </w:r>
    </w:p>
    <w:p w14:paraId="6CE8A34F">
      <w:pPr>
        <w:pStyle w:val="13"/>
        <w:numPr>
          <w:ilvl w:val="0"/>
          <w:numId w:val="111"/>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灭蝇：</w:t>
      </w:r>
    </w:p>
    <w:p w14:paraId="5C85346A">
      <w:pPr>
        <w:pStyle w:val="13"/>
        <w:numPr>
          <w:ilvl w:val="0"/>
          <w:numId w:val="11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灭蝇措施方法</w:t>
      </w:r>
    </w:p>
    <w:p w14:paraId="3063DAFC">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承包范围内垃圾桶、果皮箱、厕所、肉菜市场等附近绿化带树木容易滋生苍蝇的场所，采用菊酯类的药物喷杀处理，把蝇类进行治灭。根据蝇类的滋生及活动区域习性，如成蝇主要公布在有垃圾堆积的地方等，采用菊酯或残杀威等低毒的杀虫乳油作常量喷洒，重点部位加重剂量喷杀，对不宜喷洒区域，则采用不定期悬挂粘蝇纸捕杀。</w:t>
      </w:r>
    </w:p>
    <w:p w14:paraId="7A1CB35C">
      <w:pPr>
        <w:pStyle w:val="13"/>
        <w:numPr>
          <w:ilvl w:val="0"/>
          <w:numId w:val="115"/>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施工</w:t>
      </w:r>
    </w:p>
    <w:p w14:paraId="3D58AD46">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喷药完毕后，加强对容易滋生蝇幼虫的地方进行巡视，发现有幼虫滋生的即采用灭蝇幼虫药剂喷洒滋生地方的方法进行处理，力求将蝇消灭在萌芽状态。</w:t>
      </w:r>
    </w:p>
    <w:p w14:paraId="1E87368C">
      <w:pPr>
        <w:pStyle w:val="13"/>
        <w:numPr>
          <w:ilvl w:val="0"/>
          <w:numId w:val="111"/>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灭蟑螂：</w:t>
      </w:r>
    </w:p>
    <w:p w14:paraId="432866E0">
      <w:pPr>
        <w:pStyle w:val="13"/>
        <w:numPr>
          <w:ilvl w:val="0"/>
          <w:numId w:val="116"/>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蟑螂的防治措施方法</w:t>
      </w:r>
    </w:p>
    <w:p w14:paraId="359CD7AD">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承包范围内绿化带附近的沙井、下水道采用热烟雾机烟熏和常量剂喷洒处理，对不宜使用热烟雾熏杀处理的区域，采用菊酯类杀虫乳油实施喷洒，或施放灭蟑粉、灭蟑胶饵。并重点加强对蟑螂栖息的孔洞和缝隙用线状喷头进行缝隙喷洒。</w:t>
      </w:r>
    </w:p>
    <w:p w14:paraId="5811E608">
      <w:pPr>
        <w:pStyle w:val="13"/>
        <w:numPr>
          <w:ilvl w:val="0"/>
          <w:numId w:val="116"/>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补充措施</w:t>
      </w:r>
    </w:p>
    <w:p w14:paraId="383FC677">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对不便喷药的部位及难以杀灭的德国小蠊，则采用毒饵法或定点布放粘捕盒进行诱杀，将毒饵点或粘捕盒布在蟑螂经常出没的地方，采用量少堆多的方法，以使害虫有更多的机会取食。</w:t>
      </w:r>
    </w:p>
    <w:p w14:paraId="6832763C">
      <w:pPr>
        <w:pStyle w:val="13"/>
        <w:numPr>
          <w:ilvl w:val="0"/>
          <w:numId w:val="116"/>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施工记录</w:t>
      </w:r>
    </w:p>
    <w:p w14:paraId="54828BFF">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contextualSpacing/>
        <w:textAlignment w:val="auto"/>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cs="宋体"/>
          <w:iCs/>
          <w:color w:val="auto"/>
          <w:szCs w:val="21"/>
          <w:highlight w:val="none"/>
          <w:lang w:val="en-US" w:eastAsia="zh-CN"/>
        </w:rPr>
        <w:t>施工结束后，按要求填写施工日程表。</w:t>
      </w:r>
    </w:p>
    <w:p w14:paraId="5A433764">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lang w:val="en-US" w:eastAsia="zh-CN"/>
          <w14:textFill>
            <w14:solidFill>
              <w14:schemeClr w14:val="tx1"/>
            </w14:solidFill>
          </w14:textFill>
        </w:rPr>
        <w:t>质量控制</w:t>
      </w:r>
    </w:p>
    <w:p w14:paraId="0C68338E">
      <w:pPr>
        <w:pStyle w:val="13"/>
        <w:numPr>
          <w:ilvl w:val="0"/>
          <w:numId w:val="117"/>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default" w:ascii="宋体" w:hAnsi="宋体" w:cs="宋体"/>
          <w:iCs/>
          <w:color w:val="auto"/>
          <w:kern w:val="2"/>
          <w:sz w:val="21"/>
          <w:szCs w:val="21"/>
          <w:highlight w:val="none"/>
          <w:lang w:val="en-US" w:eastAsia="zh-CN" w:bidi="ar-SA"/>
        </w:rPr>
        <w:t>密度监测：每月</w:t>
      </w:r>
      <w:r>
        <w:rPr>
          <w:rFonts w:hint="eastAsia" w:ascii="宋体" w:hAnsi="宋体" w:eastAsia="宋体" w:cs="宋体"/>
          <w:iCs/>
          <w:color w:val="auto"/>
          <w:szCs w:val="21"/>
          <w:highlight w:val="none"/>
          <w:lang w:val="en-US" w:eastAsia="zh-CN"/>
        </w:rPr>
        <w:t>乙方</w:t>
      </w:r>
      <w:r>
        <w:rPr>
          <w:rFonts w:hint="default" w:ascii="宋体" w:hAnsi="宋体" w:cs="宋体"/>
          <w:iCs/>
          <w:color w:val="auto"/>
          <w:kern w:val="2"/>
          <w:sz w:val="21"/>
          <w:szCs w:val="21"/>
          <w:highlight w:val="none"/>
          <w:lang w:val="en-US" w:eastAsia="zh-CN" w:bidi="ar-SA"/>
        </w:rPr>
        <w:t>进行一次自查，每月配合镇卫健局和镇疾控中心进行第三方效果评估，根据实际情况进行动态调整评估次数。若四害密度不能达到国家标准C级，则增加次数以确保达标，且不得要求增加费用。</w:t>
      </w:r>
    </w:p>
    <w:p w14:paraId="01E4A879">
      <w:pPr>
        <w:pStyle w:val="13"/>
        <w:numPr>
          <w:ilvl w:val="0"/>
          <w:numId w:val="117"/>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default" w:ascii="宋体" w:hAnsi="宋体" w:cs="宋体"/>
          <w:iCs/>
          <w:color w:val="auto"/>
          <w:kern w:val="2"/>
          <w:sz w:val="21"/>
          <w:szCs w:val="21"/>
          <w:highlight w:val="none"/>
          <w:lang w:val="en-US" w:eastAsia="zh-CN" w:bidi="ar-SA"/>
        </w:rPr>
        <w:t>数字化管理：</w:t>
      </w:r>
      <w:r>
        <w:rPr>
          <w:rFonts w:hint="eastAsia" w:ascii="宋体" w:hAnsi="宋体" w:eastAsia="宋体" w:cs="宋体"/>
          <w:iCs/>
          <w:color w:val="auto"/>
          <w:szCs w:val="21"/>
          <w:highlight w:val="none"/>
          <w:lang w:val="en-US" w:eastAsia="zh-CN"/>
        </w:rPr>
        <w:t>乙方</w:t>
      </w:r>
      <w:r>
        <w:rPr>
          <w:rFonts w:hint="default" w:ascii="宋体" w:hAnsi="宋体" w:cs="宋体"/>
          <w:iCs/>
          <w:color w:val="auto"/>
          <w:kern w:val="2"/>
          <w:sz w:val="21"/>
          <w:szCs w:val="21"/>
          <w:highlight w:val="none"/>
          <w:lang w:val="en-US" w:eastAsia="zh-CN" w:bidi="ar-SA"/>
        </w:rPr>
        <w:t>建立“周巡月更”管理台账，对每次投药量、消杀点位进行记录，实现可追溯。</w:t>
      </w:r>
    </w:p>
    <w:p w14:paraId="2489F292">
      <w:pPr>
        <w:pStyle w:val="13"/>
        <w:numPr>
          <w:ilvl w:val="0"/>
          <w:numId w:val="117"/>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default" w:ascii="宋体" w:hAnsi="宋体" w:cs="宋体"/>
          <w:iCs/>
          <w:color w:val="auto"/>
          <w:kern w:val="2"/>
          <w:sz w:val="21"/>
          <w:szCs w:val="21"/>
          <w:highlight w:val="none"/>
          <w:lang w:val="en-US" w:eastAsia="zh-CN" w:bidi="ar-SA"/>
        </w:rPr>
        <w:t>联合督导配合：</w:t>
      </w:r>
      <w:r>
        <w:rPr>
          <w:rFonts w:hint="eastAsia" w:ascii="宋体" w:hAnsi="宋体" w:eastAsia="宋体" w:cs="宋体"/>
          <w:iCs/>
          <w:color w:val="auto"/>
          <w:szCs w:val="21"/>
          <w:highlight w:val="none"/>
          <w:lang w:val="en-US" w:eastAsia="zh-CN"/>
        </w:rPr>
        <w:t>乙方</w:t>
      </w:r>
      <w:r>
        <w:rPr>
          <w:rFonts w:hint="default" w:ascii="宋体" w:hAnsi="宋体" w:cs="宋体"/>
          <w:iCs/>
          <w:color w:val="auto"/>
          <w:kern w:val="2"/>
          <w:sz w:val="21"/>
          <w:szCs w:val="21"/>
          <w:highlight w:val="none"/>
          <w:lang w:val="en-US" w:eastAsia="zh-CN" w:bidi="ar-SA"/>
        </w:rPr>
        <w:t>配合我局的检查工作，对发现的风险点（如闲置地、卫生死角）立即整改。</w:t>
      </w:r>
    </w:p>
    <w:p w14:paraId="60594F1B">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lang w:val="en-US" w:eastAsia="zh-CN"/>
          <w14:textFill>
            <w14:solidFill>
              <w14:schemeClr w14:val="tx1"/>
            </w14:solidFill>
          </w14:textFill>
        </w:rPr>
        <w:t>其他要求</w:t>
      </w:r>
    </w:p>
    <w:p w14:paraId="7182DFC1">
      <w:pPr>
        <w:pStyle w:val="13"/>
        <w:numPr>
          <w:ilvl w:val="0"/>
          <w:numId w:val="118"/>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eastAsia" w:ascii="宋体" w:hAnsi="宋体" w:cs="宋体"/>
          <w:iCs/>
          <w:color w:val="auto"/>
          <w:kern w:val="2"/>
          <w:sz w:val="21"/>
          <w:szCs w:val="21"/>
          <w:highlight w:val="none"/>
          <w:lang w:val="en-US" w:eastAsia="zh-CN" w:bidi="ar-SA"/>
        </w:rPr>
        <w:t>须针对项目实施期间可能出现的台风、极端天气、重大接待、节假日活动、病媒生物异常等各类突发事件及特殊情形，编制专项应急处置方案，明确信息传达流程、人员设备调配方式及岗位责任分工；同时建立常态化应急工作预案，储备固定作业人员与应急物资，遇自然灾害、紧急任务、突击保障等情况，须第一时间响应采购人调度安排，主动配合加班作业，确保各项应急保障工作按时保质落实到位。</w:t>
      </w:r>
    </w:p>
    <w:p w14:paraId="58A787D8">
      <w:pPr>
        <w:pStyle w:val="13"/>
        <w:numPr>
          <w:ilvl w:val="0"/>
          <w:numId w:val="11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default" w:ascii="宋体" w:hAnsi="宋体" w:cs="宋体"/>
          <w:iCs/>
          <w:color w:val="auto"/>
          <w:kern w:val="2"/>
          <w:sz w:val="21"/>
          <w:szCs w:val="21"/>
          <w:highlight w:val="none"/>
          <w:lang w:val="en-US" w:eastAsia="zh-CN" w:bidi="ar-SA"/>
        </w:rPr>
        <w:t>在接到采购人、属地社区的现场处置及协助工作通知后，须及时安排管理人员到场跟进，全程配合开展相关处置工作。若现场问题无法即时完成整改处理，工作人员需在规定时限内，及时向采购人及属地社区反馈整改进度与处置结果。</w:t>
      </w:r>
    </w:p>
    <w:p w14:paraId="4ACED488">
      <w:pPr>
        <w:pStyle w:val="13"/>
        <w:numPr>
          <w:ilvl w:val="0"/>
          <w:numId w:val="11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default" w:ascii="宋体" w:hAnsi="宋体" w:cs="宋体"/>
          <w:iCs/>
          <w:color w:val="auto"/>
          <w:kern w:val="2"/>
          <w:sz w:val="21"/>
          <w:szCs w:val="21"/>
          <w:highlight w:val="none"/>
          <w:lang w:val="en-US" w:eastAsia="zh-CN" w:bidi="ar-SA"/>
        </w:rPr>
        <w:t>须自觉接受并积极配合采购人、属地社区、专项检查组、疾控部门及相关职能部门的日常监督、现场检查与业务指导。同时主动服从</w:t>
      </w:r>
      <w:r>
        <w:rPr>
          <w:rFonts w:hint="eastAsia" w:ascii="宋体" w:hAnsi="宋体" w:cs="宋体"/>
          <w:iCs/>
          <w:color w:val="auto"/>
          <w:kern w:val="2"/>
          <w:sz w:val="21"/>
          <w:szCs w:val="21"/>
          <w:highlight w:val="none"/>
          <w:lang w:val="en-US" w:eastAsia="zh-CN" w:bidi="ar-SA"/>
        </w:rPr>
        <w:t>甲方</w:t>
      </w:r>
      <w:r>
        <w:rPr>
          <w:rFonts w:hint="default" w:ascii="宋体" w:hAnsi="宋体" w:cs="宋体"/>
          <w:iCs/>
          <w:color w:val="auto"/>
          <w:kern w:val="2"/>
          <w:sz w:val="21"/>
          <w:szCs w:val="21"/>
          <w:highlight w:val="none"/>
          <w:lang w:val="en-US" w:eastAsia="zh-CN" w:bidi="ar-SA"/>
        </w:rPr>
        <w:t>安排的各类突击整治、迎检保障</w:t>
      </w:r>
      <w:r>
        <w:rPr>
          <w:rFonts w:hint="eastAsia" w:ascii="宋体" w:hAnsi="宋体" w:cs="宋体"/>
          <w:iCs/>
          <w:color w:val="auto"/>
          <w:kern w:val="2"/>
          <w:sz w:val="21"/>
          <w:szCs w:val="21"/>
          <w:highlight w:val="none"/>
          <w:lang w:val="en-US" w:eastAsia="zh-CN" w:bidi="ar-SA"/>
        </w:rPr>
        <w:t>、上级文件要求</w:t>
      </w:r>
      <w:r>
        <w:rPr>
          <w:rFonts w:hint="default" w:ascii="宋体" w:hAnsi="宋体" w:cs="宋体"/>
          <w:iCs/>
          <w:color w:val="auto"/>
          <w:kern w:val="2"/>
          <w:sz w:val="21"/>
          <w:szCs w:val="21"/>
          <w:highlight w:val="none"/>
          <w:lang w:val="en-US" w:eastAsia="zh-CN" w:bidi="ar-SA"/>
        </w:rPr>
        <w:t>等临时工作任务，严格按照工作标准与时限要求，保质保量完成各项分配工作。</w:t>
      </w:r>
    </w:p>
    <w:p w14:paraId="43BCE8CD">
      <w:pPr>
        <w:pStyle w:val="13"/>
        <w:numPr>
          <w:ilvl w:val="0"/>
          <w:numId w:val="11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default" w:ascii="宋体" w:hAnsi="宋体" w:cs="宋体"/>
          <w:iCs/>
          <w:color w:val="auto"/>
          <w:kern w:val="2"/>
          <w:sz w:val="21"/>
          <w:szCs w:val="21"/>
          <w:highlight w:val="none"/>
          <w:lang w:val="en-US" w:eastAsia="zh-CN" w:bidi="ar-SA"/>
        </w:rPr>
        <w:t>需定期组织全员岗前培训，内容涵盖作业安全规范、交通出行准则、消防安全常识、服务质量标准及实操操作技能等内容。要求全体作业人员熟知岗位职责、作业区域、工作时段、服务要求及质量标准；作业前统一规范着装，保持仪容整洁，佩戴工作证件，备齐作业工具，准时抵达作业点位开展工作。所有人员须经培训考核合格后方可上岗作业</w:t>
      </w:r>
      <w:r>
        <w:rPr>
          <w:rFonts w:hint="eastAsia" w:ascii="宋体" w:hAnsi="宋体" w:cs="宋体"/>
          <w:iCs/>
          <w:color w:val="auto"/>
          <w:kern w:val="2"/>
          <w:sz w:val="21"/>
          <w:szCs w:val="21"/>
          <w:highlight w:val="none"/>
          <w:lang w:val="en-US" w:eastAsia="zh-CN" w:bidi="ar-SA"/>
        </w:rPr>
        <w:t>。</w:t>
      </w:r>
    </w:p>
    <w:p w14:paraId="5B66FAE8">
      <w:pPr>
        <w:pStyle w:val="13"/>
        <w:numPr>
          <w:ilvl w:val="0"/>
          <w:numId w:val="11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default" w:ascii="宋体" w:hAnsi="宋体" w:cs="宋体"/>
          <w:iCs/>
          <w:color w:val="auto"/>
          <w:kern w:val="2"/>
          <w:sz w:val="21"/>
          <w:szCs w:val="21"/>
          <w:highlight w:val="none"/>
          <w:lang w:val="en-US" w:eastAsia="zh-CN" w:bidi="ar-SA"/>
        </w:rPr>
        <w:t>须要求全体员工遵纪守法，在岗期间认真履职、安全文明作业，主动接受采购人、属地社区及相关部门的监督指导，严格遵守各项管理制度与作业规范。严禁弄虚作假，不得借工作之便开展违规违纪及超出合同约定的行为。同时，除四害监督人员需全程巡查跟进各项作业质量，确保服务达到合同标准。</w:t>
      </w:r>
    </w:p>
    <w:p w14:paraId="2156C004">
      <w:pPr>
        <w:pStyle w:val="13"/>
        <w:numPr>
          <w:ilvl w:val="0"/>
          <w:numId w:val="119"/>
        </w:numPr>
        <w:snapToGrid w:val="0"/>
        <w:spacing w:line="360" w:lineRule="auto"/>
        <w:ind w:left="425" w:leftChars="0" w:hanging="425" w:firstLineChars="0"/>
        <w:contextualSpacing/>
        <w:rPr>
          <w:rFonts w:hint="default" w:ascii="宋体" w:hAnsi="宋体" w:cs="宋体"/>
          <w:iCs/>
          <w:color w:val="auto"/>
          <w:kern w:val="2"/>
          <w:sz w:val="21"/>
          <w:szCs w:val="21"/>
          <w:highlight w:val="none"/>
          <w:lang w:val="en-US" w:eastAsia="zh-CN" w:bidi="ar-SA"/>
        </w:rPr>
      </w:pPr>
      <w:r>
        <w:rPr>
          <w:rFonts w:hint="eastAsia" w:ascii="宋体" w:hAnsi="宋体" w:eastAsia="宋体" w:cs="宋体"/>
          <w:iCs/>
          <w:color w:val="auto"/>
          <w:szCs w:val="21"/>
          <w:highlight w:val="none"/>
          <w:lang w:val="en-US" w:eastAsia="zh-CN"/>
        </w:rPr>
        <w:t>乙方</w:t>
      </w:r>
      <w:r>
        <w:rPr>
          <w:rFonts w:hint="default" w:ascii="宋体" w:hAnsi="宋体" w:cs="宋体"/>
          <w:iCs/>
          <w:color w:val="auto"/>
          <w:kern w:val="2"/>
          <w:sz w:val="21"/>
          <w:szCs w:val="21"/>
          <w:highlight w:val="none"/>
          <w:lang w:val="en-US" w:eastAsia="zh-CN" w:bidi="ar-SA"/>
        </w:rPr>
        <w:t>需做好日常工作台账记录，如实填写各类巡查、作业及验收表格，安排专人负责日常检查、资料整理与归档留存。完整保存各类工作资料，确保内容真实有效，为日常检查、督导工作提供可靠依据。</w:t>
      </w:r>
    </w:p>
    <w:p w14:paraId="2E366263">
      <w:pPr>
        <w:pStyle w:val="13"/>
        <w:numPr>
          <w:ilvl w:val="0"/>
          <w:numId w:val="119"/>
        </w:numPr>
        <w:snapToGrid w:val="0"/>
        <w:spacing w:line="360" w:lineRule="auto"/>
        <w:ind w:left="425" w:leftChars="0" w:hanging="425" w:firstLineChars="0"/>
        <w:contextualSpacing/>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乙方</w:t>
      </w:r>
      <w:r>
        <w:rPr>
          <w:rFonts w:hint="eastAsia" w:ascii="宋体" w:hAnsi="宋体" w:cs="宋体"/>
          <w:iCs/>
          <w:color w:val="auto"/>
          <w:kern w:val="2"/>
          <w:sz w:val="21"/>
          <w:szCs w:val="21"/>
          <w:highlight w:val="none"/>
          <w:lang w:val="en-US" w:eastAsia="zh-CN" w:bidi="ar-SA"/>
        </w:rPr>
        <w:t>接到甲方日常及紧急处置通知后，须在2小时内抵达现场，及时开展消杀、处置等服务工作。</w:t>
      </w:r>
    </w:p>
    <w:p w14:paraId="073B89B2">
      <w:pPr>
        <w:pStyle w:val="13"/>
        <w:numPr>
          <w:ilvl w:val="0"/>
          <w:numId w:val="96"/>
        </w:numPr>
        <w:spacing w:before="217" w:beforeLines="50"/>
        <w:ind w:firstLineChars="0"/>
        <w:rPr>
          <w:rFonts w:hint="eastAsia" w:ascii="宋体" w:hAnsi="宋体" w:eastAsia="宋体"/>
          <w:b/>
          <w:color w:val="000000" w:themeColor="text1"/>
          <w:spacing w:val="20"/>
          <w:szCs w:val="21"/>
          <w:highlight w:val="none"/>
          <w:lang w:val="en-US" w:eastAsia="zh-CN"/>
          <w14:textFill>
            <w14:solidFill>
              <w14:schemeClr w14:val="tx1"/>
            </w14:solidFill>
          </w14:textFill>
        </w:rPr>
      </w:pPr>
      <w:r>
        <w:rPr>
          <w:rFonts w:hint="eastAsia" w:ascii="宋体" w:hAnsi="宋体" w:eastAsia="宋体"/>
          <w:b/>
          <w:color w:val="000000" w:themeColor="text1"/>
          <w:spacing w:val="20"/>
          <w:szCs w:val="21"/>
          <w:highlight w:val="none"/>
          <w:lang w:val="en-US" w:eastAsia="zh-CN"/>
          <w14:textFill>
            <w14:solidFill>
              <w14:schemeClr w14:val="tx1"/>
            </w14:solidFill>
          </w14:textFill>
        </w:rPr>
        <w:t>综合考评</w:t>
      </w:r>
    </w:p>
    <w:p w14:paraId="6C8B9664">
      <w:pPr>
        <w:pStyle w:val="13"/>
        <w:numPr>
          <w:ilvl w:val="0"/>
          <w:numId w:val="120"/>
        </w:numPr>
        <w:snapToGrid w:val="0"/>
        <w:spacing w:line="360" w:lineRule="auto"/>
        <w:ind w:left="425" w:leftChars="0" w:hanging="425" w:firstLineChars="0"/>
        <w:contextualSpacing/>
        <w:rPr>
          <w:rFonts w:hint="eastAsia" w:ascii="宋体" w:hAnsi="宋体" w:eastAsia="宋体" w:cs="宋体"/>
          <w:iCs/>
          <w:color w:val="auto"/>
          <w:szCs w:val="21"/>
          <w:highlight w:val="none"/>
        </w:rPr>
      </w:pPr>
      <w:r>
        <w:rPr>
          <w:rFonts w:hint="eastAsia"/>
          <w:highlight w:val="none"/>
          <w:lang w:val="en-US" w:eastAsia="zh-CN"/>
        </w:rPr>
        <w:t>附件1：</w:t>
      </w:r>
      <w:r>
        <w:rPr>
          <w:rFonts w:hint="eastAsia" w:ascii="宋体" w:hAnsi="宋体" w:eastAsia="宋体" w:cs="宋体"/>
          <w:iCs/>
          <w:color w:val="auto"/>
          <w:szCs w:val="21"/>
          <w:highlight w:val="none"/>
          <w:lang w:val="en-US" w:eastAsia="zh-CN"/>
        </w:rPr>
        <w:t>《</w:t>
      </w:r>
      <w:r>
        <w:rPr>
          <w:rFonts w:hint="eastAsia" w:ascii="宋体" w:hAnsi="宋体" w:eastAsia="宋体" w:cs="宋体"/>
          <w:iCs/>
          <w:color w:val="auto"/>
          <w:szCs w:val="21"/>
          <w:highlight w:val="none"/>
          <w:lang w:eastAsia="zh-CN"/>
        </w:rPr>
        <w:t>石龙镇病媒生物防制考核评分表</w:t>
      </w:r>
      <w:r>
        <w:rPr>
          <w:rFonts w:hint="eastAsia" w:ascii="宋体" w:hAnsi="宋体" w:eastAsia="宋体" w:cs="宋体"/>
          <w:iCs/>
          <w:color w:val="auto"/>
          <w:szCs w:val="21"/>
          <w:highlight w:val="none"/>
          <w:lang w:val="en-US" w:eastAsia="zh-CN"/>
        </w:rPr>
        <w:t>》</w:t>
      </w:r>
    </w:p>
    <w:tbl>
      <w:tblPr>
        <w:tblStyle w:val="6"/>
        <w:tblW w:w="4821" w:type="pct"/>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39"/>
        <w:gridCol w:w="708"/>
        <w:gridCol w:w="3889"/>
        <w:gridCol w:w="600"/>
        <w:gridCol w:w="2533"/>
        <w:gridCol w:w="431"/>
        <w:gridCol w:w="378"/>
      </w:tblGrid>
      <w:tr w14:paraId="4C57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44" w:type="pct"/>
            <w:shd w:val="clear" w:color="auto" w:fill="auto"/>
            <w:tcMar>
              <w:top w:w="120" w:type="dxa"/>
              <w:left w:w="120" w:type="dxa"/>
              <w:bottom w:w="120" w:type="dxa"/>
              <w:right w:w="120" w:type="dxa"/>
            </w:tcMar>
            <w:vAlign w:val="center"/>
          </w:tcPr>
          <w:p w14:paraId="4EC10A5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序号</w:t>
            </w:r>
          </w:p>
        </w:tc>
        <w:tc>
          <w:tcPr>
            <w:tcW w:w="394" w:type="pct"/>
            <w:shd w:val="clear" w:color="auto" w:fill="auto"/>
            <w:tcMar>
              <w:top w:w="120" w:type="dxa"/>
              <w:left w:w="120" w:type="dxa"/>
              <w:bottom w:w="120" w:type="dxa"/>
              <w:right w:w="120" w:type="dxa"/>
            </w:tcMar>
            <w:vAlign w:val="center"/>
          </w:tcPr>
          <w:p w14:paraId="2E65394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考核项目</w:t>
            </w:r>
          </w:p>
        </w:tc>
        <w:tc>
          <w:tcPr>
            <w:tcW w:w="2165" w:type="pct"/>
            <w:shd w:val="clear" w:color="auto" w:fill="auto"/>
            <w:tcMar>
              <w:top w:w="120" w:type="dxa"/>
              <w:left w:w="120" w:type="dxa"/>
              <w:bottom w:w="120" w:type="dxa"/>
              <w:right w:w="120" w:type="dxa"/>
            </w:tcMar>
            <w:vAlign w:val="center"/>
          </w:tcPr>
          <w:p w14:paraId="22631BC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考核内容</w:t>
            </w:r>
          </w:p>
        </w:tc>
        <w:tc>
          <w:tcPr>
            <w:tcW w:w="334" w:type="pct"/>
            <w:shd w:val="clear" w:color="auto" w:fill="auto"/>
            <w:tcMar>
              <w:top w:w="120" w:type="dxa"/>
              <w:left w:w="120" w:type="dxa"/>
              <w:bottom w:w="120" w:type="dxa"/>
              <w:right w:w="120" w:type="dxa"/>
            </w:tcMar>
            <w:vAlign w:val="center"/>
          </w:tcPr>
          <w:p w14:paraId="5521BDC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分值</w:t>
            </w:r>
          </w:p>
        </w:tc>
        <w:tc>
          <w:tcPr>
            <w:tcW w:w="1410" w:type="pct"/>
            <w:shd w:val="clear" w:color="auto" w:fill="auto"/>
            <w:tcMar>
              <w:top w:w="120" w:type="dxa"/>
              <w:left w:w="120" w:type="dxa"/>
              <w:bottom w:w="120" w:type="dxa"/>
              <w:right w:w="120" w:type="dxa"/>
            </w:tcMar>
            <w:vAlign w:val="center"/>
          </w:tcPr>
          <w:p w14:paraId="0317B3B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扣分标准</w:t>
            </w:r>
          </w:p>
        </w:tc>
        <w:tc>
          <w:tcPr>
            <w:tcW w:w="240" w:type="pct"/>
            <w:shd w:val="clear" w:color="auto" w:fill="auto"/>
            <w:tcMar>
              <w:top w:w="120" w:type="dxa"/>
              <w:left w:w="120" w:type="dxa"/>
              <w:bottom w:w="120" w:type="dxa"/>
              <w:right w:w="120" w:type="dxa"/>
            </w:tcMar>
            <w:vAlign w:val="center"/>
          </w:tcPr>
          <w:p w14:paraId="78F4D70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考核扣分</w:t>
            </w:r>
          </w:p>
        </w:tc>
        <w:tc>
          <w:tcPr>
            <w:tcW w:w="210" w:type="pct"/>
            <w:shd w:val="clear" w:color="auto" w:fill="auto"/>
            <w:tcMar>
              <w:top w:w="120" w:type="dxa"/>
              <w:left w:w="120" w:type="dxa"/>
              <w:bottom w:w="120" w:type="dxa"/>
              <w:right w:w="120" w:type="dxa"/>
            </w:tcMar>
            <w:vAlign w:val="center"/>
          </w:tcPr>
          <w:p w14:paraId="3E51298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备注</w:t>
            </w:r>
          </w:p>
        </w:tc>
      </w:tr>
      <w:tr w14:paraId="6D66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9" w:hRule="atLeast"/>
        </w:trPr>
        <w:tc>
          <w:tcPr>
            <w:tcW w:w="244" w:type="pct"/>
            <w:vMerge w:val="restart"/>
            <w:shd w:val="clear" w:color="auto" w:fill="auto"/>
            <w:tcMar>
              <w:top w:w="120" w:type="dxa"/>
              <w:left w:w="120" w:type="dxa"/>
              <w:bottom w:w="120" w:type="dxa"/>
              <w:right w:w="120" w:type="dxa"/>
            </w:tcMar>
            <w:vAlign w:val="center"/>
          </w:tcPr>
          <w:p w14:paraId="570A5D2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一</w:t>
            </w:r>
          </w:p>
        </w:tc>
        <w:tc>
          <w:tcPr>
            <w:tcW w:w="394" w:type="pct"/>
            <w:vMerge w:val="restart"/>
            <w:shd w:val="clear" w:color="auto" w:fill="auto"/>
            <w:tcMar>
              <w:top w:w="120" w:type="dxa"/>
              <w:left w:w="120" w:type="dxa"/>
              <w:bottom w:w="120" w:type="dxa"/>
              <w:right w:w="120" w:type="dxa"/>
            </w:tcMar>
            <w:vAlign w:val="center"/>
          </w:tcPr>
          <w:p w14:paraId="40B449C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人员与综合管理</w:t>
            </w:r>
          </w:p>
        </w:tc>
        <w:tc>
          <w:tcPr>
            <w:tcW w:w="2165" w:type="pct"/>
            <w:shd w:val="clear" w:color="auto" w:fill="auto"/>
            <w:tcMar>
              <w:top w:w="120" w:type="dxa"/>
              <w:left w:w="120" w:type="dxa"/>
              <w:bottom w:w="120" w:type="dxa"/>
              <w:right w:w="120" w:type="dxa"/>
            </w:tcMar>
            <w:vAlign w:val="center"/>
          </w:tcPr>
          <w:p w14:paraId="679D2B1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w:t>
            </w:r>
            <w:r>
              <w:rPr>
                <w:rFonts w:hint="eastAsia" w:ascii="宋体" w:hAnsi="宋体" w:cs="宋体"/>
                <w:iCs/>
                <w:color w:val="auto"/>
                <w:kern w:val="2"/>
                <w:sz w:val="21"/>
                <w:szCs w:val="21"/>
                <w:highlight w:val="none"/>
                <w:lang w:val="en-US" w:eastAsia="zh-CN" w:bidi="ar-SA"/>
              </w:rPr>
              <w:t>成交人</w:t>
            </w:r>
            <w:r>
              <w:rPr>
                <w:rFonts w:hint="eastAsia" w:ascii="宋体" w:hAnsi="宋体" w:eastAsia="宋体" w:cs="宋体"/>
                <w:iCs/>
                <w:color w:val="auto"/>
                <w:sz w:val="21"/>
                <w:szCs w:val="21"/>
                <w:highlight w:val="none"/>
                <w:lang w:val="en-US" w:eastAsia="zh-CN"/>
              </w:rPr>
              <w:t>须固定管理人员及专业作业人员全程提供服务，所有人员须持有效上岗证、专业技术证书，不得擅自更换投标备案人员，更换需提前经采购人同意。</w:t>
            </w:r>
          </w:p>
        </w:tc>
        <w:tc>
          <w:tcPr>
            <w:tcW w:w="334" w:type="pct"/>
            <w:shd w:val="clear" w:color="auto" w:fill="auto"/>
            <w:tcMar>
              <w:top w:w="120" w:type="dxa"/>
              <w:left w:w="120" w:type="dxa"/>
              <w:bottom w:w="120" w:type="dxa"/>
              <w:right w:w="120" w:type="dxa"/>
            </w:tcMar>
            <w:vAlign w:val="center"/>
          </w:tcPr>
          <w:p w14:paraId="5133E395">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765B634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每发现1次不符合要求，扣1分，扣完为止。</w:t>
            </w:r>
          </w:p>
        </w:tc>
        <w:tc>
          <w:tcPr>
            <w:tcW w:w="240" w:type="pct"/>
            <w:shd w:val="clear" w:color="auto" w:fill="auto"/>
            <w:tcMar>
              <w:top w:w="120" w:type="dxa"/>
              <w:left w:w="120" w:type="dxa"/>
              <w:bottom w:w="120" w:type="dxa"/>
              <w:right w:w="120" w:type="dxa"/>
            </w:tcMar>
            <w:vAlign w:val="center"/>
          </w:tcPr>
          <w:p w14:paraId="16F8D35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2D72BA0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454E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 w:hRule="atLeast"/>
        </w:trPr>
        <w:tc>
          <w:tcPr>
            <w:tcW w:w="244" w:type="pct"/>
            <w:vMerge w:val="continue"/>
            <w:shd w:val="clear" w:color="auto" w:fill="auto"/>
            <w:tcMar>
              <w:top w:w="120" w:type="dxa"/>
              <w:left w:w="120" w:type="dxa"/>
              <w:bottom w:w="120" w:type="dxa"/>
              <w:right w:w="120" w:type="dxa"/>
            </w:tcMar>
            <w:vAlign w:val="center"/>
          </w:tcPr>
          <w:p w14:paraId="5F0176B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34B2513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4C6B0D7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2.作业人员须统一着装、佩戴标识上岗。</w:t>
            </w:r>
          </w:p>
        </w:tc>
        <w:tc>
          <w:tcPr>
            <w:tcW w:w="334" w:type="pct"/>
            <w:shd w:val="clear" w:color="auto" w:fill="auto"/>
            <w:tcMar>
              <w:top w:w="120" w:type="dxa"/>
              <w:left w:w="120" w:type="dxa"/>
              <w:bottom w:w="120" w:type="dxa"/>
              <w:right w:w="120" w:type="dxa"/>
            </w:tcMar>
            <w:vAlign w:val="center"/>
          </w:tcPr>
          <w:p w14:paraId="5F15D6C3">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default"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57E0C32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每发现1人未按要求着装、佩戴标识，扣0.5分，扣完为止。</w:t>
            </w:r>
          </w:p>
        </w:tc>
        <w:tc>
          <w:tcPr>
            <w:tcW w:w="240" w:type="pct"/>
            <w:shd w:val="clear" w:color="auto" w:fill="auto"/>
            <w:tcMar>
              <w:top w:w="120" w:type="dxa"/>
              <w:left w:w="120" w:type="dxa"/>
              <w:bottom w:w="120" w:type="dxa"/>
              <w:right w:w="120" w:type="dxa"/>
            </w:tcMar>
            <w:vAlign w:val="center"/>
          </w:tcPr>
          <w:p w14:paraId="5775F50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93FA1A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6AD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8" w:hRule="atLeast"/>
        </w:trPr>
        <w:tc>
          <w:tcPr>
            <w:tcW w:w="244" w:type="pct"/>
            <w:vMerge w:val="continue"/>
            <w:shd w:val="clear" w:color="auto" w:fill="auto"/>
            <w:tcMar>
              <w:top w:w="120" w:type="dxa"/>
              <w:left w:w="120" w:type="dxa"/>
              <w:bottom w:w="120" w:type="dxa"/>
              <w:right w:w="120" w:type="dxa"/>
            </w:tcMar>
            <w:vAlign w:val="center"/>
          </w:tcPr>
          <w:p w14:paraId="7A88DEB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05A88DD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79AB684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3.工作人员数量需符合投标文件承诺标准。</w:t>
            </w:r>
          </w:p>
        </w:tc>
        <w:tc>
          <w:tcPr>
            <w:tcW w:w="334" w:type="pct"/>
            <w:shd w:val="clear" w:color="auto" w:fill="auto"/>
            <w:tcMar>
              <w:top w:w="120" w:type="dxa"/>
              <w:left w:w="120" w:type="dxa"/>
              <w:bottom w:w="120" w:type="dxa"/>
              <w:right w:w="120" w:type="dxa"/>
            </w:tcMar>
            <w:vAlign w:val="center"/>
          </w:tcPr>
          <w:p w14:paraId="125D0509">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1DD73BB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人员数量每少1人，扣0.5分，扣完为止。</w:t>
            </w:r>
          </w:p>
        </w:tc>
        <w:tc>
          <w:tcPr>
            <w:tcW w:w="240" w:type="pct"/>
            <w:shd w:val="clear" w:color="auto" w:fill="auto"/>
            <w:tcMar>
              <w:top w:w="120" w:type="dxa"/>
              <w:left w:w="120" w:type="dxa"/>
              <w:bottom w:w="120" w:type="dxa"/>
              <w:right w:w="120" w:type="dxa"/>
            </w:tcMar>
            <w:vAlign w:val="center"/>
          </w:tcPr>
          <w:p w14:paraId="4E0DEFC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769488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5088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49" w:hRule="atLeast"/>
        </w:trPr>
        <w:tc>
          <w:tcPr>
            <w:tcW w:w="244" w:type="pct"/>
            <w:vMerge w:val="continue"/>
            <w:shd w:val="clear" w:color="auto" w:fill="auto"/>
            <w:tcMar>
              <w:top w:w="120" w:type="dxa"/>
              <w:left w:w="120" w:type="dxa"/>
              <w:bottom w:w="120" w:type="dxa"/>
              <w:right w:w="120" w:type="dxa"/>
            </w:tcMar>
            <w:vAlign w:val="center"/>
          </w:tcPr>
          <w:p w14:paraId="3664E29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2AFC81B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2A9941A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4.工作人员须持证上岗，文明作业，与群众保持良好沟通，无有效投诉。</w:t>
            </w:r>
          </w:p>
        </w:tc>
        <w:tc>
          <w:tcPr>
            <w:tcW w:w="334" w:type="pct"/>
            <w:shd w:val="clear" w:color="auto" w:fill="auto"/>
            <w:tcMar>
              <w:top w:w="120" w:type="dxa"/>
              <w:left w:w="120" w:type="dxa"/>
              <w:bottom w:w="120" w:type="dxa"/>
              <w:right w:w="120" w:type="dxa"/>
            </w:tcMar>
            <w:vAlign w:val="center"/>
          </w:tcPr>
          <w:p w14:paraId="31C1CC47">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default" w:ascii="宋体" w:hAnsi="宋体" w:eastAsia="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31DDCA9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无证上岗每人次扣0.5分；经查实的群众有效投诉，每次扣0.5分，扣完为止。</w:t>
            </w:r>
          </w:p>
        </w:tc>
        <w:tc>
          <w:tcPr>
            <w:tcW w:w="240" w:type="pct"/>
            <w:shd w:val="clear" w:color="auto" w:fill="auto"/>
            <w:tcMar>
              <w:top w:w="120" w:type="dxa"/>
              <w:left w:w="120" w:type="dxa"/>
              <w:bottom w:w="120" w:type="dxa"/>
              <w:right w:w="120" w:type="dxa"/>
            </w:tcMar>
            <w:vAlign w:val="center"/>
          </w:tcPr>
          <w:p w14:paraId="66270AC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70873C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62A3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2" w:hRule="atLeast"/>
        </w:trPr>
        <w:tc>
          <w:tcPr>
            <w:tcW w:w="244" w:type="pct"/>
            <w:vMerge w:val="continue"/>
            <w:shd w:val="clear" w:color="auto" w:fill="auto"/>
            <w:tcMar>
              <w:top w:w="120" w:type="dxa"/>
              <w:left w:w="120" w:type="dxa"/>
              <w:bottom w:w="120" w:type="dxa"/>
              <w:right w:w="120" w:type="dxa"/>
            </w:tcMar>
            <w:vAlign w:val="center"/>
          </w:tcPr>
          <w:p w14:paraId="0F328C3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736E2F8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7C55CD3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5.每月按要求</w:t>
            </w:r>
            <w:r>
              <w:rPr>
                <w:rFonts w:hint="eastAsia" w:ascii="宋体" w:hAnsi="宋体" w:cs="宋体"/>
                <w:iCs/>
                <w:color w:val="auto"/>
                <w:sz w:val="21"/>
                <w:szCs w:val="21"/>
                <w:highlight w:val="none"/>
                <w:lang w:val="en-US" w:eastAsia="zh-CN"/>
              </w:rPr>
              <w:t>（包括次数和标准等）</w:t>
            </w:r>
            <w:r>
              <w:rPr>
                <w:rFonts w:hint="eastAsia" w:ascii="宋体" w:hAnsi="宋体" w:eastAsia="宋体" w:cs="宋体"/>
                <w:iCs/>
                <w:color w:val="auto"/>
                <w:sz w:val="21"/>
                <w:szCs w:val="21"/>
                <w:highlight w:val="none"/>
                <w:lang w:val="en-US" w:eastAsia="zh-CN"/>
              </w:rPr>
              <w:t>完成除“四害”消杀行动，留存完整作业台账、工作记录。</w:t>
            </w:r>
          </w:p>
        </w:tc>
        <w:tc>
          <w:tcPr>
            <w:tcW w:w="334" w:type="pct"/>
            <w:shd w:val="clear" w:color="auto" w:fill="auto"/>
            <w:tcMar>
              <w:top w:w="120" w:type="dxa"/>
              <w:left w:w="120" w:type="dxa"/>
              <w:bottom w:w="120" w:type="dxa"/>
              <w:right w:w="120" w:type="dxa"/>
            </w:tcMar>
            <w:vAlign w:val="center"/>
          </w:tcPr>
          <w:p w14:paraId="77F9A0A8">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2E33770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未按要求开展月度消杀、无完整行动台账，每次扣2分，扣完为止。</w:t>
            </w:r>
          </w:p>
        </w:tc>
        <w:tc>
          <w:tcPr>
            <w:tcW w:w="240" w:type="pct"/>
            <w:shd w:val="clear" w:color="auto" w:fill="auto"/>
            <w:tcMar>
              <w:top w:w="120" w:type="dxa"/>
              <w:left w:w="120" w:type="dxa"/>
              <w:bottom w:w="120" w:type="dxa"/>
              <w:right w:w="120" w:type="dxa"/>
            </w:tcMar>
            <w:vAlign w:val="center"/>
          </w:tcPr>
          <w:p w14:paraId="4E87BA0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75D998A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5F66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9" w:hRule="atLeast"/>
        </w:trPr>
        <w:tc>
          <w:tcPr>
            <w:tcW w:w="244" w:type="pct"/>
            <w:vMerge w:val="continue"/>
            <w:shd w:val="clear" w:color="auto" w:fill="auto"/>
            <w:tcMar>
              <w:top w:w="120" w:type="dxa"/>
              <w:left w:w="120" w:type="dxa"/>
              <w:bottom w:w="120" w:type="dxa"/>
              <w:right w:w="120" w:type="dxa"/>
            </w:tcMar>
            <w:vAlign w:val="center"/>
          </w:tcPr>
          <w:p w14:paraId="3B9A591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15EA275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6434D6C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6.积极配合采购人各级检查、督导工作，及时处置突发问题，无被上级通报、媒体曝光、群众负面反馈情况。</w:t>
            </w:r>
          </w:p>
        </w:tc>
        <w:tc>
          <w:tcPr>
            <w:tcW w:w="334" w:type="pct"/>
            <w:shd w:val="clear" w:color="auto" w:fill="auto"/>
            <w:tcMar>
              <w:top w:w="120" w:type="dxa"/>
              <w:left w:w="120" w:type="dxa"/>
              <w:bottom w:w="120" w:type="dxa"/>
              <w:right w:w="120" w:type="dxa"/>
            </w:tcMar>
            <w:vAlign w:val="center"/>
          </w:tcPr>
          <w:p w14:paraId="4C18D019">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5</w:t>
            </w:r>
          </w:p>
        </w:tc>
        <w:tc>
          <w:tcPr>
            <w:tcW w:w="1410" w:type="pct"/>
            <w:shd w:val="clear" w:color="auto" w:fill="auto"/>
            <w:tcMar>
              <w:top w:w="120" w:type="dxa"/>
              <w:left w:w="120" w:type="dxa"/>
              <w:bottom w:w="120" w:type="dxa"/>
              <w:right w:w="120" w:type="dxa"/>
            </w:tcMar>
            <w:vAlign w:val="center"/>
          </w:tcPr>
          <w:p w14:paraId="5D97487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未配合检查、出现批评投诉、媒体曝光等情况，经查实每次扣1分，扣完为止。</w:t>
            </w:r>
          </w:p>
        </w:tc>
        <w:tc>
          <w:tcPr>
            <w:tcW w:w="240" w:type="pct"/>
            <w:shd w:val="clear" w:color="auto" w:fill="auto"/>
            <w:tcMar>
              <w:top w:w="120" w:type="dxa"/>
              <w:left w:w="120" w:type="dxa"/>
              <w:bottom w:w="120" w:type="dxa"/>
              <w:right w:w="120" w:type="dxa"/>
            </w:tcMar>
            <w:vAlign w:val="center"/>
          </w:tcPr>
          <w:p w14:paraId="5F55C81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2F0ED54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7512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82" w:hRule="atLeast"/>
        </w:trPr>
        <w:tc>
          <w:tcPr>
            <w:tcW w:w="244" w:type="pct"/>
            <w:vMerge w:val="continue"/>
            <w:shd w:val="clear" w:color="auto" w:fill="auto"/>
            <w:tcMar>
              <w:top w:w="120" w:type="dxa"/>
              <w:left w:w="120" w:type="dxa"/>
              <w:bottom w:w="120" w:type="dxa"/>
              <w:right w:w="120" w:type="dxa"/>
            </w:tcMar>
            <w:vAlign w:val="center"/>
          </w:tcPr>
          <w:p w14:paraId="27C9814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6EABCB5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12E3A36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7.所用消杀药物、器具须符合国家行业标准，具备正规合格证明，药品三证齐全，作业方式规范合规。</w:t>
            </w:r>
          </w:p>
        </w:tc>
        <w:tc>
          <w:tcPr>
            <w:tcW w:w="334" w:type="pct"/>
            <w:shd w:val="clear" w:color="auto" w:fill="auto"/>
            <w:tcMar>
              <w:top w:w="120" w:type="dxa"/>
              <w:left w:w="120" w:type="dxa"/>
              <w:bottom w:w="120" w:type="dxa"/>
              <w:right w:w="120" w:type="dxa"/>
            </w:tcMar>
            <w:vAlign w:val="center"/>
          </w:tcPr>
          <w:p w14:paraId="731A59C3">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3</w:t>
            </w:r>
          </w:p>
        </w:tc>
        <w:tc>
          <w:tcPr>
            <w:tcW w:w="1410" w:type="pct"/>
            <w:shd w:val="clear" w:color="auto" w:fill="auto"/>
            <w:tcMar>
              <w:top w:w="120" w:type="dxa"/>
              <w:left w:w="120" w:type="dxa"/>
              <w:bottom w:w="120" w:type="dxa"/>
              <w:right w:w="120" w:type="dxa"/>
            </w:tcMar>
            <w:vAlign w:val="center"/>
          </w:tcPr>
          <w:p w14:paraId="334C85C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每发现1次药品无合格证明、作业方式不规范，扣1分，扣完为止。</w:t>
            </w:r>
          </w:p>
        </w:tc>
        <w:tc>
          <w:tcPr>
            <w:tcW w:w="240" w:type="pct"/>
            <w:shd w:val="clear" w:color="auto" w:fill="auto"/>
            <w:tcMar>
              <w:top w:w="120" w:type="dxa"/>
              <w:left w:w="120" w:type="dxa"/>
              <w:bottom w:w="120" w:type="dxa"/>
              <w:right w:w="120" w:type="dxa"/>
            </w:tcMar>
            <w:vAlign w:val="center"/>
          </w:tcPr>
          <w:p w14:paraId="7DB9D87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00B8CAD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7446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184A272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41D4741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4998AF6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8.严格遵守采购人各项管理规章制度，服从日常监督管理。</w:t>
            </w:r>
          </w:p>
        </w:tc>
        <w:tc>
          <w:tcPr>
            <w:tcW w:w="334" w:type="pct"/>
            <w:shd w:val="clear" w:color="auto" w:fill="auto"/>
            <w:tcMar>
              <w:top w:w="120" w:type="dxa"/>
              <w:left w:w="120" w:type="dxa"/>
              <w:bottom w:w="120" w:type="dxa"/>
              <w:right w:w="120" w:type="dxa"/>
            </w:tcMar>
            <w:vAlign w:val="center"/>
          </w:tcPr>
          <w:p w14:paraId="01910827">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default"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1B75126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违反管理规定，每次扣2分，扣完为止。</w:t>
            </w:r>
          </w:p>
        </w:tc>
        <w:tc>
          <w:tcPr>
            <w:tcW w:w="240" w:type="pct"/>
            <w:shd w:val="clear" w:color="auto" w:fill="auto"/>
            <w:tcMar>
              <w:top w:w="120" w:type="dxa"/>
              <w:left w:w="120" w:type="dxa"/>
              <w:bottom w:w="120" w:type="dxa"/>
              <w:right w:w="120" w:type="dxa"/>
            </w:tcMar>
            <w:vAlign w:val="center"/>
          </w:tcPr>
          <w:p w14:paraId="0DBA1D0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4F87CFC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3809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8" w:hRule="atLeast"/>
        </w:trPr>
        <w:tc>
          <w:tcPr>
            <w:tcW w:w="244" w:type="pct"/>
            <w:vMerge w:val="continue"/>
            <w:shd w:val="clear" w:color="auto" w:fill="auto"/>
            <w:tcMar>
              <w:top w:w="120" w:type="dxa"/>
              <w:left w:w="120" w:type="dxa"/>
              <w:bottom w:w="120" w:type="dxa"/>
              <w:right w:w="120" w:type="dxa"/>
            </w:tcMar>
            <w:vAlign w:val="center"/>
          </w:tcPr>
          <w:p w14:paraId="63862ED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7CF93A1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3B5FB38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9.节假日（春节、元旦、五一、国庆等）及重大活动期间，需提前落实专项除“四害”保障消杀工作。</w:t>
            </w:r>
          </w:p>
        </w:tc>
        <w:tc>
          <w:tcPr>
            <w:tcW w:w="334" w:type="pct"/>
            <w:shd w:val="clear" w:color="auto" w:fill="auto"/>
            <w:tcMar>
              <w:top w:w="120" w:type="dxa"/>
              <w:left w:w="120" w:type="dxa"/>
              <w:bottom w:w="120" w:type="dxa"/>
              <w:right w:w="120" w:type="dxa"/>
            </w:tcMar>
            <w:vAlign w:val="center"/>
          </w:tcPr>
          <w:p w14:paraId="1E1C767D">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default" w:ascii="宋体" w:hAnsi="宋体" w:eastAsia="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2D99A78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未按要求完成节假日、专项重点消杀保障工作，每次扣2分。</w:t>
            </w:r>
          </w:p>
        </w:tc>
        <w:tc>
          <w:tcPr>
            <w:tcW w:w="240" w:type="pct"/>
            <w:shd w:val="clear" w:color="auto" w:fill="auto"/>
            <w:tcMar>
              <w:top w:w="120" w:type="dxa"/>
              <w:left w:w="120" w:type="dxa"/>
              <w:bottom w:w="120" w:type="dxa"/>
              <w:right w:w="120" w:type="dxa"/>
            </w:tcMar>
            <w:vAlign w:val="center"/>
          </w:tcPr>
          <w:p w14:paraId="2CD812A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1064073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7B8D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80" w:hRule="atLeast"/>
        </w:trPr>
        <w:tc>
          <w:tcPr>
            <w:tcW w:w="244" w:type="pct"/>
            <w:vMerge w:val="continue"/>
            <w:shd w:val="clear" w:color="auto" w:fill="auto"/>
            <w:tcMar>
              <w:top w:w="120" w:type="dxa"/>
              <w:left w:w="120" w:type="dxa"/>
              <w:bottom w:w="120" w:type="dxa"/>
              <w:right w:w="120" w:type="dxa"/>
            </w:tcMar>
            <w:vAlign w:val="center"/>
          </w:tcPr>
          <w:p w14:paraId="41DB797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7FD5F32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5620F65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10.建立完善安全生产、现场管理制度，作业全程文明安全。</w:t>
            </w:r>
          </w:p>
        </w:tc>
        <w:tc>
          <w:tcPr>
            <w:tcW w:w="334" w:type="pct"/>
            <w:shd w:val="clear" w:color="auto" w:fill="auto"/>
            <w:tcMar>
              <w:top w:w="120" w:type="dxa"/>
              <w:left w:w="120" w:type="dxa"/>
              <w:bottom w:w="120" w:type="dxa"/>
              <w:right w:w="120" w:type="dxa"/>
            </w:tcMar>
            <w:vAlign w:val="center"/>
          </w:tcPr>
          <w:p w14:paraId="0E38B3CC">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2</w:t>
            </w:r>
          </w:p>
        </w:tc>
        <w:tc>
          <w:tcPr>
            <w:tcW w:w="1410" w:type="pct"/>
            <w:shd w:val="clear" w:color="auto" w:fill="auto"/>
            <w:tcMar>
              <w:top w:w="120" w:type="dxa"/>
              <w:left w:w="120" w:type="dxa"/>
              <w:bottom w:w="120" w:type="dxa"/>
              <w:right w:w="120" w:type="dxa"/>
            </w:tcMar>
            <w:vAlign w:val="center"/>
          </w:tcPr>
          <w:p w14:paraId="5C7340E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管理制度缺失、现场作业不规范，不符合要求扣1分/次，扣完为止。</w:t>
            </w:r>
          </w:p>
        </w:tc>
        <w:tc>
          <w:tcPr>
            <w:tcW w:w="240" w:type="pct"/>
            <w:shd w:val="clear" w:color="auto" w:fill="auto"/>
            <w:tcMar>
              <w:top w:w="120" w:type="dxa"/>
              <w:left w:w="120" w:type="dxa"/>
              <w:bottom w:w="120" w:type="dxa"/>
              <w:right w:w="120" w:type="dxa"/>
            </w:tcMar>
            <w:vAlign w:val="center"/>
          </w:tcPr>
          <w:p w14:paraId="62DAD48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1DEBDD9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6B46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3AB9BAF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二</w:t>
            </w:r>
          </w:p>
        </w:tc>
        <w:tc>
          <w:tcPr>
            <w:tcW w:w="394" w:type="pct"/>
            <w:vMerge w:val="restart"/>
            <w:shd w:val="clear" w:color="auto" w:fill="auto"/>
            <w:tcMar>
              <w:top w:w="120" w:type="dxa"/>
              <w:left w:w="120" w:type="dxa"/>
              <w:bottom w:w="120" w:type="dxa"/>
              <w:right w:w="120" w:type="dxa"/>
            </w:tcMar>
            <w:vAlign w:val="center"/>
          </w:tcPr>
          <w:p w14:paraId="0D8D3BB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灭鼠防治</w:t>
            </w:r>
          </w:p>
        </w:tc>
        <w:tc>
          <w:tcPr>
            <w:tcW w:w="2165" w:type="pct"/>
            <w:shd w:val="clear" w:color="auto" w:fill="auto"/>
            <w:tcMar>
              <w:top w:w="120" w:type="dxa"/>
              <w:left w:w="120" w:type="dxa"/>
              <w:bottom w:w="120" w:type="dxa"/>
              <w:right w:w="120" w:type="dxa"/>
            </w:tcMar>
            <w:vAlign w:val="center"/>
          </w:tcPr>
          <w:p w14:paraId="4DC63B5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1.粉迹法监测：每15㎡房间布放20*20cm滑石粉块，鼠迹足印阳性率低于2%。</w:t>
            </w:r>
          </w:p>
        </w:tc>
        <w:tc>
          <w:tcPr>
            <w:tcW w:w="334" w:type="pct"/>
            <w:shd w:val="clear" w:color="auto" w:fill="auto"/>
            <w:tcMar>
              <w:top w:w="120" w:type="dxa"/>
              <w:left w:w="120" w:type="dxa"/>
              <w:bottom w:w="120" w:type="dxa"/>
              <w:right w:w="120" w:type="dxa"/>
            </w:tcMar>
            <w:vAlign w:val="center"/>
          </w:tcPr>
          <w:p w14:paraId="13759336">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74B9CA9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阳性率每超出0.1% 扣1分，扣完为止。</w:t>
            </w:r>
          </w:p>
        </w:tc>
        <w:tc>
          <w:tcPr>
            <w:tcW w:w="240" w:type="pct"/>
            <w:shd w:val="clear" w:color="auto" w:fill="auto"/>
            <w:tcMar>
              <w:top w:w="120" w:type="dxa"/>
              <w:left w:w="120" w:type="dxa"/>
              <w:bottom w:w="120" w:type="dxa"/>
              <w:right w:w="120" w:type="dxa"/>
            </w:tcMar>
            <w:vAlign w:val="center"/>
          </w:tcPr>
          <w:p w14:paraId="405472B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5109D9E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23EC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04CB49F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7602B54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414E7EE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2.室内鼠迹（鼠洞、鼠粪、鼠咬痕、鼠胶痕）阳性房间占比不超过2%。</w:t>
            </w:r>
          </w:p>
        </w:tc>
        <w:tc>
          <w:tcPr>
            <w:tcW w:w="334" w:type="pct"/>
            <w:shd w:val="clear" w:color="auto" w:fill="auto"/>
            <w:tcMar>
              <w:top w:w="120" w:type="dxa"/>
              <w:left w:w="120" w:type="dxa"/>
              <w:bottom w:w="120" w:type="dxa"/>
              <w:right w:w="120" w:type="dxa"/>
            </w:tcMar>
            <w:vAlign w:val="center"/>
          </w:tcPr>
          <w:p w14:paraId="64096D10">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6450F30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4E3469C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2D427B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027F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2078EAB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394" w:type="pct"/>
            <w:vMerge w:val="continue"/>
            <w:shd w:val="clear" w:color="auto" w:fill="auto"/>
            <w:tcMar>
              <w:top w:w="120" w:type="dxa"/>
              <w:left w:w="120" w:type="dxa"/>
              <w:bottom w:w="120" w:type="dxa"/>
              <w:right w:w="120" w:type="dxa"/>
            </w:tcMar>
            <w:vAlign w:val="center"/>
          </w:tcPr>
          <w:p w14:paraId="53BBB2C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65" w:type="pct"/>
            <w:shd w:val="clear" w:color="auto" w:fill="auto"/>
            <w:tcMar>
              <w:top w:w="120" w:type="dxa"/>
              <w:left w:w="120" w:type="dxa"/>
              <w:bottom w:w="120" w:type="dxa"/>
              <w:right w:w="120" w:type="dxa"/>
            </w:tcMar>
            <w:vAlign w:val="center"/>
          </w:tcPr>
          <w:p w14:paraId="3CC48DF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3.2000米</w:t>
            </w:r>
            <w:r>
              <w:rPr>
                <w:rFonts w:hint="eastAsia" w:ascii="宋体" w:hAnsi="宋体" w:cs="宋体"/>
                <w:iCs/>
                <w:color w:val="auto"/>
                <w:sz w:val="21"/>
                <w:szCs w:val="21"/>
                <w:highlight w:val="none"/>
                <w:lang w:val="en-US" w:eastAsia="zh-CN"/>
              </w:rPr>
              <w:t>外</w:t>
            </w:r>
            <w:r>
              <w:rPr>
                <w:rFonts w:hint="eastAsia" w:ascii="宋体" w:hAnsi="宋体" w:eastAsia="宋体" w:cs="宋体"/>
                <w:iCs/>
                <w:color w:val="auto"/>
                <w:sz w:val="21"/>
                <w:szCs w:val="21"/>
                <w:highlight w:val="none"/>
                <w:lang w:val="en-US" w:eastAsia="zh-CN"/>
              </w:rPr>
              <w:t>环境鼠迹点位不超过</w:t>
            </w:r>
            <w:r>
              <w:rPr>
                <w:rFonts w:hint="eastAsia" w:ascii="宋体" w:hAnsi="宋体" w:cs="宋体"/>
                <w:iCs/>
                <w:color w:val="auto"/>
                <w:sz w:val="21"/>
                <w:szCs w:val="21"/>
                <w:highlight w:val="none"/>
                <w:lang w:val="en-US" w:eastAsia="zh-CN"/>
              </w:rPr>
              <w:t>2</w:t>
            </w:r>
            <w:r>
              <w:rPr>
                <w:rFonts w:hint="eastAsia" w:ascii="宋体" w:hAnsi="宋体" w:eastAsia="宋体" w:cs="宋体"/>
                <w:iCs/>
                <w:color w:val="auto"/>
                <w:sz w:val="21"/>
                <w:szCs w:val="21"/>
                <w:highlight w:val="none"/>
                <w:lang w:val="en-US" w:eastAsia="zh-CN"/>
              </w:rPr>
              <w:t>处。</w:t>
            </w:r>
          </w:p>
        </w:tc>
        <w:tc>
          <w:tcPr>
            <w:tcW w:w="334" w:type="pct"/>
            <w:shd w:val="clear" w:color="auto" w:fill="auto"/>
            <w:tcMar>
              <w:top w:w="120" w:type="dxa"/>
              <w:left w:w="120" w:type="dxa"/>
              <w:bottom w:w="120" w:type="dxa"/>
              <w:right w:w="120" w:type="dxa"/>
            </w:tcMar>
            <w:vAlign w:val="center"/>
          </w:tcPr>
          <w:p w14:paraId="673D15A9">
            <w:pPr>
              <w:keepNext w:val="0"/>
              <w:keepLines w:val="0"/>
              <w:widowControl/>
              <w:suppressLineNumbers w:val="0"/>
              <w:jc w:val="left"/>
              <w:textAlignment w:val="center"/>
              <w:rPr>
                <w:rFonts w:hint="eastAsia" w:ascii="宋体" w:hAnsi="宋体" w:eastAsia="宋体" w:cs="宋体"/>
                <w:iCs/>
                <w:color w:val="auto"/>
                <w:kern w:val="2"/>
                <w:sz w:val="21"/>
                <w:szCs w:val="21"/>
                <w:highlight w:val="none"/>
                <w:lang w:val="en-US" w:eastAsia="zh-CN" w:bidi="ar-SA"/>
              </w:rPr>
            </w:pPr>
            <w:r>
              <w:rPr>
                <w:rFonts w:hint="eastAsia" w:ascii="宋体" w:hAnsi="宋体" w:cs="宋体"/>
                <w:iCs/>
                <w:color w:val="auto"/>
                <w:kern w:val="2"/>
                <w:sz w:val="21"/>
                <w:szCs w:val="21"/>
                <w:highlight w:val="none"/>
                <w:lang w:val="en-US" w:eastAsia="zh-CN" w:bidi="ar-SA"/>
              </w:rPr>
              <w:t>4</w:t>
            </w:r>
          </w:p>
        </w:tc>
        <w:tc>
          <w:tcPr>
            <w:tcW w:w="1410" w:type="pct"/>
            <w:shd w:val="clear" w:color="auto" w:fill="auto"/>
            <w:tcMar>
              <w:top w:w="120" w:type="dxa"/>
              <w:left w:w="120" w:type="dxa"/>
              <w:bottom w:w="120" w:type="dxa"/>
              <w:right w:w="120" w:type="dxa"/>
            </w:tcMar>
            <w:vAlign w:val="center"/>
          </w:tcPr>
          <w:p w14:paraId="5E0F91E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每超出1处点位扣</w:t>
            </w:r>
            <w:r>
              <w:rPr>
                <w:rFonts w:hint="eastAsia" w:ascii="宋体" w:hAnsi="宋体" w:cs="宋体"/>
                <w:iCs/>
                <w:color w:val="auto"/>
                <w:sz w:val="21"/>
                <w:szCs w:val="21"/>
                <w:highlight w:val="none"/>
                <w:lang w:val="en-US" w:eastAsia="zh-CN"/>
              </w:rPr>
              <w:t>2</w:t>
            </w:r>
            <w:r>
              <w:rPr>
                <w:rFonts w:hint="eastAsia" w:ascii="宋体" w:hAnsi="宋体" w:eastAsia="宋体" w:cs="宋体"/>
                <w:iCs/>
                <w:color w:val="auto"/>
                <w:sz w:val="21"/>
                <w:szCs w:val="21"/>
                <w:highlight w:val="none"/>
                <w:lang w:val="en-US" w:eastAsia="zh-CN"/>
              </w:rPr>
              <w:t>分，扣完为止。</w:t>
            </w:r>
          </w:p>
        </w:tc>
        <w:tc>
          <w:tcPr>
            <w:tcW w:w="240" w:type="pct"/>
            <w:shd w:val="clear" w:color="auto" w:fill="auto"/>
            <w:tcMar>
              <w:top w:w="120" w:type="dxa"/>
              <w:left w:w="120" w:type="dxa"/>
              <w:bottom w:w="120" w:type="dxa"/>
              <w:right w:w="120" w:type="dxa"/>
            </w:tcMar>
            <w:vAlign w:val="center"/>
          </w:tcPr>
          <w:p w14:paraId="1CC5DA6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c>
          <w:tcPr>
            <w:tcW w:w="210" w:type="pct"/>
            <w:shd w:val="clear" w:color="auto" w:fill="auto"/>
            <w:tcMar>
              <w:top w:w="120" w:type="dxa"/>
              <w:left w:w="120" w:type="dxa"/>
              <w:bottom w:w="120" w:type="dxa"/>
              <w:right w:w="120" w:type="dxa"/>
            </w:tcMar>
            <w:vAlign w:val="center"/>
          </w:tcPr>
          <w:p w14:paraId="37DD89F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rPr>
            </w:pPr>
          </w:p>
        </w:tc>
      </w:tr>
      <w:tr w14:paraId="1295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54F67AC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27340F4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09068C5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4绿化带内每100平方米老鼠洞、死老鼠不超过2处。</w:t>
            </w:r>
          </w:p>
        </w:tc>
        <w:tc>
          <w:tcPr>
            <w:tcW w:w="334" w:type="pct"/>
            <w:shd w:val="clear" w:color="auto" w:fill="auto"/>
            <w:tcMar>
              <w:top w:w="120" w:type="dxa"/>
              <w:left w:w="120" w:type="dxa"/>
              <w:bottom w:w="120" w:type="dxa"/>
              <w:right w:w="120" w:type="dxa"/>
            </w:tcMar>
            <w:vAlign w:val="center"/>
          </w:tcPr>
          <w:p w14:paraId="1E11BDB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default"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2</w:t>
            </w:r>
          </w:p>
        </w:tc>
        <w:tc>
          <w:tcPr>
            <w:tcW w:w="1410" w:type="pct"/>
            <w:shd w:val="clear" w:color="auto" w:fill="auto"/>
            <w:tcMar>
              <w:top w:w="120" w:type="dxa"/>
              <w:left w:w="120" w:type="dxa"/>
              <w:bottom w:w="120" w:type="dxa"/>
              <w:right w:w="120" w:type="dxa"/>
            </w:tcMar>
            <w:vAlign w:val="center"/>
          </w:tcPr>
          <w:p w14:paraId="58029A7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发现每100平方米有2个老鼠洞，扣1分，超过的每多1个扣1分。</w:t>
            </w:r>
          </w:p>
        </w:tc>
        <w:tc>
          <w:tcPr>
            <w:tcW w:w="240" w:type="pct"/>
            <w:shd w:val="clear" w:color="auto" w:fill="auto"/>
            <w:tcMar>
              <w:top w:w="120" w:type="dxa"/>
              <w:left w:w="120" w:type="dxa"/>
              <w:bottom w:w="120" w:type="dxa"/>
              <w:right w:w="120" w:type="dxa"/>
            </w:tcMar>
            <w:vAlign w:val="center"/>
          </w:tcPr>
          <w:p w14:paraId="58677FF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56AF174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11CF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1184F97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75D52CB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15E2965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5.检查沉沙井、下水道内老鼠(含死)。</w:t>
            </w:r>
          </w:p>
        </w:tc>
        <w:tc>
          <w:tcPr>
            <w:tcW w:w="334" w:type="pct"/>
            <w:shd w:val="clear" w:color="auto" w:fill="auto"/>
            <w:tcMar>
              <w:top w:w="120" w:type="dxa"/>
              <w:left w:w="120" w:type="dxa"/>
              <w:bottom w:w="120" w:type="dxa"/>
              <w:right w:w="120" w:type="dxa"/>
            </w:tcMar>
            <w:vAlign w:val="center"/>
          </w:tcPr>
          <w:p w14:paraId="7518BFF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default"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2</w:t>
            </w:r>
          </w:p>
        </w:tc>
        <w:tc>
          <w:tcPr>
            <w:tcW w:w="1410" w:type="pct"/>
            <w:shd w:val="clear" w:color="auto" w:fill="auto"/>
            <w:tcMar>
              <w:top w:w="120" w:type="dxa"/>
              <w:left w:w="120" w:type="dxa"/>
              <w:bottom w:w="120" w:type="dxa"/>
              <w:right w:w="120" w:type="dxa"/>
            </w:tcMar>
            <w:vAlign w:val="center"/>
          </w:tcPr>
          <w:p w14:paraId="673857D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同一路段500米范围内发现老鼠(含死)三只的，扣1分，超过的每多1个扣1分。</w:t>
            </w:r>
          </w:p>
        </w:tc>
        <w:tc>
          <w:tcPr>
            <w:tcW w:w="240" w:type="pct"/>
            <w:shd w:val="clear" w:color="auto" w:fill="auto"/>
            <w:tcMar>
              <w:top w:w="120" w:type="dxa"/>
              <w:left w:w="120" w:type="dxa"/>
              <w:bottom w:w="120" w:type="dxa"/>
              <w:right w:w="120" w:type="dxa"/>
            </w:tcMar>
            <w:vAlign w:val="center"/>
          </w:tcPr>
          <w:p w14:paraId="428FB21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5BC9A1F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4376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273E21A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三</w:t>
            </w:r>
          </w:p>
        </w:tc>
        <w:tc>
          <w:tcPr>
            <w:tcW w:w="394" w:type="pct"/>
            <w:vMerge w:val="restart"/>
            <w:shd w:val="clear" w:color="auto" w:fill="auto"/>
            <w:tcMar>
              <w:top w:w="120" w:type="dxa"/>
              <w:left w:w="120" w:type="dxa"/>
              <w:bottom w:w="120" w:type="dxa"/>
              <w:right w:w="120" w:type="dxa"/>
            </w:tcMar>
            <w:vAlign w:val="center"/>
          </w:tcPr>
          <w:p w14:paraId="65DF959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灭蚊防治</w:t>
            </w:r>
          </w:p>
        </w:tc>
        <w:tc>
          <w:tcPr>
            <w:tcW w:w="2165" w:type="pct"/>
            <w:shd w:val="clear" w:color="auto" w:fill="auto"/>
            <w:tcMar>
              <w:top w:w="120" w:type="dxa"/>
              <w:left w:w="120" w:type="dxa"/>
              <w:bottom w:w="120" w:type="dxa"/>
              <w:right w:w="120" w:type="dxa"/>
            </w:tcMar>
            <w:vAlign w:val="center"/>
          </w:tcPr>
          <w:p w14:paraId="683E94C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1.居民区、单位外环境各类存水容器、积水处蚊幼、蚊蛹阳性率低于2%。</w:t>
            </w:r>
          </w:p>
        </w:tc>
        <w:tc>
          <w:tcPr>
            <w:tcW w:w="334" w:type="pct"/>
            <w:shd w:val="clear" w:color="auto" w:fill="auto"/>
            <w:tcMar>
              <w:top w:w="120" w:type="dxa"/>
              <w:left w:w="120" w:type="dxa"/>
              <w:bottom w:w="120" w:type="dxa"/>
              <w:right w:w="120" w:type="dxa"/>
            </w:tcMar>
            <w:vAlign w:val="center"/>
          </w:tcPr>
          <w:p w14:paraId="0FDD22B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default"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2E2B112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阳性率每超出0.1%扣1分，扣完为止。</w:t>
            </w:r>
          </w:p>
        </w:tc>
        <w:tc>
          <w:tcPr>
            <w:tcW w:w="240" w:type="pct"/>
            <w:shd w:val="clear" w:color="auto" w:fill="auto"/>
            <w:tcMar>
              <w:top w:w="120" w:type="dxa"/>
              <w:left w:w="120" w:type="dxa"/>
              <w:bottom w:w="120" w:type="dxa"/>
              <w:right w:w="120" w:type="dxa"/>
            </w:tcMar>
            <w:vAlign w:val="center"/>
          </w:tcPr>
          <w:p w14:paraId="506E6C2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3C1FFB9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3E90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7B6324C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31320AD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01BBCFF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2.用500ML收集勺采集城区内大中型水体中的蚊幼虫 或蛹，阳性率低于1%,阳性勺内幼虫或蛹的平均数不超过3只。</w:t>
            </w:r>
          </w:p>
        </w:tc>
        <w:tc>
          <w:tcPr>
            <w:tcW w:w="334" w:type="pct"/>
            <w:shd w:val="clear" w:color="auto" w:fill="auto"/>
            <w:tcMar>
              <w:top w:w="120" w:type="dxa"/>
              <w:left w:w="120" w:type="dxa"/>
              <w:bottom w:w="120" w:type="dxa"/>
              <w:right w:w="120" w:type="dxa"/>
            </w:tcMar>
            <w:vAlign w:val="center"/>
          </w:tcPr>
          <w:p w14:paraId="020F640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default"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4B17077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每超出1只扣1分，扣完为止。</w:t>
            </w:r>
          </w:p>
        </w:tc>
        <w:tc>
          <w:tcPr>
            <w:tcW w:w="240" w:type="pct"/>
            <w:shd w:val="clear" w:color="auto" w:fill="auto"/>
            <w:tcMar>
              <w:top w:w="120" w:type="dxa"/>
              <w:left w:w="120" w:type="dxa"/>
              <w:bottom w:w="120" w:type="dxa"/>
              <w:right w:w="120" w:type="dxa"/>
            </w:tcMar>
            <w:vAlign w:val="center"/>
          </w:tcPr>
          <w:p w14:paraId="3D68FF8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05CFBE6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45E1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649B5DD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2E994A7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2201C67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3.特殊场所蚊虫监测：白天人工诱蚊60分钟，人均诱获蚊虫不超过1只/人次。</w:t>
            </w:r>
          </w:p>
        </w:tc>
        <w:tc>
          <w:tcPr>
            <w:tcW w:w="334" w:type="pct"/>
            <w:shd w:val="clear" w:color="auto" w:fill="auto"/>
            <w:tcMar>
              <w:top w:w="120" w:type="dxa"/>
              <w:left w:w="120" w:type="dxa"/>
              <w:bottom w:w="120" w:type="dxa"/>
              <w:right w:w="120" w:type="dxa"/>
            </w:tcMar>
            <w:vAlign w:val="center"/>
          </w:tcPr>
          <w:p w14:paraId="5771435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default"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609BD6F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每超出1只/人次扣1分，扣完为止。</w:t>
            </w:r>
          </w:p>
        </w:tc>
        <w:tc>
          <w:tcPr>
            <w:tcW w:w="240" w:type="pct"/>
            <w:shd w:val="clear" w:color="auto" w:fill="auto"/>
            <w:tcMar>
              <w:top w:w="120" w:type="dxa"/>
              <w:left w:w="120" w:type="dxa"/>
              <w:bottom w:w="120" w:type="dxa"/>
              <w:right w:w="120" w:type="dxa"/>
            </w:tcMar>
            <w:vAlign w:val="center"/>
          </w:tcPr>
          <w:p w14:paraId="545FF99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258C3EA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4AE6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 w:type="pct"/>
            <w:vMerge w:val="continue"/>
            <w:shd w:val="clear" w:color="auto" w:fill="auto"/>
            <w:tcMar>
              <w:top w:w="120" w:type="dxa"/>
              <w:left w:w="120" w:type="dxa"/>
              <w:bottom w:w="120" w:type="dxa"/>
              <w:right w:w="120" w:type="dxa"/>
            </w:tcMar>
            <w:vAlign w:val="center"/>
          </w:tcPr>
          <w:p w14:paraId="73DF851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1ABB731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3E8EF2A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4.对阴暗潮湿地、下水道、沙井口、污水积水的地方， 查蚊子密度。</w:t>
            </w:r>
          </w:p>
        </w:tc>
        <w:tc>
          <w:tcPr>
            <w:tcW w:w="334" w:type="pct"/>
            <w:shd w:val="clear" w:color="auto" w:fill="auto"/>
            <w:tcMar>
              <w:top w:w="120" w:type="dxa"/>
              <w:left w:w="120" w:type="dxa"/>
              <w:bottom w:w="120" w:type="dxa"/>
              <w:right w:w="120" w:type="dxa"/>
            </w:tcMar>
            <w:vAlign w:val="center"/>
          </w:tcPr>
          <w:p w14:paraId="0131242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default"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5FE2A65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每发现3只蚊子的，扣1分</w:t>
            </w:r>
          </w:p>
        </w:tc>
        <w:tc>
          <w:tcPr>
            <w:tcW w:w="240" w:type="pct"/>
            <w:shd w:val="clear" w:color="auto" w:fill="auto"/>
            <w:tcMar>
              <w:top w:w="120" w:type="dxa"/>
              <w:left w:w="120" w:type="dxa"/>
              <w:bottom w:w="120" w:type="dxa"/>
              <w:right w:w="120" w:type="dxa"/>
            </w:tcMar>
            <w:vAlign w:val="center"/>
          </w:tcPr>
          <w:p w14:paraId="3C21363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4F7D609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37C1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77527DA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四</w:t>
            </w:r>
          </w:p>
        </w:tc>
        <w:tc>
          <w:tcPr>
            <w:tcW w:w="394" w:type="pct"/>
            <w:vMerge w:val="restart"/>
            <w:shd w:val="clear" w:color="auto" w:fill="auto"/>
            <w:tcMar>
              <w:top w:w="120" w:type="dxa"/>
              <w:left w:w="120" w:type="dxa"/>
              <w:bottom w:w="120" w:type="dxa"/>
              <w:right w:w="120" w:type="dxa"/>
            </w:tcMar>
            <w:vAlign w:val="center"/>
          </w:tcPr>
          <w:p w14:paraId="58CBA3D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灭蝇防治</w:t>
            </w:r>
          </w:p>
        </w:tc>
        <w:tc>
          <w:tcPr>
            <w:tcW w:w="2165" w:type="pct"/>
            <w:shd w:val="clear" w:color="auto" w:fill="auto"/>
            <w:tcMar>
              <w:top w:w="120" w:type="dxa"/>
              <w:left w:w="120" w:type="dxa"/>
              <w:bottom w:w="120" w:type="dxa"/>
              <w:right w:w="120" w:type="dxa"/>
            </w:tcMar>
            <w:vAlign w:val="center"/>
          </w:tcPr>
          <w:p w14:paraId="784114C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1.重点单位(如饮食、食品加工、销售业)有蝇房间占比不超过1%。</w:t>
            </w:r>
          </w:p>
        </w:tc>
        <w:tc>
          <w:tcPr>
            <w:tcW w:w="334" w:type="pct"/>
            <w:shd w:val="clear" w:color="auto" w:fill="auto"/>
            <w:tcMar>
              <w:top w:w="120" w:type="dxa"/>
              <w:left w:w="120" w:type="dxa"/>
              <w:bottom w:w="120" w:type="dxa"/>
              <w:right w:w="120" w:type="dxa"/>
            </w:tcMar>
            <w:vAlign w:val="center"/>
          </w:tcPr>
          <w:p w14:paraId="7DC0AF4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default"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53742EA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5338B4F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283FAB4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2427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1D3F069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60FF9111">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7445E7C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2.加工、销售、存放直接入口食品的重点场所（厨房、市场等），全程无活蝇滋生。</w:t>
            </w:r>
          </w:p>
        </w:tc>
        <w:tc>
          <w:tcPr>
            <w:tcW w:w="334" w:type="pct"/>
            <w:shd w:val="clear" w:color="auto" w:fill="auto"/>
            <w:tcMar>
              <w:top w:w="120" w:type="dxa"/>
              <w:left w:w="120" w:type="dxa"/>
              <w:bottom w:w="120" w:type="dxa"/>
              <w:right w:w="120" w:type="dxa"/>
            </w:tcMar>
            <w:vAlign w:val="center"/>
          </w:tcPr>
          <w:p w14:paraId="08D5D2C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default"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6293D21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每发现1只活蝇扣0.5分，扣完为止。</w:t>
            </w:r>
          </w:p>
        </w:tc>
        <w:tc>
          <w:tcPr>
            <w:tcW w:w="240" w:type="pct"/>
            <w:shd w:val="clear" w:color="auto" w:fill="auto"/>
            <w:tcMar>
              <w:top w:w="120" w:type="dxa"/>
              <w:left w:w="120" w:type="dxa"/>
              <w:bottom w:w="120" w:type="dxa"/>
              <w:right w:w="120" w:type="dxa"/>
            </w:tcMar>
            <w:vAlign w:val="center"/>
          </w:tcPr>
          <w:p w14:paraId="0B2962D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128F9A7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2069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1" w:hRule="atLeast"/>
        </w:trPr>
        <w:tc>
          <w:tcPr>
            <w:tcW w:w="244" w:type="pct"/>
            <w:vMerge w:val="continue"/>
            <w:shd w:val="clear" w:color="auto" w:fill="auto"/>
            <w:tcMar>
              <w:top w:w="120" w:type="dxa"/>
              <w:left w:w="120" w:type="dxa"/>
              <w:bottom w:w="120" w:type="dxa"/>
              <w:right w:w="120" w:type="dxa"/>
            </w:tcMar>
            <w:vAlign w:val="center"/>
          </w:tcPr>
          <w:p w14:paraId="2462CBD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3CDC43E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5EAF533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3.一般单位有蝇房间占比不超过3%。</w:t>
            </w:r>
          </w:p>
        </w:tc>
        <w:tc>
          <w:tcPr>
            <w:tcW w:w="334" w:type="pct"/>
            <w:shd w:val="clear" w:color="auto" w:fill="auto"/>
            <w:tcMar>
              <w:top w:w="120" w:type="dxa"/>
              <w:left w:w="120" w:type="dxa"/>
              <w:bottom w:w="120" w:type="dxa"/>
              <w:right w:w="120" w:type="dxa"/>
            </w:tcMar>
            <w:vAlign w:val="center"/>
          </w:tcPr>
          <w:p w14:paraId="6B3B489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3</w:t>
            </w:r>
          </w:p>
        </w:tc>
        <w:tc>
          <w:tcPr>
            <w:tcW w:w="1410" w:type="pct"/>
            <w:shd w:val="clear" w:color="auto" w:fill="auto"/>
            <w:tcMar>
              <w:top w:w="120" w:type="dxa"/>
              <w:left w:w="120" w:type="dxa"/>
              <w:bottom w:w="120" w:type="dxa"/>
              <w:right w:w="120" w:type="dxa"/>
            </w:tcMar>
            <w:vAlign w:val="center"/>
          </w:tcPr>
          <w:p w14:paraId="75C060C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62AE325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5F91B29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1E3A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6" w:hRule="atLeast"/>
        </w:trPr>
        <w:tc>
          <w:tcPr>
            <w:tcW w:w="244" w:type="pct"/>
            <w:vMerge w:val="continue"/>
            <w:shd w:val="clear" w:color="auto" w:fill="auto"/>
            <w:tcMar>
              <w:top w:w="120" w:type="dxa"/>
              <w:left w:w="120" w:type="dxa"/>
              <w:bottom w:w="120" w:type="dxa"/>
              <w:right w:w="120" w:type="dxa"/>
            </w:tcMar>
            <w:vAlign w:val="center"/>
          </w:tcPr>
          <w:p w14:paraId="75F1BFD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7C82AFA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07923C4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4.蝇类孳生地（垃圾收集点、垃圾存放地等）得到全面有效治理，幼虫、蛹检出率不超过3%。</w:t>
            </w:r>
          </w:p>
        </w:tc>
        <w:tc>
          <w:tcPr>
            <w:tcW w:w="334" w:type="pct"/>
            <w:shd w:val="clear" w:color="auto" w:fill="auto"/>
            <w:tcMar>
              <w:top w:w="120" w:type="dxa"/>
              <w:left w:w="120" w:type="dxa"/>
              <w:bottom w:w="120" w:type="dxa"/>
              <w:right w:w="120" w:type="dxa"/>
            </w:tcMar>
            <w:vAlign w:val="center"/>
          </w:tcPr>
          <w:p w14:paraId="3E3075B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6A8FD2F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511CD49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3B9759B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55E4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6" w:hRule="atLeast"/>
        </w:trPr>
        <w:tc>
          <w:tcPr>
            <w:tcW w:w="244" w:type="pct"/>
            <w:vMerge w:val="continue"/>
            <w:shd w:val="clear" w:color="auto" w:fill="auto"/>
            <w:tcMar>
              <w:top w:w="120" w:type="dxa"/>
              <w:left w:w="120" w:type="dxa"/>
              <w:bottom w:w="120" w:type="dxa"/>
              <w:right w:w="120" w:type="dxa"/>
            </w:tcMar>
            <w:vAlign w:val="center"/>
          </w:tcPr>
          <w:p w14:paraId="70EE06E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5CE507A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76F868E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5.检查绿化带内或附近的果皮箱、垃圾桶、厕所、菜市场周边的苍蝇密度。</w:t>
            </w:r>
          </w:p>
        </w:tc>
        <w:tc>
          <w:tcPr>
            <w:tcW w:w="334" w:type="pct"/>
            <w:shd w:val="clear" w:color="auto" w:fill="auto"/>
            <w:tcMar>
              <w:top w:w="120" w:type="dxa"/>
              <w:left w:w="120" w:type="dxa"/>
              <w:bottom w:w="120" w:type="dxa"/>
              <w:right w:w="120" w:type="dxa"/>
            </w:tcMar>
            <w:vAlign w:val="center"/>
          </w:tcPr>
          <w:p w14:paraId="2679A60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default"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3</w:t>
            </w:r>
          </w:p>
        </w:tc>
        <w:tc>
          <w:tcPr>
            <w:tcW w:w="1410" w:type="pct"/>
            <w:shd w:val="clear" w:color="auto" w:fill="auto"/>
            <w:tcMar>
              <w:top w:w="120" w:type="dxa"/>
              <w:left w:w="120" w:type="dxa"/>
              <w:bottom w:w="120" w:type="dxa"/>
              <w:right w:w="120" w:type="dxa"/>
            </w:tcMar>
            <w:vAlign w:val="center"/>
          </w:tcPr>
          <w:p w14:paraId="284536D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每发现3只苍蝇的，扣1分</w:t>
            </w:r>
          </w:p>
        </w:tc>
        <w:tc>
          <w:tcPr>
            <w:tcW w:w="240" w:type="pct"/>
            <w:shd w:val="clear" w:color="auto" w:fill="auto"/>
            <w:tcMar>
              <w:top w:w="120" w:type="dxa"/>
              <w:left w:w="120" w:type="dxa"/>
              <w:bottom w:w="120" w:type="dxa"/>
              <w:right w:w="120" w:type="dxa"/>
            </w:tcMar>
            <w:vAlign w:val="center"/>
          </w:tcPr>
          <w:p w14:paraId="202BB4D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43649D0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60A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7326B00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五</w:t>
            </w:r>
          </w:p>
        </w:tc>
        <w:tc>
          <w:tcPr>
            <w:tcW w:w="394" w:type="pct"/>
            <w:vMerge w:val="restart"/>
            <w:shd w:val="clear" w:color="auto" w:fill="auto"/>
            <w:tcMar>
              <w:top w:w="120" w:type="dxa"/>
              <w:left w:w="120" w:type="dxa"/>
              <w:bottom w:w="120" w:type="dxa"/>
              <w:right w:w="120" w:type="dxa"/>
            </w:tcMar>
            <w:vAlign w:val="center"/>
          </w:tcPr>
          <w:p w14:paraId="1A8B241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灭蟑防治</w:t>
            </w:r>
          </w:p>
        </w:tc>
        <w:tc>
          <w:tcPr>
            <w:tcW w:w="2165" w:type="pct"/>
            <w:shd w:val="clear" w:color="auto" w:fill="auto"/>
            <w:tcMar>
              <w:top w:w="120" w:type="dxa"/>
              <w:left w:w="120" w:type="dxa"/>
              <w:bottom w:w="120" w:type="dxa"/>
              <w:right w:w="120" w:type="dxa"/>
            </w:tcMar>
            <w:vAlign w:val="center"/>
          </w:tcPr>
          <w:p w14:paraId="16DD1F1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1.室内蟑螂成虫或若虫阳性房间占比不超过3%。</w:t>
            </w:r>
          </w:p>
        </w:tc>
        <w:tc>
          <w:tcPr>
            <w:tcW w:w="334" w:type="pct"/>
            <w:shd w:val="clear" w:color="auto" w:fill="auto"/>
            <w:tcMar>
              <w:top w:w="120" w:type="dxa"/>
              <w:left w:w="120" w:type="dxa"/>
              <w:bottom w:w="120" w:type="dxa"/>
              <w:right w:w="120" w:type="dxa"/>
            </w:tcMar>
            <w:vAlign w:val="center"/>
          </w:tcPr>
          <w:p w14:paraId="710037F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33651AC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16E17BE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0F510F5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1707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7447AA3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51F62D2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0602FD9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2.有活蟑螂、卵鞘的阳性房间占比不超过5%。</w:t>
            </w:r>
          </w:p>
        </w:tc>
        <w:tc>
          <w:tcPr>
            <w:tcW w:w="334" w:type="pct"/>
            <w:shd w:val="clear" w:color="auto" w:fill="auto"/>
            <w:tcMar>
              <w:top w:w="120" w:type="dxa"/>
              <w:left w:w="120" w:type="dxa"/>
              <w:bottom w:w="120" w:type="dxa"/>
              <w:right w:w="120" w:type="dxa"/>
            </w:tcMar>
            <w:vAlign w:val="center"/>
          </w:tcPr>
          <w:p w14:paraId="4B03369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34F6D9F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5FA30D8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169C077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6B16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1361511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0891173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528AF79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3.蟑螂孳生栖息点位（孔洞缝隙、蟑螂粪便、蜕皮、蟑尸等）清理到位，阳性房间占比不超过5%。</w:t>
            </w:r>
          </w:p>
        </w:tc>
        <w:tc>
          <w:tcPr>
            <w:tcW w:w="334" w:type="pct"/>
            <w:shd w:val="clear" w:color="auto" w:fill="auto"/>
            <w:tcMar>
              <w:top w:w="120" w:type="dxa"/>
              <w:left w:w="120" w:type="dxa"/>
              <w:bottom w:w="120" w:type="dxa"/>
              <w:right w:w="120" w:type="dxa"/>
            </w:tcMar>
            <w:vAlign w:val="center"/>
          </w:tcPr>
          <w:p w14:paraId="6204085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w:t>
            </w:r>
          </w:p>
        </w:tc>
        <w:tc>
          <w:tcPr>
            <w:tcW w:w="1410" w:type="pct"/>
            <w:shd w:val="clear" w:color="auto" w:fill="auto"/>
            <w:tcMar>
              <w:top w:w="120" w:type="dxa"/>
              <w:left w:w="120" w:type="dxa"/>
              <w:bottom w:w="120" w:type="dxa"/>
              <w:right w:w="120" w:type="dxa"/>
            </w:tcMar>
            <w:vAlign w:val="center"/>
          </w:tcPr>
          <w:p w14:paraId="5EF75D3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占比每超出0.1%扣1分，扣完为止。</w:t>
            </w:r>
          </w:p>
        </w:tc>
        <w:tc>
          <w:tcPr>
            <w:tcW w:w="240" w:type="pct"/>
            <w:shd w:val="clear" w:color="auto" w:fill="auto"/>
            <w:tcMar>
              <w:top w:w="120" w:type="dxa"/>
              <w:left w:w="120" w:type="dxa"/>
              <w:bottom w:w="120" w:type="dxa"/>
              <w:right w:w="120" w:type="dxa"/>
            </w:tcMar>
            <w:vAlign w:val="center"/>
          </w:tcPr>
          <w:p w14:paraId="164FE21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250EBA9B">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1866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continue"/>
            <w:shd w:val="clear" w:color="auto" w:fill="auto"/>
            <w:tcMar>
              <w:top w:w="120" w:type="dxa"/>
              <w:left w:w="120" w:type="dxa"/>
              <w:bottom w:w="120" w:type="dxa"/>
              <w:right w:w="120" w:type="dxa"/>
            </w:tcMar>
            <w:vAlign w:val="center"/>
          </w:tcPr>
          <w:p w14:paraId="747C723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2F34D99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5F05E9F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4.检查沉沙井、下水道内蟑螂(含死)</w:t>
            </w:r>
          </w:p>
        </w:tc>
        <w:tc>
          <w:tcPr>
            <w:tcW w:w="334" w:type="pct"/>
            <w:shd w:val="clear" w:color="auto" w:fill="auto"/>
            <w:tcMar>
              <w:top w:w="120" w:type="dxa"/>
              <w:left w:w="120" w:type="dxa"/>
              <w:bottom w:w="120" w:type="dxa"/>
              <w:right w:w="120" w:type="dxa"/>
            </w:tcMar>
            <w:vAlign w:val="center"/>
          </w:tcPr>
          <w:p w14:paraId="4A35672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default"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3</w:t>
            </w:r>
          </w:p>
        </w:tc>
        <w:tc>
          <w:tcPr>
            <w:tcW w:w="1410" w:type="pct"/>
            <w:shd w:val="clear" w:color="auto" w:fill="auto"/>
            <w:tcMar>
              <w:top w:w="120" w:type="dxa"/>
              <w:left w:w="120" w:type="dxa"/>
              <w:bottom w:w="120" w:type="dxa"/>
              <w:right w:w="120" w:type="dxa"/>
            </w:tcMar>
            <w:vAlign w:val="center"/>
          </w:tcPr>
          <w:p w14:paraId="1E61BFF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default"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发现3只以上蟑螂(含死),扣1分，扣完为止。</w:t>
            </w:r>
          </w:p>
        </w:tc>
        <w:tc>
          <w:tcPr>
            <w:tcW w:w="240" w:type="pct"/>
            <w:shd w:val="clear" w:color="auto" w:fill="auto"/>
            <w:tcMar>
              <w:top w:w="120" w:type="dxa"/>
              <w:left w:w="120" w:type="dxa"/>
              <w:bottom w:w="120" w:type="dxa"/>
              <w:right w:w="120" w:type="dxa"/>
            </w:tcMar>
            <w:vAlign w:val="center"/>
          </w:tcPr>
          <w:p w14:paraId="5B75C9A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5060324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67A2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4" w:type="pct"/>
            <w:vMerge w:val="restart"/>
            <w:shd w:val="clear" w:color="auto" w:fill="auto"/>
            <w:tcMar>
              <w:top w:w="120" w:type="dxa"/>
              <w:left w:w="120" w:type="dxa"/>
              <w:bottom w:w="120" w:type="dxa"/>
              <w:right w:w="120" w:type="dxa"/>
            </w:tcMar>
            <w:vAlign w:val="center"/>
          </w:tcPr>
          <w:p w14:paraId="51159E0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六</w:t>
            </w:r>
          </w:p>
        </w:tc>
        <w:tc>
          <w:tcPr>
            <w:tcW w:w="394" w:type="pct"/>
            <w:vMerge w:val="restart"/>
            <w:shd w:val="clear" w:color="auto" w:fill="auto"/>
            <w:tcMar>
              <w:top w:w="120" w:type="dxa"/>
              <w:left w:w="120" w:type="dxa"/>
              <w:bottom w:w="120" w:type="dxa"/>
              <w:right w:w="120" w:type="dxa"/>
            </w:tcMar>
            <w:vAlign w:val="center"/>
          </w:tcPr>
          <w:p w14:paraId="43D938B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综合服务评价</w:t>
            </w:r>
          </w:p>
        </w:tc>
        <w:tc>
          <w:tcPr>
            <w:tcW w:w="2165" w:type="pct"/>
            <w:shd w:val="clear" w:color="auto" w:fill="auto"/>
            <w:tcMar>
              <w:top w:w="120" w:type="dxa"/>
              <w:left w:w="120" w:type="dxa"/>
              <w:bottom w:w="120" w:type="dxa"/>
              <w:right w:w="120" w:type="dxa"/>
            </w:tcMar>
            <w:vAlign w:val="center"/>
          </w:tcPr>
          <w:p w14:paraId="689C5DA5">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1.每月采购人对中标人整体消杀服务开展综合评估。</w:t>
            </w:r>
          </w:p>
        </w:tc>
        <w:tc>
          <w:tcPr>
            <w:tcW w:w="334" w:type="pct"/>
            <w:shd w:val="clear" w:color="auto" w:fill="auto"/>
            <w:tcMar>
              <w:top w:w="120" w:type="dxa"/>
              <w:left w:w="120" w:type="dxa"/>
              <w:bottom w:w="120" w:type="dxa"/>
              <w:right w:w="120" w:type="dxa"/>
            </w:tcMar>
            <w:vAlign w:val="center"/>
          </w:tcPr>
          <w:p w14:paraId="4AFD38B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default" w:ascii="宋体" w:hAnsi="宋体" w:eastAsia="宋体" w:cs="宋体"/>
                <w:iCs/>
                <w:color w:val="auto"/>
                <w:sz w:val="21"/>
                <w:szCs w:val="21"/>
                <w:highlight w:val="none"/>
                <w:lang w:val="en-US" w:eastAsia="zh-CN"/>
              </w:rPr>
              <w:t>3</w:t>
            </w:r>
          </w:p>
        </w:tc>
        <w:tc>
          <w:tcPr>
            <w:tcW w:w="1410" w:type="pct"/>
            <w:shd w:val="clear" w:color="auto" w:fill="auto"/>
            <w:tcMar>
              <w:top w:w="120" w:type="dxa"/>
              <w:left w:w="120" w:type="dxa"/>
              <w:bottom w:w="120" w:type="dxa"/>
              <w:right w:w="120" w:type="dxa"/>
            </w:tcMar>
            <w:vAlign w:val="center"/>
          </w:tcPr>
          <w:p w14:paraId="6211DE5C">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评估发现服务问题，每次扣1分，扣完为止。</w:t>
            </w:r>
          </w:p>
        </w:tc>
        <w:tc>
          <w:tcPr>
            <w:tcW w:w="240" w:type="pct"/>
            <w:shd w:val="clear" w:color="auto" w:fill="auto"/>
            <w:tcMar>
              <w:top w:w="120" w:type="dxa"/>
              <w:left w:w="120" w:type="dxa"/>
              <w:bottom w:w="120" w:type="dxa"/>
              <w:right w:w="120" w:type="dxa"/>
            </w:tcMar>
            <w:vAlign w:val="center"/>
          </w:tcPr>
          <w:p w14:paraId="639BDD9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048CCE86">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0FF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4" w:hRule="atLeast"/>
        </w:trPr>
        <w:tc>
          <w:tcPr>
            <w:tcW w:w="244" w:type="pct"/>
            <w:vMerge w:val="continue"/>
            <w:shd w:val="clear" w:color="auto" w:fill="auto"/>
            <w:tcMar>
              <w:top w:w="120" w:type="dxa"/>
              <w:left w:w="120" w:type="dxa"/>
              <w:bottom w:w="120" w:type="dxa"/>
              <w:right w:w="120" w:type="dxa"/>
            </w:tcMar>
            <w:vAlign w:val="center"/>
          </w:tcPr>
          <w:p w14:paraId="41BEC85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394" w:type="pct"/>
            <w:vMerge w:val="continue"/>
            <w:shd w:val="clear" w:color="auto" w:fill="auto"/>
            <w:tcMar>
              <w:top w:w="120" w:type="dxa"/>
              <w:left w:w="120" w:type="dxa"/>
              <w:bottom w:w="120" w:type="dxa"/>
              <w:right w:w="120" w:type="dxa"/>
            </w:tcMar>
            <w:vAlign w:val="center"/>
          </w:tcPr>
          <w:p w14:paraId="3EF56E0D">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65" w:type="pct"/>
            <w:shd w:val="clear" w:color="auto" w:fill="auto"/>
            <w:tcMar>
              <w:top w:w="120" w:type="dxa"/>
              <w:left w:w="120" w:type="dxa"/>
              <w:bottom w:w="120" w:type="dxa"/>
              <w:right w:w="120" w:type="dxa"/>
            </w:tcMar>
            <w:vAlign w:val="center"/>
          </w:tcPr>
          <w:p w14:paraId="3C493C6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2.严格按照合同约定规范施药、安全放药，无违规用药、违规操作行为。</w:t>
            </w:r>
          </w:p>
        </w:tc>
        <w:tc>
          <w:tcPr>
            <w:tcW w:w="334" w:type="pct"/>
            <w:shd w:val="clear" w:color="auto" w:fill="auto"/>
            <w:tcMar>
              <w:top w:w="120" w:type="dxa"/>
              <w:left w:w="120" w:type="dxa"/>
              <w:bottom w:w="120" w:type="dxa"/>
              <w:right w:w="120" w:type="dxa"/>
            </w:tcMar>
            <w:vAlign w:val="center"/>
          </w:tcPr>
          <w:p w14:paraId="77BA35FA">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5</w:t>
            </w:r>
          </w:p>
        </w:tc>
        <w:tc>
          <w:tcPr>
            <w:tcW w:w="1410" w:type="pct"/>
            <w:shd w:val="clear" w:color="auto" w:fill="auto"/>
            <w:tcMar>
              <w:top w:w="120" w:type="dxa"/>
              <w:left w:w="120" w:type="dxa"/>
              <w:bottom w:w="120" w:type="dxa"/>
              <w:right w:w="120" w:type="dxa"/>
            </w:tcMar>
            <w:vAlign w:val="center"/>
          </w:tcPr>
          <w:p w14:paraId="7C221F8F">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每发现1次施药、放药、用药不符合合同规范要求，扣0.5分，扣完为止。</w:t>
            </w:r>
          </w:p>
        </w:tc>
        <w:tc>
          <w:tcPr>
            <w:tcW w:w="240" w:type="pct"/>
            <w:shd w:val="clear" w:color="auto" w:fill="auto"/>
            <w:tcMar>
              <w:top w:w="120" w:type="dxa"/>
              <w:left w:w="120" w:type="dxa"/>
              <w:bottom w:w="120" w:type="dxa"/>
              <w:right w:w="120" w:type="dxa"/>
            </w:tcMar>
            <w:vAlign w:val="center"/>
          </w:tcPr>
          <w:p w14:paraId="0C02E942">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c>
          <w:tcPr>
            <w:tcW w:w="210" w:type="pct"/>
            <w:shd w:val="clear" w:color="auto" w:fill="auto"/>
            <w:tcMar>
              <w:top w:w="120" w:type="dxa"/>
              <w:left w:w="120" w:type="dxa"/>
              <w:bottom w:w="120" w:type="dxa"/>
              <w:right w:w="120" w:type="dxa"/>
            </w:tcMar>
            <w:vAlign w:val="center"/>
          </w:tcPr>
          <w:p w14:paraId="66FE88D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tc>
      </w:tr>
      <w:tr w14:paraId="33F1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4" w:type="pct"/>
            <w:shd w:val="clear" w:color="auto" w:fill="auto"/>
            <w:tcMar>
              <w:top w:w="120" w:type="dxa"/>
              <w:left w:w="120" w:type="dxa"/>
              <w:bottom w:w="120" w:type="dxa"/>
              <w:right w:w="120" w:type="dxa"/>
            </w:tcMar>
            <w:vAlign w:val="center"/>
          </w:tcPr>
          <w:p w14:paraId="5ED3882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w:t>
            </w:r>
          </w:p>
        </w:tc>
        <w:tc>
          <w:tcPr>
            <w:tcW w:w="394" w:type="pct"/>
            <w:shd w:val="clear" w:color="auto" w:fill="auto"/>
            <w:tcMar>
              <w:top w:w="120" w:type="dxa"/>
              <w:left w:w="120" w:type="dxa"/>
              <w:bottom w:w="120" w:type="dxa"/>
              <w:right w:w="120" w:type="dxa"/>
            </w:tcMar>
            <w:vAlign w:val="center"/>
          </w:tcPr>
          <w:p w14:paraId="48F3349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满分合计</w:t>
            </w:r>
          </w:p>
        </w:tc>
        <w:tc>
          <w:tcPr>
            <w:tcW w:w="2165" w:type="pct"/>
            <w:shd w:val="clear" w:color="auto" w:fill="auto"/>
            <w:tcMar>
              <w:top w:w="120" w:type="dxa"/>
              <w:left w:w="120" w:type="dxa"/>
              <w:bottom w:w="120" w:type="dxa"/>
              <w:right w:w="120" w:type="dxa"/>
            </w:tcMar>
            <w:vAlign w:val="center"/>
          </w:tcPr>
          <w:p w14:paraId="6D35A08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w:t>
            </w:r>
          </w:p>
        </w:tc>
        <w:tc>
          <w:tcPr>
            <w:tcW w:w="334" w:type="pct"/>
            <w:shd w:val="clear" w:color="auto" w:fill="auto"/>
            <w:tcMar>
              <w:top w:w="120" w:type="dxa"/>
              <w:left w:w="120" w:type="dxa"/>
              <w:bottom w:w="120" w:type="dxa"/>
              <w:right w:w="120" w:type="dxa"/>
            </w:tcMar>
            <w:vAlign w:val="center"/>
          </w:tcPr>
          <w:p w14:paraId="6484A938">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100分</w:t>
            </w:r>
          </w:p>
        </w:tc>
        <w:tc>
          <w:tcPr>
            <w:tcW w:w="1410" w:type="pct"/>
            <w:shd w:val="clear" w:color="auto" w:fill="auto"/>
            <w:tcMar>
              <w:top w:w="120" w:type="dxa"/>
              <w:left w:w="120" w:type="dxa"/>
              <w:bottom w:w="120" w:type="dxa"/>
              <w:right w:w="120" w:type="dxa"/>
            </w:tcMar>
            <w:vAlign w:val="center"/>
          </w:tcPr>
          <w:p w14:paraId="26FFD60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w:t>
            </w:r>
          </w:p>
        </w:tc>
        <w:tc>
          <w:tcPr>
            <w:tcW w:w="240" w:type="pct"/>
            <w:shd w:val="clear" w:color="auto" w:fill="auto"/>
            <w:tcMar>
              <w:top w:w="120" w:type="dxa"/>
              <w:left w:w="120" w:type="dxa"/>
              <w:bottom w:w="120" w:type="dxa"/>
              <w:right w:w="120" w:type="dxa"/>
            </w:tcMar>
            <w:vAlign w:val="center"/>
          </w:tcPr>
          <w:p w14:paraId="14DD1A39">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w:t>
            </w:r>
          </w:p>
        </w:tc>
        <w:tc>
          <w:tcPr>
            <w:tcW w:w="210" w:type="pct"/>
            <w:shd w:val="clear" w:color="auto" w:fill="auto"/>
            <w:tcMar>
              <w:top w:w="120" w:type="dxa"/>
              <w:left w:w="120" w:type="dxa"/>
              <w:bottom w:w="120" w:type="dxa"/>
              <w:right w:w="120" w:type="dxa"/>
            </w:tcMar>
            <w:vAlign w:val="center"/>
          </w:tcPr>
          <w:p w14:paraId="70786B2E">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w:t>
            </w:r>
          </w:p>
        </w:tc>
      </w:tr>
    </w:tbl>
    <w:p w14:paraId="25765EE0">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jc w:val="left"/>
        <w:textAlignment w:val="auto"/>
        <w:rPr>
          <w:rFonts w:hint="eastAsia" w:ascii="宋体" w:hAnsi="宋体" w:eastAsia="宋体" w:cs="宋体"/>
          <w:iCs/>
          <w:color w:val="auto"/>
          <w:sz w:val="21"/>
          <w:szCs w:val="21"/>
          <w:highlight w:val="none"/>
          <w:lang w:val="en-US" w:eastAsia="zh-CN"/>
        </w:rPr>
      </w:pPr>
    </w:p>
    <w:p w14:paraId="28E22DC7">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注：1、此表总分100分，当月考核得分≥90分，全额支付该月服务费；当月考核得分为80-90分（含80分、不含90分）的，支付该月服务费的90%；当月考核得分为70-80分（含70分、不含80分）的，支付该月服务费的85%；当月考核得分＜70分的，支付该月服务费的80%，且视为月度考核不合格。甲方有权要求乙方在指定期限内完成整改，整改后仍不合格的，可额外扣减当月服务费5%-10%。</w:t>
      </w:r>
    </w:p>
    <w:p w14:paraId="42401484">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2、本项目所称年度考核不合格是指：乙方服务每满1年后，该年度内12次月度考核得分的平均值＜70分的情形；在服务期内，乙方若出现累计3次月度考核不合格（即当月得分＜70分），或出现1次年度考核不合格的，甲方有权单方面解除合同，由此造成的经济损失和法律责任，由乙方自行承担。</w:t>
      </w:r>
    </w:p>
    <w:p w14:paraId="56FBD7B3">
      <w:pPr>
        <w:pStyle w:val="13"/>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contextualSpacing/>
        <w:textAlignment w:val="auto"/>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3、甲方可按照相关管理规定和单位实际需要，对本考核表内容做出调整，调整方案经双方确认后实行。</w:t>
      </w:r>
    </w:p>
    <w:p w14:paraId="52158DE8">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14:textFill>
            <w14:solidFill>
              <w14:schemeClr w14:val="tx1"/>
            </w14:solidFill>
          </w14:textFill>
        </w:rPr>
        <w:t xml:space="preserve">分包与转包 </w:t>
      </w:r>
    </w:p>
    <w:p w14:paraId="7A307F47">
      <w:pPr>
        <w:pStyle w:val="13"/>
        <w:numPr>
          <w:ilvl w:val="0"/>
          <w:numId w:val="121"/>
        </w:numPr>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严禁转包，未经甲方书面同意不得分包</w:t>
      </w:r>
      <w:r>
        <w:rPr>
          <w:rFonts w:hint="eastAsia" w:ascii="宋体" w:hAnsi="宋体" w:eastAsia="宋体"/>
          <w:color w:val="000000" w:themeColor="text1"/>
          <w:szCs w:val="21"/>
          <w:highlight w:val="none"/>
          <w:lang w:eastAsia="zh-CN"/>
          <w14:textFill>
            <w14:solidFill>
              <w14:schemeClr w14:val="tx1"/>
            </w14:solidFill>
          </w14:textFill>
        </w:rPr>
        <w:t>。</w:t>
      </w:r>
    </w:p>
    <w:p w14:paraId="61AF3175">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14:textFill>
            <w14:solidFill>
              <w14:schemeClr w14:val="tx1"/>
            </w14:solidFill>
          </w14:textFill>
        </w:rPr>
        <w:t>违约责任</w:t>
      </w:r>
    </w:p>
    <w:p w14:paraId="53166EA2">
      <w:pPr>
        <w:pStyle w:val="16"/>
        <w:numPr>
          <w:ilvl w:val="0"/>
          <w:numId w:val="122"/>
        </w:numPr>
        <w:tabs>
          <w:tab w:val="left" w:pos="840"/>
        </w:tabs>
        <w:ind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乙方违反合同及招标文件约定的有关义务，对甲方造成经济损失的，应给予甲方经济赔偿；如造成重大损失的，甲方有权终止合同。</w:t>
      </w:r>
    </w:p>
    <w:p w14:paraId="242BAB65">
      <w:pPr>
        <w:pStyle w:val="16"/>
        <w:numPr>
          <w:ilvl w:val="0"/>
          <w:numId w:val="122"/>
        </w:numPr>
        <w:tabs>
          <w:tab w:val="left" w:pos="840"/>
        </w:tabs>
        <w:ind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除合同规定外，如果乙方没有按照合同规定的时间交付或完成，甲方可要求乙方支付违约金。从逾期之日起每日按本合同总价</w:t>
      </w:r>
      <w:r>
        <w:rPr>
          <w:rFonts w:hint="eastAsia" w:ascii="宋体" w:hAnsi="宋体" w:cs="Times New Roman"/>
          <w:color w:val="000000" w:themeColor="text1"/>
          <w:szCs w:val="21"/>
          <w:highlight w:val="none"/>
          <w:u w:val="single"/>
          <w14:textFill>
            <w14:solidFill>
              <w14:schemeClr w14:val="tx1"/>
            </w14:solidFill>
          </w14:textFill>
        </w:rPr>
        <w:t xml:space="preserve"> 3 </w:t>
      </w:r>
      <w:r>
        <w:rPr>
          <w:rFonts w:hint="eastAsia" w:ascii="宋体" w:hAnsi="宋体" w:cs="Times New Roman"/>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的数额向甲方支付违约金；逾期15天或以上的，甲方有权终止合同，要求乙方一次性支付合同总金额</w:t>
      </w:r>
      <w:r>
        <w:rPr>
          <w:rFonts w:hint="eastAsia" w:ascii="宋体" w:hAnsi="宋体"/>
          <w:color w:val="000000" w:themeColor="text1"/>
          <w:szCs w:val="21"/>
          <w:highlight w:val="none"/>
          <w:u w:val="single"/>
          <w14:textFill>
            <w14:solidFill>
              <w14:schemeClr w14:val="tx1"/>
            </w14:solidFill>
          </w14:textFill>
        </w:rPr>
        <w:t xml:space="preserve"> 20 %</w:t>
      </w:r>
      <w:r>
        <w:rPr>
          <w:rFonts w:hint="eastAsia" w:ascii="宋体" w:hAnsi="宋体"/>
          <w:color w:val="000000" w:themeColor="text1"/>
          <w:szCs w:val="21"/>
          <w:highlight w:val="none"/>
          <w14:textFill>
            <w14:solidFill>
              <w14:schemeClr w14:val="tx1"/>
            </w14:solidFill>
          </w14:textFill>
        </w:rPr>
        <w:t>违约金，并且给甲方造成的经济损失由乙方承担赔偿责任。</w:t>
      </w:r>
    </w:p>
    <w:p w14:paraId="6657B334">
      <w:pPr>
        <w:pStyle w:val="16"/>
        <w:numPr>
          <w:ilvl w:val="0"/>
          <w:numId w:val="122"/>
        </w:numPr>
        <w:tabs>
          <w:tab w:val="left" w:pos="840"/>
        </w:tabs>
        <w:ind w:firstLineChars="0"/>
        <w:rPr>
          <w:rFonts w:hint="eastAsia" w:ascii="宋体" w:hAnsi="宋体" w:cstheme="minorBidi"/>
          <w:color w:val="000000" w:themeColor="text1"/>
          <w:szCs w:val="21"/>
          <w:highlight w:val="none"/>
          <w14:textFill>
            <w14:solidFill>
              <w14:schemeClr w14:val="tx1"/>
            </w14:solidFill>
          </w14:textFill>
        </w:rPr>
      </w:pPr>
      <w:r>
        <w:rPr>
          <w:rFonts w:hint="eastAsia" w:ascii="宋体" w:hAnsi="宋体" w:cstheme="minorBidi"/>
          <w:color w:val="000000" w:themeColor="text1"/>
          <w:szCs w:val="21"/>
          <w:highlight w:val="none"/>
          <w14:textFill>
            <w14:solidFill>
              <w14:schemeClr w14:val="tx1"/>
            </w14:solidFill>
          </w14:textFill>
        </w:rPr>
        <w:t>因乙方原因导致本合同解除或是无法履行的，乙方应向甲方支付合同总价</w:t>
      </w:r>
      <w:r>
        <w:rPr>
          <w:rFonts w:hint="eastAsia" w:ascii="宋体" w:hAnsi="宋体" w:cstheme="minorBidi"/>
          <w:color w:val="000000" w:themeColor="text1"/>
          <w:szCs w:val="21"/>
          <w:highlight w:val="none"/>
          <w:u w:val="single"/>
          <w14:textFill>
            <w14:solidFill>
              <w14:schemeClr w14:val="tx1"/>
            </w14:solidFill>
          </w14:textFill>
        </w:rPr>
        <w:t xml:space="preserve"> 20 %</w:t>
      </w:r>
      <w:r>
        <w:rPr>
          <w:rFonts w:hint="eastAsia" w:ascii="宋体" w:hAnsi="宋体" w:cstheme="minorBidi"/>
          <w:color w:val="000000" w:themeColor="text1"/>
          <w:szCs w:val="21"/>
          <w:highlight w:val="none"/>
          <w14:textFill>
            <w14:solidFill>
              <w14:schemeClr w14:val="tx1"/>
            </w14:solidFill>
          </w14:textFill>
        </w:rPr>
        <w:t>的违约金，并且给甲方造成的经济损失由乙方承担赔偿责任。</w:t>
      </w:r>
    </w:p>
    <w:p w14:paraId="443F5ABE">
      <w:pPr>
        <w:pStyle w:val="16"/>
        <w:numPr>
          <w:ilvl w:val="0"/>
          <w:numId w:val="122"/>
        </w:numPr>
        <w:tabs>
          <w:tab w:val="left" w:pos="840"/>
        </w:tabs>
        <w:ind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甲方有权从未支付的款项或是履约保证金中直接扣除乙方的违约金，不足的部分由乙方另行补足。</w:t>
      </w:r>
    </w:p>
    <w:p w14:paraId="36B5826A">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14:textFill>
            <w14:solidFill>
              <w14:schemeClr w14:val="tx1"/>
            </w14:solidFill>
          </w14:textFill>
        </w:rPr>
        <w:t>争议的解决办法</w:t>
      </w:r>
    </w:p>
    <w:p w14:paraId="69550CE8">
      <w:pPr>
        <w:numPr>
          <w:ilvl w:val="0"/>
          <w:numId w:val="123"/>
        </w:num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凡与本合同有关而引起的一切争议，甲乙双方应首先通过友好协商解决，如经协商后仍不能达成协议时，任何一方可以向法院提出诉讼。</w:t>
      </w:r>
    </w:p>
    <w:p w14:paraId="3F21FEBF">
      <w:pPr>
        <w:numPr>
          <w:ilvl w:val="0"/>
          <w:numId w:val="123"/>
        </w:num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本合同发生的诉讼管辖地为</w:t>
      </w:r>
      <w:r>
        <w:rPr>
          <w:rFonts w:hint="eastAsia" w:ascii="宋体" w:hAnsi="宋体" w:eastAsia="宋体" w:cs="Times New Roman"/>
          <w:strike w:val="0"/>
          <w:color w:val="auto"/>
          <w:szCs w:val="21"/>
          <w:highlight w:val="none"/>
          <w:lang w:val="en-US" w:eastAsia="zh-CN"/>
        </w:rPr>
        <w:t>甲方所在地</w:t>
      </w:r>
      <w:r>
        <w:rPr>
          <w:rFonts w:hint="eastAsia" w:ascii="宋体" w:hAnsi="宋体" w:eastAsia="宋体" w:cs="Times New Roman"/>
          <w:color w:val="auto"/>
          <w:szCs w:val="21"/>
          <w:highlight w:val="none"/>
        </w:rPr>
        <w:t>的法院</w:t>
      </w:r>
      <w:r>
        <w:rPr>
          <w:rFonts w:hint="eastAsia" w:ascii="宋体" w:hAnsi="宋体" w:eastAsia="宋体" w:cs="Times New Roman"/>
          <w:color w:val="000000" w:themeColor="text1"/>
          <w:szCs w:val="21"/>
          <w:highlight w:val="none"/>
          <w14:textFill>
            <w14:solidFill>
              <w14:schemeClr w14:val="tx1"/>
            </w14:solidFill>
          </w14:textFill>
        </w:rPr>
        <w:t>。</w:t>
      </w:r>
    </w:p>
    <w:p w14:paraId="238E514C">
      <w:pPr>
        <w:numPr>
          <w:ilvl w:val="0"/>
          <w:numId w:val="123"/>
        </w:num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在进行法院审理期间，除提交法院审理的事项外，合同其他部分仍继续履行。</w:t>
      </w:r>
    </w:p>
    <w:p w14:paraId="04725F8D">
      <w:pPr>
        <w:numPr>
          <w:ilvl w:val="0"/>
          <w:numId w:val="123"/>
        </w:num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本合同按照中华人民共和国的法律进行解释。</w:t>
      </w:r>
    </w:p>
    <w:p w14:paraId="0E9F4D59">
      <w:pPr>
        <w:pStyle w:val="13"/>
        <w:numPr>
          <w:ilvl w:val="0"/>
          <w:numId w:val="96"/>
        </w:numPr>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14:textFill>
            <w14:solidFill>
              <w14:schemeClr w14:val="tx1"/>
            </w14:solidFill>
          </w14:textFill>
        </w:rPr>
        <w:t>不可抗力</w:t>
      </w:r>
    </w:p>
    <w:p w14:paraId="0457CD29">
      <w:pPr>
        <w:numPr>
          <w:ilvl w:val="0"/>
          <w:numId w:val="124"/>
        </w:num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甲乙双方如果任何一方因不可抗拒力的力量如地震、风暴、洪水、火灾或其他自然灾害、瘟疫、战争、暴乱、敌对行动、公共骚乱、公共敌人的行为、政府 或公共机关的禁止、劳资纠纷或其他双方无法控制、不可预见的事件，而无法履行本合同规定的义务时，应及时向对方通报不能履行或不能完全履行的理由，以减轻可能给对方造成的损失，在取得有关机构证明后，允许延期履行、部分履行或不履行合同，并根据情况可部分或全部免予承担违约责任。</w:t>
      </w:r>
    </w:p>
    <w:p w14:paraId="43BE0FF7">
      <w:pPr>
        <w:numPr>
          <w:ilvl w:val="0"/>
          <w:numId w:val="124"/>
        </w:num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如果发生了不可抗力的事件，任何一方均不对另一方因不能履约或延误履约而遭受的任何损害，成本增加或损失负责。遇到不可抗力事件的一方应采取适当的措施以减少或消除不可抗力事件的影响，并在最短时间内努力重新履行因不可抗力事件而受影响的义务。通过协商，双方应根据不可抗力对合同履行的影响程度，决定是否修改或终止本合同。</w:t>
      </w:r>
    </w:p>
    <w:p w14:paraId="04F0D93C">
      <w:pPr>
        <w:pStyle w:val="13"/>
        <w:numPr>
          <w:ilvl w:val="0"/>
          <w:numId w:val="96"/>
        </w:numPr>
        <w:tabs>
          <w:tab w:val="left" w:pos="567"/>
        </w:tabs>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14:textFill>
            <w14:solidFill>
              <w14:schemeClr w14:val="tx1"/>
            </w14:solidFill>
          </w14:textFill>
        </w:rPr>
        <w:t>合同生效</w:t>
      </w:r>
    </w:p>
    <w:p w14:paraId="49001BD9">
      <w:pPr>
        <w:pStyle w:val="13"/>
        <w:numPr>
          <w:ilvl w:val="0"/>
          <w:numId w:val="125"/>
        </w:numPr>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本合同由双方法定代表人或委托代理人签字盖章后立即生效，具有同等法律效力，服务期为合同签订日至</w:t>
      </w:r>
      <w:r>
        <w:rPr>
          <w:rFonts w:hint="eastAsia" w:ascii="宋体" w:hAnsi="宋体" w:eastAsia="宋体"/>
          <w:color w:val="000000" w:themeColor="text1"/>
          <w:szCs w:val="21"/>
          <w:highlight w:val="none"/>
          <w:u w:val="single"/>
          <w14:textFill>
            <w14:solidFill>
              <w14:schemeClr w14:val="tx1"/>
            </w14:solidFill>
          </w14:textFill>
        </w:rPr>
        <w:t xml:space="preserve">      年    月    日</w:t>
      </w:r>
      <w:r>
        <w:rPr>
          <w:rFonts w:hint="eastAsia" w:ascii="宋体" w:hAnsi="宋体" w:eastAsia="宋体"/>
          <w:color w:val="000000" w:themeColor="text1"/>
          <w:szCs w:val="21"/>
          <w:highlight w:val="none"/>
          <w14:textFill>
            <w14:solidFill>
              <w14:schemeClr w14:val="tx1"/>
            </w14:solidFill>
          </w14:textFill>
        </w:rPr>
        <w:t>，合同有效期随服务期结束而自然终止；</w:t>
      </w:r>
    </w:p>
    <w:p w14:paraId="5303A085">
      <w:pPr>
        <w:pStyle w:val="13"/>
        <w:numPr>
          <w:ilvl w:val="0"/>
          <w:numId w:val="125"/>
        </w:numPr>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本合同一式</w:t>
      </w:r>
      <w:r>
        <w:rPr>
          <w:rFonts w:hint="eastAsia"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份，其中甲方</w:t>
      </w:r>
      <w:r>
        <w:rPr>
          <w:rFonts w:hint="eastAsia"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份、乙方</w:t>
      </w:r>
      <w:r>
        <w:rPr>
          <w:rFonts w:hint="eastAsia"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份，采购代理机构</w:t>
      </w:r>
      <w:r>
        <w:rPr>
          <w:rFonts w:hint="eastAsia" w:ascii="宋体" w:hAnsi="宋体" w:eastAsia="宋体"/>
          <w:color w:val="000000" w:themeColor="text1"/>
          <w:szCs w:val="21"/>
          <w:highlight w:val="none"/>
          <w:u w:val="single"/>
          <w14:textFill>
            <w14:solidFill>
              <w14:schemeClr w14:val="tx1"/>
            </w14:solidFill>
          </w14:textFill>
        </w:rPr>
        <w:t xml:space="preserve">  壹  </w:t>
      </w:r>
      <w:r>
        <w:rPr>
          <w:rFonts w:hint="eastAsia" w:ascii="宋体" w:hAnsi="宋体" w:eastAsia="宋体"/>
          <w:color w:val="000000" w:themeColor="text1"/>
          <w:szCs w:val="21"/>
          <w:highlight w:val="none"/>
          <w14:textFill>
            <w14:solidFill>
              <w14:schemeClr w14:val="tx1"/>
            </w14:solidFill>
          </w14:textFill>
        </w:rPr>
        <w:t>份（须在合同签订之日起5个工作日内递交）</w:t>
      </w:r>
    </w:p>
    <w:p w14:paraId="22752C8C">
      <w:pPr>
        <w:pStyle w:val="13"/>
        <w:numPr>
          <w:ilvl w:val="0"/>
          <w:numId w:val="96"/>
        </w:numPr>
        <w:tabs>
          <w:tab w:val="left" w:pos="567"/>
        </w:tabs>
        <w:spacing w:before="217" w:beforeLines="50"/>
        <w:ind w:firstLineChars="0"/>
        <w:rPr>
          <w:rFonts w:hint="eastAsia" w:ascii="宋体" w:hAnsi="宋体" w:eastAsia="宋体"/>
          <w:b/>
          <w:color w:val="000000" w:themeColor="text1"/>
          <w:spacing w:val="20"/>
          <w:szCs w:val="21"/>
          <w:highlight w:val="none"/>
          <w14:textFill>
            <w14:solidFill>
              <w14:schemeClr w14:val="tx1"/>
            </w14:solidFill>
          </w14:textFill>
        </w:rPr>
      </w:pPr>
      <w:r>
        <w:rPr>
          <w:rFonts w:hint="eastAsia" w:ascii="宋体" w:hAnsi="宋体" w:eastAsia="宋体"/>
          <w:b/>
          <w:color w:val="000000" w:themeColor="text1"/>
          <w:spacing w:val="20"/>
          <w:szCs w:val="21"/>
          <w:highlight w:val="none"/>
          <w14:textFill>
            <w14:solidFill>
              <w14:schemeClr w14:val="tx1"/>
            </w14:solidFill>
          </w14:textFill>
        </w:rPr>
        <w:t>其它</w:t>
      </w:r>
    </w:p>
    <w:p w14:paraId="4DF7EC7C">
      <w:pPr>
        <w:pStyle w:val="13"/>
        <w:numPr>
          <w:ilvl w:val="0"/>
          <w:numId w:val="126"/>
        </w:numPr>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本合同未尽事宜，双方可签订补充合同，补充合同与所有附件均为合同的有效组成部分，与本合同具有同等法律效力；</w:t>
      </w:r>
    </w:p>
    <w:p w14:paraId="0896BB96">
      <w:pPr>
        <w:pStyle w:val="13"/>
        <w:numPr>
          <w:ilvl w:val="0"/>
          <w:numId w:val="126"/>
        </w:numPr>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在执行本合同的过程中，所有经甲乙双方签署确认的文件（包括会议纪要、补充协议、往来信函、合同附件等）即成为本合同的有效组成部分，其生效日期为双方签字盖章或确认之日期；</w:t>
      </w:r>
    </w:p>
    <w:p w14:paraId="73E4F45B">
      <w:pPr>
        <w:pStyle w:val="13"/>
        <w:numPr>
          <w:ilvl w:val="0"/>
          <w:numId w:val="126"/>
        </w:numPr>
        <w:ind w:firstLineChars="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本合同合计</w:t>
      </w:r>
      <w:r>
        <w:rPr>
          <w:rFonts w:hint="eastAsia" w:ascii="宋体" w:hAnsi="宋体" w:eastAsia="宋体"/>
          <w:color w:val="000000" w:themeColor="text1"/>
          <w:szCs w:val="21"/>
          <w:highlight w:val="none"/>
          <w:u w:val="single"/>
          <w14:textFill>
            <w14:solidFill>
              <w14:schemeClr w14:val="tx1"/>
            </w14:solidFill>
          </w14:textFill>
        </w:rPr>
        <w:t xml:space="preserve">      </w:t>
      </w:r>
      <w:r>
        <w:rPr>
          <w:rFonts w:hint="eastAsia" w:ascii="宋体" w:hAnsi="宋体" w:eastAsia="宋体"/>
          <w:color w:val="000000" w:themeColor="text1"/>
          <w:szCs w:val="21"/>
          <w:highlight w:val="none"/>
          <w14:textFill>
            <w14:solidFill>
              <w14:schemeClr w14:val="tx1"/>
            </w14:solidFill>
          </w14:textFill>
        </w:rPr>
        <w:t>页A4纸张，缺页之合同为无效合同。</w:t>
      </w:r>
    </w:p>
    <w:p w14:paraId="13F822A9">
      <w:pPr>
        <w:rPr>
          <w:rFonts w:hint="eastAsia" w:ascii="宋体" w:hAnsi="宋体" w:eastAsia="宋体"/>
          <w:color w:val="000000" w:themeColor="text1"/>
          <w:szCs w:val="21"/>
          <w:highlight w:val="none"/>
          <w14:textFill>
            <w14:solidFill>
              <w14:schemeClr w14:val="tx1"/>
            </w14:solidFill>
          </w14:textFill>
        </w:rPr>
      </w:pPr>
    </w:p>
    <w:p w14:paraId="49DC38A3">
      <w:pPr>
        <w:rPr>
          <w:rFonts w:hint="eastAsia" w:ascii="宋体" w:hAnsi="宋体" w:eastAsia="宋体"/>
          <w:color w:val="000000" w:themeColor="text1"/>
          <w:szCs w:val="21"/>
          <w:highlight w:val="none"/>
          <w14:textFill>
            <w14:solidFill>
              <w14:schemeClr w14:val="tx1"/>
            </w14:solidFill>
          </w14:textFill>
        </w:rPr>
      </w:pPr>
    </w:p>
    <w:p w14:paraId="27A39619">
      <w:pPr>
        <w:rPr>
          <w:rFonts w:hint="eastAsia" w:ascii="宋体" w:hAnsi="宋体" w:eastAsia="宋体"/>
          <w:color w:val="000000" w:themeColor="text1"/>
          <w:szCs w:val="21"/>
          <w:highlight w:val="none"/>
          <w14:textFill>
            <w14:solidFill>
              <w14:schemeClr w14:val="tx1"/>
            </w14:solidFill>
          </w14:textFill>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6CF6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7B281F9">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甲方（盖章）：</w:t>
            </w:r>
          </w:p>
        </w:tc>
        <w:tc>
          <w:tcPr>
            <w:tcW w:w="2500" w:type="pct"/>
          </w:tcPr>
          <w:p w14:paraId="3DD3B1B2">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乙方(盖章)：</w:t>
            </w:r>
          </w:p>
        </w:tc>
      </w:tr>
      <w:tr w14:paraId="3B39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D6E1598">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甲方代表人(签字)：</w:t>
            </w:r>
          </w:p>
        </w:tc>
        <w:tc>
          <w:tcPr>
            <w:tcW w:w="2500" w:type="pct"/>
          </w:tcPr>
          <w:p w14:paraId="05EFC11F">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乙方代表人(签字)：</w:t>
            </w:r>
          </w:p>
        </w:tc>
      </w:tr>
      <w:tr w14:paraId="7579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0E9ED8C3">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签字日期：</w:t>
            </w:r>
          </w:p>
        </w:tc>
        <w:tc>
          <w:tcPr>
            <w:tcW w:w="2500" w:type="pct"/>
          </w:tcPr>
          <w:p w14:paraId="131B738A">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签字日期：</w:t>
            </w:r>
          </w:p>
        </w:tc>
      </w:tr>
      <w:tr w14:paraId="38F2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3FFC6A23">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p>
        </w:tc>
        <w:tc>
          <w:tcPr>
            <w:tcW w:w="2500" w:type="pct"/>
          </w:tcPr>
          <w:p w14:paraId="3717571C">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地址：</w:t>
            </w:r>
          </w:p>
        </w:tc>
      </w:tr>
      <w:tr w14:paraId="7BB3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2C582C4">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电话：</w:t>
            </w:r>
          </w:p>
        </w:tc>
        <w:tc>
          <w:tcPr>
            <w:tcW w:w="2500" w:type="pct"/>
          </w:tcPr>
          <w:p w14:paraId="483A7210">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电话：</w:t>
            </w:r>
          </w:p>
        </w:tc>
      </w:tr>
      <w:tr w14:paraId="418A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D6CB7CF">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传真：</w:t>
            </w:r>
          </w:p>
        </w:tc>
        <w:tc>
          <w:tcPr>
            <w:tcW w:w="2500" w:type="pct"/>
          </w:tcPr>
          <w:p w14:paraId="0729EF4A">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传真：</w:t>
            </w:r>
          </w:p>
        </w:tc>
      </w:tr>
      <w:tr w14:paraId="3B2F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8EFEB99">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开户银行：</w:t>
            </w:r>
          </w:p>
        </w:tc>
        <w:tc>
          <w:tcPr>
            <w:tcW w:w="2500" w:type="pct"/>
          </w:tcPr>
          <w:p w14:paraId="22D0C11B">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开户银行：</w:t>
            </w:r>
          </w:p>
        </w:tc>
      </w:tr>
      <w:tr w14:paraId="3431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04A3B450">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银行账户：</w:t>
            </w:r>
          </w:p>
        </w:tc>
        <w:tc>
          <w:tcPr>
            <w:tcW w:w="2500" w:type="pct"/>
          </w:tcPr>
          <w:p w14:paraId="1089315F">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银行账户：</w:t>
            </w:r>
          </w:p>
        </w:tc>
      </w:tr>
    </w:tbl>
    <w:p w14:paraId="68A3D5F7">
      <w:pPr>
        <w:pStyle w:val="3"/>
        <w:keepNext w:val="0"/>
        <w:keepLines w:val="0"/>
        <w:pageBreakBefore/>
        <w:spacing w:after="240" w:line="360" w:lineRule="auto"/>
        <w:jc w:val="center"/>
        <w:rPr>
          <w:kern w:val="0"/>
          <w:sz w:val="20"/>
          <w:szCs w:val="20"/>
          <w:highlight w:val="none"/>
          <w:lang w:eastAsia="zh-Hans"/>
        </w:rPr>
      </w:pPr>
      <w:r>
        <w:rPr>
          <w:rFonts w:asciiTheme="minorEastAsia" w:hAnsiTheme="minorEastAsia" w:eastAsiaTheme="minorEastAsia"/>
          <w:spacing w:val="20"/>
          <w:sz w:val="32"/>
          <w:szCs w:val="32"/>
          <w:highlight w:val="none"/>
        </w:rPr>
        <w:t xml:space="preserve">第六章 </w:t>
      </w:r>
      <w:r>
        <w:rPr>
          <w:rFonts w:hint="eastAsia" w:asciiTheme="minorEastAsia" w:hAnsiTheme="minorEastAsia" w:eastAsiaTheme="minorEastAsia"/>
          <w:spacing w:val="20"/>
          <w:sz w:val="32"/>
          <w:szCs w:val="32"/>
          <w:highlight w:val="none"/>
        </w:rPr>
        <w:t>响应文件</w:t>
      </w:r>
      <w:r>
        <w:rPr>
          <w:rFonts w:asciiTheme="minorEastAsia" w:hAnsiTheme="minorEastAsia" w:eastAsiaTheme="minorEastAsia"/>
          <w:spacing w:val="20"/>
          <w:sz w:val="32"/>
          <w:szCs w:val="32"/>
          <w:highlight w:val="none"/>
        </w:rPr>
        <w:t>格式</w:t>
      </w:r>
      <w:bookmarkEnd w:id="37"/>
      <w:bookmarkEnd w:id="38"/>
      <w:bookmarkEnd w:id="39"/>
    </w:p>
    <w:p w14:paraId="70545053">
      <w:pPr>
        <w:widowControl/>
        <w:jc w:val="left"/>
        <w:rPr>
          <w:kern w:val="0"/>
          <w:sz w:val="20"/>
          <w:szCs w:val="20"/>
          <w:highlight w:val="none"/>
          <w:lang w:eastAsia="zh-Hans"/>
        </w:rPr>
      </w:pPr>
    </w:p>
    <w:p w14:paraId="5A497FAB">
      <w:pPr>
        <w:spacing w:before="468" w:beforeLines="150"/>
        <w:jc w:val="center"/>
        <w:rPr>
          <w:rFonts w:ascii="宋体" w:hAnsi="宋体"/>
          <w:b/>
          <w:bCs/>
          <w:sz w:val="80"/>
          <w:szCs w:val="80"/>
          <w:highlight w:val="none"/>
        </w:rPr>
      </w:pPr>
      <w:bookmarkStart w:id="42" w:name="_Toc169799785"/>
      <w:bookmarkStart w:id="43" w:name="_Hlk170195764"/>
      <w:r>
        <w:rPr>
          <w:rFonts w:hint="eastAsia" w:ascii="宋体" w:hAnsi="宋体"/>
          <w:b/>
          <w:bCs/>
          <w:sz w:val="72"/>
          <w:szCs w:val="72"/>
          <w:highlight w:val="none"/>
          <w:lang w:eastAsia="zh-CN"/>
        </w:rPr>
        <w:t>石龙镇“四害”消杀防控服务采购项目</w:t>
      </w:r>
      <w:r>
        <w:rPr>
          <w:rFonts w:hint="eastAsia" w:ascii="宋体" w:hAnsi="宋体"/>
          <w:b/>
          <w:bCs/>
          <w:sz w:val="80"/>
          <w:szCs w:val="80"/>
          <w:highlight w:val="none"/>
        </w:rPr>
        <w:t>响应</w:t>
      </w:r>
      <w:r>
        <w:rPr>
          <w:rFonts w:ascii="宋体" w:hAnsi="宋体"/>
          <w:b/>
          <w:bCs/>
          <w:sz w:val="80"/>
          <w:szCs w:val="80"/>
          <w:highlight w:val="none"/>
        </w:rPr>
        <w:t>文件</w:t>
      </w:r>
      <w:bookmarkEnd w:id="42"/>
    </w:p>
    <w:p w14:paraId="50B3A474">
      <w:pPr>
        <w:spacing w:after="1560" w:afterLines="500"/>
        <w:jc w:val="center"/>
        <w:rPr>
          <w:rFonts w:ascii="宋体" w:hAnsi="宋体"/>
          <w:b/>
          <w:bCs/>
          <w:highlight w:val="none"/>
        </w:rPr>
      </w:pPr>
      <w:bookmarkStart w:id="44" w:name="_Toc169799786"/>
      <w:r>
        <w:rPr>
          <w:rFonts w:ascii="宋体" w:hAnsi="宋体"/>
          <w:b/>
          <w:bCs/>
          <w:sz w:val="44"/>
          <w:szCs w:val="48"/>
          <w:highlight w:val="none"/>
        </w:rPr>
        <w:t>（正本/副本）</w:t>
      </w:r>
      <w:bookmarkEnd w:id="44"/>
      <w:r>
        <w:rPr>
          <w:rFonts w:ascii="宋体" w:hAnsi="宋体"/>
          <w:b/>
          <w:bCs/>
          <w:highlight w:val="none"/>
        </w:rPr>
        <w:br w:type="textWrapping"/>
      </w:r>
    </w:p>
    <w:p w14:paraId="16B8CE1C">
      <w:pPr>
        <w:keepNext w:val="0"/>
        <w:keepLines w:val="0"/>
        <w:pageBreakBefore w:val="0"/>
        <w:widowControl/>
        <w:kinsoku/>
        <w:wordWrap/>
        <w:overflowPunct/>
        <w:topLinePunct w:val="0"/>
        <w:autoSpaceDE/>
        <w:autoSpaceDN/>
        <w:bidi w:val="0"/>
        <w:adjustRightInd/>
        <w:snapToGrid/>
        <w:spacing w:before="3121" w:beforeLines="1000" w:line="360" w:lineRule="auto"/>
        <w:ind w:firstLine="1558" w:firstLineChars="485"/>
        <w:jc w:val="left"/>
        <w:textAlignment w:val="auto"/>
        <w:outlineLvl w:val="9"/>
        <w:rPr>
          <w:rFonts w:hint="eastAsia" w:ascii="宋体" w:hAnsi="宋体" w:eastAsia="宋体"/>
          <w:kern w:val="0"/>
          <w:sz w:val="32"/>
          <w:szCs w:val="32"/>
          <w:highlight w:val="none"/>
          <w:lang w:eastAsia="zh-CN"/>
        </w:rPr>
      </w:pPr>
      <w:r>
        <w:rPr>
          <w:rFonts w:ascii="宋体" w:hAnsi="宋体"/>
          <w:b/>
          <w:kern w:val="0"/>
          <w:sz w:val="32"/>
          <w:szCs w:val="32"/>
          <w:highlight w:val="none"/>
          <w:lang w:eastAsia="zh-Hans"/>
        </w:rPr>
        <w:t>项目编号：</w:t>
      </w:r>
      <w:r>
        <w:rPr>
          <w:rFonts w:hint="eastAsia" w:ascii="宋体" w:hAnsi="宋体"/>
          <w:b/>
          <w:kern w:val="0"/>
          <w:sz w:val="32"/>
          <w:szCs w:val="32"/>
          <w:highlight w:val="none"/>
          <w:lang w:eastAsia="zh-CN"/>
        </w:rPr>
        <w:t>ZHDGCZ2026015</w:t>
      </w:r>
    </w:p>
    <w:p w14:paraId="4AC7C517">
      <w:pPr>
        <w:widowControl/>
        <w:spacing w:line="360" w:lineRule="auto"/>
        <w:ind w:firstLine="1558" w:firstLineChars="485"/>
        <w:jc w:val="left"/>
        <w:outlineLvl w:val="9"/>
        <w:rPr>
          <w:rFonts w:ascii="宋体" w:hAnsi="宋体"/>
          <w:kern w:val="0"/>
          <w:sz w:val="24"/>
          <w:szCs w:val="24"/>
          <w:highlight w:val="none"/>
        </w:rPr>
      </w:pPr>
      <w:r>
        <w:rPr>
          <w:rFonts w:hint="eastAsia" w:ascii="宋体" w:hAnsi="宋体"/>
          <w:b/>
          <w:kern w:val="0"/>
          <w:sz w:val="32"/>
          <w:szCs w:val="32"/>
          <w:highlight w:val="none"/>
        </w:rPr>
        <w:t>供应商</w:t>
      </w:r>
      <w:r>
        <w:rPr>
          <w:rFonts w:ascii="宋体" w:hAnsi="宋体"/>
          <w:b/>
          <w:kern w:val="0"/>
          <w:sz w:val="32"/>
          <w:szCs w:val="32"/>
          <w:highlight w:val="none"/>
          <w:lang w:eastAsia="zh-Hans"/>
        </w:rPr>
        <w:t>名称</w:t>
      </w:r>
      <w:r>
        <w:rPr>
          <w:rFonts w:hint="eastAsia" w:ascii="宋体" w:hAnsi="宋体"/>
          <w:b/>
          <w:kern w:val="0"/>
          <w:sz w:val="32"/>
          <w:szCs w:val="32"/>
          <w:highlight w:val="none"/>
          <w:lang w:eastAsia="zh-Hans"/>
        </w:rPr>
        <w:t>：</w:t>
      </w:r>
    </w:p>
    <w:p w14:paraId="6CE0D0AE">
      <w:pPr>
        <w:widowControl/>
        <w:spacing w:before="936" w:beforeLines="300"/>
        <w:jc w:val="center"/>
        <w:outlineLvl w:val="9"/>
        <w:rPr>
          <w:kern w:val="0"/>
          <w:sz w:val="20"/>
          <w:szCs w:val="20"/>
          <w:highlight w:val="none"/>
          <w:lang w:eastAsia="zh-Hans"/>
        </w:rPr>
      </w:pPr>
      <w:r>
        <w:rPr>
          <w:rFonts w:ascii="宋体" w:hAnsi="宋体"/>
          <w:b/>
          <w:kern w:val="0"/>
          <w:sz w:val="32"/>
          <w:szCs w:val="32"/>
          <w:highlight w:val="none"/>
          <w:lang w:eastAsia="zh-Hans"/>
        </w:rPr>
        <w:t xml:space="preserve"> 年 月 日</w:t>
      </w:r>
    </w:p>
    <w:bookmarkEnd w:id="43"/>
    <w:p w14:paraId="07B28E70">
      <w:pPr>
        <w:widowControl/>
        <w:jc w:val="left"/>
        <w:rPr>
          <w:kern w:val="0"/>
          <w:sz w:val="20"/>
          <w:szCs w:val="20"/>
          <w:highlight w:val="none"/>
        </w:rPr>
      </w:pPr>
    </w:p>
    <w:p w14:paraId="5B0C6AF5">
      <w:pPr>
        <w:rPr>
          <w:highlight w:val="none"/>
        </w:rPr>
      </w:pPr>
    </w:p>
    <w:p w14:paraId="3B5C340E">
      <w:pPr>
        <w:rPr>
          <w:highlight w:val="none"/>
        </w:rPr>
      </w:pPr>
    </w:p>
    <w:p w14:paraId="5D11A945">
      <w:pPr>
        <w:rPr>
          <w:highlight w:val="none"/>
        </w:rPr>
      </w:pPr>
    </w:p>
    <w:p w14:paraId="765AA12B">
      <w:pPr>
        <w:rPr>
          <w:highlight w:val="none"/>
        </w:rPr>
      </w:pPr>
    </w:p>
    <w:p w14:paraId="7AB92FCF">
      <w:pPr>
        <w:rPr>
          <w:highlight w:val="none"/>
        </w:rPr>
      </w:pPr>
    </w:p>
    <w:p w14:paraId="56E570E3">
      <w:pPr>
        <w:rPr>
          <w:highlight w:val="none"/>
        </w:rPr>
      </w:pPr>
      <w:r>
        <w:rPr>
          <w:highlight w:val="none"/>
        </w:rPr>
        <w:br w:type="page"/>
      </w:r>
    </w:p>
    <w:p w14:paraId="680F0F77">
      <w:pPr>
        <w:pageBreakBefore/>
        <w:spacing w:after="156" w:afterLines="50"/>
        <w:jc w:val="center"/>
        <w:outlineLvl w:val="3"/>
        <w:rPr>
          <w:kern w:val="0"/>
          <w:sz w:val="20"/>
          <w:szCs w:val="20"/>
          <w:highlight w:val="none"/>
          <w:lang w:eastAsia="zh-Hans"/>
        </w:rPr>
      </w:pPr>
      <w:r>
        <w:rPr>
          <w:rFonts w:hint="eastAsia"/>
          <w:b/>
          <w:kern w:val="0"/>
          <w:sz w:val="32"/>
          <w:highlight w:val="none"/>
          <w:lang w:eastAsia="zh-Hans"/>
        </w:rPr>
        <w:t>响应</w:t>
      </w:r>
      <w:r>
        <w:rPr>
          <w:b/>
          <w:kern w:val="0"/>
          <w:sz w:val="32"/>
          <w:highlight w:val="none"/>
          <w:lang w:eastAsia="zh-Hans"/>
        </w:rPr>
        <w:t>文件目录</w:t>
      </w:r>
    </w:p>
    <w:p w14:paraId="24D12B96">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kern w:val="0"/>
          <w:szCs w:val="21"/>
          <w:highlight w:val="none"/>
          <w:lang w:eastAsia="zh-Hans"/>
        </w:rPr>
      </w:pPr>
      <w:r>
        <w:rPr>
          <w:rFonts w:hint="eastAsia"/>
          <w:kern w:val="0"/>
          <w:szCs w:val="21"/>
          <w:highlight w:val="none"/>
          <w:lang w:eastAsia="zh-Hans"/>
        </w:rPr>
        <w:t>响应承诺</w:t>
      </w:r>
      <w:r>
        <w:rPr>
          <w:kern w:val="0"/>
          <w:szCs w:val="21"/>
          <w:highlight w:val="none"/>
          <w:lang w:eastAsia="zh-Hans"/>
        </w:rPr>
        <w:t>函</w:t>
      </w:r>
    </w:p>
    <w:p w14:paraId="0781EDCA">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rFonts w:hint="eastAsia"/>
          <w:color w:val="auto"/>
          <w:kern w:val="0"/>
          <w:szCs w:val="21"/>
          <w:highlight w:val="none"/>
          <w:lang w:eastAsia="zh-Hans"/>
        </w:rPr>
        <w:t>首次报价表</w:t>
      </w:r>
    </w:p>
    <w:p w14:paraId="0092BFB5">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rPr>
      </w:pPr>
      <w:r>
        <w:rPr>
          <w:rFonts w:hint="eastAsia"/>
          <w:color w:val="auto"/>
          <w:kern w:val="0"/>
          <w:szCs w:val="21"/>
          <w:highlight w:val="none"/>
          <w:lang w:eastAsia="zh-Hans"/>
        </w:rPr>
        <w:t>中小企业声明函</w:t>
      </w:r>
    </w:p>
    <w:p w14:paraId="18D13542">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rPr>
      </w:pPr>
      <w:r>
        <w:rPr>
          <w:color w:val="auto"/>
          <w:kern w:val="0"/>
          <w:szCs w:val="21"/>
          <w:highlight w:val="none"/>
          <w:lang w:eastAsia="zh-Hans"/>
        </w:rPr>
        <w:t>监狱企业</w:t>
      </w:r>
    </w:p>
    <w:p w14:paraId="2CF4E8CA">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rPr>
      </w:pPr>
      <w:r>
        <w:rPr>
          <w:color w:val="auto"/>
          <w:kern w:val="0"/>
          <w:szCs w:val="21"/>
          <w:highlight w:val="none"/>
          <w:lang w:eastAsia="zh-Hans"/>
        </w:rPr>
        <w:t>残疾人福利性单位声明函</w:t>
      </w:r>
    </w:p>
    <w:p w14:paraId="4A935B1F">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rPr>
      </w:pPr>
      <w:r>
        <w:rPr>
          <w:color w:val="auto"/>
          <w:kern w:val="0"/>
          <w:szCs w:val="21"/>
          <w:highlight w:val="none"/>
          <w:lang w:eastAsia="zh-Hans"/>
        </w:rPr>
        <w:t>政策适用性说明</w:t>
      </w:r>
    </w:p>
    <w:p w14:paraId="45E0E053">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color w:val="auto"/>
          <w:kern w:val="0"/>
          <w:szCs w:val="21"/>
          <w:highlight w:val="none"/>
          <w:lang w:eastAsia="zh-Hans"/>
        </w:rPr>
        <w:t>法定代表人证明书</w:t>
      </w:r>
    </w:p>
    <w:p w14:paraId="5F0A9EE7">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color w:val="auto"/>
          <w:kern w:val="0"/>
          <w:szCs w:val="21"/>
          <w:highlight w:val="none"/>
          <w:lang w:eastAsia="zh-Hans"/>
        </w:rPr>
        <w:t>法定代表人授权</w:t>
      </w:r>
      <w:r>
        <w:rPr>
          <w:rFonts w:hint="eastAsia"/>
          <w:color w:val="auto"/>
          <w:kern w:val="0"/>
          <w:szCs w:val="21"/>
          <w:highlight w:val="none"/>
          <w:lang w:eastAsia="zh-Hans"/>
        </w:rPr>
        <w:t>委托</w:t>
      </w:r>
      <w:r>
        <w:rPr>
          <w:color w:val="auto"/>
          <w:kern w:val="0"/>
          <w:szCs w:val="21"/>
          <w:highlight w:val="none"/>
          <w:lang w:eastAsia="zh-Hans"/>
        </w:rPr>
        <w:t>书</w:t>
      </w:r>
    </w:p>
    <w:p w14:paraId="5E81537C">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rPr>
      </w:pPr>
      <w:r>
        <w:rPr>
          <w:rFonts w:hint="eastAsia"/>
          <w:color w:val="auto"/>
          <w:kern w:val="0"/>
          <w:szCs w:val="21"/>
          <w:highlight w:val="none"/>
        </w:rPr>
        <w:t>资格条件承诺函</w:t>
      </w:r>
    </w:p>
    <w:p w14:paraId="226C9F8E">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color w:val="auto"/>
          <w:kern w:val="0"/>
          <w:szCs w:val="21"/>
          <w:highlight w:val="none"/>
          <w:lang w:eastAsia="zh-Hans"/>
        </w:rPr>
        <w:t>提供具有独立承担民事责任的能力的证明材料</w:t>
      </w:r>
    </w:p>
    <w:p w14:paraId="3C31C674">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rFonts w:hint="eastAsia"/>
          <w:color w:val="auto"/>
          <w:kern w:val="0"/>
          <w:szCs w:val="21"/>
          <w:highlight w:val="none"/>
          <w:lang w:eastAsia="zh-Hans"/>
        </w:rPr>
        <w:t>拟投入本项目设备情况表</w:t>
      </w:r>
    </w:p>
    <w:p w14:paraId="5C972F00">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rPr>
      </w:pPr>
      <w:r>
        <w:rPr>
          <w:rFonts w:hint="eastAsia"/>
          <w:color w:val="auto"/>
          <w:kern w:val="0"/>
          <w:szCs w:val="21"/>
          <w:highlight w:val="none"/>
          <w:lang w:eastAsia="zh-Hans"/>
        </w:rPr>
        <w:t>项目技术服务人员情况表</w:t>
      </w:r>
    </w:p>
    <w:p w14:paraId="2EF2EB31">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rFonts w:hint="eastAsia"/>
          <w:color w:val="auto"/>
          <w:kern w:val="0"/>
          <w:szCs w:val="21"/>
          <w:highlight w:val="none"/>
          <w:lang w:eastAsia="zh-Hans"/>
        </w:rPr>
        <w:t>项目负责人简历表</w:t>
      </w:r>
    </w:p>
    <w:p w14:paraId="383588A0">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rFonts w:hint="eastAsia"/>
          <w:color w:val="auto"/>
          <w:kern w:val="0"/>
          <w:szCs w:val="21"/>
          <w:highlight w:val="none"/>
          <w:lang w:eastAsia="zh-Hans"/>
        </w:rPr>
        <w:t>供应商业绩情况表</w:t>
      </w:r>
    </w:p>
    <w:p w14:paraId="78C72316">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rFonts w:hint="eastAsia"/>
          <w:color w:val="auto"/>
          <w:kern w:val="0"/>
          <w:szCs w:val="21"/>
          <w:highlight w:val="none"/>
          <w:lang w:eastAsia="zh-Hans"/>
        </w:rPr>
        <w:t>技术和服务要求响应表</w:t>
      </w:r>
    </w:p>
    <w:p w14:paraId="0A99EF58">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rFonts w:hint="eastAsia"/>
          <w:color w:val="auto"/>
          <w:kern w:val="0"/>
          <w:szCs w:val="21"/>
          <w:highlight w:val="none"/>
          <w:lang w:eastAsia="zh-Hans"/>
        </w:rPr>
        <w:t>商务条件响应表</w:t>
      </w:r>
    </w:p>
    <w:p w14:paraId="082762C3">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rFonts w:hint="eastAsia"/>
          <w:color w:val="auto"/>
          <w:kern w:val="0"/>
          <w:szCs w:val="21"/>
          <w:highlight w:val="none"/>
          <w:lang w:eastAsia="zh-Hans"/>
        </w:rPr>
      </w:pPr>
      <w:r>
        <w:rPr>
          <w:rFonts w:hint="eastAsia"/>
          <w:color w:val="auto"/>
          <w:kern w:val="0"/>
          <w:szCs w:val="21"/>
          <w:highlight w:val="none"/>
          <w:lang w:eastAsia="zh-Hans"/>
        </w:rPr>
        <w:t>★号条款响应表</w:t>
      </w:r>
    </w:p>
    <w:p w14:paraId="4E7FA942">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rFonts w:hint="eastAsia"/>
          <w:color w:val="auto"/>
          <w:kern w:val="0"/>
          <w:szCs w:val="21"/>
          <w:highlight w:val="none"/>
          <w:lang w:eastAsia="zh-Hans"/>
        </w:rPr>
        <w:t>各类证明材料</w:t>
      </w:r>
    </w:p>
    <w:p w14:paraId="128D1BDA">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rPr>
      </w:pPr>
      <w:r>
        <w:rPr>
          <w:rFonts w:hint="eastAsia"/>
          <w:color w:val="auto"/>
          <w:kern w:val="0"/>
          <w:szCs w:val="21"/>
          <w:highlight w:val="none"/>
          <w:lang w:eastAsia="zh-Hans"/>
        </w:rPr>
        <w:t>采购代理服务费支付承诺书</w:t>
      </w:r>
    </w:p>
    <w:p w14:paraId="4A7229A0">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color w:val="auto"/>
          <w:kern w:val="0"/>
          <w:szCs w:val="21"/>
          <w:highlight w:val="none"/>
          <w:lang w:eastAsia="zh-Hans"/>
        </w:rPr>
      </w:pPr>
      <w:r>
        <w:rPr>
          <w:rFonts w:hint="eastAsia"/>
          <w:color w:val="auto"/>
          <w:kern w:val="0"/>
          <w:szCs w:val="21"/>
          <w:highlight w:val="none"/>
          <w:lang w:eastAsia="zh-Hans"/>
        </w:rPr>
        <w:t>询问函、质疑函、投诉书格式</w:t>
      </w:r>
    </w:p>
    <w:p w14:paraId="6ED45135">
      <w:pPr>
        <w:keepNext w:val="0"/>
        <w:keepLines w:val="0"/>
        <w:pageBreakBefore w:val="0"/>
        <w:widowControl/>
        <w:numPr>
          <w:ilvl w:val="0"/>
          <w:numId w:val="127"/>
        </w:numPr>
        <w:kinsoku/>
        <w:wordWrap/>
        <w:overflowPunct/>
        <w:topLinePunct w:val="0"/>
        <w:autoSpaceDE/>
        <w:autoSpaceDN/>
        <w:bidi w:val="0"/>
        <w:adjustRightInd/>
        <w:snapToGrid w:val="0"/>
        <w:spacing w:line="360" w:lineRule="auto"/>
        <w:ind w:left="0" w:leftChars="0" w:firstLine="0" w:firstLineChars="0"/>
        <w:contextualSpacing/>
        <w:jc w:val="left"/>
        <w:textAlignment w:val="auto"/>
        <w:rPr>
          <w:rFonts w:hint="eastAsia"/>
          <w:color w:val="auto"/>
          <w:kern w:val="0"/>
          <w:szCs w:val="21"/>
          <w:highlight w:val="none"/>
          <w:lang w:eastAsia="zh-Hans"/>
        </w:rPr>
      </w:pPr>
      <w:r>
        <w:rPr>
          <w:rFonts w:hint="eastAsia" w:asciiTheme="minorEastAsia" w:hAnsiTheme="minorEastAsia" w:eastAsiaTheme="minorEastAsia" w:cstheme="minorEastAsia"/>
          <w:color w:val="auto"/>
          <w:highlight w:val="none"/>
          <w:lang w:bidi="ar"/>
        </w:rPr>
        <w:t>项目总体方案</w:t>
      </w:r>
      <w:r>
        <w:rPr>
          <w:rFonts w:hint="eastAsia"/>
          <w:color w:val="auto"/>
          <w:kern w:val="0"/>
          <w:szCs w:val="21"/>
          <w:highlight w:val="none"/>
          <w:lang w:eastAsia="zh-Hans"/>
        </w:rPr>
        <w:t>、</w:t>
      </w:r>
      <w:r>
        <w:rPr>
          <w:rFonts w:hint="eastAsia" w:asciiTheme="minorEastAsia" w:hAnsiTheme="minorEastAsia" w:eastAsiaTheme="minorEastAsia" w:cstheme="minorEastAsia"/>
          <w:color w:val="auto"/>
          <w:highlight w:val="none"/>
          <w:lang w:val="en-US" w:eastAsia="zh-CN"/>
        </w:rPr>
        <w:t>除四害服务方案</w:t>
      </w:r>
      <w:r>
        <w:rPr>
          <w:rFonts w:hint="eastAsia"/>
          <w:color w:val="auto"/>
          <w:kern w:val="0"/>
          <w:szCs w:val="21"/>
          <w:highlight w:val="none"/>
          <w:lang w:eastAsia="zh-Hans"/>
        </w:rPr>
        <w:t>、服务质量保证方案</w:t>
      </w:r>
      <w:r>
        <w:rPr>
          <w:rFonts w:hint="eastAsia"/>
          <w:color w:val="auto"/>
          <w:kern w:val="0"/>
          <w:szCs w:val="21"/>
          <w:highlight w:val="none"/>
          <w:lang w:eastAsia="zh-CN"/>
        </w:rPr>
        <w:t>、培训方案、</w:t>
      </w:r>
      <w:r>
        <w:rPr>
          <w:rFonts w:hint="eastAsia" w:asciiTheme="minorEastAsia" w:hAnsiTheme="minorEastAsia" w:eastAsiaTheme="minorEastAsia" w:cstheme="minorEastAsia"/>
          <w:color w:val="auto"/>
          <w:highlight w:val="none"/>
        </w:rPr>
        <w:t>售后服务方案</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应急</w:t>
      </w:r>
      <w:r>
        <w:rPr>
          <w:rFonts w:hint="eastAsia" w:asciiTheme="minorEastAsia" w:hAnsiTheme="minorEastAsia" w:eastAsiaTheme="minorEastAsia" w:cstheme="minorEastAsia"/>
          <w:color w:val="auto"/>
          <w:highlight w:val="none"/>
          <w:lang w:val="en-US" w:eastAsia="zh-CN"/>
        </w:rPr>
        <w:t>预案</w:t>
      </w:r>
      <w:r>
        <w:rPr>
          <w:rFonts w:hint="eastAsia"/>
          <w:color w:val="auto"/>
          <w:kern w:val="0"/>
          <w:szCs w:val="21"/>
          <w:highlight w:val="none"/>
          <w:lang w:eastAsia="zh-Hans"/>
        </w:rPr>
        <w:t>等</w:t>
      </w:r>
    </w:p>
    <w:p w14:paraId="1D7E5E32">
      <w:pPr>
        <w:widowControl/>
        <w:jc w:val="left"/>
        <w:rPr>
          <w:kern w:val="0"/>
          <w:sz w:val="20"/>
          <w:szCs w:val="20"/>
          <w:highlight w:val="none"/>
          <w:lang w:eastAsia="zh-Hans"/>
        </w:rPr>
      </w:pPr>
    </w:p>
    <w:p w14:paraId="13F0704C">
      <w:pPr>
        <w:pageBreakBefore/>
        <w:rPr>
          <w:rFonts w:ascii="宋体" w:hAnsi="宋体"/>
          <w:b/>
          <w:bCs/>
          <w:highlight w:val="none"/>
        </w:rPr>
      </w:pPr>
      <w:r>
        <w:rPr>
          <w:rFonts w:hint="eastAsia" w:ascii="宋体" w:hAnsi="宋体"/>
          <w:b/>
          <w:bCs/>
          <w:sz w:val="24"/>
          <w:szCs w:val="28"/>
          <w:highlight w:val="none"/>
        </w:rPr>
        <w:t>资格、符合性审查索引表格式</w:t>
      </w:r>
    </w:p>
    <w:p w14:paraId="0A10C135">
      <w:pPr>
        <w:keepLines/>
        <w:tabs>
          <w:tab w:val="left" w:pos="284"/>
          <w:tab w:val="left" w:pos="426"/>
          <w:tab w:val="left" w:pos="709"/>
        </w:tabs>
        <w:spacing w:before="156" w:beforeLines="50" w:after="156" w:afterLines="50"/>
        <w:jc w:val="center"/>
        <w:rPr>
          <w:rFonts w:ascii="宋体" w:hAnsi="宋体"/>
          <w:b/>
          <w:bCs/>
          <w:szCs w:val="21"/>
          <w:highlight w:val="none"/>
        </w:rPr>
      </w:pPr>
      <w:r>
        <w:rPr>
          <w:rFonts w:hint="eastAsia" w:ascii="宋体" w:hAnsi="宋体"/>
          <w:b/>
          <w:bCs/>
          <w:sz w:val="28"/>
          <w:szCs w:val="28"/>
          <w:highlight w:val="none"/>
        </w:rPr>
        <w:t>资格、符合性审查索引表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5802"/>
        <w:gridCol w:w="2730"/>
      </w:tblGrid>
      <w:tr w14:paraId="46CE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000" w:type="pct"/>
            <w:gridSpan w:val="3"/>
            <w:vAlign w:val="center"/>
          </w:tcPr>
          <w:p w14:paraId="3FD0C2D1">
            <w:pPr>
              <w:spacing w:line="360" w:lineRule="auto"/>
              <w:jc w:val="left"/>
              <w:rPr>
                <w:rFonts w:ascii="宋体" w:hAnsi="宋体"/>
                <w:b/>
                <w:bCs/>
                <w:color w:val="000000" w:themeColor="text1"/>
                <w:spacing w:val="-10"/>
                <w:szCs w:val="21"/>
                <w:highlight w:val="none"/>
                <w14:textFill>
                  <w14:solidFill>
                    <w14:schemeClr w14:val="tx1"/>
                  </w14:solidFill>
                </w14:textFill>
              </w:rPr>
            </w:pPr>
            <w:r>
              <w:rPr>
                <w:rFonts w:hint="eastAsia" w:ascii="宋体" w:hAnsi="宋体"/>
                <w:b/>
                <w:color w:val="000000" w:themeColor="text1"/>
                <w:spacing w:val="20"/>
                <w:sz w:val="24"/>
                <w:szCs w:val="24"/>
                <w:highlight w:val="none"/>
                <w14:textFill>
                  <w14:solidFill>
                    <w14:schemeClr w14:val="tx1"/>
                  </w14:solidFill>
                </w14:textFill>
              </w:rPr>
              <w:t>资格性审查</w:t>
            </w:r>
          </w:p>
        </w:tc>
      </w:tr>
      <w:tr w14:paraId="436F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6" w:type="pct"/>
            <w:vAlign w:val="center"/>
          </w:tcPr>
          <w:p w14:paraId="0045B728">
            <w:pPr>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序号</w:t>
            </w:r>
          </w:p>
        </w:tc>
        <w:tc>
          <w:tcPr>
            <w:tcW w:w="3124" w:type="pct"/>
            <w:tcBorders>
              <w:bottom w:val="single" w:color="auto" w:sz="4" w:space="0"/>
              <w:tl2br w:val="nil"/>
            </w:tcBorders>
            <w:vAlign w:val="center"/>
          </w:tcPr>
          <w:p w14:paraId="0D901722">
            <w:pPr>
              <w:spacing w:line="360" w:lineRule="auto"/>
              <w:ind w:left="211" w:hanging="211" w:hangingChars="10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审查内容</w:t>
            </w:r>
          </w:p>
        </w:tc>
        <w:tc>
          <w:tcPr>
            <w:tcW w:w="1470" w:type="pct"/>
            <w:vAlign w:val="center"/>
          </w:tcPr>
          <w:p w14:paraId="6BD41D29">
            <w:pPr>
              <w:spacing w:line="360" w:lineRule="auto"/>
              <w:jc w:val="center"/>
              <w:rPr>
                <w:rFonts w:ascii="宋体" w:hAnsi="宋体"/>
                <w:b/>
                <w:bCs/>
                <w:color w:val="000000" w:themeColor="text1"/>
                <w:spacing w:val="-10"/>
                <w:szCs w:val="21"/>
                <w:highlight w:val="none"/>
                <w14:textFill>
                  <w14:solidFill>
                    <w14:schemeClr w14:val="tx1"/>
                  </w14:solidFill>
                </w14:textFill>
              </w:rPr>
            </w:pPr>
            <w:r>
              <w:rPr>
                <w:rFonts w:ascii="宋体" w:hAnsi="宋体"/>
                <w:b/>
                <w:bCs/>
                <w:color w:val="000000" w:themeColor="text1"/>
                <w:spacing w:val="-10"/>
                <w:szCs w:val="21"/>
                <w:highlight w:val="none"/>
                <w14:textFill>
                  <w14:solidFill>
                    <w14:schemeClr w14:val="tx1"/>
                  </w14:solidFill>
                </w14:textFill>
              </w:rPr>
              <w:t>响应文件</w:t>
            </w:r>
            <w:r>
              <w:rPr>
                <w:rFonts w:hint="eastAsia" w:ascii="宋体" w:hAnsi="宋体"/>
                <w:b/>
                <w:bCs/>
                <w:highlight w:val="none"/>
              </w:rPr>
              <w:t>对应页码范围</w:t>
            </w:r>
          </w:p>
        </w:tc>
      </w:tr>
      <w:tr w14:paraId="11A4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6" w:type="pct"/>
            <w:vAlign w:val="center"/>
          </w:tcPr>
          <w:p w14:paraId="2CE960A7">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w:t>
            </w:r>
          </w:p>
        </w:tc>
        <w:tc>
          <w:tcPr>
            <w:tcW w:w="3124" w:type="pct"/>
            <w:tcBorders>
              <w:tl2br w:val="nil"/>
            </w:tcBorders>
            <w:vAlign w:val="center"/>
          </w:tcPr>
          <w:p w14:paraId="102DBC17">
            <w:pPr>
              <w:spacing w:line="360" w:lineRule="auto"/>
              <w:jc w:val="center"/>
              <w:rPr>
                <w:rFonts w:ascii="宋体" w:hAnsi="宋体"/>
                <w:b/>
                <w:bCs/>
                <w:color w:val="000000" w:themeColor="text1"/>
                <w:szCs w:val="21"/>
                <w:highlight w:val="none"/>
                <w14:textFill>
                  <w14:solidFill>
                    <w14:schemeClr w14:val="tx1"/>
                  </w14:solidFill>
                </w14:textFill>
              </w:rPr>
            </w:pPr>
          </w:p>
        </w:tc>
        <w:tc>
          <w:tcPr>
            <w:tcW w:w="1470" w:type="pct"/>
            <w:vAlign w:val="center"/>
          </w:tcPr>
          <w:p w14:paraId="45957487">
            <w:pPr>
              <w:spacing w:line="360" w:lineRule="auto"/>
              <w:jc w:val="center"/>
              <w:rPr>
                <w:rFonts w:ascii="宋体" w:hAnsi="宋体"/>
                <w:b/>
                <w:bCs/>
                <w:color w:val="000000" w:themeColor="text1"/>
                <w:szCs w:val="21"/>
                <w:highlight w:val="none"/>
                <w14:textFill>
                  <w14:solidFill>
                    <w14:schemeClr w14:val="tx1"/>
                  </w14:solidFill>
                </w14:textFill>
              </w:rPr>
            </w:pPr>
          </w:p>
        </w:tc>
      </w:tr>
      <w:tr w14:paraId="2A76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6" w:type="pct"/>
            <w:vAlign w:val="center"/>
          </w:tcPr>
          <w:p w14:paraId="6607122D">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p>
        </w:tc>
        <w:tc>
          <w:tcPr>
            <w:tcW w:w="3124" w:type="pct"/>
            <w:vAlign w:val="center"/>
          </w:tcPr>
          <w:p w14:paraId="38512410">
            <w:pPr>
              <w:spacing w:line="360" w:lineRule="auto"/>
              <w:jc w:val="center"/>
              <w:rPr>
                <w:rFonts w:ascii="宋体" w:hAnsi="宋体"/>
                <w:b/>
                <w:bCs/>
                <w:color w:val="000000" w:themeColor="text1"/>
                <w:szCs w:val="21"/>
                <w:highlight w:val="none"/>
                <w14:textFill>
                  <w14:solidFill>
                    <w14:schemeClr w14:val="tx1"/>
                  </w14:solidFill>
                </w14:textFill>
              </w:rPr>
            </w:pPr>
          </w:p>
        </w:tc>
        <w:tc>
          <w:tcPr>
            <w:tcW w:w="1470" w:type="pct"/>
            <w:vAlign w:val="center"/>
          </w:tcPr>
          <w:p w14:paraId="1BE139E1">
            <w:pPr>
              <w:spacing w:line="360" w:lineRule="auto"/>
              <w:jc w:val="center"/>
              <w:rPr>
                <w:rFonts w:ascii="宋体" w:hAnsi="宋体"/>
                <w:b/>
                <w:bCs/>
                <w:color w:val="000000" w:themeColor="text1"/>
                <w:szCs w:val="21"/>
                <w:highlight w:val="none"/>
                <w14:textFill>
                  <w14:solidFill>
                    <w14:schemeClr w14:val="tx1"/>
                  </w14:solidFill>
                </w14:textFill>
              </w:rPr>
            </w:pPr>
          </w:p>
        </w:tc>
      </w:tr>
      <w:tr w14:paraId="1F7D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6" w:type="pct"/>
            <w:vAlign w:val="center"/>
          </w:tcPr>
          <w:p w14:paraId="127C3B9C">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p>
        </w:tc>
        <w:tc>
          <w:tcPr>
            <w:tcW w:w="3124" w:type="pct"/>
            <w:vAlign w:val="center"/>
          </w:tcPr>
          <w:p w14:paraId="4307901C">
            <w:pPr>
              <w:spacing w:line="360" w:lineRule="auto"/>
              <w:jc w:val="center"/>
              <w:rPr>
                <w:rFonts w:ascii="宋体" w:hAnsi="宋体"/>
                <w:b/>
                <w:bCs/>
                <w:color w:val="000000" w:themeColor="text1"/>
                <w:szCs w:val="21"/>
                <w:highlight w:val="none"/>
                <w14:textFill>
                  <w14:solidFill>
                    <w14:schemeClr w14:val="tx1"/>
                  </w14:solidFill>
                </w14:textFill>
              </w:rPr>
            </w:pPr>
          </w:p>
        </w:tc>
        <w:tc>
          <w:tcPr>
            <w:tcW w:w="1470" w:type="pct"/>
            <w:vAlign w:val="center"/>
          </w:tcPr>
          <w:p w14:paraId="1430641B">
            <w:pPr>
              <w:spacing w:line="360" w:lineRule="auto"/>
              <w:jc w:val="center"/>
              <w:rPr>
                <w:rFonts w:ascii="宋体" w:hAnsi="宋体"/>
                <w:b/>
                <w:bCs/>
                <w:color w:val="000000" w:themeColor="text1"/>
                <w:szCs w:val="21"/>
                <w:highlight w:val="none"/>
                <w14:textFill>
                  <w14:solidFill>
                    <w14:schemeClr w14:val="tx1"/>
                  </w14:solidFill>
                </w14:textFill>
              </w:rPr>
            </w:pPr>
          </w:p>
        </w:tc>
      </w:tr>
      <w:tr w14:paraId="69E1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6" w:type="pct"/>
            <w:vAlign w:val="center"/>
          </w:tcPr>
          <w:p w14:paraId="1EACAE6C">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p>
        </w:tc>
        <w:tc>
          <w:tcPr>
            <w:tcW w:w="3124" w:type="pct"/>
            <w:vAlign w:val="center"/>
          </w:tcPr>
          <w:p w14:paraId="61AC358E">
            <w:pPr>
              <w:spacing w:line="360" w:lineRule="auto"/>
              <w:jc w:val="center"/>
              <w:rPr>
                <w:rFonts w:ascii="宋体" w:hAnsi="宋体"/>
                <w:b/>
                <w:bCs/>
                <w:color w:val="000000" w:themeColor="text1"/>
                <w:szCs w:val="21"/>
                <w:highlight w:val="none"/>
                <w14:textFill>
                  <w14:solidFill>
                    <w14:schemeClr w14:val="tx1"/>
                  </w14:solidFill>
                </w14:textFill>
              </w:rPr>
            </w:pPr>
          </w:p>
        </w:tc>
        <w:tc>
          <w:tcPr>
            <w:tcW w:w="1470" w:type="pct"/>
            <w:vAlign w:val="center"/>
          </w:tcPr>
          <w:p w14:paraId="268F7E00">
            <w:pPr>
              <w:spacing w:line="360" w:lineRule="auto"/>
              <w:jc w:val="center"/>
              <w:rPr>
                <w:rFonts w:ascii="宋体" w:hAnsi="宋体"/>
                <w:b/>
                <w:bCs/>
                <w:color w:val="000000" w:themeColor="text1"/>
                <w:szCs w:val="21"/>
                <w:highlight w:val="none"/>
                <w14:textFill>
                  <w14:solidFill>
                    <w14:schemeClr w14:val="tx1"/>
                  </w14:solidFill>
                </w14:textFill>
              </w:rPr>
            </w:pPr>
          </w:p>
        </w:tc>
      </w:tr>
      <w:tr w14:paraId="1569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000" w:type="pct"/>
            <w:gridSpan w:val="3"/>
            <w:vAlign w:val="center"/>
          </w:tcPr>
          <w:p w14:paraId="0D9E8539">
            <w:pPr>
              <w:spacing w:line="360"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b/>
                <w:bCs/>
                <w:sz w:val="24"/>
                <w:szCs w:val="24"/>
                <w:highlight w:val="none"/>
              </w:rPr>
              <w:t>符合性审查</w:t>
            </w:r>
          </w:p>
        </w:tc>
      </w:tr>
      <w:tr w14:paraId="551B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6" w:type="pct"/>
            <w:vAlign w:val="center"/>
          </w:tcPr>
          <w:p w14:paraId="0F531C7B">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序号</w:t>
            </w:r>
          </w:p>
        </w:tc>
        <w:tc>
          <w:tcPr>
            <w:tcW w:w="3124" w:type="pct"/>
            <w:vAlign w:val="center"/>
          </w:tcPr>
          <w:p w14:paraId="02784D7D">
            <w:pPr>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审查内容</w:t>
            </w:r>
          </w:p>
        </w:tc>
        <w:tc>
          <w:tcPr>
            <w:tcW w:w="1470" w:type="pct"/>
            <w:vAlign w:val="center"/>
          </w:tcPr>
          <w:p w14:paraId="5C416DBB">
            <w:pPr>
              <w:spacing w:line="360" w:lineRule="auto"/>
              <w:jc w:val="center"/>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pacing w:val="-10"/>
                <w:szCs w:val="21"/>
                <w:highlight w:val="none"/>
                <w14:textFill>
                  <w14:solidFill>
                    <w14:schemeClr w14:val="tx1"/>
                  </w14:solidFill>
                </w14:textFill>
              </w:rPr>
              <w:t>响应文件</w:t>
            </w:r>
            <w:r>
              <w:rPr>
                <w:rFonts w:hint="eastAsia" w:ascii="宋体" w:hAnsi="宋体"/>
                <w:b/>
                <w:bCs/>
                <w:highlight w:val="none"/>
              </w:rPr>
              <w:t>对应页码范围</w:t>
            </w:r>
          </w:p>
        </w:tc>
      </w:tr>
      <w:tr w14:paraId="112A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6" w:type="pct"/>
            <w:vAlign w:val="center"/>
          </w:tcPr>
          <w:p w14:paraId="19B30F9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124" w:type="pct"/>
            <w:vAlign w:val="center"/>
          </w:tcPr>
          <w:p w14:paraId="05698326">
            <w:pPr>
              <w:spacing w:line="360" w:lineRule="auto"/>
              <w:jc w:val="center"/>
              <w:rPr>
                <w:rFonts w:ascii="宋体" w:hAnsi="宋体"/>
                <w:b/>
                <w:bCs/>
                <w:color w:val="000000" w:themeColor="text1"/>
                <w:szCs w:val="21"/>
                <w:highlight w:val="none"/>
                <w14:textFill>
                  <w14:solidFill>
                    <w14:schemeClr w14:val="tx1"/>
                  </w14:solidFill>
                </w14:textFill>
              </w:rPr>
            </w:pPr>
          </w:p>
        </w:tc>
        <w:tc>
          <w:tcPr>
            <w:tcW w:w="1470" w:type="pct"/>
            <w:vAlign w:val="center"/>
          </w:tcPr>
          <w:p w14:paraId="3BD90F3D">
            <w:pPr>
              <w:spacing w:line="360" w:lineRule="auto"/>
              <w:jc w:val="center"/>
              <w:rPr>
                <w:rFonts w:ascii="宋体" w:hAnsi="宋体"/>
                <w:b/>
                <w:bCs/>
                <w:color w:val="000000" w:themeColor="text1"/>
                <w:spacing w:val="-10"/>
                <w:szCs w:val="21"/>
                <w:highlight w:val="none"/>
                <w14:textFill>
                  <w14:solidFill>
                    <w14:schemeClr w14:val="tx1"/>
                  </w14:solidFill>
                </w14:textFill>
              </w:rPr>
            </w:pPr>
          </w:p>
        </w:tc>
      </w:tr>
      <w:tr w14:paraId="6C82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406" w:type="pct"/>
            <w:vAlign w:val="center"/>
          </w:tcPr>
          <w:p w14:paraId="22C26FB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124" w:type="pct"/>
            <w:vAlign w:val="center"/>
          </w:tcPr>
          <w:p w14:paraId="1845AC4F">
            <w:pPr>
              <w:spacing w:line="360" w:lineRule="auto"/>
              <w:jc w:val="center"/>
              <w:rPr>
                <w:rFonts w:ascii="宋体" w:hAnsi="宋体"/>
                <w:b/>
                <w:bCs/>
                <w:color w:val="000000" w:themeColor="text1"/>
                <w:szCs w:val="21"/>
                <w:highlight w:val="none"/>
                <w14:textFill>
                  <w14:solidFill>
                    <w14:schemeClr w14:val="tx1"/>
                  </w14:solidFill>
                </w14:textFill>
              </w:rPr>
            </w:pPr>
          </w:p>
        </w:tc>
        <w:tc>
          <w:tcPr>
            <w:tcW w:w="1470" w:type="pct"/>
            <w:vAlign w:val="center"/>
          </w:tcPr>
          <w:p w14:paraId="43F015D6">
            <w:pPr>
              <w:spacing w:line="360" w:lineRule="auto"/>
              <w:jc w:val="center"/>
              <w:rPr>
                <w:rFonts w:ascii="宋体" w:hAnsi="宋体"/>
                <w:b/>
                <w:bCs/>
                <w:color w:val="000000" w:themeColor="text1"/>
                <w:spacing w:val="-10"/>
                <w:szCs w:val="21"/>
                <w:highlight w:val="none"/>
                <w14:textFill>
                  <w14:solidFill>
                    <w14:schemeClr w14:val="tx1"/>
                  </w14:solidFill>
                </w14:textFill>
              </w:rPr>
            </w:pPr>
          </w:p>
        </w:tc>
      </w:tr>
      <w:tr w14:paraId="1EBA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6" w:type="pct"/>
            <w:vAlign w:val="center"/>
          </w:tcPr>
          <w:p w14:paraId="65E8125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124" w:type="pct"/>
            <w:vAlign w:val="center"/>
          </w:tcPr>
          <w:p w14:paraId="1314FD03">
            <w:pPr>
              <w:spacing w:line="360" w:lineRule="auto"/>
              <w:jc w:val="center"/>
              <w:rPr>
                <w:rFonts w:ascii="宋体" w:hAnsi="宋体"/>
                <w:b/>
                <w:bCs/>
                <w:color w:val="000000" w:themeColor="text1"/>
                <w:szCs w:val="21"/>
                <w:highlight w:val="none"/>
                <w14:textFill>
                  <w14:solidFill>
                    <w14:schemeClr w14:val="tx1"/>
                  </w14:solidFill>
                </w14:textFill>
              </w:rPr>
            </w:pPr>
          </w:p>
        </w:tc>
        <w:tc>
          <w:tcPr>
            <w:tcW w:w="1470" w:type="pct"/>
            <w:vAlign w:val="center"/>
          </w:tcPr>
          <w:p w14:paraId="273B084D">
            <w:pPr>
              <w:spacing w:line="360" w:lineRule="auto"/>
              <w:jc w:val="center"/>
              <w:rPr>
                <w:rFonts w:ascii="宋体" w:hAnsi="宋体"/>
                <w:b/>
                <w:bCs/>
                <w:color w:val="000000" w:themeColor="text1"/>
                <w:spacing w:val="-10"/>
                <w:szCs w:val="21"/>
                <w:highlight w:val="none"/>
                <w14:textFill>
                  <w14:solidFill>
                    <w14:schemeClr w14:val="tx1"/>
                  </w14:solidFill>
                </w14:textFill>
              </w:rPr>
            </w:pPr>
          </w:p>
        </w:tc>
      </w:tr>
      <w:tr w14:paraId="0546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406" w:type="pct"/>
            <w:vAlign w:val="center"/>
          </w:tcPr>
          <w:p w14:paraId="6732B353">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3124" w:type="pct"/>
            <w:vAlign w:val="center"/>
          </w:tcPr>
          <w:p w14:paraId="1F166DC4">
            <w:pPr>
              <w:spacing w:line="360" w:lineRule="auto"/>
              <w:jc w:val="center"/>
              <w:rPr>
                <w:rFonts w:ascii="宋体" w:hAnsi="宋体"/>
                <w:b/>
                <w:bCs/>
                <w:color w:val="000000" w:themeColor="text1"/>
                <w:szCs w:val="21"/>
                <w:highlight w:val="none"/>
                <w14:textFill>
                  <w14:solidFill>
                    <w14:schemeClr w14:val="tx1"/>
                  </w14:solidFill>
                </w14:textFill>
              </w:rPr>
            </w:pPr>
          </w:p>
        </w:tc>
        <w:tc>
          <w:tcPr>
            <w:tcW w:w="1470" w:type="pct"/>
            <w:vAlign w:val="center"/>
          </w:tcPr>
          <w:p w14:paraId="3A7DC049">
            <w:pPr>
              <w:spacing w:line="360" w:lineRule="auto"/>
              <w:jc w:val="center"/>
              <w:rPr>
                <w:rFonts w:ascii="宋体" w:hAnsi="宋体"/>
                <w:b/>
                <w:bCs/>
                <w:color w:val="000000" w:themeColor="text1"/>
                <w:spacing w:val="-10"/>
                <w:szCs w:val="21"/>
                <w:highlight w:val="none"/>
                <w14:textFill>
                  <w14:solidFill>
                    <w14:schemeClr w14:val="tx1"/>
                  </w14:solidFill>
                </w14:textFill>
              </w:rPr>
            </w:pPr>
          </w:p>
        </w:tc>
      </w:tr>
    </w:tbl>
    <w:p w14:paraId="7CB58E6C">
      <w:pPr>
        <w:spacing w:before="156" w:beforeLines="50" w:line="360" w:lineRule="auto"/>
        <w:rPr>
          <w:rFonts w:ascii="宋体" w:hAnsi="宋体"/>
          <w:color w:val="000000" w:themeColor="text1"/>
          <w:spacing w:val="-4"/>
          <w:szCs w:val="21"/>
          <w:highlight w:val="none"/>
          <w14:textFill>
            <w14:solidFill>
              <w14:schemeClr w14:val="tx1"/>
            </w14:solidFill>
          </w14:textFill>
        </w:rPr>
      </w:pPr>
      <w:r>
        <w:rPr>
          <w:rFonts w:hint="eastAsia" w:ascii="宋体" w:hAnsi="宋体"/>
          <w:color w:val="000000" w:themeColor="text1"/>
          <w:spacing w:val="-4"/>
          <w:szCs w:val="21"/>
          <w:highlight w:val="none"/>
          <w14:textFill>
            <w14:solidFill>
              <w14:schemeClr w14:val="tx1"/>
            </w14:solidFill>
          </w14:textFill>
        </w:rPr>
        <w:t>注：</w:t>
      </w:r>
      <w:r>
        <w:rPr>
          <w:rFonts w:ascii="宋体" w:hAnsi="宋体"/>
          <w:kern w:val="0"/>
          <w:szCs w:val="21"/>
          <w:highlight w:val="none"/>
          <w:lang w:eastAsia="zh-Hans"/>
        </w:rPr>
        <w:t>“</w:t>
      </w:r>
      <w:r>
        <w:rPr>
          <w:rFonts w:hint="eastAsia" w:ascii="宋体" w:hAnsi="宋体"/>
          <w:color w:val="000000" w:themeColor="text1"/>
          <w:szCs w:val="21"/>
          <w:highlight w:val="none"/>
          <w14:textFill>
            <w14:solidFill>
              <w14:schemeClr w14:val="tx1"/>
            </w14:solidFill>
          </w14:textFill>
        </w:rPr>
        <w:t>审查内容</w:t>
      </w:r>
      <w:r>
        <w:rPr>
          <w:rFonts w:ascii="宋体" w:hAnsi="宋体"/>
          <w:kern w:val="0"/>
          <w:szCs w:val="21"/>
          <w:highlight w:val="none"/>
          <w:lang w:eastAsia="zh-Hans"/>
        </w:rPr>
        <w:t>”</w:t>
      </w:r>
      <w:r>
        <w:rPr>
          <w:rFonts w:hint="eastAsia" w:ascii="宋体" w:hAnsi="宋体"/>
          <w:color w:val="000000" w:themeColor="text1"/>
          <w:szCs w:val="21"/>
          <w:highlight w:val="none"/>
          <w14:textFill>
            <w14:solidFill>
              <w14:schemeClr w14:val="tx1"/>
            </w14:solidFill>
          </w14:textFill>
        </w:rPr>
        <w:t xml:space="preserve">按磋商文件《第四章 </w:t>
      </w:r>
      <w:r>
        <w:rPr>
          <w:rFonts w:ascii="宋体" w:hAnsi="宋体"/>
          <w:color w:val="000000" w:themeColor="text1"/>
          <w:szCs w:val="21"/>
          <w:highlight w:val="none"/>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》之</w:t>
      </w:r>
      <w:r>
        <w:rPr>
          <w:rFonts w:ascii="宋体" w:hAnsi="宋体"/>
          <w:b/>
          <w:bCs/>
          <w:kern w:val="0"/>
          <w:szCs w:val="21"/>
          <w:highlight w:val="none"/>
          <w:u w:val="single"/>
          <w:lang w:eastAsia="zh-Hans"/>
        </w:rPr>
        <w:t>表一资格性审查表</w:t>
      </w:r>
      <w:r>
        <w:rPr>
          <w:rFonts w:hint="eastAsia" w:ascii="宋体" w:hAnsi="宋体"/>
          <w:b/>
          <w:bCs/>
          <w:kern w:val="0"/>
          <w:szCs w:val="21"/>
          <w:highlight w:val="none"/>
          <w:u w:val="single"/>
          <w:lang w:eastAsia="zh-Hans"/>
        </w:rPr>
        <w:t>、</w:t>
      </w:r>
      <w:r>
        <w:rPr>
          <w:rFonts w:hint="eastAsia" w:ascii="宋体" w:hAnsi="宋体"/>
          <w:b/>
          <w:bCs/>
          <w:color w:val="000000" w:themeColor="text1"/>
          <w:szCs w:val="21"/>
          <w:highlight w:val="none"/>
          <w:u w:val="single"/>
          <w14:textFill>
            <w14:solidFill>
              <w14:schemeClr w14:val="tx1"/>
            </w14:solidFill>
          </w14:textFill>
        </w:rPr>
        <w:t>表二符合性审查表</w:t>
      </w:r>
      <w:r>
        <w:rPr>
          <w:rFonts w:hint="eastAsia" w:ascii="宋体" w:hAnsi="宋体"/>
          <w:color w:val="000000" w:themeColor="text1"/>
          <w:szCs w:val="21"/>
          <w:highlight w:val="none"/>
          <w14:textFill>
            <w14:solidFill>
              <w14:schemeClr w14:val="tx1"/>
            </w14:solidFill>
          </w14:textFill>
        </w:rPr>
        <w:t>相对应条款填写。</w:t>
      </w:r>
    </w:p>
    <w:p w14:paraId="5C25ADC2">
      <w:pPr>
        <w:pageBreakBefore/>
        <w:tabs>
          <w:tab w:val="left" w:pos="284"/>
          <w:tab w:val="left" w:pos="426"/>
          <w:tab w:val="left" w:pos="709"/>
        </w:tabs>
        <w:jc w:val="left"/>
        <w:rPr>
          <w:rFonts w:ascii="宋体" w:hAnsi="宋体"/>
          <w:b/>
          <w:bCs/>
          <w:szCs w:val="21"/>
          <w:highlight w:val="none"/>
        </w:rPr>
      </w:pPr>
      <w:bookmarkStart w:id="45" w:name="_Hlk169787866"/>
      <w:r>
        <w:rPr>
          <w:rFonts w:ascii="宋体" w:hAnsi="宋体"/>
          <w:b/>
          <w:bCs/>
          <w:sz w:val="24"/>
          <w:szCs w:val="24"/>
          <w:highlight w:val="none"/>
        </w:rPr>
        <w:t>详细评审</w:t>
      </w:r>
      <w:r>
        <w:rPr>
          <w:rFonts w:hint="eastAsia" w:ascii="宋体" w:hAnsi="宋体"/>
          <w:b/>
          <w:bCs/>
          <w:sz w:val="24"/>
          <w:szCs w:val="24"/>
          <w:highlight w:val="none"/>
        </w:rPr>
        <w:t>索引表</w:t>
      </w:r>
      <w:bookmarkEnd w:id="45"/>
      <w:r>
        <w:rPr>
          <w:rFonts w:hint="eastAsia" w:ascii="宋体" w:hAnsi="宋体"/>
          <w:b/>
          <w:bCs/>
          <w:sz w:val="24"/>
          <w:szCs w:val="24"/>
          <w:highlight w:val="none"/>
        </w:rPr>
        <w:t>格式</w:t>
      </w:r>
    </w:p>
    <w:p w14:paraId="2C87D44E">
      <w:pPr>
        <w:spacing w:before="312" w:beforeLines="100" w:after="312" w:afterLines="100"/>
        <w:jc w:val="center"/>
        <w:rPr>
          <w:rFonts w:ascii="宋体" w:hAnsi="宋体"/>
          <w:b/>
          <w:color w:val="000000" w:themeColor="text1"/>
          <w:spacing w:val="20"/>
          <w:szCs w:val="21"/>
          <w:highlight w:val="none"/>
          <w14:textFill>
            <w14:solidFill>
              <w14:schemeClr w14:val="tx1"/>
            </w14:solidFill>
          </w14:textFill>
        </w:rPr>
      </w:pPr>
      <w:r>
        <w:rPr>
          <w:rFonts w:ascii="宋体" w:hAnsi="宋体"/>
          <w:b/>
          <w:color w:val="000000" w:themeColor="text1"/>
          <w:spacing w:val="20"/>
          <w:sz w:val="28"/>
          <w:szCs w:val="28"/>
          <w:highlight w:val="none"/>
          <w14:textFill>
            <w14:solidFill>
              <w14:schemeClr w14:val="tx1"/>
            </w14:solidFill>
          </w14:textFill>
        </w:rPr>
        <w:t>详细评审</w:t>
      </w:r>
      <w:r>
        <w:rPr>
          <w:rFonts w:hint="eastAsia" w:ascii="宋体" w:hAnsi="宋体"/>
          <w:b/>
          <w:color w:val="000000" w:themeColor="text1"/>
          <w:spacing w:val="20"/>
          <w:sz w:val="28"/>
          <w:szCs w:val="28"/>
          <w:highlight w:val="none"/>
          <w14:textFill>
            <w14:solidFill>
              <w14:schemeClr w14:val="tx1"/>
            </w14:solidFill>
          </w14:textFill>
        </w:rPr>
        <w:t>索引表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697"/>
        <w:gridCol w:w="3703"/>
        <w:gridCol w:w="2684"/>
      </w:tblGrid>
      <w:tr w14:paraId="7C8D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71E86C3B">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商务评审细则</w:t>
            </w:r>
          </w:p>
        </w:tc>
      </w:tr>
      <w:tr w14:paraId="36A3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485D06CF">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914" w:type="pct"/>
            <w:vAlign w:val="center"/>
          </w:tcPr>
          <w:p w14:paraId="33DB1E93">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评分内容</w:t>
            </w:r>
          </w:p>
        </w:tc>
        <w:tc>
          <w:tcPr>
            <w:tcW w:w="1994" w:type="pct"/>
            <w:vAlign w:val="center"/>
          </w:tcPr>
          <w:p w14:paraId="7830AC0A">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评分标准</w:t>
            </w:r>
          </w:p>
        </w:tc>
        <w:tc>
          <w:tcPr>
            <w:tcW w:w="1445" w:type="pct"/>
            <w:vAlign w:val="center"/>
          </w:tcPr>
          <w:p w14:paraId="7E44F623">
            <w:pPr>
              <w:spacing w:line="360" w:lineRule="auto"/>
              <w:jc w:val="center"/>
              <w:rPr>
                <w:rFonts w:ascii="宋体" w:hAnsi="宋体"/>
                <w:b/>
                <w:color w:val="000000" w:themeColor="text1"/>
                <w:szCs w:val="21"/>
                <w:highlight w:val="none"/>
                <w14:textFill>
                  <w14:solidFill>
                    <w14:schemeClr w14:val="tx1"/>
                  </w14:solidFill>
                </w14:textFill>
              </w:rPr>
            </w:pPr>
            <w:r>
              <w:rPr>
                <w:rFonts w:ascii="宋体" w:hAnsi="宋体"/>
                <w:b/>
                <w:bCs/>
                <w:color w:val="000000" w:themeColor="text1"/>
                <w:spacing w:val="-10"/>
                <w:szCs w:val="21"/>
                <w:highlight w:val="none"/>
                <w14:textFill>
                  <w14:solidFill>
                    <w14:schemeClr w14:val="tx1"/>
                  </w14:solidFill>
                </w14:textFill>
              </w:rPr>
              <w:t>响应文件</w:t>
            </w:r>
            <w:r>
              <w:rPr>
                <w:rFonts w:hint="eastAsia" w:ascii="宋体" w:hAnsi="宋体"/>
                <w:b/>
                <w:bCs/>
                <w:highlight w:val="none"/>
              </w:rPr>
              <w:t>对应页码范围</w:t>
            </w:r>
          </w:p>
        </w:tc>
      </w:tr>
      <w:tr w14:paraId="3039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3DB0B627">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3F48D122">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678BCC75">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792F8CCD">
            <w:pPr>
              <w:spacing w:line="360" w:lineRule="auto"/>
              <w:jc w:val="center"/>
              <w:rPr>
                <w:rFonts w:ascii="宋体" w:hAnsi="宋体"/>
                <w:b/>
                <w:color w:val="000000" w:themeColor="text1"/>
                <w:szCs w:val="21"/>
                <w:highlight w:val="none"/>
                <w14:textFill>
                  <w14:solidFill>
                    <w14:schemeClr w14:val="tx1"/>
                  </w14:solidFill>
                </w14:textFill>
              </w:rPr>
            </w:pPr>
          </w:p>
        </w:tc>
      </w:tr>
      <w:tr w14:paraId="2D1B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2B238CF1">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0DE2CA54">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5078A4A6">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3F514D9F">
            <w:pPr>
              <w:spacing w:line="360" w:lineRule="auto"/>
              <w:jc w:val="center"/>
              <w:rPr>
                <w:rFonts w:ascii="宋体" w:hAnsi="宋体"/>
                <w:b/>
                <w:color w:val="000000" w:themeColor="text1"/>
                <w:szCs w:val="21"/>
                <w:highlight w:val="none"/>
                <w14:textFill>
                  <w14:solidFill>
                    <w14:schemeClr w14:val="tx1"/>
                  </w14:solidFill>
                </w14:textFill>
              </w:rPr>
            </w:pPr>
          </w:p>
        </w:tc>
      </w:tr>
      <w:tr w14:paraId="21E9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160A53B1">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253978E8">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28E01A53">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385EA4EA">
            <w:pPr>
              <w:spacing w:line="360" w:lineRule="auto"/>
              <w:jc w:val="center"/>
              <w:rPr>
                <w:rFonts w:ascii="宋体" w:hAnsi="宋体"/>
                <w:b/>
                <w:color w:val="000000" w:themeColor="text1"/>
                <w:szCs w:val="21"/>
                <w:highlight w:val="none"/>
                <w14:textFill>
                  <w14:solidFill>
                    <w14:schemeClr w14:val="tx1"/>
                  </w14:solidFill>
                </w14:textFill>
              </w:rPr>
            </w:pPr>
          </w:p>
        </w:tc>
      </w:tr>
      <w:tr w14:paraId="23D0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14CB46FB">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556ED91C">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188BDD6B">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48BA07F8">
            <w:pPr>
              <w:spacing w:line="360" w:lineRule="auto"/>
              <w:jc w:val="center"/>
              <w:rPr>
                <w:rFonts w:ascii="宋体" w:hAnsi="宋体"/>
                <w:b/>
                <w:color w:val="000000" w:themeColor="text1"/>
                <w:szCs w:val="21"/>
                <w:highlight w:val="none"/>
                <w14:textFill>
                  <w14:solidFill>
                    <w14:schemeClr w14:val="tx1"/>
                  </w14:solidFill>
                </w14:textFill>
              </w:rPr>
            </w:pPr>
          </w:p>
        </w:tc>
      </w:tr>
      <w:tr w14:paraId="1DC6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3DCEEEE">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技术评审细则</w:t>
            </w:r>
          </w:p>
        </w:tc>
      </w:tr>
      <w:tr w14:paraId="057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6FF6ED45">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914" w:type="pct"/>
            <w:vAlign w:val="center"/>
          </w:tcPr>
          <w:p w14:paraId="6EF96A1F">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评分内容</w:t>
            </w:r>
          </w:p>
        </w:tc>
        <w:tc>
          <w:tcPr>
            <w:tcW w:w="1994" w:type="pct"/>
            <w:vAlign w:val="center"/>
          </w:tcPr>
          <w:p w14:paraId="7169236A">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评分标准</w:t>
            </w:r>
          </w:p>
        </w:tc>
        <w:tc>
          <w:tcPr>
            <w:tcW w:w="1445" w:type="pct"/>
            <w:vAlign w:val="center"/>
          </w:tcPr>
          <w:p w14:paraId="698098F5">
            <w:pPr>
              <w:spacing w:line="360" w:lineRule="auto"/>
              <w:jc w:val="center"/>
              <w:rPr>
                <w:rFonts w:ascii="宋体" w:hAnsi="宋体"/>
                <w:b/>
                <w:color w:val="000000" w:themeColor="text1"/>
                <w:szCs w:val="21"/>
                <w:highlight w:val="none"/>
                <w14:textFill>
                  <w14:solidFill>
                    <w14:schemeClr w14:val="tx1"/>
                  </w14:solidFill>
                </w14:textFill>
              </w:rPr>
            </w:pPr>
            <w:r>
              <w:rPr>
                <w:rFonts w:ascii="宋体" w:hAnsi="宋体"/>
                <w:b/>
                <w:bCs/>
                <w:color w:val="000000" w:themeColor="text1"/>
                <w:spacing w:val="-10"/>
                <w:szCs w:val="21"/>
                <w:highlight w:val="none"/>
                <w14:textFill>
                  <w14:solidFill>
                    <w14:schemeClr w14:val="tx1"/>
                  </w14:solidFill>
                </w14:textFill>
              </w:rPr>
              <w:t>响应文件</w:t>
            </w:r>
            <w:r>
              <w:rPr>
                <w:rFonts w:hint="eastAsia" w:ascii="宋体" w:hAnsi="宋体"/>
                <w:b/>
                <w:bCs/>
                <w:highlight w:val="none"/>
              </w:rPr>
              <w:t>对应页码范围</w:t>
            </w:r>
          </w:p>
        </w:tc>
      </w:tr>
      <w:tr w14:paraId="536A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0B5557BD">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6413B404">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62EDECCB">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5CA224CD">
            <w:pPr>
              <w:spacing w:line="360" w:lineRule="auto"/>
              <w:jc w:val="center"/>
              <w:rPr>
                <w:rFonts w:ascii="宋体" w:hAnsi="宋体"/>
                <w:b/>
                <w:color w:val="000000" w:themeColor="text1"/>
                <w:szCs w:val="21"/>
                <w:highlight w:val="none"/>
                <w14:textFill>
                  <w14:solidFill>
                    <w14:schemeClr w14:val="tx1"/>
                  </w14:solidFill>
                </w14:textFill>
              </w:rPr>
            </w:pPr>
          </w:p>
        </w:tc>
      </w:tr>
      <w:tr w14:paraId="2BF5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3E63F242">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1B51B2D5">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28465B97">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2E346AE6">
            <w:pPr>
              <w:spacing w:line="360" w:lineRule="auto"/>
              <w:jc w:val="center"/>
              <w:rPr>
                <w:rFonts w:ascii="宋体" w:hAnsi="宋体"/>
                <w:b/>
                <w:color w:val="000000" w:themeColor="text1"/>
                <w:szCs w:val="21"/>
                <w:highlight w:val="none"/>
                <w14:textFill>
                  <w14:solidFill>
                    <w14:schemeClr w14:val="tx1"/>
                  </w14:solidFill>
                </w14:textFill>
              </w:rPr>
            </w:pPr>
          </w:p>
        </w:tc>
      </w:tr>
      <w:tr w14:paraId="25FE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117F1292">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52F838BD">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17A5925D">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45ECBC3F">
            <w:pPr>
              <w:spacing w:line="360" w:lineRule="auto"/>
              <w:jc w:val="center"/>
              <w:rPr>
                <w:rFonts w:ascii="宋体" w:hAnsi="宋体"/>
                <w:b/>
                <w:color w:val="000000" w:themeColor="text1"/>
                <w:szCs w:val="21"/>
                <w:highlight w:val="none"/>
                <w14:textFill>
                  <w14:solidFill>
                    <w14:schemeClr w14:val="tx1"/>
                  </w14:solidFill>
                </w14:textFill>
              </w:rPr>
            </w:pPr>
          </w:p>
        </w:tc>
      </w:tr>
      <w:tr w14:paraId="5CBB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3392C79D">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21009E77">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2FCBF933">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3F23D552">
            <w:pPr>
              <w:spacing w:line="360" w:lineRule="auto"/>
              <w:jc w:val="center"/>
              <w:rPr>
                <w:rFonts w:ascii="宋体" w:hAnsi="宋体"/>
                <w:b/>
                <w:color w:val="000000" w:themeColor="text1"/>
                <w:szCs w:val="21"/>
                <w:highlight w:val="none"/>
                <w14:textFill>
                  <w14:solidFill>
                    <w14:schemeClr w14:val="tx1"/>
                  </w14:solidFill>
                </w14:textFill>
              </w:rPr>
            </w:pPr>
          </w:p>
        </w:tc>
      </w:tr>
      <w:tr w14:paraId="186C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20912986">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7BF2CB20">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2C677579">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18127DB3">
            <w:pPr>
              <w:spacing w:line="360" w:lineRule="auto"/>
              <w:jc w:val="center"/>
              <w:rPr>
                <w:rFonts w:ascii="宋体" w:hAnsi="宋体"/>
                <w:b/>
                <w:color w:val="000000" w:themeColor="text1"/>
                <w:szCs w:val="21"/>
                <w:highlight w:val="none"/>
                <w14:textFill>
                  <w14:solidFill>
                    <w14:schemeClr w14:val="tx1"/>
                  </w14:solidFill>
                </w14:textFill>
              </w:rPr>
            </w:pPr>
          </w:p>
        </w:tc>
      </w:tr>
      <w:tr w14:paraId="35FB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pct"/>
            <w:vAlign w:val="center"/>
          </w:tcPr>
          <w:p w14:paraId="25FC1BBC">
            <w:pPr>
              <w:spacing w:line="360" w:lineRule="auto"/>
              <w:jc w:val="center"/>
              <w:rPr>
                <w:rFonts w:ascii="宋体" w:hAnsi="宋体"/>
                <w:b/>
                <w:color w:val="000000" w:themeColor="text1"/>
                <w:szCs w:val="21"/>
                <w:highlight w:val="none"/>
                <w14:textFill>
                  <w14:solidFill>
                    <w14:schemeClr w14:val="tx1"/>
                  </w14:solidFill>
                </w14:textFill>
              </w:rPr>
            </w:pPr>
          </w:p>
        </w:tc>
        <w:tc>
          <w:tcPr>
            <w:tcW w:w="914" w:type="pct"/>
            <w:vAlign w:val="center"/>
          </w:tcPr>
          <w:p w14:paraId="53C0CE04">
            <w:pPr>
              <w:spacing w:line="360" w:lineRule="auto"/>
              <w:jc w:val="center"/>
              <w:rPr>
                <w:rFonts w:ascii="宋体" w:hAnsi="宋体"/>
                <w:b/>
                <w:color w:val="000000" w:themeColor="text1"/>
                <w:szCs w:val="21"/>
                <w:highlight w:val="none"/>
                <w14:textFill>
                  <w14:solidFill>
                    <w14:schemeClr w14:val="tx1"/>
                  </w14:solidFill>
                </w14:textFill>
              </w:rPr>
            </w:pPr>
          </w:p>
        </w:tc>
        <w:tc>
          <w:tcPr>
            <w:tcW w:w="1994" w:type="pct"/>
            <w:vAlign w:val="center"/>
          </w:tcPr>
          <w:p w14:paraId="26AC5DAD">
            <w:pPr>
              <w:spacing w:line="360" w:lineRule="auto"/>
              <w:jc w:val="center"/>
              <w:rPr>
                <w:rFonts w:ascii="宋体" w:hAnsi="宋体"/>
                <w:b/>
                <w:color w:val="000000" w:themeColor="text1"/>
                <w:szCs w:val="21"/>
                <w:highlight w:val="none"/>
                <w14:textFill>
                  <w14:solidFill>
                    <w14:schemeClr w14:val="tx1"/>
                  </w14:solidFill>
                </w14:textFill>
              </w:rPr>
            </w:pPr>
          </w:p>
        </w:tc>
        <w:tc>
          <w:tcPr>
            <w:tcW w:w="1445" w:type="pct"/>
            <w:vAlign w:val="center"/>
          </w:tcPr>
          <w:p w14:paraId="3D9270BE">
            <w:pPr>
              <w:spacing w:line="360" w:lineRule="auto"/>
              <w:jc w:val="center"/>
              <w:rPr>
                <w:rFonts w:ascii="宋体" w:hAnsi="宋体"/>
                <w:b/>
                <w:color w:val="000000" w:themeColor="text1"/>
                <w:szCs w:val="21"/>
                <w:highlight w:val="none"/>
                <w14:textFill>
                  <w14:solidFill>
                    <w14:schemeClr w14:val="tx1"/>
                  </w14:solidFill>
                </w14:textFill>
              </w:rPr>
            </w:pPr>
          </w:p>
        </w:tc>
      </w:tr>
    </w:tbl>
    <w:p w14:paraId="1EB37938">
      <w:pPr>
        <w:spacing w:before="156" w:beforeLines="5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注：按磋商文件</w:t>
      </w:r>
      <w:r>
        <w:rPr>
          <w:rFonts w:ascii="宋体" w:hAnsi="宋体"/>
          <w:color w:val="000000" w:themeColor="text1"/>
          <w:szCs w:val="21"/>
          <w:highlight w:val="none"/>
          <w14:textFill>
            <w14:solidFill>
              <w14:schemeClr w14:val="tx1"/>
            </w14:solidFill>
          </w14:textFill>
        </w:rPr>
        <w:t>《第四章 评审》之</w:t>
      </w:r>
      <w:r>
        <w:rPr>
          <w:rFonts w:ascii="宋体" w:hAnsi="宋体"/>
          <w:b/>
          <w:bCs/>
          <w:color w:val="000000" w:themeColor="text1"/>
          <w:szCs w:val="21"/>
          <w:highlight w:val="none"/>
          <w:u w:val="single"/>
          <w14:textFill>
            <w14:solidFill>
              <w14:schemeClr w14:val="tx1"/>
            </w14:solidFill>
          </w14:textFill>
        </w:rPr>
        <w:t>详细评审</w:t>
      </w:r>
      <w:r>
        <w:rPr>
          <w:rFonts w:hint="eastAsia" w:ascii="宋体" w:hAnsi="宋体"/>
          <w:b/>
          <w:bCs/>
          <w:color w:val="000000" w:themeColor="text1"/>
          <w:szCs w:val="21"/>
          <w:highlight w:val="none"/>
          <w:u w:val="single"/>
          <w14:textFill>
            <w14:solidFill>
              <w14:schemeClr w14:val="tx1"/>
            </w14:solidFill>
          </w14:textFill>
        </w:rPr>
        <w:t>表</w:t>
      </w:r>
      <w:r>
        <w:rPr>
          <w:rFonts w:hint="eastAsia" w:ascii="宋体" w:hAnsi="宋体"/>
          <w:color w:val="000000" w:themeColor="text1"/>
          <w:szCs w:val="21"/>
          <w:highlight w:val="none"/>
          <w14:textFill>
            <w14:solidFill>
              <w14:schemeClr w14:val="tx1"/>
            </w14:solidFill>
          </w14:textFill>
        </w:rPr>
        <w:t>相对应条款填写。</w:t>
      </w:r>
    </w:p>
    <w:p w14:paraId="663E264B">
      <w:pPr>
        <w:pageBreakBefore/>
        <w:rPr>
          <w:rFonts w:ascii="宋体" w:hAnsi="宋体"/>
          <w:b/>
          <w:bCs/>
          <w:highlight w:val="none"/>
        </w:rPr>
      </w:pPr>
      <w:bookmarkStart w:id="46" w:name="_Toc169799787"/>
      <w:r>
        <w:rPr>
          <w:rFonts w:ascii="宋体" w:hAnsi="宋体"/>
          <w:b/>
          <w:bCs/>
          <w:sz w:val="24"/>
          <w:szCs w:val="28"/>
          <w:highlight w:val="none"/>
        </w:rPr>
        <w:t>格式一：</w:t>
      </w:r>
      <w:bookmarkEnd w:id="46"/>
    </w:p>
    <w:p w14:paraId="794FF9FD">
      <w:pPr>
        <w:widowControl/>
        <w:spacing w:after="312" w:afterLines="100"/>
        <w:jc w:val="center"/>
        <w:outlineLvl w:val="3"/>
        <w:rPr>
          <w:kern w:val="0"/>
          <w:sz w:val="20"/>
          <w:szCs w:val="20"/>
          <w:highlight w:val="none"/>
          <w:lang w:eastAsia="zh-Hans"/>
        </w:rPr>
      </w:pPr>
      <w:r>
        <w:rPr>
          <w:rFonts w:hint="eastAsia"/>
          <w:b/>
          <w:kern w:val="0"/>
          <w:sz w:val="32"/>
          <w:highlight w:val="none"/>
          <w:lang w:eastAsia="zh-Hans"/>
        </w:rPr>
        <w:t>响应承诺</w:t>
      </w:r>
      <w:r>
        <w:rPr>
          <w:b/>
          <w:kern w:val="0"/>
          <w:sz w:val="32"/>
          <w:highlight w:val="none"/>
          <w:lang w:eastAsia="zh-Hans"/>
        </w:rPr>
        <w:t>函</w:t>
      </w:r>
    </w:p>
    <w:p w14:paraId="0C364A96">
      <w:pPr>
        <w:widowControl/>
        <w:spacing w:after="156" w:afterLines="50"/>
        <w:jc w:val="left"/>
        <w:rPr>
          <w:b/>
          <w:bCs/>
          <w:kern w:val="0"/>
          <w:sz w:val="20"/>
          <w:szCs w:val="20"/>
          <w:highlight w:val="none"/>
          <w:lang w:eastAsia="zh-Hans"/>
        </w:rPr>
      </w:pPr>
      <w:r>
        <w:rPr>
          <w:b/>
          <w:bCs/>
          <w:kern w:val="0"/>
          <w:sz w:val="20"/>
          <w:szCs w:val="20"/>
          <w:highlight w:val="none"/>
          <w:lang w:eastAsia="zh-Hans"/>
        </w:rPr>
        <w:t>致</w:t>
      </w:r>
      <w:r>
        <w:rPr>
          <w:rFonts w:hint="eastAsia"/>
          <w:b/>
          <w:bCs/>
          <w:kern w:val="0"/>
          <w:sz w:val="20"/>
          <w:szCs w:val="20"/>
          <w:highlight w:val="none"/>
          <w:lang w:eastAsia="zh-Hans"/>
        </w:rPr>
        <w:t>：</w:t>
      </w:r>
      <w:r>
        <w:rPr>
          <w:b/>
          <w:bCs/>
          <w:kern w:val="0"/>
          <w:sz w:val="20"/>
          <w:szCs w:val="20"/>
          <w:highlight w:val="none"/>
          <w:lang w:eastAsia="zh-Hans"/>
        </w:rPr>
        <w:t>广东智汇城市招标采购有限公司</w:t>
      </w:r>
    </w:p>
    <w:p w14:paraId="19D810B8">
      <w:pPr>
        <w:widowControl/>
        <w:snapToGrid w:val="0"/>
        <w:spacing w:line="360" w:lineRule="auto"/>
        <w:ind w:firstLine="200"/>
        <w:contextualSpacing/>
        <w:jc w:val="left"/>
        <w:rPr>
          <w:kern w:val="0"/>
          <w:szCs w:val="21"/>
          <w:highlight w:val="none"/>
          <w:lang w:eastAsia="zh-Hans"/>
        </w:rPr>
      </w:pPr>
      <w:r>
        <w:rPr>
          <w:kern w:val="0"/>
          <w:szCs w:val="21"/>
          <w:highlight w:val="none"/>
          <w:lang w:eastAsia="zh-Hans"/>
        </w:rPr>
        <w:t>你方组织的</w:t>
      </w:r>
      <w:r>
        <w:rPr>
          <w:rFonts w:hint="eastAsia"/>
          <w:kern w:val="0"/>
          <w:szCs w:val="21"/>
          <w:highlight w:val="none"/>
          <w:u w:val="single"/>
        </w:rPr>
        <w:t xml:space="preserve">    （项目名称）       </w:t>
      </w:r>
      <w:r>
        <w:rPr>
          <w:kern w:val="0"/>
          <w:szCs w:val="21"/>
          <w:highlight w:val="none"/>
          <w:lang w:eastAsia="zh-Hans"/>
        </w:rPr>
        <w:t>的</w:t>
      </w:r>
      <w:r>
        <w:rPr>
          <w:rFonts w:hint="eastAsia"/>
          <w:kern w:val="0"/>
          <w:szCs w:val="21"/>
          <w:highlight w:val="none"/>
          <w:lang w:eastAsia="zh-Hans"/>
        </w:rPr>
        <w:t>竞争性磋商（</w:t>
      </w:r>
      <w:r>
        <w:rPr>
          <w:kern w:val="0"/>
          <w:szCs w:val="21"/>
          <w:highlight w:val="none"/>
          <w:lang w:eastAsia="zh-Hans"/>
        </w:rPr>
        <w:t>项目编号为：</w:t>
      </w:r>
      <w:r>
        <w:rPr>
          <w:rFonts w:hint="eastAsia"/>
          <w:kern w:val="0"/>
          <w:szCs w:val="21"/>
          <w:highlight w:val="none"/>
          <w:u w:val="single"/>
        </w:rPr>
        <w:t xml:space="preserve">               </w:t>
      </w:r>
      <w:r>
        <w:rPr>
          <w:rFonts w:hint="eastAsia"/>
          <w:kern w:val="0"/>
          <w:szCs w:val="21"/>
          <w:highlight w:val="none"/>
        </w:rPr>
        <w:t>）</w:t>
      </w:r>
      <w:r>
        <w:rPr>
          <w:kern w:val="0"/>
          <w:szCs w:val="21"/>
          <w:highlight w:val="none"/>
          <w:lang w:eastAsia="zh-Hans"/>
        </w:rPr>
        <w:t>，我方愿参与</w:t>
      </w:r>
      <w:r>
        <w:rPr>
          <w:rFonts w:hint="eastAsia"/>
          <w:kern w:val="0"/>
          <w:szCs w:val="21"/>
          <w:highlight w:val="none"/>
          <w:lang w:eastAsia="zh-Hans"/>
        </w:rPr>
        <w:t>响应</w:t>
      </w:r>
      <w:r>
        <w:rPr>
          <w:kern w:val="0"/>
          <w:szCs w:val="21"/>
          <w:highlight w:val="none"/>
          <w:lang w:eastAsia="zh-Hans"/>
        </w:rPr>
        <w:t>。</w:t>
      </w:r>
    </w:p>
    <w:p w14:paraId="11062D7A">
      <w:pPr>
        <w:widowControl/>
        <w:snapToGrid w:val="0"/>
        <w:spacing w:line="360" w:lineRule="auto"/>
        <w:ind w:firstLine="200"/>
        <w:contextualSpacing/>
        <w:jc w:val="left"/>
        <w:rPr>
          <w:rFonts w:ascii="宋体" w:hAnsi="宋体"/>
          <w:kern w:val="0"/>
          <w:szCs w:val="21"/>
          <w:highlight w:val="none"/>
          <w:lang w:eastAsia="zh-Hans"/>
        </w:rPr>
      </w:pPr>
      <w:r>
        <w:rPr>
          <w:rFonts w:ascii="宋体" w:hAnsi="宋体"/>
          <w:kern w:val="0"/>
          <w:szCs w:val="21"/>
          <w:highlight w:val="none"/>
          <w:lang w:eastAsia="zh-Hans"/>
        </w:rPr>
        <w:t>我方确认收到贵方提供的</w:t>
      </w:r>
      <w:r>
        <w:rPr>
          <w:rFonts w:hint="eastAsia" w:ascii="宋体" w:hAnsi="宋体"/>
          <w:kern w:val="0"/>
          <w:szCs w:val="21"/>
          <w:highlight w:val="none"/>
          <w:u w:val="single"/>
        </w:rPr>
        <w:t xml:space="preserve">      （项目名称）        </w:t>
      </w:r>
      <w:r>
        <w:rPr>
          <w:rFonts w:ascii="宋体" w:hAnsi="宋体"/>
          <w:kern w:val="0"/>
          <w:szCs w:val="21"/>
          <w:highlight w:val="none"/>
          <w:lang w:eastAsia="zh-Hans"/>
        </w:rPr>
        <w:t>的</w:t>
      </w:r>
      <w:r>
        <w:rPr>
          <w:rFonts w:hint="eastAsia" w:ascii="宋体" w:hAnsi="宋体"/>
          <w:kern w:val="0"/>
          <w:szCs w:val="21"/>
          <w:highlight w:val="none"/>
          <w:lang w:eastAsia="zh-Hans"/>
        </w:rPr>
        <w:t>磋商文件</w:t>
      </w:r>
      <w:r>
        <w:rPr>
          <w:rFonts w:ascii="宋体" w:hAnsi="宋体"/>
          <w:kern w:val="0"/>
          <w:szCs w:val="21"/>
          <w:highlight w:val="none"/>
          <w:lang w:eastAsia="zh-Hans"/>
        </w:rPr>
        <w:t>的全部内容。</w:t>
      </w:r>
    </w:p>
    <w:p w14:paraId="350B5180">
      <w:pPr>
        <w:widowControl/>
        <w:snapToGrid w:val="0"/>
        <w:spacing w:line="360" w:lineRule="auto"/>
        <w:ind w:firstLine="200"/>
        <w:contextualSpacing/>
        <w:jc w:val="left"/>
        <w:rPr>
          <w:rFonts w:ascii="宋体" w:hAnsi="宋体"/>
          <w:kern w:val="0"/>
          <w:szCs w:val="21"/>
          <w:highlight w:val="none"/>
          <w:lang w:eastAsia="zh-Hans"/>
        </w:rPr>
      </w:pPr>
      <w:r>
        <w:rPr>
          <w:rFonts w:ascii="宋体" w:hAnsi="宋体"/>
          <w:kern w:val="0"/>
          <w:szCs w:val="21"/>
          <w:highlight w:val="none"/>
          <w:lang w:eastAsia="zh-Hans"/>
        </w:rPr>
        <w:t>我方在参与</w:t>
      </w:r>
      <w:r>
        <w:rPr>
          <w:highlight w:val="none"/>
        </w:rPr>
        <w:t>响应</w:t>
      </w:r>
      <w:r>
        <w:rPr>
          <w:rFonts w:ascii="宋体" w:hAnsi="宋体"/>
          <w:kern w:val="0"/>
          <w:szCs w:val="21"/>
          <w:highlight w:val="none"/>
          <w:lang w:eastAsia="zh-Hans"/>
        </w:rPr>
        <w:t>前已详细研究了</w:t>
      </w:r>
      <w:r>
        <w:rPr>
          <w:rFonts w:hint="eastAsia" w:ascii="宋体" w:hAnsi="宋体"/>
          <w:kern w:val="0"/>
          <w:szCs w:val="21"/>
          <w:highlight w:val="none"/>
          <w:lang w:eastAsia="zh-Hans"/>
        </w:rPr>
        <w:t>磋商文件</w:t>
      </w:r>
      <w:r>
        <w:rPr>
          <w:rFonts w:ascii="宋体" w:hAnsi="宋体"/>
          <w:kern w:val="0"/>
          <w:szCs w:val="21"/>
          <w:highlight w:val="none"/>
          <w:lang w:eastAsia="zh-Hans"/>
        </w:rPr>
        <w:t>的所有内容，包括澄清、修改文件（如果有）和所有已提供的参考资料以及有关附件，我方完全明白并认为此</w:t>
      </w:r>
      <w:r>
        <w:rPr>
          <w:rFonts w:hint="eastAsia" w:ascii="宋体" w:hAnsi="宋体"/>
          <w:kern w:val="0"/>
          <w:szCs w:val="21"/>
          <w:highlight w:val="none"/>
          <w:lang w:eastAsia="zh-Hans"/>
        </w:rPr>
        <w:t>磋商文件</w:t>
      </w:r>
      <w:r>
        <w:rPr>
          <w:rFonts w:ascii="宋体" w:hAnsi="宋体"/>
          <w:kern w:val="0"/>
          <w:szCs w:val="21"/>
          <w:highlight w:val="none"/>
          <w:lang w:eastAsia="zh-Hans"/>
        </w:rPr>
        <w:t>没有倾向性，也不存在排斥潜在供应商的内容，我方同意</w:t>
      </w:r>
      <w:r>
        <w:rPr>
          <w:rFonts w:hint="eastAsia" w:ascii="宋体" w:hAnsi="宋体"/>
          <w:kern w:val="0"/>
          <w:szCs w:val="21"/>
          <w:highlight w:val="none"/>
          <w:lang w:eastAsia="zh-Hans"/>
        </w:rPr>
        <w:t>磋商文件</w:t>
      </w:r>
      <w:r>
        <w:rPr>
          <w:rFonts w:ascii="宋体" w:hAnsi="宋体"/>
          <w:kern w:val="0"/>
          <w:szCs w:val="21"/>
          <w:highlight w:val="none"/>
          <w:lang w:eastAsia="zh-Hans"/>
        </w:rPr>
        <w:t>的相关条款，放弃对</w:t>
      </w:r>
      <w:r>
        <w:rPr>
          <w:rFonts w:hint="eastAsia" w:ascii="宋体" w:hAnsi="宋体"/>
          <w:kern w:val="0"/>
          <w:szCs w:val="21"/>
          <w:highlight w:val="none"/>
          <w:lang w:eastAsia="zh-Hans"/>
        </w:rPr>
        <w:t>磋商文件</w:t>
      </w:r>
      <w:r>
        <w:rPr>
          <w:rFonts w:ascii="宋体" w:hAnsi="宋体"/>
          <w:kern w:val="0"/>
          <w:szCs w:val="21"/>
          <w:highlight w:val="none"/>
          <w:lang w:eastAsia="zh-Hans"/>
        </w:rPr>
        <w:t>提出误解和质疑的一切权力。</w:t>
      </w:r>
    </w:p>
    <w:p w14:paraId="0E426D7A">
      <w:pPr>
        <w:widowControl/>
        <w:snapToGrid w:val="0"/>
        <w:spacing w:line="360" w:lineRule="auto"/>
        <w:contextualSpacing/>
        <w:jc w:val="left"/>
        <w:rPr>
          <w:kern w:val="0"/>
          <w:sz w:val="20"/>
          <w:szCs w:val="20"/>
          <w:highlight w:val="none"/>
          <w:lang w:eastAsia="zh-Hans"/>
        </w:rPr>
      </w:pPr>
      <w:r>
        <w:rPr>
          <w:rFonts w:hint="eastAsia" w:ascii="宋体" w:hAnsi="宋体"/>
          <w:kern w:val="0"/>
          <w:szCs w:val="21"/>
          <w:highlight w:val="none"/>
          <w:u w:val="single"/>
        </w:rPr>
        <w:t xml:space="preserve">     </w:t>
      </w:r>
      <w:r>
        <w:rPr>
          <w:rFonts w:ascii="宋体" w:hAnsi="宋体"/>
          <w:kern w:val="0"/>
          <w:szCs w:val="21"/>
          <w:highlight w:val="none"/>
          <w:u w:val="single"/>
          <w:lang w:eastAsia="zh-Hans"/>
        </w:rPr>
        <w:t>(</w:t>
      </w:r>
      <w:r>
        <w:rPr>
          <w:rFonts w:hint="eastAsia" w:ascii="宋体" w:hAnsi="宋体"/>
          <w:kern w:val="0"/>
          <w:szCs w:val="21"/>
          <w:highlight w:val="none"/>
          <w:u w:val="single"/>
          <w:lang w:eastAsia="zh-Hans"/>
        </w:rPr>
        <w:t>供应商名称</w:t>
      </w:r>
      <w:r>
        <w:rPr>
          <w:rFonts w:ascii="宋体" w:hAnsi="宋体"/>
          <w:kern w:val="0"/>
          <w:szCs w:val="21"/>
          <w:highlight w:val="none"/>
          <w:u w:val="single"/>
          <w:lang w:eastAsia="zh-Hans"/>
        </w:rPr>
        <w:t>)</w:t>
      </w:r>
      <w:r>
        <w:rPr>
          <w:rFonts w:hint="eastAsia" w:ascii="宋体" w:hAnsi="宋体"/>
          <w:kern w:val="0"/>
          <w:szCs w:val="21"/>
          <w:highlight w:val="none"/>
          <w:u w:val="single"/>
        </w:rPr>
        <w:t xml:space="preserve">           </w:t>
      </w:r>
      <w:r>
        <w:rPr>
          <w:rFonts w:ascii="宋体" w:hAnsi="宋体"/>
          <w:kern w:val="0"/>
          <w:szCs w:val="21"/>
          <w:highlight w:val="none"/>
          <w:lang w:eastAsia="zh-Hans"/>
        </w:rPr>
        <w:t>作为</w:t>
      </w:r>
      <w:r>
        <w:rPr>
          <w:rFonts w:hint="eastAsia" w:ascii="宋体" w:hAnsi="宋体"/>
          <w:kern w:val="0"/>
          <w:szCs w:val="21"/>
          <w:highlight w:val="none"/>
          <w:lang w:eastAsia="zh-Hans"/>
        </w:rPr>
        <w:t>供应商</w:t>
      </w:r>
      <w:r>
        <w:rPr>
          <w:rFonts w:ascii="宋体" w:hAnsi="宋体"/>
          <w:kern w:val="0"/>
          <w:szCs w:val="21"/>
          <w:highlight w:val="none"/>
          <w:lang w:eastAsia="zh-Hans"/>
        </w:rPr>
        <w:t>正式授权</w:t>
      </w:r>
      <w:r>
        <w:rPr>
          <w:rFonts w:hint="eastAsia" w:ascii="宋体" w:hAnsi="宋体"/>
          <w:kern w:val="0"/>
          <w:szCs w:val="21"/>
          <w:highlight w:val="none"/>
          <w:u w:val="single"/>
        </w:rPr>
        <w:t xml:space="preserve">     </w:t>
      </w:r>
      <w:r>
        <w:rPr>
          <w:rFonts w:ascii="宋体" w:hAnsi="宋体"/>
          <w:kern w:val="0"/>
          <w:szCs w:val="21"/>
          <w:highlight w:val="none"/>
          <w:u w:val="single"/>
          <w:lang w:eastAsia="zh-Hans"/>
        </w:rPr>
        <w:t>(授权代表全名,职务)</w:t>
      </w:r>
      <w:r>
        <w:rPr>
          <w:rFonts w:hint="eastAsia" w:ascii="宋体" w:hAnsi="宋体"/>
          <w:kern w:val="0"/>
          <w:szCs w:val="21"/>
          <w:highlight w:val="none"/>
          <w:u w:val="single"/>
        </w:rPr>
        <w:t xml:space="preserve">      </w:t>
      </w:r>
      <w:r>
        <w:rPr>
          <w:rFonts w:ascii="宋体" w:hAnsi="宋体"/>
          <w:kern w:val="0"/>
          <w:szCs w:val="21"/>
          <w:highlight w:val="none"/>
          <w:lang w:eastAsia="zh-Hans"/>
        </w:rPr>
        <w:t>代表我方全权处理有关本</w:t>
      </w:r>
      <w:r>
        <w:rPr>
          <w:rFonts w:hint="eastAsia" w:ascii="宋体" w:hAnsi="宋体"/>
          <w:kern w:val="0"/>
          <w:szCs w:val="21"/>
          <w:highlight w:val="none"/>
          <w:lang w:eastAsia="zh-Hans"/>
        </w:rPr>
        <w:t>响应</w:t>
      </w:r>
      <w:r>
        <w:rPr>
          <w:rFonts w:ascii="宋体" w:hAnsi="宋体"/>
          <w:kern w:val="0"/>
          <w:szCs w:val="21"/>
          <w:highlight w:val="none"/>
          <w:lang w:eastAsia="zh-Hans"/>
        </w:rPr>
        <w:t>的一切事宜。</w:t>
      </w:r>
    </w:p>
    <w:p w14:paraId="256E89DC">
      <w:pPr>
        <w:widowControl/>
        <w:snapToGrid w:val="0"/>
        <w:spacing w:line="360" w:lineRule="auto"/>
        <w:ind w:firstLine="200"/>
        <w:contextualSpacing/>
        <w:jc w:val="left"/>
        <w:rPr>
          <w:rFonts w:ascii="宋体" w:hAnsi="宋体"/>
          <w:kern w:val="0"/>
          <w:szCs w:val="21"/>
          <w:highlight w:val="none"/>
          <w:lang w:eastAsia="zh-Hans"/>
        </w:rPr>
      </w:pPr>
      <w:r>
        <w:rPr>
          <w:rFonts w:ascii="宋体" w:hAnsi="宋体"/>
          <w:kern w:val="0"/>
          <w:szCs w:val="21"/>
          <w:highlight w:val="none"/>
          <w:lang w:eastAsia="zh-Hans"/>
        </w:rPr>
        <w:t>我方已完全明白</w:t>
      </w:r>
      <w:r>
        <w:rPr>
          <w:rFonts w:hint="eastAsia" w:ascii="宋体" w:hAnsi="宋体"/>
          <w:kern w:val="0"/>
          <w:szCs w:val="21"/>
          <w:highlight w:val="none"/>
          <w:lang w:eastAsia="zh-Hans"/>
        </w:rPr>
        <w:t>磋商文件</w:t>
      </w:r>
      <w:r>
        <w:rPr>
          <w:rFonts w:ascii="宋体" w:hAnsi="宋体"/>
          <w:kern w:val="0"/>
          <w:szCs w:val="21"/>
          <w:highlight w:val="none"/>
          <w:lang w:eastAsia="zh-Hans"/>
        </w:rPr>
        <w:t>的所有条款要求，并申明如下：</w:t>
      </w:r>
    </w:p>
    <w:p w14:paraId="73CAE7E0">
      <w:pPr>
        <w:pStyle w:val="11"/>
        <w:snapToGrid w:val="0"/>
        <w:spacing w:line="360" w:lineRule="auto"/>
        <w:ind w:firstLine="210" w:firstLineChars="100"/>
        <w:contextualSpacing/>
        <w:rPr>
          <w:rFonts w:hint="default"/>
          <w:sz w:val="21"/>
          <w:szCs w:val="21"/>
          <w:highlight w:val="none"/>
        </w:rPr>
      </w:pPr>
      <w:r>
        <w:rPr>
          <w:rFonts w:ascii="宋体" w:hAnsi="宋体" w:eastAsia="宋体" w:cs="Times New Roman"/>
          <w:sz w:val="21"/>
          <w:szCs w:val="21"/>
          <w:highlight w:val="none"/>
        </w:rPr>
        <w:t>（一）</w:t>
      </w:r>
      <w:r>
        <w:rPr>
          <w:sz w:val="21"/>
          <w:szCs w:val="21"/>
          <w:highlight w:val="none"/>
        </w:rPr>
        <w:t>按磋商文件提供的全部货物（工程、服务）与相关服务的磋商总价详见《首次报价表》。</w:t>
      </w:r>
    </w:p>
    <w:p w14:paraId="798D9901">
      <w:pPr>
        <w:widowControl/>
        <w:snapToGrid w:val="0"/>
        <w:spacing w:line="360" w:lineRule="auto"/>
        <w:ind w:firstLine="200"/>
        <w:contextualSpacing/>
        <w:jc w:val="left"/>
        <w:rPr>
          <w:rFonts w:ascii="宋体" w:hAnsi="宋体"/>
          <w:kern w:val="0"/>
          <w:szCs w:val="21"/>
          <w:highlight w:val="none"/>
          <w:lang w:eastAsia="zh-Hans"/>
        </w:rPr>
      </w:pPr>
      <w:r>
        <w:rPr>
          <w:rFonts w:ascii="宋体" w:hAnsi="宋体"/>
          <w:kern w:val="0"/>
          <w:szCs w:val="21"/>
          <w:highlight w:val="none"/>
          <w:lang w:eastAsia="zh-Hans"/>
        </w:rPr>
        <w:t>（二）本</w:t>
      </w:r>
      <w:r>
        <w:rPr>
          <w:rFonts w:hint="eastAsia" w:ascii="宋体" w:hAnsi="宋体"/>
          <w:kern w:val="0"/>
          <w:szCs w:val="21"/>
          <w:highlight w:val="none"/>
          <w:lang w:eastAsia="zh-Hans"/>
        </w:rPr>
        <w:t>响应</w:t>
      </w:r>
      <w:r>
        <w:rPr>
          <w:rFonts w:ascii="宋体" w:hAnsi="宋体"/>
          <w:kern w:val="0"/>
          <w:szCs w:val="21"/>
          <w:highlight w:val="none"/>
          <w:lang w:eastAsia="zh-Hans"/>
        </w:rPr>
        <w:t>文件的有效期为从提交响应文件的截止之日起90日历天。如</w:t>
      </w:r>
      <w:r>
        <w:rPr>
          <w:rFonts w:hint="eastAsia" w:ascii="宋体" w:hAnsi="宋体"/>
          <w:kern w:val="0"/>
          <w:szCs w:val="21"/>
          <w:highlight w:val="none"/>
          <w:lang w:eastAsia="zh-Hans"/>
        </w:rPr>
        <w:t>成交</w:t>
      </w:r>
      <w:r>
        <w:rPr>
          <w:rFonts w:ascii="宋体" w:hAnsi="宋体"/>
          <w:kern w:val="0"/>
          <w:szCs w:val="21"/>
          <w:highlight w:val="none"/>
          <w:lang w:eastAsia="zh-Hans"/>
        </w:rPr>
        <w:t>，有效期将延至合同终止日为止。在此提交的资格证明文件均至</w:t>
      </w:r>
      <w:r>
        <w:rPr>
          <w:rFonts w:hint="eastAsia" w:ascii="宋体" w:hAnsi="宋体"/>
          <w:kern w:val="0"/>
          <w:szCs w:val="21"/>
          <w:highlight w:val="none"/>
          <w:lang w:eastAsia="zh-Hans"/>
        </w:rPr>
        <w:t>响应</w:t>
      </w:r>
      <w:r>
        <w:rPr>
          <w:rFonts w:ascii="宋体" w:hAnsi="宋体"/>
          <w:kern w:val="0"/>
          <w:szCs w:val="21"/>
          <w:highlight w:val="none"/>
          <w:lang w:eastAsia="zh-Hans"/>
        </w:rPr>
        <w:t>截止日有效，如有在</w:t>
      </w:r>
      <w:r>
        <w:rPr>
          <w:rFonts w:hint="eastAsia" w:ascii="宋体" w:hAnsi="宋体"/>
          <w:kern w:val="0"/>
          <w:szCs w:val="21"/>
          <w:highlight w:val="none"/>
          <w:lang w:eastAsia="zh-Hans"/>
        </w:rPr>
        <w:t>响应</w:t>
      </w:r>
      <w:r>
        <w:rPr>
          <w:rFonts w:ascii="宋体" w:hAnsi="宋体"/>
          <w:kern w:val="0"/>
          <w:szCs w:val="21"/>
          <w:highlight w:val="none"/>
          <w:lang w:eastAsia="zh-Hans"/>
        </w:rPr>
        <w:t>有效期内失效的，我方承诺在</w:t>
      </w:r>
      <w:r>
        <w:rPr>
          <w:rFonts w:hint="eastAsia" w:ascii="宋体" w:hAnsi="宋体"/>
          <w:kern w:val="0"/>
          <w:szCs w:val="21"/>
          <w:highlight w:val="none"/>
          <w:lang w:eastAsia="zh-Hans"/>
        </w:rPr>
        <w:t>成交</w:t>
      </w:r>
      <w:r>
        <w:rPr>
          <w:rFonts w:ascii="宋体" w:hAnsi="宋体"/>
          <w:kern w:val="0"/>
          <w:szCs w:val="21"/>
          <w:highlight w:val="none"/>
          <w:lang w:eastAsia="zh-Hans"/>
        </w:rPr>
        <w:t>后补齐一切手续，保证所有资格证明文件能在签订采购合同时直至采购合同终止日有效。</w:t>
      </w:r>
    </w:p>
    <w:p w14:paraId="4833C5FB">
      <w:pPr>
        <w:widowControl/>
        <w:snapToGrid w:val="0"/>
        <w:spacing w:line="360" w:lineRule="auto"/>
        <w:ind w:firstLine="200"/>
        <w:contextualSpacing/>
        <w:jc w:val="left"/>
        <w:rPr>
          <w:rFonts w:ascii="宋体" w:hAnsi="宋体"/>
          <w:kern w:val="0"/>
          <w:szCs w:val="21"/>
          <w:highlight w:val="none"/>
          <w:lang w:eastAsia="zh-Hans"/>
        </w:rPr>
      </w:pPr>
      <w:r>
        <w:rPr>
          <w:rFonts w:ascii="宋体" w:hAnsi="宋体"/>
          <w:kern w:val="0"/>
          <w:szCs w:val="21"/>
          <w:highlight w:val="none"/>
          <w:lang w:eastAsia="zh-Hans"/>
        </w:rPr>
        <w:t>（三）</w:t>
      </w:r>
      <w:r>
        <w:rPr>
          <w:rFonts w:hint="eastAsia" w:ascii="宋体" w:hAnsi="宋体"/>
          <w:kern w:val="0"/>
          <w:szCs w:val="21"/>
          <w:highlight w:val="none"/>
          <w:lang w:eastAsia="zh-Hans"/>
        </w:rPr>
        <w:t>我方明白并同意，在规定的开启日之后，响应有效期之内撤回响应或成交后不按规定与采购人签订合同或不提交履约保证金, 则贵方将不予退还响应保证金。</w:t>
      </w:r>
    </w:p>
    <w:p w14:paraId="053F0986">
      <w:pPr>
        <w:widowControl/>
        <w:snapToGrid w:val="0"/>
        <w:spacing w:line="360" w:lineRule="auto"/>
        <w:ind w:firstLine="200"/>
        <w:contextualSpacing/>
        <w:jc w:val="left"/>
        <w:rPr>
          <w:rFonts w:ascii="宋体" w:hAnsi="宋体"/>
          <w:kern w:val="0"/>
          <w:szCs w:val="21"/>
          <w:highlight w:val="none"/>
          <w:lang w:eastAsia="zh-Hans"/>
        </w:rPr>
      </w:pPr>
      <w:r>
        <w:rPr>
          <w:rFonts w:ascii="宋体" w:hAnsi="宋体"/>
          <w:kern w:val="0"/>
          <w:szCs w:val="21"/>
          <w:highlight w:val="none"/>
          <w:lang w:eastAsia="zh-Hans"/>
        </w:rPr>
        <w:t>（四）我方愿意向贵方提供任何与本项报价有关的数据、情况和技术资料。若贵方需要，我方愿意提供我方作出的一切承诺的证明材料。</w:t>
      </w:r>
    </w:p>
    <w:p w14:paraId="5E5D1D43">
      <w:pPr>
        <w:widowControl/>
        <w:snapToGrid w:val="0"/>
        <w:spacing w:line="360" w:lineRule="auto"/>
        <w:ind w:firstLine="200"/>
        <w:contextualSpacing/>
        <w:jc w:val="left"/>
        <w:rPr>
          <w:rFonts w:ascii="宋体" w:hAnsi="宋体"/>
          <w:kern w:val="0"/>
          <w:szCs w:val="21"/>
          <w:highlight w:val="none"/>
          <w:lang w:eastAsia="zh-Hans"/>
        </w:rPr>
      </w:pPr>
      <w:r>
        <w:rPr>
          <w:rFonts w:ascii="宋体" w:hAnsi="宋体"/>
          <w:kern w:val="0"/>
          <w:szCs w:val="21"/>
          <w:highlight w:val="none"/>
          <w:lang w:eastAsia="zh-Hans"/>
        </w:rPr>
        <w:t>（五）</w:t>
      </w:r>
      <w:r>
        <w:rPr>
          <w:rFonts w:hint="eastAsia" w:ascii="宋体" w:hAnsi="宋体"/>
          <w:kern w:val="0"/>
          <w:szCs w:val="21"/>
          <w:highlight w:val="none"/>
          <w:lang w:eastAsia="zh-Hans"/>
        </w:rPr>
        <w:t>我方理解贵方不一定接受最低磋商价或任何贵方可能收到的响应。</w:t>
      </w:r>
    </w:p>
    <w:p w14:paraId="35388D66">
      <w:pPr>
        <w:widowControl/>
        <w:snapToGrid w:val="0"/>
        <w:spacing w:line="360" w:lineRule="auto"/>
        <w:ind w:firstLine="200"/>
        <w:contextualSpacing/>
        <w:jc w:val="left"/>
        <w:rPr>
          <w:rFonts w:ascii="宋体" w:hAnsi="宋体"/>
          <w:color w:val="FF0000"/>
          <w:kern w:val="0"/>
          <w:szCs w:val="21"/>
          <w:highlight w:val="none"/>
        </w:rPr>
      </w:pPr>
      <w:r>
        <w:rPr>
          <w:rFonts w:ascii="宋体" w:hAnsi="宋体"/>
          <w:kern w:val="0"/>
          <w:szCs w:val="21"/>
          <w:highlight w:val="none"/>
          <w:lang w:eastAsia="zh-Hans"/>
        </w:rPr>
        <w:t>（六）我方如果</w:t>
      </w:r>
      <w:r>
        <w:rPr>
          <w:rFonts w:hint="eastAsia" w:ascii="宋体" w:hAnsi="宋体"/>
          <w:kern w:val="0"/>
          <w:szCs w:val="21"/>
          <w:highlight w:val="none"/>
          <w:lang w:eastAsia="zh-Hans"/>
        </w:rPr>
        <w:t>成交</w:t>
      </w:r>
      <w:r>
        <w:rPr>
          <w:rFonts w:ascii="宋体" w:hAnsi="宋体"/>
          <w:kern w:val="0"/>
          <w:szCs w:val="21"/>
          <w:highlight w:val="none"/>
          <w:lang w:eastAsia="zh-Hans"/>
        </w:rPr>
        <w:t>，</w:t>
      </w:r>
      <w:r>
        <w:rPr>
          <w:rFonts w:hint="eastAsia" w:ascii="宋体" w:hAnsi="宋体"/>
          <w:kern w:val="0"/>
          <w:szCs w:val="21"/>
          <w:highlight w:val="none"/>
          <w:lang w:eastAsia="zh-Hans"/>
        </w:rPr>
        <w:t>将严格履行合同规定的责任和义务，保证于合同签字生效后按照约定时间完成项目，并交付采购人验收。</w:t>
      </w:r>
    </w:p>
    <w:p w14:paraId="559557C6">
      <w:pPr>
        <w:widowControl/>
        <w:snapToGrid w:val="0"/>
        <w:spacing w:line="360" w:lineRule="auto"/>
        <w:ind w:firstLine="200"/>
        <w:contextualSpacing/>
        <w:jc w:val="left"/>
        <w:rPr>
          <w:rFonts w:ascii="宋体" w:hAnsi="宋体"/>
          <w:kern w:val="0"/>
          <w:szCs w:val="21"/>
          <w:highlight w:val="none"/>
          <w:lang w:eastAsia="zh-Hans"/>
        </w:rPr>
      </w:pPr>
      <w:r>
        <w:rPr>
          <w:rFonts w:ascii="宋体" w:hAnsi="宋体"/>
          <w:kern w:val="0"/>
          <w:szCs w:val="21"/>
          <w:highlight w:val="none"/>
          <w:lang w:eastAsia="zh-Hans"/>
        </w:rPr>
        <w:t>（七）我方作为法律、财务和运作上独立于采购人、采购代理机构的</w:t>
      </w:r>
      <w:r>
        <w:rPr>
          <w:rFonts w:hint="eastAsia" w:ascii="宋体" w:hAnsi="宋体"/>
          <w:kern w:val="0"/>
          <w:szCs w:val="21"/>
          <w:highlight w:val="none"/>
          <w:lang w:eastAsia="zh-Hans"/>
        </w:rPr>
        <w:t>供应商</w:t>
      </w:r>
      <w:r>
        <w:rPr>
          <w:rFonts w:ascii="宋体" w:hAnsi="宋体"/>
          <w:kern w:val="0"/>
          <w:szCs w:val="21"/>
          <w:highlight w:val="none"/>
          <w:lang w:eastAsia="zh-Hans"/>
        </w:rPr>
        <w:t>，在此保证所提交的所有文件和全部说明是真实的和正确的。</w:t>
      </w:r>
    </w:p>
    <w:p w14:paraId="5D5518FA">
      <w:pPr>
        <w:widowControl/>
        <w:snapToGrid w:val="0"/>
        <w:spacing w:line="360" w:lineRule="auto"/>
        <w:ind w:firstLine="200"/>
        <w:contextualSpacing/>
        <w:jc w:val="left"/>
        <w:rPr>
          <w:rFonts w:ascii="宋体" w:hAnsi="宋体"/>
          <w:color w:val="auto"/>
          <w:kern w:val="0"/>
          <w:szCs w:val="21"/>
          <w:highlight w:val="none"/>
          <w:lang w:eastAsia="zh-Hans"/>
        </w:rPr>
      </w:pPr>
      <w:r>
        <w:rPr>
          <w:rFonts w:ascii="宋体" w:hAnsi="宋体"/>
          <w:kern w:val="0"/>
          <w:szCs w:val="21"/>
          <w:highlight w:val="none"/>
          <w:lang w:eastAsia="zh-Hans"/>
        </w:rPr>
        <w:t>（八）</w:t>
      </w:r>
      <w:r>
        <w:rPr>
          <w:rFonts w:hint="eastAsia" w:ascii="宋体" w:hAnsi="宋体"/>
          <w:kern w:val="0"/>
          <w:szCs w:val="21"/>
          <w:highlight w:val="none"/>
          <w:lang w:eastAsia="zh-Hans"/>
        </w:rPr>
        <w:t>我方磋商报价已包含应向知识产权所有权人支付的所有相关税费，并保证采购人在中国使</w:t>
      </w:r>
      <w:r>
        <w:rPr>
          <w:rFonts w:hint="eastAsia" w:ascii="宋体" w:hAnsi="宋体"/>
          <w:color w:val="auto"/>
          <w:kern w:val="0"/>
          <w:szCs w:val="21"/>
          <w:highlight w:val="none"/>
          <w:lang w:eastAsia="zh-Hans"/>
        </w:rPr>
        <w:t>用我方提供的货物时，如有第三方提出侵犯其知识产权主张的，责任由我方承担。</w:t>
      </w:r>
    </w:p>
    <w:p w14:paraId="24AC04B1">
      <w:pPr>
        <w:widowControl/>
        <w:snapToGrid w:val="0"/>
        <w:spacing w:line="360" w:lineRule="auto"/>
        <w:ind w:firstLine="200"/>
        <w:contextualSpacing/>
        <w:jc w:val="left"/>
        <w:rPr>
          <w:rFonts w:ascii="宋体" w:hAnsi="宋体"/>
          <w:color w:val="auto"/>
          <w:kern w:val="0"/>
          <w:szCs w:val="21"/>
          <w:highlight w:val="none"/>
          <w:lang w:eastAsia="zh-Hans"/>
        </w:rPr>
      </w:pPr>
      <w:r>
        <w:rPr>
          <w:rFonts w:ascii="宋体" w:hAnsi="宋体"/>
          <w:color w:val="auto"/>
          <w:kern w:val="0"/>
          <w:szCs w:val="21"/>
          <w:highlight w:val="none"/>
          <w:lang w:eastAsia="zh-Hans"/>
        </w:rPr>
        <w:t>（</w:t>
      </w:r>
      <w:r>
        <w:rPr>
          <w:rFonts w:hint="eastAsia" w:ascii="宋体" w:hAnsi="宋体"/>
          <w:color w:val="auto"/>
          <w:kern w:val="0"/>
          <w:szCs w:val="21"/>
          <w:highlight w:val="none"/>
          <w:lang w:eastAsia="zh-Hans"/>
        </w:rPr>
        <w:t>九</w:t>
      </w:r>
      <w:r>
        <w:rPr>
          <w:rFonts w:ascii="宋体" w:hAnsi="宋体"/>
          <w:color w:val="auto"/>
          <w:kern w:val="0"/>
          <w:szCs w:val="21"/>
          <w:highlight w:val="none"/>
          <w:lang w:eastAsia="zh-Hans"/>
        </w:rPr>
        <w:t>）我方对在本函及响应文件中所作的所有承诺承担法律责任。</w:t>
      </w:r>
    </w:p>
    <w:p w14:paraId="763CB3EB">
      <w:pPr>
        <w:widowControl/>
        <w:snapToGrid w:val="0"/>
        <w:spacing w:line="360" w:lineRule="auto"/>
        <w:ind w:firstLine="200"/>
        <w:contextualSpacing/>
        <w:jc w:val="left"/>
        <w:rPr>
          <w:rFonts w:ascii="宋体" w:hAnsi="宋体"/>
          <w:color w:val="auto"/>
          <w:kern w:val="0"/>
          <w:szCs w:val="21"/>
          <w:highlight w:val="none"/>
        </w:rPr>
      </w:pPr>
      <w:r>
        <w:rPr>
          <w:rFonts w:ascii="宋体" w:hAnsi="宋体"/>
          <w:color w:val="auto"/>
          <w:kern w:val="0"/>
          <w:szCs w:val="21"/>
          <w:highlight w:val="none"/>
          <w:lang w:eastAsia="zh-Hans"/>
        </w:rPr>
        <w:t>（</w:t>
      </w:r>
      <w:r>
        <w:rPr>
          <w:rFonts w:hint="eastAsia" w:ascii="宋体" w:hAnsi="宋体"/>
          <w:color w:val="auto"/>
          <w:kern w:val="0"/>
          <w:szCs w:val="21"/>
          <w:highlight w:val="none"/>
          <w:lang w:eastAsia="zh-Hans"/>
        </w:rPr>
        <w:t>十</w:t>
      </w:r>
      <w:r>
        <w:rPr>
          <w:rFonts w:ascii="宋体" w:hAnsi="宋体"/>
          <w:color w:val="auto"/>
          <w:kern w:val="0"/>
          <w:szCs w:val="21"/>
          <w:highlight w:val="none"/>
          <w:lang w:eastAsia="zh-Hans"/>
        </w:rPr>
        <w:t>）</w:t>
      </w:r>
      <w:r>
        <w:rPr>
          <w:rFonts w:hint="eastAsia" w:ascii="宋体" w:hAnsi="宋体"/>
          <w:color w:val="auto"/>
          <w:kern w:val="0"/>
          <w:szCs w:val="21"/>
          <w:highlight w:val="none"/>
          <w:lang w:eastAsia="zh-Hans"/>
        </w:rPr>
        <w:t>我方如果成交，</w:t>
      </w:r>
      <w:r>
        <w:rPr>
          <w:rFonts w:ascii="宋体" w:hAnsi="宋体"/>
          <w:color w:val="auto"/>
          <w:kern w:val="0"/>
          <w:szCs w:val="21"/>
          <w:highlight w:val="none"/>
          <w:lang w:eastAsia="zh-Hans"/>
        </w:rPr>
        <w:t>同意按</w:t>
      </w:r>
      <w:r>
        <w:rPr>
          <w:rFonts w:hint="eastAsia" w:ascii="宋体" w:hAnsi="宋体"/>
          <w:color w:val="auto"/>
          <w:kern w:val="0"/>
          <w:szCs w:val="21"/>
          <w:highlight w:val="none"/>
          <w:lang w:eastAsia="zh-Hans"/>
        </w:rPr>
        <w:t>磋商文件</w:t>
      </w:r>
      <w:r>
        <w:rPr>
          <w:rFonts w:ascii="宋体" w:hAnsi="宋体"/>
          <w:color w:val="auto"/>
          <w:kern w:val="0"/>
          <w:szCs w:val="21"/>
          <w:highlight w:val="none"/>
          <w:lang w:eastAsia="zh-Hans"/>
        </w:rPr>
        <w:t>规定向采购代理机构缴纳</w:t>
      </w:r>
      <w:r>
        <w:rPr>
          <w:rFonts w:hint="eastAsia" w:ascii="宋体" w:hAnsi="宋体"/>
          <w:color w:val="auto"/>
          <w:kern w:val="0"/>
          <w:szCs w:val="21"/>
          <w:highlight w:val="none"/>
          <w:lang w:val="en-US" w:eastAsia="zh-CN"/>
        </w:rPr>
        <w:t>采购</w:t>
      </w:r>
      <w:r>
        <w:rPr>
          <w:rFonts w:hint="eastAsia" w:ascii="宋体" w:hAnsi="宋体"/>
          <w:color w:val="auto"/>
          <w:kern w:val="0"/>
          <w:szCs w:val="21"/>
          <w:highlight w:val="none"/>
          <w:lang w:eastAsia="zh-Hans"/>
        </w:rPr>
        <w:t>代理</w:t>
      </w:r>
      <w:r>
        <w:rPr>
          <w:rFonts w:ascii="宋体" w:hAnsi="宋体"/>
          <w:color w:val="auto"/>
          <w:kern w:val="0"/>
          <w:szCs w:val="21"/>
          <w:highlight w:val="none"/>
          <w:lang w:eastAsia="zh-Hans"/>
        </w:rPr>
        <w:t>服务费。</w:t>
      </w:r>
    </w:p>
    <w:p w14:paraId="11CF325D">
      <w:pPr>
        <w:widowControl/>
        <w:snapToGrid w:val="0"/>
        <w:spacing w:line="360" w:lineRule="auto"/>
        <w:ind w:firstLine="198"/>
        <w:contextualSpacing/>
        <w:jc w:val="left"/>
        <w:rPr>
          <w:rFonts w:ascii="宋体" w:hAnsi="宋体"/>
          <w:color w:val="auto"/>
          <w:kern w:val="0"/>
          <w:szCs w:val="21"/>
          <w:highlight w:val="none"/>
          <w:lang w:eastAsia="zh-Hans"/>
        </w:rPr>
      </w:pPr>
      <w:r>
        <w:rPr>
          <w:rFonts w:hint="eastAsia" w:ascii="宋体" w:hAnsi="宋体"/>
          <w:color w:val="auto"/>
          <w:kern w:val="0"/>
          <w:szCs w:val="21"/>
          <w:highlight w:val="none"/>
          <w:lang w:eastAsia="zh-Hans"/>
        </w:rPr>
        <w:t>（十一）</w:t>
      </w:r>
      <w:r>
        <w:rPr>
          <w:rFonts w:ascii="宋体" w:hAnsi="宋体"/>
          <w:color w:val="auto"/>
          <w:kern w:val="0"/>
          <w:szCs w:val="21"/>
          <w:highlight w:val="none"/>
          <w:lang w:eastAsia="zh-Hans"/>
        </w:rPr>
        <w:t>所有与本</w:t>
      </w:r>
      <w:r>
        <w:rPr>
          <w:rFonts w:hint="eastAsia" w:ascii="宋体" w:hAnsi="宋体"/>
          <w:color w:val="auto"/>
          <w:kern w:val="0"/>
          <w:szCs w:val="21"/>
          <w:highlight w:val="none"/>
          <w:lang w:eastAsia="zh-Hans"/>
        </w:rPr>
        <w:t>磋商</w:t>
      </w:r>
      <w:r>
        <w:rPr>
          <w:rFonts w:ascii="宋体" w:hAnsi="宋体"/>
          <w:color w:val="auto"/>
          <w:kern w:val="0"/>
          <w:szCs w:val="21"/>
          <w:highlight w:val="none"/>
          <w:lang w:eastAsia="zh-Hans"/>
        </w:rPr>
        <w:t>有关的函件请发往下列地址：</w:t>
      </w:r>
    </w:p>
    <w:p w14:paraId="54CBD427">
      <w:pPr>
        <w:widowControl/>
        <w:snapToGrid w:val="0"/>
        <w:spacing w:line="360" w:lineRule="auto"/>
        <w:contextualSpacing/>
        <w:jc w:val="left"/>
        <w:rPr>
          <w:rFonts w:ascii="宋体" w:hAnsi="宋体"/>
          <w:kern w:val="0"/>
          <w:szCs w:val="21"/>
          <w:highlight w:val="none"/>
          <w:u w:val="single"/>
        </w:rPr>
      </w:pPr>
      <w:r>
        <w:rPr>
          <w:rFonts w:ascii="宋体" w:hAnsi="宋体"/>
          <w:color w:val="auto"/>
          <w:kern w:val="0"/>
          <w:szCs w:val="21"/>
          <w:highlight w:val="none"/>
          <w:lang w:eastAsia="zh-Hans"/>
        </w:rPr>
        <w:t>地 址：</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lang w:eastAsia="zh-Hans"/>
        </w:rPr>
        <w:t>邮政编码：</w:t>
      </w:r>
      <w:r>
        <w:rPr>
          <w:rFonts w:hint="eastAsia" w:ascii="宋体" w:hAnsi="宋体"/>
          <w:color w:val="auto"/>
          <w:kern w:val="0"/>
          <w:szCs w:val="21"/>
          <w:highlight w:val="none"/>
          <w:u w:val="single"/>
        </w:rPr>
        <w:t xml:space="preserve">                         </w:t>
      </w:r>
      <w:r>
        <w:rPr>
          <w:rFonts w:hint="eastAsia" w:ascii="宋体" w:hAnsi="宋体"/>
          <w:kern w:val="0"/>
          <w:szCs w:val="21"/>
          <w:highlight w:val="none"/>
          <w:u w:val="single"/>
        </w:rPr>
        <w:t xml:space="preserve">      </w:t>
      </w:r>
    </w:p>
    <w:p w14:paraId="2A96C91E">
      <w:pPr>
        <w:widowControl/>
        <w:snapToGrid w:val="0"/>
        <w:spacing w:line="360" w:lineRule="auto"/>
        <w:contextualSpacing/>
        <w:jc w:val="left"/>
        <w:rPr>
          <w:rFonts w:ascii="宋体" w:hAnsi="宋体"/>
          <w:kern w:val="0"/>
          <w:szCs w:val="21"/>
          <w:highlight w:val="none"/>
        </w:rPr>
      </w:pPr>
      <w:r>
        <w:rPr>
          <w:rFonts w:ascii="宋体" w:hAnsi="宋体"/>
          <w:kern w:val="0"/>
          <w:szCs w:val="21"/>
          <w:highlight w:val="none"/>
          <w:lang w:eastAsia="zh-Hans"/>
        </w:rPr>
        <w:t>电 话：</w:t>
      </w:r>
      <w:r>
        <w:rPr>
          <w:rFonts w:hint="eastAsia" w:ascii="宋体" w:hAnsi="宋体"/>
          <w:kern w:val="0"/>
          <w:szCs w:val="21"/>
          <w:highlight w:val="none"/>
          <w:u w:val="single"/>
        </w:rPr>
        <w:t xml:space="preserve">                                </w:t>
      </w:r>
    </w:p>
    <w:p w14:paraId="75AE3B6B">
      <w:pPr>
        <w:widowControl/>
        <w:snapToGrid w:val="0"/>
        <w:spacing w:line="360" w:lineRule="auto"/>
        <w:contextualSpacing/>
        <w:jc w:val="left"/>
        <w:rPr>
          <w:rFonts w:ascii="宋体" w:hAnsi="宋体"/>
          <w:kern w:val="0"/>
          <w:szCs w:val="21"/>
          <w:highlight w:val="none"/>
        </w:rPr>
      </w:pPr>
      <w:r>
        <w:rPr>
          <w:rFonts w:ascii="宋体" w:hAnsi="宋体"/>
          <w:kern w:val="0"/>
          <w:szCs w:val="21"/>
          <w:highlight w:val="none"/>
          <w:lang w:eastAsia="zh-Hans"/>
        </w:rPr>
        <w:t>传 真：</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电子邮箱：</w:t>
      </w:r>
      <w:r>
        <w:rPr>
          <w:rFonts w:hint="eastAsia" w:ascii="宋体" w:hAnsi="宋体"/>
          <w:kern w:val="0"/>
          <w:szCs w:val="21"/>
          <w:highlight w:val="none"/>
          <w:u w:val="single"/>
        </w:rPr>
        <w:t xml:space="preserve">                               </w:t>
      </w:r>
    </w:p>
    <w:p w14:paraId="382A6890">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代表姓名</w:t>
      </w:r>
      <w:r>
        <w:rPr>
          <w:rFonts w:hint="eastAsia" w:ascii="宋体" w:hAnsi="宋体"/>
          <w:kern w:val="0"/>
          <w:szCs w:val="21"/>
          <w:highlight w:val="none"/>
          <w:lang w:eastAsia="zh-Hans"/>
        </w:rPr>
        <w:t>：</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职 务：</w:t>
      </w:r>
      <w:r>
        <w:rPr>
          <w:rFonts w:hint="eastAsia" w:ascii="宋体" w:hAnsi="宋体"/>
          <w:kern w:val="0"/>
          <w:szCs w:val="21"/>
          <w:highlight w:val="none"/>
          <w:u w:val="single"/>
        </w:rPr>
        <w:t xml:space="preserve">                                  </w:t>
      </w:r>
    </w:p>
    <w:p w14:paraId="4DFA3D58">
      <w:pPr>
        <w:widowControl/>
        <w:snapToGrid w:val="0"/>
        <w:spacing w:line="360" w:lineRule="auto"/>
        <w:contextualSpacing/>
        <w:jc w:val="left"/>
        <w:rPr>
          <w:rFonts w:ascii="宋体" w:hAnsi="宋体"/>
          <w:kern w:val="0"/>
          <w:szCs w:val="21"/>
          <w:highlight w:val="none"/>
          <w:u w:val="single"/>
        </w:rPr>
      </w:pPr>
      <w:r>
        <w:rPr>
          <w:rFonts w:ascii="宋体" w:hAnsi="宋体"/>
          <w:kern w:val="0"/>
          <w:szCs w:val="21"/>
          <w:highlight w:val="none"/>
          <w:lang w:eastAsia="zh-Hans"/>
        </w:rPr>
        <w:t>法定代表人（或法定代表人授权代表）签字或盖</w:t>
      </w:r>
      <w:r>
        <w:rPr>
          <w:rFonts w:hint="eastAsia" w:ascii="宋体" w:hAnsi="宋体"/>
          <w:kern w:val="0"/>
          <w:szCs w:val="21"/>
          <w:highlight w:val="none"/>
          <w:lang w:eastAsia="zh-Hans"/>
        </w:rPr>
        <w:t>私</w:t>
      </w:r>
      <w:r>
        <w:rPr>
          <w:rFonts w:ascii="宋体" w:hAnsi="宋体"/>
          <w:kern w:val="0"/>
          <w:szCs w:val="21"/>
          <w:highlight w:val="none"/>
          <w:lang w:eastAsia="zh-Hans"/>
        </w:rPr>
        <w:t>章：</w:t>
      </w:r>
      <w:r>
        <w:rPr>
          <w:rFonts w:hint="eastAsia" w:ascii="宋体" w:hAnsi="宋体"/>
          <w:kern w:val="0"/>
          <w:szCs w:val="21"/>
          <w:highlight w:val="none"/>
          <w:u w:val="single"/>
        </w:rPr>
        <w:t xml:space="preserve">                              </w:t>
      </w:r>
    </w:p>
    <w:p w14:paraId="14103B6D">
      <w:pPr>
        <w:widowControl/>
        <w:snapToGrid w:val="0"/>
        <w:spacing w:line="360" w:lineRule="auto"/>
        <w:contextualSpacing/>
        <w:jc w:val="left"/>
        <w:rPr>
          <w:rFonts w:ascii="宋体" w:hAnsi="宋体"/>
          <w:kern w:val="0"/>
          <w:szCs w:val="21"/>
          <w:highlight w:val="none"/>
          <w:u w:val="single"/>
        </w:rPr>
      </w:pPr>
      <w:r>
        <w:rPr>
          <w:rFonts w:hint="eastAsia" w:ascii="宋体" w:hAnsi="宋体"/>
          <w:kern w:val="0"/>
          <w:szCs w:val="21"/>
          <w:highlight w:val="none"/>
          <w:lang w:eastAsia="zh-Hans"/>
        </w:rPr>
        <w:t>供应商</w:t>
      </w:r>
      <w:r>
        <w:rPr>
          <w:rFonts w:ascii="宋体" w:hAnsi="宋体"/>
          <w:kern w:val="0"/>
          <w:szCs w:val="21"/>
          <w:highlight w:val="none"/>
          <w:lang w:eastAsia="zh-Hans"/>
        </w:rPr>
        <w:t>名称（盖章）：</w:t>
      </w:r>
      <w:r>
        <w:rPr>
          <w:rFonts w:hint="eastAsia" w:ascii="宋体" w:hAnsi="宋体"/>
          <w:kern w:val="0"/>
          <w:szCs w:val="21"/>
          <w:highlight w:val="none"/>
          <w:u w:val="single"/>
        </w:rPr>
        <w:t xml:space="preserve">                                  </w:t>
      </w:r>
    </w:p>
    <w:p w14:paraId="4DC49200">
      <w:pPr>
        <w:widowControl/>
        <w:snapToGrid w:val="0"/>
        <w:spacing w:line="360" w:lineRule="auto"/>
        <w:contextualSpacing/>
        <w:jc w:val="left"/>
        <w:rPr>
          <w:kern w:val="0"/>
          <w:sz w:val="20"/>
          <w:szCs w:val="20"/>
          <w:highlight w:val="none"/>
          <w:lang w:eastAsia="zh-Hans"/>
        </w:rPr>
      </w:pPr>
      <w:r>
        <w:rPr>
          <w:rFonts w:ascii="宋体" w:hAnsi="宋体"/>
          <w:kern w:val="0"/>
          <w:szCs w:val="21"/>
          <w:highlight w:val="none"/>
          <w:lang w:eastAsia="zh-Hans"/>
        </w:rPr>
        <w:t>日期：</w:t>
      </w:r>
      <w:r>
        <w:rPr>
          <w:rFonts w:hint="eastAsia" w:ascii="宋体" w:hAnsi="宋体"/>
          <w:kern w:val="0"/>
          <w:szCs w:val="21"/>
          <w:highlight w:val="none"/>
        </w:rPr>
        <w:t xml:space="preserve">    </w:t>
      </w:r>
      <w:r>
        <w:rPr>
          <w:rFonts w:ascii="宋体" w:hAnsi="宋体"/>
          <w:kern w:val="0"/>
          <w:szCs w:val="21"/>
          <w:highlight w:val="none"/>
          <w:lang w:eastAsia="zh-Hans"/>
        </w:rPr>
        <w:t>年</w:t>
      </w:r>
      <w:r>
        <w:rPr>
          <w:rFonts w:hint="eastAsia" w:ascii="宋体" w:hAnsi="宋体"/>
          <w:kern w:val="0"/>
          <w:szCs w:val="21"/>
          <w:highlight w:val="none"/>
        </w:rPr>
        <w:t xml:space="preserve">   </w:t>
      </w:r>
      <w:r>
        <w:rPr>
          <w:rFonts w:ascii="宋体" w:hAnsi="宋体"/>
          <w:kern w:val="0"/>
          <w:szCs w:val="21"/>
          <w:highlight w:val="none"/>
          <w:lang w:eastAsia="zh-Hans"/>
        </w:rPr>
        <w:t>月</w:t>
      </w:r>
      <w:r>
        <w:rPr>
          <w:rFonts w:hint="eastAsia" w:ascii="宋体" w:hAnsi="宋体"/>
          <w:kern w:val="0"/>
          <w:szCs w:val="21"/>
          <w:highlight w:val="none"/>
        </w:rPr>
        <w:t xml:space="preserve">    </w:t>
      </w:r>
      <w:r>
        <w:rPr>
          <w:rFonts w:ascii="宋体" w:hAnsi="宋体"/>
          <w:kern w:val="0"/>
          <w:szCs w:val="21"/>
          <w:highlight w:val="none"/>
          <w:lang w:eastAsia="zh-Hans"/>
        </w:rPr>
        <w:t>日</w:t>
      </w:r>
    </w:p>
    <w:p w14:paraId="0921D5D5">
      <w:pPr>
        <w:widowControl/>
        <w:snapToGrid w:val="0"/>
        <w:spacing w:line="360" w:lineRule="auto"/>
        <w:contextualSpacing/>
        <w:jc w:val="left"/>
        <w:rPr>
          <w:kern w:val="0"/>
          <w:sz w:val="20"/>
          <w:szCs w:val="20"/>
          <w:highlight w:val="none"/>
          <w:lang w:eastAsia="zh-Hans"/>
        </w:rPr>
      </w:pPr>
    </w:p>
    <w:p w14:paraId="7214F8F5">
      <w:pPr>
        <w:pageBreakBefore/>
        <w:rPr>
          <w:kern w:val="0"/>
          <w:sz w:val="20"/>
          <w:szCs w:val="20"/>
          <w:highlight w:val="none"/>
          <w:lang w:eastAsia="zh-Hans"/>
        </w:rPr>
      </w:pPr>
      <w:bookmarkStart w:id="47" w:name="_Toc169799788"/>
      <w:r>
        <w:rPr>
          <w:rFonts w:ascii="宋体" w:hAnsi="宋体"/>
          <w:b/>
          <w:bCs/>
          <w:sz w:val="24"/>
          <w:szCs w:val="28"/>
          <w:highlight w:val="none"/>
        </w:rPr>
        <w:t>格式二：</w:t>
      </w:r>
      <w:bookmarkEnd w:id="47"/>
    </w:p>
    <w:p w14:paraId="299FD221">
      <w:pPr>
        <w:widowControl/>
        <w:jc w:val="center"/>
        <w:outlineLvl w:val="3"/>
        <w:rPr>
          <w:kern w:val="0"/>
          <w:sz w:val="20"/>
          <w:szCs w:val="20"/>
          <w:highlight w:val="none"/>
          <w:lang w:eastAsia="zh-Hans"/>
        </w:rPr>
      </w:pPr>
      <w:r>
        <w:rPr>
          <w:rFonts w:hint="eastAsia"/>
          <w:b/>
          <w:kern w:val="0"/>
          <w:sz w:val="32"/>
          <w:highlight w:val="none"/>
          <w:lang w:eastAsia="zh-Hans"/>
        </w:rPr>
        <w:t>首次报价表</w:t>
      </w:r>
      <w:r>
        <w:rPr>
          <w:kern w:val="0"/>
          <w:sz w:val="20"/>
          <w:szCs w:val="20"/>
          <w:highlight w:val="none"/>
          <w:lang w:eastAsia="zh-Hans"/>
        </w:rPr>
        <w:br w:type="textWrapping"/>
      </w:r>
    </w:p>
    <w:p w14:paraId="734D1107">
      <w:pPr>
        <w:widowControl/>
        <w:snapToGrid w:val="0"/>
        <w:spacing w:line="360" w:lineRule="auto"/>
        <w:contextualSpacing/>
        <w:jc w:val="left"/>
        <w:rPr>
          <w:kern w:val="0"/>
          <w:szCs w:val="21"/>
          <w:highlight w:val="none"/>
          <w:lang w:eastAsia="zh-Hans"/>
        </w:rPr>
      </w:pPr>
      <w:r>
        <w:rPr>
          <w:kern w:val="0"/>
          <w:szCs w:val="21"/>
          <w:highlight w:val="none"/>
          <w:lang w:eastAsia="zh-Hans"/>
        </w:rPr>
        <w:t>项目编号：</w:t>
      </w:r>
    </w:p>
    <w:p w14:paraId="6E933FF6">
      <w:pPr>
        <w:widowControl/>
        <w:snapToGrid w:val="0"/>
        <w:spacing w:line="360" w:lineRule="auto"/>
        <w:contextualSpacing/>
        <w:jc w:val="left"/>
        <w:rPr>
          <w:kern w:val="0"/>
          <w:szCs w:val="21"/>
          <w:highlight w:val="none"/>
          <w:lang w:eastAsia="zh-Hans"/>
        </w:rPr>
      </w:pPr>
      <w:r>
        <w:rPr>
          <w:kern w:val="0"/>
          <w:szCs w:val="21"/>
          <w:highlight w:val="none"/>
          <w:lang w:eastAsia="zh-Hans"/>
        </w:rPr>
        <w:t>项目名称：</w:t>
      </w:r>
    </w:p>
    <w:p w14:paraId="2209BB7A">
      <w:pPr>
        <w:widowControl/>
        <w:snapToGrid w:val="0"/>
        <w:spacing w:line="360" w:lineRule="auto"/>
        <w:contextualSpacing/>
        <w:jc w:val="left"/>
        <w:rPr>
          <w:kern w:val="0"/>
          <w:szCs w:val="21"/>
          <w:highlight w:val="none"/>
        </w:rPr>
      </w:pPr>
      <w:r>
        <w:rPr>
          <w:rFonts w:hint="eastAsia"/>
          <w:kern w:val="0"/>
          <w:szCs w:val="21"/>
          <w:highlight w:val="none"/>
          <w:lang w:eastAsia="zh-Hans"/>
        </w:rPr>
        <w:t>供应商</w:t>
      </w:r>
      <w:r>
        <w:rPr>
          <w:kern w:val="0"/>
          <w:szCs w:val="21"/>
          <w:highlight w:val="none"/>
          <w:lang w:eastAsia="zh-Hans"/>
        </w:rPr>
        <w:t>名称：</w:t>
      </w:r>
    </w:p>
    <w:tbl>
      <w:tblPr>
        <w:tblStyle w:val="6"/>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2"/>
        <w:gridCol w:w="4756"/>
        <w:gridCol w:w="3696"/>
      </w:tblGrid>
      <w:tr w14:paraId="47E0B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448" w:type="pct"/>
            <w:tcBorders>
              <w:top w:val="single" w:color="auto" w:sz="4" w:space="0"/>
              <w:left w:val="single" w:color="auto" w:sz="4" w:space="0"/>
              <w:right w:val="single" w:color="auto" w:sz="4" w:space="0"/>
            </w:tcBorders>
            <w:vAlign w:val="center"/>
          </w:tcPr>
          <w:p w14:paraId="5DEF802A">
            <w:pPr>
              <w:overflowPunct w:val="0"/>
              <w:adjustRightInd w:val="0"/>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561" w:type="pct"/>
            <w:tcBorders>
              <w:top w:val="single" w:color="auto" w:sz="4" w:space="0"/>
              <w:left w:val="single" w:color="auto" w:sz="4" w:space="0"/>
              <w:right w:val="single" w:color="auto" w:sz="4" w:space="0"/>
            </w:tcBorders>
            <w:vAlign w:val="center"/>
          </w:tcPr>
          <w:p w14:paraId="67464C74">
            <w:pPr>
              <w:overflowPunct w:val="0"/>
              <w:adjustRightInd w:val="0"/>
              <w:spacing w:line="4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项目名称及项目编号</w:t>
            </w:r>
          </w:p>
        </w:tc>
        <w:tc>
          <w:tcPr>
            <w:tcW w:w="1990" w:type="pct"/>
            <w:tcBorders>
              <w:top w:val="single" w:color="auto" w:sz="4" w:space="0"/>
              <w:left w:val="single" w:color="auto" w:sz="4" w:space="0"/>
              <w:bottom w:val="single" w:color="auto" w:sz="4" w:space="0"/>
              <w:right w:val="single" w:color="auto" w:sz="4" w:space="0"/>
            </w:tcBorders>
            <w:vAlign w:val="center"/>
          </w:tcPr>
          <w:p w14:paraId="7FF3064C">
            <w:pPr>
              <w:overflowPunct w:val="0"/>
              <w:adjustRightInd w:val="0"/>
              <w:spacing w:line="460" w:lineRule="exact"/>
              <w:jc w:val="center"/>
              <w:rPr>
                <w:rFonts w:hint="eastAsia" w:ascii="宋体" w:hAnsi="宋体" w:eastAsia="宋体" w:cs="宋体"/>
                <w:b/>
                <w:color w:val="auto"/>
                <w:szCs w:val="21"/>
                <w:highlight w:val="none"/>
              </w:rPr>
            </w:pPr>
            <w:r>
              <w:rPr>
                <w:rFonts w:hint="eastAsia" w:ascii="宋体" w:hAnsi="宋体" w:eastAsia="宋体" w:cs="宋体"/>
                <w:b/>
                <w:bCs/>
                <w:color w:val="auto"/>
                <w:kern w:val="0"/>
                <w:sz w:val="21"/>
                <w:szCs w:val="21"/>
                <w:highlight w:val="none"/>
                <w:lang w:val="en-US" w:eastAsia="zh-CN" w:bidi="ar"/>
              </w:rPr>
              <w:t>总报价（元）</w:t>
            </w:r>
          </w:p>
        </w:tc>
      </w:tr>
      <w:tr w14:paraId="33BC8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051C5F57">
            <w:pPr>
              <w:overflowPunct w:val="0"/>
              <w:adjustRightInd w:val="0"/>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61" w:type="pct"/>
            <w:tcBorders>
              <w:top w:val="single" w:color="auto" w:sz="4" w:space="0"/>
              <w:left w:val="single" w:color="auto" w:sz="4" w:space="0"/>
              <w:bottom w:val="single" w:color="auto" w:sz="4" w:space="0"/>
              <w:right w:val="single" w:color="auto" w:sz="4" w:space="0"/>
            </w:tcBorders>
            <w:vAlign w:val="center"/>
          </w:tcPr>
          <w:p w14:paraId="74535240">
            <w:pPr>
              <w:overflowPunct w:val="0"/>
              <w:adjustRightInd w:val="0"/>
              <w:spacing w:line="460" w:lineRule="exact"/>
              <w:jc w:val="center"/>
              <w:rPr>
                <w:rFonts w:hint="eastAsia" w:ascii="宋体" w:hAnsi="宋体" w:eastAsia="宋体" w:cs="宋体"/>
                <w:color w:val="auto"/>
                <w:szCs w:val="21"/>
                <w:highlight w:val="none"/>
              </w:rPr>
            </w:pPr>
          </w:p>
        </w:tc>
        <w:tc>
          <w:tcPr>
            <w:tcW w:w="1990" w:type="pct"/>
            <w:tcBorders>
              <w:top w:val="single" w:color="auto" w:sz="4" w:space="0"/>
              <w:left w:val="single" w:color="auto" w:sz="4" w:space="0"/>
              <w:bottom w:val="single" w:color="auto" w:sz="4" w:space="0"/>
              <w:right w:val="single" w:color="auto" w:sz="4" w:space="0"/>
            </w:tcBorders>
            <w:vAlign w:val="center"/>
          </w:tcPr>
          <w:p w14:paraId="39CBB234">
            <w:pPr>
              <w:overflowPunct w:val="0"/>
              <w:adjustRightInd w:val="0"/>
              <w:spacing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p>
          <w:p w14:paraId="32FA67CC">
            <w:pPr>
              <w:overflowPunct w:val="0"/>
              <w:adjustRightInd w:val="0"/>
              <w:spacing w:line="46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tc>
      </w:tr>
    </w:tbl>
    <w:p w14:paraId="0C0E71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6395718">
      <w:pPr>
        <w:pStyle w:val="13"/>
        <w:keepNext w:val="0"/>
        <w:keepLines w:val="0"/>
        <w:pageBreakBefore w:val="0"/>
        <w:widowControl w:val="0"/>
        <w:numPr>
          <w:ilvl w:val="0"/>
          <w:numId w:val="128"/>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w:t>
      </w:r>
      <w:r>
        <w:rPr>
          <w:rFonts w:hint="eastAsia" w:ascii="宋体" w:hAnsi="宋体" w:eastAsia="宋体" w:cs="宋体"/>
          <w:color w:val="auto"/>
          <w:sz w:val="21"/>
          <w:szCs w:val="21"/>
          <w:highlight w:val="none"/>
        </w:rPr>
        <w:t>价栏须用文字和数字两种方式表示</w:t>
      </w:r>
      <w:r>
        <w:rPr>
          <w:rFonts w:hint="eastAsia" w:ascii="宋体" w:hAnsi="宋体" w:eastAsia="宋体" w:cs="宋体"/>
          <w:color w:val="auto"/>
          <w:sz w:val="21"/>
          <w:szCs w:val="21"/>
          <w:highlight w:val="none"/>
          <w:lang w:val="en-US" w:eastAsia="zh-CN"/>
        </w:rPr>
        <w:t>响应报</w:t>
      </w:r>
      <w:r>
        <w:rPr>
          <w:rFonts w:hint="eastAsia" w:ascii="宋体" w:hAnsi="宋体" w:eastAsia="宋体" w:cs="宋体"/>
          <w:color w:val="auto"/>
          <w:sz w:val="21"/>
          <w:szCs w:val="21"/>
          <w:highlight w:val="none"/>
        </w:rPr>
        <w:t>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最多保留两位小数</w:t>
      </w:r>
      <w:r>
        <w:rPr>
          <w:rFonts w:hint="eastAsia" w:ascii="宋体" w:hAnsi="宋体" w:eastAsia="宋体" w:cs="宋体"/>
          <w:color w:val="auto"/>
          <w:sz w:val="21"/>
          <w:szCs w:val="21"/>
          <w:highlight w:val="none"/>
          <w:lang w:eastAsia="zh-CN"/>
        </w:rPr>
        <w:t>；</w:t>
      </w:r>
    </w:p>
    <w:p w14:paraId="11B92971">
      <w:pPr>
        <w:pStyle w:val="13"/>
        <w:keepNext w:val="0"/>
        <w:keepLines w:val="0"/>
        <w:pageBreakBefore w:val="0"/>
        <w:widowControl w:val="0"/>
        <w:numPr>
          <w:ilvl w:val="0"/>
          <w:numId w:val="128"/>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首次报价表</w:t>
      </w:r>
      <w:r>
        <w:rPr>
          <w:rFonts w:hint="eastAsia" w:ascii="宋体" w:hAnsi="宋体" w:eastAsia="宋体" w:cs="宋体"/>
          <w:color w:val="auto"/>
          <w:sz w:val="21"/>
          <w:szCs w:val="21"/>
          <w:highlight w:val="none"/>
        </w:rPr>
        <w:t>内容与</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文件中相应内容不一致的，以</w:t>
      </w:r>
      <w:r>
        <w:rPr>
          <w:rFonts w:hint="eastAsia" w:ascii="宋体" w:hAnsi="宋体" w:eastAsia="宋体" w:cs="宋体"/>
          <w:color w:val="auto"/>
          <w:sz w:val="21"/>
          <w:szCs w:val="21"/>
          <w:highlight w:val="none"/>
          <w:lang w:val="en-US" w:eastAsia="zh-CN"/>
        </w:rPr>
        <w:t>首次报价表</w:t>
      </w:r>
      <w:r>
        <w:rPr>
          <w:rFonts w:hint="eastAsia" w:ascii="宋体" w:hAnsi="宋体" w:eastAsia="宋体" w:cs="宋体"/>
          <w:color w:val="auto"/>
          <w:sz w:val="21"/>
          <w:szCs w:val="21"/>
          <w:highlight w:val="none"/>
        </w:rPr>
        <w:t>为准</w:t>
      </w:r>
      <w:r>
        <w:rPr>
          <w:rFonts w:hint="eastAsia" w:ascii="宋体" w:hAnsi="宋体" w:eastAsia="宋体" w:cs="宋体"/>
          <w:color w:val="auto"/>
          <w:sz w:val="21"/>
          <w:szCs w:val="21"/>
          <w:highlight w:val="none"/>
          <w:lang w:eastAsia="zh-CN"/>
        </w:rPr>
        <w:t>；</w:t>
      </w:r>
    </w:p>
    <w:p w14:paraId="246CB22B">
      <w:pPr>
        <w:pStyle w:val="13"/>
        <w:keepNext w:val="0"/>
        <w:keepLines w:val="0"/>
        <w:pageBreakBefore w:val="0"/>
        <w:widowControl w:val="0"/>
        <w:numPr>
          <w:ilvl w:val="0"/>
          <w:numId w:val="128"/>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大写金额和小写金额不一致的，以大写金额为准</w:t>
      </w:r>
      <w:r>
        <w:rPr>
          <w:rFonts w:hint="eastAsia" w:ascii="宋体" w:hAnsi="宋体" w:eastAsia="宋体" w:cs="宋体"/>
          <w:color w:val="auto"/>
          <w:sz w:val="21"/>
          <w:szCs w:val="21"/>
          <w:highlight w:val="none"/>
          <w:lang w:eastAsia="zh-CN"/>
        </w:rPr>
        <w:t>。</w:t>
      </w:r>
    </w:p>
    <w:p w14:paraId="7A9AE317">
      <w:pPr>
        <w:widowControl/>
        <w:snapToGrid w:val="0"/>
        <w:spacing w:line="360" w:lineRule="auto"/>
        <w:contextualSpacing/>
        <w:jc w:val="left"/>
        <w:rPr>
          <w:kern w:val="0"/>
          <w:szCs w:val="21"/>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64"/>
      </w:tblGrid>
      <w:tr w14:paraId="54DB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tcPr>
          <w:p w14:paraId="222732F9">
            <w:pPr>
              <w:overflowPunct w:val="0"/>
              <w:adjustRightInd w:val="0"/>
              <w:snapToGrid w:val="0"/>
              <w:spacing w:line="360" w:lineRule="auto"/>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tc>
      </w:tr>
      <w:tr w14:paraId="2AC8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tcPr>
          <w:p w14:paraId="7AD0793D">
            <w:pPr>
              <w:snapToGrid w:val="0"/>
              <w:spacing w:line="360" w:lineRule="auto"/>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法定代表人（或被授权人）签字或盖私章：</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tc>
      </w:tr>
      <w:tr w14:paraId="04D1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tcPr>
          <w:p w14:paraId="57F2486F">
            <w:pPr>
              <w:snapToGrid w:val="0"/>
              <w:spacing w:line="360" w:lineRule="auto"/>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14:textFill>
                  <w14:solidFill>
                    <w14:schemeClr w14:val="tx1"/>
                  </w14:solidFill>
                </w14:textFill>
              </w:rPr>
              <w:t xml:space="preserve">    年   月   日</w:t>
            </w:r>
          </w:p>
        </w:tc>
      </w:tr>
    </w:tbl>
    <w:p w14:paraId="791DD63B">
      <w:pPr>
        <w:widowControl/>
        <w:snapToGrid w:val="0"/>
        <w:spacing w:line="360" w:lineRule="auto"/>
        <w:contextualSpacing/>
        <w:jc w:val="left"/>
        <w:rPr>
          <w:kern w:val="0"/>
          <w:sz w:val="20"/>
          <w:szCs w:val="20"/>
          <w:highlight w:val="none"/>
          <w:lang w:eastAsia="zh-Hans"/>
        </w:rPr>
      </w:pPr>
    </w:p>
    <w:p w14:paraId="08B07E56">
      <w:pPr>
        <w:widowControl/>
        <w:jc w:val="left"/>
        <w:rPr>
          <w:kern w:val="0"/>
          <w:sz w:val="20"/>
          <w:szCs w:val="20"/>
          <w:highlight w:val="none"/>
          <w:lang w:eastAsia="zh-Hans"/>
        </w:rPr>
      </w:pPr>
    </w:p>
    <w:p w14:paraId="13835997">
      <w:pPr>
        <w:pageBreakBefore/>
        <w:rPr>
          <w:rFonts w:ascii="宋体" w:hAnsi="宋体"/>
          <w:kern w:val="0"/>
          <w:szCs w:val="21"/>
          <w:highlight w:val="none"/>
          <w:lang w:eastAsia="zh-Hans"/>
        </w:rPr>
      </w:pPr>
      <w:bookmarkStart w:id="48" w:name="_Toc169799790"/>
      <w:r>
        <w:rPr>
          <w:rFonts w:ascii="宋体" w:hAnsi="宋体"/>
          <w:b/>
          <w:bCs/>
          <w:sz w:val="24"/>
          <w:szCs w:val="28"/>
          <w:highlight w:val="none"/>
        </w:rPr>
        <w:t>格式</w:t>
      </w:r>
      <w:r>
        <w:rPr>
          <w:rFonts w:hint="eastAsia" w:ascii="宋体" w:hAnsi="宋体"/>
          <w:b/>
          <w:bCs/>
          <w:sz w:val="24"/>
          <w:szCs w:val="28"/>
          <w:highlight w:val="none"/>
          <w:lang w:eastAsia="zh-CN"/>
        </w:rPr>
        <w:t>三</w:t>
      </w:r>
      <w:r>
        <w:rPr>
          <w:rFonts w:ascii="宋体" w:hAnsi="宋体"/>
          <w:b/>
          <w:bCs/>
          <w:sz w:val="24"/>
          <w:szCs w:val="28"/>
          <w:highlight w:val="none"/>
        </w:rPr>
        <w:t>：</w:t>
      </w:r>
      <w:bookmarkEnd w:id="48"/>
    </w:p>
    <w:p w14:paraId="3110C1C2">
      <w:pPr>
        <w:widowControl/>
        <w:jc w:val="left"/>
        <w:rPr>
          <w:rFonts w:ascii="宋体" w:hAnsi="宋体"/>
          <w:kern w:val="0"/>
          <w:szCs w:val="21"/>
          <w:highlight w:val="none"/>
          <w:lang w:eastAsia="zh-Hans"/>
        </w:rPr>
      </w:pPr>
      <w:r>
        <w:rPr>
          <w:rFonts w:ascii="宋体" w:hAnsi="宋体"/>
          <w:kern w:val="0"/>
          <w:szCs w:val="21"/>
          <w:highlight w:val="none"/>
          <w:lang w:eastAsia="zh-Hans"/>
        </w:rPr>
        <w:t>（以下格式文件由供应商根据需要选用）</w:t>
      </w:r>
    </w:p>
    <w:p w14:paraId="6C825438">
      <w:pPr>
        <w:widowControl/>
        <w:jc w:val="left"/>
        <w:rPr>
          <w:rFonts w:ascii="宋体" w:hAnsi="宋体"/>
          <w:kern w:val="0"/>
          <w:szCs w:val="21"/>
          <w:highlight w:val="none"/>
          <w:lang w:eastAsia="zh-Hans"/>
        </w:rPr>
      </w:pPr>
    </w:p>
    <w:p w14:paraId="5EE5C866">
      <w:pPr>
        <w:keepNext w:val="0"/>
        <w:keepLines w:val="0"/>
        <w:pageBreakBefore w:val="0"/>
        <w:widowControl/>
        <w:kinsoku/>
        <w:wordWrap/>
        <w:overflowPunct/>
        <w:topLinePunct w:val="0"/>
        <w:autoSpaceDE/>
        <w:autoSpaceDN/>
        <w:bidi w:val="0"/>
        <w:adjustRightInd/>
        <w:snapToGrid/>
        <w:jc w:val="left"/>
        <w:textAlignment w:val="auto"/>
        <w:rPr>
          <w:rFonts w:ascii="宋体" w:hAnsi="宋体"/>
          <w:kern w:val="0"/>
          <w:szCs w:val="21"/>
          <w:highlight w:val="none"/>
          <w:lang w:eastAsia="zh-Hans"/>
        </w:rPr>
      </w:pPr>
      <w:r>
        <w:rPr>
          <w:rFonts w:ascii="宋体" w:hAnsi="宋体"/>
          <w:kern w:val="0"/>
          <w:szCs w:val="21"/>
          <w:highlight w:val="none"/>
          <w:lang w:eastAsia="zh-Hans"/>
        </w:rPr>
        <w:t>中小企业声明函（承建本项目工程为中小企业或者承接本项目服务为中小企业时提交本函，所属行业应符合采购文件中明确的本项目所属行业）</w:t>
      </w:r>
    </w:p>
    <w:p w14:paraId="3045EC2A">
      <w:pPr>
        <w:widowControl/>
        <w:spacing w:before="156" w:beforeLines="50" w:after="156" w:afterLines="50"/>
        <w:jc w:val="center"/>
        <w:outlineLvl w:val="3"/>
        <w:rPr>
          <w:rFonts w:ascii="宋体" w:hAnsi="宋体"/>
          <w:kern w:val="0"/>
          <w:szCs w:val="21"/>
          <w:highlight w:val="none"/>
          <w:lang w:eastAsia="zh-Hans"/>
        </w:rPr>
      </w:pPr>
      <w:r>
        <w:rPr>
          <w:rFonts w:ascii="宋体" w:hAnsi="宋体"/>
          <w:b/>
          <w:kern w:val="0"/>
          <w:sz w:val="32"/>
          <w:szCs w:val="32"/>
          <w:highlight w:val="none"/>
          <w:lang w:eastAsia="zh-Hans"/>
        </w:rPr>
        <w:t>中小企业声明函（工程、服务）</w:t>
      </w:r>
    </w:p>
    <w:p w14:paraId="0581CB72">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本公司（联合体）郑重声明，根据《政府采购促进中小企业发展管理办法》（财库﹝2020﹞46号）的规定，本公司（联合体）参加</w:t>
      </w:r>
      <w:r>
        <w:rPr>
          <w:rFonts w:ascii="宋体" w:hAnsi="宋体"/>
          <w:kern w:val="0"/>
          <w:szCs w:val="21"/>
          <w:highlight w:val="none"/>
          <w:u w:val="single"/>
          <w:lang w:eastAsia="zh-Hans"/>
        </w:rPr>
        <w:t>（单位名称）</w:t>
      </w:r>
      <w:r>
        <w:rPr>
          <w:rFonts w:ascii="宋体" w:hAnsi="宋体"/>
          <w:kern w:val="0"/>
          <w:szCs w:val="21"/>
          <w:highlight w:val="none"/>
          <w:lang w:eastAsia="zh-Hans"/>
        </w:rPr>
        <w:t>的</w:t>
      </w:r>
      <w:r>
        <w:rPr>
          <w:rFonts w:ascii="宋体" w:hAnsi="宋体"/>
          <w:kern w:val="0"/>
          <w:szCs w:val="21"/>
          <w:highlight w:val="none"/>
          <w:u w:val="single"/>
          <w:lang w:eastAsia="zh-Hans"/>
        </w:rPr>
        <w:t>（项目名称）</w:t>
      </w:r>
      <w:r>
        <w:rPr>
          <w:rFonts w:ascii="宋体" w:hAnsi="宋体"/>
          <w:kern w:val="0"/>
          <w:szCs w:val="21"/>
          <w:highlight w:val="none"/>
          <w:lang w:eastAsia="zh-Hans"/>
        </w:rPr>
        <w:t>采购活动，工程的施工单位全部为符合政策要求的中小企业（或者：服务全部由符合政策要求的中小企业承接）。相关企业（含联合体中的中小企业、签订分包意向协议的中小企业）的具体情况如下：</w:t>
      </w:r>
    </w:p>
    <w:p w14:paraId="5F669321">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1.</w:t>
      </w:r>
      <w:r>
        <w:rPr>
          <w:rFonts w:ascii="宋体" w:hAnsi="宋体"/>
          <w:kern w:val="0"/>
          <w:szCs w:val="21"/>
          <w:highlight w:val="none"/>
          <w:u w:val="single"/>
          <w:lang w:eastAsia="zh-Hans"/>
        </w:rPr>
        <w:t>（标的名称）</w:t>
      </w:r>
      <w:r>
        <w:rPr>
          <w:rFonts w:ascii="宋体" w:hAnsi="宋体"/>
          <w:kern w:val="0"/>
          <w:szCs w:val="21"/>
          <w:highlight w:val="none"/>
          <w:lang w:eastAsia="zh-Hans"/>
        </w:rPr>
        <w:t>，属于</w:t>
      </w:r>
      <w:r>
        <w:rPr>
          <w:rFonts w:ascii="宋体" w:hAnsi="宋体"/>
          <w:kern w:val="0"/>
          <w:szCs w:val="21"/>
          <w:highlight w:val="none"/>
          <w:u w:val="single"/>
          <w:lang w:eastAsia="zh-Hans"/>
        </w:rPr>
        <w:t>（采购文件中明确的所属行业）</w:t>
      </w:r>
      <w:r>
        <w:rPr>
          <w:rFonts w:ascii="宋体" w:hAnsi="宋体"/>
          <w:kern w:val="0"/>
          <w:szCs w:val="21"/>
          <w:highlight w:val="none"/>
          <w:lang w:eastAsia="zh-Hans"/>
        </w:rPr>
        <w:t>行业；承建（承接）企业为</w:t>
      </w:r>
      <w:r>
        <w:rPr>
          <w:rFonts w:ascii="宋体" w:hAnsi="宋体"/>
          <w:kern w:val="0"/>
          <w:szCs w:val="21"/>
          <w:highlight w:val="none"/>
          <w:u w:val="single"/>
          <w:lang w:eastAsia="zh-Hans"/>
        </w:rPr>
        <w:t>（企业名称）</w:t>
      </w:r>
      <w:r>
        <w:rPr>
          <w:rFonts w:ascii="宋体" w:hAnsi="宋体"/>
          <w:kern w:val="0"/>
          <w:szCs w:val="21"/>
          <w:highlight w:val="none"/>
          <w:lang w:eastAsia="zh-Hans"/>
        </w:rPr>
        <w:t>，从业人员___________人，营业收入为______________万元，资产总额为_____________万元1，属于</w:t>
      </w:r>
      <w:r>
        <w:rPr>
          <w:rFonts w:ascii="宋体" w:hAnsi="宋体"/>
          <w:kern w:val="0"/>
          <w:szCs w:val="21"/>
          <w:highlight w:val="none"/>
          <w:u w:val="single"/>
          <w:lang w:eastAsia="zh-Hans"/>
        </w:rPr>
        <w:t>（中型企业、小型企业、微型企业）</w:t>
      </w:r>
      <w:r>
        <w:rPr>
          <w:rFonts w:ascii="宋体" w:hAnsi="宋体"/>
          <w:kern w:val="0"/>
          <w:szCs w:val="21"/>
          <w:highlight w:val="none"/>
          <w:lang w:eastAsia="zh-Hans"/>
        </w:rPr>
        <w:t>；</w:t>
      </w:r>
    </w:p>
    <w:p w14:paraId="7D273419">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2.</w:t>
      </w:r>
      <w:r>
        <w:rPr>
          <w:rFonts w:ascii="宋体" w:hAnsi="宋体"/>
          <w:kern w:val="0"/>
          <w:szCs w:val="21"/>
          <w:highlight w:val="none"/>
          <w:u w:val="single"/>
          <w:lang w:eastAsia="zh-Hans"/>
        </w:rPr>
        <w:t>（标的名称）</w:t>
      </w:r>
      <w:r>
        <w:rPr>
          <w:rFonts w:ascii="宋体" w:hAnsi="宋体"/>
          <w:kern w:val="0"/>
          <w:szCs w:val="21"/>
          <w:highlight w:val="none"/>
          <w:lang w:eastAsia="zh-Hans"/>
        </w:rPr>
        <w:t>，属于</w:t>
      </w:r>
      <w:r>
        <w:rPr>
          <w:rFonts w:ascii="宋体" w:hAnsi="宋体"/>
          <w:kern w:val="0"/>
          <w:szCs w:val="21"/>
          <w:highlight w:val="none"/>
          <w:u w:val="single"/>
          <w:lang w:eastAsia="zh-Hans"/>
        </w:rPr>
        <w:t>（采购文件中明确的所属行业）</w:t>
      </w:r>
      <w:r>
        <w:rPr>
          <w:rFonts w:ascii="宋体" w:hAnsi="宋体"/>
          <w:kern w:val="0"/>
          <w:szCs w:val="21"/>
          <w:highlight w:val="none"/>
          <w:lang w:eastAsia="zh-Hans"/>
        </w:rPr>
        <w:t>行业；承建（承接）企业为</w:t>
      </w:r>
      <w:r>
        <w:rPr>
          <w:rFonts w:ascii="宋体" w:hAnsi="宋体"/>
          <w:kern w:val="0"/>
          <w:szCs w:val="21"/>
          <w:highlight w:val="none"/>
          <w:u w:val="single"/>
          <w:lang w:eastAsia="zh-Hans"/>
        </w:rPr>
        <w:t>（企业名称）</w:t>
      </w:r>
      <w:r>
        <w:rPr>
          <w:rFonts w:ascii="宋体" w:hAnsi="宋体"/>
          <w:kern w:val="0"/>
          <w:szCs w:val="21"/>
          <w:highlight w:val="none"/>
          <w:lang w:eastAsia="zh-Hans"/>
        </w:rPr>
        <w:t>，从业人员__________________人，营业收入为__________________万元，资产总额为__________________万元</w:t>
      </w:r>
      <w:r>
        <w:rPr>
          <w:rFonts w:ascii="宋体" w:hAnsi="宋体"/>
          <w:kern w:val="0"/>
          <w:szCs w:val="21"/>
          <w:highlight w:val="none"/>
          <w:vertAlign w:val="superscript"/>
          <w:lang w:eastAsia="zh-Hans"/>
        </w:rPr>
        <w:t>1</w:t>
      </w:r>
      <w:r>
        <w:rPr>
          <w:rFonts w:ascii="宋体" w:hAnsi="宋体"/>
          <w:kern w:val="0"/>
          <w:szCs w:val="21"/>
          <w:highlight w:val="none"/>
          <w:lang w:eastAsia="zh-Hans"/>
        </w:rPr>
        <w:t>，属于</w:t>
      </w:r>
      <w:r>
        <w:rPr>
          <w:rFonts w:ascii="宋体" w:hAnsi="宋体"/>
          <w:kern w:val="0"/>
          <w:szCs w:val="21"/>
          <w:highlight w:val="none"/>
          <w:u w:val="single"/>
          <w:lang w:eastAsia="zh-Hans"/>
        </w:rPr>
        <w:t>（中型企业、小型企业、微型企业）</w:t>
      </w:r>
      <w:r>
        <w:rPr>
          <w:rFonts w:ascii="宋体" w:hAnsi="宋体"/>
          <w:kern w:val="0"/>
          <w:szCs w:val="21"/>
          <w:highlight w:val="none"/>
          <w:lang w:eastAsia="zh-Hans"/>
        </w:rPr>
        <w:t>；</w:t>
      </w:r>
    </w:p>
    <w:p w14:paraId="64069E7D">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w:t>
      </w:r>
    </w:p>
    <w:p w14:paraId="6CFB018A">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以上企业，不属于大企业的分支机构，不存在控股股东为大企业的情形，也不存在与大企业的负责人为同一人的情形。</w:t>
      </w:r>
    </w:p>
    <w:p w14:paraId="74770D0E">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本企业对上述声明内容的真实性负责。如有虚假，将依法承担相应责任。</w:t>
      </w:r>
    </w:p>
    <w:p w14:paraId="163CD118">
      <w:pPr>
        <w:widowControl/>
        <w:spacing w:before="780" w:beforeLines="250"/>
        <w:ind w:right="840" w:firstLine="4676" w:firstLineChars="2227"/>
        <w:rPr>
          <w:rFonts w:ascii="宋体" w:hAnsi="宋体"/>
          <w:kern w:val="0"/>
          <w:szCs w:val="21"/>
          <w:highlight w:val="none"/>
          <w:lang w:eastAsia="zh-Hans"/>
        </w:rPr>
      </w:pPr>
      <w:r>
        <w:rPr>
          <w:rFonts w:ascii="宋体" w:hAnsi="宋体"/>
          <w:kern w:val="0"/>
          <w:szCs w:val="21"/>
          <w:highlight w:val="none"/>
          <w:lang w:eastAsia="zh-Hans"/>
        </w:rPr>
        <w:t>企业名称（盖章）：__________________</w:t>
      </w:r>
    </w:p>
    <w:p w14:paraId="362E34B3">
      <w:pPr>
        <w:widowControl/>
        <w:ind w:right="840" w:firstLine="4676" w:firstLineChars="2227"/>
        <w:rPr>
          <w:rFonts w:ascii="宋体" w:hAnsi="宋体"/>
          <w:kern w:val="0"/>
          <w:szCs w:val="21"/>
          <w:highlight w:val="none"/>
          <w:lang w:eastAsia="zh-Hans"/>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25A88C99">
      <w:pPr>
        <w:widowControl/>
        <w:spacing w:before="2184" w:beforeLines="700"/>
        <w:jc w:val="left"/>
        <w:rPr>
          <w:rFonts w:ascii="宋体" w:hAnsi="宋体"/>
          <w:kern w:val="0"/>
          <w:szCs w:val="21"/>
          <w:highlight w:val="none"/>
          <w:lang w:eastAsia="zh-Hans"/>
        </w:rPr>
      </w:pPr>
      <w:r>
        <w:rPr>
          <w:rFonts w:ascii="宋体" w:hAnsi="宋体"/>
          <w:kern w:val="0"/>
          <w:szCs w:val="21"/>
          <w:highlight w:val="none"/>
          <w:lang w:eastAsia="zh-Hans"/>
        </w:rPr>
        <w:t>1：从业人员、营业收入、资产总额填报上一年度数据，无上一年度数据的新成立企业可不填报。</w:t>
      </w:r>
    </w:p>
    <w:p w14:paraId="4E268DB1">
      <w:pPr>
        <w:widowControl/>
        <w:jc w:val="left"/>
        <w:rPr>
          <w:rFonts w:ascii="宋体" w:hAnsi="宋体"/>
          <w:kern w:val="0"/>
          <w:szCs w:val="21"/>
          <w:highlight w:val="none"/>
          <w:lang w:eastAsia="zh-Hans"/>
        </w:rPr>
      </w:pPr>
    </w:p>
    <w:p w14:paraId="38169D69">
      <w:pPr>
        <w:pageBreakBefore/>
        <w:rPr>
          <w:rFonts w:ascii="宋体" w:hAnsi="宋体"/>
          <w:kern w:val="0"/>
          <w:szCs w:val="21"/>
          <w:highlight w:val="none"/>
          <w:lang w:eastAsia="zh-Hans"/>
        </w:rPr>
      </w:pPr>
      <w:bookmarkStart w:id="49" w:name="_Toc169799791"/>
      <w:r>
        <w:rPr>
          <w:rFonts w:ascii="宋体" w:hAnsi="宋体"/>
          <w:b/>
          <w:bCs/>
          <w:sz w:val="24"/>
          <w:szCs w:val="28"/>
          <w:highlight w:val="none"/>
        </w:rPr>
        <w:t>格式</w:t>
      </w:r>
      <w:r>
        <w:rPr>
          <w:rFonts w:hint="eastAsia" w:ascii="宋体" w:hAnsi="宋体"/>
          <w:b/>
          <w:bCs/>
          <w:sz w:val="24"/>
          <w:szCs w:val="28"/>
          <w:highlight w:val="none"/>
          <w:lang w:eastAsia="zh-CN"/>
        </w:rPr>
        <w:t>四</w:t>
      </w:r>
      <w:r>
        <w:rPr>
          <w:rFonts w:ascii="宋体" w:hAnsi="宋体"/>
          <w:b/>
          <w:bCs/>
          <w:sz w:val="24"/>
          <w:szCs w:val="28"/>
          <w:highlight w:val="none"/>
        </w:rPr>
        <w:t>：</w:t>
      </w:r>
      <w:bookmarkEnd w:id="49"/>
    </w:p>
    <w:p w14:paraId="56A1A461">
      <w:pPr>
        <w:widowControl/>
        <w:jc w:val="left"/>
        <w:rPr>
          <w:rFonts w:ascii="宋体" w:hAnsi="宋体"/>
          <w:kern w:val="0"/>
          <w:szCs w:val="21"/>
          <w:highlight w:val="none"/>
          <w:lang w:eastAsia="zh-Hans"/>
        </w:rPr>
      </w:pPr>
      <w:r>
        <w:rPr>
          <w:rFonts w:ascii="宋体" w:hAnsi="宋体"/>
          <w:kern w:val="0"/>
          <w:szCs w:val="21"/>
          <w:highlight w:val="none"/>
          <w:lang w:eastAsia="zh-Hans"/>
        </w:rPr>
        <w:t>（以下格式文件由供应商根据需要选用）</w:t>
      </w:r>
    </w:p>
    <w:p w14:paraId="122BF1E9">
      <w:pPr>
        <w:widowControl/>
        <w:spacing w:line="360" w:lineRule="auto"/>
        <w:jc w:val="center"/>
        <w:outlineLvl w:val="3"/>
        <w:rPr>
          <w:rFonts w:ascii="宋体" w:hAnsi="宋体"/>
          <w:kern w:val="0"/>
          <w:szCs w:val="21"/>
          <w:highlight w:val="none"/>
          <w:lang w:eastAsia="zh-Hans"/>
        </w:rPr>
      </w:pPr>
      <w:r>
        <w:rPr>
          <w:rFonts w:ascii="宋体" w:hAnsi="宋体"/>
          <w:b/>
          <w:kern w:val="0"/>
          <w:sz w:val="32"/>
          <w:szCs w:val="32"/>
          <w:highlight w:val="none"/>
          <w:lang w:eastAsia="zh-Hans"/>
        </w:rPr>
        <w:t>监狱企业</w:t>
      </w:r>
    </w:p>
    <w:p w14:paraId="3AEC34DD">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提供由监狱管理局、戒毒管理局（含新疆生产建设兵团）出具的属于监狱企业的证明文件。</w:t>
      </w:r>
    </w:p>
    <w:p w14:paraId="12B4C520">
      <w:pPr>
        <w:widowControl/>
        <w:spacing w:line="360" w:lineRule="auto"/>
        <w:jc w:val="left"/>
        <w:rPr>
          <w:rFonts w:ascii="宋体" w:hAnsi="宋体"/>
          <w:kern w:val="0"/>
          <w:szCs w:val="21"/>
          <w:highlight w:val="none"/>
          <w:lang w:eastAsia="zh-Hans"/>
        </w:rPr>
      </w:pPr>
    </w:p>
    <w:p w14:paraId="3BFB1100">
      <w:pPr>
        <w:keepNext w:val="0"/>
        <w:keepLines/>
        <w:pageBreakBefore/>
        <w:widowControl w:val="0"/>
        <w:kinsoku/>
        <w:wordWrap/>
        <w:overflowPunct/>
        <w:topLinePunct w:val="0"/>
        <w:autoSpaceDE/>
        <w:autoSpaceDN/>
        <w:bidi w:val="0"/>
        <w:adjustRightInd/>
        <w:snapToGrid/>
        <w:spacing w:before="468" w:beforeLines="150" w:line="360" w:lineRule="auto"/>
        <w:textAlignment w:val="auto"/>
        <w:rPr>
          <w:rFonts w:ascii="宋体" w:hAnsi="宋体"/>
          <w:kern w:val="0"/>
          <w:szCs w:val="21"/>
          <w:highlight w:val="none"/>
          <w:lang w:eastAsia="zh-Hans"/>
        </w:rPr>
      </w:pPr>
      <w:bookmarkStart w:id="50" w:name="_Toc169799792"/>
      <w:r>
        <w:rPr>
          <w:rFonts w:ascii="宋体" w:hAnsi="宋体"/>
          <w:b/>
          <w:bCs/>
          <w:sz w:val="24"/>
          <w:szCs w:val="28"/>
          <w:highlight w:val="none"/>
        </w:rPr>
        <w:t>格式</w:t>
      </w:r>
      <w:r>
        <w:rPr>
          <w:rFonts w:hint="eastAsia" w:ascii="宋体" w:hAnsi="宋体"/>
          <w:b/>
          <w:bCs/>
          <w:sz w:val="24"/>
          <w:szCs w:val="28"/>
          <w:highlight w:val="none"/>
          <w:lang w:eastAsia="zh-CN"/>
        </w:rPr>
        <w:t>五</w:t>
      </w:r>
      <w:r>
        <w:rPr>
          <w:rFonts w:ascii="宋体" w:hAnsi="宋体"/>
          <w:b/>
          <w:bCs/>
          <w:sz w:val="24"/>
          <w:szCs w:val="28"/>
          <w:highlight w:val="none"/>
        </w:rPr>
        <w:t>：</w:t>
      </w:r>
      <w:bookmarkEnd w:id="50"/>
    </w:p>
    <w:p w14:paraId="29C80591">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（以下格式文件由供应商根据需要选用）</w:t>
      </w:r>
    </w:p>
    <w:p w14:paraId="798A59F9">
      <w:pPr>
        <w:widowControl/>
        <w:spacing w:before="156" w:beforeLines="50" w:line="360" w:lineRule="auto"/>
        <w:jc w:val="center"/>
        <w:outlineLvl w:val="3"/>
        <w:rPr>
          <w:rFonts w:ascii="宋体" w:hAnsi="宋体"/>
          <w:kern w:val="0"/>
          <w:szCs w:val="21"/>
          <w:highlight w:val="none"/>
          <w:lang w:eastAsia="zh-Hans"/>
        </w:rPr>
      </w:pPr>
      <w:r>
        <w:rPr>
          <w:rFonts w:ascii="宋体" w:hAnsi="宋体"/>
          <w:b/>
          <w:kern w:val="0"/>
          <w:sz w:val="32"/>
          <w:szCs w:val="32"/>
          <w:highlight w:val="none"/>
          <w:lang w:eastAsia="zh-Hans"/>
        </w:rPr>
        <w:t>残疾人福利性单位声明函</w:t>
      </w:r>
    </w:p>
    <w:p w14:paraId="4BAA9E8A">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91025A">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本单位对上述声明的真实性负责。如有虚假，将依法承担相应责任。</w:t>
      </w:r>
    </w:p>
    <w:p w14:paraId="11881397">
      <w:pPr>
        <w:widowControl/>
        <w:snapToGrid w:val="0"/>
        <w:spacing w:line="360" w:lineRule="auto"/>
        <w:ind w:right="840"/>
        <w:contextualSpacing/>
        <w:jc w:val="right"/>
        <w:rPr>
          <w:rFonts w:ascii="宋体" w:hAnsi="宋体"/>
          <w:kern w:val="0"/>
          <w:szCs w:val="21"/>
          <w:highlight w:val="none"/>
        </w:rPr>
      </w:pPr>
    </w:p>
    <w:p w14:paraId="351417F4">
      <w:pPr>
        <w:widowControl/>
        <w:tabs>
          <w:tab w:val="left" w:pos="4395"/>
        </w:tabs>
        <w:snapToGrid w:val="0"/>
        <w:spacing w:before="624" w:beforeLines="200" w:line="360" w:lineRule="auto"/>
        <w:ind w:right="629" w:firstLine="4109" w:firstLineChars="1957"/>
        <w:contextualSpacing/>
        <w:jc w:val="left"/>
        <w:rPr>
          <w:rFonts w:ascii="宋体" w:hAnsi="宋体"/>
          <w:kern w:val="0"/>
          <w:szCs w:val="21"/>
          <w:highlight w:val="none"/>
          <w:lang w:eastAsia="zh-Hans"/>
        </w:rPr>
      </w:pPr>
      <w:r>
        <w:rPr>
          <w:rFonts w:ascii="宋体" w:hAnsi="宋体"/>
          <w:kern w:val="0"/>
          <w:szCs w:val="21"/>
          <w:highlight w:val="none"/>
          <w:lang w:eastAsia="zh-Hans"/>
        </w:rPr>
        <w:t>单位名称（盖章）：__________________</w:t>
      </w:r>
    </w:p>
    <w:p w14:paraId="5EE7BCC9">
      <w:pPr>
        <w:widowControl/>
        <w:tabs>
          <w:tab w:val="left" w:pos="4395"/>
        </w:tabs>
        <w:snapToGrid w:val="0"/>
        <w:spacing w:before="312" w:beforeLines="100" w:line="360" w:lineRule="auto"/>
        <w:ind w:right="1680" w:firstLine="4109" w:firstLineChars="1957"/>
        <w:contextualSpacing/>
        <w:jc w:val="left"/>
        <w:rPr>
          <w:rFonts w:ascii="宋体" w:hAnsi="宋体"/>
          <w:kern w:val="0"/>
          <w:szCs w:val="21"/>
          <w:highlight w:val="none"/>
          <w:lang w:eastAsia="zh-Hans"/>
        </w:rPr>
      </w:pPr>
      <w:r>
        <w:rPr>
          <w:rFonts w:ascii="宋体" w:hAnsi="宋体"/>
          <w:kern w:val="0"/>
          <w:szCs w:val="21"/>
          <w:highlight w:val="none"/>
          <w:lang w:eastAsia="zh-Hans"/>
        </w:rPr>
        <w:t>日期： 年 月 日</w:t>
      </w:r>
    </w:p>
    <w:p w14:paraId="7B42605B">
      <w:pPr>
        <w:pageBreakBefore/>
        <w:rPr>
          <w:kern w:val="0"/>
          <w:szCs w:val="21"/>
          <w:highlight w:val="none"/>
          <w:lang w:eastAsia="zh-Hans"/>
        </w:rPr>
      </w:pPr>
      <w:bookmarkStart w:id="51" w:name="_Toc169799793"/>
      <w:r>
        <w:rPr>
          <w:rFonts w:ascii="宋体" w:hAnsi="宋体"/>
          <w:b/>
          <w:bCs/>
          <w:sz w:val="24"/>
          <w:szCs w:val="28"/>
          <w:highlight w:val="none"/>
        </w:rPr>
        <w:t>格式</w:t>
      </w:r>
      <w:r>
        <w:rPr>
          <w:rFonts w:hint="eastAsia" w:ascii="宋体" w:hAnsi="宋体"/>
          <w:b/>
          <w:bCs/>
          <w:sz w:val="24"/>
          <w:szCs w:val="28"/>
          <w:highlight w:val="none"/>
          <w:lang w:val="en-US" w:eastAsia="zh-CN"/>
        </w:rPr>
        <w:t>六</w:t>
      </w:r>
      <w:r>
        <w:rPr>
          <w:rFonts w:ascii="宋体" w:hAnsi="宋体"/>
          <w:b/>
          <w:bCs/>
          <w:sz w:val="24"/>
          <w:szCs w:val="28"/>
          <w:highlight w:val="none"/>
        </w:rPr>
        <w:t>：</w:t>
      </w:r>
      <w:bookmarkEnd w:id="51"/>
    </w:p>
    <w:p w14:paraId="3C776E22">
      <w:pPr>
        <w:widowControl/>
        <w:spacing w:after="156" w:afterLines="50"/>
        <w:jc w:val="center"/>
        <w:outlineLvl w:val="3"/>
        <w:rPr>
          <w:kern w:val="0"/>
          <w:sz w:val="20"/>
          <w:szCs w:val="20"/>
          <w:highlight w:val="none"/>
          <w:lang w:eastAsia="zh-Hans"/>
        </w:rPr>
      </w:pPr>
      <w:r>
        <w:rPr>
          <w:b/>
          <w:kern w:val="0"/>
          <w:sz w:val="32"/>
          <w:highlight w:val="none"/>
          <w:lang w:eastAsia="zh-Hans"/>
        </w:rPr>
        <w:t>政策适用性说明</w:t>
      </w:r>
    </w:p>
    <w:p w14:paraId="4CC8D78E">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按照政府采购有关政策的要求，在本次的技术方案中，采用符合政策的小型或微型企业产品、节能产品、环境标志产品，主要产品与核心技术介绍说明如下：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772"/>
        <w:gridCol w:w="1140"/>
        <w:gridCol w:w="1140"/>
        <w:gridCol w:w="1138"/>
        <w:gridCol w:w="1140"/>
        <w:gridCol w:w="1003"/>
        <w:gridCol w:w="1160"/>
      </w:tblGrid>
      <w:tr w14:paraId="539A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50024E2F">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序号</w:t>
            </w:r>
          </w:p>
        </w:tc>
        <w:tc>
          <w:tcPr>
            <w:tcW w:w="954" w:type="pct"/>
            <w:vAlign w:val="center"/>
          </w:tcPr>
          <w:p w14:paraId="037E34A0">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主要产品/技术名称（规格型号、注册商标）</w:t>
            </w:r>
          </w:p>
        </w:tc>
        <w:tc>
          <w:tcPr>
            <w:tcW w:w="614" w:type="pct"/>
            <w:vAlign w:val="center"/>
          </w:tcPr>
          <w:p w14:paraId="1BB57F8C">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制造商(开发商)</w:t>
            </w:r>
          </w:p>
        </w:tc>
        <w:tc>
          <w:tcPr>
            <w:tcW w:w="614" w:type="pct"/>
            <w:vAlign w:val="center"/>
          </w:tcPr>
          <w:p w14:paraId="1CEAD1CA">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制造商企业类型</w:t>
            </w:r>
          </w:p>
        </w:tc>
        <w:tc>
          <w:tcPr>
            <w:tcW w:w="613" w:type="pct"/>
            <w:vAlign w:val="center"/>
          </w:tcPr>
          <w:p w14:paraId="777EE123">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节能产品</w:t>
            </w:r>
          </w:p>
        </w:tc>
        <w:tc>
          <w:tcPr>
            <w:tcW w:w="614" w:type="pct"/>
            <w:vAlign w:val="center"/>
          </w:tcPr>
          <w:p w14:paraId="598FE2BD">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环境标志产品</w:t>
            </w:r>
          </w:p>
        </w:tc>
        <w:tc>
          <w:tcPr>
            <w:tcW w:w="540" w:type="pct"/>
            <w:vAlign w:val="center"/>
          </w:tcPr>
          <w:p w14:paraId="7FFA6391">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认证证书编号</w:t>
            </w:r>
          </w:p>
        </w:tc>
        <w:tc>
          <w:tcPr>
            <w:tcW w:w="624" w:type="pct"/>
            <w:vAlign w:val="center"/>
          </w:tcPr>
          <w:p w14:paraId="43CABBFE">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该产品报价在总报价中占比（%）</w:t>
            </w:r>
          </w:p>
        </w:tc>
      </w:tr>
      <w:tr w14:paraId="751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7853EA83">
            <w:pPr>
              <w:widowControl/>
              <w:snapToGrid w:val="0"/>
              <w:spacing w:line="276"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1</w:t>
            </w:r>
          </w:p>
        </w:tc>
        <w:tc>
          <w:tcPr>
            <w:tcW w:w="954" w:type="pct"/>
            <w:vAlign w:val="center"/>
          </w:tcPr>
          <w:p w14:paraId="46589C26">
            <w:pPr>
              <w:snapToGrid w:val="0"/>
              <w:spacing w:line="360" w:lineRule="auto"/>
              <w:contextualSpacing/>
              <w:jc w:val="center"/>
              <w:rPr>
                <w:rFonts w:ascii="宋体" w:hAnsi="宋体"/>
                <w:szCs w:val="21"/>
                <w:highlight w:val="none"/>
              </w:rPr>
            </w:pPr>
          </w:p>
        </w:tc>
        <w:tc>
          <w:tcPr>
            <w:tcW w:w="614" w:type="pct"/>
            <w:vAlign w:val="center"/>
          </w:tcPr>
          <w:p w14:paraId="506B41AF">
            <w:pPr>
              <w:snapToGrid w:val="0"/>
              <w:spacing w:line="360" w:lineRule="auto"/>
              <w:contextualSpacing/>
              <w:jc w:val="center"/>
              <w:rPr>
                <w:rFonts w:ascii="宋体" w:hAnsi="宋体"/>
                <w:szCs w:val="21"/>
                <w:highlight w:val="none"/>
              </w:rPr>
            </w:pPr>
          </w:p>
        </w:tc>
        <w:tc>
          <w:tcPr>
            <w:tcW w:w="614" w:type="pct"/>
            <w:vAlign w:val="center"/>
          </w:tcPr>
          <w:p w14:paraId="3DC3B549">
            <w:pPr>
              <w:snapToGrid w:val="0"/>
              <w:spacing w:line="360" w:lineRule="auto"/>
              <w:contextualSpacing/>
              <w:jc w:val="center"/>
              <w:rPr>
                <w:rFonts w:ascii="宋体" w:hAnsi="宋体"/>
                <w:szCs w:val="21"/>
                <w:highlight w:val="none"/>
              </w:rPr>
            </w:pPr>
          </w:p>
        </w:tc>
        <w:tc>
          <w:tcPr>
            <w:tcW w:w="613" w:type="pct"/>
            <w:vAlign w:val="center"/>
          </w:tcPr>
          <w:p w14:paraId="180E7BC7">
            <w:pPr>
              <w:snapToGrid w:val="0"/>
              <w:spacing w:line="360" w:lineRule="auto"/>
              <w:contextualSpacing/>
              <w:jc w:val="center"/>
              <w:rPr>
                <w:rFonts w:ascii="宋体" w:hAnsi="宋体"/>
                <w:szCs w:val="21"/>
                <w:highlight w:val="none"/>
              </w:rPr>
            </w:pPr>
          </w:p>
        </w:tc>
        <w:tc>
          <w:tcPr>
            <w:tcW w:w="614" w:type="pct"/>
            <w:vAlign w:val="center"/>
          </w:tcPr>
          <w:p w14:paraId="7EAF34FD">
            <w:pPr>
              <w:snapToGrid w:val="0"/>
              <w:spacing w:line="360" w:lineRule="auto"/>
              <w:contextualSpacing/>
              <w:jc w:val="center"/>
              <w:rPr>
                <w:rFonts w:ascii="宋体" w:hAnsi="宋体"/>
                <w:szCs w:val="21"/>
                <w:highlight w:val="none"/>
              </w:rPr>
            </w:pPr>
          </w:p>
        </w:tc>
        <w:tc>
          <w:tcPr>
            <w:tcW w:w="540" w:type="pct"/>
            <w:vAlign w:val="center"/>
          </w:tcPr>
          <w:p w14:paraId="2290DADA">
            <w:pPr>
              <w:snapToGrid w:val="0"/>
              <w:spacing w:line="360" w:lineRule="auto"/>
              <w:contextualSpacing/>
              <w:jc w:val="center"/>
              <w:rPr>
                <w:rFonts w:ascii="宋体" w:hAnsi="宋体"/>
                <w:szCs w:val="21"/>
                <w:highlight w:val="none"/>
              </w:rPr>
            </w:pPr>
          </w:p>
        </w:tc>
        <w:tc>
          <w:tcPr>
            <w:tcW w:w="624" w:type="pct"/>
            <w:vAlign w:val="center"/>
          </w:tcPr>
          <w:p w14:paraId="2A28AA4C">
            <w:pPr>
              <w:snapToGrid w:val="0"/>
              <w:spacing w:line="360" w:lineRule="auto"/>
              <w:contextualSpacing/>
              <w:jc w:val="center"/>
              <w:rPr>
                <w:rFonts w:ascii="宋体" w:hAnsi="宋体"/>
                <w:szCs w:val="21"/>
                <w:highlight w:val="none"/>
              </w:rPr>
            </w:pPr>
          </w:p>
        </w:tc>
      </w:tr>
      <w:tr w14:paraId="074A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00E29688">
            <w:pPr>
              <w:widowControl/>
              <w:snapToGrid w:val="0"/>
              <w:spacing w:line="276"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2</w:t>
            </w:r>
          </w:p>
        </w:tc>
        <w:tc>
          <w:tcPr>
            <w:tcW w:w="954" w:type="pct"/>
            <w:vAlign w:val="center"/>
          </w:tcPr>
          <w:p w14:paraId="0FB59462">
            <w:pPr>
              <w:snapToGrid w:val="0"/>
              <w:spacing w:line="360" w:lineRule="auto"/>
              <w:contextualSpacing/>
              <w:jc w:val="center"/>
              <w:rPr>
                <w:rFonts w:ascii="宋体" w:hAnsi="宋体"/>
                <w:szCs w:val="21"/>
                <w:highlight w:val="none"/>
              </w:rPr>
            </w:pPr>
          </w:p>
        </w:tc>
        <w:tc>
          <w:tcPr>
            <w:tcW w:w="614" w:type="pct"/>
            <w:vAlign w:val="center"/>
          </w:tcPr>
          <w:p w14:paraId="440A3730">
            <w:pPr>
              <w:snapToGrid w:val="0"/>
              <w:spacing w:line="360" w:lineRule="auto"/>
              <w:contextualSpacing/>
              <w:jc w:val="center"/>
              <w:rPr>
                <w:rFonts w:ascii="宋体" w:hAnsi="宋体"/>
                <w:szCs w:val="21"/>
                <w:highlight w:val="none"/>
              </w:rPr>
            </w:pPr>
          </w:p>
        </w:tc>
        <w:tc>
          <w:tcPr>
            <w:tcW w:w="614" w:type="pct"/>
            <w:vAlign w:val="center"/>
          </w:tcPr>
          <w:p w14:paraId="56F40BA2">
            <w:pPr>
              <w:snapToGrid w:val="0"/>
              <w:spacing w:line="360" w:lineRule="auto"/>
              <w:contextualSpacing/>
              <w:jc w:val="center"/>
              <w:rPr>
                <w:rFonts w:ascii="宋体" w:hAnsi="宋体"/>
                <w:szCs w:val="21"/>
                <w:highlight w:val="none"/>
              </w:rPr>
            </w:pPr>
          </w:p>
        </w:tc>
        <w:tc>
          <w:tcPr>
            <w:tcW w:w="613" w:type="pct"/>
            <w:vAlign w:val="center"/>
          </w:tcPr>
          <w:p w14:paraId="6B6F2A41">
            <w:pPr>
              <w:snapToGrid w:val="0"/>
              <w:spacing w:line="360" w:lineRule="auto"/>
              <w:contextualSpacing/>
              <w:jc w:val="center"/>
              <w:rPr>
                <w:rFonts w:ascii="宋体" w:hAnsi="宋体"/>
                <w:szCs w:val="21"/>
                <w:highlight w:val="none"/>
              </w:rPr>
            </w:pPr>
          </w:p>
        </w:tc>
        <w:tc>
          <w:tcPr>
            <w:tcW w:w="614" w:type="pct"/>
            <w:vAlign w:val="center"/>
          </w:tcPr>
          <w:p w14:paraId="22B4E8BD">
            <w:pPr>
              <w:snapToGrid w:val="0"/>
              <w:spacing w:line="360" w:lineRule="auto"/>
              <w:contextualSpacing/>
              <w:jc w:val="center"/>
              <w:rPr>
                <w:rFonts w:ascii="宋体" w:hAnsi="宋体"/>
                <w:szCs w:val="21"/>
                <w:highlight w:val="none"/>
              </w:rPr>
            </w:pPr>
          </w:p>
        </w:tc>
        <w:tc>
          <w:tcPr>
            <w:tcW w:w="540" w:type="pct"/>
            <w:vAlign w:val="center"/>
          </w:tcPr>
          <w:p w14:paraId="11516E82">
            <w:pPr>
              <w:snapToGrid w:val="0"/>
              <w:spacing w:line="360" w:lineRule="auto"/>
              <w:contextualSpacing/>
              <w:jc w:val="center"/>
              <w:rPr>
                <w:rFonts w:ascii="宋体" w:hAnsi="宋体"/>
                <w:szCs w:val="21"/>
                <w:highlight w:val="none"/>
              </w:rPr>
            </w:pPr>
          </w:p>
        </w:tc>
        <w:tc>
          <w:tcPr>
            <w:tcW w:w="624" w:type="pct"/>
            <w:vAlign w:val="center"/>
          </w:tcPr>
          <w:p w14:paraId="7C092E84">
            <w:pPr>
              <w:snapToGrid w:val="0"/>
              <w:spacing w:line="360" w:lineRule="auto"/>
              <w:contextualSpacing/>
              <w:jc w:val="center"/>
              <w:rPr>
                <w:rFonts w:ascii="宋体" w:hAnsi="宋体"/>
                <w:szCs w:val="21"/>
                <w:highlight w:val="none"/>
              </w:rPr>
            </w:pPr>
          </w:p>
        </w:tc>
      </w:tr>
      <w:tr w14:paraId="08BD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4D6F71F4">
            <w:pPr>
              <w:widowControl/>
              <w:snapToGrid w:val="0"/>
              <w:spacing w:line="276"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3</w:t>
            </w:r>
          </w:p>
        </w:tc>
        <w:tc>
          <w:tcPr>
            <w:tcW w:w="954" w:type="pct"/>
            <w:vAlign w:val="center"/>
          </w:tcPr>
          <w:p w14:paraId="47737D8C">
            <w:pPr>
              <w:snapToGrid w:val="0"/>
              <w:spacing w:line="360" w:lineRule="auto"/>
              <w:contextualSpacing/>
              <w:jc w:val="center"/>
              <w:rPr>
                <w:rFonts w:ascii="宋体" w:hAnsi="宋体"/>
                <w:szCs w:val="21"/>
                <w:highlight w:val="none"/>
              </w:rPr>
            </w:pPr>
          </w:p>
        </w:tc>
        <w:tc>
          <w:tcPr>
            <w:tcW w:w="614" w:type="pct"/>
            <w:vAlign w:val="center"/>
          </w:tcPr>
          <w:p w14:paraId="34A450E2">
            <w:pPr>
              <w:snapToGrid w:val="0"/>
              <w:spacing w:line="360" w:lineRule="auto"/>
              <w:contextualSpacing/>
              <w:jc w:val="center"/>
              <w:rPr>
                <w:rFonts w:ascii="宋体" w:hAnsi="宋体"/>
                <w:szCs w:val="21"/>
                <w:highlight w:val="none"/>
              </w:rPr>
            </w:pPr>
          </w:p>
        </w:tc>
        <w:tc>
          <w:tcPr>
            <w:tcW w:w="614" w:type="pct"/>
            <w:vAlign w:val="center"/>
          </w:tcPr>
          <w:p w14:paraId="1EBFAC98">
            <w:pPr>
              <w:snapToGrid w:val="0"/>
              <w:spacing w:line="360" w:lineRule="auto"/>
              <w:contextualSpacing/>
              <w:jc w:val="center"/>
              <w:rPr>
                <w:rFonts w:ascii="宋体" w:hAnsi="宋体"/>
                <w:szCs w:val="21"/>
                <w:highlight w:val="none"/>
              </w:rPr>
            </w:pPr>
          </w:p>
        </w:tc>
        <w:tc>
          <w:tcPr>
            <w:tcW w:w="613" w:type="pct"/>
            <w:vAlign w:val="center"/>
          </w:tcPr>
          <w:p w14:paraId="3A4D096D">
            <w:pPr>
              <w:snapToGrid w:val="0"/>
              <w:spacing w:line="360" w:lineRule="auto"/>
              <w:contextualSpacing/>
              <w:jc w:val="center"/>
              <w:rPr>
                <w:rFonts w:ascii="宋体" w:hAnsi="宋体"/>
                <w:szCs w:val="21"/>
                <w:highlight w:val="none"/>
              </w:rPr>
            </w:pPr>
          </w:p>
        </w:tc>
        <w:tc>
          <w:tcPr>
            <w:tcW w:w="614" w:type="pct"/>
            <w:vAlign w:val="center"/>
          </w:tcPr>
          <w:p w14:paraId="386F7C01">
            <w:pPr>
              <w:snapToGrid w:val="0"/>
              <w:spacing w:line="360" w:lineRule="auto"/>
              <w:contextualSpacing/>
              <w:jc w:val="center"/>
              <w:rPr>
                <w:rFonts w:ascii="宋体" w:hAnsi="宋体"/>
                <w:szCs w:val="21"/>
                <w:highlight w:val="none"/>
              </w:rPr>
            </w:pPr>
          </w:p>
        </w:tc>
        <w:tc>
          <w:tcPr>
            <w:tcW w:w="540" w:type="pct"/>
            <w:vAlign w:val="center"/>
          </w:tcPr>
          <w:p w14:paraId="27F5114D">
            <w:pPr>
              <w:snapToGrid w:val="0"/>
              <w:spacing w:line="360" w:lineRule="auto"/>
              <w:contextualSpacing/>
              <w:jc w:val="center"/>
              <w:rPr>
                <w:rFonts w:ascii="宋体" w:hAnsi="宋体"/>
                <w:szCs w:val="21"/>
                <w:highlight w:val="none"/>
              </w:rPr>
            </w:pPr>
          </w:p>
        </w:tc>
        <w:tc>
          <w:tcPr>
            <w:tcW w:w="624" w:type="pct"/>
            <w:vAlign w:val="center"/>
          </w:tcPr>
          <w:p w14:paraId="7FA56FC4">
            <w:pPr>
              <w:snapToGrid w:val="0"/>
              <w:spacing w:line="360" w:lineRule="auto"/>
              <w:contextualSpacing/>
              <w:jc w:val="center"/>
              <w:rPr>
                <w:rFonts w:ascii="宋体" w:hAnsi="宋体"/>
                <w:szCs w:val="21"/>
                <w:highlight w:val="none"/>
              </w:rPr>
            </w:pPr>
          </w:p>
        </w:tc>
      </w:tr>
      <w:tr w14:paraId="29AB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6EA0667A">
            <w:pPr>
              <w:widowControl/>
              <w:snapToGrid w:val="0"/>
              <w:spacing w:line="276"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4</w:t>
            </w:r>
          </w:p>
        </w:tc>
        <w:tc>
          <w:tcPr>
            <w:tcW w:w="954" w:type="pct"/>
            <w:vAlign w:val="center"/>
          </w:tcPr>
          <w:p w14:paraId="1A88461E">
            <w:pPr>
              <w:snapToGrid w:val="0"/>
              <w:spacing w:line="360" w:lineRule="auto"/>
              <w:contextualSpacing/>
              <w:jc w:val="center"/>
              <w:rPr>
                <w:rFonts w:ascii="宋体" w:hAnsi="宋体"/>
                <w:szCs w:val="21"/>
                <w:highlight w:val="none"/>
              </w:rPr>
            </w:pPr>
          </w:p>
        </w:tc>
        <w:tc>
          <w:tcPr>
            <w:tcW w:w="614" w:type="pct"/>
            <w:vAlign w:val="center"/>
          </w:tcPr>
          <w:p w14:paraId="78F6A0AC">
            <w:pPr>
              <w:snapToGrid w:val="0"/>
              <w:spacing w:line="360" w:lineRule="auto"/>
              <w:contextualSpacing/>
              <w:jc w:val="center"/>
              <w:rPr>
                <w:rFonts w:ascii="宋体" w:hAnsi="宋体"/>
                <w:szCs w:val="21"/>
                <w:highlight w:val="none"/>
              </w:rPr>
            </w:pPr>
          </w:p>
        </w:tc>
        <w:tc>
          <w:tcPr>
            <w:tcW w:w="614" w:type="pct"/>
            <w:vAlign w:val="center"/>
          </w:tcPr>
          <w:p w14:paraId="287ED408">
            <w:pPr>
              <w:snapToGrid w:val="0"/>
              <w:spacing w:line="360" w:lineRule="auto"/>
              <w:contextualSpacing/>
              <w:jc w:val="center"/>
              <w:rPr>
                <w:rFonts w:ascii="宋体" w:hAnsi="宋体"/>
                <w:szCs w:val="21"/>
                <w:highlight w:val="none"/>
              </w:rPr>
            </w:pPr>
          </w:p>
        </w:tc>
        <w:tc>
          <w:tcPr>
            <w:tcW w:w="613" w:type="pct"/>
            <w:vAlign w:val="center"/>
          </w:tcPr>
          <w:p w14:paraId="2498FFF7">
            <w:pPr>
              <w:snapToGrid w:val="0"/>
              <w:spacing w:line="360" w:lineRule="auto"/>
              <w:contextualSpacing/>
              <w:jc w:val="center"/>
              <w:rPr>
                <w:rFonts w:ascii="宋体" w:hAnsi="宋体"/>
                <w:szCs w:val="21"/>
                <w:highlight w:val="none"/>
              </w:rPr>
            </w:pPr>
          </w:p>
        </w:tc>
        <w:tc>
          <w:tcPr>
            <w:tcW w:w="614" w:type="pct"/>
            <w:vAlign w:val="center"/>
          </w:tcPr>
          <w:p w14:paraId="1CA05E08">
            <w:pPr>
              <w:snapToGrid w:val="0"/>
              <w:spacing w:line="360" w:lineRule="auto"/>
              <w:contextualSpacing/>
              <w:jc w:val="center"/>
              <w:rPr>
                <w:rFonts w:ascii="宋体" w:hAnsi="宋体"/>
                <w:szCs w:val="21"/>
                <w:highlight w:val="none"/>
              </w:rPr>
            </w:pPr>
          </w:p>
        </w:tc>
        <w:tc>
          <w:tcPr>
            <w:tcW w:w="540" w:type="pct"/>
            <w:vAlign w:val="center"/>
          </w:tcPr>
          <w:p w14:paraId="4F440E54">
            <w:pPr>
              <w:snapToGrid w:val="0"/>
              <w:spacing w:line="360" w:lineRule="auto"/>
              <w:contextualSpacing/>
              <w:jc w:val="center"/>
              <w:rPr>
                <w:rFonts w:ascii="宋体" w:hAnsi="宋体"/>
                <w:szCs w:val="21"/>
                <w:highlight w:val="none"/>
              </w:rPr>
            </w:pPr>
          </w:p>
        </w:tc>
        <w:tc>
          <w:tcPr>
            <w:tcW w:w="624" w:type="pct"/>
            <w:vAlign w:val="center"/>
          </w:tcPr>
          <w:p w14:paraId="00E699EA">
            <w:pPr>
              <w:snapToGrid w:val="0"/>
              <w:spacing w:line="360" w:lineRule="auto"/>
              <w:contextualSpacing/>
              <w:jc w:val="center"/>
              <w:rPr>
                <w:rFonts w:ascii="宋体" w:hAnsi="宋体"/>
                <w:szCs w:val="21"/>
                <w:highlight w:val="none"/>
              </w:rPr>
            </w:pPr>
          </w:p>
        </w:tc>
      </w:tr>
      <w:tr w14:paraId="74CD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2EB42ECA">
            <w:pPr>
              <w:widowControl/>
              <w:snapToGrid w:val="0"/>
              <w:spacing w:line="276"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5</w:t>
            </w:r>
          </w:p>
        </w:tc>
        <w:tc>
          <w:tcPr>
            <w:tcW w:w="954" w:type="pct"/>
            <w:vAlign w:val="center"/>
          </w:tcPr>
          <w:p w14:paraId="5173C3CD">
            <w:pPr>
              <w:snapToGrid w:val="0"/>
              <w:spacing w:line="360" w:lineRule="auto"/>
              <w:contextualSpacing/>
              <w:jc w:val="center"/>
              <w:rPr>
                <w:rFonts w:ascii="宋体" w:hAnsi="宋体"/>
                <w:szCs w:val="21"/>
                <w:highlight w:val="none"/>
              </w:rPr>
            </w:pPr>
          </w:p>
        </w:tc>
        <w:tc>
          <w:tcPr>
            <w:tcW w:w="614" w:type="pct"/>
            <w:vAlign w:val="center"/>
          </w:tcPr>
          <w:p w14:paraId="612B6B72">
            <w:pPr>
              <w:snapToGrid w:val="0"/>
              <w:spacing w:line="360" w:lineRule="auto"/>
              <w:contextualSpacing/>
              <w:jc w:val="center"/>
              <w:rPr>
                <w:rFonts w:ascii="宋体" w:hAnsi="宋体"/>
                <w:szCs w:val="21"/>
                <w:highlight w:val="none"/>
              </w:rPr>
            </w:pPr>
          </w:p>
        </w:tc>
        <w:tc>
          <w:tcPr>
            <w:tcW w:w="614" w:type="pct"/>
            <w:vAlign w:val="center"/>
          </w:tcPr>
          <w:p w14:paraId="59C5E003">
            <w:pPr>
              <w:snapToGrid w:val="0"/>
              <w:spacing w:line="360" w:lineRule="auto"/>
              <w:contextualSpacing/>
              <w:jc w:val="center"/>
              <w:rPr>
                <w:rFonts w:ascii="宋体" w:hAnsi="宋体"/>
                <w:szCs w:val="21"/>
                <w:highlight w:val="none"/>
              </w:rPr>
            </w:pPr>
          </w:p>
        </w:tc>
        <w:tc>
          <w:tcPr>
            <w:tcW w:w="613" w:type="pct"/>
            <w:vAlign w:val="center"/>
          </w:tcPr>
          <w:p w14:paraId="172FA6A3">
            <w:pPr>
              <w:snapToGrid w:val="0"/>
              <w:spacing w:line="360" w:lineRule="auto"/>
              <w:contextualSpacing/>
              <w:jc w:val="center"/>
              <w:rPr>
                <w:rFonts w:ascii="宋体" w:hAnsi="宋体"/>
                <w:szCs w:val="21"/>
                <w:highlight w:val="none"/>
              </w:rPr>
            </w:pPr>
          </w:p>
        </w:tc>
        <w:tc>
          <w:tcPr>
            <w:tcW w:w="614" w:type="pct"/>
            <w:vAlign w:val="center"/>
          </w:tcPr>
          <w:p w14:paraId="1A188300">
            <w:pPr>
              <w:snapToGrid w:val="0"/>
              <w:spacing w:line="360" w:lineRule="auto"/>
              <w:contextualSpacing/>
              <w:jc w:val="center"/>
              <w:rPr>
                <w:rFonts w:ascii="宋体" w:hAnsi="宋体"/>
                <w:szCs w:val="21"/>
                <w:highlight w:val="none"/>
              </w:rPr>
            </w:pPr>
          </w:p>
        </w:tc>
        <w:tc>
          <w:tcPr>
            <w:tcW w:w="540" w:type="pct"/>
            <w:vAlign w:val="center"/>
          </w:tcPr>
          <w:p w14:paraId="39664AED">
            <w:pPr>
              <w:snapToGrid w:val="0"/>
              <w:spacing w:line="360" w:lineRule="auto"/>
              <w:contextualSpacing/>
              <w:jc w:val="center"/>
              <w:rPr>
                <w:rFonts w:ascii="宋体" w:hAnsi="宋体"/>
                <w:szCs w:val="21"/>
                <w:highlight w:val="none"/>
              </w:rPr>
            </w:pPr>
          </w:p>
        </w:tc>
        <w:tc>
          <w:tcPr>
            <w:tcW w:w="624" w:type="pct"/>
            <w:vAlign w:val="center"/>
          </w:tcPr>
          <w:p w14:paraId="24553B38">
            <w:pPr>
              <w:snapToGrid w:val="0"/>
              <w:spacing w:line="360" w:lineRule="auto"/>
              <w:contextualSpacing/>
              <w:jc w:val="center"/>
              <w:rPr>
                <w:rFonts w:ascii="宋体" w:hAnsi="宋体"/>
                <w:szCs w:val="21"/>
                <w:highlight w:val="none"/>
              </w:rPr>
            </w:pPr>
          </w:p>
        </w:tc>
      </w:tr>
      <w:tr w14:paraId="2CE8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0DB3E134">
            <w:pPr>
              <w:widowControl/>
              <w:snapToGrid w:val="0"/>
              <w:spacing w:line="360" w:lineRule="auto"/>
              <w:contextualSpacing/>
              <w:jc w:val="center"/>
              <w:rPr>
                <w:rFonts w:ascii="宋体" w:hAnsi="宋体"/>
                <w:kern w:val="0"/>
                <w:szCs w:val="21"/>
                <w:highlight w:val="none"/>
                <w:lang w:eastAsia="zh-Hans"/>
              </w:rPr>
            </w:pPr>
            <w:r>
              <w:rPr>
                <w:rFonts w:ascii="宋体" w:hAnsi="宋体"/>
                <w:kern w:val="0"/>
                <w:szCs w:val="21"/>
                <w:highlight w:val="none"/>
                <w:lang w:eastAsia="zh-Hans"/>
              </w:rPr>
              <w:t>...</w:t>
            </w:r>
          </w:p>
        </w:tc>
        <w:tc>
          <w:tcPr>
            <w:tcW w:w="954" w:type="pct"/>
            <w:vAlign w:val="center"/>
          </w:tcPr>
          <w:p w14:paraId="48D33EAA">
            <w:pPr>
              <w:snapToGrid w:val="0"/>
              <w:spacing w:line="360" w:lineRule="auto"/>
              <w:contextualSpacing/>
              <w:jc w:val="center"/>
              <w:rPr>
                <w:rFonts w:ascii="宋体" w:hAnsi="宋体"/>
                <w:szCs w:val="21"/>
                <w:highlight w:val="none"/>
              </w:rPr>
            </w:pPr>
          </w:p>
        </w:tc>
        <w:tc>
          <w:tcPr>
            <w:tcW w:w="614" w:type="pct"/>
            <w:vAlign w:val="center"/>
          </w:tcPr>
          <w:p w14:paraId="6B17D121">
            <w:pPr>
              <w:snapToGrid w:val="0"/>
              <w:spacing w:line="360" w:lineRule="auto"/>
              <w:contextualSpacing/>
              <w:jc w:val="center"/>
              <w:rPr>
                <w:rFonts w:ascii="宋体" w:hAnsi="宋体"/>
                <w:szCs w:val="21"/>
                <w:highlight w:val="none"/>
              </w:rPr>
            </w:pPr>
          </w:p>
        </w:tc>
        <w:tc>
          <w:tcPr>
            <w:tcW w:w="614" w:type="pct"/>
            <w:vAlign w:val="center"/>
          </w:tcPr>
          <w:p w14:paraId="0BBEC2DF">
            <w:pPr>
              <w:snapToGrid w:val="0"/>
              <w:spacing w:line="360" w:lineRule="auto"/>
              <w:contextualSpacing/>
              <w:jc w:val="center"/>
              <w:rPr>
                <w:rFonts w:ascii="宋体" w:hAnsi="宋体"/>
                <w:szCs w:val="21"/>
                <w:highlight w:val="none"/>
              </w:rPr>
            </w:pPr>
          </w:p>
        </w:tc>
        <w:tc>
          <w:tcPr>
            <w:tcW w:w="613" w:type="pct"/>
            <w:vAlign w:val="center"/>
          </w:tcPr>
          <w:p w14:paraId="30469D6F">
            <w:pPr>
              <w:snapToGrid w:val="0"/>
              <w:spacing w:line="360" w:lineRule="auto"/>
              <w:contextualSpacing/>
              <w:jc w:val="center"/>
              <w:rPr>
                <w:rFonts w:ascii="宋体" w:hAnsi="宋体"/>
                <w:szCs w:val="21"/>
                <w:highlight w:val="none"/>
              </w:rPr>
            </w:pPr>
          </w:p>
        </w:tc>
        <w:tc>
          <w:tcPr>
            <w:tcW w:w="614" w:type="pct"/>
            <w:vAlign w:val="center"/>
          </w:tcPr>
          <w:p w14:paraId="20127C8C">
            <w:pPr>
              <w:snapToGrid w:val="0"/>
              <w:spacing w:line="360" w:lineRule="auto"/>
              <w:contextualSpacing/>
              <w:jc w:val="center"/>
              <w:rPr>
                <w:rFonts w:ascii="宋体" w:hAnsi="宋体"/>
                <w:szCs w:val="21"/>
                <w:highlight w:val="none"/>
              </w:rPr>
            </w:pPr>
          </w:p>
        </w:tc>
        <w:tc>
          <w:tcPr>
            <w:tcW w:w="540" w:type="pct"/>
            <w:vAlign w:val="center"/>
          </w:tcPr>
          <w:p w14:paraId="0040DCCE">
            <w:pPr>
              <w:snapToGrid w:val="0"/>
              <w:spacing w:line="360" w:lineRule="auto"/>
              <w:contextualSpacing/>
              <w:jc w:val="center"/>
              <w:rPr>
                <w:rFonts w:ascii="宋体" w:hAnsi="宋体"/>
                <w:szCs w:val="21"/>
                <w:highlight w:val="none"/>
              </w:rPr>
            </w:pPr>
          </w:p>
        </w:tc>
        <w:tc>
          <w:tcPr>
            <w:tcW w:w="624" w:type="pct"/>
            <w:vAlign w:val="center"/>
          </w:tcPr>
          <w:p w14:paraId="53638B6C">
            <w:pPr>
              <w:snapToGrid w:val="0"/>
              <w:spacing w:line="360" w:lineRule="auto"/>
              <w:contextualSpacing/>
              <w:jc w:val="center"/>
              <w:rPr>
                <w:rFonts w:ascii="宋体" w:hAnsi="宋体"/>
                <w:szCs w:val="21"/>
                <w:highlight w:val="none"/>
              </w:rPr>
            </w:pPr>
          </w:p>
        </w:tc>
      </w:tr>
    </w:tbl>
    <w:p w14:paraId="73063AF0">
      <w:pPr>
        <w:widowControl/>
        <w:snapToGrid w:val="0"/>
        <w:spacing w:line="360" w:lineRule="auto"/>
        <w:contextualSpacing/>
        <w:jc w:val="left"/>
        <w:rPr>
          <w:rFonts w:ascii="宋体" w:hAnsi="宋体"/>
          <w:kern w:val="0"/>
          <w:szCs w:val="21"/>
          <w:highlight w:val="none"/>
        </w:rPr>
      </w:pPr>
      <w:r>
        <w:rPr>
          <w:rFonts w:ascii="宋体" w:hAnsi="宋体"/>
          <w:kern w:val="0"/>
          <w:szCs w:val="21"/>
          <w:highlight w:val="none"/>
          <w:lang w:eastAsia="zh-Hans"/>
        </w:rPr>
        <w:t>注：</w:t>
      </w:r>
    </w:p>
    <w:p w14:paraId="510FEDD1">
      <w:pPr>
        <w:widowControl/>
        <w:snapToGrid w:val="0"/>
        <w:spacing w:line="360" w:lineRule="auto"/>
        <w:contextualSpacing/>
        <w:jc w:val="left"/>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制造商为小型或微型企业时才需要填“制造商企业类型”栏，填写内容为“小型”或“微型”；</w:t>
      </w:r>
    </w:p>
    <w:p w14:paraId="6B2342AA">
      <w:pPr>
        <w:widowControl/>
        <w:snapToGrid w:val="0"/>
        <w:spacing w:line="360" w:lineRule="auto"/>
        <w:contextualSpacing/>
        <w:jc w:val="left"/>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节能产品须填写认证证书编号，并提供</w:t>
      </w:r>
      <w:r>
        <w:rPr>
          <w:rFonts w:hint="eastAsia" w:ascii="宋体" w:hAnsi="宋体"/>
          <w:kern w:val="0"/>
          <w:szCs w:val="21"/>
          <w:highlight w:val="none"/>
        </w:rPr>
        <w:t>响应</w:t>
      </w:r>
      <w:r>
        <w:rPr>
          <w:rFonts w:ascii="宋体" w:hAnsi="宋体"/>
          <w:kern w:val="0"/>
          <w:szCs w:val="21"/>
          <w:highlight w:val="none"/>
        </w:rPr>
        <w:t>产品的节能产品认证证书复印件加盖供应商公章；</w:t>
      </w:r>
    </w:p>
    <w:p w14:paraId="42C1687F">
      <w:pPr>
        <w:widowControl/>
        <w:snapToGrid w:val="0"/>
        <w:spacing w:line="360" w:lineRule="auto"/>
        <w:contextualSpacing/>
        <w:jc w:val="left"/>
        <w:rPr>
          <w:rFonts w:ascii="宋体" w:hAnsi="宋体"/>
          <w:kern w:val="0"/>
          <w:szCs w:val="21"/>
          <w:highlight w:val="none"/>
        </w:rPr>
      </w:pPr>
      <w:r>
        <w:rPr>
          <w:rFonts w:hint="eastAsia" w:ascii="宋体" w:hAnsi="宋体"/>
          <w:kern w:val="0"/>
          <w:szCs w:val="21"/>
          <w:highlight w:val="none"/>
        </w:rPr>
        <w:t>3.</w:t>
      </w:r>
      <w:r>
        <w:rPr>
          <w:rFonts w:ascii="宋体" w:hAnsi="宋体"/>
          <w:kern w:val="0"/>
          <w:szCs w:val="21"/>
          <w:highlight w:val="none"/>
        </w:rPr>
        <w:t>环保标志产品须填写认证证书编号，并提供</w:t>
      </w:r>
      <w:r>
        <w:rPr>
          <w:rFonts w:hint="eastAsia" w:ascii="宋体" w:hAnsi="宋体"/>
          <w:kern w:val="0"/>
          <w:szCs w:val="21"/>
          <w:highlight w:val="none"/>
        </w:rPr>
        <w:t>响应</w:t>
      </w:r>
      <w:r>
        <w:rPr>
          <w:rFonts w:ascii="宋体" w:hAnsi="宋体"/>
          <w:kern w:val="0"/>
          <w:szCs w:val="21"/>
          <w:highlight w:val="none"/>
        </w:rPr>
        <w:t>产品的环保标志产品认证证书复印件加盖供应商公章。</w:t>
      </w:r>
    </w:p>
    <w:p w14:paraId="10D2A9FB">
      <w:pPr>
        <w:widowControl/>
        <w:snapToGrid w:val="0"/>
        <w:spacing w:after="1092" w:afterLines="350" w:line="360" w:lineRule="auto"/>
        <w:contextualSpacing/>
        <w:jc w:val="left"/>
        <w:rPr>
          <w:rFonts w:ascii="宋体" w:hAnsi="宋体"/>
          <w:kern w:val="0"/>
          <w:szCs w:val="21"/>
          <w:highlight w:val="none"/>
        </w:rPr>
      </w:pPr>
      <w:r>
        <w:rPr>
          <w:rFonts w:hint="eastAsia" w:ascii="宋体" w:hAnsi="宋体"/>
          <w:kern w:val="0"/>
          <w:szCs w:val="21"/>
          <w:highlight w:val="none"/>
        </w:rPr>
        <w:t>4.</w:t>
      </w:r>
      <w:r>
        <w:rPr>
          <w:rFonts w:ascii="宋体" w:hAnsi="宋体"/>
          <w:kern w:val="0"/>
          <w:szCs w:val="21"/>
          <w:highlight w:val="none"/>
        </w:rPr>
        <w:t>以上证明资料未按要求提供或未提供完整的，视为未提供处理。</w:t>
      </w:r>
    </w:p>
    <w:p w14:paraId="72AD92D5">
      <w:pPr>
        <w:widowControl/>
        <w:snapToGrid w:val="0"/>
        <w:spacing w:line="360" w:lineRule="auto"/>
        <w:contextualSpacing/>
        <w:jc w:val="left"/>
        <w:rPr>
          <w:rFonts w:ascii="宋体" w:hAnsi="宋体"/>
          <w:kern w:val="0"/>
          <w:szCs w:val="21"/>
          <w:highlight w:val="none"/>
        </w:rPr>
      </w:pPr>
    </w:p>
    <w:p w14:paraId="40E9D827">
      <w:pPr>
        <w:widowControl/>
        <w:snapToGrid w:val="0"/>
        <w:spacing w:line="360" w:lineRule="auto"/>
        <w:contextualSpacing/>
        <w:jc w:val="left"/>
        <w:rPr>
          <w:rFonts w:ascii="宋体" w:hAnsi="宋体"/>
          <w:kern w:val="0"/>
          <w:szCs w:val="21"/>
          <w:highlight w:val="none"/>
        </w:rPr>
      </w:pPr>
    </w:p>
    <w:p w14:paraId="7CCFAD7D">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463F942A">
      <w:pPr>
        <w:widowControl/>
        <w:snapToGrid w:val="0"/>
        <w:spacing w:line="360" w:lineRule="auto"/>
        <w:contextualSpacing/>
        <w:jc w:val="left"/>
        <w:rPr>
          <w:rFonts w:ascii="宋体" w:hAnsi="宋体"/>
          <w:kern w:val="0"/>
          <w:szCs w:val="21"/>
          <w:highlight w:val="none"/>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751E5578">
      <w:pPr>
        <w:widowControl/>
        <w:snapToGrid w:val="0"/>
        <w:spacing w:line="360" w:lineRule="auto"/>
        <w:contextualSpacing/>
        <w:jc w:val="left"/>
        <w:rPr>
          <w:kern w:val="0"/>
          <w:sz w:val="20"/>
          <w:szCs w:val="20"/>
          <w:highlight w:val="none"/>
        </w:rPr>
      </w:pPr>
    </w:p>
    <w:p w14:paraId="27C1C0C6">
      <w:pPr>
        <w:pageBreakBefore/>
        <w:rPr>
          <w:kern w:val="0"/>
          <w:sz w:val="20"/>
          <w:szCs w:val="20"/>
          <w:highlight w:val="none"/>
          <w:lang w:eastAsia="zh-Hans"/>
        </w:rPr>
      </w:pPr>
      <w:bookmarkStart w:id="52" w:name="_Toc169799795"/>
      <w:r>
        <w:rPr>
          <w:rFonts w:ascii="宋体" w:hAnsi="宋体"/>
          <w:b/>
          <w:bCs/>
          <w:sz w:val="24"/>
          <w:szCs w:val="28"/>
          <w:highlight w:val="none"/>
        </w:rPr>
        <w:t>格式</w:t>
      </w:r>
      <w:r>
        <w:rPr>
          <w:rFonts w:hint="eastAsia" w:ascii="宋体" w:hAnsi="宋体"/>
          <w:b/>
          <w:bCs/>
          <w:sz w:val="24"/>
          <w:szCs w:val="28"/>
          <w:highlight w:val="none"/>
          <w:lang w:val="en-US" w:eastAsia="zh-CN"/>
        </w:rPr>
        <w:t>七</w:t>
      </w:r>
      <w:r>
        <w:rPr>
          <w:rFonts w:ascii="宋体" w:hAnsi="宋体"/>
          <w:b/>
          <w:bCs/>
          <w:sz w:val="24"/>
          <w:szCs w:val="28"/>
          <w:highlight w:val="none"/>
        </w:rPr>
        <w:t>：</w:t>
      </w:r>
      <w:bookmarkEnd w:id="52"/>
    </w:p>
    <w:p w14:paraId="4F0D4039">
      <w:pPr>
        <w:widowControl/>
        <w:spacing w:before="156" w:beforeLines="50" w:after="312" w:afterLines="100"/>
        <w:jc w:val="center"/>
        <w:outlineLvl w:val="3"/>
        <w:rPr>
          <w:kern w:val="0"/>
          <w:sz w:val="20"/>
          <w:szCs w:val="20"/>
          <w:highlight w:val="none"/>
          <w:lang w:eastAsia="zh-Hans"/>
        </w:rPr>
      </w:pPr>
      <w:r>
        <w:rPr>
          <w:b/>
          <w:kern w:val="0"/>
          <w:sz w:val="32"/>
          <w:highlight w:val="none"/>
          <w:lang w:eastAsia="zh-Hans"/>
        </w:rPr>
        <w:t>法定代表人证明书</w:t>
      </w:r>
    </w:p>
    <w:p w14:paraId="4A65B1CF">
      <w:pPr>
        <w:widowControl/>
        <w:spacing w:line="360" w:lineRule="auto"/>
        <w:jc w:val="left"/>
        <w:rPr>
          <w:rFonts w:ascii="宋体" w:hAnsi="宋体"/>
          <w:kern w:val="0"/>
          <w:szCs w:val="21"/>
          <w:highlight w:val="none"/>
          <w:lang w:eastAsia="zh-Hans"/>
        </w:rPr>
      </w:pP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现任我单位</w:t>
      </w:r>
      <w:r>
        <w:rPr>
          <w:rFonts w:hint="eastAsia" w:ascii="宋体" w:hAnsi="宋体"/>
          <w:kern w:val="0"/>
          <w:szCs w:val="21"/>
          <w:highlight w:val="non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职务，为法定代表人，特此证明。</w:t>
      </w:r>
    </w:p>
    <w:p w14:paraId="3A6329A4">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有效期限：</w:t>
      </w:r>
      <w:r>
        <w:rPr>
          <w:rFonts w:hint="eastAsia" w:ascii="宋体" w:hAnsi="宋体"/>
          <w:kern w:val="0"/>
          <w:szCs w:val="21"/>
          <w:highlight w:val="none"/>
          <w:u w:val="single"/>
        </w:rPr>
        <w:t xml:space="preserve">                  </w:t>
      </w:r>
      <w:r>
        <w:rPr>
          <w:rFonts w:hint="eastAsia" w:ascii="宋体" w:hAnsi="宋体"/>
          <w:kern w:val="0"/>
          <w:szCs w:val="21"/>
          <w:highlight w:val="none"/>
          <w:lang w:eastAsia="zh-Hans"/>
        </w:rPr>
        <w:t xml:space="preserve">   </w:t>
      </w:r>
    </w:p>
    <w:p w14:paraId="09415172">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附：代表人性别：</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年龄：</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 xml:space="preserve"> 身份证号码：</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p>
    <w:p w14:paraId="29DE463A">
      <w:pPr>
        <w:widowControl/>
        <w:spacing w:line="360" w:lineRule="auto"/>
        <w:jc w:val="left"/>
        <w:rPr>
          <w:rFonts w:ascii="宋体" w:hAnsi="宋体"/>
          <w:kern w:val="0"/>
          <w:szCs w:val="21"/>
          <w:highlight w:val="none"/>
          <w:lang w:eastAsia="zh-Hans"/>
        </w:rPr>
      </w:pPr>
      <w:r>
        <w:rPr>
          <w:rFonts w:hint="eastAsia" w:ascii="宋体" w:hAnsi="宋体"/>
          <w:kern w:val="0"/>
          <w:szCs w:val="21"/>
          <w:highlight w:val="none"/>
          <w:lang w:eastAsia="zh-Hans"/>
        </w:rPr>
        <w:t>统一社会信用代码</w:t>
      </w:r>
      <w:r>
        <w:rPr>
          <w:rFonts w:ascii="宋体" w:hAnsi="宋体"/>
          <w:kern w:val="0"/>
          <w:szCs w:val="21"/>
          <w:highlight w:val="none"/>
          <w:lang w:eastAsia="zh-Hans"/>
        </w:rPr>
        <w:t>：</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企业类型：</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p>
    <w:p w14:paraId="4F38E14E">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经营范围：</w:t>
      </w:r>
      <w:r>
        <w:rPr>
          <w:rFonts w:hint="eastAsia" w:ascii="宋体" w:hAnsi="宋体"/>
          <w:kern w:val="0"/>
          <w:szCs w:val="21"/>
          <w:highlight w:val="none"/>
          <w:u w:val="single"/>
        </w:rPr>
        <w:t xml:space="preserve">                                                                       </w:t>
      </w:r>
    </w:p>
    <w:p w14:paraId="54285D0E">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w:t>
      </w:r>
      <w:r>
        <w:rPr>
          <w:rFonts w:hint="eastAsia" w:ascii="宋体" w:hAnsi="宋体"/>
          <w:kern w:val="0"/>
          <w:szCs w:val="21"/>
          <w:highlight w:val="none"/>
          <w:u w:val="single"/>
        </w:rPr>
        <w:t xml:space="preserve">                                                         </w:t>
      </w:r>
    </w:p>
    <w:p w14:paraId="2B86B542">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地址：</w:t>
      </w:r>
      <w:r>
        <w:rPr>
          <w:rFonts w:hint="eastAsia" w:ascii="宋体" w:hAnsi="宋体"/>
          <w:kern w:val="0"/>
          <w:szCs w:val="21"/>
          <w:highlight w:val="none"/>
          <w:u w:val="single"/>
        </w:rPr>
        <w:t xml:space="preserve">                                                                           </w:t>
      </w:r>
    </w:p>
    <w:p w14:paraId="69E47047">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法定代表人（签字或盖</w:t>
      </w:r>
      <w:r>
        <w:rPr>
          <w:rFonts w:hint="eastAsia" w:ascii="宋体" w:hAnsi="宋体"/>
          <w:kern w:val="0"/>
          <w:szCs w:val="21"/>
          <w:highlight w:val="none"/>
          <w:lang w:eastAsia="zh-Hans"/>
        </w:rPr>
        <w:t>私</w:t>
      </w:r>
      <w:r>
        <w:rPr>
          <w:rFonts w:ascii="宋体" w:hAnsi="宋体"/>
          <w:kern w:val="0"/>
          <w:szCs w:val="21"/>
          <w:highlight w:val="none"/>
          <w:lang w:eastAsia="zh-Hans"/>
        </w:rPr>
        <w:t>章）：</w:t>
      </w:r>
      <w:r>
        <w:rPr>
          <w:rFonts w:hint="eastAsia" w:ascii="宋体" w:hAnsi="宋体"/>
          <w:kern w:val="0"/>
          <w:szCs w:val="21"/>
          <w:highlight w:val="none"/>
          <w:u w:val="single"/>
        </w:rPr>
        <w:t xml:space="preserve">                                                     </w:t>
      </w:r>
    </w:p>
    <w:p w14:paraId="7BB442AF">
      <w:pPr>
        <w:widowControl/>
        <w:spacing w:line="360" w:lineRule="auto"/>
        <w:jc w:val="left"/>
        <w:rPr>
          <w:rFonts w:ascii="宋体" w:hAnsi="宋体"/>
          <w:kern w:val="0"/>
          <w:szCs w:val="21"/>
          <w:highlight w:val="none"/>
          <w:lang w:eastAsia="zh-Hans"/>
        </w:rPr>
      </w:pPr>
      <w:r>
        <w:rPr>
          <w:rFonts w:ascii="宋体" w:hAnsi="宋体"/>
          <w:kern w:val="0"/>
          <w:szCs w:val="21"/>
          <w:highlight w:val="none"/>
          <w:lang w:eastAsia="zh-Hans"/>
        </w:rPr>
        <w:t>职务：</w:t>
      </w:r>
      <w:r>
        <w:rPr>
          <w:rFonts w:hint="eastAsia" w:ascii="宋体" w:hAnsi="宋体"/>
          <w:kern w:val="0"/>
          <w:szCs w:val="21"/>
          <w:highlight w:val="none"/>
          <w:u w:val="single"/>
        </w:rPr>
        <w:t xml:space="preserve">                     </w:t>
      </w:r>
    </w:p>
    <w:p w14:paraId="4D6F2D2F">
      <w:pPr>
        <w:widowControl/>
        <w:spacing w:line="360" w:lineRule="auto"/>
        <w:jc w:val="left"/>
        <w:rPr>
          <w:kern w:val="0"/>
          <w:sz w:val="20"/>
          <w:szCs w:val="20"/>
          <w:highlight w:val="none"/>
          <w:lang w:eastAsia="zh-Hans"/>
        </w:rPr>
      </w:pPr>
      <w:r>
        <w:rPr>
          <w:rFonts w:ascii="宋体" w:hAnsi="宋体"/>
          <w:kern w:val="0"/>
          <w:szCs w:val="21"/>
          <w:highlight w:val="none"/>
          <w:lang w:eastAsia="zh-Hans"/>
        </w:rPr>
        <w:t>日期：</w:t>
      </w:r>
      <w:r>
        <w:rPr>
          <w:rFonts w:hint="eastAsia" w:ascii="宋体" w:hAnsi="宋体"/>
          <w:kern w:val="0"/>
          <w:szCs w:val="21"/>
          <w:highlight w:val="none"/>
        </w:rPr>
        <w:t xml:space="preserve">   </w:t>
      </w:r>
      <w:r>
        <w:rPr>
          <w:rFonts w:ascii="宋体" w:hAnsi="宋体"/>
          <w:kern w:val="0"/>
          <w:szCs w:val="21"/>
          <w:highlight w:val="none"/>
          <w:lang w:eastAsia="zh-Hans"/>
        </w:rPr>
        <w:t xml:space="preserve"> 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3D25366C">
      <w:pPr>
        <w:spacing w:before="156" w:beforeLines="50" w:after="156" w:afterLines="50" w:line="360" w:lineRule="auto"/>
        <w:rPr>
          <w:rFonts w:ascii="宋体" w:hAnsi="宋体"/>
          <w:szCs w:val="21"/>
          <w:highlight w:val="none"/>
        </w:rPr>
      </w:pPr>
    </w:p>
    <w:p w14:paraId="57A5989C">
      <w:pPr>
        <w:spacing w:before="156" w:beforeLines="50" w:after="156" w:afterLines="50" w:line="360" w:lineRule="auto"/>
        <w:rPr>
          <w:rFonts w:ascii="宋体" w:hAnsi="宋体"/>
          <w:szCs w:val="21"/>
          <w:highlight w:val="none"/>
        </w:rPr>
      </w:pPr>
      <w:r>
        <w:rPr>
          <w:rFonts w:hint="eastAsia" w:ascii="宋体" w:hAnsi="宋体"/>
          <w:szCs w:val="21"/>
          <w:highlight w:val="none"/>
        </w:rPr>
        <w:t>须附：法定代表人有效期内身份证复印件</w:t>
      </w:r>
    </w:p>
    <w:tbl>
      <w:tblPr>
        <w:tblStyle w:val="6"/>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643"/>
        <w:gridCol w:w="4643"/>
      </w:tblGrid>
      <w:tr w14:paraId="1310DFD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094" w:hRule="atLeast"/>
          <w:jc w:val="center"/>
        </w:trPr>
        <w:tc>
          <w:tcPr>
            <w:tcW w:w="2500" w:type="pct"/>
            <w:vAlign w:val="center"/>
          </w:tcPr>
          <w:p w14:paraId="06DC8E8A">
            <w:pPr>
              <w:pStyle w:val="1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2500" w:type="pct"/>
            <w:vAlign w:val="center"/>
          </w:tcPr>
          <w:p w14:paraId="5654ECE5">
            <w:pPr>
              <w:pStyle w:val="1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14:paraId="0967FBFF">
      <w:pPr>
        <w:widowControl/>
        <w:jc w:val="left"/>
        <w:rPr>
          <w:kern w:val="0"/>
          <w:sz w:val="20"/>
          <w:szCs w:val="20"/>
          <w:highlight w:val="none"/>
          <w:lang w:eastAsia="zh-Hans"/>
        </w:rPr>
      </w:pPr>
    </w:p>
    <w:p w14:paraId="753B24A6">
      <w:pPr>
        <w:pageBreakBefore/>
        <w:rPr>
          <w:kern w:val="0"/>
          <w:sz w:val="20"/>
          <w:szCs w:val="20"/>
          <w:highlight w:val="none"/>
          <w:lang w:eastAsia="zh-Hans"/>
        </w:rPr>
      </w:pPr>
      <w:bookmarkStart w:id="53" w:name="_Toc169799796"/>
      <w:r>
        <w:rPr>
          <w:rFonts w:ascii="宋体" w:hAnsi="宋体"/>
          <w:b/>
          <w:bCs/>
          <w:sz w:val="24"/>
          <w:szCs w:val="28"/>
          <w:highlight w:val="none"/>
        </w:rPr>
        <w:t>格式</w:t>
      </w:r>
      <w:r>
        <w:rPr>
          <w:rFonts w:hint="eastAsia" w:ascii="宋体" w:hAnsi="宋体"/>
          <w:b/>
          <w:bCs/>
          <w:sz w:val="24"/>
          <w:szCs w:val="28"/>
          <w:highlight w:val="none"/>
          <w:lang w:val="en-US" w:eastAsia="zh-CN"/>
        </w:rPr>
        <w:t>八</w:t>
      </w:r>
      <w:r>
        <w:rPr>
          <w:rFonts w:ascii="宋体" w:hAnsi="宋体"/>
          <w:b/>
          <w:bCs/>
          <w:sz w:val="24"/>
          <w:szCs w:val="28"/>
          <w:highlight w:val="none"/>
        </w:rPr>
        <w:t>：</w:t>
      </w:r>
      <w:bookmarkEnd w:id="53"/>
    </w:p>
    <w:p w14:paraId="78F9EB4A">
      <w:pPr>
        <w:widowControl/>
        <w:spacing w:before="156" w:beforeLines="50" w:after="312" w:afterLines="100"/>
        <w:jc w:val="center"/>
        <w:outlineLvl w:val="3"/>
        <w:rPr>
          <w:kern w:val="0"/>
          <w:sz w:val="20"/>
          <w:szCs w:val="20"/>
          <w:highlight w:val="none"/>
          <w:lang w:eastAsia="zh-Hans"/>
        </w:rPr>
      </w:pPr>
      <w:r>
        <w:rPr>
          <w:b/>
          <w:kern w:val="0"/>
          <w:sz w:val="32"/>
          <w:highlight w:val="none"/>
          <w:lang w:eastAsia="zh-Hans"/>
        </w:rPr>
        <w:t>法定代表人授权</w:t>
      </w:r>
      <w:r>
        <w:rPr>
          <w:rFonts w:hint="eastAsia"/>
          <w:b/>
          <w:kern w:val="0"/>
          <w:sz w:val="32"/>
          <w:highlight w:val="none"/>
          <w:lang w:eastAsia="zh-Hans"/>
        </w:rPr>
        <w:t>委托</w:t>
      </w:r>
      <w:r>
        <w:rPr>
          <w:b/>
          <w:kern w:val="0"/>
          <w:sz w:val="32"/>
          <w:highlight w:val="none"/>
          <w:lang w:eastAsia="zh-Hans"/>
        </w:rPr>
        <w:t>书</w:t>
      </w:r>
    </w:p>
    <w:p w14:paraId="26C460CF">
      <w:pPr>
        <w:spacing w:before="468" w:beforeLines="150" w:after="312" w:afterLines="100"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广东智汇城市招标采购有限公司：</w:t>
      </w:r>
    </w:p>
    <w:p w14:paraId="56C2A077">
      <w:pPr>
        <w:pStyle w:val="15"/>
        <w:snapToGrid w:val="0"/>
        <w:spacing w:line="360" w:lineRule="auto"/>
        <w:ind w:firstLine="450" w:firstLineChars="0"/>
        <w:contextualSpacing/>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本人</w:t>
      </w:r>
      <w:r>
        <w:rPr>
          <w:rFonts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u w:val="single"/>
          <w14:textFill>
            <w14:solidFill>
              <w14:schemeClr w14:val="tx1"/>
            </w14:solidFill>
          </w14:textFill>
        </w:rPr>
        <w:t>（姓名）</w:t>
      </w:r>
      <w:r>
        <w:rPr>
          <w:rFonts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系</w:t>
      </w:r>
      <w:r>
        <w:rPr>
          <w:rFonts w:ascii="宋体" w:eastAsia="宋体"/>
          <w:color w:val="000000" w:themeColor="text1"/>
          <w:sz w:val="21"/>
          <w:szCs w:val="21"/>
          <w:highlight w:val="none"/>
          <w:u w:val="single"/>
          <w14:textFill>
            <w14:solidFill>
              <w14:schemeClr w14:val="tx1"/>
            </w14:solidFill>
          </w14:textFill>
        </w:rPr>
        <w:t xml:space="preserve">     （供应商名称）    </w:t>
      </w:r>
      <w:r>
        <w:rPr>
          <w:rFonts w:hint="eastAsia" w:ascii="宋体" w:eastAsia="宋体"/>
          <w:color w:val="000000" w:themeColor="text1"/>
          <w:sz w:val="21"/>
          <w:szCs w:val="21"/>
          <w:highlight w:val="none"/>
          <w14:textFill>
            <w14:solidFill>
              <w14:schemeClr w14:val="tx1"/>
            </w14:solidFill>
          </w14:textFill>
        </w:rPr>
        <w:t>的法定代表人，现委托</w:t>
      </w:r>
      <w:r>
        <w:rPr>
          <w:rFonts w:ascii="宋体" w:eastAsia="宋体"/>
          <w:color w:val="000000" w:themeColor="text1"/>
          <w:sz w:val="21"/>
          <w:szCs w:val="21"/>
          <w:highlight w:val="none"/>
          <w:u w:val="single"/>
          <w14:textFill>
            <w14:solidFill>
              <w14:schemeClr w14:val="tx1"/>
            </w14:solidFill>
          </w14:textFill>
        </w:rPr>
        <w:t xml:space="preserve"> （姓名） </w:t>
      </w:r>
      <w:r>
        <w:rPr>
          <w:rFonts w:hint="eastAsia" w:ascii="宋体" w:eastAsia="宋体"/>
          <w:color w:val="000000" w:themeColor="text1"/>
          <w:sz w:val="21"/>
          <w:szCs w:val="21"/>
          <w:highlight w:val="none"/>
          <w14:textFill>
            <w14:solidFill>
              <w14:schemeClr w14:val="tx1"/>
            </w14:solidFill>
          </w14:textFill>
        </w:rPr>
        <w:t>为我方合法代理人。代理人根据授权，以我方名义签署、澄清、说明、补正、递交、撤回、修改</w:t>
      </w:r>
      <w:r>
        <w:rPr>
          <w:rFonts w:ascii="宋体" w:eastAsia="宋体"/>
          <w:color w:val="000000" w:themeColor="text1"/>
          <w:sz w:val="21"/>
          <w:szCs w:val="21"/>
          <w:highlight w:val="none"/>
          <w:u w:val="single"/>
          <w14:textFill>
            <w14:solidFill>
              <w14:schemeClr w14:val="tx1"/>
            </w14:solidFill>
          </w14:textFill>
        </w:rPr>
        <w:t xml:space="preserve">     （项目名称） </w:t>
      </w:r>
      <w:r>
        <w:rPr>
          <w:rFonts w:hint="eastAsia" w:ascii="宋体" w:eastAsia="宋体"/>
          <w:color w:val="000000" w:themeColor="text1"/>
          <w:sz w:val="21"/>
          <w:szCs w:val="21"/>
          <w:highlight w:val="none"/>
          <w14:textFill>
            <w14:solidFill>
              <w14:schemeClr w14:val="tx1"/>
            </w14:solidFill>
          </w14:textFill>
        </w:rPr>
        <w:t>（项目编号：</w:t>
      </w:r>
      <w:r>
        <w:rPr>
          <w:rFonts w:hint="eastAsia" w:ascii="宋体" w:eastAsia="宋体"/>
          <w:color w:val="000000" w:themeColor="text1"/>
          <w:sz w:val="21"/>
          <w:szCs w:val="21"/>
          <w:highlight w:val="none"/>
          <w:u w:val="single"/>
          <w14:textFill>
            <w14:solidFill>
              <w14:schemeClr w14:val="tx1"/>
            </w14:solidFill>
          </w14:textFill>
        </w:rPr>
        <w:t xml:space="preserve"> </w:t>
      </w:r>
      <w:r>
        <w:rPr>
          <w:rFonts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）响应文件、签订合同和处理有关事宜，其法律后果由我方承担。</w:t>
      </w:r>
    </w:p>
    <w:p w14:paraId="0392E913">
      <w:pPr>
        <w:pStyle w:val="15"/>
        <w:snapToGrid w:val="0"/>
        <w:spacing w:line="360" w:lineRule="auto"/>
        <w:ind w:firstLine="428" w:firstLineChars="204"/>
        <w:contextualSpacing/>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本委托书于</w:t>
      </w:r>
      <w:r>
        <w:rPr>
          <w:rFonts w:hint="eastAsia" w:ascii="宋体" w:eastAsia="宋体"/>
          <w:color w:val="000000" w:themeColor="text1"/>
          <w:sz w:val="21"/>
          <w:szCs w:val="21"/>
          <w:highlight w:val="none"/>
          <w:u w:val="single"/>
          <w14:textFill>
            <w14:solidFill>
              <w14:schemeClr w14:val="tx1"/>
            </w14:solidFill>
          </w14:textFill>
        </w:rPr>
        <w:t xml:space="preserve"> </w:t>
      </w:r>
      <w:r>
        <w:rPr>
          <w:rFonts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年</w:t>
      </w:r>
      <w:r>
        <w:rPr>
          <w:rFonts w:hint="eastAsia" w:ascii="宋体" w:eastAsia="宋体"/>
          <w:color w:val="000000" w:themeColor="text1"/>
          <w:sz w:val="21"/>
          <w:szCs w:val="21"/>
          <w:highlight w:val="none"/>
          <w:u w:val="single"/>
          <w14:textFill>
            <w14:solidFill>
              <w14:schemeClr w14:val="tx1"/>
            </w14:solidFill>
          </w14:textFill>
        </w:rPr>
        <w:t xml:space="preserve"> </w:t>
      </w:r>
      <w:r>
        <w:rPr>
          <w:rFonts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月</w:t>
      </w:r>
      <w:r>
        <w:rPr>
          <w:rFonts w:hint="eastAsia" w:ascii="宋体" w:eastAsia="宋体"/>
          <w:color w:val="000000" w:themeColor="text1"/>
          <w:sz w:val="21"/>
          <w:szCs w:val="21"/>
          <w:highlight w:val="none"/>
          <w:u w:val="single"/>
          <w14:textFill>
            <w14:solidFill>
              <w14:schemeClr w14:val="tx1"/>
            </w14:solidFill>
          </w14:textFill>
        </w:rPr>
        <w:t xml:space="preserve">  </w:t>
      </w:r>
      <w:r>
        <w:rPr>
          <w:rFonts w:hint="eastAsia" w:ascii="宋体" w:eastAsia="宋体"/>
          <w:color w:val="000000" w:themeColor="text1"/>
          <w:sz w:val="21"/>
          <w:szCs w:val="21"/>
          <w:highlight w:val="none"/>
          <w14:textFill>
            <w14:solidFill>
              <w14:schemeClr w14:val="tx1"/>
            </w14:solidFill>
          </w14:textFill>
        </w:rPr>
        <w:t>日签字生效，特此证明。</w:t>
      </w:r>
    </w:p>
    <w:p w14:paraId="36042A56">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kern w:val="0"/>
          <w:szCs w:val="21"/>
          <w:highlight w:val="none"/>
          <w:lang w:eastAsia="zh-Hans"/>
        </w:rPr>
        <w:t>加</w:t>
      </w:r>
      <w:r>
        <w:rPr>
          <w:rFonts w:ascii="宋体" w:hAnsi="宋体"/>
          <w:kern w:val="0"/>
          <w:szCs w:val="21"/>
          <w:highlight w:val="none"/>
          <w:lang w:eastAsia="zh-Hans"/>
        </w:rPr>
        <w:t>盖</w:t>
      </w:r>
      <w:r>
        <w:rPr>
          <w:rFonts w:hint="eastAsia" w:ascii="宋体" w:hAnsi="宋体"/>
          <w:kern w:val="0"/>
          <w:szCs w:val="21"/>
          <w:highlight w:val="none"/>
          <w:lang w:eastAsia="zh-Hans"/>
        </w:rPr>
        <w:t>公</w:t>
      </w:r>
      <w:r>
        <w:rPr>
          <w:rFonts w:ascii="宋体" w:hAnsi="宋体"/>
          <w:kern w:val="0"/>
          <w:szCs w:val="21"/>
          <w:highlight w:val="none"/>
          <w:lang w:eastAsia="zh-Hans"/>
        </w:rPr>
        <w:t>章）：</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p>
    <w:p w14:paraId="58D8F411">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地址：</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p>
    <w:p w14:paraId="16180D51">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法定代表人（签字或盖</w:t>
      </w:r>
      <w:r>
        <w:rPr>
          <w:rFonts w:hint="eastAsia" w:ascii="宋体" w:hAnsi="宋体"/>
          <w:kern w:val="0"/>
          <w:szCs w:val="21"/>
          <w:highlight w:val="none"/>
          <w:lang w:eastAsia="zh-Hans"/>
        </w:rPr>
        <w:t>私</w:t>
      </w:r>
      <w:r>
        <w:rPr>
          <w:rFonts w:ascii="宋体" w:hAnsi="宋体"/>
          <w:kern w:val="0"/>
          <w:szCs w:val="21"/>
          <w:highlight w:val="none"/>
          <w:lang w:eastAsia="zh-Hans"/>
        </w:rPr>
        <w:t>章）：</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r>
        <w:rPr>
          <w:rFonts w:ascii="宋体"/>
          <w:color w:val="000000" w:themeColor="text1"/>
          <w:szCs w:val="21"/>
          <w:highlight w:val="none"/>
          <w:u w:val="single"/>
          <w14:textFill>
            <w14:solidFill>
              <w14:schemeClr w14:val="tx1"/>
            </w14:solidFill>
          </w14:textFill>
        </w:rPr>
        <w:t xml:space="preserve">   </w:t>
      </w:r>
    </w:p>
    <w:p w14:paraId="33C38770">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职务：</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14:paraId="6F2F9133">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被授权人（签字或盖</w:t>
      </w:r>
      <w:r>
        <w:rPr>
          <w:rFonts w:hint="eastAsia" w:ascii="宋体" w:hAnsi="宋体"/>
          <w:kern w:val="0"/>
          <w:szCs w:val="21"/>
          <w:highlight w:val="none"/>
          <w:lang w:eastAsia="zh-Hans"/>
        </w:rPr>
        <w:t>私</w:t>
      </w:r>
      <w:r>
        <w:rPr>
          <w:rFonts w:ascii="宋体" w:hAnsi="宋体"/>
          <w:kern w:val="0"/>
          <w:szCs w:val="21"/>
          <w:highlight w:val="none"/>
          <w:lang w:eastAsia="zh-Hans"/>
        </w:rPr>
        <w:t>章）：</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14:paraId="0EE2569A">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职务：</w:t>
      </w:r>
      <w:r>
        <w:rPr>
          <w:rFonts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 xml:space="preserve">                                                 </w:t>
      </w:r>
    </w:p>
    <w:p w14:paraId="1C211C34">
      <w:pPr>
        <w:pStyle w:val="15"/>
        <w:snapToGrid w:val="0"/>
        <w:spacing w:line="360" w:lineRule="auto"/>
        <w:ind w:firstLine="0" w:firstLineChars="0"/>
        <w:contextualSpacing/>
        <w:rPr>
          <w:rFonts w:ascii="黑体" w:hAnsi="黑体" w:eastAsia="黑体"/>
          <w:color w:val="000000" w:themeColor="text1"/>
          <w:sz w:val="21"/>
          <w:szCs w:val="21"/>
          <w:highlight w:val="none"/>
          <w14:textFill>
            <w14:solidFill>
              <w14:schemeClr w14:val="tx1"/>
            </w14:solidFill>
          </w14:textFill>
        </w:rPr>
      </w:pPr>
      <w:r>
        <w:rPr>
          <w:rFonts w:ascii="宋体" w:eastAsia="宋体"/>
          <w:kern w:val="0"/>
          <w:sz w:val="21"/>
          <w:szCs w:val="21"/>
          <w:highlight w:val="none"/>
          <w:lang w:eastAsia="zh-Hans"/>
        </w:rPr>
        <w:t xml:space="preserve">日期： </w:t>
      </w:r>
      <w:r>
        <w:rPr>
          <w:rFonts w:hint="eastAsia" w:ascii="宋体" w:eastAsia="宋体"/>
          <w:kern w:val="0"/>
          <w:sz w:val="21"/>
          <w:szCs w:val="21"/>
          <w:highlight w:val="none"/>
        </w:rPr>
        <w:t xml:space="preserve">  </w:t>
      </w:r>
      <w:r>
        <w:rPr>
          <w:rFonts w:ascii="宋体" w:eastAsia="宋体"/>
          <w:kern w:val="0"/>
          <w:sz w:val="21"/>
          <w:szCs w:val="21"/>
          <w:highlight w:val="none"/>
          <w:lang w:eastAsia="zh-Hans"/>
        </w:rPr>
        <w:t xml:space="preserve">年 </w:t>
      </w:r>
      <w:r>
        <w:rPr>
          <w:rFonts w:hint="eastAsia" w:ascii="宋体" w:eastAsia="宋体"/>
          <w:kern w:val="0"/>
          <w:sz w:val="21"/>
          <w:szCs w:val="21"/>
          <w:highlight w:val="none"/>
        </w:rPr>
        <w:t xml:space="preserve"> </w:t>
      </w:r>
      <w:r>
        <w:rPr>
          <w:rFonts w:ascii="宋体" w:eastAsia="宋体"/>
          <w:kern w:val="0"/>
          <w:sz w:val="21"/>
          <w:szCs w:val="21"/>
          <w:highlight w:val="none"/>
          <w:lang w:eastAsia="zh-Hans"/>
        </w:rPr>
        <w:t xml:space="preserve">月 </w:t>
      </w:r>
      <w:r>
        <w:rPr>
          <w:rFonts w:hint="eastAsia" w:ascii="宋体" w:eastAsia="宋体"/>
          <w:kern w:val="0"/>
          <w:sz w:val="21"/>
          <w:szCs w:val="21"/>
          <w:highlight w:val="none"/>
        </w:rPr>
        <w:t xml:space="preserve"> </w:t>
      </w:r>
      <w:r>
        <w:rPr>
          <w:rFonts w:ascii="宋体" w:eastAsia="宋体"/>
          <w:kern w:val="0"/>
          <w:sz w:val="21"/>
          <w:szCs w:val="21"/>
          <w:highlight w:val="none"/>
          <w:lang w:eastAsia="zh-Hans"/>
        </w:rPr>
        <w:t>日</w:t>
      </w:r>
    </w:p>
    <w:p w14:paraId="3D43AA97">
      <w:pPr>
        <w:pStyle w:val="15"/>
        <w:spacing w:line="360" w:lineRule="auto"/>
        <w:ind w:firstLine="0" w:firstLineChars="0"/>
        <w:rPr>
          <w:rFonts w:ascii="宋体" w:eastAsia="宋体"/>
          <w:color w:val="000000" w:themeColor="text1"/>
          <w:sz w:val="21"/>
          <w:szCs w:val="21"/>
          <w:highlight w:val="none"/>
          <w14:textFill>
            <w14:solidFill>
              <w14:schemeClr w14:val="tx1"/>
            </w14:solidFill>
          </w14:textFill>
        </w:rPr>
      </w:pPr>
    </w:p>
    <w:p w14:paraId="67F4496E">
      <w:pPr>
        <w:spacing w:after="156" w:afterLines="50"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须附：被授权人有效期内身份证复印件</w:t>
      </w:r>
    </w:p>
    <w:tbl>
      <w:tblPr>
        <w:tblStyle w:val="6"/>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643"/>
        <w:gridCol w:w="4643"/>
      </w:tblGrid>
      <w:tr w14:paraId="3CC0BD8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84" w:hRule="atLeast"/>
          <w:jc w:val="center"/>
        </w:trPr>
        <w:tc>
          <w:tcPr>
            <w:tcW w:w="2500" w:type="pct"/>
            <w:vAlign w:val="center"/>
          </w:tcPr>
          <w:p w14:paraId="21B1F45A">
            <w:pPr>
              <w:pStyle w:val="15"/>
              <w:spacing w:line="460" w:lineRule="exact"/>
              <w:ind w:firstLine="0" w:firstLineChars="0"/>
              <w:jc w:val="center"/>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正面</w:t>
            </w:r>
          </w:p>
        </w:tc>
        <w:tc>
          <w:tcPr>
            <w:tcW w:w="2500" w:type="pct"/>
            <w:vAlign w:val="center"/>
          </w:tcPr>
          <w:p w14:paraId="42F7F00B">
            <w:pPr>
              <w:pStyle w:val="15"/>
              <w:spacing w:line="460" w:lineRule="exact"/>
              <w:ind w:firstLine="0" w:firstLineChars="0"/>
              <w:jc w:val="center"/>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背面</w:t>
            </w:r>
          </w:p>
        </w:tc>
      </w:tr>
    </w:tbl>
    <w:p w14:paraId="49347EBF">
      <w:pPr>
        <w:widowControl/>
        <w:jc w:val="left"/>
        <w:rPr>
          <w:kern w:val="0"/>
          <w:sz w:val="20"/>
          <w:szCs w:val="20"/>
          <w:highlight w:val="none"/>
          <w:lang w:eastAsia="zh-Hans"/>
        </w:rPr>
      </w:pPr>
    </w:p>
    <w:p w14:paraId="707E34B6">
      <w:pPr>
        <w:pStyle w:val="11"/>
        <w:ind w:right="1890" w:firstLine="640"/>
        <w:jc w:val="center"/>
        <w:rPr>
          <w:rFonts w:hint="default"/>
          <w:highlight w:val="none"/>
        </w:rPr>
      </w:pPr>
    </w:p>
    <w:p w14:paraId="34B92EE4">
      <w:pPr>
        <w:pageBreakBefore/>
        <w:rPr>
          <w:rFonts w:ascii="宋体" w:hAnsi="宋体"/>
          <w:b/>
          <w:bCs/>
          <w:highlight w:val="none"/>
        </w:rPr>
      </w:pPr>
      <w:r>
        <w:rPr>
          <w:rFonts w:hint="eastAsia" w:ascii="宋体" w:hAnsi="宋体"/>
          <w:b/>
          <w:bCs/>
          <w:sz w:val="24"/>
          <w:szCs w:val="28"/>
          <w:highlight w:val="none"/>
        </w:rPr>
        <w:t>格式</w:t>
      </w:r>
      <w:r>
        <w:rPr>
          <w:rFonts w:hint="eastAsia" w:ascii="宋体" w:hAnsi="宋体"/>
          <w:b/>
          <w:bCs/>
          <w:sz w:val="24"/>
          <w:szCs w:val="28"/>
          <w:highlight w:val="none"/>
          <w:lang w:val="en-US" w:eastAsia="zh-CN"/>
        </w:rPr>
        <w:t>九</w:t>
      </w:r>
      <w:r>
        <w:rPr>
          <w:rFonts w:hint="eastAsia" w:ascii="宋体" w:hAnsi="宋体"/>
          <w:b/>
          <w:bCs/>
          <w:sz w:val="24"/>
          <w:szCs w:val="28"/>
          <w:highlight w:val="none"/>
        </w:rPr>
        <w:t>：</w:t>
      </w:r>
    </w:p>
    <w:p w14:paraId="3F48B593">
      <w:pPr>
        <w:spacing w:before="156" w:beforeLines="50" w:after="312" w:afterLines="100" w:line="360" w:lineRule="auto"/>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资格条件承诺函</w:t>
      </w:r>
    </w:p>
    <w:p w14:paraId="636A8C96">
      <w:pPr>
        <w:adjustRightInd w:val="0"/>
        <w:snapToGrid w:val="0"/>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广东智汇城市招标采购有限公司：</w:t>
      </w:r>
    </w:p>
    <w:p w14:paraId="09A03B93">
      <w:pPr>
        <w:adjustRightInd w:val="0"/>
        <w:snapToGrid w:val="0"/>
        <w:spacing w:before="156" w:beforeLines="50" w:line="360" w:lineRule="auto"/>
        <w:ind w:firstLine="424" w:firstLine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关于贵公司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日发布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）的采购公告，我方愿意参加磋商，并承诺：</w:t>
      </w:r>
    </w:p>
    <w:p w14:paraId="631A2B26">
      <w:pPr>
        <w:pStyle w:val="13"/>
        <w:widowControl/>
        <w:numPr>
          <w:ilvl w:val="0"/>
          <w:numId w:val="129"/>
        </w:numPr>
        <w:adjustRightInd w:val="0"/>
        <w:snapToGrid w:val="0"/>
        <w:spacing w:line="360" w:lineRule="auto"/>
        <w:ind w:firstLineChars="0"/>
        <w:rPr>
          <w:rFonts w:ascii="宋体" w:hAnsi="宋体" w:cs="宋体"/>
          <w:kern w:val="0"/>
          <w:szCs w:val="21"/>
          <w:highlight w:val="none"/>
        </w:rPr>
      </w:pPr>
      <w:r>
        <w:rPr>
          <w:rFonts w:hint="eastAsia" w:ascii="宋体" w:hAnsi="宋体" w:cs="宋体"/>
          <w:kern w:val="0"/>
          <w:szCs w:val="21"/>
          <w:highlight w:val="none"/>
        </w:rPr>
        <w:t>具有良好的商业信誉和健全的财务会计制度。</w:t>
      </w:r>
    </w:p>
    <w:p w14:paraId="7DF64C35">
      <w:pPr>
        <w:pStyle w:val="13"/>
        <w:widowControl/>
        <w:numPr>
          <w:ilvl w:val="0"/>
          <w:numId w:val="129"/>
        </w:numPr>
        <w:adjustRightInd w:val="0"/>
        <w:snapToGrid w:val="0"/>
        <w:spacing w:line="360" w:lineRule="auto"/>
        <w:ind w:firstLineChars="0"/>
        <w:rPr>
          <w:rFonts w:ascii="宋体" w:hAnsi="宋体" w:cs="宋体"/>
          <w:kern w:val="0"/>
          <w:szCs w:val="21"/>
          <w:highlight w:val="none"/>
        </w:rPr>
      </w:pPr>
      <w:r>
        <w:rPr>
          <w:rFonts w:hint="eastAsia" w:ascii="宋体" w:hAnsi="宋体" w:cs="宋体"/>
          <w:kern w:val="0"/>
          <w:szCs w:val="21"/>
          <w:highlight w:val="none"/>
        </w:rPr>
        <w:t>具有履行合同所必需的设备和专业技术能力。</w:t>
      </w:r>
    </w:p>
    <w:p w14:paraId="6CD693AC">
      <w:pPr>
        <w:pStyle w:val="13"/>
        <w:widowControl/>
        <w:numPr>
          <w:ilvl w:val="0"/>
          <w:numId w:val="129"/>
        </w:numPr>
        <w:adjustRightInd w:val="0"/>
        <w:snapToGrid w:val="0"/>
        <w:spacing w:line="360" w:lineRule="auto"/>
        <w:ind w:firstLineChars="0"/>
        <w:rPr>
          <w:rFonts w:ascii="宋体" w:hAnsi="宋体" w:cs="宋体"/>
          <w:kern w:val="0"/>
          <w:szCs w:val="21"/>
          <w:highlight w:val="none"/>
        </w:rPr>
      </w:pPr>
      <w:r>
        <w:rPr>
          <w:rFonts w:hint="eastAsia" w:ascii="宋体" w:hAnsi="宋体" w:cs="宋体"/>
          <w:kern w:val="0"/>
          <w:szCs w:val="21"/>
          <w:highlight w:val="none"/>
        </w:rPr>
        <w:t>有依法缴纳税收和社会保障资金的良好记录。</w:t>
      </w:r>
    </w:p>
    <w:p w14:paraId="7EEC2897">
      <w:pPr>
        <w:pStyle w:val="13"/>
        <w:widowControl/>
        <w:numPr>
          <w:ilvl w:val="0"/>
          <w:numId w:val="129"/>
        </w:numPr>
        <w:adjustRightInd w:val="0"/>
        <w:snapToGrid w:val="0"/>
        <w:spacing w:line="360" w:lineRule="auto"/>
        <w:ind w:firstLineChars="0"/>
        <w:rPr>
          <w:rFonts w:ascii="宋体" w:hAnsi="宋体" w:cs="宋体"/>
          <w:kern w:val="0"/>
          <w:szCs w:val="21"/>
          <w:highlight w:val="none"/>
        </w:rPr>
      </w:pPr>
      <w:r>
        <w:rPr>
          <w:rFonts w:hint="eastAsia" w:ascii="宋体" w:hAnsi="宋体" w:cs="宋体"/>
          <w:kern w:val="0"/>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4DE137A">
      <w:pPr>
        <w:pStyle w:val="13"/>
        <w:widowControl/>
        <w:numPr>
          <w:ilvl w:val="0"/>
          <w:numId w:val="129"/>
        </w:numPr>
        <w:adjustRightInd w:val="0"/>
        <w:snapToGrid w:val="0"/>
        <w:spacing w:line="360" w:lineRule="auto"/>
        <w:ind w:firstLineChars="0"/>
        <w:rPr>
          <w:rFonts w:ascii="宋体" w:hAnsi="宋体" w:cs="宋体"/>
          <w:kern w:val="0"/>
          <w:szCs w:val="21"/>
          <w:highlight w:val="none"/>
        </w:rPr>
      </w:pPr>
      <w:r>
        <w:rPr>
          <w:rFonts w:hint="eastAsia" w:ascii="宋体" w:hAnsi="宋体" w:cs="宋体"/>
          <w:kern w:val="0"/>
          <w:szCs w:val="21"/>
          <w:highlight w:val="none"/>
        </w:rPr>
        <w:t>法律、行政法规规定的其他条件。</w:t>
      </w:r>
    </w:p>
    <w:p w14:paraId="169E1B72">
      <w:pPr>
        <w:pStyle w:val="13"/>
        <w:widowControl/>
        <w:numPr>
          <w:ilvl w:val="0"/>
          <w:numId w:val="129"/>
        </w:numPr>
        <w:adjustRightInd w:val="0"/>
        <w:snapToGrid w:val="0"/>
        <w:spacing w:line="360" w:lineRule="auto"/>
        <w:ind w:firstLineChars="0"/>
        <w:rPr>
          <w:rFonts w:ascii="宋体" w:hAnsi="宋体" w:cs="宋体"/>
          <w:kern w:val="0"/>
          <w:szCs w:val="21"/>
          <w:highlight w:val="none"/>
        </w:rPr>
      </w:pPr>
      <w:r>
        <w:rPr>
          <w:rFonts w:hint="eastAsia" w:ascii="宋体" w:hAnsi="宋体" w:cs="宋体"/>
          <w:kern w:val="0"/>
          <w:szCs w:val="21"/>
          <w:highlight w:val="none"/>
        </w:rPr>
        <w:t>承诺单位负责人为同一人或者存在直接控股、管理关系的不同供应商，不得同时参加本采购项目（或采购包）投标。</w:t>
      </w:r>
    </w:p>
    <w:p w14:paraId="4A8F9C03">
      <w:pPr>
        <w:pStyle w:val="13"/>
        <w:widowControl/>
        <w:numPr>
          <w:ilvl w:val="0"/>
          <w:numId w:val="129"/>
        </w:numPr>
        <w:adjustRightInd w:val="0"/>
        <w:snapToGrid w:val="0"/>
        <w:spacing w:line="360" w:lineRule="auto"/>
        <w:ind w:firstLineChars="0"/>
        <w:rPr>
          <w:rFonts w:ascii="宋体" w:hAnsi="宋体" w:cs="宋体"/>
          <w:kern w:val="0"/>
          <w:szCs w:val="21"/>
          <w:highlight w:val="none"/>
        </w:rPr>
      </w:pPr>
      <w:r>
        <w:rPr>
          <w:rFonts w:hint="eastAsia" w:ascii="宋体" w:hAnsi="宋体" w:cs="宋体"/>
          <w:kern w:val="0"/>
          <w:szCs w:val="21"/>
          <w:highlight w:val="none"/>
        </w:rPr>
        <w:t>承诺为本项目提供整体设计、规范编制或者项目管理、监理、检测等服务的供应商，不得再参与本项目</w:t>
      </w:r>
      <w:r>
        <w:rPr>
          <w:rFonts w:hint="eastAsia" w:ascii="宋体" w:hAnsi="宋体" w:cs="宋体"/>
          <w:kern w:val="0"/>
          <w:szCs w:val="21"/>
          <w:highlight w:val="none"/>
          <w:lang w:val="en-US" w:eastAsia="zh-CN"/>
        </w:rPr>
        <w:t>响应</w:t>
      </w:r>
      <w:r>
        <w:rPr>
          <w:rFonts w:hint="eastAsia" w:ascii="宋体" w:hAnsi="宋体" w:cs="宋体"/>
          <w:kern w:val="0"/>
          <w:szCs w:val="21"/>
          <w:highlight w:val="none"/>
        </w:rPr>
        <w:t>。</w:t>
      </w:r>
    </w:p>
    <w:p w14:paraId="0260F064">
      <w:pPr>
        <w:adjustRightInd w:val="0"/>
        <w:snapToGrid w:val="0"/>
        <w:spacing w:line="360" w:lineRule="auto"/>
        <w:ind w:firstLine="424" w:firstLineChars="202"/>
        <w:rPr>
          <w:rFonts w:ascii="宋体" w:hAnsi="宋体"/>
          <w:szCs w:val="21"/>
          <w:highlight w:val="none"/>
        </w:rPr>
      </w:pPr>
      <w:r>
        <w:rPr>
          <w:rFonts w:hint="eastAsia" w:ascii="宋体" w:hAnsi="宋体"/>
          <w:szCs w:val="21"/>
          <w:highlight w:val="none"/>
        </w:rPr>
        <w:t>我方对上述承诺的真实性负责，在评审环节结束后，自愿接受采购单位（采购代理机构）的检查核验，配合提供相关证明材料，证明符合相关资格条件。如有虚假，将依法承担相应法律责任。</w:t>
      </w:r>
    </w:p>
    <w:p w14:paraId="5BF2E2E0">
      <w:pPr>
        <w:adjustRightInd w:val="0"/>
        <w:snapToGrid w:val="0"/>
        <w:spacing w:before="156" w:beforeLines="50"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特此承诺。</w:t>
      </w:r>
    </w:p>
    <w:p w14:paraId="0FF68E36">
      <w:pPr>
        <w:rPr>
          <w:rFonts w:ascii="宋体" w:hAnsi="宋体"/>
          <w:szCs w:val="21"/>
          <w:highlight w:val="none"/>
        </w:rPr>
      </w:pPr>
    </w:p>
    <w:p w14:paraId="00BA6824">
      <w:pPr>
        <w:widowControl/>
        <w:spacing w:before="624" w:beforeLines="200" w:line="30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0A39DB3D">
      <w:pPr>
        <w:widowControl/>
        <w:spacing w:line="300" w:lineRule="auto"/>
        <w:jc w:val="left"/>
        <w:rPr>
          <w:rFonts w:ascii="宋体" w:hAnsi="宋体"/>
          <w:kern w:val="0"/>
          <w:szCs w:val="21"/>
          <w:highlight w:val="none"/>
          <w:lang w:eastAsia="zh-Hans"/>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689C6270">
      <w:pPr>
        <w:rPr>
          <w:rFonts w:ascii="宋体" w:hAnsi="宋体"/>
          <w:szCs w:val="21"/>
          <w:highlight w:val="none"/>
        </w:rPr>
      </w:pPr>
    </w:p>
    <w:p w14:paraId="52795FA1">
      <w:pPr>
        <w:pageBreakBefore/>
        <w:rPr>
          <w:kern w:val="0"/>
          <w:szCs w:val="21"/>
          <w:highlight w:val="none"/>
          <w:lang w:eastAsia="zh-Hans"/>
        </w:rPr>
      </w:pPr>
      <w:bookmarkStart w:id="54" w:name="_Toc169799798"/>
      <w:r>
        <w:rPr>
          <w:rFonts w:ascii="宋体" w:hAnsi="宋体"/>
          <w:b/>
          <w:bCs/>
          <w:sz w:val="24"/>
          <w:szCs w:val="28"/>
          <w:highlight w:val="none"/>
        </w:rPr>
        <w:t>格式</w:t>
      </w:r>
      <w:r>
        <w:rPr>
          <w:rFonts w:hint="eastAsia" w:ascii="宋体" w:hAnsi="宋体"/>
          <w:b/>
          <w:bCs/>
          <w:sz w:val="24"/>
          <w:szCs w:val="28"/>
          <w:highlight w:val="none"/>
        </w:rPr>
        <w:t>十</w:t>
      </w:r>
      <w:r>
        <w:rPr>
          <w:rFonts w:ascii="宋体" w:hAnsi="宋体"/>
          <w:b/>
          <w:bCs/>
          <w:sz w:val="24"/>
          <w:szCs w:val="28"/>
          <w:highlight w:val="none"/>
        </w:rPr>
        <w:t>：</w:t>
      </w:r>
      <w:bookmarkEnd w:id="54"/>
    </w:p>
    <w:p w14:paraId="15568C17">
      <w:pPr>
        <w:widowControl/>
        <w:spacing w:before="156" w:beforeLines="50"/>
        <w:jc w:val="center"/>
        <w:outlineLvl w:val="3"/>
        <w:rPr>
          <w:kern w:val="0"/>
          <w:sz w:val="20"/>
          <w:szCs w:val="20"/>
          <w:highlight w:val="none"/>
        </w:rPr>
      </w:pPr>
      <w:r>
        <w:rPr>
          <w:b/>
          <w:kern w:val="0"/>
          <w:sz w:val="28"/>
          <w:szCs w:val="21"/>
          <w:highlight w:val="none"/>
          <w:lang w:eastAsia="zh-Hans"/>
        </w:rPr>
        <w:t>提供具有独立承担民事责任的能力的证明材料</w:t>
      </w:r>
    </w:p>
    <w:p w14:paraId="344917B6">
      <w:pPr>
        <w:widowControl/>
        <w:jc w:val="left"/>
        <w:rPr>
          <w:kern w:val="0"/>
          <w:sz w:val="20"/>
          <w:szCs w:val="20"/>
          <w:highlight w:val="none"/>
          <w:lang w:eastAsia="zh-Hans"/>
        </w:rPr>
      </w:pPr>
    </w:p>
    <w:p w14:paraId="731F7449">
      <w:pPr>
        <w:pageBreakBefore/>
        <w:rPr>
          <w:rFonts w:ascii="宋体" w:hAnsi="宋体"/>
          <w:b/>
          <w:bCs/>
          <w:highlight w:val="none"/>
        </w:rPr>
      </w:pPr>
      <w:r>
        <w:rPr>
          <w:rFonts w:hint="eastAsia" w:ascii="宋体" w:hAnsi="宋体"/>
          <w:b/>
          <w:bCs/>
          <w:sz w:val="24"/>
          <w:szCs w:val="28"/>
          <w:highlight w:val="none"/>
        </w:rPr>
        <w:t>格式十</w:t>
      </w:r>
      <w:r>
        <w:rPr>
          <w:rFonts w:hint="eastAsia" w:ascii="宋体" w:hAnsi="宋体"/>
          <w:b/>
          <w:bCs/>
          <w:sz w:val="24"/>
          <w:szCs w:val="28"/>
          <w:highlight w:val="none"/>
          <w:lang w:val="en-US" w:eastAsia="zh-CN"/>
        </w:rPr>
        <w:t>一</w:t>
      </w:r>
      <w:r>
        <w:rPr>
          <w:rFonts w:hint="eastAsia" w:ascii="宋体" w:hAnsi="宋体"/>
          <w:b/>
          <w:bCs/>
          <w:sz w:val="24"/>
          <w:szCs w:val="28"/>
          <w:highlight w:val="none"/>
        </w:rPr>
        <w:t>：</w:t>
      </w:r>
    </w:p>
    <w:p w14:paraId="18BD0630">
      <w:pPr>
        <w:spacing w:after="156" w:afterLines="50" w:line="360" w:lineRule="auto"/>
        <w:jc w:val="center"/>
        <w:rPr>
          <w:rFonts w:ascii="宋体" w:hAnsi="宋体"/>
          <w:b/>
          <w:sz w:val="22"/>
          <w:highlight w:val="none"/>
        </w:rPr>
      </w:pPr>
      <w:r>
        <w:rPr>
          <w:rFonts w:hint="eastAsia" w:ascii="宋体" w:hAnsi="宋体"/>
          <w:b/>
          <w:sz w:val="32"/>
          <w:szCs w:val="32"/>
          <w:highlight w:val="none"/>
        </w:rPr>
        <w:t>拟投入本项目设备情况表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903"/>
        <w:gridCol w:w="2162"/>
        <w:gridCol w:w="1359"/>
        <w:gridCol w:w="1874"/>
      </w:tblGrid>
      <w:tr w14:paraId="69EA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32" w:type="pct"/>
            <w:vAlign w:val="center"/>
          </w:tcPr>
          <w:p w14:paraId="26A3280B">
            <w:pPr>
              <w:jc w:val="center"/>
              <w:rPr>
                <w:rFonts w:ascii="宋体" w:hAnsi="宋体"/>
                <w:b/>
                <w:bCs/>
                <w:szCs w:val="21"/>
                <w:highlight w:val="none"/>
              </w:rPr>
            </w:pPr>
            <w:r>
              <w:rPr>
                <w:rFonts w:hint="eastAsia" w:ascii="宋体" w:hAnsi="宋体"/>
                <w:b/>
                <w:bCs/>
                <w:szCs w:val="21"/>
                <w:highlight w:val="none"/>
              </w:rPr>
              <w:t>序号</w:t>
            </w:r>
          </w:p>
        </w:tc>
        <w:tc>
          <w:tcPr>
            <w:tcW w:w="1563" w:type="pct"/>
            <w:vAlign w:val="center"/>
          </w:tcPr>
          <w:p w14:paraId="5C440835">
            <w:pPr>
              <w:jc w:val="center"/>
              <w:rPr>
                <w:rFonts w:ascii="宋体" w:hAnsi="宋体"/>
                <w:b/>
                <w:bCs/>
                <w:szCs w:val="21"/>
                <w:highlight w:val="none"/>
              </w:rPr>
            </w:pPr>
            <w:r>
              <w:rPr>
                <w:rFonts w:hint="eastAsia" w:ascii="宋体" w:hAnsi="宋体"/>
                <w:b/>
                <w:bCs/>
                <w:szCs w:val="21"/>
                <w:highlight w:val="none"/>
              </w:rPr>
              <w:t>名称</w:t>
            </w:r>
          </w:p>
        </w:tc>
        <w:tc>
          <w:tcPr>
            <w:tcW w:w="1164" w:type="pct"/>
            <w:vAlign w:val="center"/>
          </w:tcPr>
          <w:p w14:paraId="38FBCDC5">
            <w:pPr>
              <w:jc w:val="center"/>
              <w:rPr>
                <w:rFonts w:ascii="宋体" w:hAnsi="宋体"/>
                <w:b/>
                <w:bCs/>
                <w:szCs w:val="21"/>
                <w:highlight w:val="none"/>
              </w:rPr>
            </w:pPr>
            <w:r>
              <w:rPr>
                <w:rFonts w:hint="eastAsia" w:ascii="宋体" w:hAnsi="宋体"/>
                <w:b/>
                <w:bCs/>
                <w:szCs w:val="21"/>
                <w:highlight w:val="none"/>
              </w:rPr>
              <w:t>规格型号</w:t>
            </w:r>
          </w:p>
        </w:tc>
        <w:tc>
          <w:tcPr>
            <w:tcW w:w="732" w:type="pct"/>
            <w:vAlign w:val="center"/>
          </w:tcPr>
          <w:p w14:paraId="2F11C35A">
            <w:pPr>
              <w:jc w:val="center"/>
              <w:rPr>
                <w:rFonts w:ascii="宋体" w:hAnsi="宋体"/>
                <w:b/>
                <w:bCs/>
                <w:szCs w:val="21"/>
                <w:highlight w:val="none"/>
              </w:rPr>
            </w:pPr>
            <w:r>
              <w:rPr>
                <w:rFonts w:hint="eastAsia" w:ascii="宋体" w:hAnsi="宋体"/>
                <w:b/>
                <w:bCs/>
                <w:szCs w:val="21"/>
                <w:highlight w:val="none"/>
              </w:rPr>
              <w:t>数量</w:t>
            </w:r>
          </w:p>
        </w:tc>
        <w:tc>
          <w:tcPr>
            <w:tcW w:w="1009" w:type="pct"/>
            <w:vAlign w:val="center"/>
          </w:tcPr>
          <w:p w14:paraId="578023CB">
            <w:pPr>
              <w:jc w:val="center"/>
              <w:rPr>
                <w:rFonts w:ascii="宋体" w:hAnsi="宋体"/>
                <w:b/>
                <w:bCs/>
                <w:szCs w:val="21"/>
                <w:highlight w:val="none"/>
              </w:rPr>
            </w:pPr>
            <w:r>
              <w:rPr>
                <w:rFonts w:hint="eastAsia" w:ascii="宋体" w:hAnsi="宋体"/>
                <w:b/>
                <w:bCs/>
                <w:szCs w:val="21"/>
                <w:highlight w:val="none"/>
              </w:rPr>
              <w:t>备注</w:t>
            </w:r>
          </w:p>
        </w:tc>
      </w:tr>
      <w:tr w14:paraId="1B5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32" w:type="pct"/>
            <w:vAlign w:val="center"/>
          </w:tcPr>
          <w:p w14:paraId="518BACA7">
            <w:pPr>
              <w:jc w:val="center"/>
              <w:rPr>
                <w:rFonts w:ascii="宋体" w:hAnsi="宋体"/>
                <w:szCs w:val="21"/>
                <w:highlight w:val="none"/>
              </w:rPr>
            </w:pPr>
          </w:p>
        </w:tc>
        <w:tc>
          <w:tcPr>
            <w:tcW w:w="1563" w:type="pct"/>
            <w:vAlign w:val="center"/>
          </w:tcPr>
          <w:p w14:paraId="766B6CEA">
            <w:pPr>
              <w:jc w:val="center"/>
              <w:rPr>
                <w:rFonts w:ascii="宋体" w:hAnsi="宋体"/>
                <w:szCs w:val="21"/>
                <w:highlight w:val="none"/>
              </w:rPr>
            </w:pPr>
          </w:p>
        </w:tc>
        <w:tc>
          <w:tcPr>
            <w:tcW w:w="1164" w:type="pct"/>
            <w:vAlign w:val="center"/>
          </w:tcPr>
          <w:p w14:paraId="123E3C94">
            <w:pPr>
              <w:jc w:val="center"/>
              <w:rPr>
                <w:rFonts w:ascii="宋体" w:hAnsi="宋体"/>
                <w:szCs w:val="21"/>
                <w:highlight w:val="none"/>
              </w:rPr>
            </w:pPr>
          </w:p>
        </w:tc>
        <w:tc>
          <w:tcPr>
            <w:tcW w:w="732" w:type="pct"/>
            <w:vAlign w:val="center"/>
          </w:tcPr>
          <w:p w14:paraId="78A6BF12">
            <w:pPr>
              <w:jc w:val="center"/>
              <w:rPr>
                <w:rFonts w:ascii="宋体" w:hAnsi="宋体"/>
                <w:szCs w:val="21"/>
                <w:highlight w:val="none"/>
              </w:rPr>
            </w:pPr>
          </w:p>
        </w:tc>
        <w:tc>
          <w:tcPr>
            <w:tcW w:w="1009" w:type="pct"/>
            <w:vAlign w:val="center"/>
          </w:tcPr>
          <w:p w14:paraId="2FFD166B">
            <w:pPr>
              <w:jc w:val="center"/>
              <w:rPr>
                <w:rFonts w:ascii="宋体" w:hAnsi="宋体"/>
                <w:szCs w:val="21"/>
                <w:highlight w:val="none"/>
              </w:rPr>
            </w:pPr>
          </w:p>
        </w:tc>
      </w:tr>
      <w:tr w14:paraId="53F5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532" w:type="pct"/>
            <w:vAlign w:val="center"/>
          </w:tcPr>
          <w:p w14:paraId="2BD39E12">
            <w:pPr>
              <w:jc w:val="center"/>
              <w:rPr>
                <w:rFonts w:ascii="宋体" w:hAnsi="宋体"/>
                <w:szCs w:val="21"/>
                <w:highlight w:val="none"/>
              </w:rPr>
            </w:pPr>
          </w:p>
        </w:tc>
        <w:tc>
          <w:tcPr>
            <w:tcW w:w="1563" w:type="pct"/>
            <w:vAlign w:val="center"/>
          </w:tcPr>
          <w:p w14:paraId="7063EA22">
            <w:pPr>
              <w:jc w:val="center"/>
              <w:rPr>
                <w:rFonts w:ascii="宋体" w:hAnsi="宋体"/>
                <w:szCs w:val="21"/>
                <w:highlight w:val="none"/>
              </w:rPr>
            </w:pPr>
          </w:p>
        </w:tc>
        <w:tc>
          <w:tcPr>
            <w:tcW w:w="1164" w:type="pct"/>
            <w:vAlign w:val="center"/>
          </w:tcPr>
          <w:p w14:paraId="441A1323">
            <w:pPr>
              <w:jc w:val="center"/>
              <w:rPr>
                <w:rFonts w:ascii="宋体" w:hAnsi="宋体"/>
                <w:szCs w:val="21"/>
                <w:highlight w:val="none"/>
              </w:rPr>
            </w:pPr>
          </w:p>
        </w:tc>
        <w:tc>
          <w:tcPr>
            <w:tcW w:w="732" w:type="pct"/>
            <w:vAlign w:val="center"/>
          </w:tcPr>
          <w:p w14:paraId="375CF810">
            <w:pPr>
              <w:jc w:val="center"/>
              <w:rPr>
                <w:rFonts w:ascii="宋体" w:hAnsi="宋体"/>
                <w:szCs w:val="21"/>
                <w:highlight w:val="none"/>
              </w:rPr>
            </w:pPr>
          </w:p>
        </w:tc>
        <w:tc>
          <w:tcPr>
            <w:tcW w:w="1009" w:type="pct"/>
            <w:vAlign w:val="center"/>
          </w:tcPr>
          <w:p w14:paraId="04A54932">
            <w:pPr>
              <w:jc w:val="center"/>
              <w:rPr>
                <w:rFonts w:ascii="宋体" w:hAnsi="宋体"/>
                <w:szCs w:val="21"/>
                <w:highlight w:val="none"/>
              </w:rPr>
            </w:pPr>
          </w:p>
        </w:tc>
      </w:tr>
      <w:tr w14:paraId="3D3B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2" w:type="pct"/>
            <w:vAlign w:val="center"/>
          </w:tcPr>
          <w:p w14:paraId="12DFD51A">
            <w:pPr>
              <w:jc w:val="center"/>
              <w:rPr>
                <w:rFonts w:ascii="宋体" w:hAnsi="宋体"/>
                <w:szCs w:val="21"/>
                <w:highlight w:val="none"/>
              </w:rPr>
            </w:pPr>
          </w:p>
        </w:tc>
        <w:tc>
          <w:tcPr>
            <w:tcW w:w="1563" w:type="pct"/>
            <w:vAlign w:val="center"/>
          </w:tcPr>
          <w:p w14:paraId="2FFEF2BB">
            <w:pPr>
              <w:jc w:val="center"/>
              <w:rPr>
                <w:rFonts w:ascii="宋体" w:hAnsi="宋体"/>
                <w:szCs w:val="21"/>
                <w:highlight w:val="none"/>
              </w:rPr>
            </w:pPr>
          </w:p>
        </w:tc>
        <w:tc>
          <w:tcPr>
            <w:tcW w:w="1164" w:type="pct"/>
            <w:vAlign w:val="center"/>
          </w:tcPr>
          <w:p w14:paraId="62B2B0D2">
            <w:pPr>
              <w:jc w:val="center"/>
              <w:rPr>
                <w:rFonts w:ascii="宋体" w:hAnsi="宋体"/>
                <w:szCs w:val="21"/>
                <w:highlight w:val="none"/>
              </w:rPr>
            </w:pPr>
          </w:p>
        </w:tc>
        <w:tc>
          <w:tcPr>
            <w:tcW w:w="732" w:type="pct"/>
            <w:vAlign w:val="center"/>
          </w:tcPr>
          <w:p w14:paraId="7C364DAA">
            <w:pPr>
              <w:jc w:val="center"/>
              <w:rPr>
                <w:rFonts w:ascii="宋体" w:hAnsi="宋体"/>
                <w:szCs w:val="21"/>
                <w:highlight w:val="none"/>
              </w:rPr>
            </w:pPr>
          </w:p>
        </w:tc>
        <w:tc>
          <w:tcPr>
            <w:tcW w:w="1009" w:type="pct"/>
            <w:vAlign w:val="center"/>
          </w:tcPr>
          <w:p w14:paraId="4A4E69BE">
            <w:pPr>
              <w:jc w:val="center"/>
              <w:rPr>
                <w:rFonts w:ascii="宋体" w:hAnsi="宋体"/>
                <w:szCs w:val="21"/>
                <w:highlight w:val="none"/>
              </w:rPr>
            </w:pPr>
          </w:p>
        </w:tc>
      </w:tr>
      <w:tr w14:paraId="7851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2" w:type="pct"/>
            <w:vAlign w:val="center"/>
          </w:tcPr>
          <w:p w14:paraId="30018D79">
            <w:pPr>
              <w:jc w:val="center"/>
              <w:rPr>
                <w:rFonts w:ascii="宋体" w:hAnsi="宋体"/>
                <w:szCs w:val="21"/>
                <w:highlight w:val="none"/>
              </w:rPr>
            </w:pPr>
          </w:p>
        </w:tc>
        <w:tc>
          <w:tcPr>
            <w:tcW w:w="1563" w:type="pct"/>
            <w:vAlign w:val="center"/>
          </w:tcPr>
          <w:p w14:paraId="469D2177">
            <w:pPr>
              <w:jc w:val="center"/>
              <w:rPr>
                <w:rFonts w:ascii="宋体" w:hAnsi="宋体"/>
                <w:szCs w:val="21"/>
                <w:highlight w:val="none"/>
              </w:rPr>
            </w:pPr>
          </w:p>
        </w:tc>
        <w:tc>
          <w:tcPr>
            <w:tcW w:w="1164" w:type="pct"/>
            <w:vAlign w:val="center"/>
          </w:tcPr>
          <w:p w14:paraId="1519A926">
            <w:pPr>
              <w:jc w:val="center"/>
              <w:rPr>
                <w:rFonts w:ascii="宋体" w:hAnsi="宋体"/>
                <w:szCs w:val="21"/>
                <w:highlight w:val="none"/>
              </w:rPr>
            </w:pPr>
          </w:p>
        </w:tc>
        <w:tc>
          <w:tcPr>
            <w:tcW w:w="732" w:type="pct"/>
            <w:vAlign w:val="center"/>
          </w:tcPr>
          <w:p w14:paraId="147AE542">
            <w:pPr>
              <w:jc w:val="center"/>
              <w:rPr>
                <w:rFonts w:ascii="宋体" w:hAnsi="宋体"/>
                <w:szCs w:val="21"/>
                <w:highlight w:val="none"/>
              </w:rPr>
            </w:pPr>
          </w:p>
        </w:tc>
        <w:tc>
          <w:tcPr>
            <w:tcW w:w="1009" w:type="pct"/>
            <w:vAlign w:val="center"/>
          </w:tcPr>
          <w:p w14:paraId="49B9CF45">
            <w:pPr>
              <w:jc w:val="center"/>
              <w:rPr>
                <w:rFonts w:ascii="宋体" w:hAnsi="宋体"/>
                <w:szCs w:val="21"/>
                <w:highlight w:val="none"/>
              </w:rPr>
            </w:pPr>
          </w:p>
        </w:tc>
      </w:tr>
      <w:tr w14:paraId="379B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532" w:type="pct"/>
            <w:vAlign w:val="center"/>
          </w:tcPr>
          <w:p w14:paraId="67443800">
            <w:pPr>
              <w:jc w:val="center"/>
              <w:rPr>
                <w:rFonts w:ascii="宋体" w:hAnsi="宋体"/>
                <w:szCs w:val="21"/>
                <w:highlight w:val="none"/>
              </w:rPr>
            </w:pPr>
          </w:p>
        </w:tc>
        <w:tc>
          <w:tcPr>
            <w:tcW w:w="1563" w:type="pct"/>
            <w:vAlign w:val="center"/>
          </w:tcPr>
          <w:p w14:paraId="3F254851">
            <w:pPr>
              <w:jc w:val="center"/>
              <w:rPr>
                <w:rFonts w:ascii="宋体" w:hAnsi="宋体"/>
                <w:szCs w:val="21"/>
                <w:highlight w:val="none"/>
              </w:rPr>
            </w:pPr>
          </w:p>
        </w:tc>
        <w:tc>
          <w:tcPr>
            <w:tcW w:w="1164" w:type="pct"/>
            <w:vAlign w:val="center"/>
          </w:tcPr>
          <w:p w14:paraId="14542FFC">
            <w:pPr>
              <w:jc w:val="center"/>
              <w:rPr>
                <w:rFonts w:ascii="宋体" w:hAnsi="宋体"/>
                <w:szCs w:val="21"/>
                <w:highlight w:val="none"/>
              </w:rPr>
            </w:pPr>
          </w:p>
        </w:tc>
        <w:tc>
          <w:tcPr>
            <w:tcW w:w="732" w:type="pct"/>
            <w:vAlign w:val="center"/>
          </w:tcPr>
          <w:p w14:paraId="7CC180E1">
            <w:pPr>
              <w:jc w:val="center"/>
              <w:rPr>
                <w:rFonts w:ascii="宋体" w:hAnsi="宋体"/>
                <w:szCs w:val="21"/>
                <w:highlight w:val="none"/>
              </w:rPr>
            </w:pPr>
          </w:p>
        </w:tc>
        <w:tc>
          <w:tcPr>
            <w:tcW w:w="1009" w:type="pct"/>
            <w:vAlign w:val="center"/>
          </w:tcPr>
          <w:p w14:paraId="267A29A2">
            <w:pPr>
              <w:jc w:val="center"/>
              <w:rPr>
                <w:rFonts w:ascii="宋体" w:hAnsi="宋体"/>
                <w:szCs w:val="21"/>
                <w:highlight w:val="none"/>
              </w:rPr>
            </w:pPr>
          </w:p>
        </w:tc>
      </w:tr>
      <w:tr w14:paraId="4D54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2" w:type="pct"/>
            <w:vAlign w:val="center"/>
          </w:tcPr>
          <w:p w14:paraId="725D64FA">
            <w:pPr>
              <w:jc w:val="center"/>
              <w:rPr>
                <w:rFonts w:ascii="宋体" w:hAnsi="宋体"/>
                <w:szCs w:val="21"/>
                <w:highlight w:val="none"/>
              </w:rPr>
            </w:pPr>
          </w:p>
        </w:tc>
        <w:tc>
          <w:tcPr>
            <w:tcW w:w="1563" w:type="pct"/>
            <w:vAlign w:val="center"/>
          </w:tcPr>
          <w:p w14:paraId="03F7C495">
            <w:pPr>
              <w:jc w:val="center"/>
              <w:rPr>
                <w:rFonts w:ascii="宋体" w:hAnsi="宋体"/>
                <w:szCs w:val="21"/>
                <w:highlight w:val="none"/>
              </w:rPr>
            </w:pPr>
          </w:p>
        </w:tc>
        <w:tc>
          <w:tcPr>
            <w:tcW w:w="1164" w:type="pct"/>
            <w:vAlign w:val="center"/>
          </w:tcPr>
          <w:p w14:paraId="533D420C">
            <w:pPr>
              <w:jc w:val="center"/>
              <w:rPr>
                <w:rFonts w:ascii="宋体" w:hAnsi="宋体"/>
                <w:szCs w:val="21"/>
                <w:highlight w:val="none"/>
              </w:rPr>
            </w:pPr>
          </w:p>
        </w:tc>
        <w:tc>
          <w:tcPr>
            <w:tcW w:w="732" w:type="pct"/>
            <w:vAlign w:val="center"/>
          </w:tcPr>
          <w:p w14:paraId="701BAFDB">
            <w:pPr>
              <w:jc w:val="center"/>
              <w:rPr>
                <w:rFonts w:ascii="宋体" w:hAnsi="宋体"/>
                <w:szCs w:val="21"/>
                <w:highlight w:val="none"/>
              </w:rPr>
            </w:pPr>
          </w:p>
        </w:tc>
        <w:tc>
          <w:tcPr>
            <w:tcW w:w="1009" w:type="pct"/>
            <w:vAlign w:val="center"/>
          </w:tcPr>
          <w:p w14:paraId="71365B2B">
            <w:pPr>
              <w:jc w:val="center"/>
              <w:rPr>
                <w:rFonts w:ascii="宋体" w:hAnsi="宋体"/>
                <w:szCs w:val="21"/>
                <w:highlight w:val="none"/>
              </w:rPr>
            </w:pPr>
          </w:p>
        </w:tc>
      </w:tr>
      <w:tr w14:paraId="44A3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532" w:type="pct"/>
            <w:vAlign w:val="center"/>
          </w:tcPr>
          <w:p w14:paraId="3B388EEC">
            <w:pPr>
              <w:jc w:val="center"/>
              <w:rPr>
                <w:rFonts w:ascii="宋体" w:hAnsi="宋体"/>
                <w:szCs w:val="21"/>
                <w:highlight w:val="none"/>
              </w:rPr>
            </w:pPr>
          </w:p>
        </w:tc>
        <w:tc>
          <w:tcPr>
            <w:tcW w:w="1563" w:type="pct"/>
            <w:vAlign w:val="center"/>
          </w:tcPr>
          <w:p w14:paraId="03CFBB38">
            <w:pPr>
              <w:jc w:val="center"/>
              <w:rPr>
                <w:rFonts w:ascii="宋体" w:hAnsi="宋体"/>
                <w:szCs w:val="21"/>
                <w:highlight w:val="none"/>
              </w:rPr>
            </w:pPr>
          </w:p>
        </w:tc>
        <w:tc>
          <w:tcPr>
            <w:tcW w:w="1164" w:type="pct"/>
            <w:vAlign w:val="center"/>
          </w:tcPr>
          <w:p w14:paraId="534E11C2">
            <w:pPr>
              <w:jc w:val="center"/>
              <w:rPr>
                <w:rFonts w:ascii="宋体" w:hAnsi="宋体"/>
                <w:szCs w:val="21"/>
                <w:highlight w:val="none"/>
              </w:rPr>
            </w:pPr>
          </w:p>
        </w:tc>
        <w:tc>
          <w:tcPr>
            <w:tcW w:w="732" w:type="pct"/>
            <w:vAlign w:val="center"/>
          </w:tcPr>
          <w:p w14:paraId="750C2514">
            <w:pPr>
              <w:jc w:val="center"/>
              <w:rPr>
                <w:rFonts w:ascii="宋体" w:hAnsi="宋体"/>
                <w:szCs w:val="21"/>
                <w:highlight w:val="none"/>
              </w:rPr>
            </w:pPr>
          </w:p>
        </w:tc>
        <w:tc>
          <w:tcPr>
            <w:tcW w:w="1009" w:type="pct"/>
            <w:vAlign w:val="center"/>
          </w:tcPr>
          <w:p w14:paraId="6DF755CA">
            <w:pPr>
              <w:jc w:val="center"/>
              <w:rPr>
                <w:rFonts w:ascii="宋体" w:hAnsi="宋体"/>
                <w:szCs w:val="21"/>
                <w:highlight w:val="none"/>
              </w:rPr>
            </w:pPr>
          </w:p>
        </w:tc>
      </w:tr>
      <w:tr w14:paraId="7EE6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2" w:type="pct"/>
            <w:vAlign w:val="center"/>
          </w:tcPr>
          <w:p w14:paraId="42C411F6">
            <w:pPr>
              <w:jc w:val="center"/>
              <w:rPr>
                <w:rFonts w:ascii="宋体" w:hAnsi="宋体"/>
                <w:szCs w:val="21"/>
                <w:highlight w:val="none"/>
              </w:rPr>
            </w:pPr>
          </w:p>
        </w:tc>
        <w:tc>
          <w:tcPr>
            <w:tcW w:w="1563" w:type="pct"/>
            <w:vAlign w:val="center"/>
          </w:tcPr>
          <w:p w14:paraId="76F1EF84">
            <w:pPr>
              <w:jc w:val="center"/>
              <w:rPr>
                <w:rFonts w:ascii="宋体" w:hAnsi="宋体"/>
                <w:szCs w:val="21"/>
                <w:highlight w:val="none"/>
              </w:rPr>
            </w:pPr>
          </w:p>
        </w:tc>
        <w:tc>
          <w:tcPr>
            <w:tcW w:w="1164" w:type="pct"/>
            <w:vAlign w:val="center"/>
          </w:tcPr>
          <w:p w14:paraId="3A7EA366">
            <w:pPr>
              <w:jc w:val="center"/>
              <w:rPr>
                <w:rFonts w:ascii="宋体" w:hAnsi="宋体"/>
                <w:szCs w:val="21"/>
                <w:highlight w:val="none"/>
              </w:rPr>
            </w:pPr>
          </w:p>
        </w:tc>
        <w:tc>
          <w:tcPr>
            <w:tcW w:w="732" w:type="pct"/>
            <w:vAlign w:val="center"/>
          </w:tcPr>
          <w:p w14:paraId="274F510E">
            <w:pPr>
              <w:jc w:val="center"/>
              <w:rPr>
                <w:rFonts w:ascii="宋体" w:hAnsi="宋体"/>
                <w:szCs w:val="21"/>
                <w:highlight w:val="none"/>
              </w:rPr>
            </w:pPr>
          </w:p>
        </w:tc>
        <w:tc>
          <w:tcPr>
            <w:tcW w:w="1009" w:type="pct"/>
            <w:vAlign w:val="center"/>
          </w:tcPr>
          <w:p w14:paraId="28E54720">
            <w:pPr>
              <w:jc w:val="center"/>
              <w:rPr>
                <w:rFonts w:ascii="宋体" w:hAnsi="宋体"/>
                <w:szCs w:val="21"/>
                <w:highlight w:val="none"/>
              </w:rPr>
            </w:pPr>
          </w:p>
        </w:tc>
      </w:tr>
    </w:tbl>
    <w:p w14:paraId="6786ED25">
      <w:pPr>
        <w:widowControl/>
        <w:spacing w:before="624" w:beforeLines="200" w:line="30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3E449043">
      <w:pPr>
        <w:spacing w:line="360" w:lineRule="auto"/>
        <w:rPr>
          <w:rFonts w:ascii="黑体" w:hAnsi="黑体" w:eastAsia="黑体"/>
          <w:szCs w:val="21"/>
          <w:highlight w:val="none"/>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675F42CA">
      <w:pPr>
        <w:pageBreakBefore/>
        <w:rPr>
          <w:rFonts w:ascii="宋体" w:hAnsi="宋体"/>
          <w:b/>
          <w:bCs/>
          <w:szCs w:val="21"/>
          <w:highlight w:val="none"/>
        </w:rPr>
      </w:pPr>
      <w:r>
        <w:rPr>
          <w:rFonts w:hint="eastAsia" w:ascii="宋体" w:hAnsi="宋体"/>
          <w:b/>
          <w:bCs/>
          <w:sz w:val="24"/>
          <w:szCs w:val="28"/>
          <w:highlight w:val="none"/>
        </w:rPr>
        <w:t>格式十</w:t>
      </w:r>
      <w:r>
        <w:rPr>
          <w:rFonts w:hint="eastAsia" w:ascii="宋体" w:hAnsi="宋体"/>
          <w:b/>
          <w:bCs/>
          <w:sz w:val="24"/>
          <w:szCs w:val="28"/>
          <w:highlight w:val="none"/>
          <w:lang w:val="en-US" w:eastAsia="zh-CN"/>
        </w:rPr>
        <w:t>二</w:t>
      </w:r>
      <w:r>
        <w:rPr>
          <w:rFonts w:hint="eastAsia" w:ascii="宋体" w:hAnsi="宋体"/>
          <w:b/>
          <w:bCs/>
          <w:sz w:val="24"/>
          <w:szCs w:val="28"/>
          <w:highlight w:val="none"/>
        </w:rPr>
        <w:t>：</w:t>
      </w:r>
    </w:p>
    <w:p w14:paraId="4C92212A">
      <w:pPr>
        <w:spacing w:after="156" w:afterLines="50" w:line="360" w:lineRule="auto"/>
        <w:jc w:val="center"/>
        <w:rPr>
          <w:rFonts w:ascii="宋体" w:hAnsi="宋体"/>
          <w:b/>
          <w:spacing w:val="20"/>
          <w:sz w:val="30"/>
          <w:szCs w:val="30"/>
          <w:highlight w:val="none"/>
        </w:rPr>
      </w:pPr>
      <w:r>
        <w:rPr>
          <w:rFonts w:hint="eastAsia" w:ascii="宋体" w:hAnsi="宋体"/>
          <w:b/>
          <w:sz w:val="32"/>
          <w:szCs w:val="32"/>
          <w:highlight w:val="none"/>
        </w:rPr>
        <w:t>项目技术服务人员情况表</w:t>
      </w:r>
    </w:p>
    <w:tbl>
      <w:tblPr>
        <w:tblStyle w:val="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13"/>
        <w:gridCol w:w="1372"/>
        <w:gridCol w:w="2008"/>
        <w:gridCol w:w="1541"/>
        <w:gridCol w:w="1081"/>
        <w:gridCol w:w="1298"/>
      </w:tblGrid>
      <w:tr w14:paraId="1D7C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16" w:type="pct"/>
            <w:vAlign w:val="center"/>
          </w:tcPr>
          <w:p w14:paraId="1D0F23AC">
            <w:pPr>
              <w:jc w:val="center"/>
              <w:rPr>
                <w:rFonts w:ascii="宋体" w:hAnsi="宋体"/>
                <w:b/>
                <w:bCs/>
                <w:szCs w:val="21"/>
                <w:highlight w:val="none"/>
              </w:rPr>
            </w:pPr>
            <w:r>
              <w:rPr>
                <w:rFonts w:hint="eastAsia" w:ascii="宋体" w:hAnsi="宋体"/>
                <w:b/>
                <w:bCs/>
                <w:szCs w:val="21"/>
                <w:highlight w:val="none"/>
              </w:rPr>
              <w:t>序号</w:t>
            </w:r>
          </w:p>
        </w:tc>
        <w:tc>
          <w:tcPr>
            <w:tcW w:w="653" w:type="pct"/>
            <w:vAlign w:val="center"/>
          </w:tcPr>
          <w:p w14:paraId="68D84809">
            <w:pPr>
              <w:jc w:val="center"/>
              <w:rPr>
                <w:rFonts w:ascii="宋体" w:hAnsi="宋体"/>
                <w:b/>
                <w:bCs/>
                <w:szCs w:val="21"/>
                <w:highlight w:val="none"/>
              </w:rPr>
            </w:pPr>
            <w:r>
              <w:rPr>
                <w:rFonts w:hint="eastAsia" w:ascii="宋体" w:hAnsi="宋体"/>
                <w:b/>
                <w:bCs/>
                <w:szCs w:val="21"/>
                <w:highlight w:val="none"/>
              </w:rPr>
              <w:t>姓名</w:t>
            </w:r>
          </w:p>
        </w:tc>
        <w:tc>
          <w:tcPr>
            <w:tcW w:w="739" w:type="pct"/>
            <w:vAlign w:val="center"/>
          </w:tcPr>
          <w:p w14:paraId="4C507735">
            <w:pPr>
              <w:jc w:val="center"/>
              <w:rPr>
                <w:rFonts w:ascii="宋体" w:hAnsi="宋体"/>
                <w:b/>
                <w:bCs/>
                <w:szCs w:val="21"/>
                <w:highlight w:val="none"/>
              </w:rPr>
            </w:pPr>
            <w:r>
              <w:rPr>
                <w:rFonts w:hint="eastAsia" w:ascii="宋体" w:hAnsi="宋体"/>
                <w:b/>
                <w:bCs/>
                <w:szCs w:val="21"/>
                <w:highlight w:val="none"/>
              </w:rPr>
              <w:t>职位</w:t>
            </w:r>
          </w:p>
        </w:tc>
        <w:tc>
          <w:tcPr>
            <w:tcW w:w="1081" w:type="pct"/>
            <w:vAlign w:val="center"/>
          </w:tcPr>
          <w:p w14:paraId="45FA0259">
            <w:pPr>
              <w:jc w:val="center"/>
              <w:rPr>
                <w:rFonts w:ascii="宋体" w:hAnsi="宋体"/>
                <w:b/>
                <w:bCs/>
                <w:szCs w:val="21"/>
                <w:highlight w:val="none"/>
              </w:rPr>
            </w:pPr>
            <w:r>
              <w:rPr>
                <w:rFonts w:hint="eastAsia" w:ascii="宋体" w:hAnsi="宋体"/>
                <w:b/>
                <w:bCs/>
                <w:szCs w:val="21"/>
                <w:highlight w:val="none"/>
              </w:rPr>
              <w:t>持何种资格证件</w:t>
            </w:r>
          </w:p>
        </w:tc>
        <w:tc>
          <w:tcPr>
            <w:tcW w:w="830" w:type="pct"/>
            <w:vAlign w:val="center"/>
          </w:tcPr>
          <w:p w14:paraId="2338DEDC">
            <w:pPr>
              <w:jc w:val="center"/>
              <w:rPr>
                <w:rFonts w:ascii="宋体" w:hAnsi="宋体"/>
                <w:b/>
                <w:bCs/>
                <w:szCs w:val="21"/>
                <w:highlight w:val="none"/>
              </w:rPr>
            </w:pPr>
            <w:r>
              <w:rPr>
                <w:rFonts w:hint="eastAsia" w:ascii="宋体" w:hAnsi="宋体"/>
                <w:b/>
                <w:bCs/>
                <w:szCs w:val="21"/>
                <w:highlight w:val="none"/>
              </w:rPr>
              <w:t>发证时间</w:t>
            </w:r>
          </w:p>
        </w:tc>
        <w:tc>
          <w:tcPr>
            <w:tcW w:w="582" w:type="pct"/>
            <w:vAlign w:val="center"/>
          </w:tcPr>
          <w:p w14:paraId="57CA5F2F">
            <w:pPr>
              <w:jc w:val="center"/>
              <w:rPr>
                <w:rFonts w:ascii="宋体" w:hAnsi="宋体"/>
                <w:b/>
                <w:bCs/>
                <w:szCs w:val="21"/>
                <w:highlight w:val="none"/>
              </w:rPr>
            </w:pPr>
            <w:r>
              <w:rPr>
                <w:rFonts w:hint="eastAsia" w:ascii="宋体" w:hAnsi="宋体"/>
                <w:b/>
                <w:bCs/>
                <w:szCs w:val="21"/>
                <w:highlight w:val="none"/>
              </w:rPr>
              <w:t>学历</w:t>
            </w:r>
          </w:p>
        </w:tc>
        <w:tc>
          <w:tcPr>
            <w:tcW w:w="699" w:type="pct"/>
            <w:vAlign w:val="center"/>
          </w:tcPr>
          <w:p w14:paraId="09B26FEF">
            <w:pPr>
              <w:jc w:val="center"/>
              <w:rPr>
                <w:rFonts w:ascii="宋体" w:hAnsi="宋体"/>
                <w:b/>
                <w:bCs/>
                <w:szCs w:val="21"/>
                <w:highlight w:val="none"/>
              </w:rPr>
            </w:pPr>
            <w:r>
              <w:rPr>
                <w:rFonts w:hint="eastAsia" w:ascii="宋体" w:hAnsi="宋体"/>
                <w:b/>
                <w:bCs/>
                <w:szCs w:val="21"/>
                <w:highlight w:val="none"/>
              </w:rPr>
              <w:t>经验年限</w:t>
            </w:r>
          </w:p>
        </w:tc>
      </w:tr>
      <w:tr w14:paraId="58A6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5AA427E6">
            <w:pPr>
              <w:jc w:val="center"/>
              <w:rPr>
                <w:rFonts w:ascii="宋体" w:hAnsi="宋体"/>
                <w:szCs w:val="21"/>
                <w:highlight w:val="none"/>
              </w:rPr>
            </w:pPr>
          </w:p>
        </w:tc>
        <w:tc>
          <w:tcPr>
            <w:tcW w:w="653" w:type="pct"/>
            <w:vAlign w:val="center"/>
          </w:tcPr>
          <w:p w14:paraId="669B98DD">
            <w:pPr>
              <w:jc w:val="center"/>
              <w:rPr>
                <w:rFonts w:ascii="宋体" w:hAnsi="宋体"/>
                <w:szCs w:val="21"/>
                <w:highlight w:val="none"/>
              </w:rPr>
            </w:pPr>
          </w:p>
        </w:tc>
        <w:tc>
          <w:tcPr>
            <w:tcW w:w="739" w:type="pct"/>
            <w:vAlign w:val="center"/>
          </w:tcPr>
          <w:p w14:paraId="7A444F37">
            <w:pPr>
              <w:jc w:val="center"/>
              <w:rPr>
                <w:rFonts w:ascii="宋体" w:hAnsi="宋体"/>
                <w:szCs w:val="21"/>
                <w:highlight w:val="none"/>
              </w:rPr>
            </w:pPr>
          </w:p>
        </w:tc>
        <w:tc>
          <w:tcPr>
            <w:tcW w:w="1081" w:type="pct"/>
            <w:vAlign w:val="center"/>
          </w:tcPr>
          <w:p w14:paraId="299FF7A1">
            <w:pPr>
              <w:jc w:val="center"/>
              <w:rPr>
                <w:rFonts w:ascii="宋体" w:hAnsi="宋体"/>
                <w:szCs w:val="21"/>
                <w:highlight w:val="none"/>
              </w:rPr>
            </w:pPr>
          </w:p>
        </w:tc>
        <w:tc>
          <w:tcPr>
            <w:tcW w:w="830" w:type="pct"/>
          </w:tcPr>
          <w:p w14:paraId="78EB9EB2">
            <w:pPr>
              <w:jc w:val="center"/>
              <w:rPr>
                <w:rFonts w:ascii="宋体" w:hAnsi="宋体"/>
                <w:szCs w:val="21"/>
                <w:highlight w:val="none"/>
              </w:rPr>
            </w:pPr>
          </w:p>
        </w:tc>
        <w:tc>
          <w:tcPr>
            <w:tcW w:w="582" w:type="pct"/>
            <w:vAlign w:val="center"/>
          </w:tcPr>
          <w:p w14:paraId="0234103F">
            <w:pPr>
              <w:jc w:val="center"/>
              <w:rPr>
                <w:rFonts w:ascii="宋体" w:hAnsi="宋体"/>
                <w:szCs w:val="21"/>
                <w:highlight w:val="none"/>
              </w:rPr>
            </w:pPr>
          </w:p>
        </w:tc>
        <w:tc>
          <w:tcPr>
            <w:tcW w:w="699" w:type="pct"/>
          </w:tcPr>
          <w:p w14:paraId="226004D9">
            <w:pPr>
              <w:jc w:val="center"/>
              <w:rPr>
                <w:rFonts w:ascii="宋体" w:hAnsi="宋体"/>
                <w:szCs w:val="21"/>
                <w:highlight w:val="none"/>
              </w:rPr>
            </w:pPr>
          </w:p>
        </w:tc>
      </w:tr>
      <w:tr w14:paraId="3F7E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117A29D8">
            <w:pPr>
              <w:jc w:val="center"/>
              <w:rPr>
                <w:rFonts w:ascii="宋体" w:hAnsi="宋体"/>
                <w:szCs w:val="21"/>
                <w:highlight w:val="none"/>
              </w:rPr>
            </w:pPr>
          </w:p>
        </w:tc>
        <w:tc>
          <w:tcPr>
            <w:tcW w:w="653" w:type="pct"/>
            <w:vAlign w:val="center"/>
          </w:tcPr>
          <w:p w14:paraId="16A40E53">
            <w:pPr>
              <w:jc w:val="center"/>
              <w:rPr>
                <w:rFonts w:ascii="宋体" w:hAnsi="宋体"/>
                <w:szCs w:val="21"/>
                <w:highlight w:val="none"/>
              </w:rPr>
            </w:pPr>
          </w:p>
        </w:tc>
        <w:tc>
          <w:tcPr>
            <w:tcW w:w="739" w:type="pct"/>
            <w:vAlign w:val="center"/>
          </w:tcPr>
          <w:p w14:paraId="2EC64B3D">
            <w:pPr>
              <w:jc w:val="center"/>
              <w:rPr>
                <w:rFonts w:ascii="宋体" w:hAnsi="宋体"/>
                <w:szCs w:val="21"/>
                <w:highlight w:val="none"/>
              </w:rPr>
            </w:pPr>
          </w:p>
        </w:tc>
        <w:tc>
          <w:tcPr>
            <w:tcW w:w="1081" w:type="pct"/>
            <w:vAlign w:val="center"/>
          </w:tcPr>
          <w:p w14:paraId="084128C6">
            <w:pPr>
              <w:jc w:val="center"/>
              <w:rPr>
                <w:rFonts w:ascii="宋体" w:hAnsi="宋体"/>
                <w:szCs w:val="21"/>
                <w:highlight w:val="none"/>
              </w:rPr>
            </w:pPr>
          </w:p>
        </w:tc>
        <w:tc>
          <w:tcPr>
            <w:tcW w:w="830" w:type="pct"/>
          </w:tcPr>
          <w:p w14:paraId="46C5DD97">
            <w:pPr>
              <w:jc w:val="center"/>
              <w:rPr>
                <w:rFonts w:ascii="宋体" w:hAnsi="宋体"/>
                <w:szCs w:val="21"/>
                <w:highlight w:val="none"/>
              </w:rPr>
            </w:pPr>
          </w:p>
        </w:tc>
        <w:tc>
          <w:tcPr>
            <w:tcW w:w="582" w:type="pct"/>
            <w:vAlign w:val="center"/>
          </w:tcPr>
          <w:p w14:paraId="2FD2C365">
            <w:pPr>
              <w:jc w:val="center"/>
              <w:rPr>
                <w:rFonts w:ascii="宋体" w:hAnsi="宋体"/>
                <w:szCs w:val="21"/>
                <w:highlight w:val="none"/>
              </w:rPr>
            </w:pPr>
          </w:p>
        </w:tc>
        <w:tc>
          <w:tcPr>
            <w:tcW w:w="699" w:type="pct"/>
          </w:tcPr>
          <w:p w14:paraId="439ED5DA">
            <w:pPr>
              <w:jc w:val="center"/>
              <w:rPr>
                <w:rFonts w:ascii="宋体" w:hAnsi="宋体"/>
                <w:szCs w:val="21"/>
                <w:highlight w:val="none"/>
              </w:rPr>
            </w:pPr>
          </w:p>
        </w:tc>
      </w:tr>
      <w:tr w14:paraId="6006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04B2DD45">
            <w:pPr>
              <w:jc w:val="center"/>
              <w:rPr>
                <w:rFonts w:ascii="宋体" w:hAnsi="宋体"/>
                <w:szCs w:val="21"/>
                <w:highlight w:val="none"/>
              </w:rPr>
            </w:pPr>
          </w:p>
        </w:tc>
        <w:tc>
          <w:tcPr>
            <w:tcW w:w="653" w:type="pct"/>
            <w:vAlign w:val="center"/>
          </w:tcPr>
          <w:p w14:paraId="5CDF538A">
            <w:pPr>
              <w:jc w:val="center"/>
              <w:rPr>
                <w:rFonts w:ascii="宋体" w:hAnsi="宋体"/>
                <w:szCs w:val="21"/>
                <w:highlight w:val="none"/>
              </w:rPr>
            </w:pPr>
          </w:p>
        </w:tc>
        <w:tc>
          <w:tcPr>
            <w:tcW w:w="739" w:type="pct"/>
            <w:vAlign w:val="center"/>
          </w:tcPr>
          <w:p w14:paraId="7E94CD2A">
            <w:pPr>
              <w:jc w:val="center"/>
              <w:rPr>
                <w:rFonts w:ascii="宋体" w:hAnsi="宋体"/>
                <w:szCs w:val="21"/>
                <w:highlight w:val="none"/>
              </w:rPr>
            </w:pPr>
          </w:p>
        </w:tc>
        <w:tc>
          <w:tcPr>
            <w:tcW w:w="1081" w:type="pct"/>
            <w:vAlign w:val="center"/>
          </w:tcPr>
          <w:p w14:paraId="2D8FC403">
            <w:pPr>
              <w:jc w:val="center"/>
              <w:rPr>
                <w:rFonts w:ascii="宋体" w:hAnsi="宋体"/>
                <w:szCs w:val="21"/>
                <w:highlight w:val="none"/>
              </w:rPr>
            </w:pPr>
          </w:p>
        </w:tc>
        <w:tc>
          <w:tcPr>
            <w:tcW w:w="830" w:type="pct"/>
          </w:tcPr>
          <w:p w14:paraId="7F5F7563">
            <w:pPr>
              <w:jc w:val="center"/>
              <w:rPr>
                <w:rFonts w:ascii="宋体" w:hAnsi="宋体"/>
                <w:szCs w:val="21"/>
                <w:highlight w:val="none"/>
              </w:rPr>
            </w:pPr>
          </w:p>
        </w:tc>
        <w:tc>
          <w:tcPr>
            <w:tcW w:w="582" w:type="pct"/>
            <w:vAlign w:val="center"/>
          </w:tcPr>
          <w:p w14:paraId="0C27500D">
            <w:pPr>
              <w:jc w:val="center"/>
              <w:rPr>
                <w:rFonts w:ascii="宋体" w:hAnsi="宋体"/>
                <w:szCs w:val="21"/>
                <w:highlight w:val="none"/>
              </w:rPr>
            </w:pPr>
          </w:p>
        </w:tc>
        <w:tc>
          <w:tcPr>
            <w:tcW w:w="699" w:type="pct"/>
          </w:tcPr>
          <w:p w14:paraId="5B36CA94">
            <w:pPr>
              <w:jc w:val="center"/>
              <w:rPr>
                <w:rFonts w:ascii="宋体" w:hAnsi="宋体"/>
                <w:szCs w:val="21"/>
                <w:highlight w:val="none"/>
              </w:rPr>
            </w:pPr>
          </w:p>
        </w:tc>
      </w:tr>
      <w:tr w14:paraId="299E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722AC42D">
            <w:pPr>
              <w:jc w:val="center"/>
              <w:rPr>
                <w:rFonts w:ascii="宋体" w:hAnsi="宋体"/>
                <w:szCs w:val="21"/>
                <w:highlight w:val="none"/>
              </w:rPr>
            </w:pPr>
          </w:p>
        </w:tc>
        <w:tc>
          <w:tcPr>
            <w:tcW w:w="653" w:type="pct"/>
            <w:vAlign w:val="center"/>
          </w:tcPr>
          <w:p w14:paraId="6DB4D9BF">
            <w:pPr>
              <w:jc w:val="center"/>
              <w:rPr>
                <w:rFonts w:ascii="宋体" w:hAnsi="宋体"/>
                <w:szCs w:val="21"/>
                <w:highlight w:val="none"/>
              </w:rPr>
            </w:pPr>
          </w:p>
        </w:tc>
        <w:tc>
          <w:tcPr>
            <w:tcW w:w="739" w:type="pct"/>
            <w:vAlign w:val="center"/>
          </w:tcPr>
          <w:p w14:paraId="4E1267B3">
            <w:pPr>
              <w:jc w:val="center"/>
              <w:rPr>
                <w:rFonts w:ascii="宋体" w:hAnsi="宋体"/>
                <w:szCs w:val="21"/>
                <w:highlight w:val="none"/>
              </w:rPr>
            </w:pPr>
          </w:p>
        </w:tc>
        <w:tc>
          <w:tcPr>
            <w:tcW w:w="1081" w:type="pct"/>
            <w:vAlign w:val="center"/>
          </w:tcPr>
          <w:p w14:paraId="33212CD9">
            <w:pPr>
              <w:jc w:val="center"/>
              <w:rPr>
                <w:rFonts w:ascii="宋体" w:hAnsi="宋体"/>
                <w:szCs w:val="21"/>
                <w:highlight w:val="none"/>
              </w:rPr>
            </w:pPr>
          </w:p>
        </w:tc>
        <w:tc>
          <w:tcPr>
            <w:tcW w:w="830" w:type="pct"/>
          </w:tcPr>
          <w:p w14:paraId="1AC24D1D">
            <w:pPr>
              <w:jc w:val="center"/>
              <w:rPr>
                <w:rFonts w:ascii="宋体" w:hAnsi="宋体"/>
                <w:szCs w:val="21"/>
                <w:highlight w:val="none"/>
              </w:rPr>
            </w:pPr>
          </w:p>
        </w:tc>
        <w:tc>
          <w:tcPr>
            <w:tcW w:w="582" w:type="pct"/>
            <w:vAlign w:val="center"/>
          </w:tcPr>
          <w:p w14:paraId="2B150191">
            <w:pPr>
              <w:jc w:val="center"/>
              <w:rPr>
                <w:rFonts w:ascii="宋体" w:hAnsi="宋体"/>
                <w:szCs w:val="21"/>
                <w:highlight w:val="none"/>
              </w:rPr>
            </w:pPr>
          </w:p>
        </w:tc>
        <w:tc>
          <w:tcPr>
            <w:tcW w:w="699" w:type="pct"/>
          </w:tcPr>
          <w:p w14:paraId="5FE9DBB6">
            <w:pPr>
              <w:jc w:val="center"/>
              <w:rPr>
                <w:rFonts w:ascii="宋体" w:hAnsi="宋体"/>
                <w:szCs w:val="21"/>
                <w:highlight w:val="none"/>
              </w:rPr>
            </w:pPr>
          </w:p>
        </w:tc>
      </w:tr>
      <w:tr w14:paraId="0F92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47434355">
            <w:pPr>
              <w:jc w:val="center"/>
              <w:rPr>
                <w:rFonts w:ascii="宋体" w:hAnsi="宋体"/>
                <w:szCs w:val="21"/>
                <w:highlight w:val="none"/>
              </w:rPr>
            </w:pPr>
          </w:p>
        </w:tc>
        <w:tc>
          <w:tcPr>
            <w:tcW w:w="653" w:type="pct"/>
            <w:vAlign w:val="center"/>
          </w:tcPr>
          <w:p w14:paraId="7A7AE82C">
            <w:pPr>
              <w:jc w:val="center"/>
              <w:rPr>
                <w:rFonts w:ascii="宋体" w:hAnsi="宋体"/>
                <w:szCs w:val="21"/>
                <w:highlight w:val="none"/>
              </w:rPr>
            </w:pPr>
          </w:p>
        </w:tc>
        <w:tc>
          <w:tcPr>
            <w:tcW w:w="739" w:type="pct"/>
            <w:vAlign w:val="center"/>
          </w:tcPr>
          <w:p w14:paraId="5829C716">
            <w:pPr>
              <w:jc w:val="center"/>
              <w:rPr>
                <w:rFonts w:ascii="宋体" w:hAnsi="宋体"/>
                <w:szCs w:val="21"/>
                <w:highlight w:val="none"/>
              </w:rPr>
            </w:pPr>
          </w:p>
        </w:tc>
        <w:tc>
          <w:tcPr>
            <w:tcW w:w="1081" w:type="pct"/>
            <w:vAlign w:val="center"/>
          </w:tcPr>
          <w:p w14:paraId="55C76E6F">
            <w:pPr>
              <w:widowControl/>
              <w:tabs>
                <w:tab w:val="right" w:leader="dot" w:pos="8302"/>
              </w:tabs>
              <w:jc w:val="center"/>
              <w:rPr>
                <w:rFonts w:ascii="宋体" w:hAnsi="宋体"/>
                <w:kern w:val="0"/>
                <w:szCs w:val="21"/>
                <w:highlight w:val="none"/>
              </w:rPr>
            </w:pPr>
          </w:p>
        </w:tc>
        <w:tc>
          <w:tcPr>
            <w:tcW w:w="830" w:type="pct"/>
          </w:tcPr>
          <w:p w14:paraId="5EE47130">
            <w:pPr>
              <w:jc w:val="center"/>
              <w:rPr>
                <w:rFonts w:ascii="宋体" w:hAnsi="宋体"/>
                <w:szCs w:val="21"/>
                <w:highlight w:val="none"/>
              </w:rPr>
            </w:pPr>
          </w:p>
        </w:tc>
        <w:tc>
          <w:tcPr>
            <w:tcW w:w="582" w:type="pct"/>
            <w:vAlign w:val="center"/>
          </w:tcPr>
          <w:p w14:paraId="7CD7289C">
            <w:pPr>
              <w:jc w:val="center"/>
              <w:rPr>
                <w:rFonts w:ascii="宋体" w:hAnsi="宋体"/>
                <w:szCs w:val="21"/>
                <w:highlight w:val="none"/>
              </w:rPr>
            </w:pPr>
          </w:p>
        </w:tc>
        <w:tc>
          <w:tcPr>
            <w:tcW w:w="699" w:type="pct"/>
          </w:tcPr>
          <w:p w14:paraId="653DD145">
            <w:pPr>
              <w:jc w:val="center"/>
              <w:rPr>
                <w:rFonts w:ascii="宋体" w:hAnsi="宋体"/>
                <w:szCs w:val="21"/>
                <w:highlight w:val="none"/>
              </w:rPr>
            </w:pPr>
          </w:p>
        </w:tc>
      </w:tr>
      <w:tr w14:paraId="122F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rPr>
        <w:tc>
          <w:tcPr>
            <w:tcW w:w="416" w:type="pct"/>
            <w:vAlign w:val="center"/>
          </w:tcPr>
          <w:p w14:paraId="76D97930">
            <w:pPr>
              <w:jc w:val="center"/>
              <w:rPr>
                <w:rFonts w:ascii="宋体" w:hAnsi="宋体"/>
                <w:szCs w:val="21"/>
                <w:highlight w:val="none"/>
              </w:rPr>
            </w:pPr>
          </w:p>
        </w:tc>
        <w:tc>
          <w:tcPr>
            <w:tcW w:w="653" w:type="pct"/>
            <w:vAlign w:val="center"/>
          </w:tcPr>
          <w:p w14:paraId="100B181B">
            <w:pPr>
              <w:jc w:val="center"/>
              <w:rPr>
                <w:rFonts w:ascii="宋体" w:hAnsi="宋体"/>
                <w:szCs w:val="21"/>
                <w:highlight w:val="none"/>
              </w:rPr>
            </w:pPr>
          </w:p>
        </w:tc>
        <w:tc>
          <w:tcPr>
            <w:tcW w:w="739" w:type="pct"/>
            <w:vAlign w:val="center"/>
          </w:tcPr>
          <w:p w14:paraId="14A88C6B">
            <w:pPr>
              <w:jc w:val="center"/>
              <w:rPr>
                <w:rFonts w:ascii="宋体" w:hAnsi="宋体"/>
                <w:szCs w:val="21"/>
                <w:highlight w:val="none"/>
              </w:rPr>
            </w:pPr>
          </w:p>
        </w:tc>
        <w:tc>
          <w:tcPr>
            <w:tcW w:w="1081" w:type="pct"/>
            <w:vAlign w:val="center"/>
          </w:tcPr>
          <w:p w14:paraId="211F98B9">
            <w:pPr>
              <w:widowControl/>
              <w:tabs>
                <w:tab w:val="right" w:leader="dot" w:pos="8302"/>
              </w:tabs>
              <w:jc w:val="center"/>
              <w:rPr>
                <w:rFonts w:ascii="宋体" w:hAnsi="宋体"/>
                <w:kern w:val="0"/>
                <w:szCs w:val="21"/>
                <w:highlight w:val="none"/>
              </w:rPr>
            </w:pPr>
          </w:p>
        </w:tc>
        <w:tc>
          <w:tcPr>
            <w:tcW w:w="830" w:type="pct"/>
          </w:tcPr>
          <w:p w14:paraId="5432BF5B">
            <w:pPr>
              <w:jc w:val="center"/>
              <w:rPr>
                <w:rFonts w:ascii="宋体" w:hAnsi="宋体"/>
                <w:szCs w:val="21"/>
                <w:highlight w:val="none"/>
              </w:rPr>
            </w:pPr>
          </w:p>
        </w:tc>
        <w:tc>
          <w:tcPr>
            <w:tcW w:w="582" w:type="pct"/>
            <w:vAlign w:val="center"/>
          </w:tcPr>
          <w:p w14:paraId="39E3F135">
            <w:pPr>
              <w:jc w:val="center"/>
              <w:rPr>
                <w:rFonts w:ascii="宋体" w:hAnsi="宋体"/>
                <w:szCs w:val="21"/>
                <w:highlight w:val="none"/>
              </w:rPr>
            </w:pPr>
          </w:p>
        </w:tc>
        <w:tc>
          <w:tcPr>
            <w:tcW w:w="699" w:type="pct"/>
          </w:tcPr>
          <w:p w14:paraId="78A94E59">
            <w:pPr>
              <w:jc w:val="center"/>
              <w:rPr>
                <w:rFonts w:ascii="宋体" w:hAnsi="宋体"/>
                <w:szCs w:val="21"/>
                <w:highlight w:val="none"/>
              </w:rPr>
            </w:pPr>
          </w:p>
        </w:tc>
      </w:tr>
      <w:tr w14:paraId="228C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4AFAA9EE">
            <w:pPr>
              <w:jc w:val="center"/>
              <w:rPr>
                <w:rFonts w:ascii="宋体" w:hAnsi="宋体"/>
                <w:szCs w:val="21"/>
                <w:highlight w:val="none"/>
              </w:rPr>
            </w:pPr>
          </w:p>
        </w:tc>
        <w:tc>
          <w:tcPr>
            <w:tcW w:w="653" w:type="pct"/>
            <w:vAlign w:val="center"/>
          </w:tcPr>
          <w:p w14:paraId="0D55F9B6">
            <w:pPr>
              <w:jc w:val="center"/>
              <w:rPr>
                <w:rFonts w:ascii="宋体" w:hAnsi="宋体"/>
                <w:szCs w:val="21"/>
                <w:highlight w:val="none"/>
              </w:rPr>
            </w:pPr>
          </w:p>
        </w:tc>
        <w:tc>
          <w:tcPr>
            <w:tcW w:w="739" w:type="pct"/>
            <w:vAlign w:val="center"/>
          </w:tcPr>
          <w:p w14:paraId="36598453">
            <w:pPr>
              <w:jc w:val="center"/>
              <w:rPr>
                <w:rFonts w:ascii="宋体" w:hAnsi="宋体"/>
                <w:szCs w:val="21"/>
                <w:highlight w:val="none"/>
              </w:rPr>
            </w:pPr>
          </w:p>
        </w:tc>
        <w:tc>
          <w:tcPr>
            <w:tcW w:w="1081" w:type="pct"/>
            <w:vAlign w:val="center"/>
          </w:tcPr>
          <w:p w14:paraId="23362963">
            <w:pPr>
              <w:jc w:val="center"/>
              <w:rPr>
                <w:rFonts w:ascii="宋体" w:hAnsi="宋体"/>
                <w:szCs w:val="21"/>
                <w:highlight w:val="none"/>
              </w:rPr>
            </w:pPr>
          </w:p>
        </w:tc>
        <w:tc>
          <w:tcPr>
            <w:tcW w:w="830" w:type="pct"/>
          </w:tcPr>
          <w:p w14:paraId="6FDE8E82">
            <w:pPr>
              <w:jc w:val="center"/>
              <w:rPr>
                <w:rFonts w:ascii="宋体" w:hAnsi="宋体"/>
                <w:szCs w:val="21"/>
                <w:highlight w:val="none"/>
              </w:rPr>
            </w:pPr>
          </w:p>
        </w:tc>
        <w:tc>
          <w:tcPr>
            <w:tcW w:w="582" w:type="pct"/>
            <w:vAlign w:val="center"/>
          </w:tcPr>
          <w:p w14:paraId="480DFF5F">
            <w:pPr>
              <w:jc w:val="center"/>
              <w:rPr>
                <w:rFonts w:ascii="宋体" w:hAnsi="宋体"/>
                <w:szCs w:val="21"/>
                <w:highlight w:val="none"/>
              </w:rPr>
            </w:pPr>
          </w:p>
        </w:tc>
        <w:tc>
          <w:tcPr>
            <w:tcW w:w="699" w:type="pct"/>
          </w:tcPr>
          <w:p w14:paraId="5C0AB9F3">
            <w:pPr>
              <w:jc w:val="center"/>
              <w:rPr>
                <w:rFonts w:ascii="宋体" w:hAnsi="宋体"/>
                <w:szCs w:val="21"/>
                <w:highlight w:val="none"/>
              </w:rPr>
            </w:pPr>
          </w:p>
        </w:tc>
      </w:tr>
      <w:tr w14:paraId="20A4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0370D5AB">
            <w:pPr>
              <w:jc w:val="center"/>
              <w:rPr>
                <w:rFonts w:ascii="宋体" w:hAnsi="宋体"/>
                <w:szCs w:val="21"/>
                <w:highlight w:val="none"/>
              </w:rPr>
            </w:pPr>
          </w:p>
        </w:tc>
        <w:tc>
          <w:tcPr>
            <w:tcW w:w="653" w:type="pct"/>
            <w:vAlign w:val="center"/>
          </w:tcPr>
          <w:p w14:paraId="1AC1ABFC">
            <w:pPr>
              <w:jc w:val="center"/>
              <w:rPr>
                <w:rFonts w:ascii="宋体" w:hAnsi="宋体"/>
                <w:szCs w:val="21"/>
                <w:highlight w:val="none"/>
              </w:rPr>
            </w:pPr>
          </w:p>
        </w:tc>
        <w:tc>
          <w:tcPr>
            <w:tcW w:w="739" w:type="pct"/>
            <w:vAlign w:val="center"/>
          </w:tcPr>
          <w:p w14:paraId="12EF9221">
            <w:pPr>
              <w:jc w:val="center"/>
              <w:rPr>
                <w:rFonts w:ascii="宋体" w:hAnsi="宋体"/>
                <w:szCs w:val="21"/>
                <w:highlight w:val="none"/>
              </w:rPr>
            </w:pPr>
          </w:p>
        </w:tc>
        <w:tc>
          <w:tcPr>
            <w:tcW w:w="1081" w:type="pct"/>
            <w:vAlign w:val="center"/>
          </w:tcPr>
          <w:p w14:paraId="0BC5BC94">
            <w:pPr>
              <w:jc w:val="center"/>
              <w:rPr>
                <w:rFonts w:ascii="宋体" w:hAnsi="宋体"/>
                <w:szCs w:val="21"/>
                <w:highlight w:val="none"/>
              </w:rPr>
            </w:pPr>
          </w:p>
        </w:tc>
        <w:tc>
          <w:tcPr>
            <w:tcW w:w="830" w:type="pct"/>
          </w:tcPr>
          <w:p w14:paraId="3BE04345">
            <w:pPr>
              <w:jc w:val="center"/>
              <w:rPr>
                <w:rFonts w:ascii="宋体" w:hAnsi="宋体"/>
                <w:szCs w:val="21"/>
                <w:highlight w:val="none"/>
              </w:rPr>
            </w:pPr>
          </w:p>
        </w:tc>
        <w:tc>
          <w:tcPr>
            <w:tcW w:w="582" w:type="pct"/>
            <w:vAlign w:val="center"/>
          </w:tcPr>
          <w:p w14:paraId="25818F2D">
            <w:pPr>
              <w:jc w:val="center"/>
              <w:rPr>
                <w:rFonts w:ascii="宋体" w:hAnsi="宋体"/>
                <w:szCs w:val="21"/>
                <w:highlight w:val="none"/>
              </w:rPr>
            </w:pPr>
          </w:p>
        </w:tc>
        <w:tc>
          <w:tcPr>
            <w:tcW w:w="699" w:type="pct"/>
          </w:tcPr>
          <w:p w14:paraId="765E7468">
            <w:pPr>
              <w:jc w:val="center"/>
              <w:rPr>
                <w:rFonts w:ascii="宋体" w:hAnsi="宋体"/>
                <w:szCs w:val="21"/>
                <w:highlight w:val="none"/>
              </w:rPr>
            </w:pPr>
          </w:p>
        </w:tc>
      </w:tr>
    </w:tbl>
    <w:p w14:paraId="680486F3">
      <w:pPr>
        <w:spacing w:line="360" w:lineRule="auto"/>
        <w:rPr>
          <w:rFonts w:ascii="黑体" w:hAnsi="黑体" w:eastAsia="黑体"/>
          <w:highlight w:val="none"/>
        </w:rPr>
      </w:pPr>
    </w:p>
    <w:p w14:paraId="10B9F5A4">
      <w:pPr>
        <w:widowControl/>
        <w:spacing w:before="624" w:beforeLines="200" w:line="30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4911547E">
      <w:pPr>
        <w:widowControl/>
        <w:spacing w:line="300" w:lineRule="auto"/>
        <w:jc w:val="left"/>
        <w:rPr>
          <w:rFonts w:ascii="宋体" w:hAnsi="宋体"/>
          <w:kern w:val="0"/>
          <w:szCs w:val="21"/>
          <w:highlight w:val="none"/>
          <w:lang w:eastAsia="zh-Hans"/>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38E33D4A">
      <w:pPr>
        <w:spacing w:line="360" w:lineRule="auto"/>
        <w:rPr>
          <w:rFonts w:ascii="黑体" w:hAnsi="黑体" w:eastAsia="黑体"/>
          <w:highlight w:val="none"/>
        </w:rPr>
      </w:pPr>
    </w:p>
    <w:p w14:paraId="00B31FB8">
      <w:pPr>
        <w:pageBreakBefore/>
        <w:rPr>
          <w:rFonts w:ascii="宋体" w:hAnsi="宋体"/>
          <w:b/>
          <w:bCs/>
          <w:highlight w:val="none"/>
        </w:rPr>
      </w:pPr>
      <w:r>
        <w:rPr>
          <w:rFonts w:hint="eastAsia" w:ascii="宋体" w:hAnsi="宋体"/>
          <w:b/>
          <w:bCs/>
          <w:sz w:val="24"/>
          <w:szCs w:val="28"/>
          <w:highlight w:val="none"/>
        </w:rPr>
        <w:t>格式十</w:t>
      </w:r>
      <w:r>
        <w:rPr>
          <w:rFonts w:hint="eastAsia" w:ascii="宋体" w:hAnsi="宋体"/>
          <w:b/>
          <w:bCs/>
          <w:sz w:val="24"/>
          <w:szCs w:val="28"/>
          <w:highlight w:val="none"/>
          <w:lang w:eastAsia="zh-CN"/>
        </w:rPr>
        <w:t>三</w:t>
      </w:r>
      <w:r>
        <w:rPr>
          <w:rFonts w:hint="eastAsia" w:ascii="宋体" w:hAnsi="宋体"/>
          <w:b/>
          <w:bCs/>
          <w:sz w:val="24"/>
          <w:szCs w:val="28"/>
          <w:highlight w:val="none"/>
        </w:rPr>
        <w:t>：</w:t>
      </w:r>
    </w:p>
    <w:p w14:paraId="72D49588">
      <w:pPr>
        <w:spacing w:after="156" w:afterLines="50" w:line="360" w:lineRule="auto"/>
        <w:jc w:val="center"/>
        <w:rPr>
          <w:rFonts w:ascii="宋体" w:hAnsi="宋体"/>
          <w:b/>
          <w:sz w:val="28"/>
          <w:szCs w:val="28"/>
          <w:highlight w:val="none"/>
        </w:rPr>
      </w:pPr>
      <w:r>
        <w:rPr>
          <w:rFonts w:hint="eastAsia" w:ascii="宋体" w:hAnsi="宋体"/>
          <w:b/>
          <w:sz w:val="32"/>
          <w:szCs w:val="32"/>
          <w:highlight w:val="none"/>
        </w:rPr>
        <w:t>项目负责人简历表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791"/>
        <w:gridCol w:w="1441"/>
        <w:gridCol w:w="345"/>
        <w:gridCol w:w="195"/>
        <w:gridCol w:w="891"/>
        <w:gridCol w:w="576"/>
        <w:gridCol w:w="15"/>
        <w:gridCol w:w="1196"/>
        <w:gridCol w:w="461"/>
        <w:gridCol w:w="685"/>
        <w:gridCol w:w="433"/>
        <w:gridCol w:w="1479"/>
      </w:tblGrid>
      <w:tr w14:paraId="47A5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419" w:type="pct"/>
            <w:vAlign w:val="center"/>
          </w:tcPr>
          <w:p w14:paraId="60796B61">
            <w:pPr>
              <w:jc w:val="center"/>
              <w:rPr>
                <w:rFonts w:ascii="宋体" w:hAnsi="宋体"/>
                <w:szCs w:val="21"/>
                <w:highlight w:val="none"/>
              </w:rPr>
            </w:pPr>
            <w:r>
              <w:rPr>
                <w:rFonts w:hint="eastAsia" w:ascii="宋体" w:hAnsi="宋体"/>
                <w:szCs w:val="21"/>
                <w:highlight w:val="none"/>
              </w:rPr>
              <w:t>姓名</w:t>
            </w:r>
          </w:p>
        </w:tc>
        <w:tc>
          <w:tcPr>
            <w:tcW w:w="1493" w:type="pct"/>
            <w:gridSpan w:val="4"/>
            <w:vAlign w:val="center"/>
          </w:tcPr>
          <w:p w14:paraId="2D19600D">
            <w:pPr>
              <w:jc w:val="center"/>
              <w:rPr>
                <w:rFonts w:ascii="宋体" w:hAnsi="宋体"/>
                <w:szCs w:val="21"/>
                <w:highlight w:val="none"/>
              </w:rPr>
            </w:pPr>
          </w:p>
        </w:tc>
        <w:tc>
          <w:tcPr>
            <w:tcW w:w="480" w:type="pct"/>
            <w:vAlign w:val="center"/>
          </w:tcPr>
          <w:p w14:paraId="41869735">
            <w:pPr>
              <w:jc w:val="center"/>
              <w:rPr>
                <w:rFonts w:ascii="宋体" w:hAnsi="宋体"/>
                <w:szCs w:val="21"/>
                <w:highlight w:val="none"/>
              </w:rPr>
            </w:pPr>
            <w:r>
              <w:rPr>
                <w:rFonts w:hint="eastAsia" w:ascii="宋体" w:hAnsi="宋体"/>
                <w:szCs w:val="21"/>
                <w:highlight w:val="none"/>
              </w:rPr>
              <w:t>性别</w:t>
            </w:r>
          </w:p>
        </w:tc>
        <w:tc>
          <w:tcPr>
            <w:tcW w:w="962" w:type="pct"/>
            <w:gridSpan w:val="3"/>
            <w:vAlign w:val="center"/>
          </w:tcPr>
          <w:p w14:paraId="6363A6D7">
            <w:pPr>
              <w:jc w:val="center"/>
              <w:rPr>
                <w:rFonts w:ascii="宋体" w:hAnsi="宋体"/>
                <w:szCs w:val="21"/>
                <w:highlight w:val="none"/>
              </w:rPr>
            </w:pPr>
          </w:p>
        </w:tc>
        <w:tc>
          <w:tcPr>
            <w:tcW w:w="617" w:type="pct"/>
            <w:gridSpan w:val="2"/>
            <w:vAlign w:val="center"/>
          </w:tcPr>
          <w:p w14:paraId="0104771A">
            <w:pPr>
              <w:jc w:val="center"/>
              <w:rPr>
                <w:rFonts w:ascii="宋体" w:hAnsi="宋体"/>
                <w:szCs w:val="21"/>
                <w:highlight w:val="none"/>
              </w:rPr>
            </w:pPr>
            <w:r>
              <w:rPr>
                <w:rFonts w:hint="eastAsia" w:ascii="宋体" w:hAnsi="宋体"/>
                <w:szCs w:val="21"/>
                <w:highlight w:val="none"/>
              </w:rPr>
              <w:t>年龄</w:t>
            </w:r>
          </w:p>
        </w:tc>
        <w:tc>
          <w:tcPr>
            <w:tcW w:w="1030" w:type="pct"/>
            <w:gridSpan w:val="2"/>
            <w:vAlign w:val="center"/>
          </w:tcPr>
          <w:p w14:paraId="2359D0A0">
            <w:pPr>
              <w:jc w:val="center"/>
              <w:rPr>
                <w:rFonts w:ascii="宋体" w:hAnsi="宋体"/>
                <w:szCs w:val="21"/>
                <w:highlight w:val="none"/>
              </w:rPr>
            </w:pPr>
          </w:p>
        </w:tc>
      </w:tr>
      <w:tr w14:paraId="7691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9" w:type="pct"/>
            <w:vAlign w:val="center"/>
          </w:tcPr>
          <w:p w14:paraId="2DCB057C">
            <w:pPr>
              <w:jc w:val="center"/>
              <w:rPr>
                <w:rFonts w:ascii="宋体" w:hAnsi="宋体"/>
                <w:szCs w:val="21"/>
                <w:highlight w:val="none"/>
              </w:rPr>
            </w:pPr>
            <w:r>
              <w:rPr>
                <w:rFonts w:hint="eastAsia" w:ascii="宋体" w:hAnsi="宋体"/>
                <w:szCs w:val="21"/>
                <w:highlight w:val="none"/>
              </w:rPr>
              <w:t>职务</w:t>
            </w:r>
          </w:p>
        </w:tc>
        <w:tc>
          <w:tcPr>
            <w:tcW w:w="1493" w:type="pct"/>
            <w:gridSpan w:val="4"/>
            <w:vAlign w:val="center"/>
          </w:tcPr>
          <w:p w14:paraId="609E3279">
            <w:pPr>
              <w:jc w:val="center"/>
              <w:rPr>
                <w:rFonts w:ascii="宋体" w:hAnsi="宋体"/>
                <w:szCs w:val="21"/>
                <w:highlight w:val="none"/>
              </w:rPr>
            </w:pPr>
          </w:p>
        </w:tc>
        <w:tc>
          <w:tcPr>
            <w:tcW w:w="480" w:type="pct"/>
            <w:vAlign w:val="center"/>
          </w:tcPr>
          <w:p w14:paraId="3003304A">
            <w:pPr>
              <w:jc w:val="center"/>
              <w:rPr>
                <w:rFonts w:ascii="宋体" w:hAnsi="宋体"/>
                <w:szCs w:val="21"/>
                <w:highlight w:val="none"/>
              </w:rPr>
            </w:pPr>
            <w:r>
              <w:rPr>
                <w:rFonts w:hint="eastAsia" w:ascii="宋体" w:hAnsi="宋体"/>
                <w:szCs w:val="21"/>
                <w:highlight w:val="none"/>
              </w:rPr>
              <w:t>职称</w:t>
            </w:r>
          </w:p>
        </w:tc>
        <w:tc>
          <w:tcPr>
            <w:tcW w:w="962" w:type="pct"/>
            <w:gridSpan w:val="3"/>
            <w:vAlign w:val="center"/>
          </w:tcPr>
          <w:p w14:paraId="056042AE">
            <w:pPr>
              <w:jc w:val="center"/>
              <w:rPr>
                <w:rFonts w:ascii="宋体" w:hAnsi="宋体"/>
                <w:szCs w:val="21"/>
                <w:highlight w:val="none"/>
              </w:rPr>
            </w:pPr>
          </w:p>
        </w:tc>
        <w:tc>
          <w:tcPr>
            <w:tcW w:w="617" w:type="pct"/>
            <w:gridSpan w:val="2"/>
            <w:vAlign w:val="center"/>
          </w:tcPr>
          <w:p w14:paraId="58EABEBD">
            <w:pPr>
              <w:jc w:val="center"/>
              <w:rPr>
                <w:rFonts w:ascii="宋体" w:hAnsi="宋体"/>
                <w:szCs w:val="21"/>
                <w:highlight w:val="none"/>
              </w:rPr>
            </w:pPr>
            <w:r>
              <w:rPr>
                <w:rFonts w:hint="eastAsia" w:ascii="宋体" w:hAnsi="宋体"/>
                <w:szCs w:val="21"/>
                <w:highlight w:val="none"/>
              </w:rPr>
              <w:t>学历</w:t>
            </w:r>
          </w:p>
        </w:tc>
        <w:tc>
          <w:tcPr>
            <w:tcW w:w="1030" w:type="pct"/>
            <w:gridSpan w:val="2"/>
            <w:vAlign w:val="center"/>
          </w:tcPr>
          <w:p w14:paraId="40A434F9">
            <w:pPr>
              <w:jc w:val="center"/>
              <w:rPr>
                <w:rFonts w:ascii="宋体" w:hAnsi="宋体"/>
                <w:szCs w:val="21"/>
                <w:highlight w:val="none"/>
              </w:rPr>
            </w:pPr>
          </w:p>
        </w:tc>
      </w:tr>
      <w:tr w14:paraId="05AF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14:paraId="349C59C4">
            <w:pPr>
              <w:jc w:val="center"/>
              <w:rPr>
                <w:rFonts w:ascii="宋体" w:hAnsi="宋体"/>
                <w:szCs w:val="21"/>
                <w:highlight w:val="none"/>
              </w:rPr>
            </w:pPr>
            <w:r>
              <w:rPr>
                <w:rFonts w:hint="eastAsia" w:ascii="宋体" w:hAnsi="宋体"/>
                <w:szCs w:val="21"/>
                <w:highlight w:val="none"/>
              </w:rPr>
              <w:t>参加工作时间</w:t>
            </w:r>
          </w:p>
        </w:tc>
        <w:tc>
          <w:tcPr>
            <w:tcW w:w="1081" w:type="pct"/>
            <w:gridSpan w:val="4"/>
            <w:vAlign w:val="center"/>
          </w:tcPr>
          <w:p w14:paraId="6D2C8EF0">
            <w:pPr>
              <w:jc w:val="center"/>
              <w:rPr>
                <w:rFonts w:ascii="宋体" w:hAnsi="宋体"/>
                <w:szCs w:val="21"/>
                <w:highlight w:val="none"/>
              </w:rPr>
            </w:pPr>
          </w:p>
        </w:tc>
        <w:tc>
          <w:tcPr>
            <w:tcW w:w="1502" w:type="pct"/>
            <w:gridSpan w:val="5"/>
            <w:vAlign w:val="center"/>
          </w:tcPr>
          <w:p w14:paraId="61748C1D">
            <w:pPr>
              <w:jc w:val="center"/>
              <w:rPr>
                <w:rFonts w:ascii="宋体" w:hAnsi="宋体"/>
                <w:szCs w:val="21"/>
                <w:highlight w:val="none"/>
              </w:rPr>
            </w:pPr>
            <w:r>
              <w:rPr>
                <w:rFonts w:hint="eastAsia" w:ascii="宋体" w:hAnsi="宋体"/>
                <w:szCs w:val="21"/>
                <w:highlight w:val="none"/>
              </w:rPr>
              <w:t>相关经验年限</w:t>
            </w:r>
          </w:p>
        </w:tc>
        <w:tc>
          <w:tcPr>
            <w:tcW w:w="796" w:type="pct"/>
            <w:vAlign w:val="center"/>
          </w:tcPr>
          <w:p w14:paraId="4F302959">
            <w:pPr>
              <w:jc w:val="center"/>
              <w:rPr>
                <w:rFonts w:ascii="宋体" w:hAnsi="宋体"/>
                <w:szCs w:val="21"/>
                <w:highlight w:val="none"/>
              </w:rPr>
            </w:pPr>
          </w:p>
        </w:tc>
      </w:tr>
      <w:tr w14:paraId="6A87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14:paraId="29D19EE4">
            <w:pPr>
              <w:jc w:val="center"/>
              <w:rPr>
                <w:rFonts w:ascii="宋体" w:hAnsi="宋体"/>
                <w:szCs w:val="21"/>
                <w:highlight w:val="none"/>
              </w:rPr>
            </w:pPr>
            <w:r>
              <w:rPr>
                <w:rFonts w:hint="eastAsia" w:ascii="宋体" w:hAnsi="宋体"/>
                <w:szCs w:val="21"/>
                <w:highlight w:val="none"/>
              </w:rPr>
              <w:t>资格证书名称、编号</w:t>
            </w:r>
          </w:p>
        </w:tc>
        <w:tc>
          <w:tcPr>
            <w:tcW w:w="3379" w:type="pct"/>
            <w:gridSpan w:val="10"/>
            <w:vAlign w:val="center"/>
          </w:tcPr>
          <w:p w14:paraId="69C94C78">
            <w:pPr>
              <w:jc w:val="center"/>
              <w:rPr>
                <w:rFonts w:ascii="宋体" w:hAnsi="宋体"/>
                <w:szCs w:val="21"/>
                <w:highlight w:val="none"/>
              </w:rPr>
            </w:pPr>
          </w:p>
        </w:tc>
      </w:tr>
      <w:tr w14:paraId="0040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vAlign w:val="center"/>
          </w:tcPr>
          <w:p w14:paraId="6C75DA32">
            <w:pPr>
              <w:jc w:val="center"/>
              <w:rPr>
                <w:rFonts w:ascii="宋体" w:hAnsi="宋体"/>
                <w:szCs w:val="21"/>
                <w:highlight w:val="none"/>
              </w:rPr>
            </w:pPr>
            <w:r>
              <w:rPr>
                <w:rFonts w:hint="eastAsia" w:ascii="宋体" w:hAnsi="宋体"/>
                <w:szCs w:val="21"/>
                <w:highlight w:val="none"/>
              </w:rPr>
              <w:t>目前在任及以往服务项目情况</w:t>
            </w:r>
          </w:p>
        </w:tc>
      </w:tr>
      <w:tr w14:paraId="6405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vAlign w:val="center"/>
          </w:tcPr>
          <w:p w14:paraId="4B5C27AC">
            <w:pPr>
              <w:jc w:val="center"/>
              <w:rPr>
                <w:rFonts w:ascii="宋体" w:hAnsi="宋体"/>
                <w:szCs w:val="21"/>
                <w:highlight w:val="none"/>
              </w:rPr>
            </w:pPr>
            <w:r>
              <w:rPr>
                <w:rFonts w:hint="eastAsia" w:ascii="宋体" w:hAnsi="宋体"/>
                <w:szCs w:val="21"/>
                <w:highlight w:val="none"/>
              </w:rPr>
              <w:t>采购人</w:t>
            </w:r>
          </w:p>
        </w:tc>
        <w:tc>
          <w:tcPr>
            <w:tcW w:w="962" w:type="pct"/>
            <w:gridSpan w:val="2"/>
            <w:vAlign w:val="center"/>
          </w:tcPr>
          <w:p w14:paraId="296AD5E4">
            <w:pPr>
              <w:jc w:val="center"/>
              <w:rPr>
                <w:rFonts w:ascii="宋体" w:hAnsi="宋体"/>
                <w:szCs w:val="21"/>
                <w:highlight w:val="none"/>
              </w:rPr>
            </w:pPr>
            <w:r>
              <w:rPr>
                <w:rFonts w:hint="eastAsia" w:ascii="宋体" w:hAnsi="宋体"/>
                <w:szCs w:val="21"/>
                <w:highlight w:val="none"/>
              </w:rPr>
              <w:t>项目名称</w:t>
            </w:r>
          </w:p>
        </w:tc>
        <w:tc>
          <w:tcPr>
            <w:tcW w:w="903" w:type="pct"/>
            <w:gridSpan w:val="4"/>
            <w:vAlign w:val="center"/>
          </w:tcPr>
          <w:p w14:paraId="029C5CFB">
            <w:pPr>
              <w:jc w:val="center"/>
              <w:rPr>
                <w:rFonts w:ascii="宋体" w:hAnsi="宋体"/>
                <w:szCs w:val="21"/>
                <w:highlight w:val="none"/>
              </w:rPr>
            </w:pPr>
            <w:r>
              <w:rPr>
                <w:rFonts w:hint="eastAsia" w:ascii="宋体" w:hAnsi="宋体"/>
                <w:szCs w:val="21"/>
                <w:highlight w:val="none"/>
              </w:rPr>
              <w:t>项目规模</w:t>
            </w:r>
          </w:p>
        </w:tc>
        <w:tc>
          <w:tcPr>
            <w:tcW w:w="892" w:type="pct"/>
            <w:gridSpan w:val="2"/>
            <w:vAlign w:val="center"/>
          </w:tcPr>
          <w:p w14:paraId="43A7B1CB">
            <w:pPr>
              <w:jc w:val="center"/>
              <w:rPr>
                <w:rFonts w:ascii="宋体" w:hAnsi="宋体"/>
                <w:szCs w:val="21"/>
                <w:highlight w:val="none"/>
              </w:rPr>
            </w:pPr>
            <w:r>
              <w:rPr>
                <w:rFonts w:hint="eastAsia" w:ascii="宋体" w:hAnsi="宋体"/>
                <w:szCs w:val="21"/>
                <w:highlight w:val="none"/>
              </w:rPr>
              <w:t>所任职务</w:t>
            </w:r>
          </w:p>
        </w:tc>
        <w:tc>
          <w:tcPr>
            <w:tcW w:w="1399" w:type="pct"/>
            <w:gridSpan w:val="3"/>
            <w:vAlign w:val="center"/>
          </w:tcPr>
          <w:p w14:paraId="135CA3D3">
            <w:pPr>
              <w:jc w:val="center"/>
              <w:rPr>
                <w:rFonts w:ascii="宋体" w:hAnsi="宋体"/>
                <w:szCs w:val="21"/>
                <w:highlight w:val="none"/>
              </w:rPr>
            </w:pPr>
            <w:r>
              <w:rPr>
                <w:rFonts w:hint="eastAsia" w:ascii="宋体" w:hAnsi="宋体"/>
                <w:szCs w:val="21"/>
                <w:highlight w:val="none"/>
              </w:rPr>
              <w:t>起止时间</w:t>
            </w:r>
          </w:p>
        </w:tc>
      </w:tr>
      <w:tr w14:paraId="5CBC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445BFDCC">
            <w:pPr>
              <w:jc w:val="center"/>
              <w:rPr>
                <w:rFonts w:ascii="宋体" w:hAnsi="宋体"/>
                <w:szCs w:val="21"/>
                <w:highlight w:val="none"/>
              </w:rPr>
            </w:pPr>
          </w:p>
        </w:tc>
        <w:tc>
          <w:tcPr>
            <w:tcW w:w="962" w:type="pct"/>
            <w:gridSpan w:val="2"/>
            <w:vAlign w:val="center"/>
          </w:tcPr>
          <w:p w14:paraId="1824539A">
            <w:pPr>
              <w:jc w:val="center"/>
              <w:rPr>
                <w:rFonts w:ascii="宋体" w:hAnsi="宋体"/>
                <w:szCs w:val="21"/>
                <w:highlight w:val="none"/>
              </w:rPr>
            </w:pPr>
          </w:p>
        </w:tc>
        <w:tc>
          <w:tcPr>
            <w:tcW w:w="903" w:type="pct"/>
            <w:gridSpan w:val="4"/>
            <w:vAlign w:val="center"/>
          </w:tcPr>
          <w:p w14:paraId="44A80247">
            <w:pPr>
              <w:jc w:val="center"/>
              <w:rPr>
                <w:rFonts w:ascii="宋体" w:hAnsi="宋体"/>
                <w:szCs w:val="21"/>
                <w:highlight w:val="none"/>
              </w:rPr>
            </w:pPr>
          </w:p>
        </w:tc>
        <w:tc>
          <w:tcPr>
            <w:tcW w:w="892" w:type="pct"/>
            <w:gridSpan w:val="2"/>
            <w:vAlign w:val="center"/>
          </w:tcPr>
          <w:p w14:paraId="7C6C34A2">
            <w:pPr>
              <w:jc w:val="center"/>
              <w:rPr>
                <w:rFonts w:ascii="宋体" w:hAnsi="宋体"/>
                <w:szCs w:val="21"/>
                <w:highlight w:val="none"/>
              </w:rPr>
            </w:pPr>
          </w:p>
        </w:tc>
        <w:tc>
          <w:tcPr>
            <w:tcW w:w="1399" w:type="pct"/>
            <w:gridSpan w:val="3"/>
            <w:vAlign w:val="center"/>
          </w:tcPr>
          <w:p w14:paraId="5E2C18B2">
            <w:pPr>
              <w:jc w:val="center"/>
              <w:rPr>
                <w:rFonts w:ascii="宋体" w:hAnsi="宋体"/>
                <w:szCs w:val="21"/>
                <w:highlight w:val="none"/>
              </w:rPr>
            </w:pPr>
          </w:p>
        </w:tc>
      </w:tr>
      <w:tr w14:paraId="1A02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3E601965">
            <w:pPr>
              <w:jc w:val="center"/>
              <w:rPr>
                <w:rFonts w:ascii="宋体" w:hAnsi="宋体"/>
                <w:szCs w:val="21"/>
                <w:highlight w:val="none"/>
              </w:rPr>
            </w:pPr>
          </w:p>
        </w:tc>
        <w:tc>
          <w:tcPr>
            <w:tcW w:w="962" w:type="pct"/>
            <w:gridSpan w:val="2"/>
            <w:vAlign w:val="center"/>
          </w:tcPr>
          <w:p w14:paraId="07BB14FB">
            <w:pPr>
              <w:jc w:val="center"/>
              <w:rPr>
                <w:rFonts w:ascii="宋体" w:hAnsi="宋体"/>
                <w:szCs w:val="21"/>
                <w:highlight w:val="none"/>
              </w:rPr>
            </w:pPr>
          </w:p>
        </w:tc>
        <w:tc>
          <w:tcPr>
            <w:tcW w:w="903" w:type="pct"/>
            <w:gridSpan w:val="4"/>
            <w:vAlign w:val="center"/>
          </w:tcPr>
          <w:p w14:paraId="2F209A21">
            <w:pPr>
              <w:jc w:val="center"/>
              <w:rPr>
                <w:rFonts w:ascii="宋体" w:hAnsi="宋体"/>
                <w:szCs w:val="21"/>
                <w:highlight w:val="none"/>
              </w:rPr>
            </w:pPr>
          </w:p>
        </w:tc>
        <w:tc>
          <w:tcPr>
            <w:tcW w:w="892" w:type="pct"/>
            <w:gridSpan w:val="2"/>
            <w:vAlign w:val="center"/>
          </w:tcPr>
          <w:p w14:paraId="10C5BFA1">
            <w:pPr>
              <w:jc w:val="center"/>
              <w:rPr>
                <w:rFonts w:ascii="宋体" w:hAnsi="宋体"/>
                <w:szCs w:val="21"/>
                <w:highlight w:val="none"/>
              </w:rPr>
            </w:pPr>
          </w:p>
        </w:tc>
        <w:tc>
          <w:tcPr>
            <w:tcW w:w="1399" w:type="pct"/>
            <w:gridSpan w:val="3"/>
            <w:vAlign w:val="center"/>
          </w:tcPr>
          <w:p w14:paraId="0D553C96">
            <w:pPr>
              <w:jc w:val="center"/>
              <w:rPr>
                <w:rFonts w:ascii="宋体" w:hAnsi="宋体"/>
                <w:szCs w:val="21"/>
                <w:highlight w:val="none"/>
              </w:rPr>
            </w:pPr>
          </w:p>
        </w:tc>
      </w:tr>
      <w:tr w14:paraId="45FB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5B3B159B">
            <w:pPr>
              <w:jc w:val="center"/>
              <w:rPr>
                <w:rFonts w:ascii="宋体" w:hAnsi="宋体"/>
                <w:szCs w:val="21"/>
                <w:highlight w:val="none"/>
              </w:rPr>
            </w:pPr>
          </w:p>
        </w:tc>
        <w:tc>
          <w:tcPr>
            <w:tcW w:w="962" w:type="pct"/>
            <w:gridSpan w:val="2"/>
            <w:vAlign w:val="center"/>
          </w:tcPr>
          <w:p w14:paraId="04B8C5A3">
            <w:pPr>
              <w:jc w:val="center"/>
              <w:rPr>
                <w:rFonts w:ascii="宋体" w:hAnsi="宋体"/>
                <w:szCs w:val="21"/>
                <w:highlight w:val="none"/>
              </w:rPr>
            </w:pPr>
          </w:p>
        </w:tc>
        <w:tc>
          <w:tcPr>
            <w:tcW w:w="903" w:type="pct"/>
            <w:gridSpan w:val="4"/>
            <w:vAlign w:val="center"/>
          </w:tcPr>
          <w:p w14:paraId="3F82A806">
            <w:pPr>
              <w:jc w:val="center"/>
              <w:rPr>
                <w:rFonts w:ascii="宋体" w:hAnsi="宋体"/>
                <w:szCs w:val="21"/>
                <w:highlight w:val="none"/>
              </w:rPr>
            </w:pPr>
          </w:p>
        </w:tc>
        <w:tc>
          <w:tcPr>
            <w:tcW w:w="892" w:type="pct"/>
            <w:gridSpan w:val="2"/>
            <w:vAlign w:val="center"/>
          </w:tcPr>
          <w:p w14:paraId="1274D5A9">
            <w:pPr>
              <w:jc w:val="center"/>
              <w:rPr>
                <w:rFonts w:ascii="宋体" w:hAnsi="宋体"/>
                <w:szCs w:val="21"/>
                <w:highlight w:val="none"/>
              </w:rPr>
            </w:pPr>
          </w:p>
        </w:tc>
        <w:tc>
          <w:tcPr>
            <w:tcW w:w="1399" w:type="pct"/>
            <w:gridSpan w:val="3"/>
            <w:vAlign w:val="center"/>
          </w:tcPr>
          <w:p w14:paraId="273561F4">
            <w:pPr>
              <w:jc w:val="center"/>
              <w:rPr>
                <w:rFonts w:ascii="宋体" w:hAnsi="宋体"/>
                <w:szCs w:val="21"/>
                <w:highlight w:val="none"/>
              </w:rPr>
            </w:pPr>
          </w:p>
        </w:tc>
      </w:tr>
      <w:tr w14:paraId="0909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5F19109A">
            <w:pPr>
              <w:jc w:val="center"/>
              <w:rPr>
                <w:rFonts w:ascii="宋体" w:hAnsi="宋体"/>
                <w:szCs w:val="21"/>
                <w:highlight w:val="none"/>
              </w:rPr>
            </w:pPr>
          </w:p>
        </w:tc>
        <w:tc>
          <w:tcPr>
            <w:tcW w:w="962" w:type="pct"/>
            <w:gridSpan w:val="2"/>
            <w:vAlign w:val="center"/>
          </w:tcPr>
          <w:p w14:paraId="5F9EBAEF">
            <w:pPr>
              <w:jc w:val="center"/>
              <w:rPr>
                <w:rFonts w:ascii="宋体" w:hAnsi="宋体"/>
                <w:szCs w:val="21"/>
                <w:highlight w:val="none"/>
              </w:rPr>
            </w:pPr>
          </w:p>
        </w:tc>
        <w:tc>
          <w:tcPr>
            <w:tcW w:w="903" w:type="pct"/>
            <w:gridSpan w:val="4"/>
            <w:vAlign w:val="center"/>
          </w:tcPr>
          <w:p w14:paraId="67765E9B">
            <w:pPr>
              <w:jc w:val="center"/>
              <w:rPr>
                <w:rFonts w:ascii="宋体" w:hAnsi="宋体"/>
                <w:szCs w:val="21"/>
                <w:highlight w:val="none"/>
              </w:rPr>
            </w:pPr>
          </w:p>
        </w:tc>
        <w:tc>
          <w:tcPr>
            <w:tcW w:w="892" w:type="pct"/>
            <w:gridSpan w:val="2"/>
            <w:vAlign w:val="center"/>
          </w:tcPr>
          <w:p w14:paraId="43183CD8">
            <w:pPr>
              <w:jc w:val="center"/>
              <w:rPr>
                <w:rFonts w:ascii="宋体" w:hAnsi="宋体"/>
                <w:szCs w:val="21"/>
                <w:highlight w:val="none"/>
              </w:rPr>
            </w:pPr>
          </w:p>
        </w:tc>
        <w:tc>
          <w:tcPr>
            <w:tcW w:w="1399" w:type="pct"/>
            <w:gridSpan w:val="3"/>
            <w:vAlign w:val="center"/>
          </w:tcPr>
          <w:p w14:paraId="13E310D3">
            <w:pPr>
              <w:jc w:val="center"/>
              <w:rPr>
                <w:rFonts w:ascii="宋体" w:hAnsi="宋体"/>
                <w:szCs w:val="21"/>
                <w:highlight w:val="none"/>
              </w:rPr>
            </w:pPr>
          </w:p>
        </w:tc>
      </w:tr>
      <w:tr w14:paraId="2C2A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3F2155A4">
            <w:pPr>
              <w:jc w:val="center"/>
              <w:rPr>
                <w:rFonts w:ascii="宋体" w:hAnsi="宋体"/>
                <w:szCs w:val="21"/>
                <w:highlight w:val="none"/>
              </w:rPr>
            </w:pPr>
          </w:p>
        </w:tc>
        <w:tc>
          <w:tcPr>
            <w:tcW w:w="962" w:type="pct"/>
            <w:gridSpan w:val="2"/>
            <w:vAlign w:val="center"/>
          </w:tcPr>
          <w:p w14:paraId="7CDF5B00">
            <w:pPr>
              <w:jc w:val="center"/>
              <w:rPr>
                <w:rFonts w:ascii="宋体" w:hAnsi="宋体"/>
                <w:szCs w:val="21"/>
                <w:highlight w:val="none"/>
              </w:rPr>
            </w:pPr>
          </w:p>
        </w:tc>
        <w:tc>
          <w:tcPr>
            <w:tcW w:w="903" w:type="pct"/>
            <w:gridSpan w:val="4"/>
            <w:vAlign w:val="center"/>
          </w:tcPr>
          <w:p w14:paraId="1FB31AD2">
            <w:pPr>
              <w:jc w:val="center"/>
              <w:rPr>
                <w:rFonts w:ascii="宋体" w:hAnsi="宋体"/>
                <w:szCs w:val="21"/>
                <w:highlight w:val="none"/>
              </w:rPr>
            </w:pPr>
          </w:p>
        </w:tc>
        <w:tc>
          <w:tcPr>
            <w:tcW w:w="892" w:type="pct"/>
            <w:gridSpan w:val="2"/>
            <w:vAlign w:val="center"/>
          </w:tcPr>
          <w:p w14:paraId="35189BAB">
            <w:pPr>
              <w:jc w:val="center"/>
              <w:rPr>
                <w:rFonts w:ascii="宋体" w:hAnsi="宋体"/>
                <w:szCs w:val="21"/>
                <w:highlight w:val="none"/>
              </w:rPr>
            </w:pPr>
          </w:p>
        </w:tc>
        <w:tc>
          <w:tcPr>
            <w:tcW w:w="1399" w:type="pct"/>
            <w:gridSpan w:val="3"/>
            <w:vAlign w:val="center"/>
          </w:tcPr>
          <w:p w14:paraId="0C18BD80">
            <w:pPr>
              <w:jc w:val="center"/>
              <w:rPr>
                <w:rFonts w:ascii="宋体" w:hAnsi="宋体"/>
                <w:szCs w:val="21"/>
                <w:highlight w:val="none"/>
              </w:rPr>
            </w:pPr>
          </w:p>
        </w:tc>
      </w:tr>
    </w:tbl>
    <w:p w14:paraId="771CAABF">
      <w:pPr>
        <w:widowControl/>
        <w:spacing w:before="624" w:beforeLines="200" w:line="30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21CF6962">
      <w:pPr>
        <w:widowControl/>
        <w:spacing w:line="300" w:lineRule="auto"/>
        <w:jc w:val="left"/>
        <w:rPr>
          <w:rFonts w:ascii="宋体" w:hAnsi="宋体"/>
          <w:kern w:val="0"/>
          <w:szCs w:val="21"/>
          <w:highlight w:val="none"/>
          <w:lang w:eastAsia="zh-Hans"/>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2D0AA227">
      <w:pPr>
        <w:pageBreakBefore/>
        <w:rPr>
          <w:kern w:val="0"/>
          <w:sz w:val="20"/>
          <w:szCs w:val="20"/>
          <w:highlight w:val="none"/>
        </w:rPr>
      </w:pPr>
      <w:bookmarkStart w:id="55" w:name="_Toc169799799"/>
      <w:r>
        <w:rPr>
          <w:rFonts w:ascii="宋体" w:hAnsi="宋体"/>
          <w:b/>
          <w:bCs/>
          <w:sz w:val="24"/>
          <w:szCs w:val="28"/>
          <w:highlight w:val="none"/>
        </w:rPr>
        <w:t>格式十</w:t>
      </w:r>
      <w:r>
        <w:rPr>
          <w:rFonts w:hint="eastAsia" w:ascii="宋体" w:hAnsi="宋体"/>
          <w:b/>
          <w:bCs/>
          <w:sz w:val="24"/>
          <w:szCs w:val="28"/>
          <w:highlight w:val="none"/>
          <w:lang w:eastAsia="zh-CN"/>
        </w:rPr>
        <w:t>四</w:t>
      </w:r>
      <w:r>
        <w:rPr>
          <w:rFonts w:ascii="宋体" w:hAnsi="宋体"/>
          <w:b/>
          <w:bCs/>
          <w:sz w:val="24"/>
          <w:szCs w:val="28"/>
          <w:highlight w:val="none"/>
        </w:rPr>
        <w:t>：</w:t>
      </w:r>
      <w:bookmarkEnd w:id="55"/>
    </w:p>
    <w:p w14:paraId="0BFB8BF0">
      <w:pPr>
        <w:widowControl/>
        <w:spacing w:after="156" w:afterLines="50"/>
        <w:jc w:val="center"/>
        <w:outlineLvl w:val="3"/>
        <w:rPr>
          <w:kern w:val="0"/>
          <w:sz w:val="20"/>
          <w:szCs w:val="20"/>
          <w:highlight w:val="none"/>
          <w:lang w:eastAsia="zh-Hans"/>
        </w:rPr>
      </w:pPr>
      <w:r>
        <w:rPr>
          <w:b/>
          <w:kern w:val="0"/>
          <w:sz w:val="32"/>
          <w:highlight w:val="none"/>
          <w:lang w:eastAsia="zh-Hans"/>
        </w:rPr>
        <w:t>供应商业绩情况表</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1195"/>
        <w:gridCol w:w="1436"/>
        <w:gridCol w:w="1293"/>
        <w:gridCol w:w="1120"/>
        <w:gridCol w:w="1423"/>
        <w:gridCol w:w="2164"/>
      </w:tblGrid>
      <w:tr w14:paraId="07B49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vAlign w:val="center"/>
          </w:tcPr>
          <w:p w14:paraId="4C341A87">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序号</w:t>
            </w:r>
          </w:p>
        </w:tc>
        <w:tc>
          <w:tcPr>
            <w:tcW w:w="644" w:type="pct"/>
            <w:vAlign w:val="center"/>
          </w:tcPr>
          <w:p w14:paraId="05EA8A8F">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客户名称</w:t>
            </w:r>
          </w:p>
        </w:tc>
        <w:tc>
          <w:tcPr>
            <w:tcW w:w="773" w:type="pct"/>
            <w:vAlign w:val="center"/>
          </w:tcPr>
          <w:p w14:paraId="11D23771">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项目名称</w:t>
            </w:r>
          </w:p>
        </w:tc>
        <w:tc>
          <w:tcPr>
            <w:tcW w:w="696" w:type="pct"/>
            <w:vAlign w:val="center"/>
          </w:tcPr>
          <w:p w14:paraId="48A592F6">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合同金额（万元）</w:t>
            </w:r>
          </w:p>
        </w:tc>
        <w:tc>
          <w:tcPr>
            <w:tcW w:w="603" w:type="pct"/>
          </w:tcPr>
          <w:p w14:paraId="1303C7F4">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签订合同时间</w:t>
            </w:r>
          </w:p>
        </w:tc>
        <w:tc>
          <w:tcPr>
            <w:tcW w:w="766" w:type="pct"/>
            <w:vAlign w:val="center"/>
          </w:tcPr>
          <w:p w14:paraId="131A944A">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竣工验收报告时间</w:t>
            </w:r>
          </w:p>
        </w:tc>
        <w:tc>
          <w:tcPr>
            <w:tcW w:w="1165" w:type="pct"/>
            <w:vAlign w:val="center"/>
          </w:tcPr>
          <w:p w14:paraId="7DB79AA5">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联系人及电话</w:t>
            </w:r>
          </w:p>
        </w:tc>
      </w:tr>
      <w:tr w14:paraId="01C8A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tcPr>
          <w:p w14:paraId="36CD1554">
            <w:pPr>
              <w:widowControl/>
              <w:jc w:val="center"/>
              <w:rPr>
                <w:rFonts w:ascii="宋体" w:hAnsi="宋体"/>
                <w:kern w:val="0"/>
                <w:szCs w:val="21"/>
                <w:highlight w:val="none"/>
                <w:lang w:eastAsia="zh-Hans"/>
              </w:rPr>
            </w:pPr>
            <w:r>
              <w:rPr>
                <w:rFonts w:ascii="宋体" w:hAnsi="宋体"/>
                <w:kern w:val="0"/>
                <w:szCs w:val="21"/>
                <w:highlight w:val="none"/>
                <w:lang w:eastAsia="zh-Hans"/>
              </w:rPr>
              <w:t>1</w:t>
            </w:r>
          </w:p>
        </w:tc>
        <w:tc>
          <w:tcPr>
            <w:tcW w:w="644" w:type="pct"/>
          </w:tcPr>
          <w:p w14:paraId="74B80464">
            <w:pPr>
              <w:rPr>
                <w:rFonts w:ascii="宋体" w:hAnsi="宋体"/>
                <w:szCs w:val="21"/>
                <w:highlight w:val="none"/>
              </w:rPr>
            </w:pPr>
          </w:p>
        </w:tc>
        <w:tc>
          <w:tcPr>
            <w:tcW w:w="773" w:type="pct"/>
          </w:tcPr>
          <w:p w14:paraId="528D581A">
            <w:pPr>
              <w:rPr>
                <w:rFonts w:ascii="宋体" w:hAnsi="宋体"/>
                <w:szCs w:val="21"/>
                <w:highlight w:val="none"/>
              </w:rPr>
            </w:pPr>
          </w:p>
        </w:tc>
        <w:tc>
          <w:tcPr>
            <w:tcW w:w="696" w:type="pct"/>
          </w:tcPr>
          <w:p w14:paraId="1379CD51">
            <w:pPr>
              <w:rPr>
                <w:rFonts w:ascii="宋体" w:hAnsi="宋体"/>
                <w:szCs w:val="21"/>
                <w:highlight w:val="none"/>
              </w:rPr>
            </w:pPr>
          </w:p>
        </w:tc>
        <w:tc>
          <w:tcPr>
            <w:tcW w:w="603" w:type="pct"/>
          </w:tcPr>
          <w:p w14:paraId="42C6572B">
            <w:pPr>
              <w:rPr>
                <w:rFonts w:ascii="宋体" w:hAnsi="宋体"/>
                <w:szCs w:val="21"/>
                <w:highlight w:val="none"/>
              </w:rPr>
            </w:pPr>
          </w:p>
        </w:tc>
        <w:tc>
          <w:tcPr>
            <w:tcW w:w="766" w:type="pct"/>
          </w:tcPr>
          <w:p w14:paraId="4E0AF60B">
            <w:pPr>
              <w:rPr>
                <w:rFonts w:ascii="宋体" w:hAnsi="宋体"/>
                <w:szCs w:val="21"/>
                <w:highlight w:val="none"/>
              </w:rPr>
            </w:pPr>
          </w:p>
        </w:tc>
        <w:tc>
          <w:tcPr>
            <w:tcW w:w="1165" w:type="pct"/>
          </w:tcPr>
          <w:p w14:paraId="158DF3A4">
            <w:pPr>
              <w:rPr>
                <w:rFonts w:ascii="宋体" w:hAnsi="宋体"/>
                <w:szCs w:val="21"/>
                <w:highlight w:val="none"/>
              </w:rPr>
            </w:pPr>
          </w:p>
        </w:tc>
      </w:tr>
      <w:tr w14:paraId="37089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tcPr>
          <w:p w14:paraId="09B31615">
            <w:pPr>
              <w:widowControl/>
              <w:jc w:val="center"/>
              <w:rPr>
                <w:rFonts w:ascii="宋体" w:hAnsi="宋体"/>
                <w:kern w:val="0"/>
                <w:szCs w:val="21"/>
                <w:highlight w:val="none"/>
                <w:lang w:eastAsia="zh-Hans"/>
              </w:rPr>
            </w:pPr>
            <w:r>
              <w:rPr>
                <w:rFonts w:ascii="宋体" w:hAnsi="宋体"/>
                <w:kern w:val="0"/>
                <w:szCs w:val="21"/>
                <w:highlight w:val="none"/>
                <w:lang w:eastAsia="zh-Hans"/>
              </w:rPr>
              <w:t>2</w:t>
            </w:r>
          </w:p>
        </w:tc>
        <w:tc>
          <w:tcPr>
            <w:tcW w:w="644" w:type="pct"/>
          </w:tcPr>
          <w:p w14:paraId="3662EBCA">
            <w:pPr>
              <w:rPr>
                <w:rFonts w:ascii="宋体" w:hAnsi="宋体"/>
                <w:szCs w:val="21"/>
                <w:highlight w:val="none"/>
              </w:rPr>
            </w:pPr>
          </w:p>
        </w:tc>
        <w:tc>
          <w:tcPr>
            <w:tcW w:w="773" w:type="pct"/>
          </w:tcPr>
          <w:p w14:paraId="0BFC6BC9">
            <w:pPr>
              <w:rPr>
                <w:rFonts w:ascii="宋体" w:hAnsi="宋体"/>
                <w:szCs w:val="21"/>
                <w:highlight w:val="none"/>
              </w:rPr>
            </w:pPr>
          </w:p>
        </w:tc>
        <w:tc>
          <w:tcPr>
            <w:tcW w:w="696" w:type="pct"/>
          </w:tcPr>
          <w:p w14:paraId="6DBFA62E">
            <w:pPr>
              <w:rPr>
                <w:rFonts w:ascii="宋体" w:hAnsi="宋体"/>
                <w:szCs w:val="21"/>
                <w:highlight w:val="none"/>
              </w:rPr>
            </w:pPr>
          </w:p>
        </w:tc>
        <w:tc>
          <w:tcPr>
            <w:tcW w:w="603" w:type="pct"/>
          </w:tcPr>
          <w:p w14:paraId="6C571A56">
            <w:pPr>
              <w:rPr>
                <w:rFonts w:ascii="宋体" w:hAnsi="宋体"/>
                <w:szCs w:val="21"/>
                <w:highlight w:val="none"/>
              </w:rPr>
            </w:pPr>
          </w:p>
        </w:tc>
        <w:tc>
          <w:tcPr>
            <w:tcW w:w="766" w:type="pct"/>
          </w:tcPr>
          <w:p w14:paraId="649A372C">
            <w:pPr>
              <w:rPr>
                <w:rFonts w:ascii="宋体" w:hAnsi="宋体"/>
                <w:szCs w:val="21"/>
                <w:highlight w:val="none"/>
              </w:rPr>
            </w:pPr>
          </w:p>
        </w:tc>
        <w:tc>
          <w:tcPr>
            <w:tcW w:w="1165" w:type="pct"/>
          </w:tcPr>
          <w:p w14:paraId="0B437C69">
            <w:pPr>
              <w:rPr>
                <w:rFonts w:ascii="宋体" w:hAnsi="宋体"/>
                <w:szCs w:val="21"/>
                <w:highlight w:val="none"/>
              </w:rPr>
            </w:pPr>
          </w:p>
        </w:tc>
      </w:tr>
      <w:tr w14:paraId="262FB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tcPr>
          <w:p w14:paraId="5EBFCECC">
            <w:pPr>
              <w:widowControl/>
              <w:jc w:val="center"/>
              <w:rPr>
                <w:rFonts w:ascii="宋体" w:hAnsi="宋体"/>
                <w:kern w:val="0"/>
                <w:szCs w:val="21"/>
                <w:highlight w:val="none"/>
                <w:lang w:eastAsia="zh-Hans"/>
              </w:rPr>
            </w:pPr>
            <w:r>
              <w:rPr>
                <w:rFonts w:ascii="宋体" w:hAnsi="宋体"/>
                <w:kern w:val="0"/>
                <w:szCs w:val="21"/>
                <w:highlight w:val="none"/>
                <w:lang w:eastAsia="zh-Hans"/>
              </w:rPr>
              <w:t>3</w:t>
            </w:r>
          </w:p>
        </w:tc>
        <w:tc>
          <w:tcPr>
            <w:tcW w:w="644" w:type="pct"/>
          </w:tcPr>
          <w:p w14:paraId="7F6D5DE5">
            <w:pPr>
              <w:rPr>
                <w:rFonts w:ascii="宋体" w:hAnsi="宋体"/>
                <w:szCs w:val="21"/>
                <w:highlight w:val="none"/>
              </w:rPr>
            </w:pPr>
          </w:p>
        </w:tc>
        <w:tc>
          <w:tcPr>
            <w:tcW w:w="773" w:type="pct"/>
          </w:tcPr>
          <w:p w14:paraId="21B808B6">
            <w:pPr>
              <w:rPr>
                <w:rFonts w:ascii="宋体" w:hAnsi="宋体"/>
                <w:szCs w:val="21"/>
                <w:highlight w:val="none"/>
              </w:rPr>
            </w:pPr>
          </w:p>
        </w:tc>
        <w:tc>
          <w:tcPr>
            <w:tcW w:w="696" w:type="pct"/>
          </w:tcPr>
          <w:p w14:paraId="2C3304F6">
            <w:pPr>
              <w:rPr>
                <w:rFonts w:ascii="宋体" w:hAnsi="宋体"/>
                <w:szCs w:val="21"/>
                <w:highlight w:val="none"/>
              </w:rPr>
            </w:pPr>
          </w:p>
        </w:tc>
        <w:tc>
          <w:tcPr>
            <w:tcW w:w="603" w:type="pct"/>
          </w:tcPr>
          <w:p w14:paraId="3C5218D9">
            <w:pPr>
              <w:rPr>
                <w:rFonts w:ascii="宋体" w:hAnsi="宋体"/>
                <w:szCs w:val="21"/>
                <w:highlight w:val="none"/>
              </w:rPr>
            </w:pPr>
          </w:p>
        </w:tc>
        <w:tc>
          <w:tcPr>
            <w:tcW w:w="766" w:type="pct"/>
          </w:tcPr>
          <w:p w14:paraId="3490219D">
            <w:pPr>
              <w:rPr>
                <w:rFonts w:ascii="宋体" w:hAnsi="宋体"/>
                <w:szCs w:val="21"/>
                <w:highlight w:val="none"/>
              </w:rPr>
            </w:pPr>
          </w:p>
        </w:tc>
        <w:tc>
          <w:tcPr>
            <w:tcW w:w="1165" w:type="pct"/>
          </w:tcPr>
          <w:p w14:paraId="18664347">
            <w:pPr>
              <w:rPr>
                <w:rFonts w:ascii="宋体" w:hAnsi="宋体"/>
                <w:szCs w:val="21"/>
                <w:highlight w:val="none"/>
              </w:rPr>
            </w:pPr>
          </w:p>
        </w:tc>
      </w:tr>
      <w:tr w14:paraId="76AA9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tcPr>
          <w:p w14:paraId="0FFDCA91">
            <w:pPr>
              <w:widowControl/>
              <w:jc w:val="center"/>
              <w:rPr>
                <w:rFonts w:ascii="宋体" w:hAnsi="宋体"/>
                <w:kern w:val="0"/>
                <w:szCs w:val="21"/>
                <w:highlight w:val="none"/>
                <w:lang w:eastAsia="zh-Hans"/>
              </w:rPr>
            </w:pPr>
            <w:r>
              <w:rPr>
                <w:rFonts w:ascii="宋体" w:hAnsi="宋体"/>
                <w:kern w:val="0"/>
                <w:szCs w:val="21"/>
                <w:highlight w:val="none"/>
                <w:lang w:eastAsia="zh-Hans"/>
              </w:rPr>
              <w:t>4</w:t>
            </w:r>
          </w:p>
        </w:tc>
        <w:tc>
          <w:tcPr>
            <w:tcW w:w="644" w:type="pct"/>
          </w:tcPr>
          <w:p w14:paraId="1650D8FF">
            <w:pPr>
              <w:rPr>
                <w:rFonts w:ascii="宋体" w:hAnsi="宋体"/>
                <w:szCs w:val="21"/>
                <w:highlight w:val="none"/>
              </w:rPr>
            </w:pPr>
          </w:p>
        </w:tc>
        <w:tc>
          <w:tcPr>
            <w:tcW w:w="773" w:type="pct"/>
          </w:tcPr>
          <w:p w14:paraId="36A16A95">
            <w:pPr>
              <w:rPr>
                <w:rFonts w:ascii="宋体" w:hAnsi="宋体"/>
                <w:szCs w:val="21"/>
                <w:highlight w:val="none"/>
              </w:rPr>
            </w:pPr>
          </w:p>
        </w:tc>
        <w:tc>
          <w:tcPr>
            <w:tcW w:w="696" w:type="pct"/>
          </w:tcPr>
          <w:p w14:paraId="69829597">
            <w:pPr>
              <w:rPr>
                <w:rFonts w:ascii="宋体" w:hAnsi="宋体"/>
                <w:szCs w:val="21"/>
                <w:highlight w:val="none"/>
              </w:rPr>
            </w:pPr>
          </w:p>
        </w:tc>
        <w:tc>
          <w:tcPr>
            <w:tcW w:w="603" w:type="pct"/>
          </w:tcPr>
          <w:p w14:paraId="51B1BC4A">
            <w:pPr>
              <w:rPr>
                <w:rFonts w:ascii="宋体" w:hAnsi="宋体"/>
                <w:szCs w:val="21"/>
                <w:highlight w:val="none"/>
              </w:rPr>
            </w:pPr>
          </w:p>
        </w:tc>
        <w:tc>
          <w:tcPr>
            <w:tcW w:w="766" w:type="pct"/>
          </w:tcPr>
          <w:p w14:paraId="2A913515">
            <w:pPr>
              <w:rPr>
                <w:rFonts w:ascii="宋体" w:hAnsi="宋体"/>
                <w:szCs w:val="21"/>
                <w:highlight w:val="none"/>
              </w:rPr>
            </w:pPr>
          </w:p>
        </w:tc>
        <w:tc>
          <w:tcPr>
            <w:tcW w:w="1165" w:type="pct"/>
          </w:tcPr>
          <w:p w14:paraId="1FAE2413">
            <w:pPr>
              <w:rPr>
                <w:rFonts w:ascii="宋体" w:hAnsi="宋体"/>
                <w:szCs w:val="21"/>
                <w:highlight w:val="none"/>
              </w:rPr>
            </w:pPr>
          </w:p>
        </w:tc>
      </w:tr>
      <w:tr w14:paraId="60A68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3" w:type="pct"/>
          </w:tcPr>
          <w:p w14:paraId="0A86FE89">
            <w:pPr>
              <w:widowControl/>
              <w:jc w:val="center"/>
              <w:rPr>
                <w:rFonts w:ascii="宋体" w:hAnsi="宋体"/>
                <w:kern w:val="0"/>
                <w:szCs w:val="21"/>
                <w:highlight w:val="none"/>
                <w:lang w:eastAsia="zh-Hans"/>
              </w:rPr>
            </w:pPr>
            <w:r>
              <w:rPr>
                <w:rFonts w:ascii="宋体" w:hAnsi="宋体"/>
                <w:kern w:val="0"/>
                <w:szCs w:val="21"/>
                <w:highlight w:val="none"/>
                <w:lang w:eastAsia="zh-Hans"/>
              </w:rPr>
              <w:t>…</w:t>
            </w:r>
          </w:p>
        </w:tc>
        <w:tc>
          <w:tcPr>
            <w:tcW w:w="644" w:type="pct"/>
          </w:tcPr>
          <w:p w14:paraId="77DF813E">
            <w:pPr>
              <w:rPr>
                <w:rFonts w:ascii="宋体" w:hAnsi="宋体"/>
                <w:szCs w:val="21"/>
                <w:highlight w:val="none"/>
              </w:rPr>
            </w:pPr>
          </w:p>
        </w:tc>
        <w:tc>
          <w:tcPr>
            <w:tcW w:w="773" w:type="pct"/>
          </w:tcPr>
          <w:p w14:paraId="546E1F8F">
            <w:pPr>
              <w:rPr>
                <w:rFonts w:ascii="宋体" w:hAnsi="宋体"/>
                <w:szCs w:val="21"/>
                <w:highlight w:val="none"/>
              </w:rPr>
            </w:pPr>
          </w:p>
        </w:tc>
        <w:tc>
          <w:tcPr>
            <w:tcW w:w="696" w:type="pct"/>
          </w:tcPr>
          <w:p w14:paraId="1FBD8A7E">
            <w:pPr>
              <w:rPr>
                <w:rFonts w:ascii="宋体" w:hAnsi="宋体"/>
                <w:szCs w:val="21"/>
                <w:highlight w:val="none"/>
              </w:rPr>
            </w:pPr>
          </w:p>
        </w:tc>
        <w:tc>
          <w:tcPr>
            <w:tcW w:w="603" w:type="pct"/>
          </w:tcPr>
          <w:p w14:paraId="4576B992">
            <w:pPr>
              <w:rPr>
                <w:rFonts w:ascii="宋体" w:hAnsi="宋体"/>
                <w:szCs w:val="21"/>
                <w:highlight w:val="none"/>
              </w:rPr>
            </w:pPr>
          </w:p>
        </w:tc>
        <w:tc>
          <w:tcPr>
            <w:tcW w:w="766" w:type="pct"/>
          </w:tcPr>
          <w:p w14:paraId="76B9FFE9">
            <w:pPr>
              <w:rPr>
                <w:rFonts w:ascii="宋体" w:hAnsi="宋体"/>
                <w:szCs w:val="21"/>
                <w:highlight w:val="none"/>
              </w:rPr>
            </w:pPr>
          </w:p>
        </w:tc>
        <w:tc>
          <w:tcPr>
            <w:tcW w:w="1165" w:type="pct"/>
          </w:tcPr>
          <w:p w14:paraId="589B80BC">
            <w:pPr>
              <w:rPr>
                <w:rFonts w:ascii="宋体" w:hAnsi="宋体"/>
                <w:szCs w:val="21"/>
                <w:highlight w:val="none"/>
              </w:rPr>
            </w:pPr>
          </w:p>
        </w:tc>
      </w:tr>
    </w:tbl>
    <w:p w14:paraId="6F74BE62">
      <w:pPr>
        <w:widowControl/>
        <w:jc w:val="left"/>
        <w:rPr>
          <w:kern w:val="0"/>
          <w:sz w:val="20"/>
          <w:szCs w:val="20"/>
          <w:highlight w:val="none"/>
          <w:lang w:eastAsia="zh-Hans"/>
        </w:rPr>
      </w:pPr>
      <w:r>
        <w:rPr>
          <w:kern w:val="0"/>
          <w:sz w:val="20"/>
          <w:szCs w:val="20"/>
          <w:highlight w:val="none"/>
          <w:lang w:eastAsia="zh-Hans"/>
        </w:rPr>
        <w:t>根据上述业绩情况，按磋商文件要求附销售或服务合同复印件及评审标准要求的证明材料。</w:t>
      </w:r>
    </w:p>
    <w:p w14:paraId="6CB8B55A">
      <w:pPr>
        <w:widowControl/>
        <w:jc w:val="left"/>
        <w:rPr>
          <w:kern w:val="0"/>
          <w:sz w:val="20"/>
          <w:szCs w:val="20"/>
          <w:highlight w:val="none"/>
          <w:lang w:eastAsia="zh-Hans"/>
        </w:rPr>
      </w:pPr>
    </w:p>
    <w:p w14:paraId="0512325D">
      <w:pPr>
        <w:widowControl/>
        <w:jc w:val="left"/>
        <w:rPr>
          <w:kern w:val="0"/>
          <w:sz w:val="20"/>
          <w:szCs w:val="20"/>
          <w:highlight w:val="none"/>
        </w:rPr>
      </w:pPr>
    </w:p>
    <w:p w14:paraId="2622C638">
      <w:pPr>
        <w:widowControl/>
        <w:spacing w:before="624" w:beforeLines="200" w:line="30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1F1B212C">
      <w:pPr>
        <w:widowControl/>
        <w:jc w:val="left"/>
        <w:rPr>
          <w:kern w:val="0"/>
          <w:sz w:val="20"/>
          <w:szCs w:val="20"/>
          <w:highlight w:val="none"/>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6ED44BC1">
      <w:pPr>
        <w:pageBreakBefore/>
        <w:rPr>
          <w:kern w:val="0"/>
          <w:sz w:val="20"/>
          <w:szCs w:val="20"/>
          <w:highlight w:val="none"/>
          <w:lang w:eastAsia="zh-Hans"/>
        </w:rPr>
      </w:pPr>
      <w:bookmarkStart w:id="56" w:name="_Toc169799800"/>
      <w:r>
        <w:rPr>
          <w:rFonts w:ascii="宋体" w:hAnsi="宋体"/>
          <w:b/>
          <w:bCs/>
          <w:sz w:val="24"/>
          <w:szCs w:val="28"/>
          <w:highlight w:val="none"/>
        </w:rPr>
        <w:t>格式十</w:t>
      </w:r>
      <w:r>
        <w:rPr>
          <w:rFonts w:hint="eastAsia" w:ascii="宋体" w:hAnsi="宋体"/>
          <w:b/>
          <w:bCs/>
          <w:sz w:val="24"/>
          <w:szCs w:val="28"/>
          <w:highlight w:val="none"/>
          <w:lang w:val="en-US" w:eastAsia="zh-CN"/>
        </w:rPr>
        <w:t>五</w:t>
      </w:r>
      <w:r>
        <w:rPr>
          <w:rFonts w:ascii="宋体" w:hAnsi="宋体"/>
          <w:b/>
          <w:bCs/>
          <w:sz w:val="24"/>
          <w:szCs w:val="28"/>
          <w:highlight w:val="none"/>
        </w:rPr>
        <w:t>：</w:t>
      </w:r>
      <w:bookmarkEnd w:id="56"/>
    </w:p>
    <w:p w14:paraId="616B22D9">
      <w:pPr>
        <w:widowControl/>
        <w:spacing w:after="312" w:afterLines="100"/>
        <w:jc w:val="center"/>
        <w:outlineLvl w:val="3"/>
        <w:rPr>
          <w:kern w:val="0"/>
          <w:sz w:val="20"/>
          <w:szCs w:val="20"/>
          <w:highlight w:val="none"/>
        </w:rPr>
      </w:pPr>
      <w:r>
        <w:rPr>
          <w:b/>
          <w:kern w:val="0"/>
          <w:sz w:val="32"/>
          <w:highlight w:val="none"/>
          <w:lang w:eastAsia="zh-Hans"/>
        </w:rPr>
        <w:t>技术和服务要求响应表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782"/>
        <w:gridCol w:w="1564"/>
        <w:gridCol w:w="1250"/>
        <w:gridCol w:w="1250"/>
        <w:gridCol w:w="1406"/>
        <w:gridCol w:w="1252"/>
        <w:gridCol w:w="845"/>
      </w:tblGrid>
      <w:tr w14:paraId="201A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14:paraId="6624C2DC">
            <w:pPr>
              <w:widowControl/>
              <w:jc w:val="center"/>
              <w:rPr>
                <w:b/>
                <w:bCs/>
                <w:kern w:val="0"/>
                <w:szCs w:val="21"/>
                <w:highlight w:val="none"/>
                <w:lang w:eastAsia="zh-Hans"/>
              </w:rPr>
            </w:pPr>
            <w:r>
              <w:rPr>
                <w:b/>
                <w:bCs/>
                <w:kern w:val="0"/>
                <w:szCs w:val="21"/>
                <w:highlight w:val="none"/>
                <w:lang w:eastAsia="zh-Hans"/>
              </w:rPr>
              <w:t>序号</w:t>
            </w:r>
          </w:p>
        </w:tc>
        <w:tc>
          <w:tcPr>
            <w:tcW w:w="421" w:type="pct"/>
            <w:vAlign w:val="center"/>
          </w:tcPr>
          <w:p w14:paraId="2B545E92">
            <w:pPr>
              <w:widowControl/>
              <w:jc w:val="center"/>
              <w:rPr>
                <w:b/>
                <w:bCs/>
                <w:kern w:val="0"/>
                <w:szCs w:val="21"/>
                <w:highlight w:val="none"/>
                <w:lang w:eastAsia="zh-Hans"/>
              </w:rPr>
            </w:pPr>
            <w:r>
              <w:rPr>
                <w:b/>
                <w:bCs/>
                <w:kern w:val="0"/>
                <w:szCs w:val="21"/>
                <w:highlight w:val="none"/>
                <w:lang w:eastAsia="zh-Hans"/>
              </w:rPr>
              <w:t>参数性质</w:t>
            </w:r>
          </w:p>
        </w:tc>
        <w:tc>
          <w:tcPr>
            <w:tcW w:w="842" w:type="pct"/>
            <w:vAlign w:val="center"/>
          </w:tcPr>
          <w:p w14:paraId="5EBCC90D">
            <w:pPr>
              <w:widowControl/>
              <w:jc w:val="center"/>
              <w:rPr>
                <w:b/>
                <w:bCs/>
                <w:kern w:val="0"/>
                <w:szCs w:val="21"/>
                <w:highlight w:val="none"/>
                <w:lang w:eastAsia="zh-Hans"/>
              </w:rPr>
            </w:pPr>
            <w:r>
              <w:rPr>
                <w:rFonts w:hint="eastAsia"/>
                <w:b/>
                <w:bCs/>
                <w:kern w:val="0"/>
                <w:szCs w:val="21"/>
                <w:highlight w:val="none"/>
                <w:lang w:eastAsia="zh-Hans"/>
              </w:rPr>
              <w:t>磋商文件</w:t>
            </w:r>
            <w:r>
              <w:rPr>
                <w:b/>
                <w:bCs/>
                <w:kern w:val="0"/>
                <w:szCs w:val="21"/>
                <w:highlight w:val="none"/>
                <w:lang w:eastAsia="zh-Hans"/>
              </w:rPr>
              <w:t>规定的技术和服务要求</w:t>
            </w:r>
          </w:p>
        </w:tc>
        <w:tc>
          <w:tcPr>
            <w:tcW w:w="673" w:type="pct"/>
            <w:vAlign w:val="center"/>
          </w:tcPr>
          <w:p w14:paraId="0B79D28A">
            <w:pPr>
              <w:widowControl/>
              <w:jc w:val="center"/>
              <w:rPr>
                <w:b/>
                <w:bCs/>
                <w:kern w:val="0"/>
                <w:szCs w:val="21"/>
                <w:highlight w:val="none"/>
                <w:lang w:eastAsia="zh-Hans"/>
              </w:rPr>
            </w:pPr>
            <w:r>
              <w:rPr>
                <w:b/>
                <w:bCs/>
                <w:kern w:val="0"/>
                <w:szCs w:val="21"/>
                <w:highlight w:val="none"/>
                <w:lang w:eastAsia="zh-Hans"/>
              </w:rPr>
              <w:t>响应文件响应的具体内容</w:t>
            </w:r>
          </w:p>
        </w:tc>
        <w:tc>
          <w:tcPr>
            <w:tcW w:w="673" w:type="pct"/>
            <w:vAlign w:val="center"/>
          </w:tcPr>
          <w:p w14:paraId="5B8EB14D">
            <w:pPr>
              <w:widowControl/>
              <w:jc w:val="center"/>
              <w:rPr>
                <w:b/>
                <w:bCs/>
                <w:kern w:val="0"/>
                <w:szCs w:val="21"/>
                <w:highlight w:val="none"/>
                <w:lang w:eastAsia="zh-Hans"/>
              </w:rPr>
            </w:pPr>
            <w:r>
              <w:rPr>
                <w:b/>
                <w:bCs/>
                <w:kern w:val="0"/>
                <w:szCs w:val="21"/>
                <w:highlight w:val="none"/>
                <w:lang w:eastAsia="zh-Hans"/>
              </w:rPr>
              <w:t>型号</w:t>
            </w:r>
          </w:p>
        </w:tc>
        <w:tc>
          <w:tcPr>
            <w:tcW w:w="757" w:type="pct"/>
            <w:vAlign w:val="center"/>
          </w:tcPr>
          <w:p w14:paraId="0C34C785">
            <w:pPr>
              <w:widowControl/>
              <w:jc w:val="center"/>
              <w:rPr>
                <w:b/>
                <w:bCs/>
                <w:kern w:val="0"/>
                <w:szCs w:val="21"/>
                <w:highlight w:val="none"/>
                <w:lang w:eastAsia="zh-Hans"/>
              </w:rPr>
            </w:pPr>
            <w:r>
              <w:rPr>
                <w:b/>
                <w:bCs/>
                <w:kern w:val="0"/>
                <w:szCs w:val="21"/>
                <w:highlight w:val="none"/>
                <w:lang w:eastAsia="zh-Hans"/>
              </w:rPr>
              <w:t>是否偏离</w:t>
            </w:r>
          </w:p>
        </w:tc>
        <w:tc>
          <w:tcPr>
            <w:tcW w:w="674" w:type="pct"/>
            <w:vAlign w:val="center"/>
          </w:tcPr>
          <w:p w14:paraId="5FD6E60C">
            <w:pPr>
              <w:widowControl/>
              <w:jc w:val="center"/>
              <w:rPr>
                <w:b/>
                <w:bCs/>
                <w:kern w:val="0"/>
                <w:szCs w:val="21"/>
                <w:highlight w:val="none"/>
                <w:lang w:eastAsia="zh-Hans"/>
              </w:rPr>
            </w:pPr>
            <w:r>
              <w:rPr>
                <w:b/>
                <w:bCs/>
                <w:kern w:val="0"/>
                <w:szCs w:val="21"/>
                <w:highlight w:val="none"/>
                <w:lang w:eastAsia="zh-Hans"/>
              </w:rPr>
              <w:t>证明文件所在位置</w:t>
            </w:r>
          </w:p>
        </w:tc>
        <w:tc>
          <w:tcPr>
            <w:tcW w:w="455" w:type="pct"/>
            <w:vAlign w:val="center"/>
          </w:tcPr>
          <w:p w14:paraId="5244450E">
            <w:pPr>
              <w:widowControl/>
              <w:jc w:val="center"/>
              <w:rPr>
                <w:b/>
                <w:bCs/>
                <w:kern w:val="0"/>
                <w:szCs w:val="21"/>
                <w:highlight w:val="none"/>
                <w:lang w:eastAsia="zh-Hans"/>
              </w:rPr>
            </w:pPr>
            <w:r>
              <w:rPr>
                <w:b/>
                <w:bCs/>
                <w:kern w:val="0"/>
                <w:szCs w:val="21"/>
                <w:highlight w:val="none"/>
                <w:lang w:eastAsia="zh-Hans"/>
              </w:rPr>
              <w:t>备注</w:t>
            </w:r>
          </w:p>
        </w:tc>
      </w:tr>
      <w:tr w14:paraId="4633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14:paraId="24DB4151">
            <w:pPr>
              <w:widowControl/>
              <w:jc w:val="center"/>
              <w:rPr>
                <w:kern w:val="0"/>
                <w:sz w:val="20"/>
                <w:szCs w:val="20"/>
                <w:highlight w:val="none"/>
                <w:lang w:eastAsia="zh-Hans"/>
              </w:rPr>
            </w:pPr>
            <w:r>
              <w:rPr>
                <w:kern w:val="0"/>
                <w:sz w:val="20"/>
                <w:szCs w:val="20"/>
                <w:highlight w:val="none"/>
                <w:lang w:eastAsia="zh-Hans"/>
              </w:rPr>
              <w:t>1</w:t>
            </w:r>
          </w:p>
        </w:tc>
        <w:tc>
          <w:tcPr>
            <w:tcW w:w="421" w:type="pct"/>
          </w:tcPr>
          <w:p w14:paraId="0A659639">
            <w:pPr>
              <w:jc w:val="center"/>
              <w:rPr>
                <w:szCs w:val="24"/>
                <w:highlight w:val="none"/>
              </w:rPr>
            </w:pPr>
          </w:p>
        </w:tc>
        <w:tc>
          <w:tcPr>
            <w:tcW w:w="842" w:type="pct"/>
          </w:tcPr>
          <w:p w14:paraId="7640BB5B">
            <w:pPr>
              <w:jc w:val="center"/>
              <w:rPr>
                <w:szCs w:val="24"/>
                <w:highlight w:val="none"/>
              </w:rPr>
            </w:pPr>
          </w:p>
        </w:tc>
        <w:tc>
          <w:tcPr>
            <w:tcW w:w="673" w:type="pct"/>
          </w:tcPr>
          <w:p w14:paraId="2C608A2C">
            <w:pPr>
              <w:jc w:val="center"/>
              <w:rPr>
                <w:szCs w:val="24"/>
                <w:highlight w:val="none"/>
              </w:rPr>
            </w:pPr>
          </w:p>
        </w:tc>
        <w:tc>
          <w:tcPr>
            <w:tcW w:w="673" w:type="pct"/>
          </w:tcPr>
          <w:p w14:paraId="0EA1740F">
            <w:pPr>
              <w:jc w:val="center"/>
              <w:rPr>
                <w:szCs w:val="24"/>
                <w:highlight w:val="none"/>
              </w:rPr>
            </w:pPr>
          </w:p>
        </w:tc>
        <w:tc>
          <w:tcPr>
            <w:tcW w:w="757" w:type="pct"/>
          </w:tcPr>
          <w:p w14:paraId="62EE0E28">
            <w:pPr>
              <w:jc w:val="center"/>
              <w:rPr>
                <w:szCs w:val="24"/>
                <w:highlight w:val="none"/>
              </w:rPr>
            </w:pPr>
          </w:p>
        </w:tc>
        <w:tc>
          <w:tcPr>
            <w:tcW w:w="674" w:type="pct"/>
          </w:tcPr>
          <w:p w14:paraId="61A202E6">
            <w:pPr>
              <w:jc w:val="center"/>
              <w:rPr>
                <w:szCs w:val="24"/>
                <w:highlight w:val="none"/>
              </w:rPr>
            </w:pPr>
          </w:p>
        </w:tc>
        <w:tc>
          <w:tcPr>
            <w:tcW w:w="455" w:type="pct"/>
          </w:tcPr>
          <w:p w14:paraId="1F5620C0">
            <w:pPr>
              <w:jc w:val="center"/>
              <w:rPr>
                <w:szCs w:val="24"/>
                <w:highlight w:val="none"/>
              </w:rPr>
            </w:pPr>
          </w:p>
        </w:tc>
      </w:tr>
      <w:tr w14:paraId="7EE0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14:paraId="348BF304">
            <w:pPr>
              <w:widowControl/>
              <w:jc w:val="center"/>
              <w:rPr>
                <w:kern w:val="0"/>
                <w:sz w:val="20"/>
                <w:szCs w:val="20"/>
                <w:highlight w:val="none"/>
                <w:lang w:eastAsia="zh-Hans"/>
              </w:rPr>
            </w:pPr>
            <w:r>
              <w:rPr>
                <w:kern w:val="0"/>
                <w:sz w:val="20"/>
                <w:szCs w:val="20"/>
                <w:highlight w:val="none"/>
                <w:lang w:eastAsia="zh-Hans"/>
              </w:rPr>
              <w:t>2</w:t>
            </w:r>
          </w:p>
        </w:tc>
        <w:tc>
          <w:tcPr>
            <w:tcW w:w="421" w:type="pct"/>
          </w:tcPr>
          <w:p w14:paraId="77F6A65C">
            <w:pPr>
              <w:jc w:val="center"/>
              <w:rPr>
                <w:szCs w:val="24"/>
                <w:highlight w:val="none"/>
              </w:rPr>
            </w:pPr>
          </w:p>
        </w:tc>
        <w:tc>
          <w:tcPr>
            <w:tcW w:w="842" w:type="pct"/>
          </w:tcPr>
          <w:p w14:paraId="4C590351">
            <w:pPr>
              <w:jc w:val="center"/>
              <w:rPr>
                <w:szCs w:val="24"/>
                <w:highlight w:val="none"/>
              </w:rPr>
            </w:pPr>
          </w:p>
        </w:tc>
        <w:tc>
          <w:tcPr>
            <w:tcW w:w="673" w:type="pct"/>
          </w:tcPr>
          <w:p w14:paraId="0DE129D9">
            <w:pPr>
              <w:jc w:val="center"/>
              <w:rPr>
                <w:szCs w:val="24"/>
                <w:highlight w:val="none"/>
              </w:rPr>
            </w:pPr>
          </w:p>
        </w:tc>
        <w:tc>
          <w:tcPr>
            <w:tcW w:w="673" w:type="pct"/>
          </w:tcPr>
          <w:p w14:paraId="120F2122">
            <w:pPr>
              <w:jc w:val="center"/>
              <w:rPr>
                <w:szCs w:val="24"/>
                <w:highlight w:val="none"/>
              </w:rPr>
            </w:pPr>
          </w:p>
        </w:tc>
        <w:tc>
          <w:tcPr>
            <w:tcW w:w="757" w:type="pct"/>
          </w:tcPr>
          <w:p w14:paraId="6976CAC6">
            <w:pPr>
              <w:jc w:val="center"/>
              <w:rPr>
                <w:szCs w:val="24"/>
                <w:highlight w:val="none"/>
              </w:rPr>
            </w:pPr>
          </w:p>
        </w:tc>
        <w:tc>
          <w:tcPr>
            <w:tcW w:w="674" w:type="pct"/>
          </w:tcPr>
          <w:p w14:paraId="0D4DFB54">
            <w:pPr>
              <w:jc w:val="center"/>
              <w:rPr>
                <w:szCs w:val="24"/>
                <w:highlight w:val="none"/>
              </w:rPr>
            </w:pPr>
          </w:p>
        </w:tc>
        <w:tc>
          <w:tcPr>
            <w:tcW w:w="455" w:type="pct"/>
          </w:tcPr>
          <w:p w14:paraId="03AF807D">
            <w:pPr>
              <w:jc w:val="center"/>
              <w:rPr>
                <w:szCs w:val="24"/>
                <w:highlight w:val="none"/>
              </w:rPr>
            </w:pPr>
          </w:p>
        </w:tc>
      </w:tr>
      <w:tr w14:paraId="61A9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14:paraId="15F16F5F">
            <w:pPr>
              <w:widowControl/>
              <w:jc w:val="center"/>
              <w:rPr>
                <w:kern w:val="0"/>
                <w:sz w:val="20"/>
                <w:szCs w:val="20"/>
                <w:highlight w:val="none"/>
                <w:lang w:eastAsia="zh-Hans"/>
              </w:rPr>
            </w:pPr>
            <w:r>
              <w:rPr>
                <w:kern w:val="0"/>
                <w:sz w:val="20"/>
                <w:szCs w:val="20"/>
                <w:highlight w:val="none"/>
                <w:lang w:eastAsia="zh-Hans"/>
              </w:rPr>
              <w:t>3</w:t>
            </w:r>
          </w:p>
        </w:tc>
        <w:tc>
          <w:tcPr>
            <w:tcW w:w="421" w:type="pct"/>
          </w:tcPr>
          <w:p w14:paraId="6A4A5CE9">
            <w:pPr>
              <w:jc w:val="center"/>
              <w:rPr>
                <w:szCs w:val="24"/>
                <w:highlight w:val="none"/>
              </w:rPr>
            </w:pPr>
          </w:p>
        </w:tc>
        <w:tc>
          <w:tcPr>
            <w:tcW w:w="842" w:type="pct"/>
          </w:tcPr>
          <w:p w14:paraId="41DB48D6">
            <w:pPr>
              <w:jc w:val="center"/>
              <w:rPr>
                <w:szCs w:val="24"/>
                <w:highlight w:val="none"/>
              </w:rPr>
            </w:pPr>
          </w:p>
        </w:tc>
        <w:tc>
          <w:tcPr>
            <w:tcW w:w="673" w:type="pct"/>
          </w:tcPr>
          <w:p w14:paraId="14860CB1">
            <w:pPr>
              <w:jc w:val="center"/>
              <w:rPr>
                <w:szCs w:val="24"/>
                <w:highlight w:val="none"/>
              </w:rPr>
            </w:pPr>
          </w:p>
        </w:tc>
        <w:tc>
          <w:tcPr>
            <w:tcW w:w="673" w:type="pct"/>
          </w:tcPr>
          <w:p w14:paraId="75A198B2">
            <w:pPr>
              <w:jc w:val="center"/>
              <w:rPr>
                <w:szCs w:val="24"/>
                <w:highlight w:val="none"/>
              </w:rPr>
            </w:pPr>
          </w:p>
        </w:tc>
        <w:tc>
          <w:tcPr>
            <w:tcW w:w="757" w:type="pct"/>
          </w:tcPr>
          <w:p w14:paraId="536BDFEC">
            <w:pPr>
              <w:jc w:val="center"/>
              <w:rPr>
                <w:szCs w:val="24"/>
                <w:highlight w:val="none"/>
              </w:rPr>
            </w:pPr>
          </w:p>
        </w:tc>
        <w:tc>
          <w:tcPr>
            <w:tcW w:w="674" w:type="pct"/>
          </w:tcPr>
          <w:p w14:paraId="6C7A32EE">
            <w:pPr>
              <w:jc w:val="center"/>
              <w:rPr>
                <w:szCs w:val="24"/>
                <w:highlight w:val="none"/>
              </w:rPr>
            </w:pPr>
          </w:p>
        </w:tc>
        <w:tc>
          <w:tcPr>
            <w:tcW w:w="455" w:type="pct"/>
          </w:tcPr>
          <w:p w14:paraId="2700B844">
            <w:pPr>
              <w:jc w:val="center"/>
              <w:rPr>
                <w:szCs w:val="24"/>
                <w:highlight w:val="none"/>
              </w:rPr>
            </w:pPr>
          </w:p>
        </w:tc>
      </w:tr>
      <w:tr w14:paraId="67C3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14:paraId="4D1443CA">
            <w:pPr>
              <w:widowControl/>
              <w:jc w:val="center"/>
              <w:rPr>
                <w:kern w:val="0"/>
                <w:sz w:val="20"/>
                <w:szCs w:val="20"/>
                <w:highlight w:val="none"/>
                <w:lang w:eastAsia="zh-Hans"/>
              </w:rPr>
            </w:pPr>
            <w:r>
              <w:rPr>
                <w:kern w:val="0"/>
                <w:sz w:val="20"/>
                <w:szCs w:val="20"/>
                <w:highlight w:val="none"/>
                <w:lang w:eastAsia="zh-Hans"/>
              </w:rPr>
              <w:t>4</w:t>
            </w:r>
          </w:p>
        </w:tc>
        <w:tc>
          <w:tcPr>
            <w:tcW w:w="421" w:type="pct"/>
          </w:tcPr>
          <w:p w14:paraId="1D797613">
            <w:pPr>
              <w:jc w:val="center"/>
              <w:rPr>
                <w:szCs w:val="24"/>
                <w:highlight w:val="none"/>
              </w:rPr>
            </w:pPr>
          </w:p>
        </w:tc>
        <w:tc>
          <w:tcPr>
            <w:tcW w:w="842" w:type="pct"/>
          </w:tcPr>
          <w:p w14:paraId="57B37AA3">
            <w:pPr>
              <w:jc w:val="center"/>
              <w:rPr>
                <w:szCs w:val="24"/>
                <w:highlight w:val="none"/>
              </w:rPr>
            </w:pPr>
          </w:p>
        </w:tc>
        <w:tc>
          <w:tcPr>
            <w:tcW w:w="673" w:type="pct"/>
          </w:tcPr>
          <w:p w14:paraId="1B74A0D9">
            <w:pPr>
              <w:jc w:val="center"/>
              <w:rPr>
                <w:szCs w:val="24"/>
                <w:highlight w:val="none"/>
              </w:rPr>
            </w:pPr>
          </w:p>
        </w:tc>
        <w:tc>
          <w:tcPr>
            <w:tcW w:w="673" w:type="pct"/>
          </w:tcPr>
          <w:p w14:paraId="644B724E">
            <w:pPr>
              <w:jc w:val="center"/>
              <w:rPr>
                <w:szCs w:val="24"/>
                <w:highlight w:val="none"/>
              </w:rPr>
            </w:pPr>
          </w:p>
        </w:tc>
        <w:tc>
          <w:tcPr>
            <w:tcW w:w="757" w:type="pct"/>
          </w:tcPr>
          <w:p w14:paraId="3D6D137F">
            <w:pPr>
              <w:jc w:val="center"/>
              <w:rPr>
                <w:szCs w:val="24"/>
                <w:highlight w:val="none"/>
              </w:rPr>
            </w:pPr>
          </w:p>
        </w:tc>
        <w:tc>
          <w:tcPr>
            <w:tcW w:w="674" w:type="pct"/>
          </w:tcPr>
          <w:p w14:paraId="1C91BDF7">
            <w:pPr>
              <w:jc w:val="center"/>
              <w:rPr>
                <w:szCs w:val="24"/>
                <w:highlight w:val="none"/>
              </w:rPr>
            </w:pPr>
          </w:p>
        </w:tc>
        <w:tc>
          <w:tcPr>
            <w:tcW w:w="455" w:type="pct"/>
          </w:tcPr>
          <w:p w14:paraId="1E316381">
            <w:pPr>
              <w:jc w:val="center"/>
              <w:rPr>
                <w:szCs w:val="24"/>
                <w:highlight w:val="none"/>
              </w:rPr>
            </w:pPr>
          </w:p>
        </w:tc>
      </w:tr>
      <w:tr w14:paraId="5C81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14:paraId="43456AAD">
            <w:pPr>
              <w:widowControl/>
              <w:jc w:val="center"/>
              <w:rPr>
                <w:kern w:val="0"/>
                <w:sz w:val="20"/>
                <w:szCs w:val="20"/>
                <w:highlight w:val="none"/>
                <w:lang w:eastAsia="zh-Hans"/>
              </w:rPr>
            </w:pPr>
            <w:r>
              <w:rPr>
                <w:kern w:val="0"/>
                <w:sz w:val="20"/>
                <w:szCs w:val="20"/>
                <w:highlight w:val="none"/>
                <w:lang w:eastAsia="zh-Hans"/>
              </w:rPr>
              <w:t>5</w:t>
            </w:r>
          </w:p>
        </w:tc>
        <w:tc>
          <w:tcPr>
            <w:tcW w:w="421" w:type="pct"/>
          </w:tcPr>
          <w:p w14:paraId="591A4D8E">
            <w:pPr>
              <w:jc w:val="center"/>
              <w:rPr>
                <w:szCs w:val="24"/>
                <w:highlight w:val="none"/>
              </w:rPr>
            </w:pPr>
          </w:p>
        </w:tc>
        <w:tc>
          <w:tcPr>
            <w:tcW w:w="842" w:type="pct"/>
          </w:tcPr>
          <w:p w14:paraId="611E3134">
            <w:pPr>
              <w:jc w:val="center"/>
              <w:rPr>
                <w:szCs w:val="24"/>
                <w:highlight w:val="none"/>
              </w:rPr>
            </w:pPr>
          </w:p>
        </w:tc>
        <w:tc>
          <w:tcPr>
            <w:tcW w:w="673" w:type="pct"/>
          </w:tcPr>
          <w:p w14:paraId="5E5271F4">
            <w:pPr>
              <w:jc w:val="center"/>
              <w:rPr>
                <w:szCs w:val="24"/>
                <w:highlight w:val="none"/>
              </w:rPr>
            </w:pPr>
          </w:p>
        </w:tc>
        <w:tc>
          <w:tcPr>
            <w:tcW w:w="673" w:type="pct"/>
          </w:tcPr>
          <w:p w14:paraId="1BEA8438">
            <w:pPr>
              <w:jc w:val="center"/>
              <w:rPr>
                <w:szCs w:val="24"/>
                <w:highlight w:val="none"/>
              </w:rPr>
            </w:pPr>
          </w:p>
        </w:tc>
        <w:tc>
          <w:tcPr>
            <w:tcW w:w="757" w:type="pct"/>
          </w:tcPr>
          <w:p w14:paraId="0EDF2560">
            <w:pPr>
              <w:jc w:val="center"/>
              <w:rPr>
                <w:szCs w:val="24"/>
                <w:highlight w:val="none"/>
              </w:rPr>
            </w:pPr>
          </w:p>
        </w:tc>
        <w:tc>
          <w:tcPr>
            <w:tcW w:w="674" w:type="pct"/>
          </w:tcPr>
          <w:p w14:paraId="21A97CDD">
            <w:pPr>
              <w:jc w:val="center"/>
              <w:rPr>
                <w:szCs w:val="24"/>
                <w:highlight w:val="none"/>
              </w:rPr>
            </w:pPr>
          </w:p>
        </w:tc>
        <w:tc>
          <w:tcPr>
            <w:tcW w:w="455" w:type="pct"/>
          </w:tcPr>
          <w:p w14:paraId="7E27EB78">
            <w:pPr>
              <w:jc w:val="center"/>
              <w:rPr>
                <w:szCs w:val="24"/>
                <w:highlight w:val="none"/>
              </w:rPr>
            </w:pPr>
          </w:p>
        </w:tc>
      </w:tr>
      <w:tr w14:paraId="12E9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14:paraId="69AD540B">
            <w:pPr>
              <w:widowControl/>
              <w:jc w:val="center"/>
              <w:rPr>
                <w:kern w:val="0"/>
                <w:sz w:val="20"/>
                <w:szCs w:val="20"/>
                <w:highlight w:val="none"/>
                <w:lang w:eastAsia="zh-Hans"/>
              </w:rPr>
            </w:pPr>
            <w:r>
              <w:rPr>
                <w:kern w:val="0"/>
                <w:sz w:val="20"/>
                <w:szCs w:val="20"/>
                <w:highlight w:val="none"/>
                <w:lang w:eastAsia="zh-Hans"/>
              </w:rPr>
              <w:t>6</w:t>
            </w:r>
          </w:p>
        </w:tc>
        <w:tc>
          <w:tcPr>
            <w:tcW w:w="421" w:type="pct"/>
          </w:tcPr>
          <w:p w14:paraId="397E1D63">
            <w:pPr>
              <w:jc w:val="center"/>
              <w:rPr>
                <w:szCs w:val="24"/>
                <w:highlight w:val="none"/>
              </w:rPr>
            </w:pPr>
          </w:p>
        </w:tc>
        <w:tc>
          <w:tcPr>
            <w:tcW w:w="842" w:type="pct"/>
          </w:tcPr>
          <w:p w14:paraId="363A2E51">
            <w:pPr>
              <w:jc w:val="center"/>
              <w:rPr>
                <w:szCs w:val="24"/>
                <w:highlight w:val="none"/>
              </w:rPr>
            </w:pPr>
          </w:p>
        </w:tc>
        <w:tc>
          <w:tcPr>
            <w:tcW w:w="673" w:type="pct"/>
          </w:tcPr>
          <w:p w14:paraId="710F9A9C">
            <w:pPr>
              <w:jc w:val="center"/>
              <w:rPr>
                <w:szCs w:val="24"/>
                <w:highlight w:val="none"/>
              </w:rPr>
            </w:pPr>
          </w:p>
        </w:tc>
        <w:tc>
          <w:tcPr>
            <w:tcW w:w="673" w:type="pct"/>
          </w:tcPr>
          <w:p w14:paraId="7EAB53EB">
            <w:pPr>
              <w:jc w:val="center"/>
              <w:rPr>
                <w:szCs w:val="24"/>
                <w:highlight w:val="none"/>
              </w:rPr>
            </w:pPr>
          </w:p>
        </w:tc>
        <w:tc>
          <w:tcPr>
            <w:tcW w:w="757" w:type="pct"/>
          </w:tcPr>
          <w:p w14:paraId="0DBF6B51">
            <w:pPr>
              <w:jc w:val="center"/>
              <w:rPr>
                <w:szCs w:val="24"/>
                <w:highlight w:val="none"/>
              </w:rPr>
            </w:pPr>
          </w:p>
        </w:tc>
        <w:tc>
          <w:tcPr>
            <w:tcW w:w="674" w:type="pct"/>
          </w:tcPr>
          <w:p w14:paraId="0384A92B">
            <w:pPr>
              <w:jc w:val="center"/>
              <w:rPr>
                <w:szCs w:val="24"/>
                <w:highlight w:val="none"/>
              </w:rPr>
            </w:pPr>
          </w:p>
        </w:tc>
        <w:tc>
          <w:tcPr>
            <w:tcW w:w="455" w:type="pct"/>
          </w:tcPr>
          <w:p w14:paraId="135A8694">
            <w:pPr>
              <w:jc w:val="center"/>
              <w:rPr>
                <w:szCs w:val="24"/>
                <w:highlight w:val="none"/>
              </w:rPr>
            </w:pPr>
          </w:p>
        </w:tc>
      </w:tr>
      <w:tr w14:paraId="6946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14:paraId="2698FEA5">
            <w:pPr>
              <w:widowControl/>
              <w:jc w:val="center"/>
              <w:rPr>
                <w:kern w:val="0"/>
                <w:sz w:val="20"/>
                <w:szCs w:val="20"/>
                <w:highlight w:val="none"/>
                <w:lang w:eastAsia="zh-Hans"/>
              </w:rPr>
            </w:pPr>
            <w:r>
              <w:rPr>
                <w:kern w:val="0"/>
                <w:sz w:val="20"/>
                <w:szCs w:val="20"/>
                <w:highlight w:val="none"/>
                <w:lang w:eastAsia="zh-Hans"/>
              </w:rPr>
              <w:t>……</w:t>
            </w:r>
          </w:p>
        </w:tc>
        <w:tc>
          <w:tcPr>
            <w:tcW w:w="421" w:type="pct"/>
          </w:tcPr>
          <w:p w14:paraId="566DBC8F">
            <w:pPr>
              <w:jc w:val="center"/>
              <w:rPr>
                <w:szCs w:val="24"/>
                <w:highlight w:val="none"/>
              </w:rPr>
            </w:pPr>
          </w:p>
        </w:tc>
        <w:tc>
          <w:tcPr>
            <w:tcW w:w="842" w:type="pct"/>
          </w:tcPr>
          <w:p w14:paraId="4AE791C4">
            <w:pPr>
              <w:jc w:val="center"/>
              <w:rPr>
                <w:szCs w:val="24"/>
                <w:highlight w:val="none"/>
              </w:rPr>
            </w:pPr>
          </w:p>
        </w:tc>
        <w:tc>
          <w:tcPr>
            <w:tcW w:w="673" w:type="pct"/>
          </w:tcPr>
          <w:p w14:paraId="30CFE18C">
            <w:pPr>
              <w:jc w:val="center"/>
              <w:rPr>
                <w:szCs w:val="24"/>
                <w:highlight w:val="none"/>
              </w:rPr>
            </w:pPr>
          </w:p>
        </w:tc>
        <w:tc>
          <w:tcPr>
            <w:tcW w:w="673" w:type="pct"/>
          </w:tcPr>
          <w:p w14:paraId="320C8D6E">
            <w:pPr>
              <w:jc w:val="center"/>
              <w:rPr>
                <w:szCs w:val="24"/>
                <w:highlight w:val="none"/>
              </w:rPr>
            </w:pPr>
          </w:p>
        </w:tc>
        <w:tc>
          <w:tcPr>
            <w:tcW w:w="757" w:type="pct"/>
          </w:tcPr>
          <w:p w14:paraId="269A7913">
            <w:pPr>
              <w:jc w:val="center"/>
              <w:rPr>
                <w:szCs w:val="24"/>
                <w:highlight w:val="none"/>
              </w:rPr>
            </w:pPr>
          </w:p>
        </w:tc>
        <w:tc>
          <w:tcPr>
            <w:tcW w:w="674" w:type="pct"/>
          </w:tcPr>
          <w:p w14:paraId="0F2385A7">
            <w:pPr>
              <w:jc w:val="center"/>
              <w:rPr>
                <w:szCs w:val="24"/>
                <w:highlight w:val="none"/>
              </w:rPr>
            </w:pPr>
          </w:p>
        </w:tc>
        <w:tc>
          <w:tcPr>
            <w:tcW w:w="455" w:type="pct"/>
          </w:tcPr>
          <w:p w14:paraId="60CB1089">
            <w:pPr>
              <w:jc w:val="center"/>
              <w:rPr>
                <w:szCs w:val="24"/>
                <w:highlight w:val="none"/>
              </w:rPr>
            </w:pPr>
          </w:p>
        </w:tc>
      </w:tr>
    </w:tbl>
    <w:p w14:paraId="49E3660D">
      <w:pPr>
        <w:widowControl/>
        <w:jc w:val="left"/>
        <w:rPr>
          <w:kern w:val="0"/>
          <w:sz w:val="20"/>
          <w:szCs w:val="20"/>
          <w:highlight w:val="none"/>
          <w:lang w:eastAsia="zh-Hans"/>
        </w:rPr>
      </w:pPr>
      <w:r>
        <w:rPr>
          <w:kern w:val="0"/>
          <w:sz w:val="20"/>
          <w:szCs w:val="20"/>
          <w:highlight w:val="none"/>
          <w:lang w:eastAsia="zh-Hans"/>
        </w:rPr>
        <w:t>说明：</w:t>
      </w:r>
    </w:p>
    <w:p w14:paraId="33CEE9EC">
      <w:pPr>
        <w:widowControl/>
        <w:jc w:val="left"/>
        <w:rPr>
          <w:rFonts w:ascii="宋体" w:hAnsi="宋体"/>
          <w:kern w:val="0"/>
          <w:szCs w:val="21"/>
          <w:highlight w:val="none"/>
        </w:rPr>
      </w:pPr>
      <w:r>
        <w:rPr>
          <w:rFonts w:ascii="宋体" w:hAnsi="宋体"/>
          <w:kern w:val="0"/>
          <w:szCs w:val="21"/>
          <w:highlight w:val="none"/>
          <w:lang w:eastAsia="zh-Hans"/>
        </w:rPr>
        <w:t>1.“</w:t>
      </w:r>
      <w:r>
        <w:rPr>
          <w:rFonts w:hint="eastAsia" w:ascii="宋体" w:hAnsi="宋体"/>
          <w:kern w:val="0"/>
          <w:szCs w:val="21"/>
          <w:highlight w:val="none"/>
          <w:lang w:eastAsia="zh-Hans"/>
        </w:rPr>
        <w:t>磋商文件</w:t>
      </w:r>
      <w:r>
        <w:rPr>
          <w:rFonts w:ascii="宋体" w:hAnsi="宋体"/>
          <w:kern w:val="0"/>
          <w:szCs w:val="21"/>
          <w:highlight w:val="none"/>
          <w:lang w:eastAsia="zh-Hans"/>
        </w:rPr>
        <w:t>规定的技术和服务要求”项下填写的内容应与磋商文件中</w:t>
      </w:r>
      <w:r>
        <w:rPr>
          <w:rFonts w:ascii="宋体" w:hAnsi="宋体"/>
          <w:b/>
          <w:bCs/>
          <w:kern w:val="0"/>
          <w:szCs w:val="21"/>
          <w:highlight w:val="none"/>
          <w:lang w:eastAsia="zh-Hans"/>
        </w:rPr>
        <w:t>采购需求</w:t>
      </w:r>
      <w:r>
        <w:rPr>
          <w:rFonts w:ascii="宋体" w:hAnsi="宋体"/>
          <w:kern w:val="0"/>
          <w:szCs w:val="21"/>
          <w:highlight w:val="none"/>
          <w:lang w:eastAsia="zh-Hans"/>
        </w:rPr>
        <w:t>的“技术要求”的内容保持一致。供应商应当如实填写上表“响应文件响应的具体内容”处内容，对采购文件提出的要求和条件作出明确响应，并列明具体响应数值或内容，只注明符合、满足等无具体内容表述的，将视为未实质性满足磋商文件要求。供应商需要说明的内容若需特殊表达，应先在本表中进行相应说明，再另页应答。</w:t>
      </w:r>
    </w:p>
    <w:p w14:paraId="23F0DD79">
      <w:pPr>
        <w:widowControl/>
        <w:jc w:val="left"/>
        <w:rPr>
          <w:rFonts w:ascii="宋体" w:hAnsi="宋体"/>
          <w:kern w:val="0"/>
          <w:szCs w:val="21"/>
          <w:highlight w:val="none"/>
          <w:lang w:eastAsia="zh-Hans"/>
        </w:rPr>
      </w:pPr>
      <w:r>
        <w:rPr>
          <w:rFonts w:ascii="宋体" w:hAnsi="宋体"/>
          <w:kern w:val="0"/>
          <w:szCs w:val="21"/>
          <w:highlight w:val="none"/>
          <w:lang w:eastAsia="zh-Hans"/>
        </w:rPr>
        <w:t>2.参数性质栏目按磋商文件有标注的“</w:t>
      </w:r>
      <w:r>
        <w:rPr>
          <w:rFonts w:ascii="宋体" w:hAnsi="宋体" w:cs="Segoe UI Symbol"/>
          <w:kern w:val="0"/>
          <w:szCs w:val="21"/>
          <w:highlight w:val="none"/>
          <w:lang w:eastAsia="zh-Hans"/>
        </w:rPr>
        <w:t>★</w:t>
      </w:r>
      <w:r>
        <w:rPr>
          <w:rFonts w:ascii="宋体" w:hAnsi="宋体" w:cs="Calibri"/>
          <w:kern w:val="0"/>
          <w:szCs w:val="21"/>
          <w:highlight w:val="none"/>
          <w:lang w:eastAsia="zh-Hans"/>
        </w:rPr>
        <w:t>”</w:t>
      </w:r>
      <w:r>
        <w:rPr>
          <w:rFonts w:ascii="宋体" w:hAnsi="宋体"/>
          <w:kern w:val="0"/>
          <w:szCs w:val="21"/>
          <w:highlight w:val="none"/>
          <w:lang w:eastAsia="zh-Hans"/>
        </w:rPr>
        <w:t>、“▲</w:t>
      </w:r>
      <w:r>
        <w:rPr>
          <w:rFonts w:ascii="宋体" w:hAnsi="宋体" w:cs="Calibri"/>
          <w:kern w:val="0"/>
          <w:szCs w:val="21"/>
          <w:highlight w:val="none"/>
          <w:lang w:eastAsia="zh-Hans"/>
        </w:rPr>
        <w:t>”</w:t>
      </w:r>
      <w:r>
        <w:rPr>
          <w:rFonts w:ascii="宋体" w:hAnsi="宋体"/>
          <w:kern w:val="0"/>
          <w:szCs w:val="21"/>
          <w:highlight w:val="none"/>
          <w:lang w:eastAsia="zh-Hans"/>
        </w:rPr>
        <w:t>号条款进行填写，打“</w:t>
      </w:r>
      <w:r>
        <w:rPr>
          <w:rFonts w:ascii="宋体" w:hAnsi="宋体" w:cs="Segoe UI Symbol"/>
          <w:kern w:val="0"/>
          <w:szCs w:val="21"/>
          <w:highlight w:val="none"/>
          <w:lang w:eastAsia="zh-Hans"/>
        </w:rPr>
        <w:t>★</w:t>
      </w:r>
      <w:r>
        <w:rPr>
          <w:rFonts w:ascii="宋体" w:hAnsi="宋体" w:cs="Calibri"/>
          <w:kern w:val="0"/>
          <w:szCs w:val="21"/>
          <w:highlight w:val="none"/>
          <w:lang w:eastAsia="zh-Hans"/>
        </w:rPr>
        <w:t>”</w:t>
      </w:r>
      <w:r>
        <w:rPr>
          <w:rFonts w:ascii="宋体" w:hAnsi="宋体"/>
          <w:kern w:val="0"/>
          <w:szCs w:val="21"/>
          <w:highlight w:val="none"/>
          <w:lang w:eastAsia="zh-Hans"/>
        </w:rPr>
        <w:t>号条款为实质性条款，若有任何一条负偏离或不满足则导致</w:t>
      </w:r>
      <w:r>
        <w:rPr>
          <w:rFonts w:hint="eastAsia" w:ascii="宋体" w:hAnsi="宋体"/>
          <w:kern w:val="0"/>
          <w:szCs w:val="21"/>
          <w:highlight w:val="none"/>
          <w:lang w:eastAsia="zh-Hans"/>
        </w:rPr>
        <w:t>响应</w:t>
      </w:r>
      <w:r>
        <w:rPr>
          <w:rFonts w:ascii="宋体" w:hAnsi="宋体"/>
          <w:kern w:val="0"/>
          <w:szCs w:val="21"/>
          <w:highlight w:val="none"/>
          <w:lang w:eastAsia="zh-Hans"/>
        </w:rPr>
        <w:t>无效。打“▲</w:t>
      </w:r>
      <w:r>
        <w:rPr>
          <w:rFonts w:ascii="宋体" w:hAnsi="宋体" w:cs="Calibri"/>
          <w:kern w:val="0"/>
          <w:szCs w:val="21"/>
          <w:highlight w:val="none"/>
          <w:lang w:eastAsia="zh-Hans"/>
        </w:rPr>
        <w:t>”</w:t>
      </w:r>
      <w:r>
        <w:rPr>
          <w:rFonts w:ascii="宋体" w:hAnsi="宋体"/>
          <w:kern w:val="0"/>
          <w:szCs w:val="21"/>
          <w:highlight w:val="none"/>
          <w:lang w:eastAsia="zh-Hans"/>
        </w:rPr>
        <w:t>号条款为重要技术参数（如有），若有部分“▲</w:t>
      </w:r>
      <w:r>
        <w:rPr>
          <w:rFonts w:ascii="宋体" w:hAnsi="宋体" w:cs="Calibri"/>
          <w:kern w:val="0"/>
          <w:szCs w:val="21"/>
          <w:highlight w:val="none"/>
          <w:lang w:eastAsia="zh-Hans"/>
        </w:rPr>
        <w:t>”</w:t>
      </w:r>
      <w:r>
        <w:rPr>
          <w:rFonts w:ascii="宋体" w:hAnsi="宋体"/>
          <w:kern w:val="0"/>
          <w:szCs w:val="21"/>
          <w:highlight w:val="none"/>
          <w:lang w:eastAsia="zh-Hans"/>
        </w:rPr>
        <w:t>条款未响应或不满足，将根据评审要求影响其得分，但不作为无效</w:t>
      </w:r>
      <w:r>
        <w:rPr>
          <w:rFonts w:hint="eastAsia" w:ascii="宋体" w:hAnsi="宋体"/>
          <w:kern w:val="0"/>
          <w:szCs w:val="21"/>
          <w:highlight w:val="none"/>
          <w:lang w:eastAsia="zh-Hans"/>
        </w:rPr>
        <w:t>响应</w:t>
      </w:r>
      <w:r>
        <w:rPr>
          <w:rFonts w:ascii="宋体" w:hAnsi="宋体"/>
          <w:kern w:val="0"/>
          <w:szCs w:val="21"/>
          <w:highlight w:val="none"/>
          <w:lang w:eastAsia="zh-Hans"/>
        </w:rPr>
        <w:t>条款。</w:t>
      </w:r>
    </w:p>
    <w:p w14:paraId="6A6D4385">
      <w:pPr>
        <w:widowControl/>
        <w:jc w:val="left"/>
        <w:rPr>
          <w:rFonts w:ascii="宋体" w:hAnsi="宋体"/>
          <w:kern w:val="0"/>
          <w:szCs w:val="21"/>
          <w:highlight w:val="none"/>
        </w:rPr>
      </w:pPr>
      <w:r>
        <w:rPr>
          <w:rFonts w:hint="eastAsia" w:ascii="宋体" w:hAnsi="宋体"/>
          <w:kern w:val="0"/>
          <w:szCs w:val="21"/>
          <w:highlight w:val="none"/>
        </w:rPr>
        <w:t>3.</w:t>
      </w:r>
      <w:r>
        <w:rPr>
          <w:rFonts w:ascii="宋体" w:hAnsi="宋体"/>
          <w:kern w:val="0"/>
          <w:szCs w:val="21"/>
          <w:highlight w:val="none"/>
          <w:lang w:eastAsia="zh-Hans"/>
        </w:rPr>
        <w:t>“型号</w:t>
      </w:r>
      <w:r>
        <w:rPr>
          <w:rFonts w:ascii="宋体" w:hAnsi="宋体" w:cs="Calibri"/>
          <w:kern w:val="0"/>
          <w:szCs w:val="21"/>
          <w:highlight w:val="none"/>
          <w:lang w:eastAsia="zh-Hans"/>
        </w:rPr>
        <w:t>”</w:t>
      </w:r>
      <w:r>
        <w:rPr>
          <w:rFonts w:hint="eastAsia" w:ascii="宋体" w:hAnsi="宋体" w:cs="Calibri"/>
          <w:kern w:val="0"/>
          <w:szCs w:val="21"/>
          <w:highlight w:val="none"/>
          <w:lang w:eastAsia="zh-Hans"/>
        </w:rPr>
        <w:t>项，若无，填写：</w:t>
      </w:r>
      <w:r>
        <w:rPr>
          <w:rFonts w:ascii="宋体" w:hAnsi="宋体"/>
          <w:kern w:val="0"/>
          <w:szCs w:val="21"/>
          <w:highlight w:val="none"/>
          <w:lang w:eastAsia="zh-Hans"/>
        </w:rPr>
        <w:t>“</w:t>
      </w:r>
      <w:r>
        <w:rPr>
          <w:rFonts w:hint="eastAsia" w:ascii="宋体" w:hAnsi="宋体"/>
          <w:kern w:val="0"/>
          <w:szCs w:val="21"/>
          <w:highlight w:val="none"/>
        </w:rPr>
        <w:t xml:space="preserve"> </w:t>
      </w:r>
      <w:r>
        <w:rPr>
          <w:rStyle w:val="9"/>
          <w:rFonts w:ascii="宋体" w:hAnsi="宋体" w:cs="Arial"/>
          <w:highlight w:val="none"/>
          <w:shd w:val="clear" w:color="auto" w:fill="FFFFFF"/>
        </w:rPr>
        <w:t>/</w:t>
      </w:r>
      <w:r>
        <w:rPr>
          <w:rStyle w:val="9"/>
          <w:rFonts w:hint="eastAsia" w:ascii="宋体" w:hAnsi="宋体" w:cs="Arial"/>
          <w:highlight w:val="none"/>
          <w:shd w:val="clear" w:color="auto" w:fill="FFFFFF"/>
        </w:rPr>
        <w:t xml:space="preserve"> </w:t>
      </w:r>
      <w:r>
        <w:rPr>
          <w:rFonts w:ascii="宋体" w:hAnsi="宋体" w:cs="Calibri"/>
          <w:kern w:val="0"/>
          <w:szCs w:val="21"/>
          <w:highlight w:val="none"/>
          <w:lang w:eastAsia="zh-Hans"/>
        </w:rPr>
        <w:t>”</w:t>
      </w:r>
      <w:r>
        <w:rPr>
          <w:rStyle w:val="9"/>
          <w:rFonts w:ascii="宋体" w:hAnsi="宋体" w:cs="Arial"/>
          <w:highlight w:val="none"/>
          <w:shd w:val="clear" w:color="auto" w:fill="FFFFFF"/>
        </w:rPr>
        <w:t>。</w:t>
      </w:r>
    </w:p>
    <w:p w14:paraId="7CC439FA">
      <w:pPr>
        <w:widowControl/>
        <w:jc w:val="left"/>
        <w:rPr>
          <w:rFonts w:ascii="宋体" w:hAnsi="宋体"/>
          <w:kern w:val="0"/>
          <w:szCs w:val="21"/>
          <w:highlight w:val="none"/>
          <w:lang w:eastAsia="zh-Hans"/>
        </w:rPr>
      </w:pPr>
      <w:r>
        <w:rPr>
          <w:rFonts w:hint="eastAsia" w:ascii="宋体" w:hAnsi="宋体"/>
          <w:kern w:val="0"/>
          <w:szCs w:val="21"/>
          <w:highlight w:val="none"/>
        </w:rPr>
        <w:t>4</w:t>
      </w:r>
      <w:r>
        <w:rPr>
          <w:rFonts w:ascii="宋体" w:hAnsi="宋体"/>
          <w:kern w:val="0"/>
          <w:szCs w:val="21"/>
          <w:highlight w:val="none"/>
          <w:lang w:eastAsia="zh-Hans"/>
        </w:rPr>
        <w:t>.“是否偏离”项下应按下列规定填写：优于的，填写“正偏离”；符合的，填写“无偏离”；低于的，填写“负偏离”。</w:t>
      </w:r>
    </w:p>
    <w:p w14:paraId="0EF124E8">
      <w:pPr>
        <w:widowControl/>
        <w:jc w:val="left"/>
        <w:rPr>
          <w:kern w:val="0"/>
          <w:sz w:val="20"/>
          <w:szCs w:val="20"/>
          <w:highlight w:val="none"/>
          <w:lang w:eastAsia="zh-Hans"/>
        </w:rPr>
      </w:pPr>
      <w:r>
        <w:rPr>
          <w:rFonts w:hint="eastAsia" w:ascii="宋体" w:hAnsi="宋体"/>
          <w:kern w:val="0"/>
          <w:szCs w:val="21"/>
          <w:highlight w:val="none"/>
        </w:rPr>
        <w:t>5</w:t>
      </w:r>
      <w:r>
        <w:rPr>
          <w:rFonts w:ascii="宋体" w:hAnsi="宋体"/>
          <w:kern w:val="0"/>
          <w:szCs w:val="21"/>
          <w:highlight w:val="none"/>
          <w:lang w:eastAsia="zh-Hans"/>
        </w:rPr>
        <w:t>.</w:t>
      </w:r>
      <w:bookmarkStart w:id="57" w:name="_Hlk169717981"/>
      <w:r>
        <w:rPr>
          <w:rFonts w:ascii="宋体" w:hAnsi="宋体"/>
          <w:kern w:val="0"/>
          <w:szCs w:val="21"/>
          <w:highlight w:val="none"/>
          <w:lang w:eastAsia="zh-Hans"/>
        </w:rPr>
        <w:t>“备注”</w:t>
      </w:r>
      <w:bookmarkEnd w:id="57"/>
      <w:r>
        <w:rPr>
          <w:rFonts w:ascii="宋体" w:hAnsi="宋体"/>
          <w:kern w:val="0"/>
          <w:szCs w:val="21"/>
          <w:highlight w:val="none"/>
          <w:lang w:eastAsia="zh-Hans"/>
        </w:rPr>
        <w:t>处可填写偏离情况的说明。</w:t>
      </w:r>
    </w:p>
    <w:p w14:paraId="5421A023">
      <w:pPr>
        <w:widowControl/>
        <w:spacing w:before="624" w:beforeLines="200" w:line="30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29093FF9">
      <w:pPr>
        <w:widowControl/>
        <w:jc w:val="left"/>
        <w:rPr>
          <w:kern w:val="0"/>
          <w:sz w:val="20"/>
          <w:szCs w:val="20"/>
          <w:highlight w:val="none"/>
          <w:lang w:eastAsia="zh-Hans"/>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62E80474">
      <w:pPr>
        <w:pageBreakBefore/>
        <w:rPr>
          <w:kern w:val="0"/>
          <w:sz w:val="20"/>
          <w:szCs w:val="20"/>
          <w:highlight w:val="none"/>
          <w:lang w:eastAsia="zh-Hans"/>
        </w:rPr>
      </w:pPr>
      <w:bookmarkStart w:id="58" w:name="_Toc169799801"/>
      <w:r>
        <w:rPr>
          <w:rFonts w:ascii="宋体" w:hAnsi="宋体"/>
          <w:b/>
          <w:bCs/>
          <w:sz w:val="24"/>
          <w:szCs w:val="28"/>
          <w:highlight w:val="none"/>
        </w:rPr>
        <w:t>格式十</w:t>
      </w:r>
      <w:r>
        <w:rPr>
          <w:rFonts w:hint="eastAsia" w:ascii="宋体" w:hAnsi="宋体"/>
          <w:b/>
          <w:bCs/>
          <w:sz w:val="24"/>
          <w:szCs w:val="28"/>
          <w:highlight w:val="none"/>
          <w:lang w:val="en-US" w:eastAsia="zh-CN"/>
        </w:rPr>
        <w:t>六</w:t>
      </w:r>
      <w:r>
        <w:rPr>
          <w:rFonts w:ascii="宋体" w:hAnsi="宋体"/>
          <w:b/>
          <w:bCs/>
          <w:sz w:val="24"/>
          <w:szCs w:val="28"/>
          <w:highlight w:val="none"/>
        </w:rPr>
        <w:t>：</w:t>
      </w:r>
      <w:bookmarkEnd w:id="58"/>
    </w:p>
    <w:p w14:paraId="79FFBD8A">
      <w:pPr>
        <w:widowControl/>
        <w:spacing w:after="312" w:afterLines="100"/>
        <w:jc w:val="center"/>
        <w:outlineLvl w:val="3"/>
        <w:rPr>
          <w:kern w:val="0"/>
          <w:sz w:val="20"/>
          <w:szCs w:val="20"/>
          <w:highlight w:val="none"/>
        </w:rPr>
      </w:pPr>
      <w:r>
        <w:rPr>
          <w:b/>
          <w:kern w:val="0"/>
          <w:sz w:val="32"/>
          <w:highlight w:val="none"/>
          <w:lang w:eastAsia="zh-Hans"/>
        </w:rPr>
        <w:t>商务条件响应表</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1255"/>
        <w:gridCol w:w="1579"/>
        <w:gridCol w:w="1664"/>
        <w:gridCol w:w="1322"/>
        <w:gridCol w:w="1322"/>
        <w:gridCol w:w="1319"/>
      </w:tblGrid>
      <w:tr w14:paraId="2C5A7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vAlign w:val="center"/>
          </w:tcPr>
          <w:p w14:paraId="63174A72">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序号</w:t>
            </w:r>
          </w:p>
        </w:tc>
        <w:tc>
          <w:tcPr>
            <w:tcW w:w="676" w:type="pct"/>
            <w:vAlign w:val="center"/>
          </w:tcPr>
          <w:p w14:paraId="0F8FE63C">
            <w:pPr>
              <w:widowControl/>
              <w:jc w:val="center"/>
              <w:rPr>
                <w:rFonts w:ascii="宋体" w:hAnsi="宋体"/>
                <w:b/>
                <w:bCs/>
                <w:kern w:val="0"/>
                <w:szCs w:val="21"/>
                <w:highlight w:val="none"/>
              </w:rPr>
            </w:pPr>
            <w:r>
              <w:rPr>
                <w:rFonts w:ascii="宋体" w:hAnsi="宋体"/>
                <w:b/>
                <w:bCs/>
                <w:kern w:val="0"/>
                <w:szCs w:val="21"/>
                <w:highlight w:val="none"/>
                <w:lang w:eastAsia="zh-Hans"/>
              </w:rPr>
              <w:t>参数性质</w:t>
            </w:r>
          </w:p>
        </w:tc>
        <w:tc>
          <w:tcPr>
            <w:tcW w:w="850" w:type="pct"/>
            <w:vAlign w:val="center"/>
          </w:tcPr>
          <w:p w14:paraId="1E805814">
            <w:pPr>
              <w:widowControl/>
              <w:jc w:val="center"/>
              <w:rPr>
                <w:rFonts w:ascii="宋体" w:hAnsi="宋体"/>
                <w:b/>
                <w:bCs/>
                <w:kern w:val="0"/>
                <w:szCs w:val="21"/>
                <w:highlight w:val="none"/>
                <w:lang w:eastAsia="zh-Hans"/>
              </w:rPr>
            </w:pPr>
            <w:r>
              <w:rPr>
                <w:rFonts w:hint="eastAsia" w:ascii="宋体" w:hAnsi="宋体"/>
                <w:b/>
                <w:bCs/>
                <w:kern w:val="0"/>
                <w:szCs w:val="21"/>
                <w:highlight w:val="none"/>
                <w:lang w:eastAsia="zh-Hans"/>
              </w:rPr>
              <w:t>磋商文件</w:t>
            </w:r>
            <w:r>
              <w:rPr>
                <w:rFonts w:ascii="宋体" w:hAnsi="宋体"/>
                <w:b/>
                <w:bCs/>
                <w:kern w:val="0"/>
                <w:szCs w:val="21"/>
                <w:highlight w:val="none"/>
                <w:lang w:eastAsia="zh-Hans"/>
              </w:rPr>
              <w:t>规定的商务条件</w:t>
            </w:r>
          </w:p>
        </w:tc>
        <w:tc>
          <w:tcPr>
            <w:tcW w:w="896" w:type="pct"/>
            <w:vAlign w:val="center"/>
          </w:tcPr>
          <w:p w14:paraId="3CBFA74C">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响应文件响应的具体内容</w:t>
            </w:r>
          </w:p>
        </w:tc>
        <w:tc>
          <w:tcPr>
            <w:tcW w:w="712" w:type="pct"/>
            <w:vAlign w:val="center"/>
          </w:tcPr>
          <w:p w14:paraId="1F81D2A6">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是否偏离</w:t>
            </w:r>
          </w:p>
        </w:tc>
        <w:tc>
          <w:tcPr>
            <w:tcW w:w="712" w:type="pct"/>
            <w:vAlign w:val="center"/>
          </w:tcPr>
          <w:p w14:paraId="527ADB15">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证明文件所在位置</w:t>
            </w:r>
          </w:p>
        </w:tc>
        <w:tc>
          <w:tcPr>
            <w:tcW w:w="712" w:type="pct"/>
            <w:vAlign w:val="center"/>
          </w:tcPr>
          <w:p w14:paraId="4E3397FC">
            <w:pPr>
              <w:widowControl/>
              <w:jc w:val="center"/>
              <w:rPr>
                <w:rFonts w:ascii="宋体" w:hAnsi="宋体"/>
                <w:b/>
                <w:bCs/>
                <w:kern w:val="0"/>
                <w:szCs w:val="21"/>
                <w:highlight w:val="none"/>
                <w:lang w:eastAsia="zh-Hans"/>
              </w:rPr>
            </w:pPr>
            <w:r>
              <w:rPr>
                <w:rFonts w:ascii="宋体" w:hAnsi="宋体"/>
                <w:b/>
                <w:bCs/>
                <w:kern w:val="0"/>
                <w:szCs w:val="21"/>
                <w:highlight w:val="none"/>
                <w:lang w:eastAsia="zh-Hans"/>
              </w:rPr>
              <w:t>备注</w:t>
            </w:r>
          </w:p>
        </w:tc>
      </w:tr>
      <w:tr w14:paraId="75149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24F48935">
            <w:pPr>
              <w:widowControl/>
              <w:jc w:val="center"/>
              <w:rPr>
                <w:rFonts w:ascii="宋体" w:hAnsi="宋体"/>
                <w:kern w:val="0"/>
                <w:szCs w:val="21"/>
                <w:highlight w:val="none"/>
                <w:lang w:eastAsia="zh-Hans"/>
              </w:rPr>
            </w:pPr>
            <w:r>
              <w:rPr>
                <w:rFonts w:ascii="宋体" w:hAnsi="宋体"/>
                <w:kern w:val="0"/>
                <w:szCs w:val="21"/>
                <w:highlight w:val="none"/>
                <w:lang w:eastAsia="zh-Hans"/>
              </w:rPr>
              <w:t>1</w:t>
            </w:r>
          </w:p>
        </w:tc>
        <w:tc>
          <w:tcPr>
            <w:tcW w:w="676" w:type="pct"/>
          </w:tcPr>
          <w:p w14:paraId="54408DB2">
            <w:pPr>
              <w:rPr>
                <w:rFonts w:ascii="宋体" w:hAnsi="宋体"/>
                <w:szCs w:val="21"/>
                <w:highlight w:val="none"/>
              </w:rPr>
            </w:pPr>
          </w:p>
        </w:tc>
        <w:tc>
          <w:tcPr>
            <w:tcW w:w="850" w:type="pct"/>
          </w:tcPr>
          <w:p w14:paraId="4B88BE87">
            <w:pPr>
              <w:rPr>
                <w:rFonts w:ascii="宋体" w:hAnsi="宋体"/>
                <w:szCs w:val="21"/>
                <w:highlight w:val="none"/>
              </w:rPr>
            </w:pPr>
          </w:p>
        </w:tc>
        <w:tc>
          <w:tcPr>
            <w:tcW w:w="896" w:type="pct"/>
          </w:tcPr>
          <w:p w14:paraId="58022B37">
            <w:pPr>
              <w:rPr>
                <w:rFonts w:ascii="宋体" w:hAnsi="宋体"/>
                <w:szCs w:val="21"/>
                <w:highlight w:val="none"/>
              </w:rPr>
            </w:pPr>
          </w:p>
        </w:tc>
        <w:tc>
          <w:tcPr>
            <w:tcW w:w="712" w:type="pct"/>
          </w:tcPr>
          <w:p w14:paraId="6640C594">
            <w:pPr>
              <w:rPr>
                <w:rFonts w:ascii="宋体" w:hAnsi="宋体"/>
                <w:szCs w:val="21"/>
                <w:highlight w:val="none"/>
              </w:rPr>
            </w:pPr>
          </w:p>
        </w:tc>
        <w:tc>
          <w:tcPr>
            <w:tcW w:w="712" w:type="pct"/>
          </w:tcPr>
          <w:p w14:paraId="5DE8AE7B">
            <w:pPr>
              <w:rPr>
                <w:rFonts w:ascii="宋体" w:hAnsi="宋体"/>
                <w:szCs w:val="21"/>
                <w:highlight w:val="none"/>
              </w:rPr>
            </w:pPr>
          </w:p>
        </w:tc>
        <w:tc>
          <w:tcPr>
            <w:tcW w:w="712" w:type="pct"/>
          </w:tcPr>
          <w:p w14:paraId="427A9E38">
            <w:pPr>
              <w:rPr>
                <w:rFonts w:ascii="宋体" w:hAnsi="宋体"/>
                <w:szCs w:val="21"/>
                <w:highlight w:val="none"/>
              </w:rPr>
            </w:pPr>
          </w:p>
        </w:tc>
      </w:tr>
      <w:tr w14:paraId="497E8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31BDC9D6">
            <w:pPr>
              <w:widowControl/>
              <w:jc w:val="center"/>
              <w:rPr>
                <w:rFonts w:ascii="宋体" w:hAnsi="宋体"/>
                <w:kern w:val="0"/>
                <w:szCs w:val="21"/>
                <w:highlight w:val="none"/>
                <w:lang w:eastAsia="zh-Hans"/>
              </w:rPr>
            </w:pPr>
            <w:r>
              <w:rPr>
                <w:rFonts w:ascii="宋体" w:hAnsi="宋体"/>
                <w:kern w:val="0"/>
                <w:szCs w:val="21"/>
                <w:highlight w:val="none"/>
                <w:lang w:eastAsia="zh-Hans"/>
              </w:rPr>
              <w:t>2</w:t>
            </w:r>
          </w:p>
        </w:tc>
        <w:tc>
          <w:tcPr>
            <w:tcW w:w="676" w:type="pct"/>
          </w:tcPr>
          <w:p w14:paraId="58F4E9FC">
            <w:pPr>
              <w:rPr>
                <w:rFonts w:ascii="宋体" w:hAnsi="宋体"/>
                <w:szCs w:val="21"/>
                <w:highlight w:val="none"/>
              </w:rPr>
            </w:pPr>
          </w:p>
        </w:tc>
        <w:tc>
          <w:tcPr>
            <w:tcW w:w="850" w:type="pct"/>
          </w:tcPr>
          <w:p w14:paraId="46C1612E">
            <w:pPr>
              <w:rPr>
                <w:rFonts w:ascii="宋体" w:hAnsi="宋体"/>
                <w:szCs w:val="21"/>
                <w:highlight w:val="none"/>
              </w:rPr>
            </w:pPr>
          </w:p>
        </w:tc>
        <w:tc>
          <w:tcPr>
            <w:tcW w:w="896" w:type="pct"/>
          </w:tcPr>
          <w:p w14:paraId="03BA0C7D">
            <w:pPr>
              <w:rPr>
                <w:rFonts w:ascii="宋体" w:hAnsi="宋体"/>
                <w:szCs w:val="21"/>
                <w:highlight w:val="none"/>
              </w:rPr>
            </w:pPr>
          </w:p>
        </w:tc>
        <w:tc>
          <w:tcPr>
            <w:tcW w:w="712" w:type="pct"/>
          </w:tcPr>
          <w:p w14:paraId="137DC4AB">
            <w:pPr>
              <w:rPr>
                <w:rFonts w:ascii="宋体" w:hAnsi="宋体"/>
                <w:szCs w:val="21"/>
                <w:highlight w:val="none"/>
              </w:rPr>
            </w:pPr>
          </w:p>
        </w:tc>
        <w:tc>
          <w:tcPr>
            <w:tcW w:w="712" w:type="pct"/>
          </w:tcPr>
          <w:p w14:paraId="5AEEA2DF">
            <w:pPr>
              <w:rPr>
                <w:rFonts w:ascii="宋体" w:hAnsi="宋体"/>
                <w:szCs w:val="21"/>
                <w:highlight w:val="none"/>
              </w:rPr>
            </w:pPr>
          </w:p>
        </w:tc>
        <w:tc>
          <w:tcPr>
            <w:tcW w:w="712" w:type="pct"/>
          </w:tcPr>
          <w:p w14:paraId="0FEB1B2F">
            <w:pPr>
              <w:rPr>
                <w:rFonts w:ascii="宋体" w:hAnsi="宋体"/>
                <w:szCs w:val="21"/>
                <w:highlight w:val="none"/>
              </w:rPr>
            </w:pPr>
          </w:p>
        </w:tc>
      </w:tr>
      <w:tr w14:paraId="320C9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16627366">
            <w:pPr>
              <w:widowControl/>
              <w:jc w:val="center"/>
              <w:rPr>
                <w:rFonts w:ascii="宋体" w:hAnsi="宋体"/>
                <w:kern w:val="0"/>
                <w:szCs w:val="21"/>
                <w:highlight w:val="none"/>
                <w:lang w:eastAsia="zh-Hans"/>
              </w:rPr>
            </w:pPr>
            <w:r>
              <w:rPr>
                <w:rFonts w:ascii="宋体" w:hAnsi="宋体"/>
                <w:kern w:val="0"/>
                <w:szCs w:val="21"/>
                <w:highlight w:val="none"/>
                <w:lang w:eastAsia="zh-Hans"/>
              </w:rPr>
              <w:t>3</w:t>
            </w:r>
          </w:p>
        </w:tc>
        <w:tc>
          <w:tcPr>
            <w:tcW w:w="676" w:type="pct"/>
          </w:tcPr>
          <w:p w14:paraId="59F1CBEC">
            <w:pPr>
              <w:rPr>
                <w:rFonts w:ascii="宋体" w:hAnsi="宋体"/>
                <w:szCs w:val="21"/>
                <w:highlight w:val="none"/>
              </w:rPr>
            </w:pPr>
          </w:p>
        </w:tc>
        <w:tc>
          <w:tcPr>
            <w:tcW w:w="850" w:type="pct"/>
          </w:tcPr>
          <w:p w14:paraId="2C28FB98">
            <w:pPr>
              <w:rPr>
                <w:rFonts w:ascii="宋体" w:hAnsi="宋体"/>
                <w:szCs w:val="21"/>
                <w:highlight w:val="none"/>
              </w:rPr>
            </w:pPr>
          </w:p>
        </w:tc>
        <w:tc>
          <w:tcPr>
            <w:tcW w:w="896" w:type="pct"/>
          </w:tcPr>
          <w:p w14:paraId="3B48CE69">
            <w:pPr>
              <w:rPr>
                <w:rFonts w:ascii="宋体" w:hAnsi="宋体"/>
                <w:szCs w:val="21"/>
                <w:highlight w:val="none"/>
              </w:rPr>
            </w:pPr>
          </w:p>
        </w:tc>
        <w:tc>
          <w:tcPr>
            <w:tcW w:w="712" w:type="pct"/>
          </w:tcPr>
          <w:p w14:paraId="732363F7">
            <w:pPr>
              <w:rPr>
                <w:rFonts w:ascii="宋体" w:hAnsi="宋体"/>
                <w:szCs w:val="21"/>
                <w:highlight w:val="none"/>
              </w:rPr>
            </w:pPr>
          </w:p>
        </w:tc>
        <w:tc>
          <w:tcPr>
            <w:tcW w:w="712" w:type="pct"/>
          </w:tcPr>
          <w:p w14:paraId="2FBEE20F">
            <w:pPr>
              <w:rPr>
                <w:rFonts w:ascii="宋体" w:hAnsi="宋体"/>
                <w:szCs w:val="21"/>
                <w:highlight w:val="none"/>
              </w:rPr>
            </w:pPr>
          </w:p>
        </w:tc>
        <w:tc>
          <w:tcPr>
            <w:tcW w:w="712" w:type="pct"/>
          </w:tcPr>
          <w:p w14:paraId="48F31F82">
            <w:pPr>
              <w:rPr>
                <w:rFonts w:ascii="宋体" w:hAnsi="宋体"/>
                <w:szCs w:val="21"/>
                <w:highlight w:val="none"/>
              </w:rPr>
            </w:pPr>
          </w:p>
        </w:tc>
      </w:tr>
      <w:tr w14:paraId="4C9BD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273E40D8">
            <w:pPr>
              <w:widowControl/>
              <w:jc w:val="center"/>
              <w:rPr>
                <w:rFonts w:ascii="宋体" w:hAnsi="宋体"/>
                <w:kern w:val="0"/>
                <w:szCs w:val="21"/>
                <w:highlight w:val="none"/>
                <w:lang w:eastAsia="zh-Hans"/>
              </w:rPr>
            </w:pPr>
            <w:r>
              <w:rPr>
                <w:rFonts w:ascii="宋体" w:hAnsi="宋体"/>
                <w:kern w:val="0"/>
                <w:szCs w:val="21"/>
                <w:highlight w:val="none"/>
                <w:lang w:eastAsia="zh-Hans"/>
              </w:rPr>
              <w:t>4</w:t>
            </w:r>
          </w:p>
        </w:tc>
        <w:tc>
          <w:tcPr>
            <w:tcW w:w="676" w:type="pct"/>
          </w:tcPr>
          <w:p w14:paraId="1A4A5685">
            <w:pPr>
              <w:rPr>
                <w:rFonts w:ascii="宋体" w:hAnsi="宋体"/>
                <w:szCs w:val="21"/>
                <w:highlight w:val="none"/>
              </w:rPr>
            </w:pPr>
          </w:p>
        </w:tc>
        <w:tc>
          <w:tcPr>
            <w:tcW w:w="850" w:type="pct"/>
          </w:tcPr>
          <w:p w14:paraId="30E5DAB3">
            <w:pPr>
              <w:rPr>
                <w:rFonts w:ascii="宋体" w:hAnsi="宋体"/>
                <w:szCs w:val="21"/>
                <w:highlight w:val="none"/>
              </w:rPr>
            </w:pPr>
          </w:p>
        </w:tc>
        <w:tc>
          <w:tcPr>
            <w:tcW w:w="896" w:type="pct"/>
          </w:tcPr>
          <w:p w14:paraId="7D03C935">
            <w:pPr>
              <w:rPr>
                <w:rFonts w:ascii="宋体" w:hAnsi="宋体"/>
                <w:szCs w:val="21"/>
                <w:highlight w:val="none"/>
              </w:rPr>
            </w:pPr>
          </w:p>
        </w:tc>
        <w:tc>
          <w:tcPr>
            <w:tcW w:w="712" w:type="pct"/>
          </w:tcPr>
          <w:p w14:paraId="154B01B3">
            <w:pPr>
              <w:rPr>
                <w:rFonts w:ascii="宋体" w:hAnsi="宋体"/>
                <w:szCs w:val="21"/>
                <w:highlight w:val="none"/>
              </w:rPr>
            </w:pPr>
          </w:p>
        </w:tc>
        <w:tc>
          <w:tcPr>
            <w:tcW w:w="712" w:type="pct"/>
          </w:tcPr>
          <w:p w14:paraId="798CE4D9">
            <w:pPr>
              <w:rPr>
                <w:rFonts w:ascii="宋体" w:hAnsi="宋体"/>
                <w:szCs w:val="21"/>
                <w:highlight w:val="none"/>
              </w:rPr>
            </w:pPr>
          </w:p>
        </w:tc>
        <w:tc>
          <w:tcPr>
            <w:tcW w:w="712" w:type="pct"/>
          </w:tcPr>
          <w:p w14:paraId="2D345B35">
            <w:pPr>
              <w:rPr>
                <w:rFonts w:ascii="宋体" w:hAnsi="宋体"/>
                <w:szCs w:val="21"/>
                <w:highlight w:val="none"/>
              </w:rPr>
            </w:pPr>
          </w:p>
        </w:tc>
      </w:tr>
      <w:tr w14:paraId="00972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125B18C6">
            <w:pPr>
              <w:widowControl/>
              <w:jc w:val="center"/>
              <w:rPr>
                <w:rFonts w:ascii="宋体" w:hAnsi="宋体"/>
                <w:kern w:val="0"/>
                <w:szCs w:val="21"/>
                <w:highlight w:val="none"/>
                <w:lang w:eastAsia="zh-Hans"/>
              </w:rPr>
            </w:pPr>
            <w:r>
              <w:rPr>
                <w:rFonts w:ascii="宋体" w:hAnsi="宋体"/>
                <w:kern w:val="0"/>
                <w:szCs w:val="21"/>
                <w:highlight w:val="none"/>
                <w:lang w:eastAsia="zh-Hans"/>
              </w:rPr>
              <w:t>5</w:t>
            </w:r>
          </w:p>
        </w:tc>
        <w:tc>
          <w:tcPr>
            <w:tcW w:w="676" w:type="pct"/>
          </w:tcPr>
          <w:p w14:paraId="4BD216A8">
            <w:pPr>
              <w:rPr>
                <w:rFonts w:ascii="宋体" w:hAnsi="宋体"/>
                <w:szCs w:val="21"/>
                <w:highlight w:val="none"/>
              </w:rPr>
            </w:pPr>
          </w:p>
        </w:tc>
        <w:tc>
          <w:tcPr>
            <w:tcW w:w="850" w:type="pct"/>
          </w:tcPr>
          <w:p w14:paraId="55BC03BF">
            <w:pPr>
              <w:rPr>
                <w:rFonts w:ascii="宋体" w:hAnsi="宋体"/>
                <w:szCs w:val="21"/>
                <w:highlight w:val="none"/>
              </w:rPr>
            </w:pPr>
          </w:p>
        </w:tc>
        <w:tc>
          <w:tcPr>
            <w:tcW w:w="896" w:type="pct"/>
          </w:tcPr>
          <w:p w14:paraId="28E892A0">
            <w:pPr>
              <w:rPr>
                <w:rFonts w:ascii="宋体" w:hAnsi="宋体"/>
                <w:szCs w:val="21"/>
                <w:highlight w:val="none"/>
              </w:rPr>
            </w:pPr>
          </w:p>
        </w:tc>
        <w:tc>
          <w:tcPr>
            <w:tcW w:w="712" w:type="pct"/>
          </w:tcPr>
          <w:p w14:paraId="7D4DCE9A">
            <w:pPr>
              <w:rPr>
                <w:rFonts w:ascii="宋体" w:hAnsi="宋体"/>
                <w:szCs w:val="21"/>
                <w:highlight w:val="none"/>
              </w:rPr>
            </w:pPr>
          </w:p>
        </w:tc>
        <w:tc>
          <w:tcPr>
            <w:tcW w:w="712" w:type="pct"/>
          </w:tcPr>
          <w:p w14:paraId="2CFBD8EA">
            <w:pPr>
              <w:rPr>
                <w:rFonts w:ascii="宋体" w:hAnsi="宋体"/>
                <w:szCs w:val="21"/>
                <w:highlight w:val="none"/>
              </w:rPr>
            </w:pPr>
          </w:p>
        </w:tc>
        <w:tc>
          <w:tcPr>
            <w:tcW w:w="712" w:type="pct"/>
          </w:tcPr>
          <w:p w14:paraId="54BD634C">
            <w:pPr>
              <w:rPr>
                <w:rFonts w:ascii="宋体" w:hAnsi="宋体"/>
                <w:szCs w:val="21"/>
                <w:highlight w:val="none"/>
              </w:rPr>
            </w:pPr>
          </w:p>
        </w:tc>
      </w:tr>
      <w:tr w14:paraId="50A03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430ED999">
            <w:pPr>
              <w:widowControl/>
              <w:jc w:val="center"/>
              <w:rPr>
                <w:rFonts w:ascii="宋体" w:hAnsi="宋体"/>
                <w:kern w:val="0"/>
                <w:szCs w:val="21"/>
                <w:highlight w:val="none"/>
                <w:lang w:eastAsia="zh-Hans"/>
              </w:rPr>
            </w:pPr>
            <w:r>
              <w:rPr>
                <w:rFonts w:ascii="宋体" w:hAnsi="宋体"/>
                <w:kern w:val="0"/>
                <w:szCs w:val="21"/>
                <w:highlight w:val="none"/>
                <w:lang w:eastAsia="zh-Hans"/>
              </w:rPr>
              <w:t>6</w:t>
            </w:r>
          </w:p>
        </w:tc>
        <w:tc>
          <w:tcPr>
            <w:tcW w:w="676" w:type="pct"/>
          </w:tcPr>
          <w:p w14:paraId="2BBE930F">
            <w:pPr>
              <w:rPr>
                <w:rFonts w:ascii="宋体" w:hAnsi="宋体"/>
                <w:szCs w:val="21"/>
                <w:highlight w:val="none"/>
              </w:rPr>
            </w:pPr>
          </w:p>
        </w:tc>
        <w:tc>
          <w:tcPr>
            <w:tcW w:w="850" w:type="pct"/>
          </w:tcPr>
          <w:p w14:paraId="491C6889">
            <w:pPr>
              <w:rPr>
                <w:rFonts w:ascii="宋体" w:hAnsi="宋体"/>
                <w:szCs w:val="21"/>
                <w:highlight w:val="none"/>
              </w:rPr>
            </w:pPr>
          </w:p>
        </w:tc>
        <w:tc>
          <w:tcPr>
            <w:tcW w:w="896" w:type="pct"/>
          </w:tcPr>
          <w:p w14:paraId="61E3318D">
            <w:pPr>
              <w:rPr>
                <w:rFonts w:ascii="宋体" w:hAnsi="宋体"/>
                <w:szCs w:val="21"/>
                <w:highlight w:val="none"/>
              </w:rPr>
            </w:pPr>
          </w:p>
        </w:tc>
        <w:tc>
          <w:tcPr>
            <w:tcW w:w="712" w:type="pct"/>
          </w:tcPr>
          <w:p w14:paraId="63F0C9A2">
            <w:pPr>
              <w:rPr>
                <w:rFonts w:ascii="宋体" w:hAnsi="宋体"/>
                <w:szCs w:val="21"/>
                <w:highlight w:val="none"/>
              </w:rPr>
            </w:pPr>
          </w:p>
        </w:tc>
        <w:tc>
          <w:tcPr>
            <w:tcW w:w="712" w:type="pct"/>
          </w:tcPr>
          <w:p w14:paraId="27743CC5">
            <w:pPr>
              <w:rPr>
                <w:rFonts w:ascii="宋体" w:hAnsi="宋体"/>
                <w:szCs w:val="21"/>
                <w:highlight w:val="none"/>
              </w:rPr>
            </w:pPr>
          </w:p>
        </w:tc>
        <w:tc>
          <w:tcPr>
            <w:tcW w:w="712" w:type="pct"/>
          </w:tcPr>
          <w:p w14:paraId="314C2124">
            <w:pPr>
              <w:rPr>
                <w:rFonts w:ascii="宋体" w:hAnsi="宋体"/>
                <w:szCs w:val="21"/>
                <w:highlight w:val="none"/>
              </w:rPr>
            </w:pPr>
          </w:p>
        </w:tc>
      </w:tr>
      <w:tr w14:paraId="5CEFB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2D97BE83">
            <w:pPr>
              <w:widowControl/>
              <w:jc w:val="center"/>
              <w:rPr>
                <w:rFonts w:ascii="宋体" w:hAnsi="宋体"/>
                <w:kern w:val="0"/>
                <w:szCs w:val="21"/>
                <w:highlight w:val="none"/>
                <w:lang w:eastAsia="zh-Hans"/>
              </w:rPr>
            </w:pPr>
            <w:r>
              <w:rPr>
                <w:rFonts w:ascii="宋体" w:hAnsi="宋体"/>
                <w:kern w:val="0"/>
                <w:szCs w:val="21"/>
                <w:highlight w:val="none"/>
                <w:lang w:eastAsia="zh-Hans"/>
              </w:rPr>
              <w:t>7</w:t>
            </w:r>
          </w:p>
        </w:tc>
        <w:tc>
          <w:tcPr>
            <w:tcW w:w="676" w:type="pct"/>
          </w:tcPr>
          <w:p w14:paraId="317468DB">
            <w:pPr>
              <w:rPr>
                <w:rFonts w:ascii="宋体" w:hAnsi="宋体"/>
                <w:szCs w:val="21"/>
                <w:highlight w:val="none"/>
              </w:rPr>
            </w:pPr>
          </w:p>
        </w:tc>
        <w:tc>
          <w:tcPr>
            <w:tcW w:w="850" w:type="pct"/>
          </w:tcPr>
          <w:p w14:paraId="59E7550D">
            <w:pPr>
              <w:rPr>
                <w:rFonts w:ascii="宋体" w:hAnsi="宋体"/>
                <w:szCs w:val="21"/>
                <w:highlight w:val="none"/>
              </w:rPr>
            </w:pPr>
          </w:p>
        </w:tc>
        <w:tc>
          <w:tcPr>
            <w:tcW w:w="896" w:type="pct"/>
          </w:tcPr>
          <w:p w14:paraId="1AB6B61B">
            <w:pPr>
              <w:rPr>
                <w:rFonts w:ascii="宋体" w:hAnsi="宋体"/>
                <w:szCs w:val="21"/>
                <w:highlight w:val="none"/>
              </w:rPr>
            </w:pPr>
          </w:p>
        </w:tc>
        <w:tc>
          <w:tcPr>
            <w:tcW w:w="712" w:type="pct"/>
          </w:tcPr>
          <w:p w14:paraId="6E74F03D">
            <w:pPr>
              <w:rPr>
                <w:rFonts w:ascii="宋体" w:hAnsi="宋体"/>
                <w:szCs w:val="21"/>
                <w:highlight w:val="none"/>
              </w:rPr>
            </w:pPr>
          </w:p>
        </w:tc>
        <w:tc>
          <w:tcPr>
            <w:tcW w:w="712" w:type="pct"/>
          </w:tcPr>
          <w:p w14:paraId="17314A7A">
            <w:pPr>
              <w:rPr>
                <w:rFonts w:ascii="宋体" w:hAnsi="宋体"/>
                <w:szCs w:val="21"/>
                <w:highlight w:val="none"/>
              </w:rPr>
            </w:pPr>
          </w:p>
        </w:tc>
        <w:tc>
          <w:tcPr>
            <w:tcW w:w="712" w:type="pct"/>
          </w:tcPr>
          <w:p w14:paraId="5902D69A">
            <w:pPr>
              <w:rPr>
                <w:rFonts w:ascii="宋体" w:hAnsi="宋体"/>
                <w:szCs w:val="21"/>
                <w:highlight w:val="none"/>
              </w:rPr>
            </w:pPr>
          </w:p>
        </w:tc>
      </w:tr>
      <w:tr w14:paraId="392DE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73A0988A">
            <w:pPr>
              <w:widowControl/>
              <w:jc w:val="center"/>
              <w:rPr>
                <w:rFonts w:ascii="宋体" w:hAnsi="宋体"/>
                <w:kern w:val="0"/>
                <w:szCs w:val="21"/>
                <w:highlight w:val="none"/>
                <w:lang w:eastAsia="zh-Hans"/>
              </w:rPr>
            </w:pPr>
            <w:r>
              <w:rPr>
                <w:rFonts w:ascii="宋体" w:hAnsi="宋体"/>
                <w:kern w:val="0"/>
                <w:szCs w:val="21"/>
                <w:highlight w:val="none"/>
                <w:lang w:eastAsia="zh-Hans"/>
              </w:rPr>
              <w:t>8</w:t>
            </w:r>
          </w:p>
        </w:tc>
        <w:tc>
          <w:tcPr>
            <w:tcW w:w="676" w:type="pct"/>
          </w:tcPr>
          <w:p w14:paraId="7308DD1E">
            <w:pPr>
              <w:rPr>
                <w:rFonts w:ascii="宋体" w:hAnsi="宋体"/>
                <w:szCs w:val="21"/>
                <w:highlight w:val="none"/>
              </w:rPr>
            </w:pPr>
          </w:p>
        </w:tc>
        <w:tc>
          <w:tcPr>
            <w:tcW w:w="850" w:type="pct"/>
          </w:tcPr>
          <w:p w14:paraId="3617B2D2">
            <w:pPr>
              <w:rPr>
                <w:rFonts w:ascii="宋体" w:hAnsi="宋体"/>
                <w:szCs w:val="21"/>
                <w:highlight w:val="none"/>
              </w:rPr>
            </w:pPr>
          </w:p>
        </w:tc>
        <w:tc>
          <w:tcPr>
            <w:tcW w:w="896" w:type="pct"/>
          </w:tcPr>
          <w:p w14:paraId="463403EC">
            <w:pPr>
              <w:rPr>
                <w:rFonts w:ascii="宋体" w:hAnsi="宋体"/>
                <w:szCs w:val="21"/>
                <w:highlight w:val="none"/>
              </w:rPr>
            </w:pPr>
          </w:p>
        </w:tc>
        <w:tc>
          <w:tcPr>
            <w:tcW w:w="712" w:type="pct"/>
          </w:tcPr>
          <w:p w14:paraId="54874236">
            <w:pPr>
              <w:rPr>
                <w:rFonts w:ascii="宋体" w:hAnsi="宋体"/>
                <w:szCs w:val="21"/>
                <w:highlight w:val="none"/>
              </w:rPr>
            </w:pPr>
          </w:p>
        </w:tc>
        <w:tc>
          <w:tcPr>
            <w:tcW w:w="712" w:type="pct"/>
          </w:tcPr>
          <w:p w14:paraId="6403E469">
            <w:pPr>
              <w:rPr>
                <w:rFonts w:ascii="宋体" w:hAnsi="宋体"/>
                <w:szCs w:val="21"/>
                <w:highlight w:val="none"/>
              </w:rPr>
            </w:pPr>
          </w:p>
        </w:tc>
        <w:tc>
          <w:tcPr>
            <w:tcW w:w="712" w:type="pct"/>
          </w:tcPr>
          <w:p w14:paraId="045E8556">
            <w:pPr>
              <w:rPr>
                <w:rFonts w:ascii="宋体" w:hAnsi="宋体"/>
                <w:szCs w:val="21"/>
                <w:highlight w:val="none"/>
              </w:rPr>
            </w:pPr>
          </w:p>
        </w:tc>
      </w:tr>
      <w:tr w14:paraId="17EEF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319DC9D4">
            <w:pPr>
              <w:widowControl/>
              <w:jc w:val="center"/>
              <w:rPr>
                <w:rFonts w:ascii="宋体" w:hAnsi="宋体"/>
                <w:kern w:val="0"/>
                <w:szCs w:val="21"/>
                <w:highlight w:val="none"/>
                <w:lang w:eastAsia="zh-Hans"/>
              </w:rPr>
            </w:pPr>
            <w:r>
              <w:rPr>
                <w:rFonts w:ascii="宋体" w:hAnsi="宋体"/>
                <w:kern w:val="0"/>
                <w:szCs w:val="21"/>
                <w:highlight w:val="none"/>
                <w:lang w:eastAsia="zh-Hans"/>
              </w:rPr>
              <w:t>9</w:t>
            </w:r>
          </w:p>
        </w:tc>
        <w:tc>
          <w:tcPr>
            <w:tcW w:w="676" w:type="pct"/>
          </w:tcPr>
          <w:p w14:paraId="0D548789">
            <w:pPr>
              <w:rPr>
                <w:rFonts w:ascii="宋体" w:hAnsi="宋体"/>
                <w:szCs w:val="21"/>
                <w:highlight w:val="none"/>
              </w:rPr>
            </w:pPr>
          </w:p>
        </w:tc>
        <w:tc>
          <w:tcPr>
            <w:tcW w:w="850" w:type="pct"/>
          </w:tcPr>
          <w:p w14:paraId="7EE04B1D">
            <w:pPr>
              <w:rPr>
                <w:rFonts w:ascii="宋体" w:hAnsi="宋体"/>
                <w:szCs w:val="21"/>
                <w:highlight w:val="none"/>
              </w:rPr>
            </w:pPr>
          </w:p>
        </w:tc>
        <w:tc>
          <w:tcPr>
            <w:tcW w:w="896" w:type="pct"/>
          </w:tcPr>
          <w:p w14:paraId="7DAE8826">
            <w:pPr>
              <w:rPr>
                <w:rFonts w:ascii="宋体" w:hAnsi="宋体"/>
                <w:szCs w:val="21"/>
                <w:highlight w:val="none"/>
              </w:rPr>
            </w:pPr>
          </w:p>
        </w:tc>
        <w:tc>
          <w:tcPr>
            <w:tcW w:w="712" w:type="pct"/>
          </w:tcPr>
          <w:p w14:paraId="2BAA1A4F">
            <w:pPr>
              <w:rPr>
                <w:rFonts w:ascii="宋体" w:hAnsi="宋体"/>
                <w:szCs w:val="21"/>
                <w:highlight w:val="none"/>
              </w:rPr>
            </w:pPr>
          </w:p>
        </w:tc>
        <w:tc>
          <w:tcPr>
            <w:tcW w:w="712" w:type="pct"/>
          </w:tcPr>
          <w:p w14:paraId="37C00FF5">
            <w:pPr>
              <w:rPr>
                <w:rFonts w:ascii="宋体" w:hAnsi="宋体"/>
                <w:szCs w:val="21"/>
                <w:highlight w:val="none"/>
              </w:rPr>
            </w:pPr>
          </w:p>
        </w:tc>
        <w:tc>
          <w:tcPr>
            <w:tcW w:w="712" w:type="pct"/>
          </w:tcPr>
          <w:p w14:paraId="5E30F9E0">
            <w:pPr>
              <w:rPr>
                <w:rFonts w:ascii="宋体" w:hAnsi="宋体"/>
                <w:szCs w:val="21"/>
                <w:highlight w:val="none"/>
              </w:rPr>
            </w:pPr>
          </w:p>
        </w:tc>
      </w:tr>
      <w:tr w14:paraId="4CB88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4" w:type="pct"/>
          </w:tcPr>
          <w:p w14:paraId="45BA0602">
            <w:pPr>
              <w:widowControl/>
              <w:jc w:val="center"/>
              <w:rPr>
                <w:rFonts w:ascii="宋体" w:hAnsi="宋体"/>
                <w:kern w:val="0"/>
                <w:szCs w:val="21"/>
                <w:highlight w:val="none"/>
                <w:lang w:eastAsia="zh-Hans"/>
              </w:rPr>
            </w:pPr>
            <w:r>
              <w:rPr>
                <w:rFonts w:ascii="宋体" w:hAnsi="宋体"/>
                <w:kern w:val="0"/>
                <w:szCs w:val="21"/>
                <w:highlight w:val="none"/>
                <w:lang w:eastAsia="zh-Hans"/>
              </w:rPr>
              <w:t>……</w:t>
            </w:r>
          </w:p>
        </w:tc>
        <w:tc>
          <w:tcPr>
            <w:tcW w:w="676" w:type="pct"/>
          </w:tcPr>
          <w:p w14:paraId="0C8563DB">
            <w:pPr>
              <w:rPr>
                <w:rFonts w:ascii="宋体" w:hAnsi="宋体"/>
                <w:szCs w:val="21"/>
                <w:highlight w:val="none"/>
              </w:rPr>
            </w:pPr>
          </w:p>
        </w:tc>
        <w:tc>
          <w:tcPr>
            <w:tcW w:w="850" w:type="pct"/>
          </w:tcPr>
          <w:p w14:paraId="745475F6">
            <w:pPr>
              <w:rPr>
                <w:rFonts w:ascii="宋体" w:hAnsi="宋体"/>
                <w:szCs w:val="21"/>
                <w:highlight w:val="none"/>
              </w:rPr>
            </w:pPr>
          </w:p>
        </w:tc>
        <w:tc>
          <w:tcPr>
            <w:tcW w:w="896" w:type="pct"/>
          </w:tcPr>
          <w:p w14:paraId="673E616A">
            <w:pPr>
              <w:rPr>
                <w:rFonts w:ascii="宋体" w:hAnsi="宋体"/>
                <w:szCs w:val="21"/>
                <w:highlight w:val="none"/>
              </w:rPr>
            </w:pPr>
          </w:p>
        </w:tc>
        <w:tc>
          <w:tcPr>
            <w:tcW w:w="712" w:type="pct"/>
          </w:tcPr>
          <w:p w14:paraId="5F2C13DF">
            <w:pPr>
              <w:rPr>
                <w:rFonts w:ascii="宋体" w:hAnsi="宋体"/>
                <w:szCs w:val="21"/>
                <w:highlight w:val="none"/>
              </w:rPr>
            </w:pPr>
          </w:p>
        </w:tc>
        <w:tc>
          <w:tcPr>
            <w:tcW w:w="712" w:type="pct"/>
          </w:tcPr>
          <w:p w14:paraId="39032F39">
            <w:pPr>
              <w:rPr>
                <w:rFonts w:ascii="宋体" w:hAnsi="宋体"/>
                <w:szCs w:val="21"/>
                <w:highlight w:val="none"/>
              </w:rPr>
            </w:pPr>
          </w:p>
        </w:tc>
        <w:tc>
          <w:tcPr>
            <w:tcW w:w="712" w:type="pct"/>
          </w:tcPr>
          <w:p w14:paraId="4A37760C">
            <w:pPr>
              <w:rPr>
                <w:rFonts w:ascii="宋体" w:hAnsi="宋体"/>
                <w:szCs w:val="21"/>
                <w:highlight w:val="none"/>
              </w:rPr>
            </w:pPr>
          </w:p>
        </w:tc>
      </w:tr>
    </w:tbl>
    <w:p w14:paraId="5E977FFB">
      <w:pPr>
        <w:widowControl/>
        <w:jc w:val="left"/>
        <w:rPr>
          <w:kern w:val="0"/>
          <w:sz w:val="20"/>
          <w:szCs w:val="20"/>
          <w:highlight w:val="none"/>
          <w:lang w:eastAsia="zh-Hans"/>
        </w:rPr>
      </w:pPr>
      <w:r>
        <w:rPr>
          <w:kern w:val="0"/>
          <w:sz w:val="20"/>
          <w:szCs w:val="20"/>
          <w:highlight w:val="none"/>
          <w:lang w:eastAsia="zh-Hans"/>
        </w:rPr>
        <w:t>说明：</w:t>
      </w:r>
    </w:p>
    <w:p w14:paraId="7515AD47">
      <w:pPr>
        <w:widowControl/>
        <w:jc w:val="left"/>
        <w:rPr>
          <w:rFonts w:ascii="宋体" w:hAnsi="宋体"/>
          <w:kern w:val="0"/>
          <w:szCs w:val="21"/>
          <w:highlight w:val="none"/>
          <w:lang w:eastAsia="zh-Hans"/>
        </w:rPr>
      </w:pPr>
      <w:r>
        <w:rPr>
          <w:rFonts w:ascii="宋体" w:hAnsi="宋体"/>
          <w:kern w:val="0"/>
          <w:szCs w:val="21"/>
          <w:highlight w:val="none"/>
          <w:lang w:eastAsia="zh-Hans"/>
        </w:rPr>
        <w:t>1.“</w:t>
      </w:r>
      <w:r>
        <w:rPr>
          <w:rFonts w:hint="eastAsia" w:ascii="宋体" w:hAnsi="宋体"/>
          <w:kern w:val="0"/>
          <w:szCs w:val="21"/>
          <w:highlight w:val="none"/>
          <w:lang w:eastAsia="zh-Hans"/>
        </w:rPr>
        <w:t>磋商文件</w:t>
      </w:r>
      <w:r>
        <w:rPr>
          <w:rFonts w:ascii="宋体" w:hAnsi="宋体"/>
          <w:kern w:val="0"/>
          <w:szCs w:val="21"/>
          <w:highlight w:val="none"/>
          <w:lang w:eastAsia="zh-Hans"/>
        </w:rPr>
        <w:t>规定的商务条件”项下填写的内容应与磋商文件中</w:t>
      </w:r>
      <w:r>
        <w:rPr>
          <w:rFonts w:ascii="宋体" w:hAnsi="宋体"/>
          <w:b/>
          <w:bCs/>
          <w:kern w:val="0"/>
          <w:szCs w:val="21"/>
          <w:highlight w:val="none"/>
          <w:lang w:eastAsia="zh-Hans"/>
        </w:rPr>
        <w:t>采购需求</w:t>
      </w:r>
      <w:r>
        <w:rPr>
          <w:rFonts w:ascii="宋体" w:hAnsi="宋体"/>
          <w:kern w:val="0"/>
          <w:szCs w:val="21"/>
          <w:highlight w:val="none"/>
          <w:lang w:eastAsia="zh-Hans"/>
        </w:rPr>
        <w:t>的“商务要求”的内容保持一致。</w:t>
      </w:r>
    </w:p>
    <w:p w14:paraId="5BA5689D">
      <w:pPr>
        <w:widowControl/>
        <w:jc w:val="left"/>
        <w:rPr>
          <w:rFonts w:ascii="宋体" w:hAnsi="宋体"/>
          <w:kern w:val="0"/>
          <w:szCs w:val="21"/>
          <w:highlight w:val="none"/>
          <w:lang w:eastAsia="zh-Hans"/>
        </w:rPr>
      </w:pPr>
      <w:r>
        <w:rPr>
          <w:rFonts w:ascii="宋体" w:hAnsi="宋体"/>
          <w:kern w:val="0"/>
          <w:szCs w:val="21"/>
          <w:highlight w:val="none"/>
          <w:lang w:eastAsia="zh-Hans"/>
        </w:rPr>
        <w:t>2.供应商应当如实填写上表“响应文件响应的具体内容”处内容，对采购文件规定的商务条件作出明确响应，并列明具体响应数值或内容，只注明符合、满足等无具体内容表述的，将视为未实质性满足磋商文件要求。供应商需要说明的内容若需特殊表达，应先在本表中进行相应说明，再另页应答。</w:t>
      </w:r>
    </w:p>
    <w:p w14:paraId="73AB378F">
      <w:pPr>
        <w:widowControl/>
        <w:jc w:val="left"/>
        <w:rPr>
          <w:rFonts w:ascii="宋体" w:hAnsi="宋体"/>
          <w:kern w:val="0"/>
          <w:szCs w:val="21"/>
          <w:highlight w:val="none"/>
          <w:lang w:eastAsia="zh-Hans"/>
        </w:rPr>
      </w:pPr>
      <w:r>
        <w:rPr>
          <w:rFonts w:ascii="宋体" w:hAnsi="宋体"/>
          <w:kern w:val="0"/>
          <w:szCs w:val="21"/>
          <w:highlight w:val="none"/>
          <w:lang w:eastAsia="zh-Hans"/>
        </w:rPr>
        <w:t>3.参数性质栏目按磋商文件有标注的“</w:t>
      </w:r>
      <w:r>
        <w:rPr>
          <w:rFonts w:ascii="宋体" w:hAnsi="宋体" w:cs="Segoe UI Symbol"/>
          <w:kern w:val="0"/>
          <w:szCs w:val="21"/>
          <w:highlight w:val="none"/>
          <w:lang w:eastAsia="zh-Hans"/>
        </w:rPr>
        <w:t>★</w:t>
      </w:r>
      <w:r>
        <w:rPr>
          <w:rFonts w:ascii="宋体" w:hAnsi="宋体" w:cs="Calibri"/>
          <w:kern w:val="0"/>
          <w:szCs w:val="21"/>
          <w:highlight w:val="none"/>
          <w:lang w:eastAsia="zh-Hans"/>
        </w:rPr>
        <w:t>”</w:t>
      </w:r>
      <w:r>
        <w:rPr>
          <w:rFonts w:ascii="宋体" w:hAnsi="宋体"/>
          <w:kern w:val="0"/>
          <w:szCs w:val="21"/>
          <w:highlight w:val="none"/>
          <w:lang w:eastAsia="zh-Hans"/>
        </w:rPr>
        <w:t>、“▲</w:t>
      </w:r>
      <w:r>
        <w:rPr>
          <w:rFonts w:ascii="宋体" w:hAnsi="宋体" w:cs="Calibri"/>
          <w:kern w:val="0"/>
          <w:szCs w:val="21"/>
          <w:highlight w:val="none"/>
          <w:lang w:eastAsia="zh-Hans"/>
        </w:rPr>
        <w:t>”</w:t>
      </w:r>
      <w:r>
        <w:rPr>
          <w:rFonts w:ascii="宋体" w:hAnsi="宋体"/>
          <w:kern w:val="0"/>
          <w:szCs w:val="21"/>
          <w:highlight w:val="none"/>
          <w:lang w:eastAsia="zh-Hans"/>
        </w:rPr>
        <w:t>号条款进行填写，打“</w:t>
      </w:r>
      <w:r>
        <w:rPr>
          <w:rFonts w:ascii="宋体" w:hAnsi="宋体" w:cs="Segoe UI Symbol"/>
          <w:kern w:val="0"/>
          <w:szCs w:val="21"/>
          <w:highlight w:val="none"/>
          <w:lang w:eastAsia="zh-Hans"/>
        </w:rPr>
        <w:t>★</w:t>
      </w:r>
      <w:r>
        <w:rPr>
          <w:rFonts w:ascii="宋体" w:hAnsi="宋体" w:cs="Calibri"/>
          <w:kern w:val="0"/>
          <w:szCs w:val="21"/>
          <w:highlight w:val="none"/>
          <w:lang w:eastAsia="zh-Hans"/>
        </w:rPr>
        <w:t>”</w:t>
      </w:r>
      <w:r>
        <w:rPr>
          <w:rFonts w:ascii="宋体" w:hAnsi="宋体"/>
          <w:kern w:val="0"/>
          <w:szCs w:val="21"/>
          <w:highlight w:val="none"/>
          <w:lang w:eastAsia="zh-Hans"/>
        </w:rPr>
        <w:t>号条款为实质性条款，若有任何一条负偏离或不满足则导致</w:t>
      </w:r>
      <w:r>
        <w:rPr>
          <w:rFonts w:hint="eastAsia" w:ascii="宋体" w:hAnsi="宋体"/>
          <w:kern w:val="0"/>
          <w:szCs w:val="21"/>
          <w:highlight w:val="none"/>
          <w:lang w:eastAsia="zh-Hans"/>
        </w:rPr>
        <w:t>响应</w:t>
      </w:r>
      <w:r>
        <w:rPr>
          <w:rFonts w:ascii="宋体" w:hAnsi="宋体"/>
          <w:kern w:val="0"/>
          <w:szCs w:val="21"/>
          <w:highlight w:val="none"/>
          <w:lang w:eastAsia="zh-Hans"/>
        </w:rPr>
        <w:t>无效。打“▲</w:t>
      </w:r>
      <w:r>
        <w:rPr>
          <w:rFonts w:ascii="宋体" w:hAnsi="宋体" w:cs="Calibri"/>
          <w:kern w:val="0"/>
          <w:szCs w:val="21"/>
          <w:highlight w:val="none"/>
          <w:lang w:eastAsia="zh-Hans"/>
        </w:rPr>
        <w:t>”</w:t>
      </w:r>
      <w:r>
        <w:rPr>
          <w:rFonts w:ascii="宋体" w:hAnsi="宋体"/>
          <w:kern w:val="0"/>
          <w:szCs w:val="21"/>
          <w:highlight w:val="none"/>
          <w:lang w:eastAsia="zh-Hans"/>
        </w:rPr>
        <w:t>号条款为重要技术参数（如有），若有部分“▲</w:t>
      </w:r>
      <w:r>
        <w:rPr>
          <w:rFonts w:ascii="宋体" w:hAnsi="宋体" w:cs="Calibri"/>
          <w:kern w:val="0"/>
          <w:szCs w:val="21"/>
          <w:highlight w:val="none"/>
          <w:lang w:eastAsia="zh-Hans"/>
        </w:rPr>
        <w:t>”</w:t>
      </w:r>
      <w:r>
        <w:rPr>
          <w:rFonts w:ascii="宋体" w:hAnsi="宋体"/>
          <w:kern w:val="0"/>
          <w:szCs w:val="21"/>
          <w:highlight w:val="none"/>
          <w:lang w:eastAsia="zh-Hans"/>
        </w:rPr>
        <w:t>条款未响应或不满足，将根据评审要求影响其得分，但不作为无效</w:t>
      </w:r>
      <w:r>
        <w:rPr>
          <w:rFonts w:hint="eastAsia" w:ascii="宋体" w:hAnsi="宋体"/>
          <w:kern w:val="0"/>
          <w:szCs w:val="21"/>
          <w:highlight w:val="none"/>
          <w:lang w:eastAsia="zh-Hans"/>
        </w:rPr>
        <w:t>响应</w:t>
      </w:r>
      <w:r>
        <w:rPr>
          <w:rFonts w:ascii="宋体" w:hAnsi="宋体"/>
          <w:kern w:val="0"/>
          <w:szCs w:val="21"/>
          <w:highlight w:val="none"/>
          <w:lang w:eastAsia="zh-Hans"/>
        </w:rPr>
        <w:t>条款。</w:t>
      </w:r>
    </w:p>
    <w:p w14:paraId="0A7F51B4">
      <w:pPr>
        <w:widowControl/>
        <w:jc w:val="left"/>
        <w:rPr>
          <w:rFonts w:ascii="宋体" w:hAnsi="宋体"/>
          <w:kern w:val="0"/>
          <w:szCs w:val="21"/>
          <w:highlight w:val="none"/>
          <w:lang w:eastAsia="zh-Hans"/>
        </w:rPr>
      </w:pPr>
      <w:r>
        <w:rPr>
          <w:rFonts w:ascii="宋体" w:hAnsi="宋体"/>
          <w:kern w:val="0"/>
          <w:szCs w:val="21"/>
          <w:highlight w:val="none"/>
          <w:lang w:eastAsia="zh-Hans"/>
        </w:rPr>
        <w:t>4.“是否偏离”项下应按下列规定填写：优于的，填写“正偏离”；符合的，填写“无偏离”；低于的，填写“负偏离”。</w:t>
      </w:r>
    </w:p>
    <w:p w14:paraId="516E1778">
      <w:pPr>
        <w:widowControl/>
        <w:jc w:val="left"/>
        <w:rPr>
          <w:kern w:val="0"/>
          <w:sz w:val="20"/>
          <w:szCs w:val="20"/>
          <w:highlight w:val="none"/>
          <w:lang w:eastAsia="zh-Hans"/>
        </w:rPr>
      </w:pPr>
      <w:r>
        <w:rPr>
          <w:rFonts w:ascii="宋体" w:hAnsi="宋体"/>
          <w:kern w:val="0"/>
          <w:szCs w:val="21"/>
          <w:highlight w:val="none"/>
          <w:lang w:eastAsia="zh-Hans"/>
        </w:rPr>
        <w:t>5.“备注”处可填写偏离情况的说明。</w:t>
      </w:r>
    </w:p>
    <w:p w14:paraId="07872F76">
      <w:pPr>
        <w:widowControl/>
        <w:spacing w:before="624" w:beforeLines="200" w:line="30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683485AD">
      <w:pPr>
        <w:widowControl/>
        <w:jc w:val="left"/>
        <w:rPr>
          <w:kern w:val="0"/>
          <w:sz w:val="20"/>
          <w:szCs w:val="20"/>
          <w:highlight w:val="none"/>
          <w:lang w:eastAsia="zh-Hans"/>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2143F76A">
      <w:pPr>
        <w:rPr>
          <w:rFonts w:ascii="宋体" w:hAnsi="宋体"/>
          <w:b/>
          <w:bCs/>
          <w:sz w:val="24"/>
          <w:szCs w:val="28"/>
          <w:highlight w:val="none"/>
        </w:rPr>
      </w:pPr>
      <w:bookmarkStart w:id="59" w:name="_Toc169799802"/>
      <w:r>
        <w:rPr>
          <w:rFonts w:ascii="宋体" w:hAnsi="宋体"/>
          <w:b/>
          <w:bCs/>
          <w:sz w:val="24"/>
          <w:szCs w:val="28"/>
          <w:highlight w:val="none"/>
        </w:rPr>
        <w:br w:type="page"/>
      </w:r>
    </w:p>
    <w:p w14:paraId="28126855">
      <w:pPr>
        <w:pageBreakBefore/>
        <w:rPr>
          <w:kern w:val="0"/>
          <w:sz w:val="20"/>
          <w:szCs w:val="20"/>
          <w:highlight w:val="none"/>
          <w:lang w:eastAsia="zh-Hans"/>
        </w:rPr>
      </w:pPr>
      <w:r>
        <w:rPr>
          <w:rFonts w:ascii="宋体" w:hAnsi="宋体"/>
          <w:b/>
          <w:bCs/>
          <w:sz w:val="24"/>
          <w:szCs w:val="28"/>
          <w:highlight w:val="none"/>
        </w:rPr>
        <w:t>格式</w:t>
      </w:r>
      <w:r>
        <w:rPr>
          <w:rFonts w:hint="eastAsia" w:ascii="宋体" w:hAnsi="宋体"/>
          <w:b/>
          <w:bCs/>
          <w:sz w:val="24"/>
          <w:szCs w:val="28"/>
          <w:highlight w:val="none"/>
          <w:lang w:val="en-US" w:eastAsia="zh-CN"/>
        </w:rPr>
        <w:t>十七</w:t>
      </w:r>
      <w:r>
        <w:rPr>
          <w:rFonts w:ascii="宋体" w:hAnsi="宋体"/>
          <w:b/>
          <w:bCs/>
          <w:sz w:val="24"/>
          <w:szCs w:val="28"/>
          <w:highlight w:val="none"/>
        </w:rPr>
        <w:t>：</w:t>
      </w:r>
    </w:p>
    <w:p w14:paraId="6BD3F591">
      <w:pPr>
        <w:spacing w:before="312" w:beforeLines="100" w:after="312" w:afterLines="100"/>
        <w:jc w:val="center"/>
        <w:rPr>
          <w:rFonts w:hint="eastAsia" w:ascii="宋体" w:hAnsi="宋体" w:eastAsia="宋体" w:cs="宋体"/>
          <w:sz w:val="32"/>
          <w:szCs w:val="32"/>
          <w:highlight w:val="none"/>
        </w:rPr>
      </w:pPr>
      <w:r>
        <w:rPr>
          <w:rFonts w:hint="eastAsia" w:ascii="宋体" w:hAnsi="宋体" w:eastAsia="宋体" w:cs="宋体"/>
          <w:b/>
          <w:spacing w:val="20"/>
          <w:sz w:val="32"/>
          <w:szCs w:val="32"/>
          <w:highlight w:val="none"/>
        </w:rPr>
        <w:t>★号条款响应表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38"/>
        <w:gridCol w:w="2008"/>
        <w:gridCol w:w="2008"/>
        <w:gridCol w:w="1295"/>
      </w:tblGrid>
      <w:tr w14:paraId="0195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95" w:type="pct"/>
            <w:shd w:val="clear" w:color="auto" w:fill="auto"/>
            <w:vAlign w:val="center"/>
          </w:tcPr>
          <w:p w14:paraId="27B53DAE">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1743" w:type="pct"/>
            <w:shd w:val="clear" w:color="auto" w:fill="auto"/>
            <w:vAlign w:val="center"/>
          </w:tcPr>
          <w:p w14:paraId="6F0C154C">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采购需求★号条款要求</w:t>
            </w:r>
          </w:p>
        </w:tc>
        <w:tc>
          <w:tcPr>
            <w:tcW w:w="1081" w:type="pct"/>
            <w:shd w:val="clear" w:color="auto" w:fill="auto"/>
            <w:vAlign w:val="center"/>
          </w:tcPr>
          <w:p w14:paraId="3D9A03B0">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供应商响应内容</w:t>
            </w:r>
          </w:p>
        </w:tc>
        <w:tc>
          <w:tcPr>
            <w:tcW w:w="1081" w:type="pct"/>
            <w:shd w:val="clear" w:color="auto" w:fill="auto"/>
            <w:vAlign w:val="center"/>
          </w:tcPr>
          <w:p w14:paraId="1A5FAFD4">
            <w:pPr>
              <w:spacing w:line="360" w:lineRule="auto"/>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是否偏离</w:t>
            </w:r>
          </w:p>
        </w:tc>
        <w:tc>
          <w:tcPr>
            <w:tcW w:w="697" w:type="pct"/>
            <w:shd w:val="clear" w:color="auto" w:fill="auto"/>
            <w:vAlign w:val="center"/>
          </w:tcPr>
          <w:p w14:paraId="63E9209F">
            <w:pPr>
              <w:spacing w:line="360" w:lineRule="auto"/>
              <w:jc w:val="center"/>
              <w:rPr>
                <w:rFonts w:hint="eastAsia" w:ascii="宋体" w:hAnsi="宋体" w:eastAsia="宋体" w:cs="宋体"/>
                <w:b/>
                <w:bCs/>
                <w:highlight w:val="none"/>
              </w:rPr>
            </w:pPr>
            <w:r>
              <w:rPr>
                <w:rFonts w:hint="eastAsia" w:ascii="宋体" w:hAnsi="宋体" w:eastAsia="宋体" w:cs="宋体"/>
                <w:b/>
                <w:bCs/>
                <w:kern w:val="0"/>
                <w:szCs w:val="21"/>
                <w:highlight w:val="none"/>
                <w:lang w:eastAsia="zh-Hans"/>
              </w:rPr>
              <w:t>证明文件所在位置</w:t>
            </w:r>
          </w:p>
        </w:tc>
      </w:tr>
      <w:tr w14:paraId="0B7A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shd w:val="clear" w:color="auto" w:fill="auto"/>
            <w:vAlign w:val="center"/>
          </w:tcPr>
          <w:p w14:paraId="57DD3DF8">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1</w:t>
            </w:r>
          </w:p>
        </w:tc>
        <w:tc>
          <w:tcPr>
            <w:tcW w:w="1743" w:type="pct"/>
            <w:shd w:val="clear" w:color="auto" w:fill="auto"/>
          </w:tcPr>
          <w:p w14:paraId="5D9F3E3E">
            <w:pPr>
              <w:spacing w:line="360" w:lineRule="auto"/>
              <w:rPr>
                <w:rFonts w:hint="eastAsia" w:ascii="宋体" w:hAnsi="宋体" w:eastAsia="宋体" w:cs="宋体"/>
                <w:highlight w:val="none"/>
              </w:rPr>
            </w:pPr>
          </w:p>
        </w:tc>
        <w:tc>
          <w:tcPr>
            <w:tcW w:w="1081" w:type="pct"/>
            <w:shd w:val="clear" w:color="auto" w:fill="auto"/>
          </w:tcPr>
          <w:p w14:paraId="4123AC16">
            <w:pPr>
              <w:spacing w:line="360" w:lineRule="auto"/>
              <w:rPr>
                <w:rFonts w:hint="eastAsia" w:ascii="宋体" w:hAnsi="宋体" w:eastAsia="宋体" w:cs="宋体"/>
                <w:highlight w:val="none"/>
              </w:rPr>
            </w:pPr>
          </w:p>
        </w:tc>
        <w:tc>
          <w:tcPr>
            <w:tcW w:w="1081" w:type="pct"/>
            <w:shd w:val="clear" w:color="auto" w:fill="auto"/>
          </w:tcPr>
          <w:p w14:paraId="108DA07C">
            <w:pPr>
              <w:spacing w:line="360" w:lineRule="auto"/>
              <w:rPr>
                <w:rFonts w:hint="eastAsia" w:ascii="宋体" w:hAnsi="宋体" w:eastAsia="宋体" w:cs="宋体"/>
                <w:highlight w:val="none"/>
              </w:rPr>
            </w:pPr>
          </w:p>
        </w:tc>
        <w:tc>
          <w:tcPr>
            <w:tcW w:w="697" w:type="pct"/>
            <w:shd w:val="clear" w:color="auto" w:fill="auto"/>
          </w:tcPr>
          <w:p w14:paraId="24527C61">
            <w:pPr>
              <w:spacing w:line="360" w:lineRule="auto"/>
              <w:rPr>
                <w:rFonts w:hint="eastAsia" w:ascii="宋体" w:hAnsi="宋体" w:eastAsia="宋体" w:cs="宋体"/>
                <w:highlight w:val="none"/>
              </w:rPr>
            </w:pPr>
          </w:p>
        </w:tc>
      </w:tr>
      <w:tr w14:paraId="327A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shd w:val="clear" w:color="auto" w:fill="auto"/>
            <w:vAlign w:val="center"/>
          </w:tcPr>
          <w:p w14:paraId="7291291C">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2</w:t>
            </w:r>
          </w:p>
        </w:tc>
        <w:tc>
          <w:tcPr>
            <w:tcW w:w="1743" w:type="pct"/>
            <w:shd w:val="clear" w:color="auto" w:fill="auto"/>
          </w:tcPr>
          <w:p w14:paraId="45E2FBF3">
            <w:pPr>
              <w:spacing w:line="360" w:lineRule="auto"/>
              <w:rPr>
                <w:rFonts w:hint="eastAsia" w:ascii="宋体" w:hAnsi="宋体" w:eastAsia="宋体" w:cs="宋体"/>
                <w:highlight w:val="none"/>
              </w:rPr>
            </w:pPr>
          </w:p>
        </w:tc>
        <w:tc>
          <w:tcPr>
            <w:tcW w:w="1081" w:type="pct"/>
            <w:shd w:val="clear" w:color="auto" w:fill="auto"/>
          </w:tcPr>
          <w:p w14:paraId="2FE87EF5">
            <w:pPr>
              <w:spacing w:line="360" w:lineRule="auto"/>
              <w:rPr>
                <w:rFonts w:hint="eastAsia" w:ascii="宋体" w:hAnsi="宋体" w:eastAsia="宋体" w:cs="宋体"/>
                <w:highlight w:val="none"/>
              </w:rPr>
            </w:pPr>
          </w:p>
        </w:tc>
        <w:tc>
          <w:tcPr>
            <w:tcW w:w="1081" w:type="pct"/>
            <w:shd w:val="clear" w:color="auto" w:fill="auto"/>
          </w:tcPr>
          <w:p w14:paraId="055B4324">
            <w:pPr>
              <w:spacing w:line="360" w:lineRule="auto"/>
              <w:rPr>
                <w:rFonts w:hint="eastAsia" w:ascii="宋体" w:hAnsi="宋体" w:eastAsia="宋体" w:cs="宋体"/>
                <w:highlight w:val="none"/>
              </w:rPr>
            </w:pPr>
          </w:p>
        </w:tc>
        <w:tc>
          <w:tcPr>
            <w:tcW w:w="697" w:type="pct"/>
            <w:shd w:val="clear" w:color="auto" w:fill="auto"/>
          </w:tcPr>
          <w:p w14:paraId="192B7028">
            <w:pPr>
              <w:spacing w:line="360" w:lineRule="auto"/>
              <w:rPr>
                <w:rFonts w:hint="eastAsia" w:ascii="宋体" w:hAnsi="宋体" w:eastAsia="宋体" w:cs="宋体"/>
                <w:highlight w:val="none"/>
              </w:rPr>
            </w:pPr>
          </w:p>
        </w:tc>
      </w:tr>
      <w:tr w14:paraId="1DB0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shd w:val="clear" w:color="auto" w:fill="auto"/>
            <w:vAlign w:val="center"/>
          </w:tcPr>
          <w:p w14:paraId="1D70487E">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3</w:t>
            </w:r>
          </w:p>
        </w:tc>
        <w:tc>
          <w:tcPr>
            <w:tcW w:w="1743" w:type="pct"/>
            <w:shd w:val="clear" w:color="auto" w:fill="auto"/>
          </w:tcPr>
          <w:p w14:paraId="7799DAFE">
            <w:pPr>
              <w:spacing w:line="360" w:lineRule="auto"/>
              <w:rPr>
                <w:rFonts w:hint="eastAsia" w:ascii="宋体" w:hAnsi="宋体" w:eastAsia="宋体" w:cs="宋体"/>
                <w:highlight w:val="none"/>
              </w:rPr>
            </w:pPr>
          </w:p>
        </w:tc>
        <w:tc>
          <w:tcPr>
            <w:tcW w:w="1081" w:type="pct"/>
            <w:shd w:val="clear" w:color="auto" w:fill="auto"/>
          </w:tcPr>
          <w:p w14:paraId="64733E94">
            <w:pPr>
              <w:spacing w:line="360" w:lineRule="auto"/>
              <w:rPr>
                <w:rFonts w:hint="eastAsia" w:ascii="宋体" w:hAnsi="宋体" w:eastAsia="宋体" w:cs="宋体"/>
                <w:highlight w:val="none"/>
              </w:rPr>
            </w:pPr>
          </w:p>
        </w:tc>
        <w:tc>
          <w:tcPr>
            <w:tcW w:w="1081" w:type="pct"/>
            <w:shd w:val="clear" w:color="auto" w:fill="auto"/>
          </w:tcPr>
          <w:p w14:paraId="34349ACB">
            <w:pPr>
              <w:spacing w:line="360" w:lineRule="auto"/>
              <w:rPr>
                <w:rFonts w:hint="eastAsia" w:ascii="宋体" w:hAnsi="宋体" w:eastAsia="宋体" w:cs="宋体"/>
                <w:highlight w:val="none"/>
              </w:rPr>
            </w:pPr>
          </w:p>
        </w:tc>
        <w:tc>
          <w:tcPr>
            <w:tcW w:w="697" w:type="pct"/>
            <w:shd w:val="clear" w:color="auto" w:fill="auto"/>
          </w:tcPr>
          <w:p w14:paraId="61232E38">
            <w:pPr>
              <w:spacing w:line="360" w:lineRule="auto"/>
              <w:rPr>
                <w:rFonts w:hint="eastAsia" w:ascii="宋体" w:hAnsi="宋体" w:eastAsia="宋体" w:cs="宋体"/>
                <w:highlight w:val="none"/>
              </w:rPr>
            </w:pPr>
          </w:p>
        </w:tc>
      </w:tr>
      <w:tr w14:paraId="36E0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shd w:val="clear" w:color="auto" w:fill="auto"/>
            <w:vAlign w:val="center"/>
          </w:tcPr>
          <w:p w14:paraId="290D3B51">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4</w:t>
            </w:r>
          </w:p>
        </w:tc>
        <w:tc>
          <w:tcPr>
            <w:tcW w:w="1743" w:type="pct"/>
            <w:shd w:val="clear" w:color="auto" w:fill="auto"/>
          </w:tcPr>
          <w:p w14:paraId="7BA9582E">
            <w:pPr>
              <w:spacing w:line="360" w:lineRule="auto"/>
              <w:rPr>
                <w:rFonts w:hint="eastAsia" w:ascii="宋体" w:hAnsi="宋体" w:eastAsia="宋体" w:cs="宋体"/>
                <w:highlight w:val="none"/>
              </w:rPr>
            </w:pPr>
          </w:p>
        </w:tc>
        <w:tc>
          <w:tcPr>
            <w:tcW w:w="1081" w:type="pct"/>
            <w:shd w:val="clear" w:color="auto" w:fill="auto"/>
          </w:tcPr>
          <w:p w14:paraId="2AA8E109">
            <w:pPr>
              <w:spacing w:line="360" w:lineRule="auto"/>
              <w:rPr>
                <w:rFonts w:hint="eastAsia" w:ascii="宋体" w:hAnsi="宋体" w:eastAsia="宋体" w:cs="宋体"/>
                <w:highlight w:val="none"/>
              </w:rPr>
            </w:pPr>
          </w:p>
        </w:tc>
        <w:tc>
          <w:tcPr>
            <w:tcW w:w="1081" w:type="pct"/>
            <w:shd w:val="clear" w:color="auto" w:fill="auto"/>
          </w:tcPr>
          <w:p w14:paraId="2BCDE7B8">
            <w:pPr>
              <w:spacing w:line="360" w:lineRule="auto"/>
              <w:rPr>
                <w:rFonts w:hint="eastAsia" w:ascii="宋体" w:hAnsi="宋体" w:eastAsia="宋体" w:cs="宋体"/>
                <w:highlight w:val="none"/>
              </w:rPr>
            </w:pPr>
          </w:p>
        </w:tc>
        <w:tc>
          <w:tcPr>
            <w:tcW w:w="697" w:type="pct"/>
            <w:shd w:val="clear" w:color="auto" w:fill="auto"/>
          </w:tcPr>
          <w:p w14:paraId="153F4255">
            <w:pPr>
              <w:spacing w:line="360" w:lineRule="auto"/>
              <w:rPr>
                <w:rFonts w:hint="eastAsia" w:ascii="宋体" w:hAnsi="宋体" w:eastAsia="宋体" w:cs="宋体"/>
                <w:highlight w:val="none"/>
              </w:rPr>
            </w:pPr>
          </w:p>
        </w:tc>
      </w:tr>
      <w:tr w14:paraId="723D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shd w:val="clear" w:color="auto" w:fill="auto"/>
            <w:vAlign w:val="center"/>
          </w:tcPr>
          <w:p w14:paraId="5A79B570">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w:t>
            </w:r>
          </w:p>
        </w:tc>
        <w:tc>
          <w:tcPr>
            <w:tcW w:w="1743" w:type="pct"/>
            <w:shd w:val="clear" w:color="auto" w:fill="auto"/>
          </w:tcPr>
          <w:p w14:paraId="0A32603C">
            <w:pPr>
              <w:spacing w:line="360" w:lineRule="auto"/>
              <w:rPr>
                <w:rFonts w:hint="eastAsia" w:ascii="宋体" w:hAnsi="宋体" w:eastAsia="宋体" w:cs="宋体"/>
                <w:highlight w:val="none"/>
              </w:rPr>
            </w:pPr>
          </w:p>
        </w:tc>
        <w:tc>
          <w:tcPr>
            <w:tcW w:w="1081" w:type="pct"/>
            <w:shd w:val="clear" w:color="auto" w:fill="auto"/>
          </w:tcPr>
          <w:p w14:paraId="49A28968">
            <w:pPr>
              <w:spacing w:line="360" w:lineRule="auto"/>
              <w:rPr>
                <w:rFonts w:hint="eastAsia" w:ascii="宋体" w:hAnsi="宋体" w:eastAsia="宋体" w:cs="宋体"/>
                <w:highlight w:val="none"/>
              </w:rPr>
            </w:pPr>
          </w:p>
        </w:tc>
        <w:tc>
          <w:tcPr>
            <w:tcW w:w="1081" w:type="pct"/>
            <w:shd w:val="clear" w:color="auto" w:fill="auto"/>
          </w:tcPr>
          <w:p w14:paraId="7B7E29AD">
            <w:pPr>
              <w:spacing w:line="360" w:lineRule="auto"/>
              <w:rPr>
                <w:rFonts w:hint="eastAsia" w:ascii="宋体" w:hAnsi="宋体" w:eastAsia="宋体" w:cs="宋体"/>
                <w:highlight w:val="none"/>
              </w:rPr>
            </w:pPr>
          </w:p>
        </w:tc>
        <w:tc>
          <w:tcPr>
            <w:tcW w:w="697" w:type="pct"/>
            <w:shd w:val="clear" w:color="auto" w:fill="auto"/>
          </w:tcPr>
          <w:p w14:paraId="3211DC51">
            <w:pPr>
              <w:spacing w:line="360" w:lineRule="auto"/>
              <w:rPr>
                <w:rFonts w:hint="eastAsia" w:ascii="宋体" w:hAnsi="宋体" w:eastAsia="宋体" w:cs="宋体"/>
                <w:highlight w:val="none"/>
              </w:rPr>
            </w:pPr>
          </w:p>
        </w:tc>
      </w:tr>
    </w:tbl>
    <w:p w14:paraId="4A47BD1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highlight w:val="none"/>
        </w:rPr>
      </w:pPr>
      <w:r>
        <w:rPr>
          <w:rFonts w:hint="eastAsia" w:ascii="宋体" w:hAnsi="宋体" w:cs="宋体"/>
          <w:highlight w:val="none"/>
          <w:lang w:val="en-US" w:eastAsia="zh-CN"/>
        </w:rPr>
        <w:t>说</w:t>
      </w:r>
      <w:r>
        <w:rPr>
          <w:rFonts w:hint="eastAsia" w:ascii="宋体" w:hAnsi="宋体" w:eastAsia="宋体" w:cs="宋体"/>
          <w:highlight w:val="none"/>
        </w:rPr>
        <w:t>明：</w:t>
      </w:r>
    </w:p>
    <w:p w14:paraId="3D2E69C9">
      <w:pPr>
        <w:pStyle w:val="1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highlight w:val="none"/>
        </w:rPr>
      </w:pPr>
      <w:r>
        <w:rPr>
          <w:rFonts w:hint="eastAsia" w:ascii="宋体" w:hAnsi="宋体" w:cs="宋体"/>
          <w:highlight w:val="none"/>
          <w:lang w:val="en-US" w:eastAsia="zh-CN"/>
        </w:rPr>
        <w:t>1.</w:t>
      </w:r>
      <w:r>
        <w:rPr>
          <w:rFonts w:hint="eastAsia" w:ascii="宋体" w:hAnsi="宋体" w:eastAsia="宋体" w:cs="宋体"/>
          <w:highlight w:val="none"/>
        </w:rPr>
        <w:t>响应供应商必须对应磋商文件</w:t>
      </w:r>
      <w:r>
        <w:rPr>
          <w:rFonts w:hint="eastAsia" w:ascii="宋体" w:hAnsi="宋体" w:eastAsia="宋体" w:cs="宋体"/>
          <w:b/>
          <w:bCs/>
          <w:highlight w:val="none"/>
        </w:rPr>
        <w:t>“采购需求”</w:t>
      </w:r>
      <w:r>
        <w:rPr>
          <w:rFonts w:hint="eastAsia" w:ascii="宋体" w:hAnsi="宋体" w:eastAsia="宋体" w:cs="宋体"/>
          <w:highlight w:val="none"/>
        </w:rPr>
        <w:t>中的实质性条款(即★号条款)逐条应答并按要求填写表格；</w:t>
      </w:r>
    </w:p>
    <w:p w14:paraId="389D079B">
      <w:pPr>
        <w:pStyle w:val="14"/>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highlight w:val="none"/>
        </w:rPr>
      </w:pPr>
      <w:r>
        <w:rPr>
          <w:rFonts w:hint="eastAsia" w:ascii="宋体" w:hAnsi="宋体" w:cs="宋体"/>
          <w:highlight w:val="none"/>
          <w:lang w:val="en-US" w:eastAsia="zh-CN"/>
        </w:rPr>
        <w:t>2.</w:t>
      </w:r>
      <w:r>
        <w:rPr>
          <w:rFonts w:hint="eastAsia" w:ascii="宋体" w:hAnsi="宋体" w:eastAsia="宋体" w:cs="宋体"/>
          <w:highlight w:val="none"/>
        </w:rPr>
        <w:t>若磋商文件</w:t>
      </w:r>
      <w:r>
        <w:rPr>
          <w:rFonts w:hint="eastAsia" w:ascii="宋体" w:hAnsi="宋体" w:eastAsia="宋体" w:cs="宋体"/>
          <w:b/>
          <w:bCs/>
          <w:highlight w:val="none"/>
        </w:rPr>
        <w:t>“采购需求”</w:t>
      </w:r>
      <w:r>
        <w:rPr>
          <w:rFonts w:hint="eastAsia" w:ascii="宋体" w:hAnsi="宋体" w:eastAsia="宋体" w:cs="宋体"/>
          <w:highlight w:val="none"/>
        </w:rPr>
        <w:t>中的实质性条款中规定须提交相关证明文件的，须按要求提供，并作为附件附于表格后。未按要求提供或未提供完整的，视为负偏离处理。</w:t>
      </w:r>
    </w:p>
    <w:p w14:paraId="7B399900">
      <w:pPr>
        <w:spacing w:line="360" w:lineRule="auto"/>
        <w:rPr>
          <w:rFonts w:hint="eastAsia" w:ascii="宋体" w:hAnsi="宋体" w:eastAsia="宋体" w:cs="宋体"/>
          <w:szCs w:val="21"/>
          <w:highlight w:val="none"/>
        </w:rPr>
      </w:pPr>
    </w:p>
    <w:p w14:paraId="6BAF9114">
      <w:pPr>
        <w:spacing w:line="360" w:lineRule="auto"/>
        <w:rPr>
          <w:rFonts w:hint="eastAsia" w:ascii="宋体" w:hAnsi="宋体" w:eastAsia="宋体" w:cs="宋体"/>
          <w:szCs w:val="21"/>
          <w:highlight w:val="none"/>
        </w:rPr>
      </w:pPr>
    </w:p>
    <w:p w14:paraId="495DA4AD">
      <w:pPr>
        <w:spacing w:line="360" w:lineRule="auto"/>
        <w:rPr>
          <w:rFonts w:hint="eastAsia" w:ascii="宋体" w:hAnsi="宋体" w:eastAsia="宋体" w:cs="宋体"/>
          <w:szCs w:val="21"/>
          <w:highlight w:val="none"/>
        </w:rPr>
      </w:pPr>
    </w:p>
    <w:p w14:paraId="54F599DC">
      <w:pPr>
        <w:widowControl/>
        <w:spacing w:before="624" w:beforeLines="200" w:line="300" w:lineRule="auto"/>
        <w:jc w:val="left"/>
        <w:rPr>
          <w:rFonts w:ascii="宋体" w:hAnsi="宋体"/>
          <w:kern w:val="0"/>
          <w:szCs w:val="21"/>
          <w:highlight w:val="none"/>
          <w:lang w:eastAsia="zh-Hans"/>
        </w:rPr>
      </w:pPr>
      <w:r>
        <w:rPr>
          <w:rFonts w:ascii="宋体" w:hAnsi="宋体"/>
          <w:kern w:val="0"/>
          <w:szCs w:val="21"/>
          <w:highlight w:val="none"/>
          <w:lang w:eastAsia="zh-Hans"/>
        </w:rPr>
        <w:t>供应商名称</w:t>
      </w:r>
      <w:r>
        <w:rPr>
          <w:rFonts w:hint="eastAsia" w:ascii="宋体" w:hAnsi="宋体"/>
          <w:color w:val="000000" w:themeColor="text1"/>
          <w:szCs w:val="21"/>
          <w:highlight w:val="none"/>
          <w14:textFill>
            <w14:solidFill>
              <w14:schemeClr w14:val="tx1"/>
            </w14:solidFill>
          </w14:textFill>
        </w:rPr>
        <w:t>（加盖公章）</w:t>
      </w:r>
      <w:r>
        <w:rPr>
          <w:rFonts w:ascii="宋体" w:hAnsi="宋体"/>
          <w:kern w:val="0"/>
          <w:szCs w:val="21"/>
          <w:highlight w:val="none"/>
          <w:lang w:eastAsia="zh-Hans"/>
        </w:rPr>
        <w:t>：__________________</w:t>
      </w:r>
    </w:p>
    <w:p w14:paraId="2F673520">
      <w:pPr>
        <w:widowControl/>
        <w:jc w:val="left"/>
        <w:rPr>
          <w:kern w:val="0"/>
          <w:sz w:val="20"/>
          <w:szCs w:val="20"/>
          <w:highlight w:val="none"/>
          <w:lang w:eastAsia="zh-Hans"/>
        </w:rPr>
      </w:pPr>
      <w:r>
        <w:rPr>
          <w:rFonts w:ascii="宋体" w:hAnsi="宋体"/>
          <w:kern w:val="0"/>
          <w:szCs w:val="21"/>
          <w:highlight w:val="none"/>
          <w:lang w:eastAsia="zh-Hans"/>
        </w:rPr>
        <w:t xml:space="preserve">日期： </w:t>
      </w:r>
      <w:r>
        <w:rPr>
          <w:rFonts w:hint="eastAsia" w:ascii="宋体" w:hAnsi="宋体"/>
          <w:kern w:val="0"/>
          <w:szCs w:val="21"/>
          <w:highlight w:val="none"/>
        </w:rPr>
        <w:t xml:space="preserve">   </w:t>
      </w:r>
      <w:r>
        <w:rPr>
          <w:rFonts w:ascii="宋体" w:hAnsi="宋体"/>
          <w:kern w:val="0"/>
          <w:szCs w:val="21"/>
          <w:highlight w:val="none"/>
          <w:lang w:eastAsia="zh-Hans"/>
        </w:rPr>
        <w:t xml:space="preserve">年 </w:t>
      </w:r>
      <w:r>
        <w:rPr>
          <w:rFonts w:hint="eastAsia" w:ascii="宋体" w:hAnsi="宋体"/>
          <w:kern w:val="0"/>
          <w:szCs w:val="21"/>
          <w:highlight w:val="none"/>
        </w:rPr>
        <w:t xml:space="preserve"> </w:t>
      </w:r>
      <w:r>
        <w:rPr>
          <w:rFonts w:ascii="宋体" w:hAnsi="宋体"/>
          <w:kern w:val="0"/>
          <w:szCs w:val="21"/>
          <w:highlight w:val="none"/>
          <w:lang w:eastAsia="zh-Hans"/>
        </w:rPr>
        <w:t xml:space="preserve">月 </w:t>
      </w:r>
      <w:r>
        <w:rPr>
          <w:rFonts w:hint="eastAsia" w:ascii="宋体" w:hAnsi="宋体"/>
          <w:kern w:val="0"/>
          <w:szCs w:val="21"/>
          <w:highlight w:val="none"/>
        </w:rPr>
        <w:t xml:space="preserve"> </w:t>
      </w:r>
      <w:r>
        <w:rPr>
          <w:rFonts w:ascii="宋体" w:hAnsi="宋体"/>
          <w:kern w:val="0"/>
          <w:szCs w:val="21"/>
          <w:highlight w:val="none"/>
          <w:lang w:eastAsia="zh-Hans"/>
        </w:rPr>
        <w:t>日</w:t>
      </w:r>
    </w:p>
    <w:p w14:paraId="7413BD1A">
      <w:pPr>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br w:type="page"/>
      </w:r>
    </w:p>
    <w:p w14:paraId="41F92673">
      <w:pPr>
        <w:pageBreakBefore/>
        <w:rPr>
          <w:kern w:val="0"/>
          <w:sz w:val="20"/>
          <w:szCs w:val="20"/>
          <w:highlight w:val="none"/>
          <w:lang w:eastAsia="zh-Hans"/>
        </w:rPr>
      </w:pPr>
      <w:r>
        <w:rPr>
          <w:rFonts w:ascii="宋体" w:hAnsi="宋体"/>
          <w:b/>
          <w:bCs/>
          <w:sz w:val="24"/>
          <w:szCs w:val="28"/>
          <w:highlight w:val="none"/>
        </w:rPr>
        <w:t>格式</w:t>
      </w:r>
      <w:r>
        <w:rPr>
          <w:rFonts w:hint="eastAsia" w:ascii="宋体" w:hAnsi="宋体"/>
          <w:b/>
          <w:bCs/>
          <w:sz w:val="24"/>
          <w:szCs w:val="28"/>
          <w:highlight w:val="none"/>
          <w:lang w:val="en-US" w:eastAsia="zh-CN"/>
        </w:rPr>
        <w:t>十八</w:t>
      </w:r>
      <w:r>
        <w:rPr>
          <w:rFonts w:ascii="宋体" w:hAnsi="宋体"/>
          <w:b/>
          <w:bCs/>
          <w:sz w:val="24"/>
          <w:szCs w:val="28"/>
          <w:highlight w:val="none"/>
        </w:rPr>
        <w:t>：</w:t>
      </w:r>
      <w:bookmarkEnd w:id="59"/>
    </w:p>
    <w:p w14:paraId="0E44D323">
      <w:pPr>
        <w:widowControl/>
        <w:jc w:val="left"/>
        <w:rPr>
          <w:kern w:val="0"/>
          <w:szCs w:val="21"/>
          <w:highlight w:val="none"/>
          <w:lang w:eastAsia="zh-Hans"/>
        </w:rPr>
      </w:pPr>
      <w:r>
        <w:rPr>
          <w:kern w:val="0"/>
          <w:szCs w:val="21"/>
          <w:highlight w:val="none"/>
          <w:lang w:eastAsia="zh-Hans"/>
        </w:rPr>
        <w:t>（以下格式文件由供应商根据需要选用）</w:t>
      </w:r>
    </w:p>
    <w:p w14:paraId="01649287">
      <w:pPr>
        <w:widowControl/>
        <w:spacing w:before="156" w:beforeLines="50" w:after="312" w:afterLines="100"/>
        <w:jc w:val="center"/>
        <w:outlineLvl w:val="3"/>
        <w:rPr>
          <w:kern w:val="0"/>
          <w:sz w:val="20"/>
          <w:szCs w:val="20"/>
          <w:highlight w:val="none"/>
          <w:lang w:eastAsia="zh-Hans"/>
        </w:rPr>
      </w:pPr>
      <w:r>
        <w:rPr>
          <w:b/>
          <w:kern w:val="0"/>
          <w:sz w:val="32"/>
          <w:highlight w:val="none"/>
          <w:lang w:eastAsia="zh-Hans"/>
        </w:rPr>
        <w:t>各类证明材料</w:t>
      </w:r>
    </w:p>
    <w:p w14:paraId="0A55E9FC">
      <w:pPr>
        <w:widowControl/>
        <w:jc w:val="left"/>
        <w:rPr>
          <w:rFonts w:ascii="宋体" w:hAnsi="宋体"/>
          <w:kern w:val="0"/>
          <w:szCs w:val="21"/>
          <w:highlight w:val="none"/>
          <w:lang w:eastAsia="zh-Hans"/>
        </w:rPr>
      </w:pPr>
      <w:r>
        <w:rPr>
          <w:rFonts w:ascii="宋体" w:hAnsi="宋体"/>
          <w:kern w:val="0"/>
          <w:szCs w:val="21"/>
          <w:highlight w:val="none"/>
          <w:lang w:eastAsia="zh-Hans"/>
        </w:rPr>
        <w:t>1.磋商文件要求提供的其他资料。</w:t>
      </w:r>
    </w:p>
    <w:p w14:paraId="1CFE3115">
      <w:pPr>
        <w:widowControl/>
        <w:jc w:val="left"/>
        <w:rPr>
          <w:rFonts w:ascii="宋体" w:hAnsi="宋体"/>
          <w:kern w:val="0"/>
          <w:szCs w:val="21"/>
          <w:highlight w:val="none"/>
          <w:lang w:eastAsia="zh-Hans"/>
        </w:rPr>
      </w:pPr>
      <w:r>
        <w:rPr>
          <w:rFonts w:ascii="宋体" w:hAnsi="宋体"/>
          <w:kern w:val="0"/>
          <w:szCs w:val="21"/>
          <w:highlight w:val="none"/>
          <w:lang w:eastAsia="zh-Hans"/>
        </w:rPr>
        <w:t>2.供应商认为需提供的其他资料。</w:t>
      </w:r>
    </w:p>
    <w:p w14:paraId="5EADAB03">
      <w:pPr>
        <w:widowControl/>
        <w:jc w:val="left"/>
        <w:rPr>
          <w:kern w:val="0"/>
          <w:sz w:val="20"/>
          <w:szCs w:val="20"/>
          <w:highlight w:val="none"/>
          <w:lang w:eastAsia="zh-Hans"/>
        </w:rPr>
      </w:pPr>
    </w:p>
    <w:p w14:paraId="47867302">
      <w:pPr>
        <w:pageBreakBefore/>
        <w:rPr>
          <w:kern w:val="0"/>
          <w:sz w:val="20"/>
          <w:szCs w:val="20"/>
          <w:highlight w:val="none"/>
          <w:lang w:eastAsia="zh-Hans"/>
        </w:rPr>
      </w:pPr>
      <w:bookmarkStart w:id="60" w:name="_Toc169799803"/>
      <w:r>
        <w:rPr>
          <w:rFonts w:ascii="宋体" w:hAnsi="宋体"/>
          <w:b/>
          <w:bCs/>
          <w:sz w:val="24"/>
          <w:szCs w:val="28"/>
          <w:highlight w:val="none"/>
        </w:rPr>
        <w:t>格式十</w:t>
      </w:r>
      <w:r>
        <w:rPr>
          <w:rFonts w:hint="eastAsia" w:ascii="宋体" w:hAnsi="宋体"/>
          <w:b/>
          <w:bCs/>
          <w:sz w:val="24"/>
          <w:szCs w:val="28"/>
          <w:highlight w:val="none"/>
          <w:lang w:val="en-US" w:eastAsia="zh-CN"/>
        </w:rPr>
        <w:t>九</w:t>
      </w:r>
      <w:r>
        <w:rPr>
          <w:rFonts w:ascii="宋体" w:hAnsi="宋体"/>
          <w:b/>
          <w:bCs/>
          <w:sz w:val="24"/>
          <w:szCs w:val="28"/>
          <w:highlight w:val="none"/>
        </w:rPr>
        <w:t>：</w:t>
      </w:r>
      <w:bookmarkEnd w:id="60"/>
    </w:p>
    <w:p w14:paraId="0BF6FEE1">
      <w:pPr>
        <w:widowControl/>
        <w:jc w:val="center"/>
        <w:outlineLvl w:val="3"/>
        <w:rPr>
          <w:kern w:val="0"/>
          <w:sz w:val="20"/>
          <w:szCs w:val="20"/>
          <w:highlight w:val="none"/>
          <w:lang w:eastAsia="zh-Hans"/>
        </w:rPr>
      </w:pPr>
      <w:r>
        <w:rPr>
          <w:b/>
          <w:kern w:val="0"/>
          <w:sz w:val="32"/>
          <w:highlight w:val="none"/>
          <w:lang w:eastAsia="zh-Hans"/>
        </w:rPr>
        <w:t>采购代理服务费支付承诺书</w:t>
      </w:r>
    </w:p>
    <w:p w14:paraId="1D9CA77A">
      <w:pPr>
        <w:widowControl/>
        <w:spacing w:before="156" w:beforeLines="50" w:after="156" w:afterLines="50"/>
        <w:jc w:val="left"/>
        <w:rPr>
          <w:rFonts w:ascii="宋体" w:hAnsi="宋体"/>
          <w:b/>
          <w:bCs/>
          <w:kern w:val="0"/>
          <w:szCs w:val="21"/>
          <w:highlight w:val="none"/>
        </w:rPr>
      </w:pPr>
      <w:r>
        <w:rPr>
          <w:rFonts w:ascii="宋体" w:hAnsi="宋体"/>
          <w:b/>
          <w:bCs/>
          <w:kern w:val="0"/>
          <w:szCs w:val="21"/>
          <w:highlight w:val="none"/>
          <w:lang w:eastAsia="zh-Hans"/>
        </w:rPr>
        <w:t>广东智汇城市招标采购有限公司</w:t>
      </w:r>
      <w:r>
        <w:rPr>
          <w:rFonts w:hint="eastAsia" w:ascii="宋体" w:hAnsi="宋体"/>
          <w:b/>
          <w:bCs/>
          <w:kern w:val="0"/>
          <w:szCs w:val="21"/>
          <w:highlight w:val="none"/>
          <w:lang w:eastAsia="zh-Hans"/>
        </w:rPr>
        <w:t>：</w:t>
      </w:r>
    </w:p>
    <w:p w14:paraId="1DD1AD78">
      <w:pPr>
        <w:widowControl/>
        <w:snapToGrid w:val="0"/>
        <w:spacing w:before="312" w:beforeLines="100"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如果我方在贵采购代理机构组织的</w:t>
      </w:r>
      <w:r>
        <w:rPr>
          <w:rFonts w:hint="eastAsia" w:ascii="宋体" w:hAnsi="宋体"/>
          <w:kern w:val="0"/>
          <w:szCs w:val="21"/>
          <w:highlight w:val="none"/>
          <w:u w:val="single"/>
        </w:rPr>
        <w:t xml:space="preserve"> </w:t>
      </w:r>
      <w:r>
        <w:rPr>
          <w:rFonts w:hint="eastAsia" w:ascii="宋体" w:hAnsi="宋体"/>
          <w:kern w:val="0"/>
          <w:szCs w:val="21"/>
          <w:highlight w:val="none"/>
          <w:u w:val="single"/>
          <w:lang w:eastAsia="zh-Hans"/>
        </w:rPr>
        <w:t>（采购项目名称）</w:t>
      </w:r>
      <w:r>
        <w:rPr>
          <w:rFonts w:hint="eastAsia" w:ascii="宋体" w:hAnsi="宋体"/>
          <w:kern w:val="0"/>
          <w:szCs w:val="21"/>
          <w:highlight w:val="none"/>
          <w:u w:val="single"/>
        </w:rPr>
        <w:t>、（项目编号：   ）</w:t>
      </w:r>
      <w:r>
        <w:rPr>
          <w:rFonts w:ascii="宋体" w:hAnsi="宋体"/>
          <w:kern w:val="0"/>
          <w:szCs w:val="21"/>
          <w:highlight w:val="none"/>
          <w:lang w:eastAsia="zh-Hans"/>
        </w:rPr>
        <w:t>磋商中获成交，我方保证在收取《成交通知书》时，按磋商文件对代理服务费支付方式的约定，承担本项目代理服务费。</w:t>
      </w:r>
    </w:p>
    <w:p w14:paraId="19A661EA">
      <w:pPr>
        <w:widowControl/>
        <w:snapToGrid w:val="0"/>
        <w:spacing w:line="360" w:lineRule="auto"/>
        <w:contextualSpacing/>
        <w:jc w:val="left"/>
        <w:rPr>
          <w:rFonts w:ascii="宋体" w:hAnsi="宋体"/>
          <w:kern w:val="0"/>
          <w:szCs w:val="21"/>
          <w:highlight w:val="none"/>
        </w:rPr>
      </w:pPr>
    </w:p>
    <w:p w14:paraId="0FF88646">
      <w:pPr>
        <w:widowControl/>
        <w:snapToGrid w:val="0"/>
        <w:spacing w:line="360" w:lineRule="auto"/>
        <w:ind w:firstLine="420" w:firstLineChars="200"/>
        <w:contextualSpacing/>
        <w:jc w:val="left"/>
        <w:rPr>
          <w:rFonts w:ascii="宋体" w:hAnsi="宋体"/>
          <w:kern w:val="0"/>
          <w:szCs w:val="21"/>
          <w:highlight w:val="none"/>
          <w:lang w:eastAsia="zh-Hans"/>
        </w:rPr>
      </w:pPr>
      <w:r>
        <w:rPr>
          <w:rFonts w:ascii="宋体" w:hAnsi="宋体"/>
          <w:kern w:val="0"/>
          <w:szCs w:val="21"/>
          <w:highlight w:val="none"/>
          <w:lang w:eastAsia="zh-Hans"/>
        </w:rPr>
        <w:t>特此承诺</w:t>
      </w:r>
      <w:r>
        <w:rPr>
          <w:rFonts w:hint="eastAsia" w:ascii="宋体" w:hAnsi="宋体"/>
          <w:kern w:val="0"/>
          <w:szCs w:val="21"/>
          <w:highlight w:val="none"/>
          <w:lang w:eastAsia="zh-Hans"/>
        </w:rPr>
        <w:t>。</w:t>
      </w:r>
    </w:p>
    <w:p w14:paraId="1D6CA126">
      <w:pPr>
        <w:widowControl/>
        <w:snapToGrid w:val="0"/>
        <w:spacing w:before="468" w:beforeLines="150" w:line="360" w:lineRule="auto"/>
        <w:ind w:firstLine="3542" w:firstLineChars="1687"/>
        <w:contextualSpacing/>
        <w:jc w:val="left"/>
        <w:rPr>
          <w:rFonts w:ascii="宋体" w:hAnsi="宋体"/>
          <w:kern w:val="0"/>
          <w:szCs w:val="21"/>
          <w:highlight w:val="none"/>
        </w:rPr>
      </w:pPr>
    </w:p>
    <w:p w14:paraId="4C43EF50">
      <w:pPr>
        <w:widowControl/>
        <w:snapToGrid w:val="0"/>
        <w:spacing w:before="468" w:beforeLines="150" w:line="360" w:lineRule="auto"/>
        <w:ind w:firstLine="3542" w:firstLineChars="1687"/>
        <w:contextualSpacing/>
        <w:jc w:val="left"/>
        <w:rPr>
          <w:rFonts w:ascii="宋体" w:hAnsi="宋体"/>
          <w:kern w:val="0"/>
          <w:szCs w:val="21"/>
          <w:highlight w:val="none"/>
          <w:lang w:eastAsia="zh-Hans"/>
        </w:rPr>
      </w:pPr>
      <w:r>
        <w:rPr>
          <w:rFonts w:ascii="宋体" w:hAnsi="宋体"/>
          <w:kern w:val="0"/>
          <w:szCs w:val="21"/>
          <w:highlight w:val="none"/>
          <w:lang w:eastAsia="zh-Hans"/>
        </w:rPr>
        <w:t>供应商名称（公章）</w:t>
      </w:r>
      <w:r>
        <w:rPr>
          <w:rFonts w:hint="eastAsia" w:ascii="宋体" w:hAnsi="宋体"/>
          <w:kern w:val="0"/>
          <w:szCs w:val="21"/>
          <w:highlight w:val="none"/>
          <w:lang w:eastAsia="zh-Hans"/>
        </w:rPr>
        <w:t>：</w:t>
      </w:r>
    </w:p>
    <w:p w14:paraId="6540BFA1">
      <w:pPr>
        <w:widowControl/>
        <w:snapToGrid w:val="0"/>
        <w:spacing w:line="360" w:lineRule="auto"/>
        <w:ind w:firstLine="3542" w:firstLineChars="1687"/>
        <w:contextualSpacing/>
        <w:jc w:val="left"/>
        <w:rPr>
          <w:rFonts w:ascii="宋体" w:hAnsi="宋体"/>
          <w:kern w:val="0"/>
          <w:szCs w:val="21"/>
          <w:highlight w:val="none"/>
          <w:lang w:eastAsia="zh-Hans"/>
        </w:rPr>
      </w:pPr>
      <w:r>
        <w:rPr>
          <w:rFonts w:ascii="宋体" w:hAnsi="宋体"/>
          <w:kern w:val="0"/>
          <w:szCs w:val="21"/>
          <w:highlight w:val="none"/>
          <w:lang w:eastAsia="zh-Hans"/>
        </w:rPr>
        <w:t>供应商地址：</w:t>
      </w:r>
    </w:p>
    <w:p w14:paraId="00046F17">
      <w:pPr>
        <w:widowControl/>
        <w:snapToGrid w:val="0"/>
        <w:spacing w:line="360" w:lineRule="auto"/>
        <w:ind w:firstLine="3542" w:firstLineChars="1687"/>
        <w:contextualSpacing/>
        <w:jc w:val="left"/>
        <w:rPr>
          <w:rFonts w:ascii="宋体" w:hAnsi="宋体"/>
          <w:kern w:val="0"/>
          <w:szCs w:val="21"/>
          <w:highlight w:val="none"/>
          <w:lang w:eastAsia="zh-Hans"/>
        </w:rPr>
      </w:pPr>
      <w:r>
        <w:rPr>
          <w:rFonts w:ascii="宋体" w:hAnsi="宋体"/>
          <w:kern w:val="0"/>
          <w:szCs w:val="21"/>
          <w:highlight w:val="none"/>
          <w:lang w:eastAsia="zh-Hans"/>
        </w:rPr>
        <w:t>供应商授权代表（签字或盖</w:t>
      </w:r>
      <w:r>
        <w:rPr>
          <w:rFonts w:hint="eastAsia" w:ascii="宋体" w:hAnsi="宋体"/>
          <w:kern w:val="0"/>
          <w:szCs w:val="21"/>
          <w:highlight w:val="none"/>
          <w:lang w:eastAsia="zh-Hans"/>
        </w:rPr>
        <w:t>私</w:t>
      </w:r>
      <w:r>
        <w:rPr>
          <w:rFonts w:ascii="宋体" w:hAnsi="宋体"/>
          <w:kern w:val="0"/>
          <w:szCs w:val="21"/>
          <w:highlight w:val="none"/>
          <w:lang w:eastAsia="zh-Hans"/>
        </w:rPr>
        <w:t>章）：</w:t>
      </w:r>
    </w:p>
    <w:p w14:paraId="4526728A">
      <w:pPr>
        <w:widowControl/>
        <w:snapToGrid w:val="0"/>
        <w:spacing w:line="360" w:lineRule="auto"/>
        <w:ind w:firstLine="3542" w:firstLineChars="1687"/>
        <w:contextualSpacing/>
        <w:jc w:val="left"/>
        <w:rPr>
          <w:rFonts w:ascii="宋体" w:hAnsi="宋体"/>
          <w:kern w:val="0"/>
          <w:szCs w:val="21"/>
          <w:highlight w:val="none"/>
        </w:rPr>
      </w:pPr>
      <w:r>
        <w:rPr>
          <w:rFonts w:ascii="宋体" w:hAnsi="宋体"/>
          <w:kern w:val="0"/>
          <w:szCs w:val="21"/>
          <w:highlight w:val="none"/>
          <w:lang w:eastAsia="zh-Hans"/>
        </w:rPr>
        <w:t>电 话：</w:t>
      </w:r>
    </w:p>
    <w:p w14:paraId="6F04DFEA">
      <w:pPr>
        <w:widowControl/>
        <w:snapToGrid w:val="0"/>
        <w:spacing w:line="360" w:lineRule="auto"/>
        <w:ind w:firstLine="3542" w:firstLineChars="1687"/>
        <w:contextualSpacing/>
        <w:jc w:val="left"/>
        <w:rPr>
          <w:kern w:val="0"/>
          <w:sz w:val="20"/>
          <w:szCs w:val="20"/>
          <w:highlight w:val="none"/>
        </w:rPr>
      </w:pPr>
      <w:r>
        <w:rPr>
          <w:rFonts w:ascii="宋体" w:hAnsi="宋体"/>
          <w:kern w:val="0"/>
          <w:szCs w:val="21"/>
          <w:highlight w:val="none"/>
          <w:lang w:eastAsia="zh-Hans"/>
        </w:rPr>
        <w:t>承诺日期：</w:t>
      </w:r>
    </w:p>
    <w:p w14:paraId="290EFC29">
      <w:pPr>
        <w:widowControl/>
        <w:snapToGrid w:val="0"/>
        <w:spacing w:line="360" w:lineRule="auto"/>
        <w:contextualSpacing/>
        <w:jc w:val="left"/>
        <w:rPr>
          <w:kern w:val="0"/>
          <w:sz w:val="20"/>
          <w:szCs w:val="20"/>
          <w:highlight w:val="none"/>
          <w:lang w:eastAsia="zh-Hans"/>
        </w:rPr>
      </w:pPr>
      <w:r>
        <w:rPr>
          <w:kern w:val="0"/>
          <w:sz w:val="20"/>
          <w:szCs w:val="20"/>
          <w:highlight w:val="none"/>
          <w:lang w:eastAsia="zh-Hans"/>
        </w:rPr>
        <w:t xml:space="preserve"> </w:t>
      </w:r>
    </w:p>
    <w:p w14:paraId="3EEC76F4">
      <w:pPr>
        <w:pageBreakBefore/>
        <w:rPr>
          <w:kern w:val="0"/>
          <w:sz w:val="20"/>
          <w:szCs w:val="20"/>
          <w:highlight w:val="none"/>
          <w:lang w:eastAsia="zh-Hans"/>
        </w:rPr>
      </w:pPr>
      <w:bookmarkStart w:id="61" w:name="_Toc169799804"/>
      <w:r>
        <w:rPr>
          <w:rFonts w:ascii="宋体" w:hAnsi="宋体"/>
          <w:b/>
          <w:bCs/>
          <w:sz w:val="24"/>
          <w:szCs w:val="28"/>
          <w:highlight w:val="none"/>
        </w:rPr>
        <w:t>格式二十：</w:t>
      </w:r>
      <w:bookmarkEnd w:id="61"/>
    </w:p>
    <w:p w14:paraId="109C421D">
      <w:pPr>
        <w:widowControl/>
        <w:jc w:val="left"/>
        <w:rPr>
          <w:kern w:val="0"/>
          <w:sz w:val="20"/>
          <w:szCs w:val="20"/>
          <w:highlight w:val="none"/>
          <w:lang w:eastAsia="zh-Hans"/>
        </w:rPr>
      </w:pPr>
      <w:r>
        <w:rPr>
          <w:kern w:val="0"/>
          <w:sz w:val="20"/>
          <w:szCs w:val="20"/>
          <w:highlight w:val="none"/>
          <w:lang w:eastAsia="zh-Hans"/>
        </w:rPr>
        <w:t>（以下格式文件由供应商根据需要选用）</w:t>
      </w:r>
    </w:p>
    <w:p w14:paraId="55A11359">
      <w:pPr>
        <w:widowControl/>
        <w:spacing w:before="312" w:beforeLines="100" w:after="156" w:afterLines="50"/>
        <w:jc w:val="center"/>
        <w:outlineLvl w:val="3"/>
        <w:rPr>
          <w:kern w:val="0"/>
          <w:sz w:val="20"/>
          <w:szCs w:val="20"/>
          <w:highlight w:val="none"/>
          <w:lang w:eastAsia="zh-Hans"/>
        </w:rPr>
      </w:pPr>
      <w:r>
        <w:rPr>
          <w:b/>
          <w:kern w:val="0"/>
          <w:sz w:val="32"/>
          <w:highlight w:val="none"/>
          <w:lang w:eastAsia="zh-Hans"/>
        </w:rPr>
        <w:t>询问函、质疑函、投诉书格式</w:t>
      </w:r>
    </w:p>
    <w:p w14:paraId="1F701BBE">
      <w:pPr>
        <w:widowControl/>
        <w:jc w:val="left"/>
        <w:rPr>
          <w:kern w:val="0"/>
          <w:sz w:val="20"/>
          <w:szCs w:val="20"/>
          <w:highlight w:val="none"/>
          <w:lang w:eastAsia="zh-Hans"/>
        </w:rPr>
      </w:pPr>
      <w:r>
        <w:rPr>
          <w:kern w:val="0"/>
          <w:sz w:val="20"/>
          <w:szCs w:val="20"/>
          <w:highlight w:val="none"/>
          <w:lang w:eastAsia="zh-Hans"/>
        </w:rPr>
        <w:t>说明：本部分格式为供应商提交询问函、质疑函、投诉函时使用，不属于响应文件格式的组成部分。</w:t>
      </w:r>
    </w:p>
    <w:p w14:paraId="2AE51CC5">
      <w:pPr>
        <w:widowControl/>
        <w:spacing w:before="312" w:beforeLines="100" w:after="156" w:afterLines="50"/>
        <w:jc w:val="center"/>
        <w:outlineLvl w:val="3"/>
        <w:rPr>
          <w:kern w:val="0"/>
          <w:sz w:val="20"/>
          <w:szCs w:val="20"/>
          <w:highlight w:val="none"/>
          <w:lang w:eastAsia="zh-Hans"/>
        </w:rPr>
      </w:pPr>
      <w:r>
        <w:rPr>
          <w:b/>
          <w:kern w:val="0"/>
          <w:sz w:val="32"/>
          <w:highlight w:val="none"/>
          <w:lang w:eastAsia="zh-Hans"/>
        </w:rPr>
        <w:t>询问函</w:t>
      </w:r>
    </w:p>
    <w:p w14:paraId="328D75C1">
      <w:pPr>
        <w:widowControl/>
        <w:spacing w:after="156" w:afterLines="50"/>
        <w:jc w:val="left"/>
        <w:rPr>
          <w:b/>
          <w:bCs/>
          <w:kern w:val="0"/>
          <w:szCs w:val="21"/>
          <w:highlight w:val="none"/>
          <w:lang w:eastAsia="zh-Hans"/>
        </w:rPr>
      </w:pPr>
      <w:r>
        <w:rPr>
          <w:b/>
          <w:bCs/>
          <w:kern w:val="0"/>
          <w:szCs w:val="21"/>
          <w:highlight w:val="none"/>
          <w:lang w:eastAsia="zh-Hans"/>
        </w:rPr>
        <w:t>广东智汇城市招标采购有限公司</w:t>
      </w:r>
      <w:r>
        <w:rPr>
          <w:rFonts w:hint="eastAsia"/>
          <w:b/>
          <w:bCs/>
          <w:kern w:val="0"/>
          <w:szCs w:val="21"/>
          <w:highlight w:val="none"/>
          <w:lang w:eastAsia="zh-Hans"/>
        </w:rPr>
        <w:t>：</w:t>
      </w:r>
    </w:p>
    <w:p w14:paraId="77EB2BD3">
      <w:pPr>
        <w:widowControl/>
        <w:tabs>
          <w:tab w:val="left" w:pos="6300"/>
        </w:tabs>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我单位已获取磋商文件并准备参与</w:t>
      </w:r>
      <w:r>
        <w:rPr>
          <w:rFonts w:ascii="宋体" w:hAnsi="宋体"/>
          <w:i/>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项目（项目编号</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（或报价）活动，现有以下几个内容（或条款）存在疑问（或无法理解），特提出询问。</w:t>
      </w:r>
    </w:p>
    <w:p w14:paraId="13FD3F22">
      <w:pPr>
        <w:widowControl/>
        <w:tabs>
          <w:tab w:val="center" w:pos="5019"/>
        </w:tabs>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（事项一）</w:t>
      </w:r>
      <w:r>
        <w:rPr>
          <w:rFonts w:ascii="宋体" w:hAnsi="宋体"/>
          <w:color w:val="000000" w:themeColor="text1"/>
          <w:szCs w:val="21"/>
          <w:highlight w:val="none"/>
          <w14:textFill>
            <w14:solidFill>
              <w14:schemeClr w14:val="tx1"/>
            </w14:solidFill>
          </w14:textFill>
        </w:rPr>
        <w:tab/>
      </w:r>
    </w:p>
    <w:p w14:paraId="756BAA07">
      <w:pPr>
        <w:widowControl/>
        <w:tabs>
          <w:tab w:val="left" w:pos="6300"/>
        </w:tabs>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（问题或条款内容）</w:t>
      </w:r>
    </w:p>
    <w:p w14:paraId="3E66D4F7">
      <w:pPr>
        <w:widowControl/>
        <w:tabs>
          <w:tab w:val="left" w:pos="6300"/>
        </w:tabs>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（说明疑问或无法理解原因）</w:t>
      </w:r>
    </w:p>
    <w:p w14:paraId="0A04DC7A">
      <w:pPr>
        <w:widowControl/>
        <w:tabs>
          <w:tab w:val="left" w:pos="6300"/>
        </w:tabs>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（建议）</w:t>
      </w:r>
    </w:p>
    <w:p w14:paraId="778AF881">
      <w:pPr>
        <w:widowControl/>
        <w:tabs>
          <w:tab w:val="left" w:pos="6300"/>
        </w:tabs>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（事项二）</w:t>
      </w:r>
    </w:p>
    <w:p w14:paraId="296C51F1">
      <w:pPr>
        <w:widowControl/>
        <w:tabs>
          <w:tab w:val="left" w:pos="6300"/>
        </w:tabs>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3B9065BD">
      <w:pPr>
        <w:widowControl/>
        <w:tabs>
          <w:tab w:val="left" w:pos="6300"/>
        </w:tabs>
        <w:adjustRightIn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D9BDFAC">
      <w:pPr>
        <w:widowControl/>
        <w:tabs>
          <w:tab w:val="left" w:pos="6300"/>
        </w:tabs>
        <w:adjustRightInd w:val="0"/>
        <w:spacing w:line="360" w:lineRule="auto"/>
        <w:ind w:firstLine="1260" w:firstLineChars="6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4FE0A56C">
      <w:pPr>
        <w:widowControl/>
        <w:tabs>
          <w:tab w:val="left" w:pos="6300"/>
        </w:tabs>
        <w:adjustRightInd w:val="0"/>
        <w:spacing w:line="360" w:lineRule="auto"/>
        <w:ind w:firstLine="1260" w:firstLineChars="6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法定代表人（授权代表）：</w:t>
      </w:r>
    </w:p>
    <w:p w14:paraId="7836F533">
      <w:pPr>
        <w:tabs>
          <w:tab w:val="left" w:pos="6300"/>
        </w:tabs>
        <w:adjustRightInd w:val="0"/>
        <w:spacing w:line="360" w:lineRule="auto"/>
        <w:ind w:firstLine="1260" w:firstLineChars="6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ascii="宋体" w:hAnsi="宋体"/>
          <w:color w:val="000000" w:themeColor="text1"/>
          <w:szCs w:val="21"/>
          <w:highlight w:val="none"/>
          <w14:textFill>
            <w14:solidFill>
              <w14:schemeClr w14:val="tx1"/>
            </w14:solidFill>
          </w14:textFill>
        </w:rPr>
        <w:t>/邮编：</w:t>
      </w:r>
    </w:p>
    <w:p w14:paraId="6F69A4FA">
      <w:pPr>
        <w:tabs>
          <w:tab w:val="left" w:pos="6300"/>
        </w:tabs>
        <w:adjustRightInd w:val="0"/>
        <w:spacing w:line="360" w:lineRule="auto"/>
        <w:ind w:firstLine="1260" w:firstLineChars="6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14:textFill>
            <w14:solidFill>
              <w14:schemeClr w14:val="tx1"/>
            </w14:solidFill>
          </w14:textFill>
        </w:rPr>
        <w:t>/传真：</w:t>
      </w:r>
    </w:p>
    <w:p w14:paraId="42EB09F9">
      <w:pPr>
        <w:adjustRightInd w:val="0"/>
        <w:spacing w:before="312" w:beforeLines="100"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DEA78BD">
      <w:pPr>
        <w:pageBreakBefore/>
        <w:spacing w:after="156" w:afterLines="50"/>
        <w:jc w:val="center"/>
        <w:outlineLvl w:val="3"/>
        <w:rPr>
          <w:kern w:val="0"/>
          <w:sz w:val="20"/>
          <w:szCs w:val="20"/>
          <w:highlight w:val="none"/>
          <w:lang w:eastAsia="zh-Hans"/>
        </w:rPr>
      </w:pPr>
      <w:r>
        <w:rPr>
          <w:b/>
          <w:kern w:val="0"/>
          <w:sz w:val="32"/>
          <w:highlight w:val="none"/>
          <w:lang w:eastAsia="zh-Hans"/>
        </w:rPr>
        <w:t>质疑函</w:t>
      </w:r>
    </w:p>
    <w:p w14:paraId="3726B7FD">
      <w:pPr>
        <w:widowControl/>
        <w:jc w:val="left"/>
        <w:rPr>
          <w:rFonts w:ascii="宋体" w:hAnsi="宋体"/>
          <w:kern w:val="0"/>
          <w:szCs w:val="21"/>
          <w:highlight w:val="none"/>
          <w:lang w:eastAsia="zh-Hans"/>
        </w:rPr>
      </w:pPr>
      <w:r>
        <w:rPr>
          <w:rFonts w:ascii="宋体" w:hAnsi="宋体"/>
          <w:kern w:val="0"/>
          <w:szCs w:val="21"/>
          <w:highlight w:val="none"/>
          <w:lang w:eastAsia="zh-Hans"/>
        </w:rPr>
        <w:t>一、质疑供应商基本信息</w:t>
      </w:r>
    </w:p>
    <w:p w14:paraId="636D29C4">
      <w:pPr>
        <w:widowControl/>
        <w:jc w:val="left"/>
        <w:rPr>
          <w:rFonts w:ascii="宋体" w:hAnsi="宋体"/>
          <w:kern w:val="0"/>
          <w:szCs w:val="21"/>
          <w:highlight w:val="none"/>
          <w:lang w:eastAsia="zh-Hans"/>
        </w:rPr>
      </w:pPr>
      <w:r>
        <w:rPr>
          <w:rFonts w:ascii="宋体" w:hAnsi="宋体"/>
          <w:kern w:val="0"/>
          <w:szCs w:val="21"/>
          <w:highlight w:val="none"/>
          <w:lang w:eastAsia="zh-Hans"/>
        </w:rPr>
        <w:t>质疑供应商：</w:t>
      </w:r>
    </w:p>
    <w:p w14:paraId="6DE841A1">
      <w:pPr>
        <w:widowControl/>
        <w:jc w:val="left"/>
        <w:rPr>
          <w:rFonts w:ascii="宋体" w:hAnsi="宋体"/>
          <w:kern w:val="0"/>
          <w:szCs w:val="21"/>
          <w:highlight w:val="none"/>
          <w:lang w:eastAsia="zh-Hans"/>
        </w:rPr>
      </w:pPr>
      <w:r>
        <w:rPr>
          <w:rFonts w:ascii="宋体" w:hAnsi="宋体"/>
          <w:kern w:val="0"/>
          <w:szCs w:val="21"/>
          <w:highlight w:val="none"/>
          <w:lang w:eastAsia="zh-Hans"/>
        </w:rPr>
        <w:t>地址：</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邮编：</w:t>
      </w:r>
      <w:r>
        <w:rPr>
          <w:rFonts w:hint="eastAsia" w:ascii="宋体" w:hAnsi="宋体"/>
          <w:kern w:val="0"/>
          <w:szCs w:val="21"/>
          <w:highlight w:val="none"/>
          <w:u w:val="single"/>
        </w:rPr>
        <w:t xml:space="preserve">                                </w:t>
      </w:r>
    </w:p>
    <w:p w14:paraId="022AC03E">
      <w:pPr>
        <w:widowControl/>
        <w:jc w:val="left"/>
        <w:rPr>
          <w:rFonts w:ascii="宋体" w:hAnsi="宋体"/>
          <w:kern w:val="0"/>
          <w:szCs w:val="21"/>
          <w:highlight w:val="none"/>
          <w:lang w:eastAsia="zh-Hans"/>
        </w:rPr>
      </w:pPr>
      <w:r>
        <w:rPr>
          <w:rFonts w:ascii="宋体" w:hAnsi="宋体"/>
          <w:kern w:val="0"/>
          <w:szCs w:val="21"/>
          <w:highlight w:val="none"/>
          <w:lang w:eastAsia="zh-Hans"/>
        </w:rPr>
        <w:t>联系：</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联系电话：</w:t>
      </w:r>
      <w:r>
        <w:rPr>
          <w:rFonts w:hint="eastAsia" w:ascii="宋体" w:hAnsi="宋体"/>
          <w:kern w:val="0"/>
          <w:szCs w:val="21"/>
          <w:highlight w:val="none"/>
          <w:u w:val="single"/>
        </w:rPr>
        <w:t xml:space="preserve">                            </w:t>
      </w:r>
    </w:p>
    <w:p w14:paraId="3D1DBCA7">
      <w:pPr>
        <w:widowControl/>
        <w:jc w:val="left"/>
        <w:rPr>
          <w:rFonts w:ascii="宋体" w:hAnsi="宋体"/>
          <w:kern w:val="0"/>
          <w:szCs w:val="21"/>
          <w:highlight w:val="none"/>
          <w:u w:val="single"/>
        </w:rPr>
      </w:pPr>
      <w:r>
        <w:rPr>
          <w:rFonts w:ascii="宋体" w:hAnsi="宋体"/>
          <w:kern w:val="0"/>
          <w:szCs w:val="21"/>
          <w:highlight w:val="none"/>
          <w:lang w:eastAsia="zh-Hans"/>
        </w:rPr>
        <w:t>授权代表：</w:t>
      </w:r>
      <w:r>
        <w:rPr>
          <w:rFonts w:hint="eastAsia" w:ascii="宋体" w:hAnsi="宋体"/>
          <w:kern w:val="0"/>
          <w:szCs w:val="21"/>
          <w:highlight w:val="none"/>
          <w:u w:val="single"/>
        </w:rPr>
        <w:t xml:space="preserve">                           </w:t>
      </w:r>
    </w:p>
    <w:p w14:paraId="38DB1A01">
      <w:pPr>
        <w:widowControl/>
        <w:jc w:val="left"/>
        <w:rPr>
          <w:rFonts w:ascii="宋体" w:hAnsi="宋体"/>
          <w:kern w:val="0"/>
          <w:szCs w:val="21"/>
          <w:highlight w:val="none"/>
          <w:lang w:eastAsia="zh-Hans"/>
        </w:rPr>
      </w:pPr>
      <w:r>
        <w:rPr>
          <w:rFonts w:ascii="宋体" w:hAnsi="宋体"/>
          <w:kern w:val="0"/>
          <w:szCs w:val="21"/>
          <w:highlight w:val="none"/>
          <w:lang w:eastAsia="zh-Hans"/>
        </w:rPr>
        <w:t>联系电话：</w:t>
      </w:r>
      <w:r>
        <w:rPr>
          <w:rFonts w:hint="eastAsia" w:ascii="宋体" w:hAnsi="宋体"/>
          <w:kern w:val="0"/>
          <w:szCs w:val="21"/>
          <w:highlight w:val="none"/>
          <w:u w:val="single"/>
        </w:rPr>
        <w:t xml:space="preserve">                           </w:t>
      </w:r>
    </w:p>
    <w:p w14:paraId="48815FD8">
      <w:pPr>
        <w:widowControl/>
        <w:jc w:val="left"/>
        <w:rPr>
          <w:rFonts w:ascii="宋体" w:hAnsi="宋体"/>
          <w:kern w:val="0"/>
          <w:szCs w:val="21"/>
          <w:highlight w:val="none"/>
          <w:lang w:eastAsia="zh-Hans"/>
        </w:rPr>
      </w:pPr>
      <w:r>
        <w:rPr>
          <w:rFonts w:ascii="宋体" w:hAnsi="宋体"/>
          <w:kern w:val="0"/>
          <w:szCs w:val="21"/>
          <w:highlight w:val="none"/>
          <w:lang w:eastAsia="zh-Hans"/>
        </w:rPr>
        <w:t>地址：</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r>
        <w:rPr>
          <w:rFonts w:ascii="宋体" w:hAnsi="宋体"/>
          <w:kern w:val="0"/>
          <w:szCs w:val="21"/>
          <w:highlight w:val="none"/>
          <w:lang w:eastAsia="zh-Hans"/>
        </w:rPr>
        <w:t>邮编：</w:t>
      </w:r>
      <w:r>
        <w:rPr>
          <w:rFonts w:hint="eastAsia" w:ascii="宋体" w:hAnsi="宋体"/>
          <w:kern w:val="0"/>
          <w:szCs w:val="21"/>
          <w:highlight w:val="none"/>
          <w:u w:val="single"/>
        </w:rPr>
        <w:t xml:space="preserve">                            </w:t>
      </w:r>
    </w:p>
    <w:p w14:paraId="2646C640">
      <w:pPr>
        <w:widowControl/>
        <w:jc w:val="left"/>
        <w:rPr>
          <w:rFonts w:ascii="宋体" w:hAnsi="宋体"/>
          <w:kern w:val="0"/>
          <w:szCs w:val="21"/>
          <w:highlight w:val="none"/>
          <w:lang w:eastAsia="zh-Hans"/>
        </w:rPr>
      </w:pPr>
      <w:r>
        <w:rPr>
          <w:rFonts w:ascii="宋体" w:hAnsi="宋体"/>
          <w:kern w:val="0"/>
          <w:szCs w:val="21"/>
          <w:highlight w:val="none"/>
          <w:lang w:eastAsia="zh-Hans"/>
        </w:rPr>
        <w:t>二、质疑项目基本情况</w:t>
      </w:r>
    </w:p>
    <w:p w14:paraId="0430447E">
      <w:pPr>
        <w:widowControl/>
        <w:jc w:val="left"/>
        <w:rPr>
          <w:rFonts w:ascii="宋体" w:hAnsi="宋体"/>
          <w:kern w:val="0"/>
          <w:szCs w:val="21"/>
          <w:highlight w:val="none"/>
          <w:lang w:eastAsia="zh-Hans"/>
        </w:rPr>
      </w:pPr>
      <w:r>
        <w:rPr>
          <w:rFonts w:ascii="宋体" w:hAnsi="宋体"/>
          <w:kern w:val="0"/>
          <w:szCs w:val="21"/>
          <w:highlight w:val="none"/>
          <w:lang w:eastAsia="zh-Hans"/>
        </w:rPr>
        <w:t>质疑项目的名称：</w:t>
      </w:r>
      <w:r>
        <w:rPr>
          <w:rFonts w:hint="eastAsia" w:ascii="宋体" w:hAnsi="宋体"/>
          <w:kern w:val="0"/>
          <w:szCs w:val="21"/>
          <w:highlight w:val="none"/>
          <w:u w:val="single"/>
        </w:rPr>
        <w:t xml:space="preserve">                                                        </w:t>
      </w:r>
      <w:r>
        <w:rPr>
          <w:rFonts w:hint="eastAsia" w:ascii="宋体" w:hAnsi="宋体"/>
          <w:kern w:val="0"/>
          <w:szCs w:val="21"/>
          <w:highlight w:val="none"/>
        </w:rPr>
        <w:t xml:space="preserve"> </w:t>
      </w:r>
    </w:p>
    <w:p w14:paraId="4AC054F0">
      <w:pPr>
        <w:widowControl/>
        <w:jc w:val="left"/>
        <w:rPr>
          <w:rFonts w:ascii="宋体" w:hAnsi="宋体"/>
          <w:kern w:val="0"/>
          <w:szCs w:val="21"/>
          <w:highlight w:val="none"/>
          <w:lang w:eastAsia="zh-Hans"/>
        </w:rPr>
      </w:pPr>
      <w:r>
        <w:rPr>
          <w:rFonts w:ascii="宋体" w:hAnsi="宋体"/>
          <w:kern w:val="0"/>
          <w:szCs w:val="21"/>
          <w:highlight w:val="none"/>
          <w:lang w:eastAsia="zh-Hans"/>
        </w:rPr>
        <w:t>质疑项目的编号：</w:t>
      </w:r>
      <w:r>
        <w:rPr>
          <w:rFonts w:hint="eastAsia" w:ascii="宋体" w:hAnsi="宋体"/>
          <w:kern w:val="0"/>
          <w:szCs w:val="21"/>
          <w:highlight w:val="none"/>
          <w:u w:val="single"/>
        </w:rPr>
        <w:t xml:space="preserve">                           </w:t>
      </w:r>
      <w:r>
        <w:rPr>
          <w:rFonts w:ascii="宋体" w:hAnsi="宋体"/>
          <w:kern w:val="0"/>
          <w:szCs w:val="21"/>
          <w:highlight w:val="none"/>
          <w:lang w:eastAsia="zh-Hans"/>
        </w:rPr>
        <w:t>包号：</w:t>
      </w:r>
      <w:r>
        <w:rPr>
          <w:rFonts w:hint="eastAsia" w:ascii="宋体" w:hAnsi="宋体"/>
          <w:kern w:val="0"/>
          <w:szCs w:val="21"/>
          <w:highlight w:val="none"/>
          <w:u w:val="single"/>
        </w:rPr>
        <w:t xml:space="preserve">                       </w:t>
      </w:r>
    </w:p>
    <w:p w14:paraId="4F8759BF">
      <w:pPr>
        <w:widowControl/>
        <w:jc w:val="left"/>
        <w:rPr>
          <w:rFonts w:ascii="宋体" w:hAnsi="宋体"/>
          <w:kern w:val="0"/>
          <w:szCs w:val="21"/>
          <w:highlight w:val="none"/>
          <w:lang w:eastAsia="zh-Hans"/>
        </w:rPr>
      </w:pPr>
      <w:r>
        <w:rPr>
          <w:rFonts w:ascii="宋体" w:hAnsi="宋体"/>
          <w:kern w:val="0"/>
          <w:szCs w:val="21"/>
          <w:highlight w:val="none"/>
          <w:lang w:eastAsia="zh-Hans"/>
        </w:rPr>
        <w:t>采购人名称：</w:t>
      </w:r>
      <w:r>
        <w:rPr>
          <w:rFonts w:hint="eastAsia" w:ascii="宋体" w:hAnsi="宋体"/>
          <w:kern w:val="0"/>
          <w:szCs w:val="21"/>
          <w:highlight w:val="none"/>
          <w:u w:val="single"/>
        </w:rPr>
        <w:t xml:space="preserve">                                                            </w:t>
      </w:r>
    </w:p>
    <w:p w14:paraId="168AD712">
      <w:pPr>
        <w:widowControl/>
        <w:jc w:val="left"/>
        <w:rPr>
          <w:rFonts w:ascii="宋体" w:hAnsi="宋体"/>
          <w:kern w:val="0"/>
          <w:szCs w:val="21"/>
          <w:highlight w:val="none"/>
          <w:lang w:eastAsia="zh-Hans"/>
        </w:rPr>
      </w:pPr>
      <w:r>
        <w:rPr>
          <w:rFonts w:ascii="宋体" w:hAnsi="宋体"/>
          <w:kern w:val="0"/>
          <w:szCs w:val="21"/>
          <w:highlight w:val="none"/>
          <w:lang w:eastAsia="zh-Hans"/>
        </w:rPr>
        <w:t>采购文件获取日期：</w:t>
      </w:r>
      <w:r>
        <w:rPr>
          <w:rFonts w:hint="eastAsia" w:ascii="宋体" w:hAnsi="宋体"/>
          <w:kern w:val="0"/>
          <w:szCs w:val="21"/>
          <w:highlight w:val="none"/>
          <w:u w:val="single"/>
        </w:rPr>
        <w:t xml:space="preserve">                                                      </w:t>
      </w:r>
    </w:p>
    <w:p w14:paraId="6769897B">
      <w:pPr>
        <w:widowControl/>
        <w:jc w:val="left"/>
        <w:rPr>
          <w:rFonts w:ascii="宋体" w:hAnsi="宋体"/>
          <w:kern w:val="0"/>
          <w:szCs w:val="21"/>
          <w:highlight w:val="none"/>
          <w:lang w:eastAsia="zh-Hans"/>
        </w:rPr>
      </w:pPr>
      <w:r>
        <w:rPr>
          <w:rFonts w:ascii="宋体" w:hAnsi="宋体"/>
          <w:kern w:val="0"/>
          <w:szCs w:val="21"/>
          <w:highlight w:val="none"/>
          <w:lang w:eastAsia="zh-Hans"/>
        </w:rPr>
        <w:t>三、质疑事项具体内容</w:t>
      </w:r>
    </w:p>
    <w:p w14:paraId="56CC1983">
      <w:pPr>
        <w:widowControl/>
        <w:jc w:val="left"/>
        <w:rPr>
          <w:rFonts w:ascii="宋体" w:hAnsi="宋体"/>
          <w:kern w:val="0"/>
          <w:szCs w:val="21"/>
          <w:highlight w:val="none"/>
          <w:lang w:eastAsia="zh-Hans"/>
        </w:rPr>
      </w:pPr>
      <w:r>
        <w:rPr>
          <w:rFonts w:ascii="宋体" w:hAnsi="宋体"/>
          <w:kern w:val="0"/>
          <w:szCs w:val="21"/>
          <w:highlight w:val="none"/>
          <w:lang w:eastAsia="zh-Hans"/>
        </w:rPr>
        <w:t>质疑事项1：</w:t>
      </w:r>
      <w:r>
        <w:rPr>
          <w:rFonts w:hint="eastAsia" w:ascii="宋体" w:hAnsi="宋体"/>
          <w:kern w:val="0"/>
          <w:szCs w:val="21"/>
          <w:highlight w:val="none"/>
          <w:u w:val="single"/>
        </w:rPr>
        <w:t xml:space="preserve">                                                             </w:t>
      </w:r>
    </w:p>
    <w:p w14:paraId="6EFB8AA8">
      <w:pPr>
        <w:widowControl/>
        <w:jc w:val="left"/>
        <w:rPr>
          <w:rFonts w:ascii="宋体" w:hAnsi="宋体"/>
          <w:kern w:val="0"/>
          <w:szCs w:val="21"/>
          <w:highlight w:val="none"/>
          <w:lang w:eastAsia="zh-Hans"/>
        </w:rPr>
      </w:pPr>
      <w:r>
        <w:rPr>
          <w:rFonts w:ascii="宋体" w:hAnsi="宋体"/>
          <w:kern w:val="0"/>
          <w:szCs w:val="21"/>
          <w:highlight w:val="none"/>
          <w:lang w:eastAsia="zh-Hans"/>
        </w:rPr>
        <w:t>事实依据：</w:t>
      </w:r>
      <w:r>
        <w:rPr>
          <w:rFonts w:hint="eastAsia" w:ascii="宋体" w:hAnsi="宋体"/>
          <w:kern w:val="0"/>
          <w:szCs w:val="21"/>
          <w:highlight w:val="none"/>
          <w:u w:val="single"/>
        </w:rPr>
        <w:t xml:space="preserve">                                                              </w:t>
      </w:r>
    </w:p>
    <w:p w14:paraId="43034797">
      <w:pPr>
        <w:widowControl/>
        <w:jc w:val="left"/>
        <w:rPr>
          <w:rFonts w:ascii="宋体" w:hAnsi="宋体"/>
          <w:kern w:val="0"/>
          <w:szCs w:val="21"/>
          <w:highlight w:val="none"/>
          <w:lang w:eastAsia="zh-Hans"/>
        </w:rPr>
      </w:pPr>
      <w:r>
        <w:rPr>
          <w:rFonts w:ascii="宋体" w:hAnsi="宋体"/>
          <w:kern w:val="0"/>
          <w:szCs w:val="21"/>
          <w:highlight w:val="none"/>
          <w:lang w:eastAsia="zh-Hans"/>
        </w:rPr>
        <w:t>法律依据：</w:t>
      </w:r>
      <w:r>
        <w:rPr>
          <w:rFonts w:hint="eastAsia" w:ascii="宋体" w:hAnsi="宋体"/>
          <w:kern w:val="0"/>
          <w:szCs w:val="21"/>
          <w:highlight w:val="none"/>
          <w:u w:val="single"/>
        </w:rPr>
        <w:t xml:space="preserve">                                                              </w:t>
      </w:r>
    </w:p>
    <w:p w14:paraId="6FDE4FBB">
      <w:pPr>
        <w:widowControl/>
        <w:jc w:val="left"/>
        <w:rPr>
          <w:rFonts w:ascii="宋体" w:hAnsi="宋体"/>
          <w:kern w:val="0"/>
          <w:szCs w:val="21"/>
          <w:highlight w:val="none"/>
          <w:lang w:eastAsia="zh-Hans"/>
        </w:rPr>
      </w:pPr>
      <w:r>
        <w:rPr>
          <w:rFonts w:ascii="宋体" w:hAnsi="宋体"/>
          <w:kern w:val="0"/>
          <w:szCs w:val="21"/>
          <w:highlight w:val="none"/>
          <w:lang w:eastAsia="zh-Hans"/>
        </w:rPr>
        <w:t>质疑事项2：</w:t>
      </w:r>
      <w:r>
        <w:rPr>
          <w:rFonts w:hint="eastAsia" w:ascii="宋体" w:hAnsi="宋体"/>
          <w:kern w:val="0"/>
          <w:szCs w:val="21"/>
          <w:highlight w:val="none"/>
          <w:u w:val="single"/>
        </w:rPr>
        <w:t xml:space="preserve">                                                             </w:t>
      </w:r>
    </w:p>
    <w:p w14:paraId="3EA5BE02">
      <w:pPr>
        <w:widowControl/>
        <w:jc w:val="left"/>
        <w:rPr>
          <w:rFonts w:ascii="宋体" w:hAnsi="宋体"/>
          <w:kern w:val="0"/>
          <w:szCs w:val="21"/>
          <w:highlight w:val="none"/>
          <w:lang w:eastAsia="zh-Hans"/>
        </w:rPr>
      </w:pPr>
      <w:r>
        <w:rPr>
          <w:rFonts w:ascii="宋体" w:hAnsi="宋体"/>
          <w:kern w:val="0"/>
          <w:szCs w:val="21"/>
          <w:highlight w:val="none"/>
          <w:lang w:eastAsia="zh-Hans"/>
        </w:rPr>
        <w:t>……</w:t>
      </w:r>
    </w:p>
    <w:p w14:paraId="77771CFA">
      <w:pPr>
        <w:widowControl/>
        <w:jc w:val="left"/>
        <w:rPr>
          <w:rFonts w:ascii="宋体" w:hAnsi="宋体"/>
          <w:kern w:val="0"/>
          <w:szCs w:val="21"/>
          <w:highlight w:val="none"/>
          <w:lang w:eastAsia="zh-Hans"/>
        </w:rPr>
      </w:pPr>
      <w:r>
        <w:rPr>
          <w:rFonts w:ascii="宋体" w:hAnsi="宋体"/>
          <w:kern w:val="0"/>
          <w:szCs w:val="21"/>
          <w:highlight w:val="none"/>
          <w:lang w:eastAsia="zh-Hans"/>
        </w:rPr>
        <w:t>四、与质疑事项相关的质疑请求</w:t>
      </w:r>
    </w:p>
    <w:p w14:paraId="2F9FA340">
      <w:pPr>
        <w:widowControl/>
        <w:jc w:val="left"/>
        <w:rPr>
          <w:rFonts w:ascii="宋体" w:hAnsi="宋体"/>
          <w:kern w:val="0"/>
          <w:szCs w:val="21"/>
          <w:highlight w:val="none"/>
          <w:lang w:eastAsia="zh-Hans"/>
        </w:rPr>
      </w:pPr>
      <w:r>
        <w:rPr>
          <w:rFonts w:ascii="宋体" w:hAnsi="宋体"/>
          <w:kern w:val="0"/>
          <w:szCs w:val="21"/>
          <w:highlight w:val="none"/>
          <w:lang w:eastAsia="zh-Hans"/>
        </w:rPr>
        <w:t>请求：</w:t>
      </w:r>
      <w:r>
        <w:rPr>
          <w:rFonts w:hint="eastAsia" w:ascii="宋体" w:hAnsi="宋体"/>
          <w:kern w:val="0"/>
          <w:szCs w:val="21"/>
          <w:highlight w:val="none"/>
          <w:u w:val="single"/>
        </w:rPr>
        <w:t xml:space="preserve">                                                                   </w:t>
      </w:r>
    </w:p>
    <w:p w14:paraId="1A468E9E">
      <w:pPr>
        <w:widowControl/>
        <w:jc w:val="left"/>
        <w:rPr>
          <w:kern w:val="0"/>
          <w:sz w:val="20"/>
          <w:szCs w:val="20"/>
          <w:highlight w:val="none"/>
          <w:lang w:eastAsia="zh-Hans"/>
        </w:rPr>
      </w:pPr>
      <w:r>
        <w:rPr>
          <w:rFonts w:ascii="宋体" w:hAnsi="宋体"/>
          <w:kern w:val="0"/>
          <w:szCs w:val="21"/>
          <w:highlight w:val="none"/>
          <w:lang w:eastAsia="zh-Hans"/>
        </w:rPr>
        <w:t>签字(签章)：</w:t>
      </w:r>
      <w:r>
        <w:rPr>
          <w:rFonts w:hint="eastAsia" w:ascii="宋体" w:hAnsi="宋体"/>
          <w:kern w:val="0"/>
          <w:szCs w:val="21"/>
          <w:highlight w:val="none"/>
          <w:u w:val="single"/>
        </w:rPr>
        <w:t xml:space="preserve">                           </w:t>
      </w:r>
      <w:r>
        <w:rPr>
          <w:rFonts w:ascii="宋体" w:hAnsi="宋体"/>
          <w:kern w:val="0"/>
          <w:szCs w:val="21"/>
          <w:highlight w:val="none"/>
          <w:lang w:eastAsia="zh-Hans"/>
        </w:rPr>
        <w:t xml:space="preserve"> 公章：</w:t>
      </w:r>
      <w:r>
        <w:rPr>
          <w:rFonts w:hint="eastAsia" w:ascii="宋体" w:hAnsi="宋体"/>
          <w:kern w:val="0"/>
          <w:szCs w:val="21"/>
          <w:highlight w:val="none"/>
          <w:u w:val="single"/>
        </w:rPr>
        <w:t xml:space="preserve">                           </w:t>
      </w:r>
    </w:p>
    <w:p w14:paraId="1FD9F800">
      <w:pPr>
        <w:widowControl/>
        <w:spacing w:before="156" w:beforeLines="50"/>
        <w:jc w:val="left"/>
        <w:rPr>
          <w:kern w:val="0"/>
          <w:sz w:val="20"/>
          <w:szCs w:val="20"/>
          <w:highlight w:val="none"/>
          <w:lang w:eastAsia="zh-Hans"/>
        </w:rPr>
      </w:pPr>
      <w:r>
        <w:rPr>
          <w:kern w:val="0"/>
          <w:szCs w:val="21"/>
          <w:highlight w:val="none"/>
          <w:lang w:eastAsia="zh-Hans"/>
        </w:rPr>
        <w:t>日期： 年 月 日</w:t>
      </w:r>
    </w:p>
    <w:p w14:paraId="080BDF1C">
      <w:pPr>
        <w:widowControl/>
        <w:spacing w:before="156" w:beforeLines="50"/>
        <w:jc w:val="left"/>
        <w:rPr>
          <w:rFonts w:ascii="宋体" w:hAnsi="宋体"/>
          <w:kern w:val="0"/>
          <w:szCs w:val="21"/>
          <w:highlight w:val="none"/>
          <w:lang w:eastAsia="zh-Hans"/>
        </w:rPr>
      </w:pPr>
      <w:r>
        <w:rPr>
          <w:rFonts w:ascii="宋体" w:hAnsi="宋体"/>
          <w:kern w:val="0"/>
          <w:szCs w:val="21"/>
          <w:highlight w:val="none"/>
          <w:lang w:eastAsia="zh-Hans"/>
        </w:rPr>
        <w:t>质疑函制作说明：</w:t>
      </w:r>
    </w:p>
    <w:p w14:paraId="4A7AF71C">
      <w:pPr>
        <w:widowControl/>
        <w:jc w:val="left"/>
        <w:rPr>
          <w:rFonts w:ascii="宋体" w:hAnsi="宋体"/>
          <w:kern w:val="0"/>
          <w:szCs w:val="21"/>
          <w:highlight w:val="none"/>
          <w:lang w:eastAsia="zh-Hans"/>
        </w:rPr>
      </w:pPr>
      <w:r>
        <w:rPr>
          <w:rFonts w:ascii="宋体" w:hAnsi="宋体"/>
          <w:kern w:val="0"/>
          <w:szCs w:val="21"/>
          <w:highlight w:val="none"/>
          <w:lang w:eastAsia="zh-Hans"/>
        </w:rPr>
        <w:t>1.供应商提出质疑时，应提交质疑函和必要的证明材料。</w:t>
      </w:r>
    </w:p>
    <w:p w14:paraId="6A66C104">
      <w:pPr>
        <w:widowControl/>
        <w:jc w:val="left"/>
        <w:rPr>
          <w:rFonts w:ascii="宋体" w:hAnsi="宋体"/>
          <w:kern w:val="0"/>
          <w:szCs w:val="21"/>
          <w:highlight w:val="none"/>
          <w:lang w:eastAsia="zh-Hans"/>
        </w:rPr>
      </w:pPr>
      <w:r>
        <w:rPr>
          <w:rFonts w:ascii="宋体" w:hAnsi="宋体"/>
          <w:kern w:val="0"/>
          <w:szCs w:val="21"/>
          <w:highlight w:val="none"/>
          <w:lang w:eastAsia="zh-Han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079A1D">
      <w:pPr>
        <w:widowControl/>
        <w:jc w:val="left"/>
        <w:rPr>
          <w:rFonts w:ascii="宋体" w:hAnsi="宋体"/>
          <w:kern w:val="0"/>
          <w:szCs w:val="21"/>
          <w:highlight w:val="none"/>
          <w:lang w:eastAsia="zh-Hans"/>
        </w:rPr>
      </w:pPr>
      <w:r>
        <w:rPr>
          <w:rFonts w:ascii="宋体" w:hAnsi="宋体"/>
          <w:kern w:val="0"/>
          <w:szCs w:val="21"/>
          <w:highlight w:val="none"/>
          <w:lang w:eastAsia="zh-Hans"/>
        </w:rPr>
        <w:t>3.质疑供应商若对项目的某一分包进行质疑，质疑函中应列明具体采购包号。</w:t>
      </w:r>
    </w:p>
    <w:p w14:paraId="55AFEDFA">
      <w:pPr>
        <w:widowControl/>
        <w:jc w:val="left"/>
        <w:rPr>
          <w:rFonts w:ascii="宋体" w:hAnsi="宋体"/>
          <w:kern w:val="0"/>
          <w:szCs w:val="21"/>
          <w:highlight w:val="none"/>
          <w:lang w:eastAsia="zh-Hans"/>
        </w:rPr>
      </w:pPr>
      <w:r>
        <w:rPr>
          <w:rFonts w:ascii="宋体" w:hAnsi="宋体"/>
          <w:kern w:val="0"/>
          <w:szCs w:val="21"/>
          <w:highlight w:val="none"/>
          <w:lang w:eastAsia="zh-Hans"/>
        </w:rPr>
        <w:t>4.质疑函的质疑事项应具体、明确，并有必要的事实依据和法律依据。</w:t>
      </w:r>
    </w:p>
    <w:p w14:paraId="59496670">
      <w:pPr>
        <w:widowControl/>
        <w:jc w:val="left"/>
        <w:rPr>
          <w:rFonts w:ascii="宋体" w:hAnsi="宋体"/>
          <w:kern w:val="0"/>
          <w:szCs w:val="21"/>
          <w:highlight w:val="none"/>
          <w:lang w:eastAsia="zh-Hans"/>
        </w:rPr>
      </w:pPr>
      <w:r>
        <w:rPr>
          <w:rFonts w:ascii="宋体" w:hAnsi="宋体"/>
          <w:kern w:val="0"/>
          <w:szCs w:val="21"/>
          <w:highlight w:val="none"/>
          <w:lang w:eastAsia="zh-Hans"/>
        </w:rPr>
        <w:t>5.质疑函的质疑请求应与质疑事项相关。</w:t>
      </w:r>
    </w:p>
    <w:p w14:paraId="6FEBC6A1">
      <w:pPr>
        <w:widowControl/>
        <w:jc w:val="left"/>
        <w:rPr>
          <w:kern w:val="0"/>
          <w:sz w:val="20"/>
          <w:szCs w:val="20"/>
          <w:highlight w:val="none"/>
          <w:lang w:eastAsia="zh-Hans"/>
        </w:rPr>
      </w:pPr>
      <w:r>
        <w:rPr>
          <w:rFonts w:ascii="宋体" w:hAnsi="宋体"/>
          <w:kern w:val="0"/>
          <w:szCs w:val="21"/>
          <w:highlight w:val="none"/>
          <w:lang w:eastAsia="zh-Hans"/>
        </w:rPr>
        <w:t>6.质疑供应商为自然人的，质疑函应由本人签字；质疑供应商为法人或者其他组织的，质疑函应由法定代表人、主要负责人，或者其授权代表签字或者盖章，并加盖公章。</w:t>
      </w:r>
    </w:p>
    <w:p w14:paraId="432FF690">
      <w:pPr>
        <w:pageBreakBefore/>
        <w:spacing w:before="780" w:beforeLines="250" w:after="312" w:afterLines="100"/>
        <w:jc w:val="center"/>
        <w:outlineLvl w:val="3"/>
        <w:rPr>
          <w:kern w:val="0"/>
          <w:szCs w:val="21"/>
          <w:highlight w:val="none"/>
          <w:lang w:eastAsia="zh-Hans"/>
        </w:rPr>
      </w:pPr>
      <w:r>
        <w:rPr>
          <w:b/>
          <w:kern w:val="0"/>
          <w:sz w:val="32"/>
          <w:highlight w:val="none"/>
          <w:lang w:eastAsia="zh-Hans"/>
        </w:rPr>
        <w:t>投诉书</w:t>
      </w:r>
    </w:p>
    <w:p w14:paraId="2212D7B1">
      <w:pPr>
        <w:widowControl/>
        <w:snapToGrid w:val="0"/>
        <w:spacing w:line="360" w:lineRule="auto"/>
        <w:contextualSpacing/>
        <w:jc w:val="left"/>
        <w:rPr>
          <w:rFonts w:ascii="宋体" w:hAnsi="宋体"/>
          <w:kern w:val="0"/>
          <w:szCs w:val="21"/>
          <w:highlight w:val="none"/>
          <w:lang w:eastAsia="zh-Hans"/>
        </w:rPr>
      </w:pPr>
      <w:bookmarkStart w:id="62" w:name="_Toc169799805"/>
      <w:r>
        <w:rPr>
          <w:rFonts w:ascii="宋体" w:hAnsi="宋体"/>
          <w:kern w:val="0"/>
          <w:szCs w:val="21"/>
          <w:highlight w:val="none"/>
          <w:lang w:eastAsia="zh-Hans"/>
        </w:rPr>
        <w:t>一、投诉相关主体基本情况</w:t>
      </w:r>
    </w:p>
    <w:p w14:paraId="47E971EC">
      <w:pPr>
        <w:widowControl/>
        <w:snapToGrid w:val="0"/>
        <w:spacing w:line="360" w:lineRule="auto"/>
        <w:contextualSpacing/>
        <w:jc w:val="left"/>
        <w:rPr>
          <w:rFonts w:ascii="宋体" w:hAnsi="宋体"/>
          <w:kern w:val="0"/>
          <w:szCs w:val="21"/>
          <w:highlight w:val="none"/>
        </w:rPr>
      </w:pPr>
      <w:r>
        <w:rPr>
          <w:rFonts w:ascii="宋体" w:hAnsi="宋体"/>
          <w:kern w:val="0"/>
          <w:szCs w:val="21"/>
          <w:highlight w:val="none"/>
          <w:lang w:eastAsia="zh-Hans"/>
        </w:rPr>
        <w:t>投诉人：</w:t>
      </w:r>
      <w:r>
        <w:rPr>
          <w:rFonts w:hint="eastAsia" w:ascii="宋体" w:hAnsi="宋体"/>
          <w:kern w:val="0"/>
          <w:szCs w:val="21"/>
          <w:highlight w:val="none"/>
          <w:u w:val="single"/>
        </w:rPr>
        <w:t xml:space="preserve">                                                                      </w:t>
      </w:r>
    </w:p>
    <w:p w14:paraId="61C455A8">
      <w:pPr>
        <w:widowControl/>
        <w:snapToGrid w:val="0"/>
        <w:spacing w:line="360" w:lineRule="auto"/>
        <w:contextualSpacing/>
        <w:jc w:val="left"/>
        <w:rPr>
          <w:rFonts w:ascii="宋体" w:hAnsi="宋体"/>
          <w:kern w:val="0"/>
          <w:szCs w:val="21"/>
          <w:highlight w:val="none"/>
        </w:rPr>
      </w:pPr>
      <w:r>
        <w:rPr>
          <w:rFonts w:ascii="宋体" w:hAnsi="宋体"/>
          <w:kern w:val="0"/>
          <w:szCs w:val="21"/>
          <w:highlight w:val="none"/>
          <w:lang w:eastAsia="zh-Hans"/>
        </w:rPr>
        <w:t>地 址：</w:t>
      </w:r>
      <w:r>
        <w:rPr>
          <w:rFonts w:hint="eastAsia" w:ascii="宋体" w:hAnsi="宋体"/>
          <w:kern w:val="0"/>
          <w:szCs w:val="21"/>
          <w:highlight w:val="none"/>
          <w:u w:val="single"/>
        </w:rPr>
        <w:t xml:space="preserve">                                       </w:t>
      </w:r>
      <w:r>
        <w:rPr>
          <w:rFonts w:ascii="宋体" w:hAnsi="宋体"/>
          <w:kern w:val="0"/>
          <w:szCs w:val="21"/>
          <w:highlight w:val="none"/>
          <w:lang w:eastAsia="zh-Hans"/>
        </w:rPr>
        <w:t>邮编：</w:t>
      </w:r>
      <w:r>
        <w:rPr>
          <w:rFonts w:hint="eastAsia" w:ascii="宋体" w:hAnsi="宋体"/>
          <w:kern w:val="0"/>
          <w:szCs w:val="21"/>
          <w:highlight w:val="none"/>
          <w:u w:val="single"/>
        </w:rPr>
        <w:t xml:space="preserve">                          </w:t>
      </w:r>
    </w:p>
    <w:p w14:paraId="4416EF97">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法定代表人/主要负责人：</w:t>
      </w:r>
      <w:r>
        <w:rPr>
          <w:rFonts w:hint="eastAsia" w:ascii="宋体" w:hAnsi="宋体"/>
          <w:kern w:val="0"/>
          <w:szCs w:val="21"/>
          <w:highlight w:val="none"/>
          <w:u w:val="single"/>
        </w:rPr>
        <w:t xml:space="preserve">                                                       </w:t>
      </w:r>
    </w:p>
    <w:p w14:paraId="3EF23A5D">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联系电话：</w:t>
      </w:r>
      <w:r>
        <w:rPr>
          <w:rFonts w:hint="eastAsia" w:ascii="宋体" w:hAnsi="宋体"/>
          <w:kern w:val="0"/>
          <w:szCs w:val="21"/>
          <w:highlight w:val="none"/>
          <w:u w:val="single"/>
        </w:rPr>
        <w:t xml:space="preserve">                                                                    </w:t>
      </w:r>
    </w:p>
    <w:p w14:paraId="6DB5D8B3">
      <w:pPr>
        <w:widowControl/>
        <w:snapToGrid w:val="0"/>
        <w:spacing w:line="360" w:lineRule="auto"/>
        <w:contextualSpacing/>
        <w:jc w:val="left"/>
        <w:rPr>
          <w:rFonts w:ascii="宋体" w:hAnsi="宋体"/>
          <w:kern w:val="0"/>
          <w:szCs w:val="21"/>
          <w:highlight w:val="none"/>
          <w:u w:val="single"/>
        </w:rPr>
      </w:pPr>
      <w:r>
        <w:rPr>
          <w:rFonts w:ascii="宋体" w:hAnsi="宋体"/>
          <w:kern w:val="0"/>
          <w:szCs w:val="21"/>
          <w:highlight w:val="none"/>
          <w:lang w:eastAsia="zh-Hans"/>
        </w:rPr>
        <w:t>授权代表：</w:t>
      </w:r>
      <w:r>
        <w:rPr>
          <w:rFonts w:hint="eastAsia" w:ascii="宋体" w:hAnsi="宋体"/>
          <w:kern w:val="0"/>
          <w:szCs w:val="21"/>
          <w:highlight w:val="none"/>
          <w:u w:val="single"/>
        </w:rPr>
        <w:t xml:space="preserve">                               </w:t>
      </w:r>
      <w:r>
        <w:rPr>
          <w:rFonts w:ascii="宋体" w:hAnsi="宋体"/>
          <w:kern w:val="0"/>
          <w:szCs w:val="21"/>
          <w:highlight w:val="none"/>
          <w:lang w:eastAsia="zh-Hans"/>
        </w:rPr>
        <w:t>联系电话：</w:t>
      </w:r>
      <w:r>
        <w:rPr>
          <w:rFonts w:hint="eastAsia" w:ascii="宋体" w:hAnsi="宋体"/>
          <w:kern w:val="0"/>
          <w:szCs w:val="21"/>
          <w:highlight w:val="none"/>
          <w:u w:val="single"/>
        </w:rPr>
        <w:t xml:space="preserve">                           </w:t>
      </w:r>
    </w:p>
    <w:p w14:paraId="74473FD6">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地 址：</w:t>
      </w:r>
      <w:r>
        <w:rPr>
          <w:rFonts w:hint="eastAsia" w:ascii="宋体" w:hAnsi="宋体"/>
          <w:kern w:val="0"/>
          <w:szCs w:val="21"/>
          <w:highlight w:val="none"/>
          <w:u w:val="single"/>
        </w:rPr>
        <w:t xml:space="preserve">                                  </w:t>
      </w:r>
      <w:r>
        <w:rPr>
          <w:rFonts w:ascii="宋体" w:hAnsi="宋体"/>
          <w:kern w:val="0"/>
          <w:szCs w:val="21"/>
          <w:highlight w:val="none"/>
          <w:lang w:eastAsia="zh-Hans"/>
        </w:rPr>
        <w:t>邮编：</w:t>
      </w:r>
      <w:r>
        <w:rPr>
          <w:rFonts w:hint="eastAsia" w:ascii="宋体" w:hAnsi="宋体"/>
          <w:kern w:val="0"/>
          <w:szCs w:val="21"/>
          <w:highlight w:val="none"/>
          <w:u w:val="single"/>
        </w:rPr>
        <w:t xml:space="preserve">                               </w:t>
      </w:r>
    </w:p>
    <w:p w14:paraId="6C68FBD6">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被投诉人1：</w:t>
      </w:r>
      <w:r>
        <w:rPr>
          <w:rFonts w:hint="eastAsia" w:ascii="宋体" w:hAnsi="宋体"/>
          <w:kern w:val="0"/>
          <w:szCs w:val="21"/>
          <w:highlight w:val="none"/>
          <w:u w:val="single"/>
        </w:rPr>
        <w:t xml:space="preserve">                                                                   </w:t>
      </w:r>
      <w:r>
        <w:rPr>
          <w:rFonts w:hint="eastAsia" w:ascii="宋体" w:hAnsi="宋体"/>
          <w:kern w:val="0"/>
          <w:szCs w:val="21"/>
          <w:highlight w:val="none"/>
          <w:lang w:eastAsia="zh-Hans"/>
        </w:rPr>
        <w:t xml:space="preserve">     </w:t>
      </w:r>
    </w:p>
    <w:p w14:paraId="12922DC4">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地址：</w:t>
      </w:r>
      <w:r>
        <w:rPr>
          <w:rFonts w:hint="eastAsia" w:ascii="宋体" w:hAnsi="宋体"/>
          <w:kern w:val="0"/>
          <w:szCs w:val="21"/>
          <w:highlight w:val="none"/>
          <w:u w:val="single"/>
        </w:rPr>
        <w:t xml:space="preserve">                                  </w:t>
      </w:r>
      <w:r>
        <w:rPr>
          <w:rFonts w:ascii="宋体" w:hAnsi="宋体"/>
          <w:kern w:val="0"/>
          <w:szCs w:val="21"/>
          <w:highlight w:val="none"/>
          <w:u w:val="single"/>
          <w:lang w:eastAsia="zh-Hans"/>
        </w:rPr>
        <w:t>_</w:t>
      </w:r>
      <w:r>
        <w:rPr>
          <w:rFonts w:ascii="宋体" w:hAnsi="宋体"/>
          <w:kern w:val="0"/>
          <w:szCs w:val="21"/>
          <w:highlight w:val="none"/>
          <w:lang w:eastAsia="zh-Hans"/>
        </w:rPr>
        <w:t>邮编：</w:t>
      </w:r>
      <w:r>
        <w:rPr>
          <w:rFonts w:hint="eastAsia" w:ascii="宋体" w:hAnsi="宋体"/>
          <w:kern w:val="0"/>
          <w:szCs w:val="21"/>
          <w:highlight w:val="none"/>
          <w:u w:val="single"/>
        </w:rPr>
        <w:t xml:space="preserve">                               </w:t>
      </w:r>
    </w:p>
    <w:p w14:paraId="0CF276C6">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联系人：</w:t>
      </w:r>
      <w:r>
        <w:rPr>
          <w:rFonts w:hint="eastAsia" w:ascii="宋体" w:hAnsi="宋体"/>
          <w:kern w:val="0"/>
          <w:szCs w:val="21"/>
          <w:highlight w:val="none"/>
          <w:u w:val="single"/>
        </w:rPr>
        <w:t xml:space="preserve">                                 </w:t>
      </w:r>
      <w:r>
        <w:rPr>
          <w:rFonts w:ascii="宋体" w:hAnsi="宋体"/>
          <w:kern w:val="0"/>
          <w:szCs w:val="21"/>
          <w:highlight w:val="none"/>
          <w:lang w:eastAsia="zh-Hans"/>
        </w:rPr>
        <w:t>联系电话：</w:t>
      </w:r>
      <w:r>
        <w:rPr>
          <w:rFonts w:hint="eastAsia" w:ascii="宋体" w:hAnsi="宋体"/>
          <w:kern w:val="0"/>
          <w:szCs w:val="21"/>
          <w:highlight w:val="none"/>
          <w:u w:val="single"/>
        </w:rPr>
        <w:t xml:space="preserve">                           </w:t>
      </w:r>
    </w:p>
    <w:p w14:paraId="4CC330BE">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被投诉人2：</w:t>
      </w:r>
      <w:r>
        <w:rPr>
          <w:rFonts w:hint="eastAsia" w:ascii="宋体" w:hAnsi="宋体"/>
          <w:kern w:val="0"/>
          <w:szCs w:val="21"/>
          <w:highlight w:val="none"/>
          <w:u w:val="single"/>
        </w:rPr>
        <w:t xml:space="preserve">                                                                   </w:t>
      </w:r>
    </w:p>
    <w:p w14:paraId="7731C64E">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w:t>
      </w:r>
    </w:p>
    <w:p w14:paraId="4B91A402">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相关供应商：</w:t>
      </w:r>
      <w:r>
        <w:rPr>
          <w:rFonts w:hint="eastAsia" w:ascii="宋体" w:hAnsi="宋体"/>
          <w:kern w:val="0"/>
          <w:szCs w:val="21"/>
          <w:highlight w:val="none"/>
          <w:u w:val="single"/>
        </w:rPr>
        <w:t xml:space="preserve">                                                                   </w:t>
      </w:r>
    </w:p>
    <w:p w14:paraId="2D4DBC5E">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地址：</w:t>
      </w:r>
      <w:r>
        <w:rPr>
          <w:rFonts w:hint="eastAsia" w:ascii="宋体" w:hAnsi="宋体"/>
          <w:kern w:val="0"/>
          <w:szCs w:val="21"/>
          <w:highlight w:val="none"/>
          <w:u w:val="single"/>
        </w:rPr>
        <w:t xml:space="preserve">                                   </w:t>
      </w:r>
      <w:r>
        <w:rPr>
          <w:rFonts w:ascii="宋体" w:hAnsi="宋体"/>
          <w:kern w:val="0"/>
          <w:szCs w:val="21"/>
          <w:highlight w:val="none"/>
          <w:lang w:eastAsia="zh-Hans"/>
        </w:rPr>
        <w:t>邮编：</w:t>
      </w:r>
      <w:r>
        <w:rPr>
          <w:rFonts w:hint="eastAsia" w:ascii="宋体" w:hAnsi="宋体"/>
          <w:kern w:val="0"/>
          <w:szCs w:val="21"/>
          <w:highlight w:val="none"/>
          <w:u w:val="single"/>
        </w:rPr>
        <w:t xml:space="preserve">                                </w:t>
      </w:r>
    </w:p>
    <w:p w14:paraId="1A401B3F">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联系人：</w:t>
      </w:r>
      <w:r>
        <w:rPr>
          <w:rFonts w:hint="eastAsia" w:ascii="宋体" w:hAnsi="宋体"/>
          <w:kern w:val="0"/>
          <w:szCs w:val="21"/>
          <w:highlight w:val="none"/>
          <w:u w:val="single"/>
        </w:rPr>
        <w:t xml:space="preserve">                                 </w:t>
      </w:r>
      <w:r>
        <w:rPr>
          <w:rFonts w:ascii="宋体" w:hAnsi="宋体"/>
          <w:kern w:val="0"/>
          <w:szCs w:val="21"/>
          <w:highlight w:val="none"/>
          <w:lang w:eastAsia="zh-Hans"/>
        </w:rPr>
        <w:t>联系电话：</w:t>
      </w:r>
      <w:r>
        <w:rPr>
          <w:rFonts w:hint="eastAsia" w:ascii="宋体" w:hAnsi="宋体"/>
          <w:kern w:val="0"/>
          <w:szCs w:val="21"/>
          <w:highlight w:val="none"/>
          <w:u w:val="single"/>
        </w:rPr>
        <w:t xml:space="preserve">                            </w:t>
      </w:r>
    </w:p>
    <w:p w14:paraId="28620319">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二、投诉项目基本情况</w:t>
      </w:r>
    </w:p>
    <w:p w14:paraId="531DAD4C">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采购项目名称：</w:t>
      </w:r>
      <w:r>
        <w:rPr>
          <w:rFonts w:hint="eastAsia" w:ascii="宋体" w:hAnsi="宋体"/>
          <w:kern w:val="0"/>
          <w:szCs w:val="21"/>
          <w:highlight w:val="none"/>
          <w:u w:val="single"/>
        </w:rPr>
        <w:t xml:space="preserve">                                                                 </w:t>
      </w:r>
    </w:p>
    <w:p w14:paraId="348E26EF">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采购项目编号：</w:t>
      </w:r>
      <w:r>
        <w:rPr>
          <w:rFonts w:hint="eastAsia" w:ascii="宋体" w:hAnsi="宋体"/>
          <w:kern w:val="0"/>
          <w:szCs w:val="21"/>
          <w:highlight w:val="none"/>
          <w:u w:val="single"/>
        </w:rPr>
        <w:t xml:space="preserve">                                 </w:t>
      </w:r>
      <w:r>
        <w:rPr>
          <w:rFonts w:ascii="宋体" w:hAnsi="宋体"/>
          <w:kern w:val="0"/>
          <w:szCs w:val="21"/>
          <w:highlight w:val="none"/>
          <w:lang w:eastAsia="zh-Hans"/>
        </w:rPr>
        <w:t>包号：</w:t>
      </w:r>
      <w:r>
        <w:rPr>
          <w:rFonts w:hint="eastAsia" w:ascii="宋体" w:hAnsi="宋体"/>
          <w:kern w:val="0"/>
          <w:szCs w:val="21"/>
          <w:highlight w:val="none"/>
          <w:u w:val="single"/>
        </w:rPr>
        <w:t xml:space="preserve">                          </w:t>
      </w:r>
    </w:p>
    <w:p w14:paraId="4C786EFF">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采购人名称：</w:t>
      </w:r>
      <w:r>
        <w:rPr>
          <w:rFonts w:hint="eastAsia" w:ascii="宋体" w:hAnsi="宋体"/>
          <w:kern w:val="0"/>
          <w:szCs w:val="21"/>
          <w:highlight w:val="none"/>
          <w:u w:val="single"/>
        </w:rPr>
        <w:t xml:space="preserve">                                                                   </w:t>
      </w:r>
    </w:p>
    <w:p w14:paraId="4347141D">
      <w:pPr>
        <w:widowControl/>
        <w:snapToGrid w:val="0"/>
        <w:spacing w:line="360" w:lineRule="auto"/>
        <w:contextualSpacing/>
        <w:jc w:val="left"/>
        <w:rPr>
          <w:rFonts w:ascii="宋体" w:hAnsi="宋体"/>
          <w:kern w:val="0"/>
          <w:szCs w:val="21"/>
          <w:highlight w:val="none"/>
          <w:u w:val="single"/>
        </w:rPr>
      </w:pPr>
      <w:r>
        <w:rPr>
          <w:rFonts w:ascii="宋体" w:hAnsi="宋体"/>
          <w:kern w:val="0"/>
          <w:szCs w:val="21"/>
          <w:highlight w:val="none"/>
          <w:lang w:eastAsia="zh-Hans"/>
        </w:rPr>
        <w:t>代理机构名称：</w:t>
      </w:r>
      <w:r>
        <w:rPr>
          <w:rFonts w:hint="eastAsia" w:ascii="宋体" w:hAnsi="宋体"/>
          <w:kern w:val="0"/>
          <w:szCs w:val="21"/>
          <w:highlight w:val="none"/>
          <w:u w:val="single"/>
        </w:rPr>
        <w:t xml:space="preserve">                                                                 </w:t>
      </w:r>
    </w:p>
    <w:p w14:paraId="18DB7075">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采购文件公告:</w:t>
      </w:r>
      <w:r>
        <w:rPr>
          <w:rFonts w:ascii="宋体" w:hAnsi="宋体"/>
          <w:kern w:val="0"/>
          <w:szCs w:val="21"/>
          <w:highlight w:val="none"/>
          <w:u w:val="single"/>
          <w:lang w:eastAsia="zh-Hans"/>
        </w:rPr>
        <w:t>是/否</w:t>
      </w:r>
      <w:r>
        <w:rPr>
          <w:rFonts w:ascii="宋体" w:hAnsi="宋体"/>
          <w:kern w:val="0"/>
          <w:szCs w:val="21"/>
          <w:highlight w:val="none"/>
          <w:lang w:eastAsia="zh-Hans"/>
        </w:rPr>
        <w:t xml:space="preserve"> 公告期限：</w:t>
      </w:r>
      <w:r>
        <w:rPr>
          <w:rFonts w:hint="eastAsia" w:ascii="宋体" w:hAnsi="宋体"/>
          <w:kern w:val="0"/>
          <w:szCs w:val="21"/>
          <w:highlight w:val="none"/>
          <w:u w:val="single"/>
        </w:rPr>
        <w:t xml:space="preserve">                                                   </w:t>
      </w:r>
    </w:p>
    <w:p w14:paraId="3575FCC4">
      <w:pPr>
        <w:widowControl/>
        <w:snapToGrid w:val="0"/>
        <w:spacing w:line="360" w:lineRule="auto"/>
        <w:contextualSpacing/>
        <w:jc w:val="left"/>
        <w:rPr>
          <w:rFonts w:ascii="宋体" w:hAnsi="宋体"/>
          <w:kern w:val="0"/>
          <w:szCs w:val="21"/>
          <w:highlight w:val="none"/>
          <w:u w:val="single"/>
        </w:rPr>
      </w:pPr>
      <w:r>
        <w:rPr>
          <w:rFonts w:ascii="宋体" w:hAnsi="宋体"/>
          <w:kern w:val="0"/>
          <w:szCs w:val="21"/>
          <w:highlight w:val="none"/>
          <w:lang w:eastAsia="zh-Hans"/>
        </w:rPr>
        <w:t>采购结果公告:</w:t>
      </w:r>
      <w:r>
        <w:rPr>
          <w:rFonts w:ascii="宋体" w:hAnsi="宋体"/>
          <w:kern w:val="0"/>
          <w:szCs w:val="21"/>
          <w:highlight w:val="none"/>
          <w:u w:val="single"/>
          <w:lang w:eastAsia="zh-Hans"/>
        </w:rPr>
        <w:t>是/否</w:t>
      </w:r>
      <w:r>
        <w:rPr>
          <w:rFonts w:ascii="宋体" w:hAnsi="宋体"/>
          <w:kern w:val="0"/>
          <w:szCs w:val="21"/>
          <w:highlight w:val="none"/>
          <w:lang w:eastAsia="zh-Hans"/>
        </w:rPr>
        <w:t xml:space="preserve"> 公告期限：</w:t>
      </w:r>
      <w:r>
        <w:rPr>
          <w:rFonts w:hint="eastAsia" w:ascii="宋体" w:hAnsi="宋体"/>
          <w:kern w:val="0"/>
          <w:szCs w:val="21"/>
          <w:highlight w:val="none"/>
          <w:u w:val="single"/>
        </w:rPr>
        <w:t xml:space="preserve">                                                   </w:t>
      </w:r>
    </w:p>
    <w:p w14:paraId="0A6EB0E4">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三、质疑基本情况</w:t>
      </w:r>
    </w:p>
    <w:p w14:paraId="5384CB75">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投诉人于 ____年____月____日,向提出质疑，质疑事项为：</w:t>
      </w:r>
      <w:r>
        <w:rPr>
          <w:rFonts w:hint="eastAsia" w:ascii="宋体" w:hAnsi="宋体"/>
          <w:kern w:val="0"/>
          <w:szCs w:val="21"/>
          <w:highlight w:val="none"/>
          <w:u w:val="single"/>
        </w:rPr>
        <w:t xml:space="preserve">                            </w:t>
      </w:r>
    </w:p>
    <w:p w14:paraId="287E1CED">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u w:val="single"/>
          <w:lang w:eastAsia="zh-Hans"/>
        </w:rPr>
        <w:t>采购人/代理机构</w:t>
      </w:r>
      <w:r>
        <w:rPr>
          <w:rFonts w:ascii="宋体" w:hAnsi="宋体"/>
          <w:kern w:val="0"/>
          <w:szCs w:val="21"/>
          <w:highlight w:val="none"/>
          <w:lang w:eastAsia="zh-Hans"/>
        </w:rPr>
        <w:t>于____年____月____日,就质疑事项作出了答复/没有在法定期限内作出答复。</w:t>
      </w:r>
    </w:p>
    <w:p w14:paraId="09286646">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四、投诉事项具体内容</w:t>
      </w:r>
    </w:p>
    <w:p w14:paraId="6DE84B6A">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投诉事项1：</w:t>
      </w:r>
      <w:r>
        <w:rPr>
          <w:rFonts w:hint="eastAsia" w:ascii="宋体" w:hAnsi="宋体"/>
          <w:kern w:val="0"/>
          <w:szCs w:val="21"/>
          <w:highlight w:val="none"/>
          <w:u w:val="single"/>
        </w:rPr>
        <w:t xml:space="preserve">                                                                    </w:t>
      </w:r>
    </w:p>
    <w:p w14:paraId="03A2265C">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事实依据：</w:t>
      </w:r>
      <w:r>
        <w:rPr>
          <w:rFonts w:hint="eastAsia" w:ascii="宋体" w:hAnsi="宋体"/>
          <w:kern w:val="0"/>
          <w:szCs w:val="21"/>
          <w:highlight w:val="none"/>
          <w:u w:val="single"/>
        </w:rPr>
        <w:t xml:space="preserve">                                                                     </w:t>
      </w:r>
    </w:p>
    <w:p w14:paraId="7EA64CD8">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法律依据：</w:t>
      </w:r>
      <w:r>
        <w:rPr>
          <w:rFonts w:hint="eastAsia" w:ascii="宋体" w:hAnsi="宋体"/>
          <w:kern w:val="0"/>
          <w:szCs w:val="21"/>
          <w:highlight w:val="none"/>
          <w:u w:val="single"/>
        </w:rPr>
        <w:t xml:space="preserve">                                                                     </w:t>
      </w:r>
    </w:p>
    <w:p w14:paraId="4CDEE7DD">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投诉事项2：</w:t>
      </w:r>
      <w:r>
        <w:rPr>
          <w:rFonts w:hint="eastAsia" w:ascii="宋体" w:hAnsi="宋体"/>
          <w:kern w:val="0"/>
          <w:szCs w:val="21"/>
          <w:highlight w:val="none"/>
          <w:u w:val="single"/>
        </w:rPr>
        <w:t xml:space="preserve">                                                                    </w:t>
      </w:r>
    </w:p>
    <w:p w14:paraId="1E71EA9F">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w:t>
      </w:r>
    </w:p>
    <w:p w14:paraId="1342875E">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五、与投诉事项相关的投诉请求</w:t>
      </w:r>
    </w:p>
    <w:p w14:paraId="7A4FDE10">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请求：</w:t>
      </w:r>
      <w:r>
        <w:rPr>
          <w:rFonts w:hint="eastAsia" w:ascii="宋体" w:hAnsi="宋体"/>
          <w:kern w:val="0"/>
          <w:szCs w:val="21"/>
          <w:highlight w:val="none"/>
          <w:u w:val="single"/>
        </w:rPr>
        <w:t xml:space="preserve">                                                                          </w:t>
      </w:r>
    </w:p>
    <w:p w14:paraId="6506FF80">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 xml:space="preserve">签字(签章)： </w:t>
      </w:r>
      <w:r>
        <w:rPr>
          <w:rFonts w:hint="eastAsia" w:ascii="宋体" w:hAnsi="宋体"/>
          <w:kern w:val="0"/>
          <w:szCs w:val="21"/>
          <w:highlight w:val="none"/>
          <w:u w:val="single"/>
        </w:rPr>
        <w:t xml:space="preserve">                         </w:t>
      </w:r>
      <w:r>
        <w:rPr>
          <w:rFonts w:ascii="宋体" w:hAnsi="宋体"/>
          <w:kern w:val="0"/>
          <w:szCs w:val="21"/>
          <w:highlight w:val="none"/>
          <w:lang w:eastAsia="zh-Hans"/>
        </w:rPr>
        <w:t>公章</w:t>
      </w:r>
      <w:r>
        <w:rPr>
          <w:rFonts w:hint="eastAsia" w:ascii="宋体" w:hAnsi="宋体"/>
          <w:kern w:val="0"/>
          <w:szCs w:val="21"/>
          <w:highlight w:val="none"/>
          <w:u w:val="single"/>
        </w:rPr>
        <w:t xml:space="preserve">                                      </w:t>
      </w:r>
    </w:p>
    <w:p w14:paraId="5884BCB9">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日期：____年____月____日</w:t>
      </w:r>
    </w:p>
    <w:p w14:paraId="7748DC45">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投诉书制作说明：</w:t>
      </w:r>
    </w:p>
    <w:p w14:paraId="413745D1">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1.投诉人提起投诉时，应当提交投诉书和必要的证明材料，并按照被投诉人和与投诉事项有关的供应商数量提供投诉书副本。</w:t>
      </w:r>
    </w:p>
    <w:p w14:paraId="007E3B6C">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5BA3F35">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3.投诉人若对项目的某一分包进行投诉，投诉书应列明具体分包号。</w:t>
      </w:r>
    </w:p>
    <w:p w14:paraId="551784BC">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4.投诉书应简要列明质疑事项，质疑函、质疑答复等作为附件材料提供。</w:t>
      </w:r>
    </w:p>
    <w:p w14:paraId="024BF348">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5.投诉书的投诉事项应具体、明确，并有必要的事实依据和法律依据。</w:t>
      </w:r>
    </w:p>
    <w:p w14:paraId="36C0B041">
      <w:pPr>
        <w:widowControl/>
        <w:snapToGrid w:val="0"/>
        <w:spacing w:line="360" w:lineRule="auto"/>
        <w:contextualSpacing/>
        <w:jc w:val="left"/>
        <w:rPr>
          <w:rFonts w:ascii="宋体" w:hAnsi="宋体"/>
          <w:kern w:val="0"/>
          <w:szCs w:val="21"/>
          <w:highlight w:val="none"/>
          <w:lang w:eastAsia="zh-Hans"/>
        </w:rPr>
      </w:pPr>
      <w:r>
        <w:rPr>
          <w:rFonts w:ascii="宋体" w:hAnsi="宋体"/>
          <w:kern w:val="0"/>
          <w:szCs w:val="21"/>
          <w:highlight w:val="none"/>
          <w:lang w:eastAsia="zh-Hans"/>
        </w:rPr>
        <w:t>6.投诉书的投诉请求应与投诉事项相关。</w:t>
      </w:r>
    </w:p>
    <w:p w14:paraId="19366FB4">
      <w:pPr>
        <w:widowControl/>
        <w:snapToGrid w:val="0"/>
        <w:spacing w:line="360" w:lineRule="auto"/>
        <w:contextualSpacing/>
        <w:jc w:val="left"/>
        <w:rPr>
          <w:kern w:val="0"/>
          <w:sz w:val="20"/>
          <w:szCs w:val="20"/>
          <w:highlight w:val="none"/>
          <w:lang w:eastAsia="zh-Hans"/>
        </w:rPr>
      </w:pPr>
      <w:r>
        <w:rPr>
          <w:rFonts w:ascii="宋体" w:hAnsi="宋体"/>
          <w:kern w:val="0"/>
          <w:szCs w:val="21"/>
          <w:highlight w:val="none"/>
          <w:lang w:eastAsia="zh-Hans"/>
        </w:rPr>
        <w:t>7.投诉人为自然人的，投诉书应当由本人签字；投诉人为法人或者其他组织的，投诉书应当由法定代表人、主要负责人，或者其授权代表签字或者盖章，并加盖公章。</w:t>
      </w:r>
    </w:p>
    <w:bookmarkEnd w:id="62"/>
    <w:p w14:paraId="1D9AC70A">
      <w:pPr>
        <w:pageBreakBefore/>
        <w:rPr>
          <w:kern w:val="0"/>
          <w:sz w:val="20"/>
          <w:szCs w:val="20"/>
          <w:highlight w:val="none"/>
          <w:lang w:eastAsia="zh-Hans"/>
        </w:rPr>
      </w:pPr>
      <w:bookmarkStart w:id="63" w:name="_Toc169799806"/>
      <w:r>
        <w:rPr>
          <w:rFonts w:ascii="宋体" w:hAnsi="宋体"/>
          <w:b/>
          <w:bCs/>
          <w:sz w:val="24"/>
          <w:szCs w:val="28"/>
          <w:highlight w:val="none"/>
        </w:rPr>
        <w:t>格式二十</w:t>
      </w:r>
      <w:r>
        <w:rPr>
          <w:rFonts w:hint="eastAsia" w:ascii="宋体" w:hAnsi="宋体"/>
          <w:b/>
          <w:bCs/>
          <w:sz w:val="24"/>
          <w:szCs w:val="28"/>
          <w:highlight w:val="none"/>
          <w:lang w:eastAsia="zh-CN"/>
        </w:rPr>
        <w:t>一</w:t>
      </w:r>
      <w:r>
        <w:rPr>
          <w:rFonts w:ascii="宋体" w:hAnsi="宋体"/>
          <w:b/>
          <w:bCs/>
          <w:sz w:val="24"/>
          <w:szCs w:val="28"/>
          <w:highlight w:val="none"/>
        </w:rPr>
        <w:t>：</w:t>
      </w:r>
      <w:bookmarkEnd w:id="63"/>
    </w:p>
    <w:p w14:paraId="55D289B9">
      <w:pPr>
        <w:widowControl/>
        <w:jc w:val="left"/>
        <w:rPr>
          <w:kern w:val="0"/>
          <w:sz w:val="20"/>
          <w:szCs w:val="20"/>
          <w:highlight w:val="none"/>
          <w:lang w:eastAsia="zh-Hans"/>
        </w:rPr>
      </w:pPr>
      <w:r>
        <w:rPr>
          <w:kern w:val="0"/>
          <w:sz w:val="20"/>
          <w:szCs w:val="20"/>
          <w:highlight w:val="none"/>
          <w:lang w:eastAsia="zh-Hans"/>
        </w:rPr>
        <w:t>（以下格式文件由供应商根据需要选用）</w:t>
      </w:r>
    </w:p>
    <w:p w14:paraId="63357A50">
      <w:pPr>
        <w:spacing w:line="360" w:lineRule="auto"/>
        <w:rPr>
          <w:rFonts w:hint="eastAsia"/>
          <w:color w:val="auto"/>
          <w:sz w:val="20"/>
          <w:szCs w:val="20"/>
          <w:highlight w:val="none"/>
          <w:lang w:val="en-US" w:eastAsia="zh-Hans"/>
        </w:rPr>
      </w:pPr>
      <w:r>
        <w:rPr>
          <w:rFonts w:hint="eastAsia"/>
          <w:color w:val="auto"/>
          <w:sz w:val="20"/>
          <w:szCs w:val="20"/>
          <w:highlight w:val="none"/>
          <w:lang w:val="en-US" w:eastAsia="zh-Hans"/>
        </w:rPr>
        <w:t>项目总体方案、除四害服务方案、服务质量保证方案、培训方案、售后服务方案、应急预案等</w:t>
      </w:r>
    </w:p>
    <w:p w14:paraId="3E6BCF02">
      <w:pPr>
        <w:rPr>
          <w:highlight w:val="none"/>
        </w:rPr>
      </w:pPr>
    </w:p>
    <w:p w14:paraId="0B0BE330"/>
    <w:sectPr>
      <w:footerReference r:id="rId7" w:type="first"/>
      <w:footerReference r:id="rId6" w:type="default"/>
      <w:pgSz w:w="11906" w:h="16838"/>
      <w:pgMar w:top="1418" w:right="1418" w:bottom="1418" w:left="1418" w:header="851" w:footer="595"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349233"/>
      <w:docPartObj>
        <w:docPartGallery w:val="autotext"/>
      </w:docPartObj>
    </w:sdtPr>
    <w:sdtContent>
      <w:p w14:paraId="58923FF4">
        <w:pPr>
          <w:pStyle w:val="4"/>
          <w:jc w:val="center"/>
        </w:pPr>
        <w:r>
          <w:fldChar w:fldCharType="begin"/>
        </w:r>
        <w:r>
          <w:instrText xml:space="preserve">PAGE   \* MERGEFORMAT</w:instrText>
        </w:r>
        <w:r>
          <w:fldChar w:fldCharType="separate"/>
        </w:r>
        <w:r>
          <w:rPr>
            <w:lang w:val="zh-CN"/>
          </w:rPr>
          <w:t>2</w:t>
        </w:r>
        <w:r>
          <w:fldChar w:fldCharType="end"/>
        </w:r>
      </w:p>
    </w:sdtContent>
  </w:sdt>
  <w:p w14:paraId="2B068E8E">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E0F4">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DC09">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4B059">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002"/>
                            <w:docPartObj>
                              <w:docPartGallery w:val="autotext"/>
                            </w:docPartObj>
                          </w:sdtPr>
                          <w:sdtContent>
                            <w:p w14:paraId="76302A16">
                              <w:pPr>
                                <w:pStyle w:val="4"/>
                                <w:jc w:val="center"/>
                              </w:pPr>
                              <w:r>
                                <w:fldChar w:fldCharType="begin"/>
                              </w:r>
                              <w:r>
                                <w:instrText xml:space="preserve">PAGE   \* MERGEFORMAT</w:instrText>
                              </w:r>
                              <w:r>
                                <w:fldChar w:fldCharType="separate"/>
                              </w:r>
                              <w:r>
                                <w:rPr>
                                  <w:lang w:val="zh-CN"/>
                                </w:rPr>
                                <w:t>2</w:t>
                              </w:r>
                              <w:r>
                                <w:fldChar w:fldCharType="end"/>
                              </w:r>
                            </w:p>
                          </w:sdtContent>
                        </w:sdt>
                        <w:p w14:paraId="71F7DF1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002"/>
                      <w:docPartObj>
                        <w:docPartGallery w:val="autotext"/>
                      </w:docPartObj>
                    </w:sdtPr>
                    <w:sdtContent>
                      <w:p w14:paraId="76302A16">
                        <w:pPr>
                          <w:pStyle w:val="4"/>
                          <w:jc w:val="center"/>
                        </w:pPr>
                        <w:r>
                          <w:fldChar w:fldCharType="begin"/>
                        </w:r>
                        <w:r>
                          <w:instrText xml:space="preserve">PAGE   \* MERGEFORMAT</w:instrText>
                        </w:r>
                        <w:r>
                          <w:fldChar w:fldCharType="separate"/>
                        </w:r>
                        <w:r>
                          <w:rPr>
                            <w:lang w:val="zh-CN"/>
                          </w:rPr>
                          <w:t>2</w:t>
                        </w:r>
                        <w:r>
                          <w:fldChar w:fldCharType="end"/>
                        </w:r>
                      </w:p>
                    </w:sdtContent>
                  </w:sdt>
                  <w:p w14:paraId="71F7DF12"/>
                </w:txbxContent>
              </v:textbox>
            </v:shape>
          </w:pict>
        </mc:Fallback>
      </mc:AlternateContent>
    </w:r>
  </w:p>
  <w:p w14:paraId="0ED567AD">
    <w:pPr>
      <w:pStyle w:val="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9B5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2085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82085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B3F90"/>
    <w:multiLevelType w:val="singleLevel"/>
    <w:tmpl w:val="855B3F90"/>
    <w:lvl w:ilvl="0" w:tentative="0">
      <w:start w:val="1"/>
      <w:numFmt w:val="decimal"/>
      <w:lvlText w:val="(%1)"/>
      <w:lvlJc w:val="left"/>
      <w:pPr>
        <w:ind w:left="425" w:hanging="425"/>
      </w:pPr>
      <w:rPr>
        <w:rFonts w:hint="default"/>
      </w:rPr>
    </w:lvl>
  </w:abstractNum>
  <w:abstractNum w:abstractNumId="1">
    <w:nsid w:val="8A9F4614"/>
    <w:multiLevelType w:val="singleLevel"/>
    <w:tmpl w:val="8A9F4614"/>
    <w:lvl w:ilvl="0" w:tentative="0">
      <w:start w:val="1"/>
      <w:numFmt w:val="decimal"/>
      <w:lvlText w:val="%1)"/>
      <w:lvlJc w:val="left"/>
      <w:pPr>
        <w:ind w:left="425" w:hanging="425"/>
      </w:pPr>
      <w:rPr>
        <w:rFonts w:hint="default"/>
      </w:rPr>
    </w:lvl>
  </w:abstractNum>
  <w:abstractNum w:abstractNumId="2">
    <w:nsid w:val="907BB897"/>
    <w:multiLevelType w:val="singleLevel"/>
    <w:tmpl w:val="907BB897"/>
    <w:lvl w:ilvl="0" w:tentative="0">
      <w:start w:val="4"/>
      <w:numFmt w:val="decimal"/>
      <w:lvlText w:val="(%1)"/>
      <w:lvlJc w:val="left"/>
      <w:pPr>
        <w:tabs>
          <w:tab w:val="left" w:pos="420"/>
        </w:tabs>
        <w:ind w:left="425" w:leftChars="0" w:hanging="425" w:firstLineChars="0"/>
      </w:pPr>
      <w:rPr>
        <w:rFonts w:hint="default"/>
      </w:rPr>
    </w:lvl>
  </w:abstractNum>
  <w:abstractNum w:abstractNumId="3">
    <w:nsid w:val="A20C8A85"/>
    <w:multiLevelType w:val="singleLevel"/>
    <w:tmpl w:val="A20C8A85"/>
    <w:lvl w:ilvl="0" w:tentative="0">
      <w:start w:val="1"/>
      <w:numFmt w:val="decimal"/>
      <w:lvlText w:val="(%1)"/>
      <w:lvlJc w:val="left"/>
      <w:pPr>
        <w:ind w:left="425" w:hanging="425"/>
      </w:pPr>
      <w:rPr>
        <w:rFonts w:hint="default"/>
      </w:rPr>
    </w:lvl>
  </w:abstractNum>
  <w:abstractNum w:abstractNumId="4">
    <w:nsid w:val="A3EF3E71"/>
    <w:multiLevelType w:val="singleLevel"/>
    <w:tmpl w:val="A3EF3E71"/>
    <w:lvl w:ilvl="0" w:tentative="0">
      <w:start w:val="1"/>
      <w:numFmt w:val="decimal"/>
      <w:lvlText w:val="%1."/>
      <w:lvlJc w:val="left"/>
      <w:pPr>
        <w:ind w:left="425" w:hanging="425"/>
      </w:pPr>
      <w:rPr>
        <w:rFonts w:hint="default"/>
      </w:rPr>
    </w:lvl>
  </w:abstractNum>
  <w:abstractNum w:abstractNumId="5">
    <w:nsid w:val="A4E2DFD0"/>
    <w:multiLevelType w:val="singleLevel"/>
    <w:tmpl w:val="A4E2DFD0"/>
    <w:lvl w:ilvl="0" w:tentative="0">
      <w:start w:val="1"/>
      <w:numFmt w:val="decimal"/>
      <w:lvlText w:val="(%1)"/>
      <w:lvlJc w:val="left"/>
      <w:pPr>
        <w:ind w:left="425" w:hanging="425"/>
      </w:pPr>
      <w:rPr>
        <w:rFonts w:hint="default"/>
      </w:rPr>
    </w:lvl>
  </w:abstractNum>
  <w:abstractNum w:abstractNumId="6">
    <w:nsid w:val="A6519AB1"/>
    <w:multiLevelType w:val="singleLevel"/>
    <w:tmpl w:val="A6519AB1"/>
    <w:lvl w:ilvl="0" w:tentative="0">
      <w:start w:val="1"/>
      <w:numFmt w:val="decimal"/>
      <w:lvlText w:val="(%1)"/>
      <w:lvlJc w:val="left"/>
      <w:pPr>
        <w:ind w:left="425" w:hanging="425"/>
      </w:pPr>
      <w:rPr>
        <w:rFonts w:hint="default"/>
      </w:rPr>
    </w:lvl>
  </w:abstractNum>
  <w:abstractNum w:abstractNumId="7">
    <w:nsid w:val="A8C7DF2D"/>
    <w:multiLevelType w:val="singleLevel"/>
    <w:tmpl w:val="A8C7DF2D"/>
    <w:lvl w:ilvl="0" w:tentative="0">
      <w:start w:val="7"/>
      <w:numFmt w:val="chineseCounting"/>
      <w:lvlText w:val="(%1)"/>
      <w:lvlJc w:val="left"/>
      <w:pPr>
        <w:tabs>
          <w:tab w:val="left" w:pos="312"/>
        </w:tabs>
      </w:pPr>
      <w:rPr>
        <w:rFonts w:hint="eastAsia"/>
      </w:rPr>
    </w:lvl>
  </w:abstractNum>
  <w:abstractNum w:abstractNumId="8">
    <w:nsid w:val="AA167771"/>
    <w:multiLevelType w:val="singleLevel"/>
    <w:tmpl w:val="AA167771"/>
    <w:lvl w:ilvl="0" w:tentative="0">
      <w:start w:val="1"/>
      <w:numFmt w:val="decimal"/>
      <w:lvlText w:val="%1."/>
      <w:lvlJc w:val="left"/>
      <w:pPr>
        <w:ind w:left="425" w:hanging="425"/>
      </w:pPr>
      <w:rPr>
        <w:rFonts w:hint="default"/>
      </w:rPr>
    </w:lvl>
  </w:abstractNum>
  <w:abstractNum w:abstractNumId="9">
    <w:nsid w:val="B061AD49"/>
    <w:multiLevelType w:val="singleLevel"/>
    <w:tmpl w:val="B061AD49"/>
    <w:lvl w:ilvl="0" w:tentative="0">
      <w:start w:val="1"/>
      <w:numFmt w:val="decimal"/>
      <w:lvlText w:val="%1."/>
      <w:lvlJc w:val="left"/>
      <w:pPr>
        <w:ind w:left="425" w:hanging="425"/>
      </w:pPr>
      <w:rPr>
        <w:rFonts w:hint="default"/>
      </w:rPr>
    </w:lvl>
  </w:abstractNum>
  <w:abstractNum w:abstractNumId="10">
    <w:nsid w:val="B0DF8A2C"/>
    <w:multiLevelType w:val="singleLevel"/>
    <w:tmpl w:val="B0DF8A2C"/>
    <w:lvl w:ilvl="0" w:tentative="0">
      <w:start w:val="2"/>
      <w:numFmt w:val="decimal"/>
      <w:lvlText w:val="%1."/>
      <w:lvlJc w:val="left"/>
      <w:pPr>
        <w:tabs>
          <w:tab w:val="left" w:pos="420"/>
        </w:tabs>
        <w:ind w:left="425" w:leftChars="0" w:hanging="425" w:firstLineChars="0"/>
      </w:pPr>
      <w:rPr>
        <w:rFonts w:hint="default"/>
      </w:rPr>
    </w:lvl>
  </w:abstractNum>
  <w:abstractNum w:abstractNumId="11">
    <w:nsid w:val="C5E333D2"/>
    <w:multiLevelType w:val="singleLevel"/>
    <w:tmpl w:val="C5E333D2"/>
    <w:lvl w:ilvl="0" w:tentative="0">
      <w:start w:val="2"/>
      <w:numFmt w:val="decimal"/>
      <w:lvlText w:val="%1."/>
      <w:lvlJc w:val="left"/>
      <w:pPr>
        <w:tabs>
          <w:tab w:val="left" w:pos="420"/>
        </w:tabs>
        <w:ind w:left="425" w:leftChars="0" w:hanging="425" w:firstLineChars="0"/>
      </w:pPr>
      <w:rPr>
        <w:rFonts w:hint="default"/>
      </w:rPr>
    </w:lvl>
  </w:abstractNum>
  <w:abstractNum w:abstractNumId="12">
    <w:nsid w:val="C815119E"/>
    <w:multiLevelType w:val="singleLevel"/>
    <w:tmpl w:val="C815119E"/>
    <w:lvl w:ilvl="0" w:tentative="0">
      <w:start w:val="3"/>
      <w:numFmt w:val="decimal"/>
      <w:lvlText w:val="(%1)"/>
      <w:lvlJc w:val="left"/>
      <w:pPr>
        <w:tabs>
          <w:tab w:val="left" w:pos="420"/>
        </w:tabs>
        <w:ind w:left="425" w:leftChars="0" w:hanging="425" w:firstLineChars="0"/>
      </w:pPr>
      <w:rPr>
        <w:rFonts w:hint="default"/>
      </w:rPr>
    </w:lvl>
  </w:abstractNum>
  <w:abstractNum w:abstractNumId="13">
    <w:nsid w:val="DA13CAF4"/>
    <w:multiLevelType w:val="singleLevel"/>
    <w:tmpl w:val="DA13CAF4"/>
    <w:lvl w:ilvl="0" w:tentative="0">
      <w:start w:val="1"/>
      <w:numFmt w:val="decimal"/>
      <w:lvlText w:val="%1."/>
      <w:lvlJc w:val="left"/>
      <w:pPr>
        <w:ind w:left="425" w:hanging="425"/>
      </w:pPr>
      <w:rPr>
        <w:rFonts w:hint="default"/>
      </w:rPr>
    </w:lvl>
  </w:abstractNum>
  <w:abstractNum w:abstractNumId="14">
    <w:nsid w:val="E11F73FD"/>
    <w:multiLevelType w:val="singleLevel"/>
    <w:tmpl w:val="E11F73FD"/>
    <w:lvl w:ilvl="0" w:tentative="0">
      <w:start w:val="1"/>
      <w:numFmt w:val="decimal"/>
      <w:lvlText w:val="(%1)"/>
      <w:lvlJc w:val="left"/>
      <w:pPr>
        <w:ind w:left="425" w:hanging="425"/>
      </w:pPr>
      <w:rPr>
        <w:rFonts w:hint="default"/>
      </w:rPr>
    </w:lvl>
  </w:abstractNum>
  <w:abstractNum w:abstractNumId="15">
    <w:nsid w:val="F1A2D736"/>
    <w:multiLevelType w:val="singleLevel"/>
    <w:tmpl w:val="F1A2D736"/>
    <w:lvl w:ilvl="0" w:tentative="0">
      <w:start w:val="3"/>
      <w:numFmt w:val="decimal"/>
      <w:lvlText w:val="%1."/>
      <w:lvlJc w:val="left"/>
      <w:pPr>
        <w:tabs>
          <w:tab w:val="left" w:pos="420"/>
        </w:tabs>
        <w:ind w:left="425" w:leftChars="0" w:hanging="425" w:firstLineChars="0"/>
      </w:pPr>
      <w:rPr>
        <w:rFonts w:hint="default"/>
      </w:rPr>
    </w:lvl>
  </w:abstractNum>
  <w:abstractNum w:abstractNumId="16">
    <w:nsid w:val="F1B0C4CB"/>
    <w:multiLevelType w:val="singleLevel"/>
    <w:tmpl w:val="F1B0C4CB"/>
    <w:lvl w:ilvl="0" w:tentative="0">
      <w:start w:val="1"/>
      <w:numFmt w:val="decimal"/>
      <w:lvlText w:val="%1."/>
      <w:lvlJc w:val="left"/>
      <w:pPr>
        <w:ind w:left="425" w:hanging="425"/>
      </w:pPr>
      <w:rPr>
        <w:rFonts w:hint="default"/>
      </w:rPr>
    </w:lvl>
  </w:abstractNum>
  <w:abstractNum w:abstractNumId="17">
    <w:nsid w:val="0000002F"/>
    <w:multiLevelType w:val="multilevel"/>
    <w:tmpl w:val="0000002F"/>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34"/>
    <w:multiLevelType w:val="multilevel"/>
    <w:tmpl w:val="0000003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4F"/>
    <w:multiLevelType w:val="multilevel"/>
    <w:tmpl w:val="000000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65"/>
    <w:multiLevelType w:val="multilevel"/>
    <w:tmpl w:val="000000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1B805B"/>
    <w:multiLevelType w:val="singleLevel"/>
    <w:tmpl w:val="001B805B"/>
    <w:lvl w:ilvl="0" w:tentative="0">
      <w:start w:val="1"/>
      <w:numFmt w:val="decimal"/>
      <w:lvlText w:val="(%1)"/>
      <w:lvlJc w:val="left"/>
      <w:pPr>
        <w:ind w:left="425" w:hanging="425"/>
      </w:pPr>
      <w:rPr>
        <w:rFonts w:hint="default"/>
      </w:rPr>
    </w:lvl>
  </w:abstractNum>
  <w:abstractNum w:abstractNumId="22">
    <w:nsid w:val="023F54AB"/>
    <w:multiLevelType w:val="multilevel"/>
    <w:tmpl w:val="023F54AB"/>
    <w:lvl w:ilvl="0" w:tentative="0">
      <w:start w:val="1"/>
      <w:numFmt w:val="decimal"/>
      <w:lvlText w:val="2.%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5012296"/>
    <w:multiLevelType w:val="multilevel"/>
    <w:tmpl w:val="05012296"/>
    <w:lvl w:ilvl="0" w:tentative="0">
      <w:start w:val="1"/>
      <w:numFmt w:val="decimal"/>
      <w:lvlText w:val="7.%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054D07E2"/>
    <w:multiLevelType w:val="multilevel"/>
    <w:tmpl w:val="054D07E2"/>
    <w:lvl w:ilvl="0" w:tentative="0">
      <w:start w:val="1"/>
      <w:numFmt w:val="decimal"/>
      <w:lvlText w:val="2.%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055D72BC"/>
    <w:multiLevelType w:val="multilevel"/>
    <w:tmpl w:val="055D72BC"/>
    <w:lvl w:ilvl="0" w:tentative="0">
      <w:start w:val="1"/>
      <w:numFmt w:val="decimal"/>
      <w:lvlText w:val="10.%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05A41600"/>
    <w:multiLevelType w:val="multilevel"/>
    <w:tmpl w:val="05A4160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5F82605"/>
    <w:multiLevelType w:val="multilevel"/>
    <w:tmpl w:val="05F82605"/>
    <w:lvl w:ilvl="0" w:tentative="0">
      <w:start w:val="1"/>
      <w:numFmt w:val="decimal"/>
      <w:lvlText w:val="%1."/>
      <w:lvlJc w:val="left"/>
      <w:pPr>
        <w:ind w:left="440" w:hanging="440"/>
      </w:pPr>
      <w:rPr>
        <w:rFonts w:ascii="宋体" w:hAnsi="宋体" w:eastAsia="宋体"/>
        <w:b/>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rPr>
        <w:b/>
        <w:bCs/>
      </w:r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07B54EDE"/>
    <w:multiLevelType w:val="multilevel"/>
    <w:tmpl w:val="07B54EDE"/>
    <w:lvl w:ilvl="0" w:tentative="0">
      <w:start w:val="1"/>
      <w:numFmt w:val="decimal"/>
      <w:lvlText w:val="6.%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096D4BE4"/>
    <w:multiLevelType w:val="multilevel"/>
    <w:tmpl w:val="096D4BE4"/>
    <w:lvl w:ilvl="0" w:tentative="0">
      <w:start w:val="1"/>
      <w:numFmt w:val="decimal"/>
      <w:lvlText w:val="5.%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09F82356"/>
    <w:multiLevelType w:val="multilevel"/>
    <w:tmpl w:val="09F82356"/>
    <w:lvl w:ilvl="0" w:tentative="0">
      <w:start w:val="1"/>
      <w:numFmt w:val="decimal"/>
      <w:lvlText w:val="%1."/>
      <w:lvlJc w:val="left"/>
      <w:pPr>
        <w:ind w:left="440" w:hanging="440"/>
      </w:pPr>
      <w:rPr>
        <w:rFonts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0C1B2909"/>
    <w:multiLevelType w:val="multilevel"/>
    <w:tmpl w:val="0C1B2909"/>
    <w:lvl w:ilvl="0" w:tentative="0">
      <w:start w:val="1"/>
      <w:numFmt w:val="decimal"/>
      <w:lvlText w:val="1.%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0C5C6350"/>
    <w:multiLevelType w:val="multilevel"/>
    <w:tmpl w:val="0C5C6350"/>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CC40000"/>
    <w:multiLevelType w:val="multilevel"/>
    <w:tmpl w:val="0CC40000"/>
    <w:lvl w:ilvl="0" w:tentative="0">
      <w:start w:val="1"/>
      <w:numFmt w:val="decimal"/>
      <w:lvlText w:val="1.%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0DDD1320"/>
    <w:multiLevelType w:val="multilevel"/>
    <w:tmpl w:val="0DDD1320"/>
    <w:lvl w:ilvl="0" w:tentative="0">
      <w:start w:val="1"/>
      <w:numFmt w:val="chineseCounting"/>
      <w:lvlText w:val="%1、"/>
      <w:lvlJc w:val="left"/>
      <w:pPr>
        <w:ind w:left="440" w:hanging="440"/>
      </w:pPr>
      <w:rPr>
        <w:rFonts w:hint="eastAsia"/>
        <w:b/>
        <w:i w:val="0"/>
        <w:color w:val="auto"/>
        <w:sz w:val="21"/>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10043CDF"/>
    <w:multiLevelType w:val="singleLevel"/>
    <w:tmpl w:val="10043CDF"/>
    <w:lvl w:ilvl="0" w:tentative="0">
      <w:start w:val="1"/>
      <w:numFmt w:val="chineseCounting"/>
      <w:suff w:val="nothing"/>
      <w:lvlText w:val="%1、"/>
      <w:lvlJc w:val="left"/>
      <w:pPr>
        <w:ind w:left="0" w:firstLine="420"/>
      </w:pPr>
      <w:rPr>
        <w:rFonts w:hint="eastAsia"/>
      </w:rPr>
    </w:lvl>
  </w:abstractNum>
  <w:abstractNum w:abstractNumId="36">
    <w:nsid w:val="1022279C"/>
    <w:multiLevelType w:val="multilevel"/>
    <w:tmpl w:val="1022279C"/>
    <w:lvl w:ilvl="0" w:tentative="0">
      <w:start w:val="1"/>
      <w:numFmt w:val="decimal"/>
      <w:lvlText w:val="%1."/>
      <w:lvlJc w:val="left"/>
      <w:pPr>
        <w:ind w:left="440" w:hanging="440"/>
      </w:pPr>
      <w:rPr>
        <w:rFonts w:hint="default" w:ascii="宋体" w:hAnsi="宋体" w:eastAsia="宋体"/>
        <w:b/>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7">
    <w:nsid w:val="11B8A332"/>
    <w:multiLevelType w:val="singleLevel"/>
    <w:tmpl w:val="11B8A332"/>
    <w:lvl w:ilvl="0" w:tentative="0">
      <w:start w:val="1"/>
      <w:numFmt w:val="decimal"/>
      <w:lvlText w:val="%1."/>
      <w:lvlJc w:val="left"/>
      <w:pPr>
        <w:ind w:left="425" w:hanging="425"/>
      </w:pPr>
      <w:rPr>
        <w:rFonts w:hint="default"/>
      </w:rPr>
    </w:lvl>
  </w:abstractNum>
  <w:abstractNum w:abstractNumId="38">
    <w:nsid w:val="12C2429D"/>
    <w:multiLevelType w:val="multilevel"/>
    <w:tmpl w:val="12C2429D"/>
    <w:lvl w:ilvl="0" w:tentative="0">
      <w:start w:val="1"/>
      <w:numFmt w:val="decimal"/>
      <w:lvlText w:val="8.%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9">
    <w:nsid w:val="13304F73"/>
    <w:multiLevelType w:val="multilevel"/>
    <w:tmpl w:val="13304F73"/>
    <w:lvl w:ilvl="0" w:tentative="0">
      <w:start w:val="1"/>
      <w:numFmt w:val="decimal"/>
      <w:lvlText w:val="%1."/>
      <w:lvlJc w:val="left"/>
      <w:pPr>
        <w:ind w:left="440" w:hanging="440"/>
      </w:pPr>
      <w:rPr>
        <w:rFonts w:ascii="宋体" w:hAnsi="宋体" w:eastAsia="宋体"/>
        <w:b/>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0">
    <w:nsid w:val="14774BA9"/>
    <w:multiLevelType w:val="multilevel"/>
    <w:tmpl w:val="14774BA9"/>
    <w:lvl w:ilvl="0" w:tentative="0">
      <w:start w:val="1"/>
      <w:numFmt w:val="decimal"/>
      <w:lvlText w:val="4.%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1">
    <w:nsid w:val="15B73587"/>
    <w:multiLevelType w:val="multilevel"/>
    <w:tmpl w:val="15B73587"/>
    <w:lvl w:ilvl="0" w:tentative="0">
      <w:start w:val="1"/>
      <w:numFmt w:val="decimal"/>
      <w:lvlText w:val="5.%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173BC46B"/>
    <w:multiLevelType w:val="singleLevel"/>
    <w:tmpl w:val="173BC46B"/>
    <w:lvl w:ilvl="0" w:tentative="0">
      <w:start w:val="1"/>
      <w:numFmt w:val="decimal"/>
      <w:lvlText w:val="%1."/>
      <w:lvlJc w:val="left"/>
      <w:pPr>
        <w:ind w:left="425" w:hanging="425"/>
      </w:pPr>
      <w:rPr>
        <w:rFonts w:hint="default"/>
      </w:rPr>
    </w:lvl>
  </w:abstractNum>
  <w:abstractNum w:abstractNumId="43">
    <w:nsid w:val="18B7057B"/>
    <w:multiLevelType w:val="singleLevel"/>
    <w:tmpl w:val="18B7057B"/>
    <w:lvl w:ilvl="0" w:tentative="0">
      <w:start w:val="1"/>
      <w:numFmt w:val="decimal"/>
      <w:lvlText w:val="%1."/>
      <w:lvlJc w:val="left"/>
      <w:pPr>
        <w:ind w:left="425" w:hanging="425"/>
      </w:pPr>
      <w:rPr>
        <w:rFonts w:hint="default"/>
      </w:rPr>
    </w:lvl>
  </w:abstractNum>
  <w:abstractNum w:abstractNumId="44">
    <w:nsid w:val="194E6A3C"/>
    <w:multiLevelType w:val="multilevel"/>
    <w:tmpl w:val="194E6A3C"/>
    <w:lvl w:ilvl="0" w:tentative="0">
      <w:start w:val="1"/>
      <w:numFmt w:val="decimal"/>
      <w:lvlText w:val="3.1.%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1965580F"/>
    <w:multiLevelType w:val="singleLevel"/>
    <w:tmpl w:val="1965580F"/>
    <w:lvl w:ilvl="0" w:tentative="0">
      <w:start w:val="1"/>
      <w:numFmt w:val="decimal"/>
      <w:lvlText w:val="%1."/>
      <w:lvlJc w:val="left"/>
      <w:pPr>
        <w:ind w:left="425" w:hanging="425"/>
      </w:pPr>
      <w:rPr>
        <w:rFonts w:hint="default"/>
      </w:rPr>
    </w:lvl>
  </w:abstractNum>
  <w:abstractNum w:abstractNumId="46">
    <w:nsid w:val="1B332001"/>
    <w:multiLevelType w:val="multilevel"/>
    <w:tmpl w:val="1B332001"/>
    <w:lvl w:ilvl="0" w:tentative="0">
      <w:start w:val="1"/>
      <w:numFmt w:val="decimal"/>
      <w:lvlText w:val="%1."/>
      <w:lvlJc w:val="left"/>
      <w:pPr>
        <w:ind w:left="440" w:hanging="440"/>
      </w:pPr>
      <w:rPr>
        <w:rFonts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1B4F6831"/>
    <w:multiLevelType w:val="multilevel"/>
    <w:tmpl w:val="1B4F6831"/>
    <w:lvl w:ilvl="0" w:tentative="0">
      <w:start w:val="1"/>
      <w:numFmt w:val="decimal"/>
      <w:lvlText w:val="1.%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8">
    <w:nsid w:val="1E0CA1D4"/>
    <w:multiLevelType w:val="singleLevel"/>
    <w:tmpl w:val="1E0CA1D4"/>
    <w:lvl w:ilvl="0" w:tentative="0">
      <w:start w:val="1"/>
      <w:numFmt w:val="decimal"/>
      <w:lvlText w:val="(%1)"/>
      <w:lvlJc w:val="left"/>
      <w:pPr>
        <w:ind w:left="425" w:hanging="425"/>
      </w:pPr>
      <w:rPr>
        <w:rFonts w:hint="default"/>
      </w:rPr>
    </w:lvl>
  </w:abstractNum>
  <w:abstractNum w:abstractNumId="49">
    <w:nsid w:val="1F46E30E"/>
    <w:multiLevelType w:val="multilevel"/>
    <w:tmpl w:val="1F46E30E"/>
    <w:lvl w:ilvl="0" w:tentative="0">
      <w:start w:val="1"/>
      <w:numFmt w:val="decimal"/>
      <w:lvlText w:val="10.%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0">
    <w:nsid w:val="1FEA064B"/>
    <w:multiLevelType w:val="multilevel"/>
    <w:tmpl w:val="1FEA064B"/>
    <w:lvl w:ilvl="0" w:tentative="0">
      <w:start w:val="1"/>
      <w:numFmt w:val="decimal"/>
      <w:lvlText w:val="4.%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1">
    <w:nsid w:val="22C938AD"/>
    <w:multiLevelType w:val="multilevel"/>
    <w:tmpl w:val="22C938AD"/>
    <w:lvl w:ilvl="0" w:tentative="0">
      <w:start w:val="10"/>
      <w:numFmt w:val="decimal"/>
      <w:lvlText w:val="%1"/>
      <w:lvlJc w:val="left"/>
      <w:pPr>
        <w:ind w:left="425" w:hanging="425"/>
      </w:pPr>
      <w:rPr>
        <w:rFonts w:hint="eastAsia"/>
      </w:rPr>
    </w:lvl>
    <w:lvl w:ilvl="1" w:tentative="0">
      <w:start w:val="1"/>
      <w:numFmt w:val="decimal"/>
      <w:lvlText w:val="%2."/>
      <w:lvlJc w:val="left"/>
      <w:pPr>
        <w:ind w:left="440" w:hanging="440"/>
      </w:pPr>
      <w:rPr>
        <w:rFonts w:ascii="宋体" w:hAnsi="宋体" w:eastAsia="宋体"/>
        <w:b/>
        <w:bCs/>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2">
    <w:nsid w:val="23373E9E"/>
    <w:multiLevelType w:val="multilevel"/>
    <w:tmpl w:val="23373E9E"/>
    <w:lvl w:ilvl="0" w:tentative="0">
      <w:start w:val="1"/>
      <w:numFmt w:val="decimal"/>
      <w:lvlText w:val="2.1.%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3">
    <w:nsid w:val="23FF464E"/>
    <w:multiLevelType w:val="singleLevel"/>
    <w:tmpl w:val="23FF464E"/>
    <w:lvl w:ilvl="0" w:tentative="0">
      <w:start w:val="1"/>
      <w:numFmt w:val="decimal"/>
      <w:lvlText w:val="%1)"/>
      <w:lvlJc w:val="left"/>
      <w:pPr>
        <w:ind w:left="425" w:hanging="425"/>
      </w:pPr>
      <w:rPr>
        <w:rFonts w:hint="default"/>
      </w:rPr>
    </w:lvl>
  </w:abstractNum>
  <w:abstractNum w:abstractNumId="54">
    <w:nsid w:val="287B2B5E"/>
    <w:multiLevelType w:val="multilevel"/>
    <w:tmpl w:val="287B2B5E"/>
    <w:lvl w:ilvl="0" w:tentative="0">
      <w:start w:val="1"/>
      <w:numFmt w:val="decimal"/>
      <w:lvlText w:val="1.%1"/>
      <w:lvlJc w:val="left"/>
      <w:pPr>
        <w:ind w:left="440" w:hanging="440"/>
      </w:pPr>
      <w:rPr>
        <w:rFonts w:hint="eastAsia"/>
        <w:b w:val="0"/>
        <w:bCs/>
        <w:i w:val="0"/>
        <w:color w:val="auto"/>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5">
    <w:nsid w:val="28C0AC01"/>
    <w:multiLevelType w:val="multilevel"/>
    <w:tmpl w:val="28C0AC01"/>
    <w:lvl w:ilvl="0" w:tentative="0">
      <w:start w:val="1"/>
      <w:numFmt w:val="decimal"/>
      <w:lvlText w:val="10.1.%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6">
    <w:nsid w:val="298A3EF9"/>
    <w:multiLevelType w:val="multilevel"/>
    <w:tmpl w:val="298A3EF9"/>
    <w:lvl w:ilvl="0" w:tentative="0">
      <w:start w:val="1"/>
      <w:numFmt w:val="decimal"/>
      <w:lvlText w:val="3.%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7">
    <w:nsid w:val="2A0C4E10"/>
    <w:multiLevelType w:val="multilevel"/>
    <w:tmpl w:val="2A0C4E10"/>
    <w:lvl w:ilvl="0" w:tentative="0">
      <w:start w:val="1"/>
      <w:numFmt w:val="decimal"/>
      <w:lvlText w:val="%1"/>
      <w:lvlJc w:val="left"/>
      <w:pPr>
        <w:ind w:left="420" w:hanging="420"/>
      </w:pPr>
      <w:rPr>
        <w:rFonts w:hint="eastAsia"/>
        <w:b w:val="0"/>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2F1E584F"/>
    <w:multiLevelType w:val="multilevel"/>
    <w:tmpl w:val="2F1E584F"/>
    <w:lvl w:ilvl="0" w:tentative="0">
      <w:start w:val="1"/>
      <w:numFmt w:val="decimal"/>
      <w:lvlText w:val="9.%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9">
    <w:nsid w:val="3091ADA2"/>
    <w:multiLevelType w:val="singleLevel"/>
    <w:tmpl w:val="3091ADA2"/>
    <w:lvl w:ilvl="0" w:tentative="0">
      <w:start w:val="1"/>
      <w:numFmt w:val="decimalEnclosedCircleChinese"/>
      <w:suff w:val="nothing"/>
      <w:lvlText w:val="%1　"/>
      <w:lvlJc w:val="left"/>
      <w:pPr>
        <w:ind w:left="0" w:firstLine="400"/>
      </w:pPr>
      <w:rPr>
        <w:rFonts w:hint="eastAsia"/>
      </w:rPr>
    </w:lvl>
  </w:abstractNum>
  <w:abstractNum w:abstractNumId="60">
    <w:nsid w:val="32116584"/>
    <w:multiLevelType w:val="multilevel"/>
    <w:tmpl w:val="32116584"/>
    <w:lvl w:ilvl="0" w:tentative="0">
      <w:start w:val="1"/>
      <w:numFmt w:val="decimal"/>
      <w:lvlText w:val="3.%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1">
    <w:nsid w:val="32A23873"/>
    <w:multiLevelType w:val="multilevel"/>
    <w:tmpl w:val="32A23873"/>
    <w:lvl w:ilvl="0" w:tentative="0">
      <w:start w:val="1"/>
      <w:numFmt w:val="decimal"/>
      <w:lvlText w:val="1.%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32AF1A01"/>
    <w:multiLevelType w:val="multilevel"/>
    <w:tmpl w:val="32AF1A01"/>
    <w:lvl w:ilvl="0" w:tentative="0">
      <w:start w:val="1"/>
      <w:numFmt w:val="decimal"/>
      <w:lvlText w:val="4.%1"/>
      <w:lvlJc w:val="left"/>
      <w:pPr>
        <w:ind w:left="704"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343468D3"/>
    <w:multiLevelType w:val="multilevel"/>
    <w:tmpl w:val="343468D3"/>
    <w:lvl w:ilvl="0" w:tentative="0">
      <w:start w:val="1"/>
      <w:numFmt w:val="decimal"/>
      <w:lvlText w:val="1.%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4">
    <w:nsid w:val="35EA1EC4"/>
    <w:multiLevelType w:val="multilevel"/>
    <w:tmpl w:val="35EA1EC4"/>
    <w:lvl w:ilvl="0" w:tentative="0">
      <w:start w:val="1"/>
      <w:numFmt w:val="chineseCountingThousand"/>
      <w:lvlText w:val="%1 "/>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360F0A71"/>
    <w:multiLevelType w:val="multilevel"/>
    <w:tmpl w:val="360F0A71"/>
    <w:lvl w:ilvl="0" w:tentative="0">
      <w:start w:val="1"/>
      <w:numFmt w:val="decimal"/>
      <w:lvlText w:val="9.%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6">
    <w:nsid w:val="381DDDEB"/>
    <w:multiLevelType w:val="singleLevel"/>
    <w:tmpl w:val="381DDDEB"/>
    <w:lvl w:ilvl="0" w:tentative="0">
      <w:start w:val="2"/>
      <w:numFmt w:val="decimal"/>
      <w:lvlText w:val="%1."/>
      <w:lvlJc w:val="left"/>
      <w:pPr>
        <w:tabs>
          <w:tab w:val="left" w:pos="420"/>
        </w:tabs>
        <w:ind w:left="425" w:leftChars="0" w:hanging="425" w:firstLineChars="0"/>
      </w:pPr>
      <w:rPr>
        <w:rFonts w:hint="default"/>
      </w:rPr>
    </w:lvl>
  </w:abstractNum>
  <w:abstractNum w:abstractNumId="67">
    <w:nsid w:val="39066A15"/>
    <w:multiLevelType w:val="multilevel"/>
    <w:tmpl w:val="39066A15"/>
    <w:lvl w:ilvl="0" w:tentative="0">
      <w:start w:val="1"/>
      <w:numFmt w:val="decimal"/>
      <w:lvlText w:val="10.%1"/>
      <w:lvlJc w:val="left"/>
      <w:pPr>
        <w:ind w:left="440" w:hanging="440"/>
      </w:pPr>
      <w:rPr>
        <w:rFonts w:hint="eastAsia"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8">
    <w:nsid w:val="39759544"/>
    <w:multiLevelType w:val="singleLevel"/>
    <w:tmpl w:val="39759544"/>
    <w:lvl w:ilvl="0" w:tentative="0">
      <w:start w:val="1"/>
      <w:numFmt w:val="decimal"/>
      <w:lvlText w:val="%1."/>
      <w:lvlJc w:val="left"/>
      <w:pPr>
        <w:ind w:left="425" w:hanging="425"/>
      </w:pPr>
      <w:rPr>
        <w:rFonts w:hint="default"/>
      </w:rPr>
    </w:lvl>
  </w:abstractNum>
  <w:abstractNum w:abstractNumId="69">
    <w:nsid w:val="397B6678"/>
    <w:multiLevelType w:val="multilevel"/>
    <w:tmpl w:val="397B6678"/>
    <w:lvl w:ilvl="0" w:tentative="0">
      <w:start w:val="1"/>
      <w:numFmt w:val="decimal"/>
      <w:lvlText w:val="3.%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0">
    <w:nsid w:val="3A1627FA"/>
    <w:multiLevelType w:val="multilevel"/>
    <w:tmpl w:val="3A1627F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3B2E0CA7"/>
    <w:multiLevelType w:val="multilevel"/>
    <w:tmpl w:val="3B2E0CA7"/>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3BFF7564"/>
    <w:multiLevelType w:val="multilevel"/>
    <w:tmpl w:val="3BFF7564"/>
    <w:lvl w:ilvl="0" w:tentative="0">
      <w:start w:val="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3.2.%3"/>
      <w:lvlJc w:val="left"/>
      <w:pPr>
        <w:ind w:left="440" w:hanging="440"/>
      </w:pPr>
      <w:rPr>
        <w:rFonts w:hint="default" w:ascii="宋体" w:hAnsi="宋体" w:eastAsia="宋体"/>
        <w:b w:val="0"/>
        <w:bCs w:val="0"/>
        <w:sz w:val="21"/>
        <w:szCs w:val="21"/>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3">
    <w:nsid w:val="3D2446D7"/>
    <w:multiLevelType w:val="multilevel"/>
    <w:tmpl w:val="3D2446D7"/>
    <w:lvl w:ilvl="0" w:tentative="0">
      <w:start w:val="1"/>
      <w:numFmt w:val="decimal"/>
      <w:lvlText w:val="7.1.%1"/>
      <w:lvlJc w:val="left"/>
      <w:pPr>
        <w:ind w:left="92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4">
    <w:nsid w:val="3EBC7913"/>
    <w:multiLevelType w:val="multilevel"/>
    <w:tmpl w:val="3EBC7913"/>
    <w:lvl w:ilvl="0" w:tentative="0">
      <w:start w:val="1"/>
      <w:numFmt w:val="decimal"/>
      <w:lvlText w:val="%1."/>
      <w:lvlJc w:val="left"/>
      <w:pPr>
        <w:ind w:left="440" w:hanging="440"/>
      </w:pPr>
      <w:rPr>
        <w:rFonts w:hint="default" w:ascii="宋体" w:hAnsi="宋体" w:eastAsia="宋体"/>
        <w:b/>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rPr>
        <w:rFonts w:ascii="宋体" w:hAnsi="宋体" w:eastAsia="宋体"/>
        <w:b/>
        <w:bCs/>
        <w:sz w:val="21"/>
        <w:szCs w:val="21"/>
      </w:r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5">
    <w:nsid w:val="3FE56F8C"/>
    <w:multiLevelType w:val="multilevel"/>
    <w:tmpl w:val="3FE56F8C"/>
    <w:lvl w:ilvl="0" w:tentative="0">
      <w:start w:val="1"/>
      <w:numFmt w:val="chineseCounting"/>
      <w:lvlText w:val="%1、"/>
      <w:lvlJc w:val="left"/>
      <w:pPr>
        <w:ind w:left="440" w:hanging="440"/>
      </w:pPr>
      <w:rPr>
        <w:rFonts w:hint="eastAsia"/>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6">
    <w:nsid w:val="413849F7"/>
    <w:multiLevelType w:val="multilevel"/>
    <w:tmpl w:val="413849F7"/>
    <w:lvl w:ilvl="0" w:tentative="0">
      <w:start w:val="1"/>
      <w:numFmt w:val="decimal"/>
      <w:lvlText w:val="9.1.%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7">
    <w:nsid w:val="425C0D31"/>
    <w:multiLevelType w:val="multilevel"/>
    <w:tmpl w:val="425C0D31"/>
    <w:lvl w:ilvl="0" w:tentative="0">
      <w:start w:val="1"/>
      <w:numFmt w:val="decimal"/>
      <w:lvlText w:val="3.%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8">
    <w:nsid w:val="44192A82"/>
    <w:multiLevelType w:val="singleLevel"/>
    <w:tmpl w:val="44192A82"/>
    <w:lvl w:ilvl="0" w:tentative="0">
      <w:start w:val="1"/>
      <w:numFmt w:val="decimal"/>
      <w:lvlText w:val="%1."/>
      <w:lvlJc w:val="left"/>
      <w:pPr>
        <w:ind w:left="425" w:hanging="425"/>
      </w:pPr>
      <w:rPr>
        <w:rFonts w:hint="default"/>
      </w:rPr>
    </w:lvl>
  </w:abstractNum>
  <w:abstractNum w:abstractNumId="79">
    <w:nsid w:val="453D7370"/>
    <w:multiLevelType w:val="multilevel"/>
    <w:tmpl w:val="453D7370"/>
    <w:lvl w:ilvl="0" w:tentative="0">
      <w:start w:val="1"/>
      <w:numFmt w:val="decimal"/>
      <w:lvlText w:val="1.%1"/>
      <w:lvlJc w:val="left"/>
      <w:pPr>
        <w:ind w:left="440" w:hanging="440"/>
      </w:pPr>
      <w:rPr>
        <w:rFonts w:hint="eastAsia"/>
        <w:b w:val="0"/>
        <w:bCs/>
        <w:i w:val="0"/>
        <w:color w:val="auto"/>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0">
    <w:nsid w:val="4599A726"/>
    <w:multiLevelType w:val="singleLevel"/>
    <w:tmpl w:val="4599A726"/>
    <w:lvl w:ilvl="0" w:tentative="0">
      <w:start w:val="1"/>
      <w:numFmt w:val="decimal"/>
      <w:lvlText w:val="(%1)"/>
      <w:lvlJc w:val="left"/>
      <w:pPr>
        <w:ind w:left="425" w:hanging="425"/>
      </w:pPr>
      <w:rPr>
        <w:rFonts w:hint="default"/>
      </w:rPr>
    </w:lvl>
  </w:abstractNum>
  <w:abstractNum w:abstractNumId="81">
    <w:nsid w:val="47A00E7F"/>
    <w:multiLevelType w:val="multilevel"/>
    <w:tmpl w:val="47A00E7F"/>
    <w:lvl w:ilvl="0" w:tentative="0">
      <w:start w:val="1"/>
      <w:numFmt w:val="decimal"/>
      <w:lvlText w:val="9.%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2">
    <w:nsid w:val="47C765FC"/>
    <w:multiLevelType w:val="multilevel"/>
    <w:tmpl w:val="47C765FC"/>
    <w:lvl w:ilvl="0" w:tentative="0">
      <w:start w:val="1"/>
      <w:numFmt w:val="decimal"/>
      <w:lvlText w:val="3.2.%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3">
    <w:nsid w:val="496DA174"/>
    <w:multiLevelType w:val="singleLevel"/>
    <w:tmpl w:val="496DA174"/>
    <w:lvl w:ilvl="0" w:tentative="0">
      <w:start w:val="1"/>
      <w:numFmt w:val="decimal"/>
      <w:lvlText w:val="%1."/>
      <w:lvlJc w:val="left"/>
      <w:pPr>
        <w:ind w:left="425" w:hanging="425"/>
      </w:pPr>
      <w:rPr>
        <w:rFonts w:hint="default"/>
      </w:rPr>
    </w:lvl>
  </w:abstractNum>
  <w:abstractNum w:abstractNumId="84">
    <w:nsid w:val="4A845F1D"/>
    <w:multiLevelType w:val="multilevel"/>
    <w:tmpl w:val="4A845F1D"/>
    <w:lvl w:ilvl="0" w:tentative="0">
      <w:start w:val="1"/>
      <w:numFmt w:val="decimal"/>
      <w:lvlText w:val="6.%1"/>
      <w:lvlJc w:val="left"/>
      <w:pPr>
        <w:ind w:left="704" w:hanging="420"/>
      </w:pPr>
      <w:rPr>
        <w:rFonts w:hint="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5">
    <w:nsid w:val="4BBA5E4E"/>
    <w:multiLevelType w:val="multilevel"/>
    <w:tmpl w:val="4BBA5E4E"/>
    <w:lvl w:ilvl="0" w:tentative="0">
      <w:start w:val="1"/>
      <w:numFmt w:val="decimal"/>
      <w:lvlText w:val="8.%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6">
    <w:nsid w:val="4CA616DB"/>
    <w:multiLevelType w:val="singleLevel"/>
    <w:tmpl w:val="4CA616DB"/>
    <w:lvl w:ilvl="0" w:tentative="0">
      <w:start w:val="1"/>
      <w:numFmt w:val="decimal"/>
      <w:lvlText w:val="%1."/>
      <w:lvlJc w:val="left"/>
      <w:pPr>
        <w:ind w:left="425" w:hanging="425"/>
      </w:pPr>
      <w:rPr>
        <w:rFonts w:hint="default"/>
      </w:rPr>
    </w:lvl>
  </w:abstractNum>
  <w:abstractNum w:abstractNumId="87">
    <w:nsid w:val="503B39A7"/>
    <w:multiLevelType w:val="multilevel"/>
    <w:tmpl w:val="503B39A7"/>
    <w:lvl w:ilvl="0" w:tentative="0">
      <w:start w:val="1"/>
      <w:numFmt w:val="decimal"/>
      <w:lvlText w:val="%1."/>
      <w:lvlJc w:val="left"/>
      <w:pPr>
        <w:ind w:left="440" w:hanging="440"/>
      </w:pPr>
      <w:rPr>
        <w:rFonts w:hint="default" w:ascii="宋体" w:hAnsi="宋体" w:eastAsia="宋体"/>
        <w:b/>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rPr>
        <w:b/>
        <w:bCs/>
      </w:r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8">
    <w:nsid w:val="508B3CA1"/>
    <w:multiLevelType w:val="multilevel"/>
    <w:tmpl w:val="508B3C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50A813A2"/>
    <w:multiLevelType w:val="multilevel"/>
    <w:tmpl w:val="50A813A2"/>
    <w:lvl w:ilvl="0" w:tentative="0">
      <w:start w:val="1"/>
      <w:numFmt w:val="decimal"/>
      <w:lvlText w:val="2.%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0">
    <w:nsid w:val="50C66069"/>
    <w:multiLevelType w:val="singleLevel"/>
    <w:tmpl w:val="50C66069"/>
    <w:lvl w:ilvl="0" w:tentative="0">
      <w:start w:val="1"/>
      <w:numFmt w:val="decimal"/>
      <w:lvlText w:val="%1."/>
      <w:lvlJc w:val="left"/>
      <w:pPr>
        <w:ind w:left="425" w:hanging="425"/>
      </w:pPr>
      <w:rPr>
        <w:rFonts w:hint="default"/>
      </w:rPr>
    </w:lvl>
  </w:abstractNum>
  <w:abstractNum w:abstractNumId="91">
    <w:nsid w:val="52BA71BE"/>
    <w:multiLevelType w:val="multilevel"/>
    <w:tmpl w:val="52BA71BE"/>
    <w:lvl w:ilvl="0" w:tentative="0">
      <w:start w:val="1"/>
      <w:numFmt w:val="decimal"/>
      <w:lvlText w:val="%1"/>
      <w:lvlJc w:val="left"/>
      <w:pPr>
        <w:ind w:left="425" w:hanging="425"/>
      </w:pPr>
      <w:rPr>
        <w:rFonts w:hint="eastAsia"/>
      </w:rPr>
    </w:lvl>
    <w:lvl w:ilvl="1" w:tentative="0">
      <w:start w:val="1"/>
      <w:numFmt w:val="decimal"/>
      <w:lvlText w:val="3.%2"/>
      <w:lvlJc w:val="left"/>
      <w:pPr>
        <w:ind w:left="440" w:hanging="440"/>
      </w:pPr>
      <w:rPr>
        <w:rFonts w:hint="default" w:ascii="宋体" w:hAnsi="宋体" w:eastAsia="宋体"/>
        <w:b/>
        <w:sz w:val="21"/>
        <w:szCs w:val="21"/>
      </w:rPr>
    </w:lvl>
    <w:lvl w:ilvl="2" w:tentative="0">
      <w:start w:val="1"/>
      <w:numFmt w:val="decimal"/>
      <w:lvlText w:val="3.4.%3"/>
      <w:lvlJc w:val="left"/>
      <w:pPr>
        <w:ind w:left="440" w:hanging="440"/>
      </w:pPr>
      <w:rPr>
        <w:rFonts w:hint="default" w:ascii="宋体" w:hAnsi="宋体" w:eastAsia="宋体"/>
        <w:b w:val="0"/>
        <w:bCs/>
        <w:sz w:val="21"/>
        <w:szCs w:val="21"/>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2">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3">
    <w:nsid w:val="52EB4D36"/>
    <w:multiLevelType w:val="multilevel"/>
    <w:tmpl w:val="52EB4D36"/>
    <w:lvl w:ilvl="0" w:tentative="0">
      <w:start w:val="1"/>
      <w:numFmt w:val="chineseCounting"/>
      <w:lvlText w:val="%1、"/>
      <w:lvlJc w:val="left"/>
      <w:pPr>
        <w:ind w:left="440" w:hanging="440"/>
      </w:pPr>
      <w:rPr>
        <w:rFonts w:hint="eastAsia" w:ascii="宋体" w:hAnsi="宋体" w:eastAsia="宋体"/>
        <w:b/>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4">
    <w:nsid w:val="54DF414D"/>
    <w:multiLevelType w:val="multilevel"/>
    <w:tmpl w:val="54DF414D"/>
    <w:lvl w:ilvl="0" w:tentative="0">
      <w:start w:val="1"/>
      <w:numFmt w:val="decimal"/>
      <w:lvlText w:val="3.%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5">
    <w:nsid w:val="5A8D2598"/>
    <w:multiLevelType w:val="multilevel"/>
    <w:tmpl w:val="5A8D2598"/>
    <w:lvl w:ilvl="0" w:tentative="0">
      <w:start w:val="1"/>
      <w:numFmt w:val="decimal"/>
      <w:lvlText w:val="3.%1"/>
      <w:lvlJc w:val="left"/>
      <w:pPr>
        <w:ind w:left="704"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6">
    <w:nsid w:val="5B811C80"/>
    <w:multiLevelType w:val="multilevel"/>
    <w:tmpl w:val="5B811C80"/>
    <w:lvl w:ilvl="0" w:tentative="0">
      <w:start w:val="1"/>
      <w:numFmt w:val="decimal"/>
      <w:lvlText w:val="7.%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7">
    <w:nsid w:val="5B9C4389"/>
    <w:multiLevelType w:val="multilevel"/>
    <w:tmpl w:val="5B9C4389"/>
    <w:lvl w:ilvl="0" w:tentative="0">
      <w:start w:val="1"/>
      <w:numFmt w:val="decimal"/>
      <w:lvlText w:val="3.1.%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8">
    <w:nsid w:val="5CC8379D"/>
    <w:multiLevelType w:val="multilevel"/>
    <w:tmpl w:val="5CC8379D"/>
    <w:lvl w:ilvl="0" w:tentative="0">
      <w:start w:val="1"/>
      <w:numFmt w:val="decimal"/>
      <w:lvlText w:val="7.3.%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9">
    <w:nsid w:val="5E14BB19"/>
    <w:multiLevelType w:val="singleLevel"/>
    <w:tmpl w:val="5E14BB19"/>
    <w:lvl w:ilvl="0" w:tentative="0">
      <w:start w:val="1"/>
      <w:numFmt w:val="decimal"/>
      <w:lvlText w:val="(%1)"/>
      <w:lvlJc w:val="left"/>
      <w:pPr>
        <w:ind w:left="425" w:hanging="425"/>
      </w:pPr>
      <w:rPr>
        <w:rFonts w:hint="default"/>
      </w:rPr>
    </w:lvl>
  </w:abstractNum>
  <w:abstractNum w:abstractNumId="100">
    <w:nsid w:val="5EDDB774"/>
    <w:multiLevelType w:val="singleLevel"/>
    <w:tmpl w:val="5EDDB774"/>
    <w:lvl w:ilvl="0" w:tentative="0">
      <w:start w:val="1"/>
      <w:numFmt w:val="decimalEnclosedCircleChinese"/>
      <w:suff w:val="nothing"/>
      <w:lvlText w:val="%1　"/>
      <w:lvlJc w:val="left"/>
      <w:pPr>
        <w:ind w:left="0" w:firstLine="400"/>
      </w:pPr>
      <w:rPr>
        <w:rFonts w:hint="eastAsia"/>
      </w:rPr>
    </w:lvl>
  </w:abstractNum>
  <w:abstractNum w:abstractNumId="101">
    <w:nsid w:val="615E12CF"/>
    <w:multiLevelType w:val="multilevel"/>
    <w:tmpl w:val="615E12CF"/>
    <w:lvl w:ilvl="0" w:tentative="0">
      <w:start w:val="1"/>
      <w:numFmt w:val="decimal"/>
      <w:lvlText w:val="2.%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2">
    <w:nsid w:val="64AA9AFA"/>
    <w:multiLevelType w:val="singleLevel"/>
    <w:tmpl w:val="64AA9AFA"/>
    <w:lvl w:ilvl="0" w:tentative="0">
      <w:start w:val="1"/>
      <w:numFmt w:val="decimal"/>
      <w:lvlText w:val="(%1)"/>
      <w:lvlJc w:val="left"/>
      <w:pPr>
        <w:ind w:left="425" w:hanging="425"/>
      </w:pPr>
      <w:rPr>
        <w:rFonts w:hint="default"/>
      </w:rPr>
    </w:lvl>
  </w:abstractNum>
  <w:abstractNum w:abstractNumId="103">
    <w:nsid w:val="64B953EE"/>
    <w:multiLevelType w:val="multilevel"/>
    <w:tmpl w:val="64B953EE"/>
    <w:lvl w:ilvl="0" w:tentative="0">
      <w:start w:val="1"/>
      <w:numFmt w:val="decimal"/>
      <w:lvlText w:val="7.1.%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4">
    <w:nsid w:val="67631400"/>
    <w:multiLevelType w:val="multilevel"/>
    <w:tmpl w:val="67631400"/>
    <w:lvl w:ilvl="0" w:tentative="0">
      <w:start w:val="1"/>
      <w:numFmt w:val="decimal"/>
      <w:lvlText w:val="7.%1"/>
      <w:lvlJc w:val="left"/>
      <w:pPr>
        <w:ind w:left="440" w:hanging="440"/>
      </w:pPr>
      <w:rPr>
        <w:rFonts w:hint="eastAsia" w:ascii="宋体" w:hAnsi="宋体" w:eastAsia="宋体"/>
        <w:b w:val="0"/>
        <w:bCs w:val="0"/>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5">
    <w:nsid w:val="67F55E3A"/>
    <w:multiLevelType w:val="multilevel"/>
    <w:tmpl w:val="67F55E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68526A5A"/>
    <w:multiLevelType w:val="multilevel"/>
    <w:tmpl w:val="68526A5A"/>
    <w:lvl w:ilvl="0" w:tentative="0">
      <w:start w:val="1"/>
      <w:numFmt w:val="decimal"/>
      <w:lvlText w:val="2.2.%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7">
    <w:nsid w:val="69D42D90"/>
    <w:multiLevelType w:val="multilevel"/>
    <w:tmpl w:val="69D42D90"/>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6A42238E"/>
    <w:multiLevelType w:val="multilevel"/>
    <w:tmpl w:val="6A42238E"/>
    <w:lvl w:ilvl="0" w:tentative="0">
      <w:start w:val="1"/>
      <w:numFmt w:val="decimal"/>
      <w:lvlText w:val="7.%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9">
    <w:nsid w:val="6A911C06"/>
    <w:multiLevelType w:val="multilevel"/>
    <w:tmpl w:val="6A911C06"/>
    <w:lvl w:ilvl="0" w:tentative="0">
      <w:start w:val="1"/>
      <w:numFmt w:val="decimal"/>
      <w:lvlText w:val="%1."/>
      <w:lvlJc w:val="left"/>
      <w:pPr>
        <w:ind w:left="440" w:hanging="440"/>
      </w:pPr>
      <w:rPr>
        <w:rFonts w:hint="default" w:ascii="宋体" w:hAnsi="宋体" w:eastAsia="宋体"/>
        <w:b/>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rPr>
        <w:b/>
        <w:bCs/>
      </w:r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0">
    <w:nsid w:val="6B7400E3"/>
    <w:multiLevelType w:val="multilevel"/>
    <w:tmpl w:val="6B7400E3"/>
    <w:lvl w:ilvl="0" w:tentative="0">
      <w:start w:val="1"/>
      <w:numFmt w:val="decimal"/>
      <w:lvlText w:val="2.%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1">
    <w:nsid w:val="6B831970"/>
    <w:multiLevelType w:val="singleLevel"/>
    <w:tmpl w:val="6B831970"/>
    <w:lvl w:ilvl="0" w:tentative="0">
      <w:start w:val="1"/>
      <w:numFmt w:val="decimal"/>
      <w:lvlText w:val="%1."/>
      <w:lvlJc w:val="left"/>
      <w:pPr>
        <w:ind w:left="425" w:hanging="425"/>
      </w:pPr>
      <w:rPr>
        <w:rFonts w:hint="default"/>
      </w:rPr>
    </w:lvl>
  </w:abstractNum>
  <w:abstractNum w:abstractNumId="112">
    <w:nsid w:val="6BD6457F"/>
    <w:multiLevelType w:val="multilevel"/>
    <w:tmpl w:val="6BD6457F"/>
    <w:lvl w:ilvl="0" w:tentative="0">
      <w:start w:val="1"/>
      <w:numFmt w:val="decimal"/>
      <w:lvlText w:val="2.%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3">
    <w:nsid w:val="6DFD272A"/>
    <w:multiLevelType w:val="singleLevel"/>
    <w:tmpl w:val="6DFD272A"/>
    <w:lvl w:ilvl="0" w:tentative="0">
      <w:start w:val="1"/>
      <w:numFmt w:val="decimal"/>
      <w:lvlText w:val="%1."/>
      <w:lvlJc w:val="left"/>
      <w:pPr>
        <w:ind w:left="425" w:hanging="425"/>
      </w:pPr>
      <w:rPr>
        <w:rFonts w:hint="default"/>
      </w:rPr>
    </w:lvl>
  </w:abstractNum>
  <w:abstractNum w:abstractNumId="114">
    <w:nsid w:val="6E9B6D49"/>
    <w:multiLevelType w:val="multilevel"/>
    <w:tmpl w:val="6E9B6D49"/>
    <w:lvl w:ilvl="0" w:tentative="0">
      <w:start w:val="1"/>
      <w:numFmt w:val="decimal"/>
      <w:lvlText w:val="%1."/>
      <w:lvlJc w:val="left"/>
      <w:pPr>
        <w:ind w:left="440" w:hanging="440"/>
      </w:pPr>
      <w:rPr>
        <w:rFonts w:ascii="宋体" w:hAnsi="宋体" w:eastAsia="宋体"/>
        <w:b/>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5">
    <w:nsid w:val="6F6308E9"/>
    <w:multiLevelType w:val="multilevel"/>
    <w:tmpl w:val="6F6308E9"/>
    <w:lvl w:ilvl="0" w:tentative="0">
      <w:start w:val="1"/>
      <w:numFmt w:val="decimal"/>
      <w:lvlText w:val="2.2.%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704355CF"/>
    <w:multiLevelType w:val="singleLevel"/>
    <w:tmpl w:val="704355CF"/>
    <w:lvl w:ilvl="0" w:tentative="0">
      <w:start w:val="1"/>
      <w:numFmt w:val="decimal"/>
      <w:lvlText w:val="%1."/>
      <w:lvlJc w:val="left"/>
      <w:pPr>
        <w:ind w:left="425" w:hanging="425"/>
      </w:pPr>
      <w:rPr>
        <w:rFonts w:hint="default"/>
      </w:rPr>
    </w:lvl>
  </w:abstractNum>
  <w:abstractNum w:abstractNumId="117">
    <w:nsid w:val="704F6640"/>
    <w:multiLevelType w:val="multilevel"/>
    <w:tmpl w:val="704F6640"/>
    <w:lvl w:ilvl="0" w:tentative="0">
      <w:start w:val="1"/>
      <w:numFmt w:val="decimal"/>
      <w:lvlText w:val="7.2.%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8">
    <w:nsid w:val="713D73DF"/>
    <w:multiLevelType w:val="multilevel"/>
    <w:tmpl w:val="713D73DF"/>
    <w:lvl w:ilvl="0" w:tentative="0">
      <w:start w:val="1"/>
      <w:numFmt w:val="decimal"/>
      <w:lvlText w:val="1.%1"/>
      <w:lvlJc w:val="left"/>
      <w:pPr>
        <w:ind w:left="440" w:hanging="440"/>
      </w:pPr>
      <w:rPr>
        <w:rFonts w:hint="eastAsia" w:ascii="宋体" w:hAnsi="宋体" w:eastAsia="宋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9">
    <w:nsid w:val="719FF929"/>
    <w:multiLevelType w:val="singleLevel"/>
    <w:tmpl w:val="719FF929"/>
    <w:lvl w:ilvl="0" w:tentative="0">
      <w:start w:val="1"/>
      <w:numFmt w:val="decimal"/>
      <w:lvlText w:val="%1."/>
      <w:lvlJc w:val="left"/>
      <w:pPr>
        <w:ind w:left="425" w:hanging="425"/>
      </w:pPr>
      <w:rPr>
        <w:rFonts w:hint="default"/>
      </w:rPr>
    </w:lvl>
  </w:abstractNum>
  <w:abstractNum w:abstractNumId="120">
    <w:nsid w:val="71FD2703"/>
    <w:multiLevelType w:val="singleLevel"/>
    <w:tmpl w:val="71FD2703"/>
    <w:lvl w:ilvl="0" w:tentative="0">
      <w:start w:val="1"/>
      <w:numFmt w:val="decimal"/>
      <w:lvlText w:val="(%1)"/>
      <w:lvlJc w:val="left"/>
      <w:pPr>
        <w:ind w:left="425" w:hanging="425"/>
      </w:pPr>
      <w:rPr>
        <w:rFonts w:hint="default"/>
      </w:rPr>
    </w:lvl>
  </w:abstractNum>
  <w:abstractNum w:abstractNumId="121">
    <w:nsid w:val="746E74E4"/>
    <w:multiLevelType w:val="multilevel"/>
    <w:tmpl w:val="746E74E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2">
    <w:nsid w:val="74BC53B6"/>
    <w:multiLevelType w:val="singleLevel"/>
    <w:tmpl w:val="74BC53B6"/>
    <w:lvl w:ilvl="0" w:tentative="0">
      <w:start w:val="1"/>
      <w:numFmt w:val="decimal"/>
      <w:lvlText w:val="(%1)"/>
      <w:lvlJc w:val="left"/>
      <w:pPr>
        <w:ind w:left="425" w:hanging="425"/>
      </w:pPr>
      <w:rPr>
        <w:rFonts w:hint="default"/>
      </w:rPr>
    </w:lvl>
  </w:abstractNum>
  <w:abstractNum w:abstractNumId="123">
    <w:nsid w:val="75106630"/>
    <w:multiLevelType w:val="multilevel"/>
    <w:tmpl w:val="751066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79F5769C"/>
    <w:multiLevelType w:val="multilevel"/>
    <w:tmpl w:val="79F5769C"/>
    <w:lvl w:ilvl="0" w:tentative="0">
      <w:start w:val="1"/>
      <w:numFmt w:val="decimal"/>
      <w:lvlText w:val="5.%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5">
    <w:nsid w:val="7ACB0395"/>
    <w:multiLevelType w:val="multilevel"/>
    <w:tmpl w:val="7ACB0395"/>
    <w:lvl w:ilvl="0" w:tentative="0">
      <w:start w:val="1"/>
      <w:numFmt w:val="chineseCountingThousand"/>
      <w:lvlText w:val="(%1)"/>
      <w:lvlJc w:val="left"/>
      <w:pPr>
        <w:ind w:left="420" w:hanging="420"/>
      </w:pPr>
      <w:rPr>
        <w:i w:val="0"/>
        <w:i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7B618D77"/>
    <w:multiLevelType w:val="singleLevel"/>
    <w:tmpl w:val="7B618D77"/>
    <w:lvl w:ilvl="0" w:tentative="0">
      <w:start w:val="1"/>
      <w:numFmt w:val="decimal"/>
      <w:lvlText w:val="%1."/>
      <w:lvlJc w:val="left"/>
      <w:pPr>
        <w:ind w:left="425" w:hanging="425"/>
      </w:pPr>
      <w:rPr>
        <w:rFonts w:hint="default"/>
      </w:rPr>
    </w:lvl>
  </w:abstractNum>
  <w:abstractNum w:abstractNumId="127">
    <w:nsid w:val="7C2C7A19"/>
    <w:multiLevelType w:val="multilevel"/>
    <w:tmpl w:val="7C2C7A19"/>
    <w:lvl w:ilvl="0" w:tentative="0">
      <w:start w:val="1"/>
      <w:numFmt w:val="decimal"/>
      <w:lvlText w:val="%1"/>
      <w:lvlJc w:val="left"/>
      <w:pPr>
        <w:ind w:left="420" w:hanging="420"/>
      </w:pPr>
      <w:rPr>
        <w:rFonts w:hint="eastAsia"/>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8">
    <w:nsid w:val="7D8A5BF5"/>
    <w:multiLevelType w:val="multilevel"/>
    <w:tmpl w:val="7D8A5BF5"/>
    <w:lvl w:ilvl="0" w:tentative="0">
      <w:start w:val="1"/>
      <w:numFmt w:val="decimal"/>
      <w:lvlText w:val="7.%1"/>
      <w:lvlJc w:val="left"/>
      <w:pPr>
        <w:ind w:left="440" w:hanging="440"/>
      </w:pPr>
      <w:rPr>
        <w:rFonts w:hint="default" w:ascii="宋体" w:hAnsi="宋体" w:eastAsia="宋体"/>
        <w:b w:val="0"/>
        <w:bCs/>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4"/>
  </w:num>
  <w:num w:numId="2">
    <w:abstractNumId w:val="36"/>
  </w:num>
  <w:num w:numId="3">
    <w:abstractNumId w:val="61"/>
  </w:num>
  <w:num w:numId="4">
    <w:abstractNumId w:val="60"/>
  </w:num>
  <w:num w:numId="5">
    <w:abstractNumId w:val="32"/>
  </w:num>
  <w:num w:numId="6">
    <w:abstractNumId w:val="127"/>
  </w:num>
  <w:num w:numId="7">
    <w:abstractNumId w:val="121"/>
  </w:num>
  <w:num w:numId="8">
    <w:abstractNumId w:val="93"/>
  </w:num>
  <w:num w:numId="9">
    <w:abstractNumId w:val="125"/>
  </w:num>
  <w:num w:numId="10">
    <w:abstractNumId w:val="26"/>
  </w:num>
  <w:num w:numId="11">
    <w:abstractNumId w:val="4"/>
  </w:num>
  <w:num w:numId="12">
    <w:abstractNumId w:val="8"/>
  </w:num>
  <w:num w:numId="13">
    <w:abstractNumId w:val="116"/>
  </w:num>
  <w:num w:numId="14">
    <w:abstractNumId w:val="111"/>
  </w:num>
  <w:num w:numId="15">
    <w:abstractNumId w:val="99"/>
  </w:num>
  <w:num w:numId="16">
    <w:abstractNumId w:val="66"/>
  </w:num>
  <w:num w:numId="17">
    <w:abstractNumId w:val="48"/>
  </w:num>
  <w:num w:numId="18">
    <w:abstractNumId w:val="1"/>
  </w:num>
  <w:num w:numId="19">
    <w:abstractNumId w:val="37"/>
  </w:num>
  <w:num w:numId="20">
    <w:abstractNumId w:val="78"/>
  </w:num>
  <w:num w:numId="21">
    <w:abstractNumId w:val="5"/>
  </w:num>
  <w:num w:numId="22">
    <w:abstractNumId w:val="100"/>
  </w:num>
  <w:num w:numId="23">
    <w:abstractNumId w:val="12"/>
  </w:num>
  <w:num w:numId="24">
    <w:abstractNumId w:val="2"/>
  </w:num>
  <w:num w:numId="25">
    <w:abstractNumId w:val="14"/>
  </w:num>
  <w:num w:numId="26">
    <w:abstractNumId w:val="80"/>
  </w:num>
  <w:num w:numId="27">
    <w:abstractNumId w:val="0"/>
  </w:num>
  <w:num w:numId="28">
    <w:abstractNumId w:val="45"/>
  </w:num>
  <w:num w:numId="29">
    <w:abstractNumId w:val="9"/>
  </w:num>
  <w:num w:numId="30">
    <w:abstractNumId w:val="7"/>
  </w:num>
  <w:num w:numId="31">
    <w:abstractNumId w:val="75"/>
  </w:num>
  <w:num w:numId="32">
    <w:abstractNumId w:val="46"/>
  </w:num>
  <w:num w:numId="33">
    <w:abstractNumId w:val="27"/>
  </w:num>
  <w:num w:numId="34">
    <w:abstractNumId w:val="29"/>
  </w:num>
  <w:num w:numId="35">
    <w:abstractNumId w:val="28"/>
  </w:num>
  <w:num w:numId="36">
    <w:abstractNumId w:val="128"/>
  </w:num>
  <w:num w:numId="37">
    <w:abstractNumId w:val="38"/>
  </w:num>
  <w:num w:numId="38">
    <w:abstractNumId w:val="65"/>
  </w:num>
  <w:num w:numId="39">
    <w:abstractNumId w:val="67"/>
  </w:num>
  <w:num w:numId="40">
    <w:abstractNumId w:val="30"/>
  </w:num>
  <w:num w:numId="41">
    <w:abstractNumId w:val="114"/>
  </w:num>
  <w:num w:numId="42">
    <w:abstractNumId w:val="31"/>
  </w:num>
  <w:num w:numId="43">
    <w:abstractNumId w:val="22"/>
  </w:num>
  <w:num w:numId="44">
    <w:abstractNumId w:val="115"/>
  </w:num>
  <w:num w:numId="45">
    <w:abstractNumId w:val="95"/>
  </w:num>
  <w:num w:numId="46">
    <w:abstractNumId w:val="44"/>
  </w:num>
  <w:num w:numId="47">
    <w:abstractNumId w:val="62"/>
  </w:num>
  <w:num w:numId="48">
    <w:abstractNumId w:val="41"/>
  </w:num>
  <w:num w:numId="49">
    <w:abstractNumId w:val="84"/>
  </w:num>
  <w:num w:numId="50">
    <w:abstractNumId w:val="108"/>
  </w:num>
  <w:num w:numId="51">
    <w:abstractNumId w:val="73"/>
  </w:num>
  <w:num w:numId="52">
    <w:abstractNumId w:val="117"/>
  </w:num>
  <w:num w:numId="53">
    <w:abstractNumId w:val="98"/>
  </w:num>
  <w:num w:numId="54">
    <w:abstractNumId w:val="85"/>
  </w:num>
  <w:num w:numId="55">
    <w:abstractNumId w:val="58"/>
  </w:num>
  <w:num w:numId="56">
    <w:abstractNumId w:val="25"/>
  </w:num>
  <w:num w:numId="57">
    <w:abstractNumId w:val="47"/>
  </w:num>
  <w:num w:numId="58">
    <w:abstractNumId w:val="77"/>
  </w:num>
  <w:num w:numId="59">
    <w:abstractNumId w:val="97"/>
  </w:num>
  <w:num w:numId="60">
    <w:abstractNumId w:val="82"/>
  </w:num>
  <w:num w:numId="61">
    <w:abstractNumId w:val="109"/>
  </w:num>
  <w:num w:numId="62">
    <w:abstractNumId w:val="54"/>
  </w:num>
  <w:num w:numId="63">
    <w:abstractNumId w:val="112"/>
  </w:num>
  <w:num w:numId="64">
    <w:abstractNumId w:val="52"/>
  </w:num>
  <w:num w:numId="65">
    <w:abstractNumId w:val="106"/>
  </w:num>
  <w:num w:numId="66">
    <w:abstractNumId w:val="79"/>
  </w:num>
  <w:num w:numId="67">
    <w:abstractNumId w:val="87"/>
  </w:num>
  <w:num w:numId="68">
    <w:abstractNumId w:val="63"/>
  </w:num>
  <w:num w:numId="69">
    <w:abstractNumId w:val="24"/>
  </w:num>
  <w:num w:numId="70">
    <w:abstractNumId w:val="34"/>
  </w:num>
  <w:num w:numId="71">
    <w:abstractNumId w:val="74"/>
  </w:num>
  <w:num w:numId="72">
    <w:abstractNumId w:val="101"/>
  </w:num>
  <w:num w:numId="73">
    <w:abstractNumId w:val="94"/>
  </w:num>
  <w:num w:numId="74">
    <w:abstractNumId w:val="72"/>
  </w:num>
  <w:num w:numId="75">
    <w:abstractNumId w:val="91"/>
  </w:num>
  <w:num w:numId="76">
    <w:abstractNumId w:val="50"/>
  </w:num>
  <w:num w:numId="77">
    <w:abstractNumId w:val="124"/>
  </w:num>
  <w:num w:numId="78">
    <w:abstractNumId w:val="23"/>
  </w:num>
  <w:num w:numId="79">
    <w:abstractNumId w:val="103"/>
  </w:num>
  <w:num w:numId="80">
    <w:abstractNumId w:val="81"/>
  </w:num>
  <w:num w:numId="81">
    <w:abstractNumId w:val="76"/>
  </w:num>
  <w:num w:numId="82">
    <w:abstractNumId w:val="49"/>
  </w:num>
  <w:num w:numId="83">
    <w:abstractNumId w:val="55"/>
  </w:num>
  <w:num w:numId="84">
    <w:abstractNumId w:val="51"/>
  </w:num>
  <w:num w:numId="85">
    <w:abstractNumId w:val="33"/>
  </w:num>
  <w:num w:numId="86">
    <w:abstractNumId w:val="89"/>
  </w:num>
  <w:num w:numId="87">
    <w:abstractNumId w:val="69"/>
  </w:num>
  <w:num w:numId="88">
    <w:abstractNumId w:val="96"/>
  </w:num>
  <w:num w:numId="89">
    <w:abstractNumId w:val="92"/>
  </w:num>
  <w:num w:numId="90">
    <w:abstractNumId w:val="39"/>
  </w:num>
  <w:num w:numId="91">
    <w:abstractNumId w:val="118"/>
  </w:num>
  <w:num w:numId="92">
    <w:abstractNumId w:val="110"/>
  </w:num>
  <w:num w:numId="93">
    <w:abstractNumId w:val="56"/>
  </w:num>
  <w:num w:numId="94">
    <w:abstractNumId w:val="40"/>
  </w:num>
  <w:num w:numId="95">
    <w:abstractNumId w:val="104"/>
  </w:num>
  <w:num w:numId="96">
    <w:abstractNumId w:val="17"/>
  </w:num>
  <w:num w:numId="97">
    <w:abstractNumId w:val="16"/>
  </w:num>
  <w:num w:numId="98">
    <w:abstractNumId w:val="86"/>
  </w:num>
  <w:num w:numId="99">
    <w:abstractNumId w:val="15"/>
  </w:num>
  <w:num w:numId="100">
    <w:abstractNumId w:val="90"/>
  </w:num>
  <w:num w:numId="101">
    <w:abstractNumId w:val="123"/>
  </w:num>
  <w:num w:numId="102">
    <w:abstractNumId w:val="88"/>
  </w:num>
  <w:num w:numId="103">
    <w:abstractNumId w:val="126"/>
  </w:num>
  <w:num w:numId="104">
    <w:abstractNumId w:val="13"/>
  </w:num>
  <w:num w:numId="105">
    <w:abstractNumId w:val="119"/>
  </w:num>
  <w:num w:numId="106">
    <w:abstractNumId w:val="21"/>
  </w:num>
  <w:num w:numId="107">
    <w:abstractNumId w:val="11"/>
  </w:num>
  <w:num w:numId="108">
    <w:abstractNumId w:val="120"/>
  </w:num>
  <w:num w:numId="109">
    <w:abstractNumId w:val="53"/>
  </w:num>
  <w:num w:numId="110">
    <w:abstractNumId w:val="42"/>
  </w:num>
  <w:num w:numId="111">
    <w:abstractNumId w:val="113"/>
  </w:num>
  <w:num w:numId="112">
    <w:abstractNumId w:val="102"/>
  </w:num>
  <w:num w:numId="113">
    <w:abstractNumId w:val="59"/>
  </w:num>
  <w:num w:numId="114">
    <w:abstractNumId w:val="122"/>
  </w:num>
  <w:num w:numId="115">
    <w:abstractNumId w:val="3"/>
  </w:num>
  <w:num w:numId="116">
    <w:abstractNumId w:val="6"/>
  </w:num>
  <w:num w:numId="117">
    <w:abstractNumId w:val="83"/>
  </w:num>
  <w:num w:numId="118">
    <w:abstractNumId w:val="68"/>
  </w:num>
  <w:num w:numId="119">
    <w:abstractNumId w:val="10"/>
  </w:num>
  <w:num w:numId="120">
    <w:abstractNumId w:val="43"/>
  </w:num>
  <w:num w:numId="121">
    <w:abstractNumId w:val="20"/>
  </w:num>
  <w:num w:numId="122">
    <w:abstractNumId w:val="57"/>
  </w:num>
  <w:num w:numId="123">
    <w:abstractNumId w:val="71"/>
  </w:num>
  <w:num w:numId="124">
    <w:abstractNumId w:val="107"/>
  </w:num>
  <w:num w:numId="125">
    <w:abstractNumId w:val="18"/>
  </w:num>
  <w:num w:numId="126">
    <w:abstractNumId w:val="19"/>
  </w:num>
  <w:num w:numId="127">
    <w:abstractNumId w:val="35"/>
  </w:num>
  <w:num w:numId="128">
    <w:abstractNumId w:val="105"/>
  </w:num>
  <w:num w:numId="129">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512D9"/>
    <w:rsid w:val="008B5614"/>
    <w:rsid w:val="00D072EB"/>
    <w:rsid w:val="02A1447D"/>
    <w:rsid w:val="05025778"/>
    <w:rsid w:val="05F00702"/>
    <w:rsid w:val="06043E9E"/>
    <w:rsid w:val="09D45935"/>
    <w:rsid w:val="0CEA5470"/>
    <w:rsid w:val="0E0B1B42"/>
    <w:rsid w:val="0E1924B1"/>
    <w:rsid w:val="0F9811B3"/>
    <w:rsid w:val="11423ACC"/>
    <w:rsid w:val="11621A79"/>
    <w:rsid w:val="12DC585B"/>
    <w:rsid w:val="13C512D9"/>
    <w:rsid w:val="167B1172"/>
    <w:rsid w:val="16A07C1E"/>
    <w:rsid w:val="16BE59A3"/>
    <w:rsid w:val="196F11D7"/>
    <w:rsid w:val="1BE20386"/>
    <w:rsid w:val="1CD203FA"/>
    <w:rsid w:val="1CDF0421"/>
    <w:rsid w:val="1D8E3BF5"/>
    <w:rsid w:val="1EA71EB6"/>
    <w:rsid w:val="22066450"/>
    <w:rsid w:val="22D87DED"/>
    <w:rsid w:val="231828DF"/>
    <w:rsid w:val="24CF3471"/>
    <w:rsid w:val="25F5515A"/>
    <w:rsid w:val="264241A2"/>
    <w:rsid w:val="281C69CE"/>
    <w:rsid w:val="28B9246E"/>
    <w:rsid w:val="2A1C765E"/>
    <w:rsid w:val="2BB138D1"/>
    <w:rsid w:val="2DEB6B09"/>
    <w:rsid w:val="2EB23BE8"/>
    <w:rsid w:val="2F8F217B"/>
    <w:rsid w:val="32E20814"/>
    <w:rsid w:val="353C5263"/>
    <w:rsid w:val="36CA5847"/>
    <w:rsid w:val="374476D9"/>
    <w:rsid w:val="380F5C07"/>
    <w:rsid w:val="39DA0497"/>
    <w:rsid w:val="39F350B4"/>
    <w:rsid w:val="3C1A7270"/>
    <w:rsid w:val="3C2D6FA3"/>
    <w:rsid w:val="3D477BF1"/>
    <w:rsid w:val="3DD60F75"/>
    <w:rsid w:val="3FBD063E"/>
    <w:rsid w:val="3FE536F1"/>
    <w:rsid w:val="402B55A8"/>
    <w:rsid w:val="4077259B"/>
    <w:rsid w:val="424741EF"/>
    <w:rsid w:val="42ED123B"/>
    <w:rsid w:val="43CA798F"/>
    <w:rsid w:val="45EA380F"/>
    <w:rsid w:val="46197898"/>
    <w:rsid w:val="46FC7C9E"/>
    <w:rsid w:val="476C240D"/>
    <w:rsid w:val="481E59F2"/>
    <w:rsid w:val="48EB7FCA"/>
    <w:rsid w:val="49F11610"/>
    <w:rsid w:val="4B700C5B"/>
    <w:rsid w:val="4C312198"/>
    <w:rsid w:val="4C982217"/>
    <w:rsid w:val="4D5123C6"/>
    <w:rsid w:val="4E6879C7"/>
    <w:rsid w:val="51A4340C"/>
    <w:rsid w:val="52344790"/>
    <w:rsid w:val="52FC4B82"/>
    <w:rsid w:val="530F0D59"/>
    <w:rsid w:val="545C3B2A"/>
    <w:rsid w:val="54C55B73"/>
    <w:rsid w:val="55BB2AD2"/>
    <w:rsid w:val="560E354A"/>
    <w:rsid w:val="56A30136"/>
    <w:rsid w:val="5726041F"/>
    <w:rsid w:val="57F95B34"/>
    <w:rsid w:val="581B5AAA"/>
    <w:rsid w:val="583F79EB"/>
    <w:rsid w:val="59396B30"/>
    <w:rsid w:val="5BE659D3"/>
    <w:rsid w:val="5F6D12E1"/>
    <w:rsid w:val="5F6D1A9C"/>
    <w:rsid w:val="5F9A19AB"/>
    <w:rsid w:val="60AE7E03"/>
    <w:rsid w:val="60C969EB"/>
    <w:rsid w:val="624F4CCC"/>
    <w:rsid w:val="625C563D"/>
    <w:rsid w:val="635D166D"/>
    <w:rsid w:val="64487C27"/>
    <w:rsid w:val="6549634D"/>
    <w:rsid w:val="676B07FC"/>
    <w:rsid w:val="680B78E9"/>
    <w:rsid w:val="68FC7232"/>
    <w:rsid w:val="69943146"/>
    <w:rsid w:val="69FD7706"/>
    <w:rsid w:val="6AB97AD1"/>
    <w:rsid w:val="6B427AC6"/>
    <w:rsid w:val="6C43172A"/>
    <w:rsid w:val="6CA125CA"/>
    <w:rsid w:val="6D2D0302"/>
    <w:rsid w:val="6D7D3037"/>
    <w:rsid w:val="6DF139EF"/>
    <w:rsid w:val="6EB1286D"/>
    <w:rsid w:val="70730722"/>
    <w:rsid w:val="71500A63"/>
    <w:rsid w:val="71526589"/>
    <w:rsid w:val="716A38D3"/>
    <w:rsid w:val="747B5DF7"/>
    <w:rsid w:val="75366F8A"/>
    <w:rsid w:val="77291B3A"/>
    <w:rsid w:val="77495D38"/>
    <w:rsid w:val="77B5517C"/>
    <w:rsid w:val="781E0F73"/>
    <w:rsid w:val="798412AA"/>
    <w:rsid w:val="79D97847"/>
    <w:rsid w:val="79F3642F"/>
    <w:rsid w:val="7A1C5986"/>
    <w:rsid w:val="7A992B33"/>
    <w:rsid w:val="7D1142C2"/>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unhideWhenUsed/>
    <w:qFormat/>
    <w:uiPriority w:val="39"/>
    <w:pPr>
      <w:widowControl/>
      <w:tabs>
        <w:tab w:val="left" w:pos="840"/>
        <w:tab w:val="right" w:leader="dot" w:pos="8273"/>
      </w:tabs>
      <w:spacing w:line="360" w:lineRule="auto"/>
      <w:jc w:val="left"/>
    </w:pPr>
    <w:rPr>
      <w:rFonts w:eastAsia="黑体" w:asciiTheme="minorHAnsi" w:hAnsiTheme="minorHAnsi" w:cstheme="minorBidi"/>
      <w:kern w:val="0"/>
      <w:sz w:val="2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qFormat/>
    <w:uiPriority w:val="99"/>
    <w:rPr>
      <w:color w:val="0000FF"/>
      <w:u w:val="single"/>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paragraph" w:customStyle="1" w:styleId="1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styleId="13">
    <w:name w:val="List Paragraph"/>
    <w:basedOn w:val="1"/>
    <w:qFormat/>
    <w:uiPriority w:val="34"/>
    <w:pPr>
      <w:ind w:firstLine="420" w:firstLineChars="200"/>
    </w:pPr>
  </w:style>
  <w:style w:type="paragraph" w:customStyle="1" w:styleId="14">
    <w:name w:val="列表段落1"/>
    <w:basedOn w:val="1"/>
    <w:qFormat/>
    <w:uiPriority w:val="34"/>
    <w:pPr>
      <w:ind w:firstLine="420" w:firstLineChars="200"/>
    </w:pPr>
  </w:style>
  <w:style w:type="paragraph" w:customStyle="1" w:styleId="1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6">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4537</Words>
  <Characters>4892</Characters>
  <Lines>0</Lines>
  <Paragraphs>0</Paragraphs>
  <TotalTime>0</TotalTime>
  <ScaleCrop>false</ScaleCrop>
  <LinksUpToDate>false</LinksUpToDate>
  <CharactersWithSpaces>4960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2026-05-11T03:34:00Z</dcterms:created>
  <dc:creator>Administrator</dc:creator>
  <cp:lastModifiedBy>Administrator</cp:lastModifiedBy>
  <dcterms:modified xsi:type="dcterms:W3CDTF">2026-05-20T09:05:23Z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6DE491B799FA487394DF6896C66E9A7E_11</vt:lpwstr>
  </property>
  <property fmtid="{D5CDD505-2E9C-101B-9397-08002B2CF9AE}" pid="4" name="KSOTemplateDocerSaveRecord">
    <vt:lpwstr>eyJoZGlkIjoiNGVhYzFjNzFiN2IwZmU2YTliY2UyMTY4NTQzMDU5ZmYiLCJ1c2VySWQiOiIzNzg2NTUzOTcifQ==</vt:lpwstr>
  </property>
</Properties>
</file>