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58903">
      <w:pPr>
        <w:ind w:firstLine="4080" w:firstLineChars="1700"/>
        <w:jc w:val="left"/>
        <w:rPr>
          <w:rFonts w:hint="default" w:ascii="宋体" w:hAnsi="宋体" w:eastAsia="宋体"/>
          <w:sz w:val="24"/>
          <w:szCs w:val="28"/>
          <w:lang w:val="en-US" w:eastAsia="zh-CN"/>
        </w:rPr>
      </w:pPr>
      <w:r>
        <w:rPr>
          <w:rFonts w:hint="eastAsia" w:ascii="宋体" w:hAnsi="宋体" w:eastAsia="宋体"/>
          <w:sz w:val="24"/>
          <w:szCs w:val="28"/>
        </w:rPr>
        <w:t>采购项目编号：滨海采购</w:t>
      </w:r>
      <w:r>
        <w:rPr>
          <w:rFonts w:ascii="宋体" w:hAnsi="宋体" w:eastAsia="宋体"/>
          <w:sz w:val="24"/>
          <w:szCs w:val="28"/>
        </w:rPr>
        <w:t>-CGWJ2</w:t>
      </w:r>
      <w:r>
        <w:rPr>
          <w:rFonts w:hint="eastAsia" w:ascii="宋体" w:hAnsi="宋体" w:eastAsia="宋体"/>
          <w:sz w:val="24"/>
          <w:szCs w:val="28"/>
          <w:lang w:val="en-US" w:eastAsia="zh-CN"/>
        </w:rPr>
        <w:t>6</w:t>
      </w:r>
      <w:r>
        <w:rPr>
          <w:rFonts w:ascii="宋体" w:hAnsi="宋体" w:eastAsia="宋体"/>
          <w:sz w:val="24"/>
          <w:szCs w:val="28"/>
        </w:rPr>
        <w:t>0</w:t>
      </w:r>
      <w:r>
        <w:rPr>
          <w:rFonts w:hint="eastAsia" w:ascii="宋体" w:hAnsi="宋体" w:eastAsia="宋体"/>
          <w:sz w:val="24"/>
          <w:szCs w:val="28"/>
          <w:lang w:val="en-US" w:eastAsia="zh-CN"/>
        </w:rPr>
        <w:t>5</w:t>
      </w:r>
      <w:r>
        <w:rPr>
          <w:rFonts w:ascii="宋体" w:hAnsi="宋体" w:eastAsia="宋体"/>
          <w:sz w:val="24"/>
          <w:szCs w:val="28"/>
        </w:rPr>
        <w:t>000</w:t>
      </w:r>
      <w:r>
        <w:rPr>
          <w:rFonts w:hint="eastAsia" w:ascii="宋体" w:hAnsi="宋体" w:eastAsia="宋体"/>
          <w:sz w:val="24"/>
          <w:szCs w:val="28"/>
          <w:lang w:val="en-US" w:eastAsia="zh-CN"/>
        </w:rPr>
        <w:t>10</w:t>
      </w:r>
    </w:p>
    <w:p w14:paraId="2A3DD061">
      <w:pPr>
        <w:spacing w:before="312" w:beforeLines="100" w:after="312" w:afterLines="100"/>
        <w:jc w:val="center"/>
        <w:rPr>
          <w:rFonts w:ascii="宋体" w:hAnsi="宋体" w:eastAsia="宋体"/>
          <w:sz w:val="28"/>
          <w:szCs w:val="28"/>
        </w:rPr>
      </w:pPr>
    </w:p>
    <w:p w14:paraId="02F14922">
      <w:pPr>
        <w:spacing w:before="624" w:beforeLines="200" w:after="624" w:afterLines="200"/>
        <w:jc w:val="center"/>
        <w:rPr>
          <w:rFonts w:ascii="宋体" w:hAnsi="宋体" w:eastAsia="宋体"/>
          <w:b/>
          <w:bCs/>
          <w:sz w:val="40"/>
          <w:szCs w:val="40"/>
        </w:rPr>
      </w:pPr>
      <w:r>
        <w:rPr>
          <w:rFonts w:hint="eastAsia" w:ascii="宋体" w:hAnsi="宋体" w:eastAsia="宋体"/>
          <w:b/>
          <w:bCs/>
          <w:sz w:val="40"/>
          <w:szCs w:val="40"/>
        </w:rPr>
        <w:t>【项目名称】有害生物防治项目</w:t>
      </w:r>
    </w:p>
    <w:p w14:paraId="0FB192DD">
      <w:pPr>
        <w:spacing w:before="624" w:beforeLines="200" w:after="624" w:afterLines="200"/>
        <w:jc w:val="center"/>
        <w:rPr>
          <w:rFonts w:ascii="宋体" w:hAnsi="宋体" w:eastAsia="宋体"/>
          <w:b/>
          <w:bCs/>
          <w:sz w:val="96"/>
          <w:szCs w:val="96"/>
        </w:rPr>
      </w:pPr>
      <w:r>
        <w:rPr>
          <w:rFonts w:hint="eastAsia" w:ascii="宋体" w:hAnsi="宋体" w:eastAsia="宋体"/>
          <w:b/>
          <w:bCs/>
          <w:sz w:val="96"/>
          <w:szCs w:val="96"/>
        </w:rPr>
        <w:t>采购文件</w:t>
      </w:r>
    </w:p>
    <w:p w14:paraId="0E0D5EA6">
      <w:pPr>
        <w:spacing w:before="312" w:beforeLines="100" w:after="312" w:afterLines="100"/>
        <w:jc w:val="center"/>
        <w:rPr>
          <w:rFonts w:ascii="宋体" w:hAnsi="宋体" w:eastAsia="宋体"/>
          <w:sz w:val="28"/>
          <w:szCs w:val="28"/>
        </w:rPr>
      </w:pPr>
    </w:p>
    <w:p w14:paraId="17621E7B">
      <w:pPr>
        <w:spacing w:before="312" w:beforeLines="100" w:after="312" w:afterLines="100"/>
        <w:jc w:val="center"/>
        <w:rPr>
          <w:rFonts w:ascii="宋体" w:hAnsi="宋体" w:eastAsia="宋体"/>
          <w:sz w:val="28"/>
          <w:szCs w:val="28"/>
        </w:rPr>
      </w:pPr>
    </w:p>
    <w:p w14:paraId="38C13566">
      <w:pPr>
        <w:spacing w:before="312" w:beforeLines="100" w:after="312" w:afterLines="100"/>
        <w:jc w:val="center"/>
        <w:rPr>
          <w:rFonts w:ascii="宋体" w:hAnsi="宋体" w:eastAsia="宋体"/>
          <w:sz w:val="28"/>
          <w:szCs w:val="28"/>
        </w:rPr>
      </w:pPr>
    </w:p>
    <w:p w14:paraId="66A73CED">
      <w:pPr>
        <w:spacing w:before="312" w:beforeLines="100" w:after="312" w:afterLines="100"/>
        <w:jc w:val="center"/>
        <w:rPr>
          <w:rFonts w:ascii="宋体" w:hAnsi="宋体" w:eastAsia="宋体"/>
          <w:sz w:val="28"/>
          <w:szCs w:val="28"/>
        </w:rPr>
      </w:pPr>
    </w:p>
    <w:p w14:paraId="18813010">
      <w:pPr>
        <w:spacing w:before="312" w:beforeLines="100" w:after="312" w:afterLines="100"/>
        <w:jc w:val="center"/>
        <w:rPr>
          <w:rFonts w:ascii="宋体" w:hAnsi="宋体" w:eastAsia="宋体"/>
          <w:sz w:val="28"/>
          <w:szCs w:val="28"/>
        </w:rPr>
      </w:pPr>
    </w:p>
    <w:p w14:paraId="1AD27170">
      <w:pPr>
        <w:spacing w:before="312" w:beforeLines="100" w:after="312" w:afterLines="100"/>
        <w:jc w:val="center"/>
        <w:rPr>
          <w:rFonts w:ascii="宋体" w:hAnsi="宋体" w:eastAsia="宋体"/>
          <w:sz w:val="28"/>
          <w:szCs w:val="28"/>
        </w:rPr>
      </w:pPr>
    </w:p>
    <w:p w14:paraId="20AD3459">
      <w:pPr>
        <w:spacing w:line="440" w:lineRule="exact"/>
        <w:ind w:left="1260" w:leftChars="600"/>
        <w:jc w:val="left"/>
        <w:rPr>
          <w:rFonts w:ascii="宋体" w:hAnsi="宋体" w:eastAsia="宋体"/>
          <w:sz w:val="24"/>
          <w:szCs w:val="32"/>
        </w:rPr>
      </w:pPr>
      <w:r>
        <w:rPr>
          <w:rFonts w:hint="eastAsia" w:ascii="宋体" w:hAnsi="宋体" w:eastAsia="宋体"/>
          <w:sz w:val="24"/>
          <w:szCs w:val="32"/>
        </w:rPr>
        <w:t xml:space="preserve">采 </w:t>
      </w:r>
      <w:r>
        <w:rPr>
          <w:rFonts w:ascii="宋体" w:hAnsi="宋体" w:eastAsia="宋体"/>
          <w:sz w:val="24"/>
          <w:szCs w:val="32"/>
        </w:rPr>
        <w:t xml:space="preserve">  </w:t>
      </w:r>
      <w:r>
        <w:rPr>
          <w:rFonts w:hint="eastAsia" w:ascii="宋体" w:hAnsi="宋体" w:eastAsia="宋体"/>
          <w:sz w:val="24"/>
          <w:szCs w:val="32"/>
        </w:rPr>
        <w:t xml:space="preserve">购  </w:t>
      </w:r>
      <w:r>
        <w:rPr>
          <w:rFonts w:ascii="宋体" w:hAnsi="宋体" w:eastAsia="宋体"/>
          <w:sz w:val="24"/>
          <w:szCs w:val="32"/>
        </w:rPr>
        <w:t xml:space="preserve"> </w:t>
      </w:r>
      <w:r>
        <w:rPr>
          <w:rFonts w:hint="eastAsia" w:ascii="宋体" w:hAnsi="宋体" w:eastAsia="宋体"/>
          <w:sz w:val="24"/>
          <w:szCs w:val="32"/>
        </w:rPr>
        <w:t>人：天津滨海新区雪花啤酒有限公司</w:t>
      </w:r>
    </w:p>
    <w:p w14:paraId="0A0D0274">
      <w:pPr>
        <w:spacing w:line="440" w:lineRule="exact"/>
        <w:ind w:left="1260" w:leftChars="600"/>
        <w:rPr>
          <w:rFonts w:ascii="宋体" w:hAnsi="宋体" w:eastAsia="宋体"/>
          <w:sz w:val="24"/>
          <w:szCs w:val="32"/>
        </w:rPr>
      </w:pPr>
      <w:r>
        <w:rPr>
          <w:rFonts w:hint="eastAsia" w:ascii="宋体" w:hAnsi="宋体" w:eastAsia="宋体"/>
          <w:sz w:val="24"/>
          <w:szCs w:val="32"/>
        </w:rPr>
        <w:t>电子采购平台：华润集团守正电子招标采购平台</w:t>
      </w:r>
    </w:p>
    <w:p w14:paraId="4A7AB38A">
      <w:pPr>
        <w:spacing w:line="440" w:lineRule="exact"/>
        <w:jc w:val="center"/>
        <w:rPr>
          <w:rFonts w:ascii="宋体" w:hAnsi="宋体" w:eastAsia="宋体"/>
          <w:sz w:val="28"/>
          <w:szCs w:val="28"/>
        </w:rPr>
      </w:pPr>
      <w:r>
        <w:rPr>
          <w:rFonts w:ascii="宋体" w:hAnsi="宋体" w:eastAsia="宋体"/>
          <w:sz w:val="24"/>
          <w:szCs w:val="32"/>
        </w:rPr>
        <w:t>202</w:t>
      </w:r>
      <w:r>
        <w:rPr>
          <w:rFonts w:hint="eastAsia" w:ascii="宋体" w:hAnsi="宋体" w:eastAsia="宋体"/>
          <w:sz w:val="24"/>
          <w:szCs w:val="32"/>
          <w:lang w:val="en-US" w:eastAsia="zh-CN"/>
        </w:rPr>
        <w:t>6</w:t>
      </w:r>
      <w:r>
        <w:rPr>
          <w:rFonts w:hint="eastAsia" w:ascii="宋体" w:hAnsi="宋体" w:eastAsia="宋体"/>
          <w:sz w:val="24"/>
          <w:szCs w:val="32"/>
        </w:rPr>
        <w:t>年</w:t>
      </w:r>
      <w:r>
        <w:rPr>
          <w:rFonts w:ascii="宋体" w:hAnsi="宋体" w:eastAsia="宋体"/>
          <w:sz w:val="24"/>
          <w:szCs w:val="32"/>
        </w:rPr>
        <w:t>0</w:t>
      </w:r>
      <w:r>
        <w:rPr>
          <w:rFonts w:hint="eastAsia" w:ascii="宋体" w:hAnsi="宋体" w:eastAsia="宋体"/>
          <w:sz w:val="24"/>
          <w:szCs w:val="32"/>
          <w:lang w:val="en-US" w:eastAsia="zh-CN"/>
        </w:rPr>
        <w:t>5</w:t>
      </w:r>
      <w:r>
        <w:rPr>
          <w:rFonts w:hint="eastAsia" w:ascii="宋体" w:hAnsi="宋体" w:eastAsia="宋体"/>
          <w:sz w:val="24"/>
          <w:szCs w:val="32"/>
        </w:rPr>
        <w:t>月</w:t>
      </w:r>
      <w:r>
        <w:rPr>
          <w:rFonts w:hint="eastAsia" w:ascii="宋体" w:hAnsi="宋体" w:eastAsia="宋体"/>
          <w:sz w:val="24"/>
          <w:szCs w:val="32"/>
          <w:lang w:val="en-US" w:eastAsia="zh-CN"/>
        </w:rPr>
        <w:t>19</w:t>
      </w:r>
      <w:r>
        <w:rPr>
          <w:rFonts w:ascii="宋体" w:hAnsi="宋体" w:eastAsia="宋体"/>
          <w:sz w:val="24"/>
          <w:szCs w:val="32"/>
        </w:rPr>
        <w:t>日</w:t>
      </w:r>
      <w:r>
        <w:rPr>
          <w:rFonts w:ascii="宋体" w:hAnsi="宋体" w:eastAsia="宋体"/>
          <w:sz w:val="28"/>
          <w:szCs w:val="28"/>
        </w:rPr>
        <w:br w:type="page"/>
      </w:r>
    </w:p>
    <w:p w14:paraId="017E2B00">
      <w:pPr>
        <w:spacing w:line="440" w:lineRule="exact"/>
        <w:jc w:val="center"/>
        <w:rPr>
          <w:rFonts w:ascii="宋体" w:hAnsi="宋体" w:eastAsia="宋体"/>
          <w:b/>
          <w:bCs/>
          <w:sz w:val="24"/>
          <w:szCs w:val="24"/>
        </w:rPr>
      </w:pPr>
    </w:p>
    <w:p w14:paraId="502EAB83">
      <w:pPr>
        <w:spacing w:line="440" w:lineRule="exact"/>
        <w:jc w:val="center"/>
        <w:rPr>
          <w:rFonts w:ascii="宋体" w:hAnsi="宋体" w:eastAsia="宋体"/>
          <w:b/>
          <w:bCs/>
          <w:sz w:val="32"/>
          <w:szCs w:val="24"/>
        </w:rPr>
      </w:pPr>
      <w:r>
        <w:rPr>
          <w:rFonts w:hint="eastAsia" w:ascii="宋体" w:hAnsi="宋体" w:eastAsia="宋体"/>
          <w:b/>
          <w:bCs/>
          <w:sz w:val="32"/>
          <w:szCs w:val="24"/>
        </w:rPr>
        <w:t xml:space="preserve">目 </w:t>
      </w:r>
      <w:r>
        <w:rPr>
          <w:rFonts w:ascii="宋体" w:hAnsi="宋体" w:eastAsia="宋体"/>
          <w:b/>
          <w:bCs/>
          <w:sz w:val="32"/>
          <w:szCs w:val="24"/>
        </w:rPr>
        <w:t xml:space="preserve"> </w:t>
      </w:r>
      <w:r>
        <w:rPr>
          <w:rFonts w:hint="eastAsia" w:ascii="宋体" w:hAnsi="宋体" w:eastAsia="宋体"/>
          <w:b/>
          <w:bCs/>
          <w:sz w:val="32"/>
          <w:szCs w:val="24"/>
        </w:rPr>
        <w:t>录</w:t>
      </w:r>
    </w:p>
    <w:p w14:paraId="566F223D">
      <w:pPr>
        <w:spacing w:line="440" w:lineRule="exact"/>
        <w:jc w:val="center"/>
        <w:rPr>
          <w:rFonts w:ascii="宋体" w:hAnsi="宋体" w:eastAsia="宋体"/>
          <w:sz w:val="24"/>
          <w:szCs w:val="24"/>
        </w:rPr>
      </w:pPr>
    </w:p>
    <w:p w14:paraId="0EE01135">
      <w:pPr>
        <w:spacing w:before="156" w:beforeLines="50" w:after="156" w:afterLines="50" w:line="440" w:lineRule="exact"/>
        <w:ind w:left="2310" w:leftChars="1100"/>
        <w:rPr>
          <w:rFonts w:ascii="宋体" w:hAnsi="宋体" w:eastAsia="宋体"/>
          <w:sz w:val="24"/>
          <w:szCs w:val="24"/>
        </w:rPr>
      </w:pPr>
      <w:r>
        <w:rPr>
          <w:rFonts w:hint="eastAsia" w:ascii="宋体" w:hAnsi="宋体" w:eastAsia="宋体"/>
          <w:sz w:val="24"/>
          <w:szCs w:val="24"/>
        </w:rPr>
        <w:t xml:space="preserve">第一卷 </w:t>
      </w:r>
      <w:r>
        <w:rPr>
          <w:rFonts w:ascii="宋体" w:hAnsi="宋体" w:eastAsia="宋体"/>
          <w:sz w:val="24"/>
          <w:szCs w:val="24"/>
        </w:rPr>
        <w:t xml:space="preserve">  </w:t>
      </w:r>
      <w:r>
        <w:rPr>
          <w:rFonts w:hint="eastAsia" w:ascii="宋体" w:hAnsi="宋体" w:eastAsia="宋体"/>
          <w:sz w:val="24"/>
          <w:szCs w:val="24"/>
        </w:rPr>
        <w:t>供应商须知</w:t>
      </w:r>
    </w:p>
    <w:p w14:paraId="27EF9823">
      <w:pPr>
        <w:spacing w:before="156" w:beforeLines="50" w:after="156" w:afterLines="50" w:line="440" w:lineRule="exact"/>
        <w:ind w:left="2310" w:leftChars="1100"/>
        <w:rPr>
          <w:rFonts w:ascii="宋体" w:hAnsi="宋体" w:eastAsia="宋体"/>
          <w:sz w:val="24"/>
          <w:szCs w:val="24"/>
        </w:rPr>
      </w:pPr>
      <w:r>
        <w:rPr>
          <w:rFonts w:hint="eastAsia" w:ascii="宋体" w:hAnsi="宋体" w:eastAsia="宋体"/>
          <w:sz w:val="24"/>
          <w:szCs w:val="24"/>
        </w:rPr>
        <w:t xml:space="preserve">第二卷 </w:t>
      </w:r>
      <w:r>
        <w:rPr>
          <w:rFonts w:ascii="宋体" w:hAnsi="宋体" w:eastAsia="宋体"/>
          <w:sz w:val="24"/>
          <w:szCs w:val="24"/>
        </w:rPr>
        <w:t xml:space="preserve"> </w:t>
      </w:r>
      <w:r>
        <w:rPr>
          <w:rFonts w:hint="eastAsia" w:ascii="宋体" w:hAnsi="宋体" w:eastAsia="宋体"/>
          <w:sz w:val="24"/>
          <w:szCs w:val="24"/>
        </w:rPr>
        <w:t xml:space="preserve"> 响应文件格式</w:t>
      </w:r>
    </w:p>
    <w:p w14:paraId="2DAC2F83">
      <w:pPr>
        <w:spacing w:before="156" w:beforeLines="50" w:after="156" w:afterLines="50" w:line="440" w:lineRule="exact"/>
        <w:ind w:left="2310" w:leftChars="1100"/>
        <w:rPr>
          <w:rFonts w:ascii="宋体" w:hAnsi="宋体" w:eastAsia="宋体"/>
          <w:sz w:val="24"/>
          <w:szCs w:val="24"/>
        </w:rPr>
      </w:pPr>
      <w:r>
        <w:rPr>
          <w:rFonts w:hint="eastAsia" w:ascii="宋体" w:hAnsi="宋体" w:eastAsia="宋体"/>
          <w:sz w:val="24"/>
          <w:szCs w:val="24"/>
        </w:rPr>
        <w:t xml:space="preserve">第三卷 </w:t>
      </w:r>
      <w:r>
        <w:rPr>
          <w:rFonts w:ascii="宋体" w:hAnsi="宋体" w:eastAsia="宋体"/>
          <w:sz w:val="24"/>
          <w:szCs w:val="24"/>
        </w:rPr>
        <w:t xml:space="preserve">  </w:t>
      </w:r>
      <w:r>
        <w:rPr>
          <w:rFonts w:hint="eastAsia" w:ascii="宋体" w:hAnsi="宋体" w:eastAsia="宋体"/>
          <w:sz w:val="24"/>
          <w:szCs w:val="24"/>
        </w:rPr>
        <w:t>评审方法</w:t>
      </w:r>
    </w:p>
    <w:p w14:paraId="7CF097D5">
      <w:pPr>
        <w:spacing w:before="156" w:beforeLines="50" w:after="156" w:afterLines="50" w:line="440" w:lineRule="exact"/>
        <w:ind w:left="2310" w:leftChars="1100"/>
        <w:rPr>
          <w:rFonts w:ascii="宋体" w:hAnsi="宋体" w:eastAsia="宋体"/>
          <w:sz w:val="24"/>
          <w:szCs w:val="24"/>
        </w:rPr>
      </w:pPr>
      <w:r>
        <w:rPr>
          <w:rFonts w:hint="eastAsia" w:ascii="宋体" w:hAnsi="宋体" w:eastAsia="宋体"/>
          <w:sz w:val="24"/>
          <w:szCs w:val="24"/>
        </w:rPr>
        <w:t xml:space="preserve">第四卷 </w:t>
      </w:r>
      <w:r>
        <w:rPr>
          <w:rFonts w:ascii="宋体" w:hAnsi="宋体" w:eastAsia="宋体"/>
          <w:sz w:val="24"/>
          <w:szCs w:val="24"/>
        </w:rPr>
        <w:t xml:space="preserve">  </w:t>
      </w:r>
      <w:r>
        <w:rPr>
          <w:rFonts w:hint="eastAsia" w:ascii="宋体" w:hAnsi="宋体" w:eastAsia="宋体"/>
          <w:sz w:val="24"/>
          <w:szCs w:val="24"/>
        </w:rPr>
        <w:t>合同条款及格式</w:t>
      </w:r>
    </w:p>
    <w:p w14:paraId="6039B6CC">
      <w:pPr>
        <w:spacing w:line="440" w:lineRule="exact"/>
        <w:ind w:left="2730" w:leftChars="1300"/>
        <w:rPr>
          <w:rFonts w:ascii="宋体" w:hAnsi="宋体" w:eastAsia="宋体"/>
          <w:sz w:val="24"/>
          <w:szCs w:val="24"/>
        </w:rPr>
      </w:pPr>
    </w:p>
    <w:p w14:paraId="6DB71335">
      <w:pPr>
        <w:spacing w:line="440" w:lineRule="exact"/>
        <w:ind w:left="2730" w:leftChars="1300"/>
        <w:rPr>
          <w:rFonts w:ascii="宋体" w:hAnsi="宋体" w:eastAsia="宋体"/>
          <w:sz w:val="24"/>
          <w:szCs w:val="24"/>
        </w:rPr>
      </w:pPr>
    </w:p>
    <w:p w14:paraId="6CC33DAC">
      <w:pPr>
        <w:spacing w:line="440" w:lineRule="exact"/>
        <w:ind w:left="2730" w:leftChars="1300"/>
        <w:rPr>
          <w:rFonts w:ascii="宋体" w:hAnsi="宋体" w:eastAsia="宋体"/>
          <w:sz w:val="24"/>
          <w:szCs w:val="24"/>
        </w:rPr>
      </w:pPr>
    </w:p>
    <w:p w14:paraId="465C8007">
      <w:pPr>
        <w:spacing w:line="440" w:lineRule="exact"/>
        <w:ind w:left="2730" w:leftChars="1300"/>
        <w:rPr>
          <w:rFonts w:ascii="宋体" w:hAnsi="宋体" w:eastAsia="宋体"/>
          <w:sz w:val="24"/>
          <w:szCs w:val="24"/>
        </w:rPr>
      </w:pPr>
    </w:p>
    <w:p w14:paraId="0A2A1B3B">
      <w:pPr>
        <w:spacing w:line="440" w:lineRule="exact"/>
        <w:ind w:left="2730" w:leftChars="1300"/>
        <w:rPr>
          <w:rFonts w:ascii="宋体" w:hAnsi="宋体" w:eastAsia="宋体"/>
          <w:sz w:val="24"/>
          <w:szCs w:val="24"/>
        </w:rPr>
      </w:pPr>
    </w:p>
    <w:p w14:paraId="5C6E5AF1">
      <w:pPr>
        <w:spacing w:line="440" w:lineRule="exact"/>
        <w:ind w:left="2730" w:leftChars="1300"/>
        <w:rPr>
          <w:rFonts w:ascii="宋体" w:hAnsi="宋体" w:eastAsia="宋体"/>
          <w:sz w:val="24"/>
          <w:szCs w:val="24"/>
        </w:rPr>
      </w:pPr>
    </w:p>
    <w:p w14:paraId="73F9383A">
      <w:pPr>
        <w:spacing w:line="440" w:lineRule="exact"/>
        <w:ind w:left="2730" w:leftChars="1300"/>
        <w:rPr>
          <w:rFonts w:ascii="宋体" w:hAnsi="宋体" w:eastAsia="宋体"/>
          <w:sz w:val="24"/>
          <w:szCs w:val="24"/>
        </w:rPr>
      </w:pPr>
    </w:p>
    <w:p w14:paraId="7DD68486">
      <w:pPr>
        <w:spacing w:line="440" w:lineRule="exact"/>
        <w:ind w:left="2730" w:leftChars="1300"/>
        <w:rPr>
          <w:rFonts w:ascii="宋体" w:hAnsi="宋体" w:eastAsia="宋体"/>
          <w:sz w:val="24"/>
          <w:szCs w:val="24"/>
        </w:rPr>
      </w:pPr>
    </w:p>
    <w:p w14:paraId="05ED505F">
      <w:pPr>
        <w:spacing w:line="440" w:lineRule="exact"/>
        <w:ind w:left="2730" w:leftChars="1300"/>
        <w:rPr>
          <w:rFonts w:ascii="宋体" w:hAnsi="宋体" w:eastAsia="宋体"/>
          <w:sz w:val="24"/>
          <w:szCs w:val="24"/>
        </w:rPr>
      </w:pPr>
    </w:p>
    <w:p w14:paraId="7CDC9578">
      <w:pPr>
        <w:spacing w:line="440" w:lineRule="exact"/>
        <w:ind w:left="2730" w:leftChars="1300"/>
        <w:rPr>
          <w:rFonts w:ascii="宋体" w:hAnsi="宋体" w:eastAsia="宋体"/>
          <w:sz w:val="24"/>
          <w:szCs w:val="24"/>
        </w:rPr>
      </w:pPr>
    </w:p>
    <w:p w14:paraId="1CE64F9A">
      <w:pPr>
        <w:spacing w:line="440" w:lineRule="exact"/>
        <w:ind w:left="2730" w:leftChars="1300"/>
        <w:rPr>
          <w:rFonts w:ascii="宋体" w:hAnsi="宋体" w:eastAsia="宋体"/>
          <w:sz w:val="24"/>
          <w:szCs w:val="24"/>
        </w:rPr>
      </w:pPr>
    </w:p>
    <w:p w14:paraId="708B35E1">
      <w:pPr>
        <w:spacing w:line="440" w:lineRule="exact"/>
        <w:ind w:left="2730" w:leftChars="1300"/>
        <w:rPr>
          <w:rFonts w:ascii="宋体" w:hAnsi="宋体" w:eastAsia="宋体"/>
          <w:sz w:val="24"/>
          <w:szCs w:val="24"/>
        </w:rPr>
      </w:pPr>
    </w:p>
    <w:p w14:paraId="15A4CB33">
      <w:pPr>
        <w:spacing w:line="440" w:lineRule="exact"/>
        <w:ind w:left="2730" w:leftChars="1300"/>
        <w:rPr>
          <w:rFonts w:ascii="宋体" w:hAnsi="宋体" w:eastAsia="宋体"/>
          <w:sz w:val="24"/>
          <w:szCs w:val="24"/>
        </w:rPr>
      </w:pPr>
    </w:p>
    <w:p w14:paraId="14616BED">
      <w:pPr>
        <w:spacing w:line="440" w:lineRule="exact"/>
        <w:ind w:left="2730" w:leftChars="1300"/>
        <w:rPr>
          <w:rFonts w:ascii="宋体" w:hAnsi="宋体" w:eastAsia="宋体"/>
          <w:sz w:val="24"/>
          <w:szCs w:val="24"/>
        </w:rPr>
      </w:pPr>
    </w:p>
    <w:p w14:paraId="65C591A4">
      <w:pPr>
        <w:spacing w:line="440" w:lineRule="exact"/>
        <w:ind w:left="2730" w:leftChars="1300"/>
        <w:rPr>
          <w:rFonts w:ascii="宋体" w:hAnsi="宋体" w:eastAsia="宋体"/>
          <w:sz w:val="24"/>
          <w:szCs w:val="24"/>
        </w:rPr>
      </w:pPr>
    </w:p>
    <w:p w14:paraId="7BCCACFC">
      <w:pPr>
        <w:spacing w:line="440" w:lineRule="exact"/>
        <w:ind w:left="2730" w:leftChars="1300"/>
        <w:rPr>
          <w:rFonts w:ascii="宋体" w:hAnsi="宋体" w:eastAsia="宋体"/>
          <w:sz w:val="24"/>
          <w:szCs w:val="24"/>
        </w:rPr>
      </w:pPr>
    </w:p>
    <w:p w14:paraId="26F3C93E">
      <w:pPr>
        <w:spacing w:line="440" w:lineRule="exact"/>
        <w:ind w:left="2730" w:leftChars="1300"/>
        <w:rPr>
          <w:rFonts w:ascii="宋体" w:hAnsi="宋体" w:eastAsia="宋体"/>
          <w:sz w:val="24"/>
          <w:szCs w:val="24"/>
        </w:rPr>
      </w:pPr>
    </w:p>
    <w:p w14:paraId="3FF30CFF">
      <w:pPr>
        <w:spacing w:line="440" w:lineRule="exact"/>
        <w:ind w:left="2730" w:leftChars="1300"/>
        <w:rPr>
          <w:rFonts w:ascii="宋体" w:hAnsi="宋体" w:eastAsia="宋体"/>
          <w:sz w:val="24"/>
          <w:szCs w:val="24"/>
        </w:rPr>
      </w:pPr>
    </w:p>
    <w:p w14:paraId="2ABC55FE">
      <w:pPr>
        <w:spacing w:line="440" w:lineRule="exact"/>
        <w:ind w:left="2730" w:leftChars="1300"/>
        <w:rPr>
          <w:rFonts w:ascii="宋体" w:hAnsi="宋体" w:eastAsia="宋体"/>
          <w:sz w:val="24"/>
          <w:szCs w:val="24"/>
        </w:rPr>
      </w:pPr>
    </w:p>
    <w:p w14:paraId="0EDAA9FC">
      <w:pPr>
        <w:spacing w:line="440" w:lineRule="exact"/>
        <w:ind w:left="2730" w:leftChars="1300"/>
        <w:rPr>
          <w:rFonts w:ascii="宋体" w:hAnsi="宋体" w:eastAsia="宋体"/>
          <w:sz w:val="24"/>
          <w:szCs w:val="24"/>
        </w:rPr>
      </w:pPr>
    </w:p>
    <w:p w14:paraId="2D23F9F4">
      <w:pPr>
        <w:spacing w:line="440" w:lineRule="exact"/>
        <w:ind w:left="2730" w:leftChars="1300"/>
        <w:rPr>
          <w:rFonts w:ascii="宋体" w:hAnsi="宋体" w:eastAsia="宋体"/>
          <w:sz w:val="24"/>
          <w:szCs w:val="24"/>
        </w:rPr>
      </w:pPr>
    </w:p>
    <w:p w14:paraId="14367928">
      <w:pPr>
        <w:spacing w:after="312" w:afterLines="100" w:line="440" w:lineRule="exact"/>
        <w:jc w:val="center"/>
        <w:outlineLvl w:val="0"/>
        <w:rPr>
          <w:rFonts w:ascii="宋体" w:hAnsi="宋体" w:eastAsia="宋体"/>
          <w:b/>
          <w:bCs/>
          <w:iCs/>
          <w:color w:val="FF0000"/>
          <w:sz w:val="24"/>
          <w:szCs w:val="24"/>
        </w:rPr>
      </w:pPr>
    </w:p>
    <w:p w14:paraId="4C44A8FC">
      <w:pPr>
        <w:spacing w:after="312" w:afterLines="100" w:line="440" w:lineRule="exact"/>
        <w:jc w:val="center"/>
        <w:outlineLvl w:val="0"/>
        <w:rPr>
          <w:rFonts w:ascii="宋体" w:hAnsi="宋体" w:eastAsia="宋体"/>
          <w:b/>
          <w:bCs/>
          <w:sz w:val="32"/>
          <w:szCs w:val="24"/>
        </w:rPr>
      </w:pPr>
      <w:r>
        <w:rPr>
          <w:rFonts w:hint="eastAsia" w:ascii="宋体" w:hAnsi="宋体" w:eastAsia="宋体"/>
          <w:b/>
          <w:bCs/>
          <w:sz w:val="32"/>
          <w:szCs w:val="24"/>
        </w:rPr>
        <w:t>第一卷 供应商须知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4B5D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vAlign w:val="center"/>
          </w:tcPr>
          <w:p w14:paraId="0EADDD60">
            <w:pPr>
              <w:spacing w:line="440" w:lineRule="exact"/>
              <w:jc w:val="center"/>
              <w:rPr>
                <w:rFonts w:ascii="宋体" w:hAnsi="宋体" w:eastAsia="宋体"/>
                <w:b/>
                <w:bCs/>
                <w:sz w:val="24"/>
                <w:szCs w:val="24"/>
              </w:rPr>
            </w:pPr>
            <w:r>
              <w:rPr>
                <w:rFonts w:hint="eastAsia" w:ascii="宋体" w:hAnsi="宋体" w:eastAsia="宋体"/>
                <w:b/>
                <w:bCs/>
                <w:sz w:val="24"/>
                <w:szCs w:val="24"/>
              </w:rPr>
              <w:t>序号</w:t>
            </w:r>
          </w:p>
        </w:tc>
        <w:tc>
          <w:tcPr>
            <w:tcW w:w="1975" w:type="dxa"/>
            <w:vAlign w:val="center"/>
          </w:tcPr>
          <w:p w14:paraId="3F12747B">
            <w:pPr>
              <w:spacing w:line="440" w:lineRule="exact"/>
              <w:jc w:val="center"/>
              <w:rPr>
                <w:rFonts w:ascii="宋体" w:hAnsi="宋体" w:eastAsia="宋体"/>
                <w:b/>
                <w:bCs/>
                <w:sz w:val="24"/>
                <w:szCs w:val="24"/>
              </w:rPr>
            </w:pPr>
            <w:r>
              <w:rPr>
                <w:rFonts w:hint="eastAsia" w:ascii="宋体" w:hAnsi="宋体" w:eastAsia="宋体"/>
                <w:b/>
                <w:bCs/>
                <w:sz w:val="24"/>
                <w:szCs w:val="24"/>
              </w:rPr>
              <w:t>名称</w:t>
            </w:r>
          </w:p>
        </w:tc>
        <w:tc>
          <w:tcPr>
            <w:tcW w:w="5475" w:type="dxa"/>
            <w:vAlign w:val="center"/>
          </w:tcPr>
          <w:p w14:paraId="420B6CE6">
            <w:pPr>
              <w:spacing w:line="440" w:lineRule="exact"/>
              <w:jc w:val="center"/>
              <w:rPr>
                <w:rFonts w:ascii="宋体" w:hAnsi="宋体" w:eastAsia="宋体"/>
                <w:b/>
                <w:bCs/>
                <w:sz w:val="24"/>
                <w:szCs w:val="24"/>
              </w:rPr>
            </w:pPr>
            <w:r>
              <w:rPr>
                <w:rFonts w:hint="eastAsia" w:ascii="宋体" w:hAnsi="宋体" w:eastAsia="宋体"/>
                <w:b/>
                <w:bCs/>
                <w:sz w:val="24"/>
                <w:szCs w:val="24"/>
              </w:rPr>
              <w:t>内容</w:t>
            </w:r>
          </w:p>
        </w:tc>
      </w:tr>
      <w:tr w14:paraId="18B5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D45C189">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581E9B3B">
            <w:pPr>
              <w:spacing w:line="440" w:lineRule="exact"/>
              <w:jc w:val="center"/>
              <w:rPr>
                <w:rFonts w:ascii="宋体" w:hAnsi="宋体" w:eastAsia="宋体"/>
                <w:sz w:val="24"/>
                <w:szCs w:val="24"/>
              </w:rPr>
            </w:pPr>
            <w:r>
              <w:rPr>
                <w:rFonts w:hint="eastAsia" w:ascii="宋体" w:hAnsi="宋体" w:eastAsia="宋体"/>
                <w:sz w:val="24"/>
                <w:szCs w:val="24"/>
              </w:rPr>
              <w:t>采购人</w:t>
            </w:r>
          </w:p>
        </w:tc>
        <w:tc>
          <w:tcPr>
            <w:tcW w:w="5475" w:type="dxa"/>
            <w:vAlign w:val="center"/>
          </w:tcPr>
          <w:p w14:paraId="236AD631">
            <w:pPr>
              <w:spacing w:line="440" w:lineRule="exact"/>
              <w:rPr>
                <w:rFonts w:ascii="宋体" w:hAnsi="宋体" w:eastAsia="宋体"/>
                <w:sz w:val="24"/>
                <w:szCs w:val="24"/>
              </w:rPr>
            </w:pPr>
            <w:r>
              <w:rPr>
                <w:rFonts w:hint="eastAsia" w:ascii="宋体" w:hAnsi="宋体" w:eastAsia="宋体"/>
                <w:sz w:val="24"/>
                <w:szCs w:val="24"/>
              </w:rPr>
              <w:t>名称：</w:t>
            </w:r>
            <w:r>
              <w:rPr>
                <w:rFonts w:hint="eastAsia" w:ascii="宋体" w:hAnsi="宋体" w:eastAsia="宋体"/>
                <w:color w:val="000000" w:themeColor="text1"/>
                <w:sz w:val="24"/>
                <w:szCs w:val="24"/>
                <w14:textFill>
                  <w14:solidFill>
                    <w14:schemeClr w14:val="tx1"/>
                  </w14:solidFill>
                </w14:textFill>
              </w:rPr>
              <w:t>天津滨海新区雪花啤酒有限公司</w:t>
            </w:r>
          </w:p>
          <w:p w14:paraId="0A3A2404">
            <w:pPr>
              <w:spacing w:line="440" w:lineRule="exact"/>
              <w:rPr>
                <w:rFonts w:ascii="宋体" w:hAnsi="宋体" w:eastAsia="宋体"/>
                <w:sz w:val="24"/>
                <w:szCs w:val="24"/>
              </w:rPr>
            </w:pPr>
            <w:r>
              <w:rPr>
                <w:rFonts w:hint="eastAsia" w:ascii="宋体" w:hAnsi="宋体" w:eastAsia="宋体"/>
                <w:sz w:val="24"/>
                <w:szCs w:val="24"/>
              </w:rPr>
              <w:t>地址：</w:t>
            </w:r>
            <w:bookmarkStart w:id="0" w:name="firstRegisteredAddress"/>
            <w:r>
              <w:rPr>
                <w:rFonts w:hint="eastAsia" w:ascii="宋体" w:hAnsi="宋体" w:eastAsia="宋体"/>
                <w:color w:val="000000" w:themeColor="text1"/>
                <w:sz w:val="24"/>
                <w:szCs w:val="24"/>
                <w14:textFill>
                  <w14:solidFill>
                    <w14:schemeClr w14:val="tx1"/>
                  </w14:solidFill>
                </w14:textFill>
              </w:rPr>
              <w:t>天津自贸试验区（空港经济区）环河西路</w:t>
            </w:r>
            <w:r>
              <w:rPr>
                <w:rFonts w:ascii="宋体" w:hAnsi="宋体" w:eastAsia="宋体"/>
                <w:color w:val="000000" w:themeColor="text1"/>
                <w:sz w:val="24"/>
                <w:szCs w:val="24"/>
                <w14:textFill>
                  <w14:solidFill>
                    <w14:schemeClr w14:val="tx1"/>
                  </w14:solidFill>
                </w14:textFill>
              </w:rPr>
              <w:t>99</w:t>
            </w:r>
            <w:r>
              <w:rPr>
                <w:rFonts w:hint="eastAsia" w:ascii="宋体" w:hAnsi="宋体" w:eastAsia="宋体"/>
                <w:color w:val="000000" w:themeColor="text1"/>
                <w:sz w:val="24"/>
                <w:szCs w:val="24"/>
                <w14:textFill>
                  <w14:solidFill>
                    <w14:schemeClr w14:val="tx1"/>
                  </w14:solidFill>
                </w14:textFill>
              </w:rPr>
              <w:t>号</w:t>
            </w:r>
            <w:bookmarkEnd w:id="0"/>
          </w:p>
          <w:p w14:paraId="6D91DA6A">
            <w:pPr>
              <w:spacing w:line="440" w:lineRule="exact"/>
              <w:rPr>
                <w:rFonts w:hint="eastAsia" w:ascii="宋体" w:hAnsi="宋体" w:eastAsia="宋体"/>
                <w:sz w:val="24"/>
                <w:szCs w:val="24"/>
                <w:lang w:eastAsia="zh-CN"/>
              </w:rPr>
            </w:pPr>
            <w:r>
              <w:rPr>
                <w:rFonts w:hint="eastAsia" w:ascii="宋体" w:hAnsi="宋体" w:eastAsia="宋体"/>
                <w:sz w:val="24"/>
                <w:szCs w:val="24"/>
              </w:rPr>
              <w:t>联系人：</w:t>
            </w:r>
            <w:r>
              <w:rPr>
                <w:rFonts w:hint="eastAsia" w:ascii="宋体" w:hAnsi="宋体" w:eastAsia="宋体"/>
                <w:sz w:val="24"/>
                <w:szCs w:val="24"/>
                <w:lang w:val="en-US" w:eastAsia="zh-CN"/>
              </w:rPr>
              <w:t>陈国胜</w:t>
            </w:r>
          </w:p>
          <w:p w14:paraId="70ED5C4C">
            <w:pPr>
              <w:spacing w:line="440" w:lineRule="exact"/>
              <w:rPr>
                <w:rFonts w:hint="default" w:ascii="宋体" w:hAnsi="宋体" w:eastAsia="宋体"/>
                <w:sz w:val="24"/>
                <w:szCs w:val="24"/>
                <w:lang w:val="en-US" w:eastAsia="zh-CN"/>
              </w:rPr>
            </w:pPr>
            <w:r>
              <w:rPr>
                <w:rFonts w:hint="eastAsia" w:ascii="宋体" w:hAnsi="宋体" w:eastAsia="宋体"/>
                <w:sz w:val="24"/>
                <w:szCs w:val="24"/>
              </w:rPr>
              <w:t>电话：</w:t>
            </w:r>
            <w:r>
              <w:rPr>
                <w:rFonts w:hint="eastAsia" w:ascii="宋体" w:hAnsi="宋体" w:eastAsia="宋体"/>
                <w:sz w:val="24"/>
                <w:szCs w:val="24"/>
                <w:lang w:val="en-US" w:eastAsia="zh-CN"/>
              </w:rPr>
              <w:t>15122545085</w:t>
            </w:r>
          </w:p>
          <w:p w14:paraId="7A8E7992">
            <w:pPr>
              <w:spacing w:line="440" w:lineRule="exact"/>
              <w:rPr>
                <w:rFonts w:ascii="宋体" w:hAnsi="宋体" w:eastAsia="宋体"/>
                <w:sz w:val="24"/>
                <w:szCs w:val="24"/>
              </w:rPr>
            </w:pPr>
            <w:r>
              <w:rPr>
                <w:rFonts w:hint="eastAsia" w:ascii="宋体" w:hAnsi="宋体" w:eastAsia="宋体"/>
                <w:sz w:val="24"/>
                <w:szCs w:val="24"/>
              </w:rPr>
              <w:t>邮箱：</w:t>
            </w:r>
            <w:r>
              <w:rPr>
                <w:rFonts w:hint="eastAsia" w:ascii="宋体" w:hAnsi="宋体" w:eastAsia="宋体"/>
                <w:sz w:val="24"/>
                <w:szCs w:val="24"/>
                <w:lang w:val="en-US" w:eastAsia="zh-CN"/>
              </w:rPr>
              <w:t>chenguosheng</w:t>
            </w:r>
            <w:r>
              <w:rPr>
                <w:rFonts w:ascii="宋体" w:hAnsi="宋体" w:eastAsia="宋体"/>
                <w:sz w:val="24"/>
                <w:szCs w:val="24"/>
              </w:rPr>
              <w:t>@</w:t>
            </w:r>
            <w:r>
              <w:rPr>
                <w:rFonts w:hint="eastAsia" w:ascii="宋体" w:hAnsi="宋体" w:eastAsia="宋体"/>
                <w:sz w:val="24"/>
                <w:szCs w:val="24"/>
              </w:rPr>
              <w:t>crb</w:t>
            </w:r>
            <w:r>
              <w:rPr>
                <w:rFonts w:ascii="宋体" w:hAnsi="宋体" w:eastAsia="宋体"/>
                <w:sz w:val="24"/>
                <w:szCs w:val="24"/>
              </w:rPr>
              <w:t>.cn</w:t>
            </w:r>
          </w:p>
        </w:tc>
      </w:tr>
      <w:tr w14:paraId="4DB1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823421A">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7BABCF03">
            <w:pPr>
              <w:spacing w:line="440" w:lineRule="exact"/>
              <w:jc w:val="center"/>
              <w:rPr>
                <w:rFonts w:ascii="宋体" w:hAnsi="宋体" w:eastAsia="宋体"/>
                <w:sz w:val="24"/>
                <w:szCs w:val="24"/>
              </w:rPr>
            </w:pPr>
            <w:r>
              <w:rPr>
                <w:rFonts w:hint="eastAsia" w:ascii="宋体" w:hAnsi="宋体" w:eastAsia="宋体"/>
                <w:sz w:val="24"/>
                <w:szCs w:val="24"/>
              </w:rPr>
              <w:t>采购方式</w:t>
            </w:r>
          </w:p>
        </w:tc>
        <w:tc>
          <w:tcPr>
            <w:tcW w:w="5475" w:type="dxa"/>
            <w:vAlign w:val="center"/>
          </w:tcPr>
          <w:p w14:paraId="093191C4">
            <w:pPr>
              <w:spacing w:line="440" w:lineRule="exact"/>
              <w:rPr>
                <w:rFonts w:ascii="宋体" w:hAnsi="宋体" w:eastAsia="宋体"/>
                <w:sz w:val="24"/>
                <w:szCs w:val="24"/>
              </w:rPr>
            </w:pPr>
            <w:r>
              <w:rPr>
                <w:rFonts w:hint="eastAsia" w:ascii="宋体" w:hAnsi="宋体" w:eastAsia="宋体"/>
                <w:sz w:val="24"/>
                <w:szCs w:val="24"/>
              </w:rPr>
              <w:t>公开询价</w:t>
            </w:r>
          </w:p>
        </w:tc>
      </w:tr>
      <w:tr w14:paraId="7199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7300697">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4879A566">
            <w:pPr>
              <w:spacing w:line="440" w:lineRule="exact"/>
              <w:jc w:val="center"/>
              <w:rPr>
                <w:rFonts w:ascii="宋体" w:hAnsi="宋体" w:eastAsia="宋体"/>
                <w:sz w:val="24"/>
                <w:szCs w:val="24"/>
              </w:rPr>
            </w:pPr>
            <w:r>
              <w:rPr>
                <w:rFonts w:hint="eastAsia" w:ascii="宋体" w:hAnsi="宋体" w:eastAsia="宋体"/>
                <w:sz w:val="24"/>
                <w:szCs w:val="24"/>
              </w:rPr>
              <w:t>采购范围</w:t>
            </w:r>
          </w:p>
        </w:tc>
        <w:tc>
          <w:tcPr>
            <w:tcW w:w="5475" w:type="dxa"/>
            <w:vAlign w:val="center"/>
          </w:tcPr>
          <w:p w14:paraId="7DCB0C06">
            <w:pPr>
              <w:tabs>
                <w:tab w:val="left" w:pos="567"/>
                <w:tab w:val="left" w:pos="1276"/>
              </w:tabs>
              <w:spacing w:line="440" w:lineRule="exact"/>
              <w:rPr>
                <w:rFonts w:ascii="宋体" w:hAnsi="宋体" w:eastAsia="宋体"/>
                <w:sz w:val="24"/>
                <w:szCs w:val="24"/>
              </w:rPr>
            </w:pPr>
            <w:r>
              <w:rPr>
                <w:rFonts w:hint="eastAsia" w:ascii="宋体" w:hAnsi="宋体" w:eastAsia="宋体"/>
                <w:color w:val="000000"/>
                <w:kern w:val="0"/>
                <w:sz w:val="24"/>
                <w:szCs w:val="24"/>
              </w:rPr>
              <w:t>滨海工厂有害生物防治项目</w:t>
            </w:r>
          </w:p>
        </w:tc>
      </w:tr>
      <w:tr w14:paraId="5F40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DF0CE3B">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3A2481BB">
            <w:pPr>
              <w:spacing w:line="440" w:lineRule="exact"/>
              <w:jc w:val="center"/>
              <w:rPr>
                <w:rFonts w:ascii="宋体" w:hAnsi="宋体" w:eastAsia="宋体"/>
                <w:sz w:val="24"/>
                <w:szCs w:val="24"/>
              </w:rPr>
            </w:pPr>
            <w:r>
              <w:rPr>
                <w:rFonts w:hint="eastAsia" w:ascii="宋体" w:hAnsi="宋体" w:eastAsia="宋体"/>
                <w:sz w:val="24"/>
                <w:szCs w:val="24"/>
              </w:rPr>
              <w:t>计划工期/交货期/服务期</w:t>
            </w:r>
          </w:p>
        </w:tc>
        <w:tc>
          <w:tcPr>
            <w:tcW w:w="5475" w:type="dxa"/>
            <w:vAlign w:val="center"/>
          </w:tcPr>
          <w:p w14:paraId="2591A3AC">
            <w:pPr>
              <w:tabs>
                <w:tab w:val="left" w:pos="567"/>
                <w:tab w:val="left" w:pos="1276"/>
              </w:tabs>
              <w:spacing w:line="440" w:lineRule="exact"/>
              <w:rPr>
                <w:rFonts w:ascii="宋体" w:hAnsi="宋体" w:eastAsia="宋体" w:cstheme="minorEastAsia"/>
                <w:sz w:val="24"/>
                <w:szCs w:val="24"/>
              </w:rPr>
            </w:pPr>
            <w:r>
              <w:rPr>
                <w:rFonts w:hint="eastAsia" w:ascii="宋体" w:hAnsi="宋体" w:eastAsia="宋体" w:cstheme="minorEastAsia"/>
                <w:sz w:val="24"/>
                <w:szCs w:val="24"/>
              </w:rPr>
              <w:t>服务合同期为</w:t>
            </w:r>
            <w:r>
              <w:rPr>
                <w:rFonts w:hint="eastAsia" w:ascii="宋体" w:hAnsi="宋体" w:eastAsia="宋体" w:cs="等线"/>
                <w:kern w:val="0"/>
                <w:sz w:val="24"/>
                <w:szCs w:val="24"/>
              </w:rPr>
              <w:t>202</w:t>
            </w:r>
            <w:r>
              <w:rPr>
                <w:rFonts w:hint="eastAsia" w:ascii="宋体" w:hAnsi="宋体" w:eastAsia="宋体" w:cs="等线"/>
                <w:kern w:val="0"/>
                <w:sz w:val="24"/>
                <w:szCs w:val="24"/>
                <w:lang w:val="en-US" w:eastAsia="zh-CN"/>
              </w:rPr>
              <w:t>6</w:t>
            </w:r>
            <w:r>
              <w:rPr>
                <w:rFonts w:hint="eastAsia" w:ascii="宋体" w:hAnsi="宋体" w:eastAsia="宋体" w:cs="等线"/>
                <w:kern w:val="0"/>
                <w:sz w:val="24"/>
                <w:szCs w:val="24"/>
              </w:rPr>
              <w:t>年7月1日至202</w:t>
            </w:r>
            <w:r>
              <w:rPr>
                <w:rFonts w:hint="eastAsia" w:ascii="宋体" w:hAnsi="宋体" w:eastAsia="宋体" w:cs="等线"/>
                <w:kern w:val="0"/>
                <w:sz w:val="24"/>
                <w:szCs w:val="24"/>
                <w:lang w:val="en-US" w:eastAsia="zh-CN"/>
              </w:rPr>
              <w:t>7</w:t>
            </w:r>
            <w:r>
              <w:rPr>
                <w:rFonts w:hint="eastAsia" w:ascii="宋体" w:hAnsi="宋体" w:eastAsia="宋体" w:cs="等线"/>
                <w:kern w:val="0"/>
                <w:sz w:val="24"/>
                <w:szCs w:val="24"/>
              </w:rPr>
              <w:t>年6月30日</w:t>
            </w:r>
          </w:p>
        </w:tc>
      </w:tr>
      <w:tr w14:paraId="02AB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3560F6">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7BD5A78A">
            <w:pPr>
              <w:spacing w:line="440" w:lineRule="exact"/>
              <w:jc w:val="center"/>
              <w:rPr>
                <w:rFonts w:ascii="宋体" w:hAnsi="宋体" w:eastAsia="宋体"/>
                <w:sz w:val="24"/>
                <w:szCs w:val="24"/>
              </w:rPr>
            </w:pPr>
            <w:r>
              <w:rPr>
                <w:rFonts w:hint="eastAsia" w:ascii="宋体" w:hAnsi="宋体" w:eastAsia="宋体"/>
                <w:sz w:val="24"/>
                <w:szCs w:val="24"/>
              </w:rPr>
              <w:t>供应商资格要求</w:t>
            </w:r>
          </w:p>
        </w:tc>
        <w:tc>
          <w:tcPr>
            <w:tcW w:w="5475" w:type="dxa"/>
            <w:vAlign w:val="center"/>
          </w:tcPr>
          <w:p w14:paraId="3B6FB8BD">
            <w:pPr>
              <w:tabs>
                <w:tab w:val="left" w:pos="993"/>
              </w:tabs>
              <w:spacing w:line="440" w:lineRule="exact"/>
              <w:rPr>
                <w:rFonts w:ascii="宋体" w:hAnsi="宋体" w:eastAsia="宋体" w:cs="宋体"/>
                <w:kern w:val="0"/>
                <w:sz w:val="24"/>
                <w:szCs w:val="24"/>
              </w:rPr>
            </w:pPr>
            <w:r>
              <w:rPr>
                <w:rFonts w:hint="eastAsia" w:ascii="宋体" w:hAnsi="宋体" w:eastAsia="宋体"/>
                <w:sz w:val="24"/>
                <w:szCs w:val="24"/>
              </w:rPr>
              <w:t>供应商必须具备的资格条件</w:t>
            </w:r>
            <w:r>
              <w:rPr>
                <w:rFonts w:hint="eastAsia" w:ascii="宋体" w:hAnsi="宋体" w:eastAsia="宋体" w:cs="宋体"/>
                <w:kern w:val="0"/>
                <w:sz w:val="24"/>
                <w:szCs w:val="24"/>
              </w:rPr>
              <w:t>：</w:t>
            </w:r>
          </w:p>
          <w:p w14:paraId="5F6DEE4D">
            <w:pPr>
              <w:tabs>
                <w:tab w:val="left" w:pos="993"/>
              </w:tabs>
              <w:spacing w:line="360" w:lineRule="auto"/>
              <w:rPr>
                <w:rFonts w:ascii="宋体" w:hAnsi="宋体" w:eastAsia="宋体"/>
                <w:bCs/>
                <w:sz w:val="24"/>
                <w:szCs w:val="24"/>
              </w:rPr>
            </w:pPr>
            <w:r>
              <w:rPr>
                <w:rFonts w:hint="eastAsia" w:ascii="宋体" w:hAnsi="宋体" w:eastAsia="宋体"/>
                <w:bCs/>
                <w:sz w:val="24"/>
                <w:szCs w:val="24"/>
              </w:rPr>
              <w:t>（1）必须为在中国境内注册的具有独立法人资格的企业或事业单位，此项目需要频繁到公司进行作业，且有定期作业和临时需求作业，公司需满足此要求</w:t>
            </w:r>
          </w:p>
          <w:p w14:paraId="175BE5CE">
            <w:pPr>
              <w:tabs>
                <w:tab w:val="left" w:pos="993"/>
              </w:tabs>
              <w:spacing w:line="360" w:lineRule="auto"/>
              <w:rPr>
                <w:rFonts w:ascii="宋体" w:hAnsi="宋体" w:eastAsia="宋体"/>
                <w:bCs/>
                <w:sz w:val="24"/>
                <w:szCs w:val="24"/>
              </w:rPr>
            </w:pPr>
            <w:r>
              <w:rPr>
                <w:rFonts w:hint="eastAsia" w:ascii="宋体" w:hAnsi="宋体" w:eastAsia="宋体"/>
                <w:bCs/>
                <w:sz w:val="24"/>
                <w:szCs w:val="24"/>
              </w:rPr>
              <w:t>（2）提</w:t>
            </w:r>
            <w:r>
              <w:rPr>
                <w:rFonts w:hint="eastAsia" w:ascii="宋体" w:hAnsi="宋体" w:eastAsia="宋体" w:cs="宋体"/>
                <w:sz w:val="24"/>
              </w:rPr>
              <w:t>供公司新版营业执照</w:t>
            </w:r>
            <w:r>
              <w:rPr>
                <w:rFonts w:hint="eastAsia" w:ascii="宋体" w:hAnsi="宋体" w:eastAsia="宋体"/>
                <w:bCs/>
                <w:sz w:val="24"/>
                <w:szCs w:val="24"/>
              </w:rPr>
              <w:t>或事业单位法人证书及开户行许可证</w:t>
            </w:r>
            <w:r>
              <w:rPr>
                <w:rFonts w:hint="eastAsia" w:ascii="宋体" w:hAnsi="宋体" w:eastAsia="宋体" w:cs="宋体"/>
                <w:sz w:val="24"/>
                <w:szCs w:val="24"/>
              </w:rPr>
              <w:t>，资质中 具备</w:t>
            </w:r>
            <w:r>
              <w:rPr>
                <w:rFonts w:hint="eastAsia" w:ascii="宋体" w:hAnsi="宋体" w:eastAsia="宋体"/>
                <w:bCs/>
                <w:sz w:val="24"/>
                <w:szCs w:val="24"/>
              </w:rPr>
              <w:t>卫生防疫、病媒生物防治等</w:t>
            </w:r>
            <w:r>
              <w:rPr>
                <w:rFonts w:hint="eastAsia" w:ascii="宋体" w:hAnsi="宋体" w:eastAsia="宋体" w:cs="宋体"/>
                <w:sz w:val="24"/>
                <w:szCs w:val="24"/>
              </w:rPr>
              <w:t>项目，其经营范围与所承包业务内容相符</w:t>
            </w:r>
            <w:r>
              <w:rPr>
                <w:rFonts w:hint="eastAsia" w:ascii="宋体" w:hAnsi="宋体" w:eastAsia="宋体"/>
                <w:bCs/>
                <w:sz w:val="24"/>
                <w:szCs w:val="24"/>
              </w:rPr>
              <w:t>；</w:t>
            </w:r>
          </w:p>
          <w:p w14:paraId="3B8BBD8B">
            <w:pPr>
              <w:tabs>
                <w:tab w:val="left" w:pos="720"/>
              </w:tabs>
              <w:adjustRightInd w:val="0"/>
              <w:snapToGrid w:val="0"/>
              <w:spacing w:line="440" w:lineRule="exact"/>
              <w:rPr>
                <w:rFonts w:ascii="宋体" w:hAnsi="宋体" w:eastAsia="宋体"/>
                <w:bCs/>
                <w:sz w:val="24"/>
                <w:szCs w:val="24"/>
              </w:rPr>
            </w:pPr>
            <w:r>
              <w:rPr>
                <w:rFonts w:hint="eastAsia" w:ascii="宋体" w:hAnsi="宋体" w:eastAsia="宋体"/>
                <w:bCs/>
                <w:sz w:val="24"/>
                <w:szCs w:val="24"/>
              </w:rPr>
              <w:t>（3）由于此项目除需满足国家法律法规要求，还需满足地方法律法规及政府部门要求，因此需要具有天津市爱卫颁发的天津市从事病媒生物防治专业经营服务行政许可证；</w:t>
            </w:r>
          </w:p>
          <w:p w14:paraId="7AF34FB0">
            <w:pPr>
              <w:tabs>
                <w:tab w:val="left" w:pos="720"/>
              </w:tabs>
              <w:adjustRightInd w:val="0"/>
              <w:snapToGrid w:val="0"/>
              <w:spacing w:line="440" w:lineRule="exac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（4）从业人员需持有有害生物防治员国家职业资格证三级、四级和五级证书及食品从业人员健康证；</w:t>
            </w:r>
          </w:p>
          <w:p w14:paraId="63451D1A">
            <w:pPr>
              <w:tabs>
                <w:tab w:val="left" w:pos="720"/>
              </w:tabs>
              <w:adjustRightInd w:val="0"/>
              <w:snapToGrid w:val="0"/>
              <w:spacing w:line="440" w:lineRule="exact"/>
              <w:rPr>
                <w:rFonts w:ascii="宋体" w:hAnsi="宋体" w:eastAsia="宋体"/>
                <w:bCs/>
                <w:sz w:val="24"/>
                <w:szCs w:val="24"/>
              </w:rPr>
            </w:pPr>
            <w:r>
              <w:rPr>
                <w:rFonts w:hint="eastAsia" w:ascii="宋体" w:hAnsi="宋体" w:eastAsia="宋体"/>
                <w:bCs/>
                <w:sz w:val="24"/>
                <w:szCs w:val="24"/>
              </w:rPr>
              <w:t>（5）有食品生产企业服务经验，能够进行特殊虫种（跳蚤、臭虫等）灭杀。</w:t>
            </w:r>
          </w:p>
          <w:p w14:paraId="6D7A6C8C">
            <w:pPr>
              <w:tabs>
                <w:tab w:val="left" w:pos="567"/>
              </w:tabs>
              <w:adjustRightInd w:val="0"/>
              <w:snapToGrid w:val="0"/>
              <w:spacing w:line="440" w:lineRule="exact"/>
              <w:jc w:val="left"/>
              <w:rPr>
                <w:rFonts w:ascii="宋体" w:hAnsi="宋体" w:eastAsia="宋体"/>
                <w:bCs/>
                <w:sz w:val="24"/>
                <w:szCs w:val="24"/>
              </w:rPr>
            </w:pPr>
            <w:r>
              <w:rPr>
                <w:rFonts w:hint="eastAsia" w:ascii="宋体" w:hAnsi="宋体" w:eastAsia="宋体"/>
                <w:bCs/>
                <w:sz w:val="24"/>
                <w:szCs w:val="24"/>
              </w:rPr>
              <w:t>（6）作业过程中使用药品须有药品安全资料（MSDS），并且提供药品采购证明。</w:t>
            </w:r>
          </w:p>
          <w:p w14:paraId="4E8941BB">
            <w:pPr>
              <w:tabs>
                <w:tab w:val="left" w:pos="993"/>
              </w:tabs>
              <w:spacing w:line="360" w:lineRule="auto"/>
              <w:rPr>
                <w:rFonts w:ascii="宋体" w:hAnsi="宋体" w:eastAsia="宋体"/>
                <w:bCs/>
                <w:sz w:val="24"/>
                <w:szCs w:val="24"/>
              </w:rPr>
            </w:pPr>
          </w:p>
        </w:tc>
      </w:tr>
      <w:tr w14:paraId="50A2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391F62E">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619E05C5">
            <w:pPr>
              <w:spacing w:line="440" w:lineRule="exact"/>
              <w:jc w:val="center"/>
              <w:rPr>
                <w:rFonts w:ascii="宋体" w:hAnsi="宋体" w:eastAsia="宋体"/>
                <w:sz w:val="24"/>
                <w:szCs w:val="24"/>
              </w:rPr>
            </w:pPr>
            <w:r>
              <w:rPr>
                <w:rFonts w:hint="eastAsia" w:ascii="宋体" w:hAnsi="宋体" w:eastAsia="宋体"/>
                <w:sz w:val="24"/>
                <w:szCs w:val="24"/>
              </w:rPr>
              <w:t>响应有效期</w:t>
            </w:r>
          </w:p>
        </w:tc>
        <w:tc>
          <w:tcPr>
            <w:tcW w:w="5475" w:type="dxa"/>
            <w:vAlign w:val="center"/>
          </w:tcPr>
          <w:p w14:paraId="06504637">
            <w:pPr>
              <w:spacing w:line="440" w:lineRule="exact"/>
              <w:rPr>
                <w:rFonts w:ascii="宋体" w:hAnsi="宋体" w:eastAsia="宋体"/>
                <w:sz w:val="24"/>
                <w:szCs w:val="24"/>
              </w:rPr>
            </w:pPr>
            <w:r>
              <w:rPr>
                <w:rFonts w:hint="eastAsia" w:ascii="宋体" w:hAnsi="宋体" w:eastAsia="宋体"/>
                <w:sz w:val="24"/>
                <w:szCs w:val="24"/>
              </w:rPr>
              <w:t>自提交响应文件截止之日起</w:t>
            </w:r>
            <w:r>
              <w:rPr>
                <w:rFonts w:hint="eastAsia" w:ascii="宋体" w:hAnsi="宋体" w:eastAsia="宋体"/>
                <w:color w:val="4472C4" w:themeColor="accent1"/>
                <w:sz w:val="24"/>
                <w:szCs w:val="24"/>
                <w:u w:val="single"/>
                <w14:textFill>
                  <w14:solidFill>
                    <w14:schemeClr w14:val="accent1"/>
                  </w14:solidFill>
                </w14:textFill>
              </w:rPr>
              <w:t xml:space="preserve"> </w:t>
            </w:r>
            <w:r>
              <w:rPr>
                <w:rFonts w:ascii="宋体" w:hAnsi="宋体" w:eastAsia="宋体"/>
                <w:color w:val="4472C4" w:themeColor="accent1"/>
                <w:sz w:val="24"/>
                <w:szCs w:val="24"/>
                <w:u w:val="single"/>
                <w14:textFill>
                  <w14:solidFill>
                    <w14:schemeClr w14:val="accent1"/>
                  </w14:solidFill>
                </w14:textFill>
              </w:rPr>
              <w:t xml:space="preserve">60 </w:t>
            </w:r>
            <w:r>
              <w:rPr>
                <w:rFonts w:hint="eastAsia" w:ascii="宋体" w:hAnsi="宋体" w:eastAsia="宋体"/>
                <w:sz w:val="24"/>
                <w:szCs w:val="24"/>
              </w:rPr>
              <w:t>日历天</w:t>
            </w:r>
          </w:p>
        </w:tc>
      </w:tr>
      <w:tr w14:paraId="0219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155E82">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74D7955D">
            <w:pPr>
              <w:spacing w:line="440" w:lineRule="exact"/>
              <w:jc w:val="center"/>
              <w:rPr>
                <w:rFonts w:ascii="宋体" w:hAnsi="宋体" w:eastAsia="宋体"/>
                <w:sz w:val="24"/>
                <w:szCs w:val="24"/>
              </w:rPr>
            </w:pPr>
            <w:r>
              <w:rPr>
                <w:rFonts w:hint="eastAsia" w:ascii="宋体" w:hAnsi="宋体" w:eastAsia="宋体"/>
                <w:sz w:val="24"/>
                <w:szCs w:val="24"/>
              </w:rPr>
              <w:t>提交响应文件的方式和截止时间</w:t>
            </w:r>
          </w:p>
        </w:tc>
        <w:tc>
          <w:tcPr>
            <w:tcW w:w="5475" w:type="dxa"/>
            <w:vAlign w:val="center"/>
          </w:tcPr>
          <w:p w14:paraId="0D89FF75">
            <w:pPr>
              <w:spacing w:line="440" w:lineRule="exact"/>
              <w:rPr>
                <w:rFonts w:ascii="宋体" w:hAnsi="宋体" w:eastAsia="宋体"/>
                <w:sz w:val="24"/>
                <w:szCs w:val="24"/>
              </w:rPr>
            </w:pPr>
            <w:r>
              <w:rPr>
                <w:rFonts w:hint="eastAsia" w:ascii="宋体" w:hAnsi="宋体" w:eastAsia="宋体"/>
                <w:sz w:val="24"/>
                <w:szCs w:val="24"/>
              </w:rPr>
              <w:t>见采购公告/邀请书</w:t>
            </w:r>
          </w:p>
        </w:tc>
      </w:tr>
      <w:tr w14:paraId="653D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F4D5B8">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3DB7AED0">
            <w:pPr>
              <w:spacing w:line="440" w:lineRule="exact"/>
              <w:jc w:val="center"/>
              <w:rPr>
                <w:rFonts w:ascii="宋体" w:hAnsi="宋体" w:eastAsia="宋体"/>
                <w:sz w:val="24"/>
                <w:szCs w:val="24"/>
              </w:rPr>
            </w:pPr>
            <w:r>
              <w:rPr>
                <w:rFonts w:hint="eastAsia" w:ascii="宋体" w:hAnsi="宋体" w:eastAsia="宋体"/>
                <w:sz w:val="24"/>
                <w:szCs w:val="24"/>
              </w:rPr>
              <w:t>付款方式</w:t>
            </w:r>
          </w:p>
        </w:tc>
        <w:tc>
          <w:tcPr>
            <w:tcW w:w="5475" w:type="dxa"/>
            <w:vAlign w:val="center"/>
          </w:tcPr>
          <w:p w14:paraId="4ABA3987">
            <w:pPr>
              <w:tabs>
                <w:tab w:val="left" w:pos="1260"/>
              </w:tabs>
              <w:snapToGrid w:val="0"/>
              <w:spacing w:line="440" w:lineRule="exact"/>
              <w:rPr>
                <w:rFonts w:ascii="宋体" w:hAnsi="宋体" w:eastAsia="宋体"/>
                <w:sz w:val="24"/>
                <w:szCs w:val="24"/>
              </w:rPr>
            </w:pPr>
            <w:r>
              <w:rPr>
                <w:rFonts w:hint="eastAsia" w:ascii="宋体" w:hAnsi="宋体" w:eastAsia="宋体"/>
                <w:bCs/>
                <w:kern w:val="0"/>
                <w:sz w:val="24"/>
                <w:szCs w:val="24"/>
              </w:rPr>
              <w:t>乙方对甲方工厂进行有害生物防治服务，并填写作业记录。甲方按季度给乙方结算费用。乙方每季度结束后，开具增值税专用发票（税率6%），甲方收到发票后，发票经财务审查无误后7日内付全款。</w:t>
            </w:r>
          </w:p>
        </w:tc>
      </w:tr>
      <w:tr w14:paraId="1C13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245F99E">
            <w:pPr>
              <w:pStyle w:val="18"/>
              <w:numPr>
                <w:ilvl w:val="0"/>
                <w:numId w:val="2"/>
              </w:numPr>
              <w:spacing w:line="440" w:lineRule="exact"/>
              <w:ind w:firstLineChars="0"/>
              <w:jc w:val="center"/>
              <w:rPr>
                <w:rFonts w:ascii="宋体" w:hAnsi="宋体" w:eastAsia="宋体"/>
                <w:sz w:val="24"/>
                <w:szCs w:val="24"/>
              </w:rPr>
            </w:pPr>
          </w:p>
        </w:tc>
        <w:tc>
          <w:tcPr>
            <w:tcW w:w="1975" w:type="dxa"/>
            <w:vAlign w:val="center"/>
          </w:tcPr>
          <w:p w14:paraId="4185EBFA">
            <w:pPr>
              <w:spacing w:line="440" w:lineRule="exact"/>
              <w:jc w:val="center"/>
              <w:rPr>
                <w:rFonts w:ascii="宋体" w:hAnsi="宋体" w:eastAsia="宋体"/>
                <w:sz w:val="24"/>
                <w:szCs w:val="24"/>
              </w:rPr>
            </w:pPr>
            <w:r>
              <w:rPr>
                <w:rFonts w:hint="eastAsia" w:ascii="宋体" w:hAnsi="宋体" w:eastAsia="宋体"/>
                <w:sz w:val="24"/>
                <w:szCs w:val="24"/>
              </w:rPr>
              <w:t>其他事项</w:t>
            </w:r>
          </w:p>
        </w:tc>
        <w:tc>
          <w:tcPr>
            <w:tcW w:w="5475" w:type="dxa"/>
            <w:vAlign w:val="center"/>
          </w:tcPr>
          <w:p w14:paraId="23693D38">
            <w:pPr>
              <w:pStyle w:val="18"/>
              <w:numPr>
                <w:ilvl w:val="0"/>
                <w:numId w:val="3"/>
              </w:numPr>
              <w:spacing w:line="440" w:lineRule="exact"/>
              <w:ind w:left="0" w:firstLine="0" w:firstLineChars="0"/>
              <w:rPr>
                <w:rFonts w:hint="eastAsia" w:ascii="宋体" w:hAnsi="宋体" w:eastAsia="宋体"/>
                <w:sz w:val="24"/>
                <w:szCs w:val="24"/>
              </w:rPr>
            </w:pPr>
            <w:r>
              <w:rPr>
                <w:rFonts w:hint="eastAsia" w:ascii="宋体" w:hAnsi="宋体" w:eastAsia="宋体"/>
                <w:sz w:val="24"/>
                <w:szCs w:val="24"/>
              </w:rPr>
              <w:t>供应商应当遵守附件</w:t>
            </w:r>
            <w:r>
              <w:rPr>
                <w:rFonts w:hint="eastAsia" w:ascii="宋体" w:hAnsi="宋体" w:eastAsia="宋体"/>
                <w:sz w:val="24"/>
                <w:szCs w:val="24"/>
                <w:lang w:val="en-US" w:eastAsia="zh-CN"/>
              </w:rPr>
              <w:t>《廉洁合规承诺书》《华润雪花承包商安全协议》</w:t>
            </w:r>
            <w:r>
              <w:rPr>
                <w:rFonts w:hint="eastAsia" w:ascii="宋体" w:hAnsi="宋体" w:eastAsia="宋体"/>
                <w:sz w:val="24"/>
                <w:szCs w:val="24"/>
              </w:rPr>
              <w:t>的规定。</w:t>
            </w:r>
          </w:p>
          <w:p w14:paraId="58CAD305">
            <w:pPr>
              <w:pStyle w:val="18"/>
              <w:numPr>
                <w:ilvl w:val="0"/>
                <w:numId w:val="3"/>
              </w:numPr>
              <w:spacing w:line="440" w:lineRule="exact"/>
              <w:ind w:left="0" w:firstLine="0" w:firstLineChars="0"/>
              <w:rPr>
                <w:rFonts w:ascii="宋体" w:hAnsi="宋体" w:eastAsia="宋体"/>
                <w:sz w:val="24"/>
                <w:szCs w:val="24"/>
              </w:rPr>
            </w:pPr>
            <w:r>
              <w:rPr>
                <w:rFonts w:ascii="宋体" w:hAnsi="宋体" w:eastAsia="宋体"/>
                <w:sz w:val="24"/>
                <w:szCs w:val="24"/>
              </w:rPr>
              <w:t>本项目采购通过</w:t>
            </w:r>
            <w:r>
              <w:rPr>
                <w:rFonts w:hint="eastAsia" w:ascii="宋体" w:hAnsi="宋体" w:eastAsia="宋体"/>
                <w:sz w:val="24"/>
                <w:szCs w:val="24"/>
              </w:rPr>
              <w:t>华润集团守正电子招标采购平台（简称平台）</w:t>
            </w:r>
            <w:r>
              <w:rPr>
                <w:rFonts w:ascii="宋体" w:hAnsi="宋体" w:eastAsia="宋体"/>
                <w:sz w:val="24"/>
                <w:szCs w:val="24"/>
              </w:rPr>
              <w:t>线上进行，供应商需</w:t>
            </w:r>
            <w:r>
              <w:rPr>
                <w:rFonts w:hint="eastAsia" w:ascii="宋体" w:hAnsi="宋体" w:eastAsia="宋体"/>
                <w:sz w:val="24"/>
                <w:szCs w:val="24"/>
              </w:rPr>
              <w:t>在</w:t>
            </w:r>
            <w:r>
              <w:rPr>
                <w:rFonts w:ascii="宋体" w:hAnsi="宋体" w:eastAsia="宋体"/>
                <w:sz w:val="24"/>
                <w:szCs w:val="24"/>
              </w:rPr>
              <w:t>平台注册，通过平台递交响应文件</w:t>
            </w:r>
            <w:r>
              <w:rPr>
                <w:rFonts w:hint="eastAsia" w:ascii="宋体" w:hAnsi="宋体" w:eastAsia="宋体"/>
                <w:sz w:val="24"/>
                <w:szCs w:val="24"/>
              </w:rPr>
              <w:t>和</w:t>
            </w:r>
            <w:r>
              <w:rPr>
                <w:rFonts w:ascii="宋体" w:hAnsi="宋体" w:eastAsia="宋体"/>
                <w:sz w:val="24"/>
                <w:szCs w:val="24"/>
              </w:rPr>
              <w:t>报价</w:t>
            </w:r>
            <w:r>
              <w:rPr>
                <w:rFonts w:hint="eastAsia" w:ascii="宋体" w:hAnsi="宋体" w:eastAsia="宋体"/>
                <w:sz w:val="24"/>
                <w:szCs w:val="24"/>
              </w:rPr>
              <w:t>。</w:t>
            </w:r>
            <w:r>
              <w:rPr>
                <w:rFonts w:ascii="宋体" w:hAnsi="宋体" w:eastAsia="宋体"/>
                <w:sz w:val="24"/>
                <w:szCs w:val="24"/>
              </w:rPr>
              <w:t>具体操作步骤可查阅</w:t>
            </w:r>
            <w:r>
              <w:rPr>
                <w:rFonts w:hint="eastAsia" w:ascii="宋体" w:hAnsi="宋体" w:eastAsia="宋体"/>
                <w:sz w:val="24"/>
                <w:szCs w:val="24"/>
              </w:rPr>
              <w:t>平台</w:t>
            </w:r>
            <w:r>
              <w:rPr>
                <w:rFonts w:ascii="宋体" w:hAnsi="宋体" w:eastAsia="宋体"/>
                <w:sz w:val="24"/>
                <w:szCs w:val="24"/>
              </w:rPr>
              <w:t>网站首页帮助中心的操作手册，也可联系守正客服。</w:t>
            </w:r>
          </w:p>
          <w:p w14:paraId="6DF3ED09">
            <w:pPr>
              <w:spacing w:line="440" w:lineRule="exact"/>
              <w:rPr>
                <w:rFonts w:ascii="宋体" w:hAnsi="宋体" w:eastAsia="宋体"/>
                <w:sz w:val="24"/>
                <w:szCs w:val="24"/>
              </w:rPr>
            </w:pPr>
            <w:r>
              <w:rPr>
                <w:rFonts w:ascii="宋体" w:hAnsi="宋体" w:eastAsia="宋体"/>
                <w:sz w:val="24"/>
                <w:szCs w:val="24"/>
              </w:rPr>
              <w:t>答疑澄清等文件一经平台发布，视为已发放给相应供应商，请随时关注平台发布的相关信息，并及时查阅和处理。</w:t>
            </w:r>
          </w:p>
        </w:tc>
      </w:tr>
    </w:tbl>
    <w:p w14:paraId="36493B47">
      <w:pPr>
        <w:spacing w:line="440" w:lineRule="exact"/>
        <w:rPr>
          <w:rFonts w:ascii="宋体" w:hAnsi="宋体" w:eastAsia="宋体"/>
          <w:sz w:val="24"/>
          <w:szCs w:val="24"/>
        </w:rPr>
      </w:pPr>
      <w:r>
        <w:rPr>
          <w:rFonts w:ascii="宋体" w:hAnsi="宋体" w:eastAsia="宋体"/>
          <w:sz w:val="24"/>
          <w:szCs w:val="24"/>
        </w:rPr>
        <w:br w:type="page"/>
      </w:r>
    </w:p>
    <w:p w14:paraId="201E423E">
      <w:pPr>
        <w:spacing w:after="312" w:afterLines="100" w:line="440" w:lineRule="exact"/>
        <w:jc w:val="center"/>
        <w:outlineLvl w:val="0"/>
        <w:rPr>
          <w:rFonts w:ascii="宋体" w:hAnsi="宋体" w:eastAsia="宋体"/>
          <w:b/>
          <w:bCs/>
          <w:sz w:val="32"/>
          <w:szCs w:val="24"/>
        </w:rPr>
      </w:pPr>
      <w:r>
        <w:rPr>
          <w:rFonts w:hint="eastAsia" w:ascii="宋体" w:hAnsi="宋体" w:eastAsia="宋体"/>
          <w:b/>
          <w:bCs/>
          <w:sz w:val="32"/>
          <w:szCs w:val="24"/>
        </w:rPr>
        <w:t>第二卷 响应文件格式</w:t>
      </w:r>
    </w:p>
    <w:p w14:paraId="0516921C">
      <w:pPr>
        <w:pStyle w:val="18"/>
        <w:numPr>
          <w:ilvl w:val="0"/>
          <w:numId w:val="4"/>
        </w:numPr>
        <w:spacing w:line="440" w:lineRule="exact"/>
        <w:ind w:left="0" w:firstLine="482"/>
        <w:rPr>
          <w:rFonts w:ascii="宋体" w:hAnsi="宋体" w:eastAsia="宋体"/>
          <w:b/>
          <w:iCs/>
          <w:sz w:val="24"/>
          <w:szCs w:val="24"/>
        </w:rPr>
      </w:pPr>
      <w:r>
        <w:rPr>
          <w:rFonts w:hint="eastAsia" w:ascii="宋体" w:hAnsi="宋体" w:eastAsia="宋体"/>
          <w:b/>
          <w:iCs/>
          <w:sz w:val="24"/>
          <w:szCs w:val="24"/>
        </w:rPr>
        <w:t>报价表</w:t>
      </w:r>
    </w:p>
    <w:p w14:paraId="67924E21">
      <w:pPr>
        <w:spacing w:line="400" w:lineRule="atLeast"/>
        <w:rPr>
          <w:rFonts w:ascii="宋体" w:hAnsi="宋体" w:eastAsia="宋体"/>
          <w:color w:val="000000"/>
          <w:sz w:val="24"/>
          <w:szCs w:val="24"/>
        </w:rPr>
      </w:pPr>
      <w:r>
        <w:rPr>
          <w:rFonts w:hint="eastAsia" w:ascii="宋体" w:hAnsi="宋体" w:eastAsia="宋体"/>
          <w:color w:val="000000"/>
          <w:sz w:val="24"/>
          <w:szCs w:val="24"/>
        </w:rPr>
        <w:t>一、乙方服务的区域及范围：（见附件1防控图）</w:t>
      </w:r>
    </w:p>
    <w:p w14:paraId="72CC493D">
      <w:pPr>
        <w:pStyle w:val="18"/>
        <w:numPr>
          <w:ilvl w:val="0"/>
          <w:numId w:val="5"/>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室内环境</w:t>
      </w:r>
    </w:p>
    <w:p w14:paraId="22228FAA">
      <w:pPr>
        <w:spacing w:line="400" w:lineRule="atLeast"/>
        <w:ind w:left="480"/>
        <w:rPr>
          <w:rFonts w:ascii="宋体" w:hAnsi="宋体" w:eastAsia="宋体"/>
          <w:color w:val="000000"/>
          <w:sz w:val="24"/>
          <w:szCs w:val="24"/>
        </w:rPr>
      </w:pPr>
      <w:r>
        <w:rPr>
          <w:rFonts w:hint="eastAsia" w:ascii="宋体" w:hAnsi="宋体" w:eastAsia="宋体"/>
          <w:color w:val="000000"/>
          <w:sz w:val="24"/>
          <w:szCs w:val="24"/>
        </w:rPr>
        <w:t xml:space="preserve"> ①非生产区：办公楼及附属设施、职工宿舍及食堂。 ②生产区：原料库、上料车间、发酵车间、生产灌装车间、成品仓库。 </w:t>
      </w:r>
    </w:p>
    <w:p w14:paraId="22EE32D1">
      <w:pPr>
        <w:pStyle w:val="18"/>
        <w:numPr>
          <w:ilvl w:val="0"/>
          <w:numId w:val="5"/>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厂区外环境：外包装（空瓶、箱子）存放场地，场院、绿地、草坪、污水处理区、垃圾堆放处。</w:t>
      </w:r>
    </w:p>
    <w:p w14:paraId="27204F66">
      <w:pPr>
        <w:pStyle w:val="18"/>
        <w:numPr>
          <w:ilvl w:val="0"/>
          <w:numId w:val="5"/>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厂区内灭蝇灯更新：由乙方负责提供灭蝇灯及质保，甲方进行更换。</w:t>
      </w:r>
    </w:p>
    <w:p w14:paraId="1D92BCDF">
      <w:pPr>
        <w:spacing w:line="400" w:lineRule="atLeast"/>
        <w:rPr>
          <w:rFonts w:ascii="宋体" w:hAnsi="宋体" w:eastAsia="宋体"/>
          <w:color w:val="000000"/>
          <w:sz w:val="24"/>
          <w:szCs w:val="24"/>
        </w:rPr>
      </w:pPr>
      <w:r>
        <w:rPr>
          <w:rFonts w:hint="eastAsia" w:ascii="宋体" w:hAnsi="宋体" w:eastAsia="宋体"/>
          <w:color w:val="000000"/>
          <w:sz w:val="24"/>
          <w:szCs w:val="24"/>
        </w:rPr>
        <w:t>二、作业步骤及具体方法</w:t>
      </w:r>
    </w:p>
    <w:p w14:paraId="21646F0F">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施工前将施工方案报予甲方，经甲方认可后方可进行消杀作业。</w:t>
      </w:r>
    </w:p>
    <w:p w14:paraId="25056732">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使用大型车载超低容量喷雾器对该区域进行空间喷洒；</w:t>
      </w:r>
    </w:p>
    <w:p w14:paraId="5B54AD59">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 xml:space="preserve">使用大功率喷雾器对建筑外墙、绿化带及蚊蝇孳生地死角实施滞留喷洒； </w:t>
      </w:r>
    </w:p>
    <w:p w14:paraId="5A8B1469">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使用常量喷雾器对垃圾桶进行常量及滞留喷洒；</w:t>
      </w:r>
    </w:p>
    <w:p w14:paraId="249ADB42">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使用超低容量喷雾器对重点场所环境进行空间喷洒；</w:t>
      </w:r>
    </w:p>
    <w:p w14:paraId="63DA4805">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 xml:space="preserve">使用多功能超微粒雾化机对污水井、电缆井进行喷雾处理。 </w:t>
      </w:r>
    </w:p>
    <w:p w14:paraId="4809C7E0">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向蚊子孳生的水体内施放杀蚊幼药物。</w:t>
      </w:r>
    </w:p>
    <w:p w14:paraId="3A45B0F8">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投放鼠药，选择鼠道、鼠洞隐蔽处投放确保100％投放率和覆盖率 投放毒饵间隔5－10米，每堆10－20克。</w:t>
      </w:r>
    </w:p>
    <w:p w14:paraId="1EA2F6B5">
      <w:pPr>
        <w:pStyle w:val="18"/>
        <w:numPr>
          <w:ilvl w:val="0"/>
          <w:numId w:val="6"/>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重点地区生产车间要选用物理方法以保证食品安全。</w:t>
      </w:r>
    </w:p>
    <w:p w14:paraId="6CDF44B5">
      <w:pPr>
        <w:spacing w:line="400" w:lineRule="atLeast"/>
        <w:ind w:left="480"/>
        <w:rPr>
          <w:rFonts w:ascii="宋体" w:hAnsi="宋体" w:eastAsia="宋体"/>
          <w:color w:val="000000"/>
          <w:sz w:val="24"/>
          <w:szCs w:val="24"/>
        </w:rPr>
      </w:pPr>
      <w:r>
        <w:rPr>
          <w:rFonts w:hint="eastAsia" w:ascii="宋体" w:hAnsi="宋体" w:eastAsia="宋体"/>
          <w:color w:val="000000"/>
          <w:sz w:val="24"/>
          <w:szCs w:val="24"/>
        </w:rPr>
        <w:t>10、布放杀蟑毒饵，引诱杀灭作用，长期防控效果。</w:t>
      </w:r>
    </w:p>
    <w:p w14:paraId="4C5BD47B">
      <w:pPr>
        <w:spacing w:line="400" w:lineRule="atLeast"/>
        <w:rPr>
          <w:rFonts w:ascii="宋体" w:hAnsi="宋体" w:eastAsia="宋体"/>
          <w:color w:val="000000"/>
          <w:sz w:val="24"/>
          <w:szCs w:val="24"/>
        </w:rPr>
      </w:pPr>
      <w:r>
        <w:rPr>
          <w:rFonts w:hint="eastAsia" w:ascii="宋体" w:hAnsi="宋体" w:eastAsia="宋体"/>
          <w:color w:val="000000"/>
          <w:sz w:val="24"/>
          <w:szCs w:val="24"/>
        </w:rPr>
        <w:t>三、药品和器械</w:t>
      </w:r>
    </w:p>
    <w:p w14:paraId="79F34EEB">
      <w:pPr>
        <w:pStyle w:val="18"/>
        <w:numPr>
          <w:ilvl w:val="0"/>
          <w:numId w:val="7"/>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 xml:space="preserve">药物的选择：选择的药物，均适用于食品加工业的低毒、高效对人畜无害绿色环保的药物。均在国家相关部门登记注册。 </w:t>
      </w:r>
    </w:p>
    <w:p w14:paraId="06277E38">
      <w:pPr>
        <w:pStyle w:val="18"/>
        <w:numPr>
          <w:ilvl w:val="0"/>
          <w:numId w:val="7"/>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器械的选择：乙方根据作业环境、药品选用高效，环保进口或国产消杀器械，进行现场作业。</w:t>
      </w:r>
    </w:p>
    <w:p w14:paraId="2AA81F7E">
      <w:pPr>
        <w:spacing w:line="400" w:lineRule="atLeast"/>
        <w:rPr>
          <w:rFonts w:ascii="宋体" w:hAnsi="宋体" w:eastAsia="宋体"/>
          <w:color w:val="000000"/>
          <w:sz w:val="24"/>
          <w:szCs w:val="24"/>
        </w:rPr>
      </w:pPr>
      <w:r>
        <w:rPr>
          <w:rFonts w:hint="eastAsia" w:ascii="宋体" w:hAnsi="宋体" w:eastAsia="宋体"/>
          <w:color w:val="000000"/>
          <w:sz w:val="24"/>
          <w:szCs w:val="24"/>
        </w:rPr>
        <w:t>四、作业时间安排及作业内容：</w:t>
      </w:r>
    </w:p>
    <w:p w14:paraId="0ECCDBA0">
      <w:pPr>
        <w:pStyle w:val="18"/>
        <w:numPr>
          <w:ilvl w:val="0"/>
          <w:numId w:val="8"/>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4月至10月，每月作业4次，每次作业间隔不少于5天；</w:t>
      </w:r>
    </w:p>
    <w:p w14:paraId="64123B1A">
      <w:pPr>
        <w:pStyle w:val="18"/>
        <w:numPr>
          <w:ilvl w:val="0"/>
          <w:numId w:val="8"/>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11月至3月，每月作业2次，每次作业间隔不少于12天；</w:t>
      </w:r>
    </w:p>
    <w:p w14:paraId="2A723435">
      <w:pPr>
        <w:pStyle w:val="18"/>
        <w:numPr>
          <w:ilvl w:val="0"/>
          <w:numId w:val="8"/>
        </w:numPr>
        <w:spacing w:line="400" w:lineRule="atLeast"/>
        <w:ind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临时加急作业应随叫随到；</w:t>
      </w:r>
    </w:p>
    <w:p w14:paraId="7A498DF9">
      <w:pPr>
        <w:pStyle w:val="18"/>
        <w:numPr>
          <w:ilvl w:val="0"/>
          <w:numId w:val="8"/>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共计作业38次，具体作业时间双方协商。</w:t>
      </w:r>
    </w:p>
    <w:p w14:paraId="72D8768D">
      <w:pPr>
        <w:pStyle w:val="18"/>
        <w:numPr>
          <w:ilvl w:val="0"/>
          <w:numId w:val="8"/>
        </w:numPr>
        <w:spacing w:line="400" w:lineRule="atLeast"/>
        <w:ind w:firstLineChars="0"/>
        <w:rPr>
          <w:rFonts w:ascii="宋体" w:hAnsi="宋体" w:eastAsia="宋体"/>
          <w:color w:val="000000"/>
          <w:sz w:val="24"/>
          <w:szCs w:val="24"/>
        </w:rPr>
      </w:pPr>
      <w:r>
        <w:rPr>
          <w:rFonts w:hint="eastAsia" w:ascii="宋体" w:hAnsi="宋体" w:eastAsia="宋体"/>
          <w:color w:val="000000"/>
          <w:sz w:val="24"/>
          <w:szCs w:val="24"/>
        </w:rPr>
        <w:t>预计全年药品用量及人工次数见报价表</w:t>
      </w:r>
    </w:p>
    <w:p w14:paraId="0FAB68B0">
      <w:pPr>
        <w:spacing w:line="400" w:lineRule="atLeast"/>
        <w:rPr>
          <w:rFonts w:hint="eastAsia" w:ascii="宋体" w:hAnsi="宋体" w:eastAsia="宋体"/>
          <w:color w:val="000000"/>
          <w:sz w:val="24"/>
          <w:szCs w:val="24"/>
        </w:rPr>
      </w:pPr>
    </w:p>
    <w:p w14:paraId="271BAF98">
      <w:pPr>
        <w:pStyle w:val="18"/>
        <w:spacing w:line="440" w:lineRule="exact"/>
        <w:ind w:left="482" w:firstLine="0" w:firstLineChars="0"/>
        <w:rPr>
          <w:rFonts w:hint="eastAsia" w:ascii="宋体" w:hAnsi="宋体" w:eastAsia="宋体"/>
          <w:b/>
          <w:iCs/>
          <w:sz w:val="24"/>
          <w:szCs w:val="24"/>
        </w:rPr>
      </w:pPr>
      <w:r>
        <w:rPr>
          <w:rFonts w:hint="eastAsia" w:ascii="宋体" w:hAnsi="宋体" w:eastAsia="宋体"/>
          <w:b/>
          <w:iCs/>
          <w:sz w:val="24"/>
          <w:szCs w:val="24"/>
        </w:rPr>
        <w:t>报价表明细</w:t>
      </w:r>
    </w:p>
    <w:tbl>
      <w:tblPr>
        <w:tblStyle w:val="12"/>
        <w:tblW w:w="9781" w:type="dxa"/>
        <w:tblInd w:w="-10" w:type="dxa"/>
        <w:tblLayout w:type="autofit"/>
        <w:tblCellMar>
          <w:top w:w="0" w:type="dxa"/>
          <w:left w:w="108" w:type="dxa"/>
          <w:bottom w:w="0" w:type="dxa"/>
          <w:right w:w="108" w:type="dxa"/>
        </w:tblCellMar>
      </w:tblPr>
      <w:tblGrid>
        <w:gridCol w:w="709"/>
        <w:gridCol w:w="1843"/>
        <w:gridCol w:w="1276"/>
        <w:gridCol w:w="1134"/>
        <w:gridCol w:w="1275"/>
        <w:gridCol w:w="1134"/>
        <w:gridCol w:w="993"/>
        <w:gridCol w:w="1417"/>
      </w:tblGrid>
      <w:tr w14:paraId="76ABD3BA">
        <w:tblPrEx>
          <w:tblCellMar>
            <w:top w:w="0" w:type="dxa"/>
            <w:left w:w="108" w:type="dxa"/>
            <w:bottom w:w="0" w:type="dxa"/>
            <w:right w:w="108" w:type="dxa"/>
          </w:tblCellMar>
        </w:tblPrEx>
        <w:trPr>
          <w:trHeight w:val="585" w:hRule="atLeast"/>
        </w:trPr>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0D67611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843" w:type="dxa"/>
            <w:tcBorders>
              <w:top w:val="single" w:color="auto" w:sz="8" w:space="0"/>
              <w:left w:val="nil"/>
              <w:bottom w:val="single" w:color="auto" w:sz="8" w:space="0"/>
              <w:right w:val="single" w:color="auto" w:sz="8" w:space="0"/>
            </w:tcBorders>
            <w:shd w:val="clear" w:color="auto" w:fill="auto"/>
            <w:vAlign w:val="center"/>
          </w:tcPr>
          <w:p w14:paraId="5203823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276" w:type="dxa"/>
            <w:tcBorders>
              <w:top w:val="single" w:color="auto" w:sz="8" w:space="0"/>
              <w:left w:val="nil"/>
              <w:bottom w:val="single" w:color="auto" w:sz="8" w:space="0"/>
              <w:right w:val="single" w:color="auto" w:sz="8" w:space="0"/>
            </w:tcBorders>
            <w:shd w:val="clear" w:color="auto" w:fill="auto"/>
            <w:vAlign w:val="center"/>
          </w:tcPr>
          <w:p w14:paraId="6BA69AC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134" w:type="dxa"/>
            <w:tcBorders>
              <w:top w:val="single" w:color="auto" w:sz="8" w:space="0"/>
              <w:left w:val="nil"/>
              <w:bottom w:val="single" w:color="auto" w:sz="8" w:space="0"/>
              <w:right w:val="single" w:color="auto" w:sz="8" w:space="0"/>
            </w:tcBorders>
            <w:shd w:val="clear" w:color="auto" w:fill="auto"/>
            <w:vAlign w:val="center"/>
          </w:tcPr>
          <w:p w14:paraId="718C52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275" w:type="dxa"/>
            <w:tcBorders>
              <w:top w:val="single" w:color="auto" w:sz="8" w:space="0"/>
              <w:left w:val="nil"/>
              <w:bottom w:val="single" w:color="auto" w:sz="8" w:space="0"/>
              <w:right w:val="single" w:color="auto" w:sz="8" w:space="0"/>
            </w:tcBorders>
            <w:shd w:val="clear" w:color="auto" w:fill="auto"/>
            <w:vAlign w:val="center"/>
          </w:tcPr>
          <w:p w14:paraId="2F5551F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不含税单价</w:t>
            </w:r>
          </w:p>
        </w:tc>
        <w:tc>
          <w:tcPr>
            <w:tcW w:w="1134" w:type="dxa"/>
            <w:tcBorders>
              <w:top w:val="single" w:color="auto" w:sz="8" w:space="0"/>
              <w:left w:val="nil"/>
              <w:bottom w:val="single" w:color="auto" w:sz="8" w:space="0"/>
              <w:right w:val="single" w:color="auto" w:sz="8" w:space="0"/>
            </w:tcBorders>
            <w:shd w:val="clear" w:color="auto" w:fill="auto"/>
            <w:vAlign w:val="center"/>
          </w:tcPr>
          <w:p w14:paraId="7735654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含税</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单价</w:t>
            </w:r>
          </w:p>
        </w:tc>
        <w:tc>
          <w:tcPr>
            <w:tcW w:w="993" w:type="dxa"/>
            <w:tcBorders>
              <w:top w:val="single" w:color="auto" w:sz="8" w:space="0"/>
              <w:left w:val="nil"/>
              <w:bottom w:val="single" w:color="auto" w:sz="8" w:space="0"/>
              <w:right w:val="single" w:color="auto" w:sz="8" w:space="0"/>
            </w:tcBorders>
            <w:shd w:val="clear" w:color="auto" w:fill="auto"/>
            <w:vAlign w:val="center"/>
          </w:tcPr>
          <w:p w14:paraId="567BA07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含税6%</w:t>
            </w:r>
            <w:r>
              <w:rPr>
                <w:rFonts w:hint="eastAsia" w:ascii="宋体" w:hAnsi="宋体" w:eastAsia="宋体" w:cs="宋体"/>
                <w:color w:val="000000"/>
                <w:kern w:val="0"/>
                <w:sz w:val="24"/>
                <w:szCs w:val="24"/>
              </w:rPr>
              <w:t>总价</w:t>
            </w:r>
          </w:p>
        </w:tc>
        <w:tc>
          <w:tcPr>
            <w:tcW w:w="1417" w:type="dxa"/>
            <w:tcBorders>
              <w:top w:val="single" w:color="auto" w:sz="8" w:space="0"/>
              <w:left w:val="nil"/>
              <w:bottom w:val="single" w:color="auto" w:sz="8" w:space="0"/>
              <w:right w:val="single" w:color="auto" w:sz="8" w:space="0"/>
            </w:tcBorders>
            <w:shd w:val="clear" w:color="auto" w:fill="auto"/>
            <w:vAlign w:val="center"/>
          </w:tcPr>
          <w:p w14:paraId="5FC72A3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09A016A2">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38E66C8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43" w:type="dxa"/>
            <w:tcBorders>
              <w:top w:val="nil"/>
              <w:left w:val="nil"/>
              <w:bottom w:val="single" w:color="auto" w:sz="8" w:space="0"/>
              <w:right w:val="single" w:color="auto" w:sz="8" w:space="0"/>
            </w:tcBorders>
            <w:shd w:val="clear" w:color="auto" w:fill="auto"/>
            <w:vAlign w:val="center"/>
          </w:tcPr>
          <w:p w14:paraId="7ADF18F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普盾</w:t>
            </w:r>
          </w:p>
        </w:tc>
        <w:tc>
          <w:tcPr>
            <w:tcW w:w="1276" w:type="dxa"/>
            <w:tcBorders>
              <w:top w:val="nil"/>
              <w:left w:val="nil"/>
              <w:bottom w:val="single" w:color="auto" w:sz="8" w:space="0"/>
              <w:right w:val="single" w:color="auto" w:sz="8" w:space="0"/>
            </w:tcBorders>
            <w:shd w:val="clear" w:color="auto" w:fill="auto"/>
            <w:vAlign w:val="center"/>
          </w:tcPr>
          <w:p w14:paraId="5BCCA67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134" w:type="dxa"/>
            <w:tcBorders>
              <w:top w:val="nil"/>
              <w:left w:val="nil"/>
              <w:bottom w:val="single" w:color="auto" w:sz="8" w:space="0"/>
              <w:right w:val="single" w:color="auto" w:sz="8" w:space="0"/>
            </w:tcBorders>
            <w:shd w:val="clear" w:color="auto" w:fill="auto"/>
            <w:vAlign w:val="center"/>
          </w:tcPr>
          <w:p w14:paraId="551B506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升</w:t>
            </w:r>
          </w:p>
        </w:tc>
        <w:tc>
          <w:tcPr>
            <w:tcW w:w="1275" w:type="dxa"/>
            <w:tcBorders>
              <w:top w:val="nil"/>
              <w:left w:val="nil"/>
              <w:bottom w:val="single" w:color="auto" w:sz="8" w:space="0"/>
              <w:right w:val="single" w:color="auto" w:sz="8" w:space="0"/>
            </w:tcBorders>
            <w:shd w:val="clear" w:color="auto" w:fill="auto"/>
            <w:vAlign w:val="center"/>
          </w:tcPr>
          <w:p w14:paraId="13E7DD6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4125806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56BC9E6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1D16AAB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0236A386">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5D910AC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3" w:type="dxa"/>
            <w:tcBorders>
              <w:top w:val="nil"/>
              <w:left w:val="nil"/>
              <w:bottom w:val="single" w:color="auto" w:sz="8" w:space="0"/>
              <w:right w:val="single" w:color="auto" w:sz="8" w:space="0"/>
            </w:tcBorders>
            <w:shd w:val="clear" w:color="auto" w:fill="auto"/>
            <w:vAlign w:val="center"/>
          </w:tcPr>
          <w:p w14:paraId="2056A06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都灭</w:t>
            </w:r>
          </w:p>
        </w:tc>
        <w:tc>
          <w:tcPr>
            <w:tcW w:w="1276" w:type="dxa"/>
            <w:tcBorders>
              <w:top w:val="nil"/>
              <w:left w:val="nil"/>
              <w:bottom w:val="single" w:color="auto" w:sz="8" w:space="0"/>
              <w:right w:val="single" w:color="auto" w:sz="8" w:space="0"/>
            </w:tcBorders>
            <w:shd w:val="clear" w:color="auto" w:fill="auto"/>
            <w:vAlign w:val="center"/>
          </w:tcPr>
          <w:p w14:paraId="36534BE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134" w:type="dxa"/>
            <w:tcBorders>
              <w:top w:val="nil"/>
              <w:left w:val="nil"/>
              <w:bottom w:val="single" w:color="auto" w:sz="8" w:space="0"/>
              <w:right w:val="single" w:color="auto" w:sz="8" w:space="0"/>
            </w:tcBorders>
            <w:shd w:val="clear" w:color="auto" w:fill="auto"/>
            <w:vAlign w:val="center"/>
          </w:tcPr>
          <w:p w14:paraId="3494C71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升</w:t>
            </w:r>
          </w:p>
        </w:tc>
        <w:tc>
          <w:tcPr>
            <w:tcW w:w="1275" w:type="dxa"/>
            <w:tcBorders>
              <w:top w:val="nil"/>
              <w:left w:val="nil"/>
              <w:bottom w:val="single" w:color="auto" w:sz="8" w:space="0"/>
              <w:right w:val="single" w:color="auto" w:sz="8" w:space="0"/>
            </w:tcBorders>
            <w:shd w:val="clear" w:color="auto" w:fill="auto"/>
            <w:vAlign w:val="center"/>
          </w:tcPr>
          <w:p w14:paraId="4AA7CC0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224BD5C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52542E7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0286A3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447735AA">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052BF2A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43" w:type="dxa"/>
            <w:tcBorders>
              <w:top w:val="nil"/>
              <w:left w:val="nil"/>
              <w:bottom w:val="single" w:color="auto" w:sz="8" w:space="0"/>
              <w:right w:val="single" w:color="auto" w:sz="8" w:space="0"/>
            </w:tcBorders>
            <w:shd w:val="clear" w:color="auto" w:fill="auto"/>
            <w:vAlign w:val="center"/>
          </w:tcPr>
          <w:p w14:paraId="02087FC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速灭灵</w:t>
            </w:r>
          </w:p>
        </w:tc>
        <w:tc>
          <w:tcPr>
            <w:tcW w:w="1276" w:type="dxa"/>
            <w:tcBorders>
              <w:top w:val="nil"/>
              <w:left w:val="nil"/>
              <w:bottom w:val="single" w:color="auto" w:sz="8" w:space="0"/>
              <w:right w:val="single" w:color="auto" w:sz="8" w:space="0"/>
            </w:tcBorders>
            <w:shd w:val="clear" w:color="auto" w:fill="auto"/>
            <w:vAlign w:val="center"/>
          </w:tcPr>
          <w:p w14:paraId="1B1BA1D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34" w:type="dxa"/>
            <w:tcBorders>
              <w:top w:val="nil"/>
              <w:left w:val="nil"/>
              <w:bottom w:val="single" w:color="auto" w:sz="8" w:space="0"/>
              <w:right w:val="single" w:color="auto" w:sz="8" w:space="0"/>
            </w:tcBorders>
            <w:shd w:val="clear" w:color="auto" w:fill="auto"/>
            <w:vAlign w:val="center"/>
          </w:tcPr>
          <w:p w14:paraId="0E1CBB5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升</w:t>
            </w:r>
          </w:p>
        </w:tc>
        <w:tc>
          <w:tcPr>
            <w:tcW w:w="1275" w:type="dxa"/>
            <w:tcBorders>
              <w:top w:val="nil"/>
              <w:left w:val="nil"/>
              <w:bottom w:val="single" w:color="auto" w:sz="8" w:space="0"/>
              <w:right w:val="single" w:color="auto" w:sz="8" w:space="0"/>
            </w:tcBorders>
            <w:shd w:val="clear" w:color="auto" w:fill="auto"/>
            <w:vAlign w:val="center"/>
          </w:tcPr>
          <w:p w14:paraId="7F4BB7F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16DD0EC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398DBA2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0D2AF7F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68326DFE">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2C52956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43" w:type="dxa"/>
            <w:tcBorders>
              <w:top w:val="nil"/>
              <w:left w:val="nil"/>
              <w:bottom w:val="single" w:color="auto" w:sz="8" w:space="0"/>
              <w:right w:val="single" w:color="auto" w:sz="8" w:space="0"/>
            </w:tcBorders>
            <w:shd w:val="clear" w:color="auto" w:fill="auto"/>
            <w:vAlign w:val="center"/>
          </w:tcPr>
          <w:p w14:paraId="773B21D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进口杀蟑胶饵30克包装</w:t>
            </w:r>
          </w:p>
        </w:tc>
        <w:tc>
          <w:tcPr>
            <w:tcW w:w="1276" w:type="dxa"/>
            <w:tcBorders>
              <w:top w:val="nil"/>
              <w:left w:val="nil"/>
              <w:bottom w:val="single" w:color="auto" w:sz="8" w:space="0"/>
              <w:right w:val="single" w:color="auto" w:sz="8" w:space="0"/>
            </w:tcBorders>
            <w:shd w:val="clear" w:color="auto" w:fill="auto"/>
            <w:vAlign w:val="center"/>
          </w:tcPr>
          <w:p w14:paraId="328DBAC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134" w:type="dxa"/>
            <w:tcBorders>
              <w:top w:val="nil"/>
              <w:left w:val="nil"/>
              <w:bottom w:val="single" w:color="auto" w:sz="8" w:space="0"/>
              <w:right w:val="single" w:color="auto" w:sz="8" w:space="0"/>
            </w:tcBorders>
            <w:shd w:val="clear" w:color="auto" w:fill="auto"/>
            <w:vAlign w:val="center"/>
          </w:tcPr>
          <w:p w14:paraId="02441CD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w:t>
            </w:r>
          </w:p>
        </w:tc>
        <w:tc>
          <w:tcPr>
            <w:tcW w:w="1275" w:type="dxa"/>
            <w:tcBorders>
              <w:top w:val="nil"/>
              <w:left w:val="nil"/>
              <w:bottom w:val="single" w:color="auto" w:sz="8" w:space="0"/>
              <w:right w:val="single" w:color="auto" w:sz="8" w:space="0"/>
            </w:tcBorders>
            <w:shd w:val="clear" w:color="auto" w:fill="auto"/>
            <w:vAlign w:val="center"/>
          </w:tcPr>
          <w:p w14:paraId="0A126FA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0052C2A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020133E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03301F6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5360AD74">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71B29D0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43" w:type="dxa"/>
            <w:tcBorders>
              <w:top w:val="nil"/>
              <w:left w:val="nil"/>
              <w:bottom w:val="single" w:color="auto" w:sz="8" w:space="0"/>
              <w:right w:val="single" w:color="auto" w:sz="8" w:space="0"/>
            </w:tcBorders>
            <w:shd w:val="clear" w:color="auto" w:fill="auto"/>
            <w:vAlign w:val="center"/>
          </w:tcPr>
          <w:p w14:paraId="6C3EF87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粘鼠板</w:t>
            </w:r>
          </w:p>
        </w:tc>
        <w:tc>
          <w:tcPr>
            <w:tcW w:w="1276" w:type="dxa"/>
            <w:tcBorders>
              <w:top w:val="nil"/>
              <w:left w:val="nil"/>
              <w:bottom w:val="single" w:color="auto" w:sz="8" w:space="0"/>
              <w:right w:val="single" w:color="auto" w:sz="8" w:space="0"/>
            </w:tcBorders>
            <w:shd w:val="clear" w:color="auto" w:fill="auto"/>
            <w:vAlign w:val="center"/>
          </w:tcPr>
          <w:p w14:paraId="46CE24A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600</w:t>
            </w:r>
          </w:p>
        </w:tc>
        <w:tc>
          <w:tcPr>
            <w:tcW w:w="1134" w:type="dxa"/>
            <w:tcBorders>
              <w:top w:val="nil"/>
              <w:left w:val="nil"/>
              <w:bottom w:val="single" w:color="auto" w:sz="8" w:space="0"/>
              <w:right w:val="single" w:color="auto" w:sz="8" w:space="0"/>
            </w:tcBorders>
            <w:shd w:val="clear" w:color="auto" w:fill="auto"/>
            <w:vAlign w:val="center"/>
          </w:tcPr>
          <w:p w14:paraId="6D5FE7A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片</w:t>
            </w:r>
          </w:p>
        </w:tc>
        <w:tc>
          <w:tcPr>
            <w:tcW w:w="1275" w:type="dxa"/>
            <w:tcBorders>
              <w:top w:val="nil"/>
              <w:left w:val="nil"/>
              <w:bottom w:val="single" w:color="auto" w:sz="8" w:space="0"/>
              <w:right w:val="single" w:color="auto" w:sz="8" w:space="0"/>
            </w:tcBorders>
            <w:shd w:val="clear" w:color="auto" w:fill="auto"/>
            <w:vAlign w:val="center"/>
          </w:tcPr>
          <w:p w14:paraId="134740E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2F92616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1DAF3A5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665E86A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08E20A72">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3EEB0D7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843" w:type="dxa"/>
            <w:tcBorders>
              <w:top w:val="nil"/>
              <w:left w:val="nil"/>
              <w:bottom w:val="single" w:color="auto" w:sz="8" w:space="0"/>
              <w:right w:val="single" w:color="auto" w:sz="8" w:space="0"/>
            </w:tcBorders>
            <w:shd w:val="clear" w:color="auto" w:fill="auto"/>
            <w:vAlign w:val="center"/>
          </w:tcPr>
          <w:p w14:paraId="5A713FC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溴敌隆鼠药</w:t>
            </w:r>
          </w:p>
        </w:tc>
        <w:tc>
          <w:tcPr>
            <w:tcW w:w="1276" w:type="dxa"/>
            <w:tcBorders>
              <w:top w:val="nil"/>
              <w:left w:val="nil"/>
              <w:bottom w:val="single" w:color="auto" w:sz="8" w:space="0"/>
              <w:right w:val="single" w:color="auto" w:sz="8" w:space="0"/>
            </w:tcBorders>
            <w:shd w:val="clear" w:color="auto" w:fill="auto"/>
            <w:vAlign w:val="center"/>
          </w:tcPr>
          <w:p w14:paraId="45A8F7E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260</w:t>
            </w:r>
          </w:p>
        </w:tc>
        <w:tc>
          <w:tcPr>
            <w:tcW w:w="1134" w:type="dxa"/>
            <w:tcBorders>
              <w:top w:val="nil"/>
              <w:left w:val="nil"/>
              <w:bottom w:val="single" w:color="auto" w:sz="8" w:space="0"/>
              <w:right w:val="single" w:color="auto" w:sz="8" w:space="0"/>
            </w:tcBorders>
            <w:shd w:val="clear" w:color="auto" w:fill="auto"/>
            <w:vAlign w:val="center"/>
          </w:tcPr>
          <w:p w14:paraId="7E3A683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公斤</w:t>
            </w:r>
          </w:p>
        </w:tc>
        <w:tc>
          <w:tcPr>
            <w:tcW w:w="1275" w:type="dxa"/>
            <w:tcBorders>
              <w:top w:val="nil"/>
              <w:left w:val="nil"/>
              <w:bottom w:val="single" w:color="auto" w:sz="8" w:space="0"/>
              <w:right w:val="single" w:color="auto" w:sz="8" w:space="0"/>
            </w:tcBorders>
            <w:shd w:val="clear" w:color="auto" w:fill="auto"/>
            <w:vAlign w:val="center"/>
          </w:tcPr>
          <w:p w14:paraId="21BD4BB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760E92C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2822D52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5B5938B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6740E4BB">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62B766D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843" w:type="dxa"/>
            <w:tcBorders>
              <w:top w:val="nil"/>
              <w:left w:val="nil"/>
              <w:bottom w:val="single" w:color="auto" w:sz="8" w:space="0"/>
              <w:right w:val="single" w:color="auto" w:sz="8" w:space="0"/>
            </w:tcBorders>
            <w:shd w:val="clear" w:color="auto" w:fill="auto"/>
            <w:vAlign w:val="center"/>
          </w:tcPr>
          <w:p w14:paraId="30F1457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环卫乐</w:t>
            </w:r>
          </w:p>
        </w:tc>
        <w:tc>
          <w:tcPr>
            <w:tcW w:w="1276" w:type="dxa"/>
            <w:tcBorders>
              <w:top w:val="nil"/>
              <w:left w:val="nil"/>
              <w:bottom w:val="single" w:color="auto" w:sz="8" w:space="0"/>
              <w:right w:val="single" w:color="auto" w:sz="8" w:space="0"/>
            </w:tcBorders>
            <w:shd w:val="clear" w:color="auto" w:fill="auto"/>
            <w:vAlign w:val="center"/>
          </w:tcPr>
          <w:p w14:paraId="330377C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1134" w:type="dxa"/>
            <w:tcBorders>
              <w:top w:val="nil"/>
              <w:left w:val="nil"/>
              <w:bottom w:val="single" w:color="auto" w:sz="8" w:space="0"/>
              <w:right w:val="single" w:color="auto" w:sz="8" w:space="0"/>
            </w:tcBorders>
            <w:shd w:val="clear" w:color="auto" w:fill="auto"/>
            <w:vAlign w:val="center"/>
          </w:tcPr>
          <w:p w14:paraId="2717871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升</w:t>
            </w:r>
          </w:p>
        </w:tc>
        <w:tc>
          <w:tcPr>
            <w:tcW w:w="1275" w:type="dxa"/>
            <w:tcBorders>
              <w:top w:val="nil"/>
              <w:left w:val="nil"/>
              <w:bottom w:val="single" w:color="auto" w:sz="8" w:space="0"/>
              <w:right w:val="single" w:color="auto" w:sz="8" w:space="0"/>
            </w:tcBorders>
            <w:shd w:val="clear" w:color="auto" w:fill="auto"/>
            <w:vAlign w:val="center"/>
          </w:tcPr>
          <w:p w14:paraId="4CA6E0E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390F3D2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18A9302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2DA9D44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12471CA4">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3F93C45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843" w:type="dxa"/>
            <w:tcBorders>
              <w:top w:val="nil"/>
              <w:left w:val="nil"/>
              <w:bottom w:val="single" w:color="auto" w:sz="8" w:space="0"/>
              <w:right w:val="single" w:color="auto" w:sz="8" w:space="0"/>
            </w:tcBorders>
            <w:shd w:val="clear" w:color="auto" w:fill="auto"/>
            <w:vAlign w:val="center"/>
          </w:tcPr>
          <w:p w14:paraId="22DFC80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灭蝇灯粘纸</w:t>
            </w:r>
          </w:p>
        </w:tc>
        <w:tc>
          <w:tcPr>
            <w:tcW w:w="1276" w:type="dxa"/>
            <w:tcBorders>
              <w:top w:val="nil"/>
              <w:left w:val="nil"/>
              <w:bottom w:val="single" w:color="auto" w:sz="8" w:space="0"/>
              <w:right w:val="single" w:color="auto" w:sz="8" w:space="0"/>
            </w:tcBorders>
            <w:shd w:val="clear" w:color="auto" w:fill="auto"/>
            <w:vAlign w:val="center"/>
          </w:tcPr>
          <w:p w14:paraId="7E094B2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1500</w:t>
            </w:r>
          </w:p>
        </w:tc>
        <w:tc>
          <w:tcPr>
            <w:tcW w:w="1134" w:type="dxa"/>
            <w:tcBorders>
              <w:top w:val="nil"/>
              <w:left w:val="nil"/>
              <w:bottom w:val="single" w:color="auto" w:sz="8" w:space="0"/>
              <w:right w:val="single" w:color="auto" w:sz="8" w:space="0"/>
            </w:tcBorders>
            <w:shd w:val="clear" w:color="auto" w:fill="auto"/>
            <w:vAlign w:val="center"/>
          </w:tcPr>
          <w:p w14:paraId="4595AB47">
            <w:pPr>
              <w:widowControl/>
              <w:jc w:val="center"/>
              <w:rPr>
                <w:rFonts w:ascii="宋体" w:hAnsi="宋体" w:eastAsia="宋体" w:cs="宋体"/>
                <w:color w:val="FF0000"/>
                <w:kern w:val="0"/>
                <w:sz w:val="24"/>
                <w:szCs w:val="24"/>
              </w:rPr>
            </w:pPr>
            <w:r>
              <w:rPr>
                <w:rFonts w:hint="eastAsia" w:ascii="宋体" w:hAnsi="宋体" w:eastAsia="宋体" w:cs="宋体"/>
                <w:color w:val="auto"/>
                <w:kern w:val="0"/>
                <w:sz w:val="24"/>
                <w:szCs w:val="24"/>
              </w:rPr>
              <w:t>片</w:t>
            </w:r>
          </w:p>
        </w:tc>
        <w:tc>
          <w:tcPr>
            <w:tcW w:w="1275" w:type="dxa"/>
            <w:tcBorders>
              <w:top w:val="nil"/>
              <w:left w:val="nil"/>
              <w:bottom w:val="single" w:color="auto" w:sz="8" w:space="0"/>
              <w:right w:val="single" w:color="auto" w:sz="8" w:space="0"/>
            </w:tcBorders>
            <w:shd w:val="clear" w:color="auto" w:fill="auto"/>
            <w:vAlign w:val="center"/>
          </w:tcPr>
          <w:p w14:paraId="19D8A9F9">
            <w:pPr>
              <w:widowControl/>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27FD6D81">
            <w:pPr>
              <w:widowControl/>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405EC29C">
            <w:pPr>
              <w:widowControl/>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0E5C9ED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51D232CB">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4D22745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843" w:type="dxa"/>
            <w:tcBorders>
              <w:top w:val="nil"/>
              <w:left w:val="nil"/>
              <w:bottom w:val="single" w:color="auto" w:sz="8" w:space="0"/>
              <w:right w:val="single" w:color="auto" w:sz="8" w:space="0"/>
            </w:tcBorders>
            <w:shd w:val="clear" w:color="auto" w:fill="auto"/>
            <w:vAlign w:val="center"/>
          </w:tcPr>
          <w:p w14:paraId="3DD58F8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粘捕式灭蝇灯</w:t>
            </w:r>
          </w:p>
        </w:tc>
        <w:tc>
          <w:tcPr>
            <w:tcW w:w="1276" w:type="dxa"/>
            <w:tcBorders>
              <w:top w:val="nil"/>
              <w:left w:val="nil"/>
              <w:bottom w:val="single" w:color="auto" w:sz="8" w:space="0"/>
              <w:right w:val="single" w:color="auto" w:sz="8" w:space="0"/>
            </w:tcBorders>
            <w:shd w:val="clear" w:color="auto" w:fill="auto"/>
            <w:vAlign w:val="center"/>
          </w:tcPr>
          <w:p w14:paraId="44F141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0</w:t>
            </w:r>
          </w:p>
        </w:tc>
        <w:tc>
          <w:tcPr>
            <w:tcW w:w="1134" w:type="dxa"/>
            <w:tcBorders>
              <w:top w:val="nil"/>
              <w:left w:val="nil"/>
              <w:bottom w:val="single" w:color="auto" w:sz="8" w:space="0"/>
              <w:right w:val="single" w:color="auto" w:sz="8" w:space="0"/>
            </w:tcBorders>
            <w:shd w:val="clear" w:color="auto" w:fill="auto"/>
            <w:vAlign w:val="center"/>
          </w:tcPr>
          <w:p w14:paraId="7657BE5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275" w:type="dxa"/>
            <w:tcBorders>
              <w:top w:val="nil"/>
              <w:left w:val="nil"/>
              <w:bottom w:val="single" w:color="auto" w:sz="8" w:space="0"/>
              <w:right w:val="single" w:color="auto" w:sz="8" w:space="0"/>
            </w:tcBorders>
            <w:shd w:val="clear" w:color="auto" w:fill="auto"/>
            <w:vAlign w:val="center"/>
          </w:tcPr>
          <w:p w14:paraId="1F2D2C6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230D326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4C52673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104F6B4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全年用量；功率1</w:t>
            </w:r>
            <w:r>
              <w:rPr>
                <w:rFonts w:ascii="宋体" w:hAnsi="宋体" w:eastAsia="宋体" w:cs="宋体"/>
                <w:color w:val="000000"/>
                <w:kern w:val="0"/>
                <w:sz w:val="24"/>
                <w:szCs w:val="24"/>
              </w:rPr>
              <w:t>6-20W</w:t>
            </w:r>
            <w:r>
              <w:rPr>
                <w:rFonts w:hint="eastAsia" w:ascii="宋体" w:hAnsi="宋体" w:eastAsia="宋体" w:cs="宋体"/>
                <w:color w:val="000000"/>
                <w:kern w:val="0"/>
                <w:sz w:val="24"/>
                <w:szCs w:val="24"/>
              </w:rPr>
              <w:t>；</w:t>
            </w:r>
            <w:r>
              <w:rPr>
                <w:rFonts w:hint="eastAsia" w:ascii="宋体" w:hAnsi="宋体" w:eastAsia="宋体"/>
                <w:color w:val="000000"/>
                <w:sz w:val="24"/>
                <w:szCs w:val="24"/>
              </w:rPr>
              <w:t>紫外线双防爆灯管</w:t>
            </w:r>
          </w:p>
        </w:tc>
      </w:tr>
      <w:tr w14:paraId="5DE7A9E4">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07F3669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843" w:type="dxa"/>
            <w:tcBorders>
              <w:top w:val="nil"/>
              <w:left w:val="nil"/>
              <w:bottom w:val="single" w:color="auto" w:sz="8" w:space="0"/>
              <w:right w:val="single" w:color="auto" w:sz="8" w:space="0"/>
            </w:tcBorders>
            <w:shd w:val="clear" w:color="auto" w:fill="auto"/>
            <w:vAlign w:val="center"/>
          </w:tcPr>
          <w:p w14:paraId="1FB3AEA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人工</w:t>
            </w:r>
          </w:p>
        </w:tc>
        <w:tc>
          <w:tcPr>
            <w:tcW w:w="1276" w:type="dxa"/>
            <w:tcBorders>
              <w:top w:val="nil"/>
              <w:left w:val="nil"/>
              <w:bottom w:val="single" w:color="auto" w:sz="8" w:space="0"/>
              <w:right w:val="single" w:color="auto" w:sz="8" w:space="0"/>
            </w:tcBorders>
            <w:shd w:val="clear" w:color="auto" w:fill="auto"/>
            <w:vAlign w:val="center"/>
          </w:tcPr>
          <w:p w14:paraId="4B4144C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1134" w:type="dxa"/>
            <w:tcBorders>
              <w:top w:val="nil"/>
              <w:left w:val="nil"/>
              <w:bottom w:val="single" w:color="auto" w:sz="8" w:space="0"/>
              <w:right w:val="single" w:color="auto" w:sz="8" w:space="0"/>
            </w:tcBorders>
            <w:shd w:val="clear" w:color="auto" w:fill="auto"/>
            <w:vAlign w:val="center"/>
          </w:tcPr>
          <w:p w14:paraId="21F8013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人/次</w:t>
            </w:r>
          </w:p>
        </w:tc>
        <w:tc>
          <w:tcPr>
            <w:tcW w:w="1275" w:type="dxa"/>
            <w:tcBorders>
              <w:top w:val="nil"/>
              <w:left w:val="nil"/>
              <w:bottom w:val="single" w:color="auto" w:sz="8" w:space="0"/>
              <w:right w:val="single" w:color="auto" w:sz="8" w:space="0"/>
            </w:tcBorders>
            <w:shd w:val="clear" w:color="auto" w:fill="auto"/>
            <w:vAlign w:val="center"/>
          </w:tcPr>
          <w:p w14:paraId="4252CDE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7DB10E1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0C76BB5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41FE900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全年人工</w:t>
            </w:r>
          </w:p>
        </w:tc>
      </w:tr>
      <w:tr w14:paraId="38592013">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4EDABC69">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1843" w:type="dxa"/>
            <w:tcBorders>
              <w:top w:val="nil"/>
              <w:left w:val="nil"/>
              <w:bottom w:val="single" w:color="auto" w:sz="8" w:space="0"/>
              <w:right w:val="single" w:color="auto" w:sz="8" w:space="0"/>
            </w:tcBorders>
            <w:shd w:val="clear" w:color="auto" w:fill="auto"/>
            <w:vAlign w:val="center"/>
          </w:tcPr>
          <w:p w14:paraId="4BE3426E">
            <w:pPr>
              <w:widowControl/>
              <w:jc w:val="center"/>
              <w:rPr>
                <w:rFonts w:hint="eastAsia" w:ascii="宋体" w:hAnsi="宋体" w:eastAsia="宋体" w:cs="宋体"/>
                <w:color w:val="000000"/>
                <w:kern w:val="0"/>
                <w:sz w:val="24"/>
                <w:szCs w:val="24"/>
              </w:rPr>
            </w:pPr>
            <w:r>
              <w:rPr>
                <w:rFonts w:hint="eastAsia" w:ascii="宋体" w:hAnsi="宋体" w:eastAsia="宋体"/>
                <w:sz w:val="24"/>
                <w:szCs w:val="24"/>
                <w:lang w:val="en-US" w:eastAsia="zh-CN"/>
              </w:rPr>
              <w:t>有害生物服务记录卡</w:t>
            </w:r>
          </w:p>
        </w:tc>
        <w:tc>
          <w:tcPr>
            <w:tcW w:w="1276" w:type="dxa"/>
            <w:tcBorders>
              <w:top w:val="nil"/>
              <w:left w:val="nil"/>
              <w:bottom w:val="single" w:color="auto" w:sz="8" w:space="0"/>
              <w:right w:val="single" w:color="auto" w:sz="8" w:space="0"/>
            </w:tcBorders>
            <w:shd w:val="clear" w:color="auto" w:fill="auto"/>
            <w:vAlign w:val="center"/>
          </w:tcPr>
          <w:p w14:paraId="617075D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w:t>
            </w:r>
          </w:p>
        </w:tc>
        <w:tc>
          <w:tcPr>
            <w:tcW w:w="1134" w:type="dxa"/>
            <w:tcBorders>
              <w:top w:val="nil"/>
              <w:left w:val="nil"/>
              <w:bottom w:val="single" w:color="auto" w:sz="8" w:space="0"/>
              <w:right w:val="single" w:color="auto" w:sz="8" w:space="0"/>
            </w:tcBorders>
            <w:shd w:val="clear" w:color="auto" w:fill="auto"/>
            <w:vAlign w:val="center"/>
          </w:tcPr>
          <w:p w14:paraId="6F4DDE2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张</w:t>
            </w:r>
          </w:p>
        </w:tc>
        <w:tc>
          <w:tcPr>
            <w:tcW w:w="1275" w:type="dxa"/>
            <w:tcBorders>
              <w:top w:val="nil"/>
              <w:left w:val="nil"/>
              <w:bottom w:val="single" w:color="auto" w:sz="8" w:space="0"/>
              <w:right w:val="single" w:color="auto" w:sz="8" w:space="0"/>
            </w:tcBorders>
            <w:shd w:val="clear" w:color="auto" w:fill="auto"/>
            <w:vAlign w:val="center"/>
          </w:tcPr>
          <w:p w14:paraId="47A0860D">
            <w:pPr>
              <w:widowControl/>
              <w:jc w:val="center"/>
              <w:rPr>
                <w:rFonts w:hint="eastAsia" w:ascii="宋体" w:hAnsi="宋体" w:eastAsia="宋体" w:cs="宋体"/>
                <w:color w:val="000000"/>
                <w:kern w:val="0"/>
                <w:sz w:val="24"/>
                <w:szCs w:val="24"/>
              </w:rPr>
            </w:pPr>
          </w:p>
        </w:tc>
        <w:tc>
          <w:tcPr>
            <w:tcW w:w="1134" w:type="dxa"/>
            <w:tcBorders>
              <w:top w:val="nil"/>
              <w:left w:val="nil"/>
              <w:bottom w:val="single" w:color="auto" w:sz="8" w:space="0"/>
              <w:right w:val="single" w:color="auto" w:sz="8" w:space="0"/>
            </w:tcBorders>
            <w:shd w:val="clear" w:color="auto" w:fill="auto"/>
            <w:vAlign w:val="center"/>
          </w:tcPr>
          <w:p w14:paraId="2364C99D">
            <w:pPr>
              <w:widowControl/>
              <w:jc w:val="center"/>
              <w:rPr>
                <w:rFonts w:hint="eastAsia" w:ascii="宋体" w:hAnsi="宋体" w:eastAsia="宋体" w:cs="宋体"/>
                <w:color w:val="000000"/>
                <w:kern w:val="0"/>
                <w:sz w:val="24"/>
                <w:szCs w:val="24"/>
              </w:rPr>
            </w:pPr>
          </w:p>
        </w:tc>
        <w:tc>
          <w:tcPr>
            <w:tcW w:w="993" w:type="dxa"/>
            <w:tcBorders>
              <w:top w:val="nil"/>
              <w:left w:val="nil"/>
              <w:bottom w:val="single" w:color="auto" w:sz="8" w:space="0"/>
              <w:right w:val="single" w:color="auto" w:sz="8" w:space="0"/>
            </w:tcBorders>
            <w:shd w:val="clear" w:color="auto" w:fill="auto"/>
            <w:vAlign w:val="center"/>
          </w:tcPr>
          <w:p w14:paraId="1CFE9C36">
            <w:pPr>
              <w:widowControl/>
              <w:jc w:val="center"/>
              <w:rPr>
                <w:rFonts w:hint="eastAsia" w:ascii="宋体" w:hAnsi="宋体" w:eastAsia="宋体" w:cs="宋体"/>
                <w:color w:val="000000"/>
                <w:kern w:val="0"/>
                <w:sz w:val="24"/>
                <w:szCs w:val="24"/>
              </w:rPr>
            </w:pPr>
          </w:p>
        </w:tc>
        <w:tc>
          <w:tcPr>
            <w:tcW w:w="1417" w:type="dxa"/>
            <w:tcBorders>
              <w:top w:val="nil"/>
              <w:left w:val="nil"/>
              <w:bottom w:val="single" w:color="auto" w:sz="8" w:space="0"/>
              <w:right w:val="single" w:color="auto" w:sz="8" w:space="0"/>
            </w:tcBorders>
            <w:shd w:val="clear" w:color="auto" w:fill="auto"/>
            <w:vAlign w:val="center"/>
          </w:tcPr>
          <w:p w14:paraId="65FF6B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229686D9">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6B9EA863">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1843" w:type="dxa"/>
            <w:tcBorders>
              <w:top w:val="nil"/>
              <w:left w:val="nil"/>
              <w:bottom w:val="single" w:color="auto" w:sz="8" w:space="0"/>
              <w:right w:val="single" w:color="auto" w:sz="8" w:space="0"/>
            </w:tcBorders>
            <w:shd w:val="clear" w:color="auto" w:fill="auto"/>
            <w:vAlign w:val="center"/>
          </w:tcPr>
          <w:p w14:paraId="635E48BF">
            <w:pPr>
              <w:widowControl/>
              <w:jc w:val="center"/>
              <w:rPr>
                <w:rFonts w:hint="eastAsia" w:ascii="宋体" w:hAnsi="宋体" w:eastAsia="宋体" w:cs="宋体"/>
                <w:color w:val="000000"/>
                <w:kern w:val="0"/>
                <w:sz w:val="24"/>
                <w:szCs w:val="24"/>
              </w:rPr>
            </w:pPr>
            <w:r>
              <w:rPr>
                <w:rFonts w:hint="eastAsia" w:ascii="宋体" w:hAnsi="宋体" w:eastAsia="宋体"/>
                <w:sz w:val="24"/>
                <w:szCs w:val="24"/>
                <w:lang w:val="en-US" w:eastAsia="zh-CN"/>
              </w:rPr>
              <w:t>标识牌</w:t>
            </w:r>
          </w:p>
        </w:tc>
        <w:tc>
          <w:tcPr>
            <w:tcW w:w="1276" w:type="dxa"/>
            <w:tcBorders>
              <w:top w:val="nil"/>
              <w:left w:val="nil"/>
              <w:bottom w:val="single" w:color="auto" w:sz="8" w:space="0"/>
              <w:right w:val="single" w:color="auto" w:sz="8" w:space="0"/>
            </w:tcBorders>
            <w:shd w:val="clear" w:color="auto" w:fill="auto"/>
            <w:vAlign w:val="center"/>
          </w:tcPr>
          <w:p w14:paraId="1C52A92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200</w:t>
            </w:r>
          </w:p>
        </w:tc>
        <w:tc>
          <w:tcPr>
            <w:tcW w:w="1134" w:type="dxa"/>
            <w:tcBorders>
              <w:top w:val="nil"/>
              <w:left w:val="nil"/>
              <w:bottom w:val="single" w:color="auto" w:sz="8" w:space="0"/>
              <w:right w:val="single" w:color="auto" w:sz="8" w:space="0"/>
            </w:tcBorders>
            <w:shd w:val="clear" w:color="auto" w:fill="auto"/>
            <w:vAlign w:val="center"/>
          </w:tcPr>
          <w:p w14:paraId="07DD08C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个</w:t>
            </w:r>
          </w:p>
        </w:tc>
        <w:tc>
          <w:tcPr>
            <w:tcW w:w="1275" w:type="dxa"/>
            <w:tcBorders>
              <w:top w:val="nil"/>
              <w:left w:val="nil"/>
              <w:bottom w:val="single" w:color="auto" w:sz="8" w:space="0"/>
              <w:right w:val="single" w:color="auto" w:sz="8" w:space="0"/>
            </w:tcBorders>
            <w:shd w:val="clear" w:color="auto" w:fill="auto"/>
            <w:vAlign w:val="center"/>
          </w:tcPr>
          <w:p w14:paraId="22EBC3E5">
            <w:pPr>
              <w:widowControl/>
              <w:jc w:val="center"/>
              <w:rPr>
                <w:rFonts w:hint="eastAsia" w:ascii="宋体" w:hAnsi="宋体" w:eastAsia="宋体" w:cs="宋体"/>
                <w:color w:val="000000"/>
                <w:kern w:val="0"/>
                <w:sz w:val="24"/>
                <w:szCs w:val="24"/>
              </w:rPr>
            </w:pPr>
          </w:p>
        </w:tc>
        <w:tc>
          <w:tcPr>
            <w:tcW w:w="1134" w:type="dxa"/>
            <w:tcBorders>
              <w:top w:val="nil"/>
              <w:left w:val="nil"/>
              <w:bottom w:val="single" w:color="auto" w:sz="8" w:space="0"/>
              <w:right w:val="single" w:color="auto" w:sz="8" w:space="0"/>
            </w:tcBorders>
            <w:shd w:val="clear" w:color="auto" w:fill="auto"/>
            <w:vAlign w:val="center"/>
          </w:tcPr>
          <w:p w14:paraId="73ED3F1A">
            <w:pPr>
              <w:widowControl/>
              <w:jc w:val="center"/>
              <w:rPr>
                <w:rFonts w:hint="eastAsia" w:ascii="宋体" w:hAnsi="宋体" w:eastAsia="宋体" w:cs="宋体"/>
                <w:color w:val="000000"/>
                <w:kern w:val="0"/>
                <w:sz w:val="24"/>
                <w:szCs w:val="24"/>
              </w:rPr>
            </w:pPr>
          </w:p>
        </w:tc>
        <w:tc>
          <w:tcPr>
            <w:tcW w:w="993" w:type="dxa"/>
            <w:tcBorders>
              <w:top w:val="nil"/>
              <w:left w:val="nil"/>
              <w:bottom w:val="single" w:color="auto" w:sz="8" w:space="0"/>
              <w:right w:val="single" w:color="auto" w:sz="8" w:space="0"/>
            </w:tcBorders>
            <w:shd w:val="clear" w:color="auto" w:fill="auto"/>
            <w:vAlign w:val="center"/>
          </w:tcPr>
          <w:p w14:paraId="2A5F8E8A">
            <w:pPr>
              <w:widowControl/>
              <w:jc w:val="center"/>
              <w:rPr>
                <w:rFonts w:hint="eastAsia" w:ascii="宋体" w:hAnsi="宋体" w:eastAsia="宋体" w:cs="宋体"/>
                <w:color w:val="000000"/>
                <w:kern w:val="0"/>
                <w:sz w:val="24"/>
                <w:szCs w:val="24"/>
              </w:rPr>
            </w:pPr>
          </w:p>
        </w:tc>
        <w:tc>
          <w:tcPr>
            <w:tcW w:w="1417" w:type="dxa"/>
            <w:tcBorders>
              <w:top w:val="nil"/>
              <w:left w:val="nil"/>
              <w:bottom w:val="single" w:color="auto" w:sz="8" w:space="0"/>
              <w:right w:val="single" w:color="auto" w:sz="8" w:space="0"/>
            </w:tcBorders>
            <w:shd w:val="clear" w:color="auto" w:fill="auto"/>
            <w:vAlign w:val="center"/>
          </w:tcPr>
          <w:p w14:paraId="7FC298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全年用量</w:t>
            </w:r>
          </w:p>
        </w:tc>
      </w:tr>
      <w:tr w14:paraId="55F55AA0">
        <w:tblPrEx>
          <w:tblCellMar>
            <w:top w:w="0" w:type="dxa"/>
            <w:left w:w="108" w:type="dxa"/>
            <w:bottom w:w="0" w:type="dxa"/>
            <w:right w:w="108" w:type="dxa"/>
          </w:tblCellMar>
        </w:tblPrEx>
        <w:trPr>
          <w:trHeight w:val="585" w:hRule="atLeast"/>
        </w:trPr>
        <w:tc>
          <w:tcPr>
            <w:tcW w:w="709" w:type="dxa"/>
            <w:tcBorders>
              <w:top w:val="nil"/>
              <w:left w:val="single" w:color="auto" w:sz="8" w:space="0"/>
              <w:bottom w:val="single" w:color="auto" w:sz="8" w:space="0"/>
              <w:right w:val="single" w:color="auto" w:sz="8" w:space="0"/>
            </w:tcBorders>
            <w:shd w:val="clear" w:color="auto" w:fill="auto"/>
            <w:vAlign w:val="center"/>
          </w:tcPr>
          <w:p w14:paraId="1B6D71C3">
            <w:pPr>
              <w:widowControl/>
              <w:jc w:val="center"/>
              <w:rPr>
                <w:rFonts w:ascii="宋体" w:hAnsi="宋体" w:eastAsia="宋体" w:cs="宋体"/>
                <w:color w:val="000000"/>
                <w:kern w:val="0"/>
                <w:sz w:val="24"/>
                <w:szCs w:val="24"/>
              </w:rPr>
            </w:pPr>
          </w:p>
        </w:tc>
        <w:tc>
          <w:tcPr>
            <w:tcW w:w="4253" w:type="dxa"/>
            <w:gridSpan w:val="3"/>
            <w:tcBorders>
              <w:top w:val="single" w:color="auto" w:sz="8" w:space="0"/>
              <w:left w:val="nil"/>
              <w:bottom w:val="single" w:color="auto" w:sz="8" w:space="0"/>
              <w:right w:val="single" w:color="000000" w:sz="8" w:space="0"/>
            </w:tcBorders>
            <w:shd w:val="clear" w:color="auto" w:fill="auto"/>
            <w:vAlign w:val="center"/>
          </w:tcPr>
          <w:p w14:paraId="50B208D3">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含税总金额</w:t>
            </w:r>
          </w:p>
        </w:tc>
        <w:tc>
          <w:tcPr>
            <w:tcW w:w="1275" w:type="dxa"/>
            <w:tcBorders>
              <w:top w:val="nil"/>
              <w:left w:val="nil"/>
              <w:bottom w:val="single" w:color="auto" w:sz="8" w:space="0"/>
              <w:right w:val="single" w:color="auto" w:sz="8" w:space="0"/>
            </w:tcBorders>
            <w:shd w:val="clear" w:color="auto" w:fill="auto"/>
            <w:vAlign w:val="center"/>
          </w:tcPr>
          <w:p w14:paraId="59096F5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8" w:space="0"/>
              <w:right w:val="single" w:color="auto" w:sz="8" w:space="0"/>
            </w:tcBorders>
            <w:shd w:val="clear" w:color="auto" w:fill="auto"/>
            <w:vAlign w:val="center"/>
          </w:tcPr>
          <w:p w14:paraId="5A00B9D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3" w:type="dxa"/>
            <w:tcBorders>
              <w:top w:val="nil"/>
              <w:left w:val="nil"/>
              <w:bottom w:val="single" w:color="auto" w:sz="8" w:space="0"/>
              <w:right w:val="single" w:color="auto" w:sz="8" w:space="0"/>
            </w:tcBorders>
            <w:shd w:val="clear" w:color="auto" w:fill="auto"/>
            <w:vAlign w:val="center"/>
          </w:tcPr>
          <w:p w14:paraId="68E63C2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7" w:type="dxa"/>
            <w:tcBorders>
              <w:top w:val="nil"/>
              <w:left w:val="nil"/>
              <w:bottom w:val="single" w:color="auto" w:sz="8" w:space="0"/>
              <w:right w:val="single" w:color="auto" w:sz="8" w:space="0"/>
            </w:tcBorders>
            <w:shd w:val="clear" w:color="auto" w:fill="auto"/>
            <w:vAlign w:val="center"/>
          </w:tcPr>
          <w:p w14:paraId="639E963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全年人工</w:t>
            </w:r>
          </w:p>
        </w:tc>
      </w:tr>
    </w:tbl>
    <w:p w14:paraId="52FCE592">
      <w:pPr>
        <w:spacing w:line="440" w:lineRule="exact"/>
        <w:rPr>
          <w:rFonts w:hint="eastAsia" w:ascii="宋体" w:hAnsi="宋体" w:eastAsia="宋体"/>
          <w:iCs/>
          <w:sz w:val="24"/>
          <w:szCs w:val="24"/>
        </w:rPr>
      </w:pPr>
      <w:r>
        <w:rPr>
          <w:rFonts w:hint="eastAsia" w:ascii="宋体" w:hAnsi="宋体" w:eastAsia="宋体"/>
          <w:iCs/>
          <w:sz w:val="24"/>
          <w:szCs w:val="24"/>
        </w:rPr>
        <w:t>注：报价方可参照下方药品目录报价，具体价格以实际发生为准。</w:t>
      </w:r>
    </w:p>
    <w:p w14:paraId="03D46FBE">
      <w:pPr>
        <w:spacing w:line="440" w:lineRule="exact"/>
        <w:rPr>
          <w:rFonts w:hint="eastAsia" w:ascii="宋体" w:hAnsi="宋体" w:eastAsia="宋体"/>
          <w:iCs/>
          <w:sz w:val="24"/>
          <w:szCs w:val="24"/>
          <w:lang w:val="en-US" w:eastAsia="zh-CN"/>
        </w:rPr>
      </w:pPr>
      <w:r>
        <w:rPr>
          <w:rFonts w:hint="eastAsia" w:ascii="宋体" w:hAnsi="宋体" w:eastAsia="宋体"/>
          <w:iCs/>
          <w:sz w:val="24"/>
          <w:szCs w:val="24"/>
          <w:lang w:val="en-US" w:eastAsia="zh-CN"/>
        </w:rPr>
        <w:t>服务人员要求：</w:t>
      </w:r>
    </w:p>
    <w:p w14:paraId="6214A873">
      <w:pPr>
        <w:spacing w:line="440" w:lineRule="exact"/>
        <w:rPr>
          <w:rFonts w:hint="eastAsia" w:ascii="宋体" w:hAnsi="宋体" w:eastAsia="宋体"/>
          <w:iCs/>
          <w:sz w:val="24"/>
          <w:szCs w:val="24"/>
          <w:lang w:val="en-US" w:eastAsia="zh-CN"/>
        </w:rPr>
      </w:pPr>
      <w:r>
        <w:rPr>
          <w:rFonts w:hint="eastAsia" w:ascii="宋体" w:hAnsi="宋体" w:eastAsia="宋体"/>
          <w:iCs/>
          <w:sz w:val="24"/>
          <w:szCs w:val="24"/>
          <w:lang w:val="en-US" w:eastAsia="zh-CN"/>
        </w:rPr>
        <w:t>1.乙方应对在甲方提供现场服务的全部人员进行必要的背景调查，确保服务人员满足下列基本条件：</w:t>
      </w:r>
    </w:p>
    <w:p w14:paraId="1025A40A">
      <w:pPr>
        <w:spacing w:line="440" w:lineRule="exact"/>
        <w:rPr>
          <w:rFonts w:hint="eastAsia" w:ascii="宋体" w:hAnsi="宋体" w:eastAsia="宋体"/>
          <w:iCs/>
          <w:sz w:val="24"/>
          <w:szCs w:val="24"/>
          <w:lang w:val="en-US" w:eastAsia="zh-CN"/>
        </w:rPr>
      </w:pPr>
      <w:r>
        <w:rPr>
          <w:rFonts w:hint="eastAsia" w:ascii="宋体" w:hAnsi="宋体" w:eastAsia="宋体"/>
          <w:iCs/>
          <w:sz w:val="24"/>
          <w:szCs w:val="24"/>
          <w:lang w:val="en-US" w:eastAsia="zh-CN"/>
        </w:rPr>
        <w:t>2. 言行正派、诚实守信，未受过行政拘留、刑事处罚等；</w:t>
      </w:r>
    </w:p>
    <w:p w14:paraId="0897D74E">
      <w:pPr>
        <w:spacing w:line="440" w:lineRule="exact"/>
        <w:rPr>
          <w:rFonts w:hint="eastAsia" w:ascii="宋体" w:hAnsi="宋体" w:eastAsia="宋体"/>
          <w:iCs/>
          <w:sz w:val="24"/>
          <w:szCs w:val="24"/>
          <w:lang w:val="en-US" w:eastAsia="zh-CN"/>
        </w:rPr>
      </w:pPr>
      <w:r>
        <w:rPr>
          <w:rFonts w:hint="eastAsia" w:ascii="宋体" w:hAnsi="宋体" w:eastAsia="宋体"/>
          <w:iCs/>
          <w:sz w:val="24"/>
          <w:szCs w:val="24"/>
          <w:lang w:val="en-US" w:eastAsia="zh-CN"/>
        </w:rPr>
        <w:t>3. 乙方应对其工作人员工作期间的人身及财产安全负责，并为项目服务人员缴纳保额为</w:t>
      </w:r>
      <w:r>
        <w:rPr>
          <w:rFonts w:hint="eastAsia" w:ascii="宋体" w:hAnsi="宋体" w:eastAsia="宋体"/>
          <w:b/>
          <w:bCs/>
          <w:iCs/>
          <w:sz w:val="24"/>
          <w:szCs w:val="24"/>
          <w:lang w:val="en-US" w:eastAsia="zh-CN"/>
        </w:rPr>
        <w:t>1130040元</w:t>
      </w:r>
      <w:r>
        <w:rPr>
          <w:rFonts w:hint="eastAsia" w:ascii="宋体" w:hAnsi="宋体" w:eastAsia="宋体"/>
          <w:iCs/>
          <w:sz w:val="24"/>
          <w:szCs w:val="24"/>
          <w:lang w:val="en-US" w:eastAsia="zh-CN"/>
        </w:rPr>
        <w:t xml:space="preserve"> 元及以上的雇主责任险/社保；</w:t>
      </w:r>
    </w:p>
    <w:p w14:paraId="6F9BC0EE">
      <w:pPr>
        <w:spacing w:line="440" w:lineRule="exact"/>
        <w:rPr>
          <w:rFonts w:hint="eastAsia" w:ascii="宋体" w:hAnsi="宋体" w:eastAsia="宋体"/>
          <w:iCs/>
          <w:sz w:val="24"/>
          <w:szCs w:val="24"/>
        </w:rPr>
      </w:pPr>
      <w:r>
        <w:rPr>
          <w:rFonts w:hint="eastAsia" w:ascii="宋体" w:hAnsi="宋体" w:eastAsia="宋体"/>
          <w:iCs/>
          <w:sz w:val="24"/>
          <w:szCs w:val="24"/>
          <w:lang w:val="en-US" w:eastAsia="zh-CN"/>
        </w:rPr>
        <w:t>4.年龄应年满 18 周岁以上，且未达到法定退休年龄，具有合法有效的身份证明；</w:t>
      </w:r>
    </w:p>
    <w:p w14:paraId="31CEFADF">
      <w:pPr>
        <w:spacing w:line="440" w:lineRule="exact"/>
        <w:rPr>
          <w:rFonts w:hint="eastAsia" w:ascii="宋体" w:hAnsi="宋体" w:eastAsia="宋体"/>
          <w:iCs/>
          <w:sz w:val="24"/>
          <w:szCs w:val="24"/>
        </w:rPr>
      </w:pPr>
    </w:p>
    <w:p w14:paraId="2514D63C">
      <w:pPr>
        <w:spacing w:line="400" w:lineRule="atLeast"/>
        <w:ind w:firstLine="562" w:firstLineChars="200"/>
        <w:jc w:val="center"/>
        <w:rPr>
          <w:rFonts w:ascii="宋体" w:hAnsi="宋体" w:eastAsia="宋体"/>
          <w:b/>
          <w:color w:val="000000"/>
          <w:sz w:val="28"/>
          <w:szCs w:val="28"/>
        </w:rPr>
      </w:pPr>
      <w:r>
        <w:rPr>
          <w:rFonts w:hint="eastAsia" w:ascii="宋体" w:hAnsi="宋体" w:eastAsia="宋体"/>
          <w:b/>
          <w:color w:val="000000"/>
          <w:sz w:val="28"/>
          <w:szCs w:val="28"/>
        </w:rPr>
        <w:t>药品目录</w:t>
      </w:r>
    </w:p>
    <w:tbl>
      <w:tblPr>
        <w:tblStyle w:val="1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68"/>
        <w:gridCol w:w="2268"/>
        <w:gridCol w:w="1417"/>
        <w:gridCol w:w="1843"/>
      </w:tblGrid>
      <w:tr w14:paraId="7CE5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2B6B8D3F">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58166E5F">
            <w:pPr>
              <w:spacing w:line="400" w:lineRule="atLeast"/>
              <w:jc w:val="center"/>
              <w:rPr>
                <w:rFonts w:ascii="宋体" w:hAnsi="宋体" w:eastAsia="宋体"/>
                <w:color w:val="000000"/>
                <w:sz w:val="24"/>
                <w:szCs w:val="24"/>
              </w:rPr>
            </w:pPr>
            <w:r>
              <w:rPr>
                <w:rFonts w:hint="eastAsia" w:ascii="宋体" w:hAnsi="宋体" w:eastAsia="宋体"/>
                <w:sz w:val="24"/>
                <w:szCs w:val="24"/>
              </w:rPr>
              <w:t>商品名称</w:t>
            </w:r>
          </w:p>
        </w:tc>
        <w:tc>
          <w:tcPr>
            <w:tcW w:w="2268" w:type="dxa"/>
            <w:tcBorders>
              <w:top w:val="single" w:color="auto" w:sz="4" w:space="0"/>
              <w:left w:val="single" w:color="auto" w:sz="4" w:space="0"/>
              <w:bottom w:val="single" w:color="auto" w:sz="4" w:space="0"/>
              <w:right w:val="single" w:color="auto" w:sz="4" w:space="0"/>
            </w:tcBorders>
            <w:vAlign w:val="center"/>
          </w:tcPr>
          <w:p w14:paraId="6F950D19">
            <w:pPr>
              <w:spacing w:line="400" w:lineRule="atLeast"/>
              <w:jc w:val="center"/>
              <w:rPr>
                <w:rFonts w:ascii="宋体" w:hAnsi="宋体" w:eastAsia="宋体"/>
                <w:color w:val="000000"/>
                <w:sz w:val="24"/>
                <w:szCs w:val="24"/>
              </w:rPr>
            </w:pPr>
            <w:r>
              <w:rPr>
                <w:rFonts w:hint="eastAsia" w:ascii="宋体" w:hAnsi="宋体" w:eastAsia="宋体"/>
                <w:sz w:val="24"/>
                <w:szCs w:val="24"/>
              </w:rPr>
              <w:t>有效成分</w:t>
            </w:r>
          </w:p>
        </w:tc>
        <w:tc>
          <w:tcPr>
            <w:tcW w:w="1417" w:type="dxa"/>
            <w:tcBorders>
              <w:top w:val="single" w:color="auto" w:sz="4" w:space="0"/>
              <w:left w:val="single" w:color="auto" w:sz="4" w:space="0"/>
              <w:bottom w:val="single" w:color="auto" w:sz="4" w:space="0"/>
              <w:right w:val="single" w:color="auto" w:sz="4" w:space="0"/>
            </w:tcBorders>
            <w:vAlign w:val="center"/>
          </w:tcPr>
          <w:p w14:paraId="44246913">
            <w:pPr>
              <w:spacing w:line="400" w:lineRule="atLeast"/>
              <w:jc w:val="center"/>
              <w:rPr>
                <w:rFonts w:ascii="宋体" w:hAnsi="宋体" w:eastAsia="宋体"/>
                <w:color w:val="000000"/>
                <w:sz w:val="24"/>
                <w:szCs w:val="24"/>
              </w:rPr>
            </w:pPr>
            <w:r>
              <w:rPr>
                <w:rFonts w:hint="eastAsia" w:ascii="宋体" w:hAnsi="宋体" w:eastAsia="宋体"/>
                <w:sz w:val="24"/>
                <w:szCs w:val="24"/>
              </w:rPr>
              <w:t>含量</w:t>
            </w:r>
          </w:p>
        </w:tc>
        <w:tc>
          <w:tcPr>
            <w:tcW w:w="1843" w:type="dxa"/>
            <w:tcBorders>
              <w:top w:val="single" w:color="auto" w:sz="4" w:space="0"/>
              <w:left w:val="single" w:color="auto" w:sz="4" w:space="0"/>
              <w:bottom w:val="single" w:color="auto" w:sz="4" w:space="0"/>
              <w:right w:val="single" w:color="auto" w:sz="4" w:space="0"/>
            </w:tcBorders>
            <w:vAlign w:val="center"/>
          </w:tcPr>
          <w:p w14:paraId="43DFD472">
            <w:pPr>
              <w:spacing w:line="400" w:lineRule="atLeast"/>
              <w:jc w:val="center"/>
              <w:rPr>
                <w:rFonts w:ascii="宋体" w:hAnsi="宋体" w:eastAsia="宋体"/>
                <w:color w:val="000000"/>
                <w:sz w:val="24"/>
                <w:szCs w:val="24"/>
              </w:rPr>
            </w:pPr>
            <w:r>
              <w:rPr>
                <w:rFonts w:hint="eastAsia" w:ascii="宋体" w:hAnsi="宋体" w:eastAsia="宋体"/>
                <w:sz w:val="24"/>
                <w:szCs w:val="24"/>
              </w:rPr>
              <w:t>生产厂家</w:t>
            </w:r>
          </w:p>
        </w:tc>
      </w:tr>
      <w:tr w14:paraId="6BCF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1B8403DE">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14:paraId="32951977">
            <w:pPr>
              <w:spacing w:line="400" w:lineRule="atLeast"/>
              <w:jc w:val="center"/>
              <w:rPr>
                <w:rFonts w:ascii="宋体" w:hAnsi="宋体" w:eastAsia="宋体"/>
                <w:color w:val="000000"/>
                <w:sz w:val="24"/>
                <w:szCs w:val="24"/>
              </w:rPr>
            </w:pPr>
            <w:r>
              <w:rPr>
                <w:rFonts w:hint="eastAsia" w:ascii="宋体" w:hAnsi="宋体" w:eastAsia="宋体"/>
                <w:sz w:val="24"/>
                <w:szCs w:val="24"/>
              </w:rPr>
              <w:t>环卫乐乳油</w:t>
            </w:r>
          </w:p>
        </w:tc>
        <w:tc>
          <w:tcPr>
            <w:tcW w:w="2268" w:type="dxa"/>
            <w:tcBorders>
              <w:top w:val="single" w:color="auto" w:sz="4" w:space="0"/>
              <w:left w:val="single" w:color="auto" w:sz="4" w:space="0"/>
              <w:bottom w:val="single" w:color="auto" w:sz="4" w:space="0"/>
              <w:right w:val="single" w:color="auto" w:sz="4" w:space="0"/>
            </w:tcBorders>
            <w:vAlign w:val="center"/>
          </w:tcPr>
          <w:p w14:paraId="1CFEBE74">
            <w:pPr>
              <w:spacing w:line="400" w:lineRule="atLeast"/>
              <w:jc w:val="center"/>
              <w:rPr>
                <w:rFonts w:ascii="宋体" w:hAnsi="宋体" w:eastAsia="宋体"/>
                <w:color w:val="000000"/>
                <w:sz w:val="24"/>
                <w:szCs w:val="24"/>
              </w:rPr>
            </w:pPr>
            <w:r>
              <w:rPr>
                <w:rFonts w:hint="eastAsia" w:ascii="宋体" w:hAnsi="宋体" w:eastAsia="宋体"/>
                <w:sz w:val="24"/>
                <w:szCs w:val="24"/>
              </w:rPr>
              <w:t>高氯、毒死蜱</w:t>
            </w:r>
          </w:p>
        </w:tc>
        <w:tc>
          <w:tcPr>
            <w:tcW w:w="1417" w:type="dxa"/>
            <w:tcBorders>
              <w:top w:val="single" w:color="auto" w:sz="4" w:space="0"/>
              <w:left w:val="single" w:color="auto" w:sz="4" w:space="0"/>
              <w:bottom w:val="single" w:color="auto" w:sz="4" w:space="0"/>
              <w:right w:val="single" w:color="auto" w:sz="4" w:space="0"/>
            </w:tcBorders>
            <w:vAlign w:val="center"/>
          </w:tcPr>
          <w:p w14:paraId="73DD21E8">
            <w:pPr>
              <w:spacing w:line="400" w:lineRule="atLeast"/>
              <w:jc w:val="center"/>
              <w:rPr>
                <w:rFonts w:ascii="宋体" w:hAnsi="宋体" w:eastAsia="宋体"/>
                <w:color w:val="000000"/>
                <w:sz w:val="24"/>
                <w:szCs w:val="24"/>
              </w:rPr>
            </w:pPr>
            <w:r>
              <w:rPr>
                <w:rFonts w:hint="eastAsia" w:ascii="宋体" w:hAnsi="宋体" w:eastAsia="宋体"/>
                <w:sz w:val="24"/>
                <w:szCs w:val="24"/>
              </w:rPr>
              <w:t>12%</w:t>
            </w:r>
          </w:p>
        </w:tc>
        <w:tc>
          <w:tcPr>
            <w:tcW w:w="1843" w:type="dxa"/>
            <w:tcBorders>
              <w:top w:val="single" w:color="auto" w:sz="4" w:space="0"/>
              <w:left w:val="single" w:color="auto" w:sz="4" w:space="0"/>
              <w:bottom w:val="single" w:color="auto" w:sz="4" w:space="0"/>
              <w:right w:val="single" w:color="auto" w:sz="4" w:space="0"/>
            </w:tcBorders>
            <w:vAlign w:val="center"/>
          </w:tcPr>
          <w:p w14:paraId="056AC336">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南通功成等同档次品牌</w:t>
            </w:r>
          </w:p>
        </w:tc>
      </w:tr>
      <w:tr w14:paraId="193B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175C4676">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2</w:t>
            </w:r>
          </w:p>
        </w:tc>
        <w:tc>
          <w:tcPr>
            <w:tcW w:w="2268" w:type="dxa"/>
            <w:tcBorders>
              <w:top w:val="single" w:color="auto" w:sz="4" w:space="0"/>
              <w:left w:val="single" w:color="auto" w:sz="4" w:space="0"/>
              <w:bottom w:val="single" w:color="auto" w:sz="4" w:space="0"/>
              <w:right w:val="single" w:color="auto" w:sz="4" w:space="0"/>
            </w:tcBorders>
            <w:vAlign w:val="center"/>
          </w:tcPr>
          <w:p w14:paraId="4A07EB9E">
            <w:pPr>
              <w:spacing w:line="400" w:lineRule="atLeast"/>
              <w:jc w:val="center"/>
              <w:rPr>
                <w:rFonts w:ascii="宋体" w:hAnsi="宋体" w:eastAsia="宋体"/>
                <w:color w:val="000000"/>
                <w:sz w:val="24"/>
                <w:szCs w:val="24"/>
              </w:rPr>
            </w:pPr>
            <w:r>
              <w:rPr>
                <w:rFonts w:hint="eastAsia" w:ascii="宋体" w:hAnsi="宋体" w:eastAsia="宋体"/>
                <w:sz w:val="24"/>
                <w:szCs w:val="24"/>
              </w:rPr>
              <w:t>创卫能可溶性液剂</w:t>
            </w:r>
          </w:p>
        </w:tc>
        <w:tc>
          <w:tcPr>
            <w:tcW w:w="2268" w:type="dxa"/>
            <w:tcBorders>
              <w:top w:val="single" w:color="auto" w:sz="4" w:space="0"/>
              <w:left w:val="single" w:color="auto" w:sz="4" w:space="0"/>
              <w:bottom w:val="single" w:color="auto" w:sz="4" w:space="0"/>
              <w:right w:val="single" w:color="auto" w:sz="4" w:space="0"/>
            </w:tcBorders>
            <w:vAlign w:val="center"/>
          </w:tcPr>
          <w:p w14:paraId="2CE6E291">
            <w:pPr>
              <w:spacing w:line="400" w:lineRule="atLeast"/>
              <w:jc w:val="center"/>
              <w:rPr>
                <w:rFonts w:ascii="宋体" w:hAnsi="宋体" w:eastAsia="宋体"/>
                <w:color w:val="000000"/>
                <w:sz w:val="24"/>
                <w:szCs w:val="24"/>
              </w:rPr>
            </w:pPr>
            <w:r>
              <w:rPr>
                <w:rFonts w:hint="eastAsia" w:ascii="宋体" w:hAnsi="宋体" w:eastAsia="宋体"/>
                <w:sz w:val="24"/>
                <w:szCs w:val="24"/>
              </w:rPr>
              <w:t>辛硫·高效氯氟氰</w:t>
            </w:r>
          </w:p>
        </w:tc>
        <w:tc>
          <w:tcPr>
            <w:tcW w:w="1417" w:type="dxa"/>
            <w:tcBorders>
              <w:top w:val="single" w:color="auto" w:sz="4" w:space="0"/>
              <w:left w:val="single" w:color="auto" w:sz="4" w:space="0"/>
              <w:bottom w:val="single" w:color="auto" w:sz="4" w:space="0"/>
              <w:right w:val="single" w:color="auto" w:sz="4" w:space="0"/>
            </w:tcBorders>
            <w:vAlign w:val="center"/>
          </w:tcPr>
          <w:p w14:paraId="308EAA2C">
            <w:pPr>
              <w:spacing w:line="400" w:lineRule="atLeast"/>
              <w:jc w:val="center"/>
              <w:rPr>
                <w:rFonts w:ascii="宋体" w:hAnsi="宋体" w:eastAsia="宋体"/>
                <w:color w:val="000000"/>
                <w:sz w:val="24"/>
                <w:szCs w:val="24"/>
              </w:rPr>
            </w:pPr>
            <w:r>
              <w:rPr>
                <w:rFonts w:hint="eastAsia" w:ascii="宋体" w:hAnsi="宋体" w:eastAsia="宋体"/>
                <w:sz w:val="24"/>
                <w:szCs w:val="24"/>
              </w:rPr>
              <w:t>21%</w:t>
            </w:r>
          </w:p>
        </w:tc>
        <w:tc>
          <w:tcPr>
            <w:tcW w:w="1843" w:type="dxa"/>
            <w:tcBorders>
              <w:top w:val="single" w:color="auto" w:sz="4" w:space="0"/>
              <w:left w:val="single" w:color="auto" w:sz="4" w:space="0"/>
              <w:bottom w:val="single" w:color="auto" w:sz="4" w:space="0"/>
              <w:right w:val="single" w:color="auto" w:sz="4" w:space="0"/>
            </w:tcBorders>
            <w:vAlign w:val="center"/>
          </w:tcPr>
          <w:p w14:paraId="6C231720">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南京荣诚等同档次品牌</w:t>
            </w:r>
          </w:p>
        </w:tc>
      </w:tr>
      <w:tr w14:paraId="4644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08CF987F">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3</w:t>
            </w:r>
          </w:p>
        </w:tc>
        <w:tc>
          <w:tcPr>
            <w:tcW w:w="2268" w:type="dxa"/>
            <w:tcBorders>
              <w:top w:val="single" w:color="auto" w:sz="4" w:space="0"/>
              <w:left w:val="single" w:color="auto" w:sz="4" w:space="0"/>
              <w:bottom w:val="single" w:color="auto" w:sz="4" w:space="0"/>
              <w:right w:val="single" w:color="auto" w:sz="4" w:space="0"/>
            </w:tcBorders>
            <w:vAlign w:val="center"/>
          </w:tcPr>
          <w:p w14:paraId="1F19F8EF">
            <w:pPr>
              <w:spacing w:line="400" w:lineRule="atLeast"/>
              <w:jc w:val="center"/>
              <w:rPr>
                <w:rFonts w:ascii="宋体" w:hAnsi="宋体" w:eastAsia="宋体"/>
                <w:color w:val="000000"/>
                <w:sz w:val="24"/>
                <w:szCs w:val="24"/>
              </w:rPr>
            </w:pPr>
            <w:r>
              <w:rPr>
                <w:rFonts w:hint="eastAsia" w:ascii="宋体" w:hAnsi="宋体" w:eastAsia="宋体"/>
                <w:sz w:val="24"/>
                <w:szCs w:val="24"/>
              </w:rPr>
              <w:t>都灭悬浮剂</w:t>
            </w:r>
          </w:p>
        </w:tc>
        <w:tc>
          <w:tcPr>
            <w:tcW w:w="2268" w:type="dxa"/>
            <w:tcBorders>
              <w:top w:val="single" w:color="auto" w:sz="4" w:space="0"/>
              <w:left w:val="single" w:color="auto" w:sz="4" w:space="0"/>
              <w:bottom w:val="single" w:color="auto" w:sz="4" w:space="0"/>
              <w:right w:val="single" w:color="auto" w:sz="4" w:space="0"/>
            </w:tcBorders>
            <w:vAlign w:val="center"/>
          </w:tcPr>
          <w:p w14:paraId="426FB686">
            <w:pPr>
              <w:spacing w:line="400" w:lineRule="atLeast"/>
              <w:jc w:val="center"/>
              <w:rPr>
                <w:rFonts w:ascii="宋体" w:hAnsi="宋体" w:eastAsia="宋体"/>
                <w:color w:val="000000"/>
                <w:sz w:val="24"/>
                <w:szCs w:val="24"/>
              </w:rPr>
            </w:pPr>
            <w:r>
              <w:rPr>
                <w:rFonts w:hint="eastAsia" w:ascii="宋体" w:hAnsi="宋体" w:eastAsia="宋体"/>
                <w:sz w:val="24"/>
                <w:szCs w:val="24"/>
              </w:rPr>
              <w:t>5%顺式氯氰菊酯</w:t>
            </w:r>
          </w:p>
        </w:tc>
        <w:tc>
          <w:tcPr>
            <w:tcW w:w="1417" w:type="dxa"/>
            <w:tcBorders>
              <w:top w:val="single" w:color="auto" w:sz="4" w:space="0"/>
              <w:left w:val="single" w:color="auto" w:sz="4" w:space="0"/>
              <w:bottom w:val="single" w:color="auto" w:sz="4" w:space="0"/>
              <w:right w:val="single" w:color="auto" w:sz="4" w:space="0"/>
            </w:tcBorders>
            <w:vAlign w:val="center"/>
          </w:tcPr>
          <w:p w14:paraId="52BA1A61">
            <w:pPr>
              <w:spacing w:line="400" w:lineRule="atLeast"/>
              <w:jc w:val="center"/>
              <w:rPr>
                <w:rFonts w:ascii="宋体" w:hAnsi="宋体" w:eastAsia="宋体"/>
                <w:color w:val="000000"/>
                <w:sz w:val="24"/>
                <w:szCs w:val="24"/>
              </w:rPr>
            </w:pPr>
            <w:r>
              <w:rPr>
                <w:rFonts w:hint="eastAsia" w:ascii="宋体" w:hAnsi="宋体" w:eastAsia="宋体"/>
                <w:sz w:val="24"/>
                <w:szCs w:val="24"/>
              </w:rPr>
              <w:t>50 克/升</w:t>
            </w:r>
          </w:p>
        </w:tc>
        <w:tc>
          <w:tcPr>
            <w:tcW w:w="1843" w:type="dxa"/>
            <w:tcBorders>
              <w:top w:val="single" w:color="auto" w:sz="4" w:space="0"/>
              <w:left w:val="single" w:color="auto" w:sz="4" w:space="0"/>
              <w:bottom w:val="single" w:color="auto" w:sz="4" w:space="0"/>
              <w:right w:val="single" w:color="auto" w:sz="4" w:space="0"/>
            </w:tcBorders>
            <w:vAlign w:val="center"/>
          </w:tcPr>
          <w:p w14:paraId="4892E410">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美国富美实等同档次品牌</w:t>
            </w:r>
          </w:p>
        </w:tc>
      </w:tr>
      <w:tr w14:paraId="7FFB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3D5C57B6">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4</w:t>
            </w:r>
          </w:p>
        </w:tc>
        <w:tc>
          <w:tcPr>
            <w:tcW w:w="2268" w:type="dxa"/>
            <w:tcBorders>
              <w:top w:val="single" w:color="auto" w:sz="4" w:space="0"/>
              <w:left w:val="single" w:color="auto" w:sz="4" w:space="0"/>
              <w:bottom w:val="single" w:color="auto" w:sz="4" w:space="0"/>
              <w:right w:val="single" w:color="auto" w:sz="4" w:space="0"/>
            </w:tcBorders>
            <w:vAlign w:val="center"/>
          </w:tcPr>
          <w:p w14:paraId="1A9DAD8C">
            <w:pPr>
              <w:spacing w:line="400" w:lineRule="atLeast"/>
              <w:jc w:val="center"/>
              <w:rPr>
                <w:rFonts w:ascii="宋体" w:hAnsi="宋体" w:eastAsia="宋体"/>
                <w:color w:val="000000"/>
                <w:sz w:val="24"/>
                <w:szCs w:val="24"/>
              </w:rPr>
            </w:pPr>
            <w:r>
              <w:rPr>
                <w:rFonts w:hint="eastAsia" w:ascii="宋体" w:hAnsi="宋体" w:eastAsia="宋体"/>
                <w:sz w:val="24"/>
                <w:szCs w:val="24"/>
              </w:rPr>
              <w:t>除敌悬浮剂</w:t>
            </w:r>
          </w:p>
        </w:tc>
        <w:tc>
          <w:tcPr>
            <w:tcW w:w="2268" w:type="dxa"/>
            <w:tcBorders>
              <w:top w:val="single" w:color="auto" w:sz="4" w:space="0"/>
              <w:left w:val="single" w:color="auto" w:sz="4" w:space="0"/>
              <w:bottom w:val="single" w:color="auto" w:sz="4" w:space="0"/>
              <w:right w:val="single" w:color="auto" w:sz="4" w:space="0"/>
            </w:tcBorders>
            <w:vAlign w:val="center"/>
          </w:tcPr>
          <w:p w14:paraId="2E1791D4">
            <w:pPr>
              <w:spacing w:line="400" w:lineRule="atLeast"/>
              <w:jc w:val="center"/>
              <w:rPr>
                <w:rFonts w:ascii="宋体" w:hAnsi="宋体" w:eastAsia="宋体"/>
                <w:color w:val="000000"/>
                <w:sz w:val="24"/>
                <w:szCs w:val="24"/>
              </w:rPr>
            </w:pPr>
            <w:r>
              <w:rPr>
                <w:rFonts w:hint="eastAsia" w:ascii="宋体" w:hAnsi="宋体" w:eastAsia="宋体"/>
                <w:sz w:val="24"/>
                <w:szCs w:val="24"/>
              </w:rPr>
              <w:t>2.5%溴氰菊酯</w:t>
            </w:r>
          </w:p>
        </w:tc>
        <w:tc>
          <w:tcPr>
            <w:tcW w:w="1417" w:type="dxa"/>
            <w:tcBorders>
              <w:top w:val="single" w:color="auto" w:sz="4" w:space="0"/>
              <w:left w:val="single" w:color="auto" w:sz="4" w:space="0"/>
              <w:bottom w:val="single" w:color="auto" w:sz="4" w:space="0"/>
              <w:right w:val="single" w:color="auto" w:sz="4" w:space="0"/>
            </w:tcBorders>
            <w:vAlign w:val="center"/>
          </w:tcPr>
          <w:p w14:paraId="59422DCF">
            <w:pPr>
              <w:spacing w:line="400" w:lineRule="atLeast"/>
              <w:jc w:val="center"/>
              <w:rPr>
                <w:rFonts w:ascii="宋体" w:hAnsi="宋体" w:eastAsia="宋体"/>
                <w:color w:val="000000"/>
                <w:sz w:val="24"/>
                <w:szCs w:val="24"/>
              </w:rPr>
            </w:pPr>
            <w:r>
              <w:rPr>
                <w:rFonts w:hint="eastAsia" w:ascii="宋体" w:hAnsi="宋体" w:eastAsia="宋体"/>
                <w:sz w:val="24"/>
                <w:szCs w:val="24"/>
              </w:rPr>
              <w:t>25 克/升</w:t>
            </w:r>
          </w:p>
        </w:tc>
        <w:tc>
          <w:tcPr>
            <w:tcW w:w="1843" w:type="dxa"/>
            <w:tcBorders>
              <w:top w:val="single" w:color="auto" w:sz="4" w:space="0"/>
              <w:left w:val="single" w:color="auto" w:sz="4" w:space="0"/>
              <w:bottom w:val="single" w:color="auto" w:sz="4" w:space="0"/>
              <w:right w:val="single" w:color="auto" w:sz="4" w:space="0"/>
            </w:tcBorders>
            <w:vAlign w:val="center"/>
          </w:tcPr>
          <w:p w14:paraId="5AE43617">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德国拜耳等同档次品牌</w:t>
            </w:r>
          </w:p>
        </w:tc>
      </w:tr>
      <w:tr w14:paraId="454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7EB32D91">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5</w:t>
            </w:r>
          </w:p>
        </w:tc>
        <w:tc>
          <w:tcPr>
            <w:tcW w:w="2268" w:type="dxa"/>
            <w:tcBorders>
              <w:top w:val="single" w:color="auto" w:sz="4" w:space="0"/>
              <w:left w:val="single" w:color="auto" w:sz="4" w:space="0"/>
              <w:bottom w:val="single" w:color="auto" w:sz="4" w:space="0"/>
              <w:right w:val="single" w:color="auto" w:sz="4" w:space="0"/>
            </w:tcBorders>
            <w:vAlign w:val="center"/>
          </w:tcPr>
          <w:p w14:paraId="3AE7FE99">
            <w:pPr>
              <w:spacing w:line="400" w:lineRule="atLeast"/>
              <w:jc w:val="center"/>
              <w:rPr>
                <w:rFonts w:ascii="宋体" w:hAnsi="宋体" w:eastAsia="宋体"/>
                <w:color w:val="000000"/>
                <w:sz w:val="24"/>
                <w:szCs w:val="24"/>
              </w:rPr>
            </w:pPr>
            <w:r>
              <w:rPr>
                <w:rFonts w:hint="eastAsia" w:ascii="宋体" w:hAnsi="宋体" w:eastAsia="宋体"/>
                <w:sz w:val="24"/>
                <w:szCs w:val="24"/>
              </w:rPr>
              <w:t>百力康可湿性粉剂</w:t>
            </w:r>
          </w:p>
        </w:tc>
        <w:tc>
          <w:tcPr>
            <w:tcW w:w="2268" w:type="dxa"/>
            <w:tcBorders>
              <w:top w:val="single" w:color="auto" w:sz="4" w:space="0"/>
              <w:left w:val="single" w:color="auto" w:sz="4" w:space="0"/>
              <w:bottom w:val="single" w:color="auto" w:sz="4" w:space="0"/>
              <w:right w:val="single" w:color="auto" w:sz="4" w:space="0"/>
            </w:tcBorders>
            <w:vAlign w:val="center"/>
          </w:tcPr>
          <w:p w14:paraId="711F1536">
            <w:pPr>
              <w:spacing w:line="400" w:lineRule="atLeast"/>
              <w:jc w:val="center"/>
              <w:rPr>
                <w:rFonts w:ascii="宋体" w:hAnsi="宋体" w:eastAsia="宋体"/>
                <w:color w:val="000000"/>
                <w:sz w:val="24"/>
                <w:szCs w:val="24"/>
              </w:rPr>
            </w:pPr>
            <w:r>
              <w:rPr>
                <w:rFonts w:hint="eastAsia" w:ascii="宋体" w:hAnsi="宋体" w:eastAsia="宋体"/>
                <w:sz w:val="24"/>
                <w:szCs w:val="24"/>
              </w:rPr>
              <w:t>高效氟氯氰菊酯</w:t>
            </w:r>
          </w:p>
        </w:tc>
        <w:tc>
          <w:tcPr>
            <w:tcW w:w="1417" w:type="dxa"/>
            <w:tcBorders>
              <w:top w:val="single" w:color="auto" w:sz="4" w:space="0"/>
              <w:left w:val="single" w:color="auto" w:sz="4" w:space="0"/>
              <w:bottom w:val="single" w:color="auto" w:sz="4" w:space="0"/>
              <w:right w:val="single" w:color="auto" w:sz="4" w:space="0"/>
            </w:tcBorders>
            <w:vAlign w:val="center"/>
          </w:tcPr>
          <w:p w14:paraId="507DAC75">
            <w:pPr>
              <w:spacing w:line="400" w:lineRule="atLeast"/>
              <w:jc w:val="center"/>
              <w:rPr>
                <w:rFonts w:ascii="宋体" w:hAnsi="宋体" w:eastAsia="宋体"/>
                <w:color w:val="000000"/>
                <w:sz w:val="24"/>
                <w:szCs w:val="24"/>
              </w:rPr>
            </w:pPr>
            <w:r>
              <w:rPr>
                <w:rFonts w:hint="eastAsia" w:ascii="宋体" w:hAnsi="宋体" w:eastAsia="宋体"/>
                <w:sz w:val="24"/>
                <w:szCs w:val="24"/>
              </w:rPr>
              <w:t>10%</w:t>
            </w:r>
          </w:p>
        </w:tc>
        <w:tc>
          <w:tcPr>
            <w:tcW w:w="1843" w:type="dxa"/>
            <w:tcBorders>
              <w:top w:val="single" w:color="auto" w:sz="4" w:space="0"/>
              <w:left w:val="single" w:color="auto" w:sz="4" w:space="0"/>
              <w:bottom w:val="single" w:color="auto" w:sz="4" w:space="0"/>
              <w:right w:val="single" w:color="auto" w:sz="4" w:space="0"/>
            </w:tcBorders>
            <w:vAlign w:val="center"/>
          </w:tcPr>
          <w:p w14:paraId="004DD774">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南通功成等同档次品牌</w:t>
            </w:r>
          </w:p>
        </w:tc>
      </w:tr>
      <w:tr w14:paraId="2AEF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0A790A08">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6</w:t>
            </w:r>
          </w:p>
        </w:tc>
        <w:tc>
          <w:tcPr>
            <w:tcW w:w="2268" w:type="dxa"/>
            <w:tcBorders>
              <w:top w:val="single" w:color="auto" w:sz="4" w:space="0"/>
              <w:left w:val="single" w:color="auto" w:sz="4" w:space="0"/>
              <w:bottom w:val="single" w:color="auto" w:sz="4" w:space="0"/>
              <w:right w:val="single" w:color="auto" w:sz="4" w:space="0"/>
            </w:tcBorders>
            <w:vAlign w:val="center"/>
          </w:tcPr>
          <w:p w14:paraId="60828F0D">
            <w:pPr>
              <w:spacing w:line="400" w:lineRule="atLeast"/>
              <w:jc w:val="center"/>
              <w:rPr>
                <w:rFonts w:ascii="宋体" w:hAnsi="宋体" w:eastAsia="宋体"/>
                <w:color w:val="000000"/>
                <w:sz w:val="24"/>
                <w:szCs w:val="24"/>
              </w:rPr>
            </w:pPr>
            <w:r>
              <w:rPr>
                <w:rFonts w:hint="eastAsia" w:ascii="宋体" w:hAnsi="宋体" w:eastAsia="宋体"/>
                <w:sz w:val="24"/>
                <w:szCs w:val="24"/>
              </w:rPr>
              <w:t>创卫水乳剂</w:t>
            </w:r>
          </w:p>
        </w:tc>
        <w:tc>
          <w:tcPr>
            <w:tcW w:w="2268" w:type="dxa"/>
            <w:tcBorders>
              <w:top w:val="single" w:color="auto" w:sz="4" w:space="0"/>
              <w:left w:val="single" w:color="auto" w:sz="4" w:space="0"/>
              <w:bottom w:val="single" w:color="auto" w:sz="4" w:space="0"/>
              <w:right w:val="single" w:color="auto" w:sz="4" w:space="0"/>
            </w:tcBorders>
            <w:vAlign w:val="center"/>
          </w:tcPr>
          <w:p w14:paraId="0BB6BDC4">
            <w:pPr>
              <w:spacing w:line="400" w:lineRule="atLeast"/>
              <w:jc w:val="center"/>
              <w:rPr>
                <w:rFonts w:ascii="宋体" w:hAnsi="宋体" w:eastAsia="宋体"/>
                <w:color w:val="000000"/>
                <w:sz w:val="24"/>
                <w:szCs w:val="24"/>
              </w:rPr>
            </w:pPr>
            <w:r>
              <w:rPr>
                <w:rFonts w:hint="eastAsia" w:ascii="宋体" w:hAnsi="宋体" w:eastAsia="宋体"/>
                <w:sz w:val="24"/>
                <w:szCs w:val="24"/>
              </w:rPr>
              <w:t>氯菊酯、ES-生物烯丙菊酯</w:t>
            </w:r>
          </w:p>
        </w:tc>
        <w:tc>
          <w:tcPr>
            <w:tcW w:w="1417" w:type="dxa"/>
            <w:tcBorders>
              <w:top w:val="single" w:color="auto" w:sz="4" w:space="0"/>
              <w:left w:val="single" w:color="auto" w:sz="4" w:space="0"/>
              <w:bottom w:val="single" w:color="auto" w:sz="4" w:space="0"/>
              <w:right w:val="single" w:color="auto" w:sz="4" w:space="0"/>
            </w:tcBorders>
            <w:vAlign w:val="center"/>
          </w:tcPr>
          <w:p w14:paraId="7C9ACC16">
            <w:pPr>
              <w:spacing w:line="400" w:lineRule="atLeast"/>
              <w:jc w:val="center"/>
              <w:rPr>
                <w:rFonts w:ascii="宋体" w:hAnsi="宋体" w:eastAsia="宋体"/>
                <w:color w:val="000000"/>
                <w:sz w:val="24"/>
                <w:szCs w:val="24"/>
              </w:rPr>
            </w:pPr>
            <w:r>
              <w:rPr>
                <w:rFonts w:hint="eastAsia" w:ascii="宋体" w:hAnsi="宋体" w:eastAsia="宋体"/>
                <w:sz w:val="24"/>
                <w:szCs w:val="24"/>
              </w:rPr>
              <w:t>10.5%</w:t>
            </w:r>
          </w:p>
        </w:tc>
        <w:tc>
          <w:tcPr>
            <w:tcW w:w="1843" w:type="dxa"/>
            <w:tcBorders>
              <w:top w:val="single" w:color="auto" w:sz="4" w:space="0"/>
              <w:left w:val="single" w:color="auto" w:sz="4" w:space="0"/>
              <w:bottom w:val="single" w:color="auto" w:sz="4" w:space="0"/>
              <w:right w:val="single" w:color="auto" w:sz="4" w:space="0"/>
            </w:tcBorders>
            <w:vAlign w:val="center"/>
          </w:tcPr>
          <w:p w14:paraId="5994578F">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南京荣诚等同档次品牌</w:t>
            </w:r>
          </w:p>
        </w:tc>
      </w:tr>
      <w:tr w14:paraId="7DC0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52885246">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7</w:t>
            </w:r>
          </w:p>
        </w:tc>
        <w:tc>
          <w:tcPr>
            <w:tcW w:w="2268" w:type="dxa"/>
            <w:tcBorders>
              <w:top w:val="single" w:color="auto" w:sz="4" w:space="0"/>
              <w:left w:val="single" w:color="auto" w:sz="4" w:space="0"/>
              <w:bottom w:val="single" w:color="auto" w:sz="4" w:space="0"/>
              <w:right w:val="single" w:color="auto" w:sz="4" w:space="0"/>
            </w:tcBorders>
            <w:vAlign w:val="center"/>
          </w:tcPr>
          <w:p w14:paraId="52C93174">
            <w:pPr>
              <w:spacing w:line="400" w:lineRule="atLeast"/>
              <w:jc w:val="center"/>
              <w:rPr>
                <w:rFonts w:ascii="宋体" w:hAnsi="宋体" w:eastAsia="宋体"/>
                <w:color w:val="000000"/>
                <w:sz w:val="24"/>
                <w:szCs w:val="24"/>
              </w:rPr>
            </w:pPr>
            <w:r>
              <w:rPr>
                <w:rFonts w:hint="eastAsia" w:ascii="宋体" w:hAnsi="宋体" w:eastAsia="宋体"/>
                <w:sz w:val="24"/>
                <w:szCs w:val="24"/>
              </w:rPr>
              <w:t>列喜镇水乳剂</w:t>
            </w:r>
          </w:p>
        </w:tc>
        <w:tc>
          <w:tcPr>
            <w:tcW w:w="2268" w:type="dxa"/>
            <w:tcBorders>
              <w:top w:val="single" w:color="auto" w:sz="4" w:space="0"/>
              <w:left w:val="single" w:color="auto" w:sz="4" w:space="0"/>
              <w:bottom w:val="single" w:color="auto" w:sz="4" w:space="0"/>
              <w:right w:val="single" w:color="auto" w:sz="4" w:space="0"/>
            </w:tcBorders>
            <w:vAlign w:val="center"/>
          </w:tcPr>
          <w:p w14:paraId="0B7B09CF">
            <w:pPr>
              <w:spacing w:line="400" w:lineRule="atLeast"/>
              <w:jc w:val="center"/>
              <w:rPr>
                <w:rFonts w:ascii="宋体" w:hAnsi="宋体" w:eastAsia="宋体"/>
                <w:color w:val="000000"/>
                <w:sz w:val="24"/>
                <w:szCs w:val="24"/>
              </w:rPr>
            </w:pPr>
            <w:r>
              <w:rPr>
                <w:rFonts w:hint="eastAsia" w:ascii="宋体" w:hAnsi="宋体" w:eastAsia="宋体"/>
                <w:sz w:val="24"/>
                <w:szCs w:val="24"/>
              </w:rPr>
              <w:t>氯菊·烯丙菊</w:t>
            </w:r>
          </w:p>
        </w:tc>
        <w:tc>
          <w:tcPr>
            <w:tcW w:w="1417" w:type="dxa"/>
            <w:tcBorders>
              <w:top w:val="single" w:color="auto" w:sz="4" w:space="0"/>
              <w:left w:val="single" w:color="auto" w:sz="4" w:space="0"/>
              <w:bottom w:val="single" w:color="auto" w:sz="4" w:space="0"/>
              <w:right w:val="single" w:color="auto" w:sz="4" w:space="0"/>
            </w:tcBorders>
            <w:vAlign w:val="center"/>
          </w:tcPr>
          <w:p w14:paraId="0A33F570">
            <w:pPr>
              <w:spacing w:line="400" w:lineRule="atLeast"/>
              <w:jc w:val="center"/>
              <w:rPr>
                <w:rFonts w:ascii="宋体" w:hAnsi="宋体" w:eastAsia="宋体"/>
                <w:color w:val="000000"/>
                <w:sz w:val="24"/>
                <w:szCs w:val="24"/>
              </w:rPr>
            </w:pPr>
            <w:r>
              <w:rPr>
                <w:rFonts w:hint="eastAsia" w:ascii="宋体" w:hAnsi="宋体" w:eastAsia="宋体"/>
                <w:sz w:val="24"/>
                <w:szCs w:val="24"/>
              </w:rPr>
              <w:t>104 克/升</w:t>
            </w:r>
          </w:p>
        </w:tc>
        <w:tc>
          <w:tcPr>
            <w:tcW w:w="1843" w:type="dxa"/>
            <w:tcBorders>
              <w:top w:val="single" w:color="auto" w:sz="4" w:space="0"/>
              <w:left w:val="single" w:color="auto" w:sz="4" w:space="0"/>
              <w:bottom w:val="single" w:color="auto" w:sz="4" w:space="0"/>
              <w:right w:val="single" w:color="auto" w:sz="4" w:space="0"/>
            </w:tcBorders>
            <w:vAlign w:val="center"/>
          </w:tcPr>
          <w:p w14:paraId="065B75C0">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德国拜耳等同档次品牌</w:t>
            </w:r>
          </w:p>
        </w:tc>
      </w:tr>
      <w:tr w14:paraId="738F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6E2CE1AC">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8</w:t>
            </w:r>
          </w:p>
        </w:tc>
        <w:tc>
          <w:tcPr>
            <w:tcW w:w="2268" w:type="dxa"/>
            <w:tcBorders>
              <w:top w:val="single" w:color="auto" w:sz="4" w:space="0"/>
              <w:left w:val="single" w:color="auto" w:sz="4" w:space="0"/>
              <w:bottom w:val="single" w:color="auto" w:sz="4" w:space="0"/>
              <w:right w:val="single" w:color="auto" w:sz="4" w:space="0"/>
            </w:tcBorders>
            <w:vAlign w:val="center"/>
          </w:tcPr>
          <w:p w14:paraId="4ADA797F">
            <w:pPr>
              <w:spacing w:line="400" w:lineRule="atLeast"/>
              <w:jc w:val="center"/>
              <w:rPr>
                <w:rFonts w:ascii="宋体" w:hAnsi="宋体" w:eastAsia="宋体"/>
                <w:color w:val="000000"/>
                <w:sz w:val="24"/>
                <w:szCs w:val="24"/>
              </w:rPr>
            </w:pPr>
            <w:r>
              <w:rPr>
                <w:rFonts w:hint="eastAsia" w:ascii="宋体" w:hAnsi="宋体" w:eastAsia="宋体"/>
                <w:sz w:val="24"/>
                <w:szCs w:val="24"/>
              </w:rPr>
              <w:t>球形芽孢杆菌悬浮剂</w:t>
            </w:r>
          </w:p>
        </w:tc>
        <w:tc>
          <w:tcPr>
            <w:tcW w:w="2268" w:type="dxa"/>
            <w:tcBorders>
              <w:top w:val="single" w:color="auto" w:sz="4" w:space="0"/>
              <w:left w:val="single" w:color="auto" w:sz="4" w:space="0"/>
              <w:bottom w:val="single" w:color="auto" w:sz="4" w:space="0"/>
              <w:right w:val="single" w:color="auto" w:sz="4" w:space="0"/>
            </w:tcBorders>
            <w:vAlign w:val="center"/>
          </w:tcPr>
          <w:p w14:paraId="3A73DA46">
            <w:pPr>
              <w:spacing w:line="400" w:lineRule="atLeast"/>
              <w:jc w:val="center"/>
              <w:rPr>
                <w:rFonts w:ascii="宋体" w:hAnsi="宋体" w:eastAsia="宋体"/>
                <w:color w:val="000000"/>
                <w:sz w:val="24"/>
                <w:szCs w:val="24"/>
              </w:rPr>
            </w:pPr>
            <w:r>
              <w:rPr>
                <w:rFonts w:hint="eastAsia" w:ascii="宋体" w:hAnsi="宋体" w:eastAsia="宋体"/>
                <w:sz w:val="24"/>
                <w:szCs w:val="24"/>
              </w:rPr>
              <w:t>球形芽孢杆菌</w:t>
            </w:r>
          </w:p>
        </w:tc>
        <w:tc>
          <w:tcPr>
            <w:tcW w:w="1417" w:type="dxa"/>
            <w:tcBorders>
              <w:top w:val="single" w:color="auto" w:sz="4" w:space="0"/>
              <w:left w:val="single" w:color="auto" w:sz="4" w:space="0"/>
              <w:bottom w:val="single" w:color="auto" w:sz="4" w:space="0"/>
              <w:right w:val="single" w:color="auto" w:sz="4" w:space="0"/>
            </w:tcBorders>
            <w:vAlign w:val="center"/>
          </w:tcPr>
          <w:p w14:paraId="098980CE">
            <w:pPr>
              <w:spacing w:line="400" w:lineRule="atLeast"/>
              <w:jc w:val="center"/>
              <w:rPr>
                <w:rFonts w:ascii="宋体" w:hAnsi="宋体" w:eastAsia="宋体"/>
                <w:color w:val="000000"/>
                <w:sz w:val="24"/>
                <w:szCs w:val="24"/>
              </w:rPr>
            </w:pPr>
            <w:r>
              <w:rPr>
                <w:rFonts w:hint="eastAsia" w:ascii="宋体" w:hAnsi="宋体" w:eastAsia="宋体"/>
                <w:sz w:val="24"/>
                <w:szCs w:val="24"/>
              </w:rPr>
              <w:t>100ITU/mg</w:t>
            </w:r>
          </w:p>
        </w:tc>
        <w:tc>
          <w:tcPr>
            <w:tcW w:w="1843" w:type="dxa"/>
            <w:tcBorders>
              <w:top w:val="single" w:color="auto" w:sz="4" w:space="0"/>
              <w:left w:val="single" w:color="auto" w:sz="4" w:space="0"/>
              <w:bottom w:val="single" w:color="auto" w:sz="4" w:space="0"/>
              <w:right w:val="single" w:color="auto" w:sz="4" w:space="0"/>
            </w:tcBorders>
            <w:vAlign w:val="center"/>
          </w:tcPr>
          <w:p w14:paraId="7B1F1C59">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扬州绿源等同档次品牌</w:t>
            </w:r>
          </w:p>
        </w:tc>
      </w:tr>
      <w:tr w14:paraId="52F8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644A6B09">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9</w:t>
            </w:r>
          </w:p>
        </w:tc>
        <w:tc>
          <w:tcPr>
            <w:tcW w:w="2268" w:type="dxa"/>
            <w:tcBorders>
              <w:top w:val="single" w:color="auto" w:sz="4" w:space="0"/>
              <w:left w:val="single" w:color="auto" w:sz="4" w:space="0"/>
              <w:bottom w:val="single" w:color="auto" w:sz="4" w:space="0"/>
              <w:right w:val="single" w:color="auto" w:sz="4" w:space="0"/>
            </w:tcBorders>
            <w:vAlign w:val="center"/>
          </w:tcPr>
          <w:p w14:paraId="15F91269">
            <w:pPr>
              <w:spacing w:line="400" w:lineRule="atLeast"/>
              <w:jc w:val="center"/>
              <w:rPr>
                <w:rFonts w:ascii="宋体" w:hAnsi="宋体" w:eastAsia="宋体"/>
                <w:color w:val="000000"/>
                <w:sz w:val="24"/>
                <w:szCs w:val="24"/>
              </w:rPr>
            </w:pPr>
            <w:r>
              <w:rPr>
                <w:rFonts w:hint="eastAsia" w:ascii="宋体" w:hAnsi="宋体" w:eastAsia="宋体"/>
                <w:sz w:val="24"/>
                <w:szCs w:val="24"/>
              </w:rPr>
              <w:t>溴敌隆蜡丸鼠药</w:t>
            </w:r>
          </w:p>
        </w:tc>
        <w:tc>
          <w:tcPr>
            <w:tcW w:w="2268" w:type="dxa"/>
            <w:tcBorders>
              <w:top w:val="single" w:color="auto" w:sz="4" w:space="0"/>
              <w:left w:val="single" w:color="auto" w:sz="4" w:space="0"/>
              <w:bottom w:val="single" w:color="auto" w:sz="4" w:space="0"/>
              <w:right w:val="single" w:color="auto" w:sz="4" w:space="0"/>
            </w:tcBorders>
            <w:vAlign w:val="center"/>
          </w:tcPr>
          <w:p w14:paraId="0F440D54">
            <w:pPr>
              <w:spacing w:line="400" w:lineRule="atLeast"/>
              <w:jc w:val="center"/>
              <w:rPr>
                <w:rFonts w:ascii="宋体" w:hAnsi="宋体" w:eastAsia="宋体"/>
                <w:color w:val="000000"/>
                <w:sz w:val="24"/>
                <w:szCs w:val="24"/>
              </w:rPr>
            </w:pPr>
            <w:r>
              <w:rPr>
                <w:rFonts w:hint="eastAsia" w:ascii="宋体" w:hAnsi="宋体" w:eastAsia="宋体"/>
                <w:sz w:val="24"/>
                <w:szCs w:val="24"/>
              </w:rPr>
              <w:t>溴敌隆</w:t>
            </w:r>
          </w:p>
        </w:tc>
        <w:tc>
          <w:tcPr>
            <w:tcW w:w="1417" w:type="dxa"/>
            <w:tcBorders>
              <w:top w:val="single" w:color="auto" w:sz="4" w:space="0"/>
              <w:left w:val="single" w:color="auto" w:sz="4" w:space="0"/>
              <w:bottom w:val="single" w:color="auto" w:sz="4" w:space="0"/>
              <w:right w:val="single" w:color="auto" w:sz="4" w:space="0"/>
            </w:tcBorders>
            <w:vAlign w:val="center"/>
          </w:tcPr>
          <w:p w14:paraId="40C0186C">
            <w:pPr>
              <w:spacing w:line="400" w:lineRule="atLeast"/>
              <w:jc w:val="center"/>
              <w:rPr>
                <w:rFonts w:ascii="宋体" w:hAnsi="宋体" w:eastAsia="宋体"/>
                <w:color w:val="000000"/>
                <w:sz w:val="24"/>
                <w:szCs w:val="24"/>
              </w:rPr>
            </w:pPr>
            <w:r>
              <w:rPr>
                <w:rFonts w:hint="eastAsia" w:ascii="宋体" w:hAnsi="宋体" w:eastAsia="宋体"/>
                <w:sz w:val="24"/>
                <w:szCs w:val="24"/>
              </w:rPr>
              <w:t>0.005%</w:t>
            </w:r>
          </w:p>
        </w:tc>
        <w:tc>
          <w:tcPr>
            <w:tcW w:w="1843" w:type="dxa"/>
            <w:tcBorders>
              <w:top w:val="single" w:color="auto" w:sz="4" w:space="0"/>
              <w:left w:val="single" w:color="auto" w:sz="4" w:space="0"/>
              <w:bottom w:val="single" w:color="auto" w:sz="4" w:space="0"/>
              <w:right w:val="single" w:color="auto" w:sz="4" w:space="0"/>
            </w:tcBorders>
            <w:vAlign w:val="center"/>
          </w:tcPr>
          <w:p w14:paraId="2475B6F6">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北京隆华等同档次品牌</w:t>
            </w:r>
          </w:p>
        </w:tc>
      </w:tr>
      <w:tr w14:paraId="2D69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2ADF548E">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14:paraId="54BB8D99">
            <w:pPr>
              <w:spacing w:line="400" w:lineRule="atLeast"/>
              <w:jc w:val="center"/>
              <w:rPr>
                <w:rFonts w:ascii="宋体" w:hAnsi="宋体" w:eastAsia="宋体"/>
                <w:color w:val="000000"/>
                <w:sz w:val="24"/>
                <w:szCs w:val="24"/>
              </w:rPr>
            </w:pPr>
            <w:r>
              <w:rPr>
                <w:rFonts w:hint="eastAsia" w:ascii="宋体" w:hAnsi="宋体" w:eastAsia="宋体"/>
                <w:sz w:val="24"/>
                <w:szCs w:val="24"/>
              </w:rPr>
              <w:t>雷敌鼠药</w:t>
            </w:r>
          </w:p>
        </w:tc>
        <w:tc>
          <w:tcPr>
            <w:tcW w:w="2268" w:type="dxa"/>
            <w:tcBorders>
              <w:top w:val="single" w:color="auto" w:sz="4" w:space="0"/>
              <w:left w:val="single" w:color="auto" w:sz="4" w:space="0"/>
              <w:bottom w:val="single" w:color="auto" w:sz="4" w:space="0"/>
              <w:right w:val="single" w:color="auto" w:sz="4" w:space="0"/>
            </w:tcBorders>
            <w:vAlign w:val="center"/>
          </w:tcPr>
          <w:p w14:paraId="3A340165">
            <w:pPr>
              <w:spacing w:line="400" w:lineRule="atLeast"/>
              <w:jc w:val="center"/>
              <w:rPr>
                <w:rFonts w:ascii="宋体" w:hAnsi="宋体" w:eastAsia="宋体"/>
                <w:color w:val="000000"/>
                <w:sz w:val="24"/>
                <w:szCs w:val="24"/>
              </w:rPr>
            </w:pPr>
            <w:r>
              <w:rPr>
                <w:rFonts w:hint="eastAsia" w:ascii="宋体" w:hAnsi="宋体" w:eastAsia="宋体"/>
                <w:sz w:val="24"/>
                <w:szCs w:val="24"/>
              </w:rPr>
              <w:t>溴敌隆</w:t>
            </w:r>
          </w:p>
        </w:tc>
        <w:tc>
          <w:tcPr>
            <w:tcW w:w="1417" w:type="dxa"/>
            <w:tcBorders>
              <w:top w:val="single" w:color="auto" w:sz="4" w:space="0"/>
              <w:left w:val="single" w:color="auto" w:sz="4" w:space="0"/>
              <w:bottom w:val="single" w:color="auto" w:sz="4" w:space="0"/>
              <w:right w:val="single" w:color="auto" w:sz="4" w:space="0"/>
            </w:tcBorders>
            <w:vAlign w:val="center"/>
          </w:tcPr>
          <w:p w14:paraId="78265F39">
            <w:pPr>
              <w:spacing w:line="400" w:lineRule="atLeast"/>
              <w:jc w:val="center"/>
              <w:rPr>
                <w:rFonts w:ascii="宋体" w:hAnsi="宋体" w:eastAsia="宋体"/>
                <w:color w:val="000000"/>
                <w:sz w:val="24"/>
                <w:szCs w:val="24"/>
              </w:rPr>
            </w:pPr>
            <w:r>
              <w:rPr>
                <w:rFonts w:hint="eastAsia" w:ascii="宋体" w:hAnsi="宋体" w:eastAsia="宋体"/>
                <w:sz w:val="24"/>
                <w:szCs w:val="24"/>
              </w:rPr>
              <w:t>0.005%</w:t>
            </w:r>
          </w:p>
        </w:tc>
        <w:tc>
          <w:tcPr>
            <w:tcW w:w="1843" w:type="dxa"/>
            <w:tcBorders>
              <w:top w:val="single" w:color="auto" w:sz="4" w:space="0"/>
              <w:left w:val="single" w:color="auto" w:sz="4" w:space="0"/>
              <w:bottom w:val="single" w:color="auto" w:sz="4" w:space="0"/>
              <w:right w:val="single" w:color="auto" w:sz="4" w:space="0"/>
            </w:tcBorders>
            <w:vAlign w:val="center"/>
          </w:tcPr>
          <w:p w14:paraId="731FFE3F">
            <w:pPr>
              <w:spacing w:line="400" w:lineRule="atLeas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法国戴商高士等同档次品牌</w:t>
            </w:r>
          </w:p>
        </w:tc>
      </w:tr>
    </w:tbl>
    <w:p w14:paraId="4AA4CA7C">
      <w:pPr>
        <w:spacing w:line="400" w:lineRule="atLeast"/>
        <w:ind w:firstLine="562" w:firstLineChars="200"/>
        <w:jc w:val="center"/>
        <w:rPr>
          <w:rFonts w:ascii="宋体" w:hAnsi="宋体" w:eastAsia="宋体"/>
          <w:b/>
          <w:color w:val="000000"/>
          <w:sz w:val="28"/>
          <w:szCs w:val="28"/>
        </w:rPr>
      </w:pPr>
      <w:r>
        <w:rPr>
          <w:rFonts w:hint="eastAsia" w:ascii="宋体" w:hAnsi="宋体" w:eastAsia="宋体"/>
          <w:b/>
          <w:color w:val="000000"/>
          <w:sz w:val="28"/>
          <w:szCs w:val="28"/>
        </w:rPr>
        <w:t>灭蝇灯目录</w:t>
      </w:r>
    </w:p>
    <w:tbl>
      <w:tblPr>
        <w:tblStyle w:val="1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68"/>
        <w:gridCol w:w="2268"/>
        <w:gridCol w:w="1417"/>
        <w:gridCol w:w="1843"/>
      </w:tblGrid>
      <w:tr w14:paraId="1B4D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2EF8C26D">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18479F19">
            <w:pPr>
              <w:spacing w:line="400" w:lineRule="atLeast"/>
              <w:jc w:val="center"/>
              <w:rPr>
                <w:rFonts w:ascii="宋体" w:hAnsi="宋体" w:eastAsia="宋体"/>
                <w:color w:val="000000"/>
                <w:sz w:val="24"/>
                <w:szCs w:val="24"/>
              </w:rPr>
            </w:pPr>
            <w:r>
              <w:rPr>
                <w:rFonts w:hint="eastAsia" w:ascii="宋体" w:hAnsi="宋体" w:eastAsia="宋体"/>
                <w:sz w:val="24"/>
                <w:szCs w:val="24"/>
              </w:rPr>
              <w:t>商品名称</w:t>
            </w:r>
          </w:p>
        </w:tc>
        <w:tc>
          <w:tcPr>
            <w:tcW w:w="2268" w:type="dxa"/>
            <w:tcBorders>
              <w:top w:val="single" w:color="auto" w:sz="4" w:space="0"/>
              <w:left w:val="single" w:color="auto" w:sz="4" w:space="0"/>
              <w:bottom w:val="single" w:color="auto" w:sz="4" w:space="0"/>
              <w:right w:val="single" w:color="auto" w:sz="4" w:space="0"/>
            </w:tcBorders>
            <w:vAlign w:val="center"/>
          </w:tcPr>
          <w:p w14:paraId="0EAF5136">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功率</w:t>
            </w:r>
          </w:p>
        </w:tc>
        <w:tc>
          <w:tcPr>
            <w:tcW w:w="1417" w:type="dxa"/>
            <w:tcBorders>
              <w:top w:val="single" w:color="auto" w:sz="4" w:space="0"/>
              <w:left w:val="single" w:color="auto" w:sz="4" w:space="0"/>
              <w:bottom w:val="single" w:color="auto" w:sz="4" w:space="0"/>
              <w:right w:val="single" w:color="auto" w:sz="4" w:space="0"/>
            </w:tcBorders>
            <w:vAlign w:val="center"/>
          </w:tcPr>
          <w:p w14:paraId="76CB30E6">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灯管要求</w:t>
            </w:r>
          </w:p>
        </w:tc>
        <w:tc>
          <w:tcPr>
            <w:tcW w:w="1843" w:type="dxa"/>
            <w:tcBorders>
              <w:top w:val="single" w:color="auto" w:sz="4" w:space="0"/>
              <w:left w:val="single" w:color="auto" w:sz="4" w:space="0"/>
              <w:bottom w:val="single" w:color="auto" w:sz="4" w:space="0"/>
              <w:right w:val="single" w:color="auto" w:sz="4" w:space="0"/>
            </w:tcBorders>
            <w:vAlign w:val="center"/>
          </w:tcPr>
          <w:p w14:paraId="6C1FCECE">
            <w:pPr>
              <w:spacing w:line="400" w:lineRule="atLeast"/>
              <w:jc w:val="center"/>
              <w:rPr>
                <w:rFonts w:ascii="宋体" w:hAnsi="宋体" w:eastAsia="宋体"/>
                <w:color w:val="000000"/>
                <w:sz w:val="24"/>
                <w:szCs w:val="24"/>
              </w:rPr>
            </w:pPr>
            <w:r>
              <w:rPr>
                <w:rFonts w:hint="eastAsia" w:ascii="宋体" w:hAnsi="宋体" w:eastAsia="宋体"/>
                <w:sz w:val="24"/>
                <w:szCs w:val="24"/>
              </w:rPr>
              <w:t>生产厂家</w:t>
            </w:r>
          </w:p>
        </w:tc>
      </w:tr>
      <w:tr w14:paraId="1F3E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0B27C06C">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14:paraId="0F0DB286">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粘捕式灭蝇灯</w:t>
            </w:r>
          </w:p>
        </w:tc>
        <w:tc>
          <w:tcPr>
            <w:tcW w:w="2268" w:type="dxa"/>
            <w:tcBorders>
              <w:top w:val="single" w:color="auto" w:sz="4" w:space="0"/>
              <w:left w:val="single" w:color="auto" w:sz="4" w:space="0"/>
              <w:bottom w:val="single" w:color="auto" w:sz="4" w:space="0"/>
              <w:right w:val="single" w:color="auto" w:sz="4" w:space="0"/>
            </w:tcBorders>
            <w:vAlign w:val="center"/>
          </w:tcPr>
          <w:p w14:paraId="1B867681">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16-20W</w:t>
            </w:r>
          </w:p>
        </w:tc>
        <w:tc>
          <w:tcPr>
            <w:tcW w:w="1417" w:type="dxa"/>
            <w:tcBorders>
              <w:top w:val="single" w:color="auto" w:sz="4" w:space="0"/>
              <w:left w:val="single" w:color="auto" w:sz="4" w:space="0"/>
              <w:bottom w:val="single" w:color="auto" w:sz="4" w:space="0"/>
              <w:right w:val="single" w:color="auto" w:sz="4" w:space="0"/>
            </w:tcBorders>
            <w:vAlign w:val="center"/>
          </w:tcPr>
          <w:p w14:paraId="107CF2B5">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紫外线双防爆灯管</w:t>
            </w:r>
          </w:p>
        </w:tc>
        <w:tc>
          <w:tcPr>
            <w:tcW w:w="1843" w:type="dxa"/>
            <w:tcBorders>
              <w:top w:val="single" w:color="auto" w:sz="4" w:space="0"/>
              <w:left w:val="single" w:color="auto" w:sz="4" w:space="0"/>
              <w:bottom w:val="single" w:color="auto" w:sz="4" w:space="0"/>
              <w:right w:val="single" w:color="auto" w:sz="4" w:space="0"/>
            </w:tcBorders>
            <w:vAlign w:val="center"/>
          </w:tcPr>
          <w:p w14:paraId="2477B3F1">
            <w:pPr>
              <w:spacing w:line="400" w:lineRule="atLeast"/>
              <w:jc w:val="center"/>
              <w:rPr>
                <w:rFonts w:ascii="宋体" w:hAnsi="宋体" w:eastAsia="宋体"/>
                <w:color w:val="000000"/>
                <w:sz w:val="24"/>
                <w:szCs w:val="24"/>
              </w:rPr>
            </w:pPr>
            <w:r>
              <w:rPr>
                <w:rFonts w:hint="eastAsia" w:ascii="宋体" w:hAnsi="宋体" w:eastAsia="宋体"/>
                <w:color w:val="000000"/>
                <w:sz w:val="24"/>
                <w:szCs w:val="24"/>
              </w:rPr>
              <w:t>-</w:t>
            </w:r>
          </w:p>
        </w:tc>
      </w:tr>
    </w:tbl>
    <w:p w14:paraId="28CEEADD">
      <w:pPr>
        <w:spacing w:line="440" w:lineRule="exact"/>
        <w:rPr>
          <w:rFonts w:hint="eastAsia" w:ascii="宋体" w:hAnsi="宋体" w:eastAsia="宋体"/>
          <w:iCs/>
          <w:sz w:val="24"/>
          <w:szCs w:val="24"/>
        </w:rPr>
      </w:pPr>
    </w:p>
    <w:p w14:paraId="139260E7">
      <w:pPr>
        <w:pStyle w:val="18"/>
        <w:numPr>
          <w:ilvl w:val="0"/>
          <w:numId w:val="4"/>
        </w:numPr>
        <w:spacing w:line="440" w:lineRule="exact"/>
        <w:ind w:left="0" w:firstLine="482"/>
        <w:rPr>
          <w:rFonts w:ascii="宋体" w:hAnsi="宋体" w:eastAsia="宋体"/>
          <w:b/>
          <w:iCs/>
          <w:sz w:val="24"/>
          <w:szCs w:val="24"/>
        </w:rPr>
      </w:pPr>
      <w:r>
        <w:rPr>
          <w:rFonts w:hint="eastAsia" w:ascii="宋体" w:hAnsi="宋体" w:eastAsia="宋体"/>
          <w:b/>
          <w:iCs/>
          <w:sz w:val="24"/>
          <w:szCs w:val="24"/>
        </w:rPr>
        <w:t>供应商基本情况介绍</w:t>
      </w:r>
    </w:p>
    <w:p w14:paraId="585AD8AC">
      <w:pPr>
        <w:spacing w:line="440" w:lineRule="exact"/>
        <w:ind w:firstLine="480" w:firstLineChars="200"/>
        <w:rPr>
          <w:rFonts w:ascii="宋体" w:hAnsi="宋体" w:eastAsia="宋体"/>
          <w:iCs/>
          <w:sz w:val="24"/>
          <w:szCs w:val="24"/>
        </w:rPr>
      </w:pPr>
    </w:p>
    <w:p w14:paraId="4EE90016">
      <w:pPr>
        <w:spacing w:line="440" w:lineRule="exact"/>
        <w:ind w:firstLine="480" w:firstLineChars="200"/>
        <w:rPr>
          <w:rFonts w:ascii="宋体" w:hAnsi="宋体" w:eastAsia="宋体"/>
          <w:iCs/>
          <w:sz w:val="24"/>
          <w:szCs w:val="24"/>
        </w:rPr>
      </w:pPr>
    </w:p>
    <w:p w14:paraId="4E709A96">
      <w:pPr>
        <w:pStyle w:val="18"/>
        <w:numPr>
          <w:ilvl w:val="0"/>
          <w:numId w:val="4"/>
        </w:numPr>
        <w:spacing w:line="440" w:lineRule="exact"/>
        <w:ind w:left="0" w:firstLine="482"/>
        <w:rPr>
          <w:rFonts w:ascii="宋体" w:hAnsi="宋体" w:eastAsia="宋体"/>
          <w:b/>
          <w:iCs/>
          <w:sz w:val="24"/>
          <w:szCs w:val="24"/>
        </w:rPr>
      </w:pPr>
      <w:r>
        <w:rPr>
          <w:rFonts w:hint="eastAsia" w:ascii="宋体" w:hAnsi="宋体" w:eastAsia="宋体"/>
          <w:b/>
          <w:iCs/>
          <w:sz w:val="24"/>
          <w:szCs w:val="24"/>
        </w:rPr>
        <w:t>货物制造厂商授权书</w:t>
      </w:r>
      <w:r>
        <w:rPr>
          <w:rFonts w:hint="eastAsia" w:ascii="宋体" w:hAnsi="宋体" w:eastAsia="宋体"/>
          <w:b/>
          <w:iCs/>
          <w:color w:val="FF0000"/>
          <w:sz w:val="24"/>
          <w:szCs w:val="24"/>
        </w:rPr>
        <w:t>【如需】</w:t>
      </w:r>
    </w:p>
    <w:p w14:paraId="1352FC82">
      <w:pPr>
        <w:spacing w:line="440" w:lineRule="exact"/>
        <w:ind w:firstLine="480" w:firstLineChars="200"/>
        <w:rPr>
          <w:rFonts w:ascii="宋体" w:hAnsi="宋体" w:eastAsia="宋体"/>
          <w:iCs/>
          <w:sz w:val="24"/>
          <w:szCs w:val="24"/>
        </w:rPr>
      </w:pPr>
    </w:p>
    <w:p w14:paraId="19DDAAD5">
      <w:pPr>
        <w:spacing w:line="440" w:lineRule="exact"/>
        <w:ind w:firstLine="480" w:firstLineChars="200"/>
        <w:rPr>
          <w:rFonts w:ascii="宋体" w:hAnsi="宋体" w:eastAsia="宋体"/>
          <w:iCs/>
          <w:sz w:val="24"/>
          <w:szCs w:val="24"/>
        </w:rPr>
      </w:pPr>
    </w:p>
    <w:p w14:paraId="56001FD7">
      <w:pPr>
        <w:pStyle w:val="18"/>
        <w:numPr>
          <w:ilvl w:val="0"/>
          <w:numId w:val="4"/>
        </w:numPr>
        <w:spacing w:line="440" w:lineRule="exact"/>
        <w:ind w:left="0" w:firstLine="482"/>
        <w:rPr>
          <w:rFonts w:ascii="宋体" w:hAnsi="宋体" w:eastAsia="宋体"/>
          <w:b/>
          <w:iCs/>
          <w:sz w:val="24"/>
          <w:szCs w:val="24"/>
        </w:rPr>
      </w:pPr>
      <w:r>
        <w:rPr>
          <w:rFonts w:hint="eastAsia" w:ascii="宋体" w:hAnsi="宋体" w:eastAsia="宋体"/>
          <w:b/>
          <w:iCs/>
          <w:sz w:val="24"/>
          <w:szCs w:val="24"/>
        </w:rPr>
        <w:t>项目主要人员一览表</w:t>
      </w:r>
    </w:p>
    <w:p w14:paraId="51F1FF26">
      <w:pPr>
        <w:spacing w:line="440" w:lineRule="exact"/>
        <w:ind w:firstLine="480" w:firstLineChars="200"/>
        <w:rPr>
          <w:rFonts w:ascii="宋体" w:hAnsi="宋体" w:eastAsia="宋体"/>
          <w:iCs/>
          <w:sz w:val="24"/>
          <w:szCs w:val="24"/>
        </w:rPr>
      </w:pPr>
    </w:p>
    <w:p w14:paraId="3308443C">
      <w:pPr>
        <w:spacing w:line="440" w:lineRule="exact"/>
        <w:ind w:firstLine="480" w:firstLineChars="200"/>
        <w:rPr>
          <w:rFonts w:ascii="宋体" w:hAnsi="宋体" w:eastAsia="宋体"/>
          <w:iCs/>
          <w:sz w:val="24"/>
          <w:szCs w:val="24"/>
        </w:rPr>
      </w:pPr>
    </w:p>
    <w:p w14:paraId="73CDD5D7">
      <w:pPr>
        <w:pStyle w:val="18"/>
        <w:numPr>
          <w:ilvl w:val="0"/>
          <w:numId w:val="4"/>
        </w:numPr>
        <w:spacing w:line="440" w:lineRule="exact"/>
        <w:ind w:left="0" w:firstLine="482"/>
        <w:rPr>
          <w:rFonts w:ascii="宋体" w:hAnsi="宋体" w:eastAsia="宋体"/>
          <w:b/>
          <w:iCs/>
          <w:sz w:val="24"/>
          <w:szCs w:val="24"/>
        </w:rPr>
      </w:pPr>
      <w:r>
        <w:rPr>
          <w:rFonts w:hint="eastAsia" w:ascii="宋体" w:hAnsi="宋体" w:eastAsia="宋体"/>
          <w:b/>
          <w:iCs/>
          <w:sz w:val="24"/>
          <w:szCs w:val="24"/>
        </w:rPr>
        <w:t>资格审查资料表</w:t>
      </w:r>
    </w:p>
    <w:p w14:paraId="11C2B429">
      <w:pPr>
        <w:spacing w:line="440" w:lineRule="exact"/>
        <w:ind w:firstLine="480" w:firstLineChars="200"/>
        <w:rPr>
          <w:rFonts w:ascii="宋体" w:hAnsi="宋体" w:eastAsia="宋体"/>
          <w:iCs/>
          <w:sz w:val="24"/>
          <w:szCs w:val="24"/>
        </w:rPr>
      </w:pPr>
    </w:p>
    <w:p w14:paraId="140C67CB">
      <w:pPr>
        <w:spacing w:line="440" w:lineRule="exact"/>
        <w:ind w:firstLine="480" w:firstLineChars="200"/>
        <w:rPr>
          <w:rFonts w:ascii="宋体" w:hAnsi="宋体" w:eastAsia="宋体"/>
          <w:iCs/>
          <w:sz w:val="24"/>
          <w:szCs w:val="24"/>
        </w:rPr>
      </w:pPr>
    </w:p>
    <w:p w14:paraId="3914A234">
      <w:pPr>
        <w:pStyle w:val="18"/>
        <w:numPr>
          <w:ilvl w:val="0"/>
          <w:numId w:val="4"/>
        </w:numPr>
        <w:spacing w:line="440" w:lineRule="exact"/>
        <w:ind w:left="0" w:firstLine="482"/>
        <w:rPr>
          <w:rFonts w:ascii="宋体" w:hAnsi="宋体" w:eastAsia="宋体"/>
          <w:b/>
          <w:iCs/>
          <w:sz w:val="24"/>
          <w:szCs w:val="24"/>
        </w:rPr>
      </w:pPr>
      <w:r>
        <w:rPr>
          <w:rFonts w:hint="eastAsia" w:ascii="宋体" w:hAnsi="宋体" w:eastAsia="宋体"/>
          <w:b/>
          <w:iCs/>
          <w:sz w:val="24"/>
          <w:szCs w:val="24"/>
        </w:rPr>
        <w:t>业绩证明材料一览表</w:t>
      </w:r>
    </w:p>
    <w:p w14:paraId="2F68B1D3">
      <w:pPr>
        <w:spacing w:line="440" w:lineRule="exact"/>
        <w:ind w:firstLine="480" w:firstLineChars="200"/>
        <w:rPr>
          <w:rFonts w:ascii="宋体" w:hAnsi="宋体" w:eastAsia="宋体"/>
          <w:iCs/>
          <w:sz w:val="24"/>
          <w:szCs w:val="24"/>
        </w:rPr>
      </w:pPr>
    </w:p>
    <w:p w14:paraId="1DF0CC17">
      <w:pPr>
        <w:spacing w:line="440" w:lineRule="exact"/>
        <w:ind w:firstLine="480" w:firstLineChars="200"/>
        <w:rPr>
          <w:rFonts w:ascii="宋体" w:hAnsi="宋体" w:eastAsia="宋体"/>
          <w:iCs/>
          <w:sz w:val="24"/>
          <w:szCs w:val="24"/>
        </w:rPr>
      </w:pPr>
    </w:p>
    <w:p w14:paraId="337B4D5F">
      <w:pPr>
        <w:pStyle w:val="18"/>
        <w:numPr>
          <w:ilvl w:val="0"/>
          <w:numId w:val="4"/>
        </w:numPr>
        <w:spacing w:line="440" w:lineRule="exact"/>
        <w:ind w:left="0" w:firstLine="482"/>
        <w:rPr>
          <w:rFonts w:hint="eastAsia" w:ascii="宋体" w:hAnsi="宋体" w:eastAsia="宋体"/>
          <w:b/>
          <w:iCs/>
          <w:sz w:val="24"/>
          <w:szCs w:val="24"/>
        </w:rPr>
      </w:pPr>
      <w:r>
        <w:rPr>
          <w:rFonts w:hint="eastAsia" w:ascii="宋体" w:hAnsi="宋体" w:eastAsia="宋体"/>
          <w:b/>
          <w:iCs/>
          <w:sz w:val="24"/>
          <w:szCs w:val="24"/>
        </w:rPr>
        <w:t>响应方案</w:t>
      </w:r>
    </w:p>
    <w:p w14:paraId="1BE0525E">
      <w:pPr>
        <w:spacing w:after="312" w:afterLines="100" w:line="440" w:lineRule="exact"/>
        <w:jc w:val="center"/>
        <w:outlineLvl w:val="0"/>
        <w:rPr>
          <w:rFonts w:ascii="宋体" w:hAnsi="宋体" w:eastAsia="宋体"/>
          <w:b/>
          <w:bCs/>
          <w:sz w:val="32"/>
          <w:szCs w:val="24"/>
        </w:rPr>
      </w:pPr>
      <w:r>
        <w:rPr>
          <w:rFonts w:hint="eastAsia" w:ascii="宋体" w:hAnsi="宋体" w:eastAsia="宋体"/>
          <w:b/>
          <w:bCs/>
          <w:sz w:val="32"/>
          <w:szCs w:val="24"/>
        </w:rPr>
        <w:t>第三卷 评审方法</w:t>
      </w:r>
    </w:p>
    <w:p w14:paraId="27F53EE9">
      <w:pPr>
        <w:spacing w:line="440" w:lineRule="exact"/>
        <w:ind w:firstLine="482" w:firstLineChars="200"/>
        <w:outlineLvl w:val="1"/>
        <w:rPr>
          <w:rFonts w:ascii="宋体" w:hAnsi="宋体" w:eastAsia="宋体"/>
          <w:b/>
          <w:iCs/>
          <w:sz w:val="24"/>
          <w:szCs w:val="24"/>
        </w:rPr>
      </w:pPr>
      <w:r>
        <w:rPr>
          <w:rFonts w:hint="eastAsia" w:ascii="宋体" w:hAnsi="宋体" w:eastAsia="宋体"/>
          <w:b/>
          <w:iCs/>
          <w:sz w:val="24"/>
          <w:szCs w:val="24"/>
        </w:rPr>
        <w:t>最低价评审法前附表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7070"/>
      </w:tblGrid>
      <w:tr w14:paraId="395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1461BEE6">
            <w:pPr>
              <w:spacing w:line="440" w:lineRule="exact"/>
              <w:rPr>
                <w:rFonts w:ascii="宋体" w:hAnsi="宋体" w:eastAsia="宋体"/>
                <w:iCs/>
                <w:sz w:val="24"/>
                <w:szCs w:val="24"/>
              </w:rPr>
            </w:pPr>
            <w:r>
              <w:rPr>
                <w:rFonts w:hint="eastAsia" w:ascii="宋体" w:hAnsi="宋体" w:eastAsia="宋体"/>
                <w:iCs/>
                <w:sz w:val="24"/>
                <w:szCs w:val="24"/>
              </w:rPr>
              <w:t>初步评审</w:t>
            </w:r>
          </w:p>
        </w:tc>
        <w:tc>
          <w:tcPr>
            <w:tcW w:w="4148" w:type="pct"/>
            <w:vAlign w:val="center"/>
          </w:tcPr>
          <w:p w14:paraId="0C6C115D">
            <w:pPr>
              <w:spacing w:line="440" w:lineRule="exact"/>
              <w:rPr>
                <w:rFonts w:ascii="宋体" w:hAnsi="宋体" w:eastAsia="宋体"/>
                <w:iCs/>
                <w:sz w:val="24"/>
                <w:szCs w:val="24"/>
              </w:rPr>
            </w:pPr>
            <w:r>
              <w:rPr>
                <w:rFonts w:hint="eastAsia" w:ascii="宋体" w:hAnsi="宋体" w:eastAsia="宋体"/>
                <w:iCs/>
                <w:sz w:val="24"/>
                <w:szCs w:val="24"/>
              </w:rPr>
              <w:t>供应商资格要求：</w:t>
            </w:r>
          </w:p>
          <w:p w14:paraId="678B5218">
            <w:pPr>
              <w:spacing w:line="440" w:lineRule="exact"/>
              <w:rPr>
                <w:rFonts w:ascii="宋体" w:hAnsi="宋体" w:eastAsia="宋体"/>
                <w:iCs/>
                <w:sz w:val="24"/>
                <w:szCs w:val="24"/>
              </w:rPr>
            </w:pPr>
            <w:r>
              <w:rPr>
                <w:rFonts w:hint="eastAsia" w:ascii="宋体" w:hAnsi="宋体" w:eastAsia="宋体"/>
                <w:iCs/>
                <w:sz w:val="24"/>
                <w:szCs w:val="24"/>
              </w:rPr>
              <w:t>详见按照“第一卷供应商须知”的“供应商资格要求”</w:t>
            </w:r>
          </w:p>
        </w:tc>
      </w:tr>
      <w:tr w14:paraId="1C76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0D1C151F">
            <w:pPr>
              <w:spacing w:line="440" w:lineRule="exact"/>
              <w:rPr>
                <w:rFonts w:ascii="宋体" w:hAnsi="宋体" w:eastAsia="宋体"/>
                <w:iCs/>
                <w:sz w:val="24"/>
                <w:szCs w:val="24"/>
              </w:rPr>
            </w:pPr>
            <w:r>
              <w:rPr>
                <w:rFonts w:hint="eastAsia" w:ascii="宋体" w:hAnsi="宋体" w:eastAsia="宋体"/>
                <w:iCs/>
                <w:sz w:val="24"/>
                <w:szCs w:val="24"/>
              </w:rPr>
              <w:t>价格修正原则</w:t>
            </w:r>
          </w:p>
        </w:tc>
        <w:tc>
          <w:tcPr>
            <w:tcW w:w="4148" w:type="pct"/>
            <w:vAlign w:val="center"/>
          </w:tcPr>
          <w:p w14:paraId="783527A7">
            <w:pPr>
              <w:spacing w:line="440" w:lineRule="exact"/>
              <w:rPr>
                <w:rFonts w:ascii="宋体" w:hAnsi="宋体" w:eastAsia="宋体"/>
                <w:iCs/>
                <w:sz w:val="24"/>
                <w:szCs w:val="24"/>
              </w:rPr>
            </w:pPr>
            <w:r>
              <w:rPr>
                <w:rFonts w:hint="eastAsia" w:ascii="宋体" w:hAnsi="宋体" w:eastAsia="宋体"/>
                <w:iCs/>
                <w:sz w:val="24"/>
                <w:szCs w:val="24"/>
              </w:rPr>
              <w:t>供应商报价出现前后不一致的，按照下列原则修正：</w:t>
            </w:r>
          </w:p>
          <w:p w14:paraId="2A3F1D7E">
            <w:pPr>
              <w:pStyle w:val="18"/>
              <w:numPr>
                <w:ilvl w:val="0"/>
                <w:numId w:val="9"/>
              </w:numPr>
              <w:spacing w:line="440" w:lineRule="exact"/>
              <w:ind w:firstLineChars="0"/>
              <w:rPr>
                <w:rFonts w:ascii="宋体" w:hAnsi="宋体" w:eastAsia="宋体"/>
                <w:iCs/>
                <w:sz w:val="24"/>
                <w:szCs w:val="24"/>
              </w:rPr>
            </w:pPr>
            <w:r>
              <w:rPr>
                <w:rFonts w:ascii="宋体" w:hAnsi="宋体" w:eastAsia="宋体"/>
                <w:iCs/>
                <w:sz w:val="24"/>
                <w:szCs w:val="24"/>
              </w:rPr>
              <w:t>大写金额和小写金额不一致的，以大写金额为准；</w:t>
            </w:r>
          </w:p>
          <w:p w14:paraId="525B2CEF">
            <w:pPr>
              <w:pStyle w:val="18"/>
              <w:numPr>
                <w:ilvl w:val="0"/>
                <w:numId w:val="9"/>
              </w:numPr>
              <w:spacing w:line="440" w:lineRule="exact"/>
              <w:ind w:firstLineChars="0"/>
              <w:rPr>
                <w:rFonts w:ascii="宋体" w:hAnsi="宋体" w:eastAsia="宋体"/>
                <w:iCs/>
                <w:sz w:val="24"/>
                <w:szCs w:val="24"/>
              </w:rPr>
            </w:pPr>
            <w:r>
              <w:rPr>
                <w:rFonts w:ascii="宋体" w:hAnsi="宋体" w:eastAsia="宋体"/>
                <w:iCs/>
                <w:sz w:val="24"/>
                <w:szCs w:val="24"/>
              </w:rPr>
              <w:t>单价金额小数点或者百分比有明显错位的，以总价为准修改单价；</w:t>
            </w:r>
          </w:p>
          <w:p w14:paraId="0ED7B594">
            <w:pPr>
              <w:pStyle w:val="18"/>
              <w:numPr>
                <w:ilvl w:val="0"/>
                <w:numId w:val="9"/>
              </w:numPr>
              <w:spacing w:line="440" w:lineRule="exact"/>
              <w:ind w:firstLineChars="0"/>
              <w:rPr>
                <w:rFonts w:ascii="宋体" w:hAnsi="宋体" w:eastAsia="宋体"/>
                <w:iCs/>
                <w:sz w:val="24"/>
                <w:szCs w:val="24"/>
              </w:rPr>
            </w:pPr>
            <w:r>
              <w:rPr>
                <w:rFonts w:ascii="宋体" w:hAnsi="宋体" w:eastAsia="宋体"/>
                <w:iCs/>
                <w:sz w:val="24"/>
                <w:szCs w:val="24"/>
              </w:rPr>
              <w:t>总价金额与依据单价计算出的结果不一致的，以依据单价计算出的结果为准。</w:t>
            </w:r>
          </w:p>
          <w:p w14:paraId="3652AAFA">
            <w:pPr>
              <w:spacing w:line="440" w:lineRule="exact"/>
              <w:ind w:firstLine="480" w:firstLineChars="200"/>
              <w:rPr>
                <w:rFonts w:ascii="宋体" w:hAnsi="宋体" w:eastAsia="宋体"/>
                <w:iCs/>
                <w:sz w:val="24"/>
                <w:szCs w:val="24"/>
              </w:rPr>
            </w:pPr>
            <w:r>
              <w:rPr>
                <w:rFonts w:hint="eastAsia" w:ascii="宋体" w:hAnsi="宋体" w:eastAsia="宋体"/>
                <w:iCs/>
                <w:sz w:val="24"/>
                <w:szCs w:val="24"/>
              </w:rPr>
              <w:t>同时出现两种及以上不一致的，按照上述顺序从上到下</w:t>
            </w:r>
            <w:r>
              <w:rPr>
                <w:rFonts w:ascii="宋体" w:hAnsi="宋体" w:eastAsia="宋体"/>
                <w:iCs/>
                <w:sz w:val="24"/>
                <w:szCs w:val="24"/>
              </w:rPr>
              <w:t>依次修正。</w:t>
            </w:r>
          </w:p>
        </w:tc>
      </w:tr>
      <w:tr w14:paraId="1A50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2F533D93">
            <w:pPr>
              <w:spacing w:line="440" w:lineRule="exact"/>
              <w:rPr>
                <w:rFonts w:ascii="宋体" w:hAnsi="宋体" w:eastAsia="宋体"/>
                <w:iCs/>
                <w:sz w:val="24"/>
                <w:szCs w:val="24"/>
              </w:rPr>
            </w:pPr>
            <w:r>
              <w:rPr>
                <w:rFonts w:hint="eastAsia" w:ascii="宋体" w:hAnsi="宋体" w:eastAsia="宋体"/>
                <w:iCs/>
                <w:sz w:val="24"/>
                <w:szCs w:val="24"/>
              </w:rPr>
              <w:t>否决供应商的情形</w:t>
            </w:r>
          </w:p>
        </w:tc>
        <w:tc>
          <w:tcPr>
            <w:tcW w:w="4148" w:type="pct"/>
            <w:vAlign w:val="center"/>
          </w:tcPr>
          <w:p w14:paraId="45930AA7">
            <w:pPr>
              <w:spacing w:line="440" w:lineRule="exact"/>
              <w:ind w:firstLine="480" w:firstLineChars="200"/>
              <w:rPr>
                <w:rFonts w:ascii="宋体" w:hAnsi="宋体" w:eastAsia="宋体"/>
                <w:iCs/>
                <w:sz w:val="24"/>
                <w:szCs w:val="24"/>
              </w:rPr>
            </w:pPr>
            <w:r>
              <w:rPr>
                <w:rFonts w:hint="eastAsia" w:ascii="宋体" w:hAnsi="宋体" w:eastAsia="宋体"/>
                <w:iCs/>
                <w:sz w:val="24"/>
                <w:szCs w:val="24"/>
              </w:rPr>
              <w:t>经评审，若评审小组认定供应商存在以下情形之一的，则予以否决。</w:t>
            </w:r>
          </w:p>
          <w:p w14:paraId="2C5E5116">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工期</w:t>
            </w:r>
            <w:r>
              <w:rPr>
                <w:rFonts w:ascii="宋体" w:hAnsi="宋体" w:eastAsia="宋体"/>
                <w:iCs/>
                <w:sz w:val="24"/>
                <w:szCs w:val="24"/>
              </w:rPr>
              <w:t>/交货期/服务期不满足</w:t>
            </w:r>
            <w:r>
              <w:rPr>
                <w:rFonts w:hint="eastAsia" w:ascii="宋体" w:hAnsi="宋体" w:eastAsia="宋体"/>
                <w:iCs/>
                <w:sz w:val="24"/>
                <w:szCs w:val="24"/>
              </w:rPr>
              <w:t>采购</w:t>
            </w:r>
            <w:r>
              <w:rPr>
                <w:rFonts w:ascii="宋体" w:hAnsi="宋体" w:eastAsia="宋体"/>
                <w:iCs/>
                <w:sz w:val="24"/>
                <w:szCs w:val="24"/>
              </w:rPr>
              <w:t>文件要求</w:t>
            </w:r>
            <w:r>
              <w:rPr>
                <w:rFonts w:hint="eastAsia" w:ascii="宋体" w:hAnsi="宋体" w:eastAsia="宋体"/>
                <w:iCs/>
                <w:sz w:val="24"/>
                <w:szCs w:val="24"/>
              </w:rPr>
              <w:t>。</w:t>
            </w:r>
          </w:p>
          <w:p w14:paraId="395984AC">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响应有效期不满足采购文件要求。</w:t>
            </w:r>
          </w:p>
          <w:p w14:paraId="4A7EE9C7">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供应商不符合国家或者采购文件规定的资格条件。</w:t>
            </w:r>
          </w:p>
          <w:p w14:paraId="01DB4B71">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同一供应商提交两个及以上不同的报价，但采购文件要求提交备选方案的除外。</w:t>
            </w:r>
          </w:p>
          <w:p w14:paraId="54E9E0DA">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报价格式、内容不满足采购文件的实质性要求，有重大偏差。</w:t>
            </w:r>
          </w:p>
          <w:p w14:paraId="2B63EAE2">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供应商报价属于存在重大履约风险的异常报价，或者高于采购文件设定的最高限价。</w:t>
            </w:r>
          </w:p>
          <w:p w14:paraId="3336A8DC">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响应文件没有对采购文件的实质性要求和条件作出响应。</w:t>
            </w:r>
          </w:p>
          <w:p w14:paraId="52F8C1B5">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供应商有串通报价、弄虚作假、行贿</w:t>
            </w:r>
            <w:r>
              <w:rPr>
                <w:rFonts w:ascii="宋体" w:hAnsi="宋体" w:eastAsia="宋体"/>
                <w:sz w:val="24"/>
                <w:szCs w:val="24"/>
              </w:rPr>
              <w:t>、以他人名义参与采购活动等不诚信行为的</w:t>
            </w:r>
            <w:r>
              <w:rPr>
                <w:rFonts w:hint="eastAsia" w:ascii="宋体" w:hAnsi="宋体" w:eastAsia="宋体"/>
                <w:kern w:val="0"/>
                <w:sz w:val="24"/>
                <w:szCs w:val="24"/>
              </w:rPr>
              <w:t>，《招标投标法》及其配套法律法规规定的串通投标情形适用于本采购项目对供应商串通报价行为的认定</w:t>
            </w:r>
            <w:r>
              <w:rPr>
                <w:rFonts w:hint="eastAsia" w:ascii="宋体" w:hAnsi="宋体" w:eastAsia="宋体"/>
                <w:iCs/>
                <w:sz w:val="24"/>
                <w:szCs w:val="24"/>
              </w:rPr>
              <w:t>。</w:t>
            </w:r>
          </w:p>
          <w:p w14:paraId="352EB714">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供应商在报价截止时间后撤销响应文件的。</w:t>
            </w:r>
          </w:p>
          <w:p w14:paraId="5C324352">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供应商在提交响应文件截止时间后对响应文件提出实质性修改的。</w:t>
            </w:r>
          </w:p>
          <w:p w14:paraId="6BA6462D">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对按照规定修正后的价格，供应商不接受的。</w:t>
            </w:r>
          </w:p>
          <w:p w14:paraId="59B52DEE">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未按照采购文件规定的响应保证金要求，提交响应保证金。</w:t>
            </w:r>
          </w:p>
          <w:p w14:paraId="2858CAB6">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供应商被采购人或其上级单位列入供应商黑名单，且在规定期限内的，其报价将按无效处理。</w:t>
            </w:r>
            <w:r>
              <w:rPr>
                <w:rFonts w:hint="eastAsia" w:ascii="宋体" w:hAnsi="宋体" w:eastAsia="宋体"/>
                <w:sz w:val="24"/>
                <w:szCs w:val="24"/>
              </w:rPr>
              <w:t>在签订采购合同前，若供应商被采购人或其上级单位列入黑名单的，其成交资格将被取消</w:t>
            </w:r>
            <w:r>
              <w:rPr>
                <w:rFonts w:hint="eastAsia" w:ascii="宋体" w:hAnsi="宋体" w:eastAsia="宋体"/>
                <w:iCs/>
                <w:sz w:val="24"/>
                <w:szCs w:val="24"/>
              </w:rPr>
              <w:t>。</w:t>
            </w:r>
          </w:p>
          <w:p w14:paraId="2E0A5087">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按照供应商关联关系认定标准，存在关联关系的不同供应商参加同一标段报价的。</w:t>
            </w:r>
          </w:p>
          <w:p w14:paraId="68061196">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供应商属于失信被执行人，且在规定期限内的。</w:t>
            </w:r>
          </w:p>
          <w:p w14:paraId="4BDD8959">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供应商被政府部门、司法机关责令停业的，或者被暂停或取消投标资格的，或者财产被接管或冻结的。</w:t>
            </w:r>
          </w:p>
          <w:p w14:paraId="6AA8B9CE">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kern w:val="0"/>
                <w:sz w:val="24"/>
                <w:szCs w:val="24"/>
              </w:rPr>
              <w:t>若接受联合体报价，供应商采用联合体形式报价，但没有提交联合体协议或共同报价协议的；或者若联合体各方在同一标段中以自己名义单独报价或者参加其他联合体报价的；或者若资格预审后联合体增减、更换成员的，上述报价均按无效处理</w:t>
            </w:r>
            <w:r>
              <w:rPr>
                <w:rFonts w:hint="eastAsia" w:ascii="宋体" w:hAnsi="宋体" w:eastAsia="宋体"/>
                <w:iCs/>
                <w:sz w:val="24"/>
                <w:szCs w:val="24"/>
              </w:rPr>
              <w:t>。</w:t>
            </w:r>
          </w:p>
          <w:p w14:paraId="3EE8939B">
            <w:pPr>
              <w:pStyle w:val="18"/>
              <w:numPr>
                <w:ilvl w:val="0"/>
                <w:numId w:val="10"/>
              </w:numPr>
              <w:spacing w:line="440" w:lineRule="exact"/>
              <w:ind w:firstLineChars="0"/>
              <w:rPr>
                <w:rFonts w:ascii="宋体" w:hAnsi="宋体" w:eastAsia="宋体"/>
                <w:iCs/>
                <w:sz w:val="24"/>
                <w:szCs w:val="24"/>
              </w:rPr>
            </w:pPr>
            <w:r>
              <w:rPr>
                <w:rFonts w:hint="eastAsia" w:ascii="宋体" w:hAnsi="宋体" w:eastAsia="宋体"/>
                <w:iCs/>
                <w:sz w:val="24"/>
                <w:szCs w:val="24"/>
              </w:rPr>
              <w:t>不满足采购文件中★号标注的关键条款要求的。</w:t>
            </w:r>
          </w:p>
        </w:tc>
      </w:tr>
    </w:tbl>
    <w:p w14:paraId="65BD41F3">
      <w:pPr>
        <w:spacing w:before="156" w:beforeLines="50" w:line="440" w:lineRule="exact"/>
        <w:ind w:firstLine="480" w:firstLineChars="200"/>
        <w:rPr>
          <w:rFonts w:ascii="宋体" w:hAnsi="宋体" w:eastAsia="宋体"/>
          <w:iCs/>
          <w:sz w:val="24"/>
          <w:szCs w:val="24"/>
        </w:rPr>
      </w:pPr>
      <w:r>
        <w:rPr>
          <w:rFonts w:hint="eastAsia" w:ascii="宋体" w:hAnsi="宋体" w:eastAsia="宋体"/>
          <w:iCs/>
          <w:sz w:val="24"/>
          <w:szCs w:val="24"/>
        </w:rPr>
        <w:t>本项目采用报价总金额（不含税）最低价评审法。主要实施程序包括初步评审、价格评审、“否决供应商情形”的评审、出具评审报告。</w:t>
      </w:r>
    </w:p>
    <w:p w14:paraId="2897FC18">
      <w:pPr>
        <w:pStyle w:val="18"/>
        <w:numPr>
          <w:ilvl w:val="0"/>
          <w:numId w:val="11"/>
        </w:numPr>
        <w:spacing w:line="440" w:lineRule="exact"/>
        <w:ind w:firstLineChars="0"/>
        <w:rPr>
          <w:rFonts w:ascii="宋体" w:hAnsi="宋体" w:eastAsia="宋体"/>
          <w:b/>
          <w:iCs/>
          <w:sz w:val="24"/>
          <w:szCs w:val="24"/>
        </w:rPr>
      </w:pPr>
      <w:r>
        <w:rPr>
          <w:rFonts w:ascii="宋体" w:hAnsi="宋体" w:eastAsia="宋体"/>
          <w:b/>
          <w:iCs/>
          <w:sz w:val="24"/>
          <w:szCs w:val="24"/>
        </w:rPr>
        <w:t>初步评审</w:t>
      </w:r>
    </w:p>
    <w:p w14:paraId="578C8181">
      <w:pPr>
        <w:spacing w:line="440" w:lineRule="exact"/>
        <w:ind w:firstLine="480" w:firstLineChars="200"/>
        <w:rPr>
          <w:rFonts w:ascii="宋体" w:hAnsi="宋体" w:eastAsia="宋体"/>
          <w:iCs/>
          <w:sz w:val="24"/>
          <w:szCs w:val="24"/>
        </w:rPr>
      </w:pPr>
      <w:r>
        <w:rPr>
          <w:rFonts w:hint="eastAsia" w:ascii="宋体" w:hAnsi="宋体" w:eastAsia="宋体"/>
          <w:iCs/>
          <w:sz w:val="24"/>
          <w:szCs w:val="24"/>
        </w:rPr>
        <w:t>对供应商的资格条件等因素进行初步评审，“供应商资格要求”详见“第一卷供应商须知”的“供应商资格要求”，其他评审因素详见评审方法前附表“初步评审”。</w:t>
      </w:r>
    </w:p>
    <w:p w14:paraId="2D7B9685">
      <w:pPr>
        <w:spacing w:line="440" w:lineRule="exact"/>
        <w:ind w:firstLine="480" w:firstLineChars="200"/>
        <w:rPr>
          <w:rFonts w:ascii="宋体" w:hAnsi="宋体" w:eastAsia="宋体"/>
          <w:iCs/>
          <w:sz w:val="24"/>
          <w:szCs w:val="24"/>
        </w:rPr>
      </w:pPr>
      <w:r>
        <w:rPr>
          <w:rFonts w:hint="eastAsia" w:ascii="宋体" w:hAnsi="宋体" w:eastAsia="宋体"/>
          <w:iCs/>
          <w:sz w:val="24"/>
          <w:szCs w:val="24"/>
        </w:rPr>
        <w:t>通过初步评审的供应商进入下一环节评审，对不满足初步评审要求的供应商予以否决。</w:t>
      </w:r>
    </w:p>
    <w:p w14:paraId="74AE5C10">
      <w:pPr>
        <w:pStyle w:val="18"/>
        <w:numPr>
          <w:ilvl w:val="0"/>
          <w:numId w:val="11"/>
        </w:numPr>
        <w:spacing w:line="440" w:lineRule="exact"/>
        <w:ind w:firstLineChars="0"/>
        <w:rPr>
          <w:rFonts w:ascii="宋体" w:hAnsi="宋体" w:eastAsia="宋体"/>
          <w:b/>
          <w:iCs/>
          <w:sz w:val="24"/>
          <w:szCs w:val="24"/>
        </w:rPr>
      </w:pPr>
      <w:r>
        <w:rPr>
          <w:rFonts w:ascii="宋体" w:hAnsi="宋体" w:eastAsia="宋体"/>
          <w:b/>
          <w:iCs/>
          <w:sz w:val="24"/>
          <w:szCs w:val="24"/>
        </w:rPr>
        <w:t>价格评审</w:t>
      </w:r>
    </w:p>
    <w:p w14:paraId="600EDA2E">
      <w:pPr>
        <w:spacing w:line="440" w:lineRule="exact"/>
        <w:ind w:firstLine="480" w:firstLineChars="200"/>
        <w:rPr>
          <w:rFonts w:ascii="宋体" w:hAnsi="宋体" w:eastAsia="宋体"/>
          <w:iCs/>
          <w:sz w:val="24"/>
          <w:szCs w:val="24"/>
        </w:rPr>
      </w:pPr>
      <w:r>
        <w:rPr>
          <w:rFonts w:hint="eastAsia" w:ascii="宋体" w:hAnsi="宋体" w:eastAsia="宋体"/>
          <w:iCs/>
          <w:sz w:val="24"/>
          <w:szCs w:val="24"/>
        </w:rPr>
        <w:t>对通过初步评审的供应商进行价格评审。按照报价修正原则修正供应商报价；在修正价格基础上，按照评审价格调整条款计算评审价格，分析供应商报价的合理性，按照评审价格排序。</w:t>
      </w:r>
    </w:p>
    <w:p w14:paraId="13BB6097">
      <w:pPr>
        <w:pStyle w:val="18"/>
        <w:numPr>
          <w:ilvl w:val="0"/>
          <w:numId w:val="12"/>
        </w:numPr>
        <w:spacing w:line="440" w:lineRule="exact"/>
        <w:ind w:left="0" w:firstLine="482"/>
        <w:rPr>
          <w:rFonts w:ascii="宋体" w:hAnsi="宋体" w:eastAsia="宋体"/>
          <w:b/>
          <w:iCs/>
          <w:sz w:val="24"/>
          <w:szCs w:val="24"/>
        </w:rPr>
      </w:pPr>
      <w:r>
        <w:rPr>
          <w:rFonts w:ascii="宋体" w:hAnsi="宋体" w:eastAsia="宋体"/>
          <w:b/>
          <w:iCs/>
          <w:sz w:val="24"/>
          <w:szCs w:val="24"/>
        </w:rPr>
        <w:t>报价修正原则</w:t>
      </w:r>
    </w:p>
    <w:p w14:paraId="3DED95FB">
      <w:pPr>
        <w:spacing w:line="440" w:lineRule="exact"/>
        <w:ind w:firstLine="480" w:firstLineChars="200"/>
        <w:rPr>
          <w:rFonts w:ascii="宋体" w:hAnsi="宋体" w:eastAsia="宋体"/>
          <w:iCs/>
          <w:sz w:val="24"/>
          <w:szCs w:val="24"/>
        </w:rPr>
      </w:pPr>
      <w:r>
        <w:rPr>
          <w:rFonts w:hint="eastAsia" w:ascii="宋体" w:hAnsi="宋体" w:eastAsia="宋体"/>
          <w:iCs/>
          <w:sz w:val="24"/>
          <w:szCs w:val="24"/>
        </w:rPr>
        <w:t>供应商报价的修正原则详见评审方法前附表“报价修正原则”。供应商报价出现“报价修正原则”规定情形的，则按规定原则进行修正。</w:t>
      </w:r>
    </w:p>
    <w:p w14:paraId="1B9CCD14">
      <w:pPr>
        <w:spacing w:line="440" w:lineRule="exact"/>
        <w:ind w:firstLine="480" w:firstLineChars="200"/>
        <w:rPr>
          <w:rFonts w:ascii="宋体" w:hAnsi="宋体" w:eastAsia="宋体"/>
          <w:iCs/>
          <w:sz w:val="24"/>
          <w:szCs w:val="24"/>
        </w:rPr>
      </w:pPr>
      <w:r>
        <w:rPr>
          <w:rFonts w:ascii="宋体" w:hAnsi="宋体" w:eastAsia="宋体"/>
          <w:iCs/>
          <w:sz w:val="24"/>
          <w:szCs w:val="24"/>
        </w:rPr>
        <w:t>按</w:t>
      </w:r>
      <w:r>
        <w:rPr>
          <w:rFonts w:hint="eastAsia" w:ascii="宋体" w:hAnsi="宋体" w:eastAsia="宋体"/>
          <w:iCs/>
          <w:sz w:val="24"/>
          <w:szCs w:val="24"/>
        </w:rPr>
        <w:t>规定</w:t>
      </w:r>
      <w:r>
        <w:rPr>
          <w:rFonts w:ascii="宋体" w:hAnsi="宋体" w:eastAsia="宋体"/>
          <w:iCs/>
          <w:sz w:val="24"/>
          <w:szCs w:val="24"/>
        </w:rPr>
        <w:t>原则修正后的报价对供应商产生约束力。</w:t>
      </w:r>
      <w:r>
        <w:rPr>
          <w:rFonts w:hint="eastAsia" w:ascii="宋体" w:hAnsi="宋体" w:eastAsia="宋体"/>
          <w:iCs/>
          <w:sz w:val="24"/>
          <w:szCs w:val="24"/>
        </w:rPr>
        <w:t>供应商</w:t>
      </w:r>
      <w:r>
        <w:rPr>
          <w:rFonts w:ascii="宋体" w:hAnsi="宋体" w:eastAsia="宋体"/>
          <w:iCs/>
          <w:sz w:val="24"/>
          <w:szCs w:val="24"/>
        </w:rPr>
        <w:t>不接受修正价格的，应当</w:t>
      </w:r>
      <w:r>
        <w:rPr>
          <w:rFonts w:hint="eastAsia" w:ascii="宋体" w:hAnsi="宋体" w:eastAsia="宋体"/>
          <w:iCs/>
          <w:sz w:val="24"/>
          <w:szCs w:val="24"/>
        </w:rPr>
        <w:t>予以</w:t>
      </w:r>
      <w:r>
        <w:rPr>
          <w:rFonts w:ascii="宋体" w:hAnsi="宋体" w:eastAsia="宋体"/>
          <w:iCs/>
          <w:sz w:val="24"/>
          <w:szCs w:val="24"/>
        </w:rPr>
        <w:t>否决。</w:t>
      </w:r>
      <w:r>
        <w:rPr>
          <w:rFonts w:hint="eastAsia" w:ascii="宋体" w:hAnsi="宋体" w:eastAsia="宋体"/>
          <w:iCs/>
          <w:sz w:val="24"/>
          <w:szCs w:val="24"/>
        </w:rPr>
        <w:t>供应商成交</w:t>
      </w:r>
      <w:r>
        <w:rPr>
          <w:rFonts w:ascii="宋体" w:hAnsi="宋体" w:eastAsia="宋体"/>
          <w:iCs/>
          <w:sz w:val="24"/>
          <w:szCs w:val="24"/>
        </w:rPr>
        <w:t>后，若拒绝以按照</w:t>
      </w:r>
      <w:r>
        <w:rPr>
          <w:rFonts w:hint="eastAsia" w:ascii="宋体" w:hAnsi="宋体" w:eastAsia="宋体"/>
          <w:iCs/>
          <w:sz w:val="24"/>
          <w:szCs w:val="24"/>
        </w:rPr>
        <w:t>规定</w:t>
      </w:r>
      <w:r>
        <w:rPr>
          <w:rFonts w:ascii="宋体" w:hAnsi="宋体" w:eastAsia="宋体"/>
          <w:iCs/>
          <w:sz w:val="24"/>
          <w:szCs w:val="24"/>
        </w:rPr>
        <w:t>原则修正后的报价（即</w:t>
      </w:r>
      <w:r>
        <w:rPr>
          <w:rFonts w:hint="eastAsia" w:ascii="宋体" w:hAnsi="宋体" w:eastAsia="宋体"/>
          <w:iCs/>
          <w:sz w:val="24"/>
          <w:szCs w:val="24"/>
        </w:rPr>
        <w:t>成交</w:t>
      </w:r>
      <w:r>
        <w:rPr>
          <w:rFonts w:ascii="宋体" w:hAnsi="宋体" w:eastAsia="宋体"/>
          <w:iCs/>
          <w:sz w:val="24"/>
          <w:szCs w:val="24"/>
        </w:rPr>
        <w:t>价）签订合同的，其</w:t>
      </w:r>
      <w:r>
        <w:rPr>
          <w:rFonts w:hint="eastAsia" w:ascii="宋体" w:hAnsi="宋体" w:eastAsia="宋体"/>
          <w:iCs/>
          <w:sz w:val="24"/>
          <w:szCs w:val="24"/>
        </w:rPr>
        <w:t>响应</w:t>
      </w:r>
      <w:r>
        <w:rPr>
          <w:rFonts w:ascii="宋体" w:hAnsi="宋体" w:eastAsia="宋体"/>
          <w:iCs/>
          <w:sz w:val="24"/>
          <w:szCs w:val="24"/>
        </w:rPr>
        <w:t>保证金不予退还。</w:t>
      </w:r>
    </w:p>
    <w:p w14:paraId="69743B53">
      <w:pPr>
        <w:pStyle w:val="18"/>
        <w:numPr>
          <w:ilvl w:val="0"/>
          <w:numId w:val="12"/>
        </w:numPr>
        <w:spacing w:line="440" w:lineRule="exact"/>
        <w:ind w:left="0" w:firstLine="482"/>
        <w:rPr>
          <w:rFonts w:ascii="宋体" w:hAnsi="宋体" w:eastAsia="宋体"/>
          <w:b/>
          <w:iCs/>
          <w:sz w:val="24"/>
          <w:szCs w:val="24"/>
        </w:rPr>
      </w:pPr>
      <w:r>
        <w:rPr>
          <w:rFonts w:ascii="宋体" w:hAnsi="宋体" w:eastAsia="宋体"/>
          <w:b/>
          <w:iCs/>
          <w:sz w:val="24"/>
          <w:szCs w:val="24"/>
        </w:rPr>
        <w:t>价格</w:t>
      </w:r>
      <w:r>
        <w:rPr>
          <w:rFonts w:hint="eastAsia" w:ascii="宋体" w:hAnsi="宋体" w:eastAsia="宋体"/>
          <w:b/>
          <w:iCs/>
          <w:sz w:val="24"/>
          <w:szCs w:val="24"/>
        </w:rPr>
        <w:t>评审</w:t>
      </w:r>
    </w:p>
    <w:p w14:paraId="2B14CECC">
      <w:pPr>
        <w:spacing w:line="440" w:lineRule="exact"/>
        <w:ind w:firstLine="480" w:firstLineChars="200"/>
        <w:rPr>
          <w:rFonts w:ascii="宋体" w:hAnsi="宋体" w:eastAsia="宋体"/>
          <w:iCs/>
          <w:sz w:val="24"/>
          <w:szCs w:val="24"/>
        </w:rPr>
      </w:pPr>
      <w:r>
        <w:rPr>
          <w:rFonts w:ascii="宋体" w:hAnsi="宋体" w:eastAsia="宋体"/>
          <w:iCs/>
          <w:sz w:val="24"/>
          <w:szCs w:val="24"/>
        </w:rPr>
        <w:t>以有效</w:t>
      </w:r>
      <w:r>
        <w:rPr>
          <w:rFonts w:hint="eastAsia" w:ascii="宋体" w:hAnsi="宋体" w:eastAsia="宋体"/>
          <w:iCs/>
          <w:sz w:val="24"/>
          <w:szCs w:val="24"/>
        </w:rPr>
        <w:t>供应商</w:t>
      </w:r>
      <w:r>
        <w:rPr>
          <w:rFonts w:ascii="宋体" w:hAnsi="宋体" w:eastAsia="宋体"/>
          <w:iCs/>
          <w:sz w:val="24"/>
          <w:szCs w:val="24"/>
        </w:rPr>
        <w:t>的修正后的价格为基础，计算</w:t>
      </w:r>
      <w:r>
        <w:rPr>
          <w:rFonts w:hint="eastAsia" w:ascii="宋体" w:hAnsi="宋体" w:eastAsia="宋体"/>
          <w:iCs/>
          <w:sz w:val="24"/>
          <w:szCs w:val="24"/>
        </w:rPr>
        <w:t>评审</w:t>
      </w:r>
      <w:r>
        <w:rPr>
          <w:rFonts w:ascii="宋体" w:hAnsi="宋体" w:eastAsia="宋体"/>
          <w:iCs/>
          <w:sz w:val="24"/>
          <w:szCs w:val="24"/>
        </w:rPr>
        <w:t>价格</w:t>
      </w:r>
      <w:r>
        <w:rPr>
          <w:rFonts w:hint="eastAsia" w:ascii="宋体" w:hAnsi="宋体" w:eastAsia="宋体"/>
          <w:iCs/>
          <w:sz w:val="24"/>
          <w:szCs w:val="24"/>
        </w:rPr>
        <w:t>。评审价格调整的情形详见评审方法前附表“评审价格调整条款”，若供应商报价出现“评审价格调整条款”规定情形的，则按规定调整评审价格</w:t>
      </w:r>
      <w:r>
        <w:rPr>
          <w:rFonts w:ascii="宋体" w:hAnsi="宋体" w:eastAsia="宋体"/>
          <w:iCs/>
          <w:sz w:val="24"/>
          <w:szCs w:val="24"/>
        </w:rPr>
        <w:t>。</w:t>
      </w:r>
      <w:r>
        <w:rPr>
          <w:rFonts w:hint="eastAsia" w:ascii="宋体" w:hAnsi="宋体" w:eastAsia="宋体"/>
          <w:iCs/>
          <w:sz w:val="24"/>
          <w:szCs w:val="24"/>
        </w:rPr>
        <w:t>根据采购项目特点和市场行情，分析供应商价格合理性。按照调整后的评审价格由低到高进行排序。</w:t>
      </w:r>
    </w:p>
    <w:p w14:paraId="7017CE98">
      <w:pPr>
        <w:spacing w:line="440" w:lineRule="exact"/>
        <w:ind w:firstLine="480" w:firstLineChars="200"/>
        <w:rPr>
          <w:rFonts w:ascii="宋体" w:hAnsi="宋体" w:eastAsia="宋体"/>
          <w:bCs/>
          <w:sz w:val="24"/>
          <w:szCs w:val="24"/>
        </w:rPr>
      </w:pPr>
      <w:r>
        <w:rPr>
          <w:rFonts w:ascii="宋体" w:hAnsi="宋体" w:eastAsia="宋体"/>
          <w:bCs/>
          <w:sz w:val="24"/>
          <w:szCs w:val="24"/>
        </w:rPr>
        <w:t>发票、付款方式及质保期等差异，不作为主要评价依据，但评审时发现与我方不一致</w:t>
      </w:r>
      <w:r>
        <w:rPr>
          <w:rFonts w:hint="eastAsia" w:ascii="宋体" w:hAnsi="宋体" w:eastAsia="宋体"/>
          <w:bCs/>
          <w:sz w:val="24"/>
          <w:szCs w:val="24"/>
        </w:rPr>
        <w:t>时，先进行现场澄清，再进行评判，无法达到我们实际要求时，可做为废标处理。</w:t>
      </w:r>
    </w:p>
    <w:p w14:paraId="10FF056B">
      <w:pPr>
        <w:spacing w:line="440" w:lineRule="exact"/>
        <w:ind w:firstLine="482" w:firstLineChars="200"/>
        <w:rPr>
          <w:rFonts w:ascii="宋体" w:hAnsi="宋体" w:eastAsia="宋体"/>
          <w:b/>
          <w:iCs/>
          <w:sz w:val="24"/>
          <w:szCs w:val="24"/>
        </w:rPr>
      </w:pPr>
      <w:r>
        <w:rPr>
          <w:rFonts w:ascii="宋体" w:hAnsi="宋体" w:eastAsia="宋体"/>
          <w:b/>
          <w:iCs/>
          <w:sz w:val="24"/>
          <w:szCs w:val="24"/>
        </w:rPr>
        <w:t>3.</w:t>
      </w:r>
      <w:r>
        <w:rPr>
          <w:rFonts w:hint="eastAsia" w:ascii="宋体" w:hAnsi="宋体" w:eastAsia="宋体"/>
          <w:b/>
          <w:iCs/>
          <w:sz w:val="24"/>
          <w:szCs w:val="24"/>
        </w:rPr>
        <w:t>“否决供应商情形”的评审</w:t>
      </w:r>
    </w:p>
    <w:p w14:paraId="10D87BDF">
      <w:pPr>
        <w:spacing w:line="440" w:lineRule="exact"/>
        <w:ind w:firstLine="480" w:firstLineChars="200"/>
        <w:rPr>
          <w:rFonts w:ascii="宋体" w:hAnsi="宋体" w:eastAsia="宋体"/>
          <w:iCs/>
          <w:sz w:val="24"/>
          <w:szCs w:val="24"/>
        </w:rPr>
      </w:pPr>
      <w:r>
        <w:rPr>
          <w:rFonts w:hint="eastAsia" w:ascii="宋体" w:hAnsi="宋体" w:eastAsia="宋体"/>
          <w:iCs/>
          <w:sz w:val="24"/>
          <w:szCs w:val="24"/>
        </w:rPr>
        <w:t>初步评审和价格评审等阶段均涉及“否决供应商情形”的评审，详见评审方法前附表“否决供应商的情形”。经评审，若认定供应商存在“否决供应商的情形”，则予以否决。</w:t>
      </w:r>
    </w:p>
    <w:p w14:paraId="3F8ADF7C">
      <w:pPr>
        <w:pStyle w:val="18"/>
        <w:numPr>
          <w:ilvl w:val="0"/>
          <w:numId w:val="11"/>
        </w:numPr>
        <w:spacing w:line="440" w:lineRule="exact"/>
        <w:ind w:firstLineChars="0"/>
        <w:rPr>
          <w:rFonts w:ascii="宋体" w:hAnsi="宋体" w:eastAsia="宋体"/>
          <w:b/>
          <w:iCs/>
          <w:sz w:val="24"/>
          <w:szCs w:val="24"/>
        </w:rPr>
      </w:pPr>
      <w:r>
        <w:rPr>
          <w:rFonts w:hint="eastAsia" w:ascii="宋体" w:hAnsi="宋体" w:eastAsia="宋体"/>
          <w:b/>
          <w:iCs/>
          <w:sz w:val="24"/>
          <w:szCs w:val="24"/>
        </w:rPr>
        <w:t>出具评审报告</w:t>
      </w:r>
    </w:p>
    <w:p w14:paraId="194F1CB5">
      <w:pPr>
        <w:spacing w:line="440" w:lineRule="exact"/>
        <w:ind w:firstLine="480" w:firstLineChars="200"/>
        <w:rPr>
          <w:rFonts w:ascii="宋体" w:hAnsi="宋体" w:eastAsia="宋体"/>
          <w:iCs/>
          <w:sz w:val="24"/>
          <w:szCs w:val="24"/>
        </w:rPr>
      </w:pPr>
      <w:r>
        <w:rPr>
          <w:rFonts w:hint="eastAsia" w:ascii="宋体" w:hAnsi="宋体" w:eastAsia="宋体"/>
          <w:iCs/>
          <w:sz w:val="24"/>
          <w:szCs w:val="24"/>
        </w:rPr>
        <w:t>根据供应商排序情况，推荐成交候选人，并出具评审报告。</w:t>
      </w:r>
    </w:p>
    <w:p w14:paraId="3F73D034">
      <w:pPr>
        <w:spacing w:line="440" w:lineRule="exact"/>
        <w:ind w:firstLine="480" w:firstLineChars="200"/>
        <w:rPr>
          <w:rFonts w:ascii="宋体" w:hAnsi="宋体" w:eastAsia="宋体"/>
          <w:iCs/>
          <w:sz w:val="24"/>
          <w:szCs w:val="24"/>
        </w:rPr>
      </w:pPr>
    </w:p>
    <w:p w14:paraId="72687DFD">
      <w:pPr>
        <w:spacing w:line="440" w:lineRule="exact"/>
        <w:rPr>
          <w:rFonts w:ascii="宋体" w:hAnsi="宋体" w:eastAsia="宋体"/>
          <w:iCs/>
          <w:sz w:val="24"/>
          <w:szCs w:val="24"/>
        </w:rPr>
      </w:pPr>
    </w:p>
    <w:p w14:paraId="280C443D">
      <w:pPr>
        <w:spacing w:line="440" w:lineRule="exact"/>
        <w:rPr>
          <w:rFonts w:ascii="宋体" w:hAnsi="宋体" w:eastAsia="宋体"/>
          <w:iCs/>
          <w:sz w:val="24"/>
          <w:szCs w:val="24"/>
        </w:rPr>
      </w:pPr>
    </w:p>
    <w:p w14:paraId="70BBE55E">
      <w:pPr>
        <w:spacing w:line="440" w:lineRule="exact"/>
        <w:ind w:firstLine="643" w:firstLineChars="200"/>
        <w:jc w:val="center"/>
        <w:rPr>
          <w:rFonts w:ascii="宋体" w:hAnsi="宋体" w:eastAsia="宋体"/>
          <w:b/>
          <w:bCs/>
          <w:sz w:val="32"/>
          <w:szCs w:val="24"/>
        </w:rPr>
      </w:pPr>
      <w:r>
        <w:rPr>
          <w:rFonts w:hint="eastAsia" w:ascii="宋体" w:hAnsi="宋体" w:eastAsia="宋体"/>
          <w:b/>
          <w:bCs/>
          <w:sz w:val="32"/>
          <w:szCs w:val="24"/>
        </w:rPr>
        <w:t>第四卷 合同条款及格式</w:t>
      </w:r>
    </w:p>
    <w:p w14:paraId="5AB8D83A">
      <w:pPr>
        <w:spacing w:line="300" w:lineRule="auto"/>
        <w:jc w:val="center"/>
        <w:rPr>
          <w:rFonts w:ascii="宋体" w:hAnsi="宋体"/>
          <w:b/>
          <w:sz w:val="28"/>
          <w:szCs w:val="28"/>
        </w:rPr>
      </w:pPr>
      <w:r>
        <w:rPr>
          <w:rFonts w:hint="eastAsia" w:ascii="宋体" w:hAnsi="宋体"/>
          <w:b/>
          <w:sz w:val="28"/>
          <w:szCs w:val="28"/>
        </w:rPr>
        <w:t>消杀服务合同</w:t>
      </w:r>
    </w:p>
    <w:p w14:paraId="004C16EB">
      <w:pPr>
        <w:snapToGrid w:val="0"/>
        <w:spacing w:line="300" w:lineRule="auto"/>
        <w:ind w:right="210"/>
        <w:jc w:val="right"/>
        <w:rPr>
          <w:rFonts w:hint="eastAsia" w:ascii="宋体" w:hAnsi="宋体"/>
          <w:szCs w:val="24"/>
        </w:rPr>
      </w:pPr>
      <w:r>
        <w:rPr>
          <w:rFonts w:hint="eastAsia" w:ascii="宋体" w:hAnsi="宋体"/>
          <w:szCs w:val="24"/>
        </w:rPr>
        <w:t xml:space="preserve">合同编号： </w:t>
      </w:r>
      <w:bookmarkStart w:id="1" w:name="contractNo"/>
      <w:bookmarkEnd w:id="1"/>
      <w:r>
        <w:rPr>
          <w:rFonts w:hint="eastAsia" w:ascii="宋体" w:hAnsi="宋体"/>
          <w:szCs w:val="24"/>
        </w:rPr>
        <w:t xml:space="preserve">  </w:t>
      </w:r>
    </w:p>
    <w:p w14:paraId="0217F3CA">
      <w:pPr>
        <w:adjustRightInd w:val="0"/>
        <w:snapToGrid w:val="0"/>
        <w:spacing w:line="300" w:lineRule="auto"/>
        <w:jc w:val="left"/>
        <w:textAlignment w:val="baseline"/>
        <w:rPr>
          <w:rFonts w:hint="eastAsia" w:ascii="宋体" w:hAnsi="宋体"/>
          <w:szCs w:val="21"/>
        </w:rPr>
      </w:pPr>
    </w:p>
    <w:p w14:paraId="6BF04B9F">
      <w:pPr>
        <w:adjustRightInd w:val="0"/>
        <w:snapToGrid w:val="0"/>
        <w:spacing w:line="300" w:lineRule="auto"/>
        <w:jc w:val="left"/>
        <w:textAlignment w:val="baseline"/>
        <w:rPr>
          <w:rFonts w:hint="eastAsia" w:ascii="宋体" w:hAnsi="宋体"/>
          <w:szCs w:val="21"/>
        </w:rPr>
      </w:pPr>
      <w:r>
        <w:rPr>
          <w:rFonts w:hint="eastAsia" w:ascii="宋体" w:hAnsi="宋体"/>
          <w:b/>
          <w:szCs w:val="21"/>
        </w:rPr>
        <w:t xml:space="preserve">甲方： </w:t>
      </w:r>
      <w:bookmarkStart w:id="2" w:name="firstParty"/>
      <w:bookmarkEnd w:id="2"/>
      <w:r>
        <w:rPr>
          <w:rFonts w:hint="eastAsia" w:ascii="宋体" w:hAnsi="宋体"/>
          <w:b/>
          <w:szCs w:val="21"/>
        </w:rPr>
        <w:t xml:space="preserve">  </w:t>
      </w:r>
    </w:p>
    <w:p w14:paraId="7C9206A9">
      <w:pPr>
        <w:snapToGrid w:val="0"/>
        <w:spacing w:line="300" w:lineRule="auto"/>
        <w:jc w:val="left"/>
        <w:rPr>
          <w:rFonts w:hint="eastAsia" w:ascii="宋体" w:hAnsi="宋体"/>
          <w:color w:val="000000"/>
          <w:szCs w:val="21"/>
        </w:rPr>
      </w:pPr>
      <w:r>
        <w:rPr>
          <w:rFonts w:hint="eastAsia" w:ascii="宋体" w:hAnsi="宋体"/>
          <w:color w:val="000000"/>
          <w:szCs w:val="21"/>
        </w:rPr>
        <w:t xml:space="preserve">企业形式： </w:t>
      </w:r>
      <w:r>
        <w:rPr>
          <w:rFonts w:hint="eastAsia" w:ascii="宋体" w:hAnsi="宋体"/>
          <w:szCs w:val="24"/>
        </w:rPr>
        <w:t xml:space="preserve">        </w:t>
      </w:r>
    </w:p>
    <w:p w14:paraId="091681C0">
      <w:pPr>
        <w:adjustRightInd w:val="0"/>
        <w:snapToGrid w:val="0"/>
        <w:spacing w:line="300" w:lineRule="auto"/>
        <w:rPr>
          <w:rFonts w:hint="eastAsia" w:ascii="宋体" w:hAnsi="宋体"/>
          <w:szCs w:val="21"/>
        </w:rPr>
      </w:pPr>
      <w:r>
        <w:rPr>
          <w:rFonts w:hint="eastAsia" w:ascii="宋体" w:hAnsi="宋体"/>
          <w:szCs w:val="21"/>
        </w:rPr>
        <w:t xml:space="preserve">注册地址：   </w:t>
      </w:r>
      <w:r>
        <w:rPr>
          <w:rFonts w:hint="eastAsia" w:ascii="宋体" w:hAnsi="宋体"/>
          <w:szCs w:val="24"/>
        </w:rPr>
        <w:t xml:space="preserve"> </w:t>
      </w:r>
    </w:p>
    <w:p w14:paraId="3F7C5C12">
      <w:pPr>
        <w:snapToGrid w:val="0"/>
        <w:spacing w:line="300" w:lineRule="auto"/>
        <w:jc w:val="left"/>
        <w:rPr>
          <w:rFonts w:hint="eastAsia" w:ascii="宋体" w:hAnsi="宋体"/>
          <w:szCs w:val="21"/>
        </w:rPr>
      </w:pPr>
      <w:r>
        <w:rPr>
          <w:rFonts w:hint="eastAsia" w:ascii="宋体" w:hAnsi="宋体"/>
          <w:szCs w:val="21"/>
        </w:rPr>
        <w:t>联系人：</w:t>
      </w:r>
      <w:bookmarkStart w:id="3" w:name="firstLinkman"/>
      <w:bookmarkEnd w:id="3"/>
      <w:r>
        <w:rPr>
          <w:rFonts w:hint="eastAsia" w:ascii="宋体" w:hAnsi="宋体"/>
          <w:szCs w:val="21"/>
        </w:rPr>
        <w:t xml:space="preserve"> </w:t>
      </w:r>
      <w:r>
        <w:rPr>
          <w:rFonts w:hint="eastAsia" w:ascii="宋体" w:hAnsi="宋体"/>
          <w:szCs w:val="24"/>
        </w:rPr>
        <w:t xml:space="preserve">        </w:t>
      </w:r>
    </w:p>
    <w:p w14:paraId="20E4F6A8">
      <w:pPr>
        <w:snapToGrid w:val="0"/>
        <w:spacing w:line="300" w:lineRule="auto"/>
        <w:jc w:val="left"/>
        <w:rPr>
          <w:rFonts w:hint="eastAsia" w:ascii="宋体" w:hAnsi="宋体"/>
          <w:szCs w:val="21"/>
        </w:rPr>
      </w:pPr>
      <w:r>
        <w:rPr>
          <w:rFonts w:hint="eastAsia" w:ascii="宋体" w:hAnsi="宋体"/>
          <w:szCs w:val="21"/>
        </w:rPr>
        <w:t>电话：</w:t>
      </w:r>
      <w:bookmarkStart w:id="4" w:name="firstTelephone"/>
      <w:bookmarkEnd w:id="4"/>
      <w:r>
        <w:rPr>
          <w:rFonts w:hint="eastAsia" w:ascii="宋体" w:hAnsi="宋体"/>
          <w:szCs w:val="21"/>
        </w:rPr>
        <w:t xml:space="preserve"> </w:t>
      </w:r>
      <w:r>
        <w:rPr>
          <w:rFonts w:hint="eastAsia" w:ascii="宋体" w:hAnsi="宋体"/>
          <w:szCs w:val="24"/>
        </w:rPr>
        <w:t xml:space="preserve">        </w:t>
      </w:r>
    </w:p>
    <w:p w14:paraId="0AD755E3">
      <w:pPr>
        <w:spacing w:line="300" w:lineRule="auto"/>
        <w:rPr>
          <w:rFonts w:hint="eastAsia" w:ascii="宋体" w:hAnsi="宋体"/>
          <w:b/>
          <w:szCs w:val="21"/>
        </w:rPr>
      </w:pPr>
      <w:r>
        <w:rPr>
          <w:rFonts w:hint="eastAsia" w:ascii="宋体" w:hAnsi="宋体"/>
          <w:b/>
          <w:szCs w:val="21"/>
        </w:rPr>
        <w:t>乙方：</w:t>
      </w:r>
      <w:r>
        <w:rPr>
          <w:rFonts w:hint="eastAsia" w:ascii="宋体" w:hAnsi="宋体"/>
          <w:szCs w:val="21"/>
        </w:rPr>
        <w:t xml:space="preserve">  </w:t>
      </w:r>
      <w:bookmarkStart w:id="5" w:name="secondParty"/>
      <w:bookmarkEnd w:id="5"/>
      <w:r>
        <w:rPr>
          <w:rFonts w:hint="eastAsia" w:ascii="宋体" w:hAnsi="宋体"/>
          <w:szCs w:val="21"/>
        </w:rPr>
        <w:t xml:space="preserve"> </w:t>
      </w:r>
      <w:r>
        <w:rPr>
          <w:rFonts w:hint="eastAsia" w:ascii="宋体" w:hAnsi="宋体"/>
          <w:b/>
          <w:szCs w:val="24"/>
        </w:rPr>
        <w:t xml:space="preserve"> </w:t>
      </w:r>
    </w:p>
    <w:p w14:paraId="0206AA8E">
      <w:pPr>
        <w:snapToGrid w:val="0"/>
        <w:spacing w:line="300" w:lineRule="auto"/>
        <w:jc w:val="left"/>
        <w:rPr>
          <w:rFonts w:hint="eastAsia" w:ascii="宋体" w:hAnsi="宋体"/>
          <w:color w:val="000000"/>
          <w:szCs w:val="21"/>
        </w:rPr>
      </w:pPr>
      <w:r>
        <w:rPr>
          <w:rFonts w:hint="eastAsia" w:ascii="宋体" w:hAnsi="宋体"/>
          <w:color w:val="000000"/>
          <w:szCs w:val="21"/>
        </w:rPr>
        <w:t xml:space="preserve">企业形式： </w:t>
      </w:r>
      <w:r>
        <w:rPr>
          <w:rFonts w:hint="eastAsia" w:ascii="宋体" w:hAnsi="宋体"/>
          <w:szCs w:val="24"/>
        </w:rPr>
        <w:t xml:space="preserve">        </w:t>
      </w:r>
    </w:p>
    <w:p w14:paraId="54C9A8D5">
      <w:pPr>
        <w:adjustRightInd w:val="0"/>
        <w:snapToGrid w:val="0"/>
        <w:spacing w:line="300" w:lineRule="auto"/>
        <w:rPr>
          <w:rFonts w:hint="eastAsia" w:ascii="宋体" w:hAnsi="宋体"/>
          <w:szCs w:val="21"/>
        </w:rPr>
      </w:pPr>
      <w:r>
        <w:rPr>
          <w:rFonts w:hint="eastAsia" w:ascii="宋体" w:hAnsi="宋体"/>
          <w:szCs w:val="21"/>
        </w:rPr>
        <w:t xml:space="preserve">注册地址：  </w:t>
      </w:r>
      <w:bookmarkStart w:id="6" w:name="secondRegisteredAddress"/>
      <w:bookmarkEnd w:id="6"/>
      <w:r>
        <w:rPr>
          <w:rFonts w:hint="eastAsia" w:ascii="宋体" w:hAnsi="宋体"/>
          <w:szCs w:val="21"/>
        </w:rPr>
        <w:t xml:space="preserve"> </w:t>
      </w:r>
      <w:r>
        <w:rPr>
          <w:rFonts w:hint="eastAsia" w:ascii="宋体" w:hAnsi="宋体"/>
          <w:szCs w:val="24"/>
        </w:rPr>
        <w:t xml:space="preserve"> </w:t>
      </w:r>
    </w:p>
    <w:p w14:paraId="575EC367">
      <w:pPr>
        <w:snapToGrid w:val="0"/>
        <w:spacing w:line="300" w:lineRule="auto"/>
        <w:jc w:val="left"/>
        <w:rPr>
          <w:rFonts w:hint="eastAsia" w:ascii="宋体" w:hAnsi="宋体"/>
          <w:szCs w:val="21"/>
        </w:rPr>
      </w:pPr>
      <w:r>
        <w:rPr>
          <w:rFonts w:hint="eastAsia" w:ascii="宋体" w:hAnsi="宋体"/>
          <w:szCs w:val="21"/>
        </w:rPr>
        <w:t xml:space="preserve">业务经办人：  </w:t>
      </w:r>
      <w:bookmarkStart w:id="7" w:name="linkman"/>
      <w:bookmarkEnd w:id="7"/>
      <w:r>
        <w:rPr>
          <w:rFonts w:hint="eastAsia" w:ascii="宋体" w:hAnsi="宋体"/>
          <w:szCs w:val="21"/>
        </w:rPr>
        <w:t xml:space="preserve"> </w:t>
      </w:r>
      <w:r>
        <w:rPr>
          <w:rFonts w:hint="eastAsia" w:ascii="宋体" w:hAnsi="宋体"/>
          <w:szCs w:val="24"/>
        </w:rPr>
        <w:t xml:space="preserve"> </w:t>
      </w:r>
    </w:p>
    <w:p w14:paraId="697B36F5">
      <w:pPr>
        <w:spacing w:line="300" w:lineRule="auto"/>
        <w:rPr>
          <w:rFonts w:hint="eastAsia" w:ascii="宋体" w:hAnsi="宋体"/>
          <w:szCs w:val="21"/>
        </w:rPr>
      </w:pPr>
      <w:r>
        <w:rPr>
          <w:rFonts w:hint="eastAsia" w:ascii="宋体" w:hAnsi="宋体"/>
          <w:szCs w:val="21"/>
        </w:rPr>
        <w:t xml:space="preserve">电话：  </w:t>
      </w:r>
      <w:bookmarkStart w:id="8" w:name="telephone"/>
      <w:bookmarkEnd w:id="8"/>
      <w:r>
        <w:rPr>
          <w:rFonts w:hint="eastAsia" w:ascii="宋体" w:hAnsi="宋体"/>
          <w:szCs w:val="21"/>
        </w:rPr>
        <w:t xml:space="preserve"> </w:t>
      </w:r>
      <w:r>
        <w:rPr>
          <w:rFonts w:hint="eastAsia" w:ascii="宋体" w:hAnsi="宋体"/>
          <w:szCs w:val="24"/>
        </w:rPr>
        <w:t xml:space="preserve"> </w:t>
      </w:r>
      <w:r>
        <w:rPr>
          <w:rFonts w:hint="eastAsia" w:ascii="宋体" w:hAnsi="宋体"/>
          <w:szCs w:val="21"/>
        </w:rPr>
        <w:t xml:space="preserve">  </w:t>
      </w:r>
    </w:p>
    <w:p w14:paraId="36F84E77">
      <w:pPr>
        <w:spacing w:line="300" w:lineRule="auto"/>
        <w:rPr>
          <w:rFonts w:hint="eastAsia" w:ascii="Calibri" w:hAnsi="Calibri"/>
          <w:color w:val="000000"/>
          <w:szCs w:val="21"/>
        </w:rPr>
      </w:pPr>
      <w:r>
        <w:rPr>
          <w:rFonts w:hint="eastAsia"/>
          <w:color w:val="000000"/>
          <w:szCs w:val="21"/>
        </w:rPr>
        <w:t>开户行：</w:t>
      </w:r>
      <w:r>
        <w:rPr>
          <w:color w:val="000000"/>
          <w:szCs w:val="21"/>
        </w:rPr>
        <w:t xml:space="preserve"> </w:t>
      </w:r>
      <w:bookmarkStart w:id="9" w:name="bankName"/>
      <w:bookmarkEnd w:id="9"/>
      <w:r>
        <w:rPr>
          <w:color w:val="000000"/>
          <w:szCs w:val="21"/>
        </w:rPr>
        <w:t xml:space="preserve"> </w:t>
      </w:r>
      <w:r>
        <w:rPr>
          <w:rFonts w:hint="eastAsia" w:ascii="宋体" w:hAnsi="宋体"/>
          <w:szCs w:val="24"/>
        </w:rPr>
        <w:t xml:space="preserve"> </w:t>
      </w:r>
    </w:p>
    <w:p w14:paraId="6EE6EF90">
      <w:pPr>
        <w:spacing w:line="300" w:lineRule="auto"/>
        <w:rPr>
          <w:color w:val="000000"/>
          <w:szCs w:val="21"/>
        </w:rPr>
      </w:pPr>
      <w:r>
        <w:rPr>
          <w:rFonts w:hint="eastAsia"/>
          <w:color w:val="000000"/>
          <w:szCs w:val="21"/>
        </w:rPr>
        <w:t>账号：</w:t>
      </w:r>
      <w:r>
        <w:rPr>
          <w:color w:val="000000"/>
          <w:szCs w:val="21"/>
        </w:rPr>
        <w:t xml:space="preserve"> </w:t>
      </w:r>
      <w:bookmarkStart w:id="10" w:name="bankAccount"/>
      <w:bookmarkEnd w:id="10"/>
      <w:r>
        <w:rPr>
          <w:color w:val="000000"/>
          <w:szCs w:val="21"/>
        </w:rPr>
        <w:t xml:space="preserve"> </w:t>
      </w:r>
      <w:r>
        <w:rPr>
          <w:rFonts w:hint="eastAsia" w:ascii="宋体" w:hAnsi="宋体"/>
          <w:szCs w:val="24"/>
        </w:rPr>
        <w:t xml:space="preserve"> </w:t>
      </w:r>
    </w:p>
    <w:p w14:paraId="2C815A54">
      <w:pPr>
        <w:spacing w:line="300" w:lineRule="auto"/>
        <w:rPr>
          <w:color w:val="000000"/>
          <w:szCs w:val="21"/>
        </w:rPr>
      </w:pPr>
      <w:r>
        <w:rPr>
          <w:rFonts w:hint="eastAsia"/>
          <w:color w:val="000000"/>
          <w:szCs w:val="21"/>
        </w:rPr>
        <w:t>税号</w:t>
      </w:r>
      <w:r>
        <w:rPr>
          <w:color w:val="000000"/>
          <w:szCs w:val="21"/>
        </w:rPr>
        <w:t>/</w:t>
      </w:r>
      <w:r>
        <w:rPr>
          <w:rFonts w:hint="eastAsia"/>
          <w:color w:val="000000"/>
          <w:szCs w:val="21"/>
        </w:rPr>
        <w:t>统一社会信用代码：</w:t>
      </w:r>
      <w:r>
        <w:rPr>
          <w:color w:val="000000"/>
          <w:szCs w:val="21"/>
        </w:rPr>
        <w:t xml:space="preserve"> </w:t>
      </w:r>
      <w:bookmarkStart w:id="11" w:name="identityNo"/>
      <w:bookmarkEnd w:id="11"/>
      <w:r>
        <w:rPr>
          <w:color w:val="000000"/>
          <w:szCs w:val="21"/>
        </w:rPr>
        <w:t xml:space="preserve">  </w:t>
      </w:r>
    </w:p>
    <w:p w14:paraId="79731B75">
      <w:pPr>
        <w:spacing w:line="300" w:lineRule="auto"/>
        <w:rPr>
          <w:rFonts w:ascii="宋体" w:hAnsi="宋体"/>
          <w:szCs w:val="21"/>
        </w:rPr>
      </w:pPr>
      <w:r>
        <w:rPr>
          <w:rFonts w:hint="eastAsia" w:ascii="宋体" w:hAnsi="宋体"/>
          <w:szCs w:val="21"/>
        </w:rPr>
        <w:t xml:space="preserve"> </w:t>
      </w:r>
    </w:p>
    <w:p w14:paraId="4FF15AA1">
      <w:pPr>
        <w:spacing w:line="300" w:lineRule="auto"/>
        <w:ind w:firstLine="420" w:firstLineChars="200"/>
        <w:rPr>
          <w:rFonts w:hint="eastAsia" w:ascii="宋体" w:hAnsi="宋体"/>
          <w:szCs w:val="21"/>
        </w:rPr>
      </w:pPr>
      <w:r>
        <w:rPr>
          <w:rFonts w:hint="eastAsia" w:ascii="宋体" w:hAnsi="宋体"/>
          <w:color w:val="000000"/>
          <w:szCs w:val="21"/>
        </w:rPr>
        <w:t>依据</w:t>
      </w:r>
      <w:r>
        <w:rPr>
          <w:rFonts w:hint="eastAsia"/>
          <w:color w:val="000000"/>
          <w:szCs w:val="21"/>
        </w:rPr>
        <w:t>《中华人民共和国民法典》</w:t>
      </w:r>
      <w:r>
        <w:rPr>
          <w:rFonts w:hint="eastAsia" w:ascii="宋体" w:hAnsi="宋体"/>
          <w:color w:val="000000"/>
          <w:szCs w:val="21"/>
        </w:rPr>
        <w:t>和有关法律法规的规定，就乙方为甲方提供厂区消杀服务等相关事项，经双方协商一致，签订本合同。</w:t>
      </w:r>
    </w:p>
    <w:p w14:paraId="792EA787">
      <w:pPr>
        <w:spacing w:line="300" w:lineRule="auto"/>
        <w:rPr>
          <w:rFonts w:hint="eastAsia" w:ascii="宋体" w:hAnsi="宋体"/>
          <w:b/>
          <w:szCs w:val="21"/>
        </w:rPr>
      </w:pPr>
      <w:r>
        <w:rPr>
          <w:rFonts w:hint="eastAsia" w:ascii="宋体" w:hAnsi="宋体"/>
          <w:b/>
          <w:szCs w:val="21"/>
        </w:rPr>
        <w:t>1. 有害生物消杀服务标准及控制原则</w:t>
      </w:r>
    </w:p>
    <w:p w14:paraId="0DDDEC78">
      <w:pPr>
        <w:spacing w:line="300" w:lineRule="auto"/>
        <w:ind w:left="420" w:hanging="420" w:hangingChars="200"/>
        <w:rPr>
          <w:rFonts w:hint="eastAsia" w:ascii="宋体" w:hAnsi="宋体"/>
          <w:szCs w:val="21"/>
        </w:rPr>
      </w:pPr>
      <w:r>
        <w:rPr>
          <w:rFonts w:hint="eastAsia" w:ascii="宋体" w:hAnsi="宋体"/>
          <w:szCs w:val="21"/>
        </w:rPr>
        <w:t>1.1 服务标准：乙方根据甲方单位的特点和厂区内有害生物种类有针对性的，采取科学、规范、综合性杀灭措施，有效降低和控制有害生物密度，达到符合法律、法规规定的标准以及本市爱国卫生运动委员会规定的有害生物工作管理目标；</w:t>
      </w:r>
    </w:p>
    <w:p w14:paraId="15C565FA">
      <w:pPr>
        <w:spacing w:line="300" w:lineRule="auto"/>
        <w:ind w:left="420" w:hanging="420" w:hangingChars="200"/>
        <w:rPr>
          <w:rFonts w:hint="eastAsia" w:ascii="宋体" w:hAnsi="宋体"/>
          <w:szCs w:val="21"/>
        </w:rPr>
      </w:pPr>
      <w:r>
        <w:rPr>
          <w:rFonts w:hint="eastAsia" w:ascii="宋体" w:hAnsi="宋体"/>
          <w:szCs w:val="21"/>
        </w:rPr>
        <w:t>1.2 有害生物控制原则</w:t>
      </w:r>
    </w:p>
    <w:p w14:paraId="50E5EC01">
      <w:pPr>
        <w:spacing w:line="300" w:lineRule="auto"/>
        <w:ind w:left="420" w:hanging="420" w:hangingChars="200"/>
        <w:rPr>
          <w:rFonts w:hint="eastAsia" w:ascii="宋体" w:hAnsi="宋体"/>
          <w:szCs w:val="21"/>
        </w:rPr>
      </w:pPr>
      <w:r>
        <w:rPr>
          <w:rFonts w:hint="eastAsia" w:ascii="宋体" w:hAnsi="宋体"/>
          <w:szCs w:val="21"/>
        </w:rPr>
        <w:t>1.2.1 预防为主、控制为辅，达到有害生物可控可防的目的；</w:t>
      </w:r>
    </w:p>
    <w:p w14:paraId="1F9BC772">
      <w:pPr>
        <w:spacing w:line="300" w:lineRule="auto"/>
        <w:ind w:left="630" w:hanging="630" w:hangingChars="300"/>
        <w:rPr>
          <w:rFonts w:hint="eastAsia" w:ascii="宋体" w:hAnsi="宋体"/>
          <w:szCs w:val="21"/>
        </w:rPr>
      </w:pPr>
      <w:r>
        <w:rPr>
          <w:rFonts w:hint="eastAsia" w:ascii="宋体" w:hAnsi="宋体"/>
          <w:szCs w:val="21"/>
        </w:rPr>
        <w:t>1.2.2 基于甲方厂区内外部环境及有害生物活动信息，使用系统方法，持续改进有害生物的防制效果；</w:t>
      </w:r>
    </w:p>
    <w:p w14:paraId="363F152A">
      <w:pPr>
        <w:spacing w:line="300" w:lineRule="auto"/>
        <w:ind w:left="420" w:hanging="420" w:hangingChars="200"/>
        <w:rPr>
          <w:rFonts w:hint="eastAsia" w:ascii="宋体" w:hAnsi="宋体"/>
          <w:szCs w:val="21"/>
        </w:rPr>
      </w:pPr>
      <w:r>
        <w:rPr>
          <w:rFonts w:hint="eastAsia" w:ascii="宋体" w:hAnsi="宋体"/>
          <w:szCs w:val="21"/>
        </w:rPr>
        <w:t>1.2.3 优先使用物理防制，有条件使用化学防制；</w:t>
      </w:r>
    </w:p>
    <w:p w14:paraId="2D1BC14E">
      <w:pPr>
        <w:spacing w:line="300" w:lineRule="auto"/>
        <w:ind w:left="420" w:hanging="420" w:hangingChars="200"/>
        <w:rPr>
          <w:rFonts w:hint="eastAsia" w:ascii="宋体" w:hAnsi="宋体"/>
          <w:szCs w:val="21"/>
        </w:rPr>
      </w:pPr>
      <w:r>
        <w:rPr>
          <w:rFonts w:hint="eastAsia" w:ascii="宋体" w:hAnsi="宋体"/>
          <w:szCs w:val="21"/>
        </w:rPr>
        <w:t>1.2.4 保障食品安全、人身安全。</w:t>
      </w:r>
    </w:p>
    <w:p w14:paraId="1CD38708">
      <w:pPr>
        <w:spacing w:line="300" w:lineRule="auto"/>
        <w:rPr>
          <w:rFonts w:hint="eastAsia" w:ascii="宋体" w:hAnsi="宋体"/>
          <w:b/>
          <w:szCs w:val="21"/>
        </w:rPr>
      </w:pPr>
      <w:r>
        <w:rPr>
          <w:rFonts w:hint="eastAsia" w:ascii="宋体" w:hAnsi="宋体"/>
          <w:b/>
          <w:szCs w:val="21"/>
        </w:rPr>
        <w:t>2. 服务项目、范围及面积</w:t>
      </w:r>
    </w:p>
    <w:p w14:paraId="79F0127F">
      <w:pPr>
        <w:spacing w:line="300" w:lineRule="auto"/>
        <w:ind w:left="315" w:leftChars="150"/>
        <w:rPr>
          <w:rFonts w:hint="eastAsia" w:ascii="宋体" w:hAnsi="宋体"/>
          <w:szCs w:val="21"/>
        </w:rPr>
      </w:pPr>
      <w:r>
        <w:rPr>
          <w:rFonts w:hint="eastAsia" w:ascii="宋体" w:hAnsi="宋体"/>
          <w:szCs w:val="21"/>
        </w:rPr>
        <w:t>对公司综合办公楼、销售办公楼、食堂、运营部成品库、物资库、五金库、商标库、 制造部、厂区四周、变电所等区域，总面积约（   ）平方米，进行灭杀鼠、蟑螂、消杀蚊、蝇等有害生物。</w:t>
      </w:r>
    </w:p>
    <w:p w14:paraId="0A02951D">
      <w:pPr>
        <w:spacing w:line="300" w:lineRule="auto"/>
        <w:jc w:val="left"/>
        <w:rPr>
          <w:rFonts w:hint="eastAsia" w:ascii="宋体" w:hAnsi="宋体"/>
          <w:b/>
          <w:szCs w:val="21"/>
        </w:rPr>
      </w:pPr>
      <w:r>
        <w:rPr>
          <w:rFonts w:hint="eastAsia" w:ascii="宋体" w:hAnsi="宋体"/>
          <w:b/>
          <w:szCs w:val="21"/>
        </w:rPr>
        <w:t>3. 乙方承诺</w:t>
      </w:r>
    </w:p>
    <w:p w14:paraId="201F407F">
      <w:pPr>
        <w:spacing w:line="300" w:lineRule="auto"/>
        <w:ind w:left="420" w:hanging="420" w:hangingChars="200"/>
        <w:jc w:val="left"/>
        <w:rPr>
          <w:rFonts w:hint="eastAsia" w:ascii="宋体" w:hAnsi="宋体"/>
          <w:szCs w:val="21"/>
        </w:rPr>
      </w:pPr>
      <w:r>
        <w:rPr>
          <w:rFonts w:hint="eastAsia" w:ascii="宋体" w:hAnsi="宋体"/>
          <w:szCs w:val="21"/>
        </w:rPr>
        <w:t>3.1 乙方承诺其主体资格合法有效，从事本合同项下服务的相关资质证照齐全有效。合同履行期间如乙方发生资质证照变更的，须提前</w:t>
      </w:r>
      <w:r>
        <w:rPr>
          <w:rFonts w:hint="eastAsia" w:ascii="宋体" w:hAnsi="宋体"/>
          <w:szCs w:val="24"/>
        </w:rPr>
        <w:t xml:space="preserve">      </w:t>
      </w:r>
      <w:r>
        <w:rPr>
          <w:rFonts w:hint="eastAsia" w:ascii="宋体" w:hAnsi="宋体"/>
          <w:szCs w:val="21"/>
        </w:rPr>
        <w:t>日通知甲方，且须在取得新证照后</w:t>
      </w:r>
      <w:r>
        <w:rPr>
          <w:rFonts w:hint="eastAsia" w:ascii="宋体" w:hAnsi="宋体"/>
          <w:szCs w:val="24"/>
        </w:rPr>
        <w:t xml:space="preserve">      </w:t>
      </w:r>
      <w:r>
        <w:rPr>
          <w:rFonts w:hint="eastAsia" w:ascii="宋体" w:hAnsi="宋体"/>
          <w:szCs w:val="21"/>
        </w:rPr>
        <w:t>日内向甲方提供加盖乙方公章的复印件；</w:t>
      </w:r>
    </w:p>
    <w:p w14:paraId="69F9FC22">
      <w:pPr>
        <w:spacing w:line="300" w:lineRule="auto"/>
        <w:ind w:left="420" w:hanging="420" w:hangingChars="200"/>
        <w:jc w:val="left"/>
        <w:rPr>
          <w:rFonts w:hint="eastAsia" w:ascii="宋体" w:hAnsi="宋体"/>
          <w:szCs w:val="21"/>
        </w:rPr>
      </w:pPr>
      <w:r>
        <w:rPr>
          <w:rFonts w:hint="eastAsia" w:ascii="宋体" w:hAnsi="宋体"/>
          <w:szCs w:val="21"/>
        </w:rPr>
        <w:t>3.2 公司成立且有效服务经验在</w:t>
      </w:r>
      <w:r>
        <w:rPr>
          <w:rFonts w:hint="eastAsia" w:ascii="宋体" w:hAnsi="宋体"/>
          <w:szCs w:val="24"/>
        </w:rPr>
        <w:t xml:space="preserve"> 一年 </w:t>
      </w:r>
      <w:r>
        <w:rPr>
          <w:rFonts w:hint="eastAsia" w:ascii="宋体" w:hAnsi="宋体"/>
          <w:szCs w:val="21"/>
        </w:rPr>
        <w:t>以上，无不良行为信息(国家企业信用信息公示系统、中国执行信息公开网等)；</w:t>
      </w:r>
    </w:p>
    <w:p w14:paraId="364AA6CD">
      <w:pPr>
        <w:spacing w:line="300" w:lineRule="auto"/>
        <w:ind w:left="420" w:hanging="420" w:hangingChars="200"/>
        <w:jc w:val="left"/>
        <w:rPr>
          <w:rFonts w:hint="eastAsia" w:ascii="宋体" w:hAnsi="宋体"/>
          <w:szCs w:val="21"/>
        </w:rPr>
      </w:pPr>
      <w:r>
        <w:rPr>
          <w:rFonts w:hint="eastAsia" w:ascii="宋体" w:hAnsi="宋体"/>
          <w:szCs w:val="21"/>
        </w:rPr>
        <w:t>3.3 乙方应保证履行合同人员身体健康，没有传染性疾病，具备较强的业务技能、未受过行政拘留或刑事处罚；</w:t>
      </w:r>
    </w:p>
    <w:p w14:paraId="68EDE960">
      <w:pPr>
        <w:spacing w:line="300" w:lineRule="auto"/>
        <w:ind w:left="420" w:hanging="420" w:hangingChars="200"/>
        <w:jc w:val="left"/>
        <w:rPr>
          <w:rFonts w:hint="eastAsia" w:ascii="宋体" w:hAnsi="宋体"/>
          <w:szCs w:val="21"/>
        </w:rPr>
      </w:pPr>
      <w:r>
        <w:rPr>
          <w:rFonts w:hint="eastAsia" w:ascii="宋体" w:hAnsi="宋体"/>
          <w:szCs w:val="21"/>
        </w:rPr>
        <w:t>3.4 乙方应针对甲方业务特点开展人员岗前培训、日常培训，制定人员岗位作业标准和工作效果考核淘汰机制、制定乙方人员及第三方人员安全管理和资产安全管理措施，以及制定突发事件应急处理机制等；</w:t>
      </w:r>
    </w:p>
    <w:p w14:paraId="0A1EFF17">
      <w:pPr>
        <w:spacing w:line="300" w:lineRule="auto"/>
        <w:ind w:left="420" w:hanging="420" w:hangingChars="200"/>
        <w:jc w:val="left"/>
        <w:rPr>
          <w:rFonts w:hint="eastAsia" w:ascii="宋体" w:hAnsi="宋体"/>
          <w:szCs w:val="21"/>
        </w:rPr>
      </w:pPr>
      <w:r>
        <w:rPr>
          <w:rFonts w:hint="eastAsia" w:ascii="宋体" w:hAnsi="宋体"/>
          <w:szCs w:val="21"/>
        </w:rPr>
        <w:t>3.5 乙方应指定一名授权管理（联络）人员并提供授权文件，负责与甲方接洽本合同履行相关事宜，对乙方执行本合同业务的员工管理和调度等工作。如甲方认为该管理人员不适合提供本合同相关服务的，甲方有权要求乙方在</w:t>
      </w:r>
      <w:r>
        <w:rPr>
          <w:rFonts w:hint="eastAsia" w:ascii="宋体" w:hAnsi="宋体"/>
          <w:szCs w:val="24"/>
        </w:rPr>
        <w:t xml:space="preserve">      </w:t>
      </w:r>
      <w:r>
        <w:rPr>
          <w:rFonts w:hint="eastAsia" w:ascii="宋体" w:hAnsi="宋体"/>
          <w:szCs w:val="21"/>
        </w:rPr>
        <w:t>日内更换并重新提交授权文件；</w:t>
      </w:r>
    </w:p>
    <w:p w14:paraId="622CC874">
      <w:pPr>
        <w:spacing w:line="300" w:lineRule="auto"/>
        <w:ind w:left="420" w:hanging="420" w:hangingChars="200"/>
        <w:jc w:val="left"/>
        <w:rPr>
          <w:rFonts w:hint="eastAsia" w:ascii="宋体" w:hAnsi="宋体"/>
          <w:szCs w:val="21"/>
        </w:rPr>
      </w:pPr>
      <w:r>
        <w:rPr>
          <w:rFonts w:hint="eastAsia" w:ascii="宋体" w:hAnsi="宋体"/>
          <w:szCs w:val="21"/>
        </w:rPr>
        <w:t>3.6 乙方承诺对其执行本合同承包业务的员工具备有效管理的能力，保证不因自身管理不善或员工劳动纠纷等影响本合同履行；</w:t>
      </w:r>
    </w:p>
    <w:p w14:paraId="6B1305B2">
      <w:pPr>
        <w:spacing w:line="300" w:lineRule="auto"/>
        <w:ind w:left="420" w:hanging="420" w:hangingChars="200"/>
        <w:jc w:val="left"/>
        <w:rPr>
          <w:rFonts w:hint="eastAsia" w:ascii="宋体" w:hAnsi="宋体"/>
          <w:szCs w:val="21"/>
        </w:rPr>
      </w:pPr>
      <w:r>
        <w:rPr>
          <w:rFonts w:hint="eastAsia" w:ascii="宋体" w:hAnsi="宋体"/>
          <w:szCs w:val="21"/>
        </w:rPr>
        <w:t>3.7 乙方人员工作服装不得与甲方员工服装一致或类似。乙方人员工作服装或对外宣传时不得使用甲方商标，不得使用甲方名称、字号、LOGO等甲方品牌、标识等商业标记。乙方在招聘员工过程中，不得使用甲方名义或在招聘公告、海报上使用前述甲方的商标、商业标记，或使用其他可能导致被误认为甲方进行招聘的行为；</w:t>
      </w:r>
    </w:p>
    <w:p w14:paraId="53CE6BA8">
      <w:pPr>
        <w:spacing w:line="300" w:lineRule="auto"/>
        <w:ind w:left="420" w:hanging="420" w:hangingChars="200"/>
        <w:jc w:val="left"/>
        <w:rPr>
          <w:rFonts w:hint="eastAsia" w:ascii="宋体" w:hAnsi="宋体"/>
          <w:b/>
          <w:szCs w:val="21"/>
        </w:rPr>
      </w:pPr>
      <w:r>
        <w:rPr>
          <w:rFonts w:hint="eastAsia" w:ascii="宋体" w:hAnsi="宋体"/>
          <w:b/>
          <w:szCs w:val="21"/>
        </w:rPr>
        <w:t>3.8 乙方雇佣人员在工作中发生的工伤及由乙方雇佣人员原因造成第三方伤亡或给甲方造成财产损害的，由乙方承担损害赔偿责任等全部法律责任。</w:t>
      </w:r>
    </w:p>
    <w:p w14:paraId="3104FEBF">
      <w:pPr>
        <w:spacing w:line="300" w:lineRule="auto"/>
        <w:jc w:val="left"/>
        <w:rPr>
          <w:rFonts w:hint="eastAsia" w:ascii="宋体" w:hAnsi="宋体"/>
          <w:b/>
          <w:szCs w:val="21"/>
        </w:rPr>
      </w:pPr>
      <w:r>
        <w:rPr>
          <w:rFonts w:hint="eastAsia" w:ascii="宋体" w:hAnsi="宋体"/>
          <w:b/>
          <w:szCs w:val="21"/>
        </w:rPr>
        <w:t>4. 履约基本要求</w:t>
      </w:r>
    </w:p>
    <w:p w14:paraId="27ADC2C0">
      <w:pPr>
        <w:spacing w:line="300" w:lineRule="auto"/>
        <w:ind w:left="420" w:hanging="420" w:hangingChars="200"/>
        <w:jc w:val="left"/>
        <w:rPr>
          <w:rFonts w:hint="eastAsia" w:ascii="宋体" w:hAnsi="宋体"/>
          <w:szCs w:val="21"/>
        </w:rPr>
      </w:pPr>
      <w:r>
        <w:rPr>
          <w:rFonts w:hint="eastAsia" w:ascii="宋体" w:hAnsi="宋体"/>
          <w:szCs w:val="21"/>
        </w:rPr>
        <w:t>4.1 乙方自行负责组织人力、必要的劳动工具以及劳动防护用品完成承包范围内的服务工作；</w:t>
      </w:r>
    </w:p>
    <w:p w14:paraId="5014FFAA">
      <w:pPr>
        <w:spacing w:line="300" w:lineRule="auto"/>
        <w:ind w:left="420" w:hanging="420" w:hangingChars="200"/>
        <w:jc w:val="left"/>
        <w:rPr>
          <w:rFonts w:hint="eastAsia" w:ascii="宋体" w:hAnsi="宋体"/>
          <w:szCs w:val="21"/>
        </w:rPr>
      </w:pPr>
      <w:r>
        <w:rPr>
          <w:rFonts w:hint="eastAsia" w:ascii="宋体" w:hAnsi="宋体"/>
          <w:szCs w:val="21"/>
        </w:rPr>
        <w:t>4.2 乙方应依法与其员工订立书面劳动合同、缴纳社会保险等，依法履行用人单位义务。甲方有权对乙方提供消杀服务人员的劳动用工情况进行核验，若乙方未按约定办理，甲方有权拒绝乙方提供服务，因此导致乙方未按合同约定提供服务的由乙方按照本合同约定承担违约责任；</w:t>
      </w:r>
    </w:p>
    <w:p w14:paraId="50A0F446">
      <w:pPr>
        <w:spacing w:line="300" w:lineRule="auto"/>
        <w:ind w:left="420" w:hanging="420" w:hangingChars="200"/>
        <w:jc w:val="left"/>
        <w:rPr>
          <w:rFonts w:hint="eastAsia" w:ascii="宋体" w:hAnsi="宋体"/>
          <w:szCs w:val="21"/>
        </w:rPr>
      </w:pPr>
      <w:r>
        <w:rPr>
          <w:rFonts w:hint="eastAsia" w:ascii="宋体" w:hAnsi="宋体"/>
          <w:szCs w:val="21"/>
        </w:rPr>
        <w:t>4.3 乙方提供有害生物消杀服务的员工具备从业资格，如《有害生物防制员》证等；</w:t>
      </w:r>
    </w:p>
    <w:p w14:paraId="49C80143">
      <w:pPr>
        <w:spacing w:line="300" w:lineRule="auto"/>
        <w:ind w:left="420" w:hanging="420" w:hangingChars="200"/>
        <w:jc w:val="left"/>
        <w:rPr>
          <w:rFonts w:hint="eastAsia" w:ascii="宋体" w:hAnsi="宋体"/>
          <w:szCs w:val="21"/>
        </w:rPr>
      </w:pPr>
      <w:r>
        <w:rPr>
          <w:rFonts w:hint="eastAsia" w:ascii="宋体" w:hAnsi="宋体"/>
          <w:szCs w:val="21"/>
        </w:rPr>
        <w:t>4.4 乙方应定期或在必要时进行除虫灭害工作，应采取措施防止鼠类、蚊、蝇、蟑螂等有害生物的聚集和孳生；</w:t>
      </w:r>
    </w:p>
    <w:p w14:paraId="18E54D65">
      <w:pPr>
        <w:spacing w:line="300" w:lineRule="auto"/>
        <w:ind w:left="420" w:hanging="420" w:hangingChars="200"/>
        <w:jc w:val="left"/>
        <w:rPr>
          <w:rFonts w:hint="eastAsia" w:ascii="宋体" w:hAnsi="宋体"/>
          <w:szCs w:val="21"/>
        </w:rPr>
      </w:pPr>
      <w:r>
        <w:rPr>
          <w:rFonts w:hint="eastAsia" w:ascii="宋体" w:hAnsi="宋体"/>
          <w:szCs w:val="21"/>
        </w:rPr>
        <w:t>4.5 乙方使用各类杀虫剂或其他药剂前，应做好对人身、设备、工具的污染和中毒的预防措施，用药后将所有设备、工具彻底清洗，消除污染；</w:t>
      </w:r>
    </w:p>
    <w:p w14:paraId="2FD6DE4E">
      <w:pPr>
        <w:spacing w:line="300" w:lineRule="auto"/>
        <w:ind w:left="420" w:hanging="420" w:hangingChars="200"/>
        <w:jc w:val="left"/>
        <w:rPr>
          <w:rFonts w:hint="eastAsia" w:ascii="宋体" w:hAnsi="宋体"/>
          <w:szCs w:val="21"/>
        </w:rPr>
      </w:pPr>
      <w:r>
        <w:rPr>
          <w:rFonts w:hint="eastAsia" w:ascii="宋体" w:hAnsi="宋体"/>
          <w:szCs w:val="21"/>
        </w:rPr>
        <w:t>4.6 乙方每次提供消杀服务应提前通知甲方，合理安排消杀时间并配合甲方的过程监督；</w:t>
      </w:r>
    </w:p>
    <w:p w14:paraId="611B1C2B">
      <w:pPr>
        <w:spacing w:line="300" w:lineRule="auto"/>
        <w:ind w:left="420" w:hanging="420" w:hangingChars="200"/>
        <w:jc w:val="left"/>
        <w:rPr>
          <w:rFonts w:hint="eastAsia" w:ascii="宋体" w:hAnsi="宋体"/>
          <w:szCs w:val="21"/>
        </w:rPr>
      </w:pPr>
      <w:r>
        <w:rPr>
          <w:rFonts w:hint="eastAsia" w:ascii="宋体" w:hAnsi="宋体"/>
          <w:szCs w:val="21"/>
        </w:rPr>
        <w:t>4.7 有毒有害物管理</w:t>
      </w:r>
    </w:p>
    <w:p w14:paraId="6814828C">
      <w:pPr>
        <w:spacing w:line="300" w:lineRule="auto"/>
        <w:ind w:left="630" w:hanging="630" w:hangingChars="300"/>
        <w:jc w:val="left"/>
        <w:rPr>
          <w:rFonts w:hint="eastAsia" w:ascii="宋体" w:hAnsi="宋体"/>
          <w:szCs w:val="21"/>
        </w:rPr>
      </w:pPr>
      <w:r>
        <w:rPr>
          <w:rFonts w:hint="eastAsia" w:ascii="宋体" w:hAnsi="宋体"/>
          <w:szCs w:val="21"/>
        </w:rPr>
        <w:t>4.7.1 乙方自备的清洗剂、消毒剂、杀虫剂以及其他有毒有害物品，均应有固定包装，并在明显处标示“有毒品”字样，贮存于专门库房或柜橱内，加锁并由专人负责保管，建立保管制度；</w:t>
      </w:r>
    </w:p>
    <w:p w14:paraId="75E12865">
      <w:pPr>
        <w:spacing w:line="300" w:lineRule="auto"/>
        <w:ind w:left="630" w:hanging="630" w:hangingChars="300"/>
        <w:jc w:val="left"/>
        <w:rPr>
          <w:rFonts w:hint="eastAsia" w:ascii="宋体" w:hAnsi="宋体"/>
          <w:szCs w:val="21"/>
        </w:rPr>
      </w:pPr>
      <w:r>
        <w:rPr>
          <w:rFonts w:hint="eastAsia" w:ascii="宋体" w:hAnsi="宋体"/>
          <w:szCs w:val="21"/>
        </w:rPr>
        <w:t>4.7.2 使用时应由经过培训的人员按照使用方法进行，防止污染和人身中毒；</w:t>
      </w:r>
    </w:p>
    <w:p w14:paraId="59D7AE57">
      <w:pPr>
        <w:spacing w:line="300" w:lineRule="auto"/>
        <w:ind w:left="630" w:hanging="630" w:hangingChars="300"/>
        <w:jc w:val="left"/>
        <w:rPr>
          <w:rFonts w:hint="eastAsia" w:ascii="宋体" w:hAnsi="宋体"/>
          <w:szCs w:val="21"/>
        </w:rPr>
      </w:pPr>
      <w:r>
        <w:rPr>
          <w:rFonts w:hint="eastAsia" w:ascii="宋体" w:hAnsi="宋体"/>
          <w:szCs w:val="21"/>
        </w:rPr>
        <w:t>4.7.3 各种药剂的使用品种和范围，应符合国家的有关规定。</w:t>
      </w:r>
    </w:p>
    <w:p w14:paraId="42481EFD">
      <w:pPr>
        <w:spacing w:line="300" w:lineRule="auto"/>
        <w:jc w:val="left"/>
        <w:rPr>
          <w:rFonts w:hint="eastAsia" w:ascii="宋体" w:hAnsi="宋体"/>
          <w:szCs w:val="21"/>
        </w:rPr>
      </w:pPr>
      <w:r>
        <w:rPr>
          <w:rFonts w:hint="eastAsia" w:ascii="宋体" w:hAnsi="宋体"/>
          <w:szCs w:val="21"/>
        </w:rPr>
        <w:t>4.8 服务频率及相关要求：</w:t>
      </w:r>
    </w:p>
    <w:p w14:paraId="63D9B284">
      <w:pPr>
        <w:spacing w:line="300" w:lineRule="auto"/>
        <w:jc w:val="left"/>
        <w:rPr>
          <w:rFonts w:hint="eastAsia" w:ascii="宋体" w:hAnsi="宋体"/>
          <w:szCs w:val="21"/>
        </w:rPr>
      </w:pPr>
      <w:r>
        <w:rPr>
          <w:rFonts w:hint="eastAsia" w:ascii="宋体" w:hAnsi="宋体"/>
          <w:szCs w:val="21"/>
        </w:rPr>
        <w:t xml:space="preserve">4.8.1 </w:t>
      </w:r>
      <w:r>
        <w:rPr>
          <w:rFonts w:hint="eastAsia" w:ascii="宋体" w:hAnsi="宋体"/>
          <w:szCs w:val="24"/>
        </w:rPr>
        <w:t xml:space="preserve"> </w:t>
      </w:r>
      <w:r>
        <w:rPr>
          <w:rFonts w:hint="eastAsia" w:ascii="宋体" w:hAnsi="宋体"/>
          <w:szCs w:val="21"/>
        </w:rPr>
        <w:t>服务频率</w:t>
      </w:r>
    </w:p>
    <w:tbl>
      <w:tblPr>
        <w:tblStyle w:val="12"/>
        <w:tblpPr w:leftFromText="180" w:rightFromText="180" w:vertAnchor="text" w:horzAnchor="margin" w:tblpX="562" w:tblpY="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698"/>
        <w:gridCol w:w="2552"/>
      </w:tblGrid>
      <w:tr w14:paraId="57D6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vAlign w:val="center"/>
          </w:tcPr>
          <w:p w14:paraId="31A24D4B">
            <w:pPr>
              <w:spacing w:line="300" w:lineRule="auto"/>
              <w:jc w:val="center"/>
              <w:rPr>
                <w:rFonts w:hint="eastAsia" w:ascii="宋体" w:hAnsi="宋体"/>
                <w:szCs w:val="21"/>
              </w:rPr>
            </w:pPr>
            <w:r>
              <w:rPr>
                <w:rFonts w:hint="eastAsia" w:ascii="宋体" w:hAnsi="宋体"/>
                <w:szCs w:val="21"/>
              </w:rPr>
              <w:t>服务项目</w:t>
            </w:r>
          </w:p>
        </w:tc>
        <w:tc>
          <w:tcPr>
            <w:tcW w:w="2698" w:type="dxa"/>
            <w:tcBorders>
              <w:top w:val="single" w:color="auto" w:sz="4" w:space="0"/>
              <w:left w:val="single" w:color="auto" w:sz="4" w:space="0"/>
              <w:bottom w:val="single" w:color="auto" w:sz="4" w:space="0"/>
              <w:right w:val="single" w:color="auto" w:sz="4" w:space="0"/>
            </w:tcBorders>
          </w:tcPr>
          <w:p w14:paraId="3A7BF9D5">
            <w:pPr>
              <w:spacing w:line="300" w:lineRule="auto"/>
              <w:jc w:val="center"/>
              <w:rPr>
                <w:rFonts w:hint="eastAsia" w:ascii="宋体" w:hAnsi="宋体"/>
                <w:szCs w:val="21"/>
              </w:rPr>
            </w:pPr>
            <w:r>
              <w:rPr>
                <w:rFonts w:hint="eastAsia" w:ascii="宋体" w:hAnsi="宋体"/>
                <w:szCs w:val="21"/>
              </w:rPr>
              <w:t>每年4月至10月</w:t>
            </w:r>
          </w:p>
        </w:tc>
        <w:tc>
          <w:tcPr>
            <w:tcW w:w="2552" w:type="dxa"/>
            <w:tcBorders>
              <w:top w:val="single" w:color="auto" w:sz="4" w:space="0"/>
              <w:left w:val="single" w:color="auto" w:sz="4" w:space="0"/>
              <w:bottom w:val="single" w:color="auto" w:sz="4" w:space="0"/>
              <w:right w:val="single" w:color="auto" w:sz="4" w:space="0"/>
            </w:tcBorders>
          </w:tcPr>
          <w:p w14:paraId="412C3413">
            <w:pPr>
              <w:spacing w:line="300" w:lineRule="auto"/>
              <w:jc w:val="center"/>
              <w:rPr>
                <w:rFonts w:hint="eastAsia" w:ascii="宋体" w:hAnsi="宋体"/>
                <w:szCs w:val="21"/>
              </w:rPr>
            </w:pPr>
            <w:r>
              <w:rPr>
                <w:rFonts w:hint="eastAsia" w:ascii="宋体" w:hAnsi="宋体"/>
                <w:szCs w:val="21"/>
              </w:rPr>
              <w:t>每年11月至次年3月</w:t>
            </w:r>
          </w:p>
        </w:tc>
      </w:tr>
      <w:tr w14:paraId="475D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5DC3AFCF">
            <w:pPr>
              <w:spacing w:line="300" w:lineRule="auto"/>
              <w:jc w:val="center"/>
              <w:rPr>
                <w:rFonts w:hint="eastAsia" w:ascii="宋体" w:hAnsi="宋体"/>
                <w:szCs w:val="21"/>
              </w:rPr>
            </w:pPr>
            <w:r>
              <w:rPr>
                <w:rFonts w:hint="eastAsia" w:ascii="宋体" w:hAnsi="宋体"/>
                <w:szCs w:val="21"/>
              </w:rPr>
              <w:t>灭鼠</w:t>
            </w:r>
          </w:p>
        </w:tc>
        <w:tc>
          <w:tcPr>
            <w:tcW w:w="2698" w:type="dxa"/>
            <w:tcBorders>
              <w:top w:val="single" w:color="auto" w:sz="4" w:space="0"/>
              <w:left w:val="single" w:color="auto" w:sz="4" w:space="0"/>
              <w:bottom w:val="single" w:color="auto" w:sz="4" w:space="0"/>
              <w:right w:val="single" w:color="auto" w:sz="4" w:space="0"/>
            </w:tcBorders>
            <w:vAlign w:val="center"/>
          </w:tcPr>
          <w:p w14:paraId="373C6E11">
            <w:pPr>
              <w:spacing w:line="300" w:lineRule="auto"/>
              <w:jc w:val="left"/>
              <w:rPr>
                <w:rFonts w:hint="eastAsia" w:ascii="宋体" w:hAnsi="宋体"/>
                <w:szCs w:val="21"/>
              </w:rPr>
            </w:pPr>
            <w:r>
              <w:rPr>
                <w:rFonts w:hint="eastAsia" w:ascii="宋体" w:hAnsi="宋体"/>
                <w:szCs w:val="21"/>
              </w:rPr>
              <w:t>X次/月</w:t>
            </w:r>
          </w:p>
        </w:tc>
        <w:tc>
          <w:tcPr>
            <w:tcW w:w="2552" w:type="dxa"/>
            <w:tcBorders>
              <w:top w:val="single" w:color="auto" w:sz="4" w:space="0"/>
              <w:left w:val="single" w:color="auto" w:sz="4" w:space="0"/>
              <w:bottom w:val="single" w:color="auto" w:sz="4" w:space="0"/>
              <w:right w:val="single" w:color="auto" w:sz="4" w:space="0"/>
            </w:tcBorders>
            <w:vAlign w:val="center"/>
          </w:tcPr>
          <w:p w14:paraId="24576229">
            <w:pPr>
              <w:spacing w:line="300" w:lineRule="auto"/>
              <w:jc w:val="left"/>
              <w:rPr>
                <w:rFonts w:hint="eastAsia" w:ascii="宋体" w:hAnsi="宋体"/>
                <w:szCs w:val="21"/>
              </w:rPr>
            </w:pPr>
            <w:r>
              <w:rPr>
                <w:rFonts w:hint="eastAsia" w:ascii="宋体" w:hAnsi="宋体"/>
                <w:szCs w:val="21"/>
              </w:rPr>
              <w:t>X次/月</w:t>
            </w:r>
          </w:p>
        </w:tc>
      </w:tr>
      <w:tr w14:paraId="694E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6AE4AB0C">
            <w:pPr>
              <w:spacing w:line="300" w:lineRule="auto"/>
              <w:jc w:val="center"/>
              <w:rPr>
                <w:rFonts w:hint="eastAsia" w:ascii="宋体" w:hAnsi="宋体"/>
                <w:szCs w:val="21"/>
              </w:rPr>
            </w:pPr>
            <w:r>
              <w:rPr>
                <w:rFonts w:hint="eastAsia" w:ascii="宋体" w:hAnsi="宋体"/>
                <w:szCs w:val="21"/>
              </w:rPr>
              <w:t>灭蟑螂</w:t>
            </w:r>
          </w:p>
        </w:tc>
        <w:tc>
          <w:tcPr>
            <w:tcW w:w="2698" w:type="dxa"/>
            <w:tcBorders>
              <w:top w:val="single" w:color="auto" w:sz="4" w:space="0"/>
              <w:left w:val="single" w:color="auto" w:sz="4" w:space="0"/>
              <w:bottom w:val="single" w:color="auto" w:sz="4" w:space="0"/>
              <w:right w:val="single" w:color="auto" w:sz="4" w:space="0"/>
            </w:tcBorders>
            <w:vAlign w:val="center"/>
          </w:tcPr>
          <w:p w14:paraId="6182D84E">
            <w:pPr>
              <w:spacing w:line="300" w:lineRule="auto"/>
              <w:jc w:val="left"/>
              <w:rPr>
                <w:rFonts w:hint="eastAsia" w:ascii="宋体" w:hAnsi="宋体"/>
                <w:szCs w:val="21"/>
              </w:rPr>
            </w:pPr>
            <w:r>
              <w:rPr>
                <w:rFonts w:hint="eastAsia" w:ascii="宋体" w:hAnsi="宋体"/>
                <w:szCs w:val="21"/>
              </w:rPr>
              <w:t>X次/月</w:t>
            </w:r>
          </w:p>
        </w:tc>
        <w:tc>
          <w:tcPr>
            <w:tcW w:w="2552" w:type="dxa"/>
            <w:tcBorders>
              <w:top w:val="single" w:color="auto" w:sz="4" w:space="0"/>
              <w:left w:val="single" w:color="auto" w:sz="4" w:space="0"/>
              <w:bottom w:val="single" w:color="auto" w:sz="4" w:space="0"/>
              <w:right w:val="single" w:color="auto" w:sz="4" w:space="0"/>
            </w:tcBorders>
            <w:vAlign w:val="center"/>
          </w:tcPr>
          <w:p w14:paraId="73B1065E">
            <w:pPr>
              <w:spacing w:line="300" w:lineRule="auto"/>
              <w:jc w:val="left"/>
              <w:rPr>
                <w:rFonts w:hint="eastAsia" w:ascii="宋体" w:hAnsi="宋体"/>
                <w:szCs w:val="21"/>
              </w:rPr>
            </w:pPr>
            <w:r>
              <w:rPr>
                <w:rFonts w:hint="eastAsia" w:ascii="宋体" w:hAnsi="宋体"/>
                <w:szCs w:val="21"/>
              </w:rPr>
              <w:t>X次/月</w:t>
            </w:r>
          </w:p>
        </w:tc>
      </w:tr>
      <w:tr w14:paraId="3A67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7A64A53B">
            <w:pPr>
              <w:spacing w:line="300" w:lineRule="auto"/>
              <w:jc w:val="center"/>
              <w:rPr>
                <w:rFonts w:hint="eastAsia" w:ascii="宋体" w:hAnsi="宋体"/>
                <w:szCs w:val="21"/>
              </w:rPr>
            </w:pPr>
            <w:r>
              <w:rPr>
                <w:rFonts w:hint="eastAsia" w:ascii="宋体" w:hAnsi="宋体"/>
                <w:szCs w:val="21"/>
              </w:rPr>
              <w:t>灭蚊</w:t>
            </w:r>
          </w:p>
        </w:tc>
        <w:tc>
          <w:tcPr>
            <w:tcW w:w="2698" w:type="dxa"/>
            <w:tcBorders>
              <w:top w:val="single" w:color="auto" w:sz="4" w:space="0"/>
              <w:left w:val="single" w:color="auto" w:sz="4" w:space="0"/>
              <w:bottom w:val="single" w:color="auto" w:sz="4" w:space="0"/>
              <w:right w:val="single" w:color="auto" w:sz="4" w:space="0"/>
            </w:tcBorders>
          </w:tcPr>
          <w:p w14:paraId="0223B994">
            <w:pPr>
              <w:spacing w:line="300" w:lineRule="auto"/>
              <w:jc w:val="left"/>
              <w:rPr>
                <w:rFonts w:hint="eastAsia" w:ascii="宋体" w:hAnsi="宋体"/>
                <w:szCs w:val="21"/>
              </w:rPr>
            </w:pPr>
            <w:r>
              <w:rPr>
                <w:rFonts w:hint="eastAsia" w:ascii="宋体" w:hAnsi="宋体"/>
                <w:szCs w:val="21"/>
              </w:rPr>
              <w:t>X次/月</w:t>
            </w:r>
          </w:p>
        </w:tc>
        <w:tc>
          <w:tcPr>
            <w:tcW w:w="2552" w:type="dxa"/>
            <w:tcBorders>
              <w:top w:val="single" w:color="auto" w:sz="4" w:space="0"/>
              <w:left w:val="single" w:color="auto" w:sz="4" w:space="0"/>
              <w:bottom w:val="single" w:color="auto" w:sz="4" w:space="0"/>
              <w:right w:val="single" w:color="auto" w:sz="4" w:space="0"/>
            </w:tcBorders>
          </w:tcPr>
          <w:p w14:paraId="2F932108">
            <w:pPr>
              <w:spacing w:line="300" w:lineRule="auto"/>
              <w:jc w:val="left"/>
              <w:rPr>
                <w:rFonts w:hint="eastAsia" w:ascii="宋体" w:hAnsi="宋体"/>
                <w:szCs w:val="21"/>
              </w:rPr>
            </w:pPr>
            <w:r>
              <w:rPr>
                <w:rFonts w:hint="eastAsia" w:ascii="宋体" w:hAnsi="宋体"/>
                <w:szCs w:val="24"/>
              </w:rPr>
              <w:t xml:space="preserve">      </w:t>
            </w:r>
          </w:p>
        </w:tc>
      </w:tr>
      <w:tr w14:paraId="770A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1D9A70D0">
            <w:pPr>
              <w:spacing w:line="300" w:lineRule="auto"/>
              <w:jc w:val="center"/>
              <w:rPr>
                <w:rFonts w:hint="eastAsia" w:ascii="宋体" w:hAnsi="宋体"/>
                <w:szCs w:val="21"/>
              </w:rPr>
            </w:pPr>
            <w:r>
              <w:rPr>
                <w:rFonts w:hint="eastAsia" w:ascii="宋体" w:hAnsi="宋体"/>
                <w:szCs w:val="21"/>
              </w:rPr>
              <w:t>灭蝇</w:t>
            </w:r>
          </w:p>
        </w:tc>
        <w:tc>
          <w:tcPr>
            <w:tcW w:w="2698" w:type="dxa"/>
            <w:tcBorders>
              <w:top w:val="single" w:color="auto" w:sz="4" w:space="0"/>
              <w:left w:val="single" w:color="auto" w:sz="4" w:space="0"/>
              <w:bottom w:val="single" w:color="auto" w:sz="4" w:space="0"/>
              <w:right w:val="single" w:color="auto" w:sz="4" w:space="0"/>
            </w:tcBorders>
          </w:tcPr>
          <w:p w14:paraId="48E6B04E">
            <w:pPr>
              <w:spacing w:line="300" w:lineRule="auto"/>
              <w:jc w:val="left"/>
              <w:rPr>
                <w:rFonts w:hint="eastAsia" w:ascii="宋体" w:hAnsi="宋体"/>
                <w:szCs w:val="21"/>
              </w:rPr>
            </w:pPr>
            <w:r>
              <w:rPr>
                <w:rFonts w:hint="eastAsia" w:ascii="宋体" w:hAnsi="宋体"/>
                <w:szCs w:val="21"/>
              </w:rPr>
              <w:t>X次/月</w:t>
            </w:r>
          </w:p>
        </w:tc>
        <w:tc>
          <w:tcPr>
            <w:tcW w:w="2552" w:type="dxa"/>
            <w:tcBorders>
              <w:top w:val="single" w:color="auto" w:sz="4" w:space="0"/>
              <w:left w:val="single" w:color="auto" w:sz="4" w:space="0"/>
              <w:bottom w:val="single" w:color="auto" w:sz="4" w:space="0"/>
              <w:right w:val="single" w:color="auto" w:sz="4" w:space="0"/>
            </w:tcBorders>
          </w:tcPr>
          <w:p w14:paraId="55068AE2">
            <w:pPr>
              <w:spacing w:line="300" w:lineRule="auto"/>
              <w:jc w:val="left"/>
              <w:rPr>
                <w:rFonts w:hint="eastAsia" w:ascii="宋体" w:hAnsi="宋体"/>
                <w:szCs w:val="21"/>
              </w:rPr>
            </w:pPr>
            <w:r>
              <w:rPr>
                <w:rFonts w:hint="eastAsia" w:ascii="宋体" w:hAnsi="宋体"/>
                <w:szCs w:val="24"/>
              </w:rPr>
              <w:t xml:space="preserve">      </w:t>
            </w:r>
          </w:p>
        </w:tc>
      </w:tr>
      <w:tr w14:paraId="5EC1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7806F0D2">
            <w:pPr>
              <w:spacing w:line="300" w:lineRule="auto"/>
              <w:jc w:val="center"/>
              <w:rPr>
                <w:rFonts w:hint="eastAsia" w:ascii="宋体" w:hAnsi="宋体"/>
                <w:szCs w:val="21"/>
              </w:rPr>
            </w:pPr>
            <w:r>
              <w:rPr>
                <w:rFonts w:hint="eastAsia" w:ascii="宋体" w:hAnsi="宋体"/>
                <w:szCs w:val="21"/>
              </w:rPr>
              <w:t>灭杀其它有害生物</w:t>
            </w:r>
          </w:p>
        </w:tc>
        <w:tc>
          <w:tcPr>
            <w:tcW w:w="2698" w:type="dxa"/>
            <w:tcBorders>
              <w:top w:val="single" w:color="auto" w:sz="4" w:space="0"/>
              <w:left w:val="single" w:color="auto" w:sz="4" w:space="0"/>
              <w:bottom w:val="single" w:color="auto" w:sz="4" w:space="0"/>
              <w:right w:val="single" w:color="auto" w:sz="4" w:space="0"/>
            </w:tcBorders>
          </w:tcPr>
          <w:p w14:paraId="3D51A3B2">
            <w:pPr>
              <w:spacing w:line="300" w:lineRule="auto"/>
              <w:jc w:val="left"/>
              <w:rPr>
                <w:rFonts w:hint="eastAsia" w:ascii="宋体" w:hAnsi="宋体"/>
                <w:szCs w:val="21"/>
              </w:rPr>
            </w:pPr>
            <w:r>
              <w:rPr>
                <w:rFonts w:hint="eastAsia" w:ascii="宋体" w:hAnsi="宋体"/>
                <w:szCs w:val="24"/>
              </w:rPr>
              <w:t xml:space="preserve">      </w:t>
            </w:r>
          </w:p>
        </w:tc>
        <w:tc>
          <w:tcPr>
            <w:tcW w:w="2552" w:type="dxa"/>
            <w:tcBorders>
              <w:top w:val="single" w:color="auto" w:sz="4" w:space="0"/>
              <w:left w:val="single" w:color="auto" w:sz="4" w:space="0"/>
              <w:bottom w:val="single" w:color="auto" w:sz="4" w:space="0"/>
              <w:right w:val="single" w:color="auto" w:sz="4" w:space="0"/>
            </w:tcBorders>
          </w:tcPr>
          <w:p w14:paraId="0001C3CD">
            <w:pPr>
              <w:spacing w:line="300" w:lineRule="auto"/>
              <w:jc w:val="left"/>
              <w:rPr>
                <w:rFonts w:hint="eastAsia" w:ascii="宋体" w:hAnsi="宋体"/>
                <w:szCs w:val="21"/>
              </w:rPr>
            </w:pPr>
            <w:r>
              <w:rPr>
                <w:rFonts w:hint="eastAsia" w:ascii="宋体" w:hAnsi="宋体"/>
                <w:szCs w:val="24"/>
              </w:rPr>
              <w:t xml:space="preserve">      </w:t>
            </w:r>
          </w:p>
        </w:tc>
      </w:tr>
    </w:tbl>
    <w:p w14:paraId="377452FA">
      <w:pPr>
        <w:spacing w:line="300" w:lineRule="auto"/>
        <w:ind w:left="630" w:hanging="630" w:hangingChars="300"/>
        <w:rPr>
          <w:rFonts w:hint="eastAsia" w:ascii="宋体" w:hAnsi="宋体" w:cs="Times New Roman"/>
          <w:szCs w:val="21"/>
        </w:rPr>
      </w:pPr>
      <w:r>
        <w:rPr>
          <w:rFonts w:hint="eastAsia" w:ascii="宋体" w:hAnsi="宋体"/>
          <w:szCs w:val="21"/>
        </w:rPr>
        <w:t>4.8.2 对黏鼠板、诱饵站进行标签管理，明确所有的黏鼠板、诱饵站进行流水编号，黏鼠板药物部分不可裸漏外界，设置黏鼠板罩，防止人员踩踏；</w:t>
      </w:r>
    </w:p>
    <w:p w14:paraId="04A01605">
      <w:pPr>
        <w:spacing w:line="300" w:lineRule="auto"/>
        <w:rPr>
          <w:rFonts w:hint="eastAsia" w:ascii="宋体" w:hAnsi="宋体"/>
          <w:szCs w:val="21"/>
        </w:rPr>
      </w:pPr>
      <w:r>
        <w:rPr>
          <w:rFonts w:hint="eastAsia" w:ascii="宋体" w:hAnsi="宋体"/>
          <w:szCs w:val="21"/>
        </w:rPr>
        <w:t>4.8.3 应有防虫鼠器械布置示意图，图中所示黏鼠板、诱饵站的编号，并与实际相符合；</w:t>
      </w:r>
    </w:p>
    <w:p w14:paraId="0C795F17">
      <w:pPr>
        <w:spacing w:line="300" w:lineRule="auto"/>
        <w:rPr>
          <w:rFonts w:hint="eastAsia" w:ascii="宋体" w:hAnsi="宋体"/>
          <w:szCs w:val="21"/>
        </w:rPr>
      </w:pPr>
      <w:r>
        <w:rPr>
          <w:rFonts w:hint="eastAsia" w:ascii="宋体" w:hAnsi="宋体"/>
          <w:szCs w:val="21"/>
        </w:rPr>
        <w:t>4.8.4 防虫防鼠图应标明绘制日期，定期更新，更新周期不得超过1年；</w:t>
      </w:r>
    </w:p>
    <w:p w14:paraId="27419B59">
      <w:pPr>
        <w:spacing w:line="300" w:lineRule="auto"/>
        <w:ind w:left="630" w:hanging="630" w:hangingChars="300"/>
        <w:rPr>
          <w:rFonts w:hint="eastAsia" w:ascii="宋体" w:hAnsi="宋体"/>
          <w:szCs w:val="21"/>
        </w:rPr>
      </w:pPr>
      <w:r>
        <w:rPr>
          <w:rFonts w:hint="eastAsia" w:ascii="宋体" w:hAnsi="宋体"/>
          <w:szCs w:val="21"/>
        </w:rPr>
        <w:t>4.8.5 每月（季度）做一次鼠害趋势分析，用折线图来表示各个区域的鼠害程度。当趋势分析表明鼠害程度有明显增加时，采取增加外围和厂房内诱饵站的设置点数，或增加外围、仓库、车间的黏鼠板设置等措施。</w:t>
      </w:r>
    </w:p>
    <w:p w14:paraId="1AF15C55">
      <w:pPr>
        <w:spacing w:line="300" w:lineRule="auto"/>
        <w:rPr>
          <w:rFonts w:hint="eastAsia" w:ascii="宋体" w:hAnsi="宋体"/>
          <w:szCs w:val="21"/>
        </w:rPr>
      </w:pPr>
      <w:r>
        <w:rPr>
          <w:rFonts w:hint="eastAsia" w:ascii="宋体" w:hAnsi="宋体"/>
          <w:szCs w:val="21"/>
        </w:rPr>
        <w:t>4.9 消杀使用药物及杀虫剂使用要求：</w:t>
      </w:r>
    </w:p>
    <w:p w14:paraId="386FE8CB">
      <w:pPr>
        <w:pStyle w:val="18"/>
        <w:spacing w:line="300" w:lineRule="auto"/>
        <w:ind w:left="630" w:hanging="630" w:hangingChars="300"/>
        <w:rPr>
          <w:rFonts w:hint="eastAsia" w:ascii="宋体" w:hAnsi="宋体"/>
          <w:szCs w:val="21"/>
        </w:rPr>
      </w:pPr>
      <w:r>
        <w:rPr>
          <w:rFonts w:hint="eastAsia" w:ascii="宋体" w:hAnsi="宋体"/>
          <w:szCs w:val="21"/>
        </w:rPr>
        <w:t>4.9.1 药物、杀虫剂的使用应考虑其危害风险，选择对环境影响小、高效的药物、浓度、配比等；乙方应选用低毒或微毒杀虫剂，准确用药、精准用药、合理用药，选择种类多样、轮替使用、用量准确、合理配伍、浓度配比适当；</w:t>
      </w:r>
    </w:p>
    <w:p w14:paraId="38428B43">
      <w:pPr>
        <w:pStyle w:val="18"/>
        <w:spacing w:line="300" w:lineRule="auto"/>
        <w:ind w:left="630" w:hanging="630" w:hangingChars="300"/>
        <w:rPr>
          <w:rFonts w:hint="eastAsia" w:ascii="宋体" w:hAnsi="宋体"/>
          <w:szCs w:val="21"/>
        </w:rPr>
      </w:pPr>
      <w:r>
        <w:rPr>
          <w:rFonts w:hint="eastAsia" w:ascii="宋体" w:hAnsi="宋体"/>
          <w:szCs w:val="21"/>
        </w:rPr>
        <w:t>4.9.2 所有杀虫剂必须得到当地政府管理部门的批准（如：有农药登记证等）和甲方书面同意材料（如：杀虫剂使用清单等），所有用于灭杀有害生物的药剂必须具有许可证号、技术资料表；</w:t>
      </w:r>
    </w:p>
    <w:p w14:paraId="6BE5692C">
      <w:pPr>
        <w:spacing w:line="300" w:lineRule="auto"/>
        <w:ind w:left="630" w:hanging="630" w:hangingChars="300"/>
        <w:rPr>
          <w:rFonts w:hint="eastAsia" w:ascii="宋体" w:hAnsi="宋体"/>
          <w:szCs w:val="21"/>
        </w:rPr>
      </w:pPr>
      <w:r>
        <w:rPr>
          <w:rFonts w:hint="eastAsia" w:ascii="宋体" w:hAnsi="宋体"/>
          <w:szCs w:val="21"/>
        </w:rPr>
        <w:t>4.9.3 乙方应针对不同的作业环境、作业内容、作业特点，选择适宜方法、适用器具、选配适用的杀虫剂，实施作业。所有用于灭杀有害生物的药剂标签和MSDS由乙方负责归档并妥善保存；</w:t>
      </w:r>
    </w:p>
    <w:p w14:paraId="5B00A309">
      <w:pPr>
        <w:pStyle w:val="18"/>
        <w:spacing w:line="300" w:lineRule="auto"/>
        <w:ind w:left="630" w:hanging="630" w:hangingChars="300"/>
        <w:rPr>
          <w:rFonts w:hint="eastAsia" w:ascii="宋体" w:hAnsi="宋体"/>
          <w:szCs w:val="21"/>
        </w:rPr>
      </w:pPr>
      <w:r>
        <w:rPr>
          <w:rFonts w:hint="eastAsia" w:ascii="宋体" w:hAnsi="宋体"/>
          <w:szCs w:val="21"/>
        </w:rPr>
        <w:t>4.9.4 所有用于灭杀有害生物杀虫剂的使用需有记录。记录上需载明目标害虫、用量或浓度百分比、使用位置、使用方式、使用量等信息，并由作业人及复核人签字确认；</w:t>
      </w:r>
    </w:p>
    <w:p w14:paraId="427B7965">
      <w:pPr>
        <w:pStyle w:val="18"/>
        <w:spacing w:line="300" w:lineRule="auto"/>
        <w:ind w:left="630" w:hanging="630" w:hangingChars="300"/>
        <w:rPr>
          <w:rFonts w:hint="eastAsia" w:ascii="宋体" w:hAnsi="宋体"/>
          <w:szCs w:val="21"/>
        </w:rPr>
      </w:pPr>
      <w:r>
        <w:rPr>
          <w:rFonts w:hint="eastAsia" w:ascii="宋体" w:hAnsi="宋体"/>
          <w:szCs w:val="21"/>
        </w:rPr>
        <w:t>4.9.5 乙方应提供杀虫剂各类文件给甲方备案，内容包括但不限于：药剂名、型号、主要成分；杀虫剂厂家营业执照、农药生产许可证、农药登记证书、各类安全证书等，进口杀虫剂需进口登记证、销售商营业执照及安全证书等；最大致死剂量（如有动物实验结果的需提供：急性口服毒性、急性皮肤毒性、急性吸入毒性、过敏潜质等相关剂量数据）；误食、误吸、误触的急救措施。上述在使用的药剂发生改变时，乙方应及时、书面反馈给甲方。</w:t>
      </w:r>
      <w:r>
        <w:rPr>
          <w:rFonts w:hint="eastAsia" w:ascii="宋体" w:hAnsi="宋体"/>
          <w:szCs w:val="24"/>
        </w:rPr>
        <w:t xml:space="preserve">  </w:t>
      </w:r>
    </w:p>
    <w:p w14:paraId="15ECEB77">
      <w:pPr>
        <w:spacing w:line="300" w:lineRule="auto"/>
        <w:rPr>
          <w:rFonts w:hint="eastAsia" w:ascii="宋体" w:hAnsi="宋体"/>
          <w:b/>
          <w:szCs w:val="21"/>
        </w:rPr>
      </w:pPr>
      <w:r>
        <w:rPr>
          <w:rFonts w:hint="eastAsia" w:ascii="宋体" w:hAnsi="宋体"/>
          <w:b/>
          <w:szCs w:val="21"/>
        </w:rPr>
        <w:t xml:space="preserve">5. </w:t>
      </w:r>
      <w:r>
        <w:rPr>
          <w:rFonts w:hint="eastAsia" w:ascii="宋体" w:hAnsi="宋体"/>
          <w:b/>
          <w:szCs w:val="24"/>
        </w:rPr>
        <w:t>服务的过程监控和质量验收</w:t>
      </w:r>
    </w:p>
    <w:p w14:paraId="3D11EA8E">
      <w:pPr>
        <w:spacing w:line="300" w:lineRule="auto"/>
        <w:ind w:left="420" w:hanging="420" w:hangingChars="200"/>
        <w:rPr>
          <w:rFonts w:hint="eastAsia" w:ascii="宋体" w:hAnsi="宋体"/>
          <w:szCs w:val="21"/>
        </w:rPr>
      </w:pPr>
      <w:r>
        <w:rPr>
          <w:rFonts w:hint="eastAsia" w:ascii="宋体" w:hAnsi="宋体"/>
          <w:szCs w:val="21"/>
        </w:rPr>
        <w:t>5.1为确保乙方服务成果满足甲方生产经营活动需要，甲方有权对乙方服务过程进行监控。对乙方提供的服务不符合约定的，甲方有权向乙方提出整改要求，乙方应按甲方要求及时整改；</w:t>
      </w:r>
    </w:p>
    <w:p w14:paraId="73601782">
      <w:pPr>
        <w:spacing w:line="300" w:lineRule="auto"/>
        <w:ind w:left="420" w:hanging="420" w:hangingChars="200"/>
        <w:rPr>
          <w:rFonts w:hint="eastAsia" w:ascii="宋体" w:hAnsi="宋体"/>
          <w:szCs w:val="24"/>
        </w:rPr>
      </w:pPr>
      <w:r>
        <w:rPr>
          <w:rFonts w:hint="eastAsia" w:ascii="宋体" w:hAnsi="宋体"/>
          <w:szCs w:val="21"/>
        </w:rPr>
        <w:t>5.2甲方依据本合同第4条相关约定对乙方服务质量进行验收。验收结果由甲乙双方书面签字确认，作为双方结算的依据之一。验收方式如下：</w:t>
      </w:r>
      <w:r>
        <w:rPr>
          <w:rFonts w:hint="eastAsia" w:ascii="宋体" w:hAnsi="宋体"/>
          <w:szCs w:val="24"/>
        </w:rPr>
        <w:t xml:space="preserve">   </w:t>
      </w:r>
    </w:p>
    <w:p w14:paraId="4872D2D5">
      <w:pPr>
        <w:spacing w:line="300" w:lineRule="auto"/>
        <w:ind w:left="420" w:hanging="420" w:hangingChars="200"/>
        <w:rPr>
          <w:rFonts w:hint="eastAsia" w:ascii="宋体" w:hAnsi="宋体"/>
          <w:szCs w:val="21"/>
        </w:rPr>
      </w:pPr>
      <w:r>
        <w:rPr>
          <w:rFonts w:hint="eastAsia" w:ascii="宋体" w:hAnsi="宋体"/>
          <w:szCs w:val="24"/>
        </w:rPr>
        <w:t xml:space="preserve">    每月验收，即以月度为单位，甲方对乙方提供的服务是否符合服务标准进行质量验收，就乙方提供服务过程中的违约行为情况进行统计，并将服务质量验收结果和违约行为统计情况书面告知乙方，由双方签字确认。</w:t>
      </w:r>
    </w:p>
    <w:p w14:paraId="780F11EA">
      <w:pPr>
        <w:spacing w:line="300" w:lineRule="auto"/>
        <w:rPr>
          <w:rFonts w:hint="eastAsia" w:ascii="宋体" w:hAnsi="宋体"/>
          <w:b/>
          <w:szCs w:val="21"/>
        </w:rPr>
      </w:pPr>
      <w:r>
        <w:rPr>
          <w:rFonts w:hint="eastAsia" w:ascii="宋体" w:hAnsi="宋体"/>
          <w:b/>
          <w:szCs w:val="21"/>
        </w:rPr>
        <w:t>6.价款及结算</w:t>
      </w:r>
    </w:p>
    <w:p w14:paraId="752F245B">
      <w:pPr>
        <w:spacing w:line="300" w:lineRule="auto"/>
        <w:ind w:left="420" w:hanging="420" w:hangingChars="200"/>
        <w:rPr>
          <w:rFonts w:hint="eastAsia" w:ascii="宋体" w:hAnsi="宋体"/>
          <w:szCs w:val="21"/>
        </w:rPr>
      </w:pPr>
      <w:r>
        <w:rPr>
          <w:rFonts w:hint="eastAsia" w:ascii="宋体" w:hAnsi="宋体"/>
          <w:szCs w:val="21"/>
        </w:rPr>
        <w:t xml:space="preserve">6.1 本合同含税总价款为人民币 </w:t>
      </w:r>
      <w:bookmarkStart w:id="12" w:name="amount"/>
      <w:bookmarkEnd w:id="12"/>
      <w:r>
        <w:rPr>
          <w:rFonts w:hint="eastAsia" w:ascii="宋体" w:hAnsi="宋体"/>
          <w:szCs w:val="21"/>
        </w:rPr>
        <w:t xml:space="preserve"> </w:t>
      </w:r>
      <w:r>
        <w:rPr>
          <w:rFonts w:hint="eastAsia" w:ascii="宋体" w:hAnsi="宋体"/>
          <w:szCs w:val="24"/>
        </w:rPr>
        <w:t xml:space="preserve"> </w:t>
      </w:r>
      <w:r>
        <w:rPr>
          <w:rFonts w:hint="eastAsia" w:ascii="宋体" w:hAnsi="宋体"/>
          <w:szCs w:val="21"/>
        </w:rPr>
        <w:t xml:space="preserve">元，大写 </w:t>
      </w:r>
      <w:bookmarkStart w:id="13" w:name="amountCh"/>
      <w:bookmarkEnd w:id="13"/>
      <w:r>
        <w:rPr>
          <w:rFonts w:hint="eastAsia" w:ascii="宋体" w:hAnsi="宋体"/>
          <w:szCs w:val="21"/>
        </w:rPr>
        <w:t xml:space="preserve"> </w:t>
      </w:r>
      <w:r>
        <w:rPr>
          <w:rFonts w:hint="eastAsia" w:ascii="宋体" w:hAnsi="宋体"/>
          <w:szCs w:val="24"/>
        </w:rPr>
        <w:t xml:space="preserve"> </w:t>
      </w:r>
      <w:r>
        <w:rPr>
          <w:rFonts w:hint="eastAsia" w:ascii="宋体" w:hAnsi="宋体"/>
          <w:szCs w:val="21"/>
        </w:rPr>
        <w:t>，税额</w:t>
      </w:r>
      <w:r>
        <w:rPr>
          <w:rFonts w:hint="eastAsia" w:ascii="宋体" w:hAnsi="宋体"/>
          <w:szCs w:val="24"/>
        </w:rPr>
        <w:t xml:space="preserve">     </w:t>
      </w:r>
      <w:r>
        <w:rPr>
          <w:rFonts w:hint="eastAsia" w:ascii="宋体" w:hAnsi="宋体"/>
          <w:szCs w:val="21"/>
        </w:rPr>
        <w:t>元，不含税价款为</w:t>
      </w:r>
      <w:r>
        <w:rPr>
          <w:rFonts w:hint="eastAsia" w:ascii="宋体" w:hAnsi="宋体"/>
          <w:szCs w:val="24"/>
        </w:rPr>
        <w:t xml:space="preserve">     </w:t>
      </w:r>
      <w:r>
        <w:rPr>
          <w:rFonts w:hint="eastAsia" w:ascii="宋体" w:hAnsi="宋体"/>
          <w:szCs w:val="21"/>
        </w:rPr>
        <w:t>元，不含税价款及税额的小数位，受税控系统开具限制可能略有差异，以实际发票为准；</w:t>
      </w:r>
    </w:p>
    <w:p w14:paraId="2C92BC0F">
      <w:pPr>
        <w:spacing w:line="300" w:lineRule="auto"/>
        <w:rPr>
          <w:rFonts w:hint="eastAsia" w:ascii="宋体" w:hAnsi="宋体"/>
          <w:szCs w:val="21"/>
        </w:rPr>
      </w:pPr>
      <w:r>
        <w:rPr>
          <w:rFonts w:hint="eastAsia" w:ascii="宋体" w:hAnsi="宋体"/>
          <w:szCs w:val="21"/>
        </w:rPr>
        <w:t>6.2 本合同为固定价款，上述价款为甲方获得本合同项下服务所需支付的全部费用；</w:t>
      </w:r>
    </w:p>
    <w:p w14:paraId="14454ED0">
      <w:pPr>
        <w:spacing w:line="300" w:lineRule="auto"/>
        <w:ind w:left="420" w:hanging="420" w:hangingChars="200"/>
        <w:rPr>
          <w:rFonts w:hint="eastAsia" w:ascii="宋体" w:hAnsi="宋体"/>
          <w:szCs w:val="21"/>
        </w:rPr>
      </w:pPr>
      <w:r>
        <w:rPr>
          <w:rFonts w:hint="eastAsia" w:ascii="宋体" w:hAnsi="宋体"/>
          <w:szCs w:val="21"/>
        </w:rPr>
        <w:t xml:space="preserve">6.3 </w:t>
      </w:r>
      <w:r>
        <w:rPr>
          <w:rFonts w:hint="eastAsia"/>
          <w:szCs w:val="21"/>
        </w:rPr>
        <w:t>发票</w:t>
      </w:r>
      <w:r>
        <w:rPr>
          <w:rFonts w:hint="eastAsia" w:ascii="宋体" w:hAnsi="宋体"/>
          <w:szCs w:val="21"/>
        </w:rPr>
        <w:t>税率</w:t>
      </w:r>
      <w:r>
        <w:rPr>
          <w:rFonts w:hint="eastAsia" w:ascii="宋体" w:hAnsi="宋体"/>
          <w:szCs w:val="24"/>
        </w:rPr>
        <w:t xml:space="preserve">   </w:t>
      </w:r>
      <w:r>
        <w:rPr>
          <w:rFonts w:hint="eastAsia" w:ascii="宋体" w:hAnsi="宋体"/>
          <w:szCs w:val="21"/>
        </w:rPr>
        <w:t xml:space="preserve"> %，如遇国家税率调整，不含税金额不变，含税金额按新税率计算相应调整；</w:t>
      </w:r>
    </w:p>
    <w:p w14:paraId="41ED405A">
      <w:pPr>
        <w:spacing w:line="276" w:lineRule="auto"/>
        <w:ind w:left="403" w:hanging="403" w:hangingChars="192"/>
        <w:rPr>
          <w:rFonts w:hint="eastAsia" w:ascii="Calibri" w:hAnsi="Calibri"/>
          <w:szCs w:val="21"/>
        </w:rPr>
      </w:pPr>
      <w:r>
        <w:rPr>
          <w:rFonts w:hint="eastAsia" w:ascii="宋体" w:hAnsi="宋体"/>
          <w:szCs w:val="21"/>
        </w:rPr>
        <w:t xml:space="preserve">6.4 </w:t>
      </w:r>
      <w:r>
        <w:rPr>
          <w:rFonts w:hint="eastAsia"/>
          <w:szCs w:val="21"/>
        </w:rPr>
        <w:t>开票信息：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299"/>
        <w:gridCol w:w="2074"/>
        <w:gridCol w:w="2074"/>
      </w:tblGrid>
      <w:tr w14:paraId="093A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45CA9EC7">
            <w:pPr>
              <w:pStyle w:val="6"/>
              <w:spacing w:line="276" w:lineRule="auto"/>
              <w:ind w:firstLine="210" w:firstLineChars="100"/>
              <w:jc w:val="left"/>
              <w:rPr>
                <w:szCs w:val="21"/>
              </w:rPr>
            </w:pPr>
            <w:r>
              <w:rPr>
                <w:rFonts w:hint="eastAsia"/>
              </w:rPr>
              <w:t xml:space="preserve">开票内容：     </w:t>
            </w:r>
          </w:p>
        </w:tc>
      </w:tr>
      <w:tr w14:paraId="627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1280636B">
            <w:pPr>
              <w:pStyle w:val="6"/>
              <w:spacing w:line="276" w:lineRule="auto"/>
              <w:ind w:firstLine="210" w:firstLineChars="100"/>
              <w:jc w:val="center"/>
              <w:rPr>
                <w:rFonts w:hint="eastAsia"/>
              </w:rPr>
            </w:pPr>
            <w:r>
              <w:rPr>
                <w:rFonts w:hint="eastAsia"/>
              </w:rPr>
              <w:t>购买方</w:t>
            </w:r>
          </w:p>
        </w:tc>
      </w:tr>
      <w:tr w14:paraId="2605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vAlign w:val="center"/>
          </w:tcPr>
          <w:p w14:paraId="6406DE22">
            <w:pPr>
              <w:pStyle w:val="6"/>
              <w:spacing w:line="276" w:lineRule="auto"/>
              <w:ind w:firstLine="210" w:firstLineChars="100"/>
              <w:jc w:val="center"/>
              <w:rPr>
                <w:rFonts w:hint="eastAsia"/>
              </w:rPr>
            </w:pPr>
            <w:r>
              <w:rPr>
                <w:rFonts w:hint="eastAsia"/>
              </w:rPr>
              <w:t>公司名称</w:t>
            </w:r>
          </w:p>
        </w:tc>
        <w:tc>
          <w:tcPr>
            <w:tcW w:w="2299" w:type="dxa"/>
            <w:tcBorders>
              <w:top w:val="single" w:color="auto" w:sz="4" w:space="0"/>
              <w:left w:val="single" w:color="auto" w:sz="4" w:space="0"/>
              <w:bottom w:val="single" w:color="auto" w:sz="4" w:space="0"/>
              <w:right w:val="single" w:color="auto" w:sz="4" w:space="0"/>
            </w:tcBorders>
            <w:vAlign w:val="center"/>
          </w:tcPr>
          <w:p w14:paraId="7684AD8B">
            <w:pPr>
              <w:pStyle w:val="6"/>
              <w:spacing w:line="276" w:lineRule="auto"/>
              <w:ind w:firstLine="210" w:firstLineChars="100"/>
              <w:jc w:val="center"/>
              <w:rPr>
                <w:rFonts w:hint="eastAsia"/>
              </w:rPr>
            </w:pPr>
            <w:r>
              <w:rPr>
                <w:rFonts w:hint="eastAsia"/>
              </w:rPr>
              <w:t xml:space="preserve">   </w:t>
            </w:r>
          </w:p>
        </w:tc>
        <w:tc>
          <w:tcPr>
            <w:tcW w:w="2074" w:type="dxa"/>
            <w:tcBorders>
              <w:top w:val="single" w:color="auto" w:sz="4" w:space="0"/>
              <w:left w:val="single" w:color="auto" w:sz="4" w:space="0"/>
              <w:bottom w:val="single" w:color="auto" w:sz="4" w:space="0"/>
              <w:right w:val="single" w:color="auto" w:sz="4" w:space="0"/>
            </w:tcBorders>
            <w:vAlign w:val="center"/>
          </w:tcPr>
          <w:p w14:paraId="5B029C9D">
            <w:pPr>
              <w:pStyle w:val="6"/>
              <w:spacing w:line="276" w:lineRule="auto"/>
              <w:ind w:firstLine="210" w:firstLineChars="100"/>
              <w:jc w:val="center"/>
              <w:rPr>
                <w:rFonts w:hint="eastAsia"/>
              </w:rPr>
            </w:pPr>
            <w:r>
              <w:rPr>
                <w:rFonts w:hint="eastAsia"/>
              </w:rPr>
              <w:t>纳税人识别号</w:t>
            </w:r>
          </w:p>
        </w:tc>
        <w:tc>
          <w:tcPr>
            <w:tcW w:w="2074" w:type="dxa"/>
            <w:tcBorders>
              <w:top w:val="single" w:color="auto" w:sz="4" w:space="0"/>
              <w:left w:val="single" w:color="auto" w:sz="4" w:space="0"/>
              <w:bottom w:val="single" w:color="auto" w:sz="4" w:space="0"/>
              <w:right w:val="single" w:color="auto" w:sz="4" w:space="0"/>
            </w:tcBorders>
            <w:vAlign w:val="center"/>
          </w:tcPr>
          <w:p w14:paraId="0E3F1B44">
            <w:pPr>
              <w:spacing w:line="276" w:lineRule="auto"/>
              <w:ind w:left="-171"/>
              <w:jc w:val="center"/>
              <w:rPr>
                <w:rFonts w:hint="eastAsia" w:ascii="宋体" w:hAnsi="宋体"/>
                <w:szCs w:val="21"/>
              </w:rPr>
            </w:pPr>
            <w:r>
              <w:rPr>
                <w:rFonts w:hint="eastAsia" w:ascii="宋体" w:hAnsi="宋体"/>
                <w:szCs w:val="21"/>
              </w:rPr>
              <w:t xml:space="preserve">   </w:t>
            </w:r>
          </w:p>
        </w:tc>
      </w:tr>
      <w:tr w14:paraId="4A64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vAlign w:val="center"/>
          </w:tcPr>
          <w:p w14:paraId="41C673C2">
            <w:pPr>
              <w:pStyle w:val="6"/>
              <w:spacing w:line="276" w:lineRule="auto"/>
              <w:ind w:firstLine="210" w:firstLineChars="100"/>
              <w:jc w:val="center"/>
              <w:rPr>
                <w:rFonts w:hint="eastAsia" w:ascii="宋体" w:hAnsi="宋体"/>
                <w:szCs w:val="21"/>
              </w:rPr>
            </w:pPr>
            <w:r>
              <w:rPr>
                <w:rFonts w:hint="eastAsia"/>
              </w:rPr>
              <w:t>地址</w:t>
            </w:r>
          </w:p>
        </w:tc>
        <w:tc>
          <w:tcPr>
            <w:tcW w:w="2299" w:type="dxa"/>
            <w:tcBorders>
              <w:top w:val="single" w:color="auto" w:sz="4" w:space="0"/>
              <w:left w:val="single" w:color="auto" w:sz="4" w:space="0"/>
              <w:bottom w:val="single" w:color="auto" w:sz="4" w:space="0"/>
              <w:right w:val="single" w:color="auto" w:sz="4" w:space="0"/>
            </w:tcBorders>
            <w:vAlign w:val="center"/>
          </w:tcPr>
          <w:p w14:paraId="7553A2E7">
            <w:pPr>
              <w:pStyle w:val="6"/>
              <w:spacing w:line="276" w:lineRule="auto"/>
              <w:ind w:firstLine="210" w:firstLineChars="100"/>
              <w:jc w:val="center"/>
              <w:rPr>
                <w:rFonts w:hint="eastAsia"/>
              </w:rPr>
            </w:pPr>
            <w:r>
              <w:rPr>
                <w:rFonts w:hint="eastAsia"/>
              </w:rPr>
              <w:t xml:space="preserve">   </w:t>
            </w:r>
          </w:p>
        </w:tc>
        <w:tc>
          <w:tcPr>
            <w:tcW w:w="2074" w:type="dxa"/>
            <w:tcBorders>
              <w:top w:val="single" w:color="auto" w:sz="4" w:space="0"/>
              <w:left w:val="single" w:color="auto" w:sz="4" w:space="0"/>
              <w:bottom w:val="single" w:color="auto" w:sz="4" w:space="0"/>
              <w:right w:val="single" w:color="auto" w:sz="4" w:space="0"/>
            </w:tcBorders>
            <w:vAlign w:val="center"/>
          </w:tcPr>
          <w:p w14:paraId="249D786C">
            <w:pPr>
              <w:pStyle w:val="6"/>
              <w:spacing w:line="276" w:lineRule="auto"/>
              <w:ind w:firstLine="210" w:firstLineChars="100"/>
              <w:jc w:val="center"/>
              <w:rPr>
                <w:rFonts w:hint="eastAsia"/>
              </w:rPr>
            </w:pPr>
            <w:r>
              <w:rPr>
                <w:rFonts w:hint="eastAsia"/>
              </w:rPr>
              <w:t>电话</w:t>
            </w:r>
          </w:p>
        </w:tc>
        <w:tc>
          <w:tcPr>
            <w:tcW w:w="2074" w:type="dxa"/>
            <w:tcBorders>
              <w:top w:val="single" w:color="auto" w:sz="4" w:space="0"/>
              <w:left w:val="single" w:color="auto" w:sz="4" w:space="0"/>
              <w:bottom w:val="single" w:color="auto" w:sz="4" w:space="0"/>
              <w:right w:val="single" w:color="auto" w:sz="4" w:space="0"/>
            </w:tcBorders>
            <w:vAlign w:val="center"/>
          </w:tcPr>
          <w:p w14:paraId="48218E7E">
            <w:pPr>
              <w:spacing w:line="276" w:lineRule="auto"/>
              <w:ind w:left="-171"/>
              <w:jc w:val="center"/>
              <w:rPr>
                <w:rFonts w:hint="eastAsia" w:ascii="宋体" w:hAnsi="宋体"/>
                <w:szCs w:val="21"/>
              </w:rPr>
            </w:pPr>
            <w:r>
              <w:rPr>
                <w:rFonts w:hint="eastAsia" w:ascii="宋体" w:hAnsi="宋体"/>
                <w:szCs w:val="21"/>
              </w:rPr>
              <w:t xml:space="preserve">   </w:t>
            </w:r>
          </w:p>
        </w:tc>
      </w:tr>
      <w:tr w14:paraId="20C2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vAlign w:val="center"/>
          </w:tcPr>
          <w:p w14:paraId="041D76E9">
            <w:pPr>
              <w:pStyle w:val="6"/>
              <w:spacing w:line="276" w:lineRule="auto"/>
              <w:ind w:firstLine="210" w:firstLineChars="100"/>
              <w:jc w:val="center"/>
              <w:rPr>
                <w:rFonts w:hint="eastAsia" w:ascii="宋体" w:hAnsi="宋体"/>
                <w:szCs w:val="21"/>
              </w:rPr>
            </w:pPr>
            <w:r>
              <w:rPr>
                <w:rFonts w:hint="eastAsia"/>
              </w:rPr>
              <w:t>开户行</w:t>
            </w:r>
          </w:p>
        </w:tc>
        <w:tc>
          <w:tcPr>
            <w:tcW w:w="2299" w:type="dxa"/>
            <w:tcBorders>
              <w:top w:val="single" w:color="auto" w:sz="4" w:space="0"/>
              <w:left w:val="single" w:color="auto" w:sz="4" w:space="0"/>
              <w:bottom w:val="single" w:color="auto" w:sz="4" w:space="0"/>
              <w:right w:val="single" w:color="auto" w:sz="4" w:space="0"/>
            </w:tcBorders>
            <w:vAlign w:val="center"/>
          </w:tcPr>
          <w:p w14:paraId="796786AF">
            <w:pPr>
              <w:pStyle w:val="6"/>
              <w:spacing w:line="276" w:lineRule="auto"/>
              <w:ind w:firstLine="210" w:firstLineChars="100"/>
              <w:jc w:val="center"/>
              <w:rPr>
                <w:rFonts w:hint="eastAsia"/>
              </w:rPr>
            </w:pPr>
            <w:r>
              <w:rPr>
                <w:rFonts w:hint="eastAsia"/>
              </w:rPr>
              <w:t xml:space="preserve">   </w:t>
            </w:r>
          </w:p>
        </w:tc>
        <w:tc>
          <w:tcPr>
            <w:tcW w:w="2074" w:type="dxa"/>
            <w:tcBorders>
              <w:top w:val="single" w:color="auto" w:sz="4" w:space="0"/>
              <w:left w:val="single" w:color="auto" w:sz="4" w:space="0"/>
              <w:bottom w:val="single" w:color="auto" w:sz="4" w:space="0"/>
              <w:right w:val="single" w:color="auto" w:sz="4" w:space="0"/>
            </w:tcBorders>
            <w:vAlign w:val="center"/>
          </w:tcPr>
          <w:p w14:paraId="13A6D0B4">
            <w:pPr>
              <w:pStyle w:val="6"/>
              <w:spacing w:line="276" w:lineRule="auto"/>
              <w:ind w:firstLine="210" w:firstLineChars="100"/>
              <w:jc w:val="center"/>
              <w:rPr>
                <w:rFonts w:hint="eastAsia"/>
              </w:rPr>
            </w:pPr>
            <w:r>
              <w:rPr>
                <w:rFonts w:hint="eastAsia"/>
              </w:rPr>
              <w:t>账号</w:t>
            </w:r>
          </w:p>
        </w:tc>
        <w:tc>
          <w:tcPr>
            <w:tcW w:w="2074" w:type="dxa"/>
            <w:tcBorders>
              <w:top w:val="single" w:color="auto" w:sz="4" w:space="0"/>
              <w:left w:val="single" w:color="auto" w:sz="4" w:space="0"/>
              <w:bottom w:val="single" w:color="auto" w:sz="4" w:space="0"/>
              <w:right w:val="single" w:color="auto" w:sz="4" w:space="0"/>
            </w:tcBorders>
            <w:vAlign w:val="center"/>
          </w:tcPr>
          <w:p w14:paraId="01A136E0">
            <w:pPr>
              <w:spacing w:line="276" w:lineRule="auto"/>
              <w:ind w:left="-171"/>
              <w:jc w:val="center"/>
              <w:rPr>
                <w:rFonts w:hint="eastAsia" w:ascii="宋体" w:hAnsi="宋体"/>
                <w:szCs w:val="21"/>
              </w:rPr>
            </w:pPr>
            <w:r>
              <w:rPr>
                <w:rFonts w:hint="eastAsia" w:ascii="宋体" w:hAnsi="宋体"/>
                <w:szCs w:val="21"/>
              </w:rPr>
              <w:t xml:space="preserve">    </w:t>
            </w:r>
          </w:p>
        </w:tc>
      </w:tr>
      <w:tr w14:paraId="6101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70FE25ED">
            <w:pPr>
              <w:spacing w:line="276" w:lineRule="auto"/>
              <w:ind w:left="-171"/>
              <w:jc w:val="center"/>
              <w:rPr>
                <w:rFonts w:hint="eastAsia" w:ascii="宋体" w:hAnsi="宋体"/>
                <w:szCs w:val="21"/>
              </w:rPr>
            </w:pPr>
            <w:r>
              <w:rPr>
                <w:rFonts w:hint="eastAsia" w:ascii="宋体" w:hAnsi="宋体"/>
                <w:szCs w:val="21"/>
              </w:rPr>
              <w:t>销售方（开票方）</w:t>
            </w:r>
          </w:p>
        </w:tc>
      </w:tr>
      <w:tr w14:paraId="5A95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tcBorders>
              <w:top w:val="single" w:color="auto" w:sz="4" w:space="0"/>
              <w:left w:val="single" w:color="auto" w:sz="4" w:space="0"/>
              <w:bottom w:val="single" w:color="auto" w:sz="4" w:space="0"/>
              <w:right w:val="single" w:color="auto" w:sz="4" w:space="0"/>
            </w:tcBorders>
            <w:vAlign w:val="center"/>
          </w:tcPr>
          <w:p w14:paraId="1EAA409C">
            <w:pPr>
              <w:pStyle w:val="6"/>
              <w:spacing w:line="276" w:lineRule="auto"/>
              <w:ind w:firstLine="210" w:firstLineChars="100"/>
              <w:jc w:val="center"/>
              <w:rPr>
                <w:rFonts w:hint="eastAsia" w:ascii="宋体" w:hAnsi="宋体"/>
                <w:szCs w:val="21"/>
              </w:rPr>
            </w:pPr>
            <w:r>
              <w:rPr>
                <w:rFonts w:hint="eastAsia"/>
              </w:rPr>
              <w:t>公司名称</w:t>
            </w:r>
          </w:p>
        </w:tc>
        <w:tc>
          <w:tcPr>
            <w:tcW w:w="2299" w:type="dxa"/>
            <w:tcBorders>
              <w:top w:val="single" w:color="auto" w:sz="4" w:space="0"/>
              <w:left w:val="single" w:color="auto" w:sz="4" w:space="0"/>
              <w:bottom w:val="single" w:color="auto" w:sz="4" w:space="0"/>
              <w:right w:val="single" w:color="auto" w:sz="4" w:space="0"/>
            </w:tcBorders>
            <w:vAlign w:val="center"/>
          </w:tcPr>
          <w:p w14:paraId="047D5C2B">
            <w:pPr>
              <w:pStyle w:val="6"/>
              <w:spacing w:line="276" w:lineRule="auto"/>
              <w:ind w:firstLine="210" w:firstLineChars="100"/>
              <w:jc w:val="center"/>
              <w:rPr>
                <w:rFonts w:hint="eastAsia"/>
              </w:rPr>
            </w:pPr>
            <w:r>
              <w:rPr>
                <w:rFonts w:hint="eastAsia"/>
              </w:rPr>
              <w:t xml:space="preserve">   </w:t>
            </w:r>
          </w:p>
        </w:tc>
        <w:tc>
          <w:tcPr>
            <w:tcW w:w="2074" w:type="dxa"/>
            <w:tcBorders>
              <w:top w:val="single" w:color="auto" w:sz="4" w:space="0"/>
              <w:left w:val="single" w:color="auto" w:sz="4" w:space="0"/>
              <w:bottom w:val="single" w:color="auto" w:sz="4" w:space="0"/>
              <w:right w:val="single" w:color="auto" w:sz="4" w:space="0"/>
            </w:tcBorders>
            <w:vAlign w:val="center"/>
          </w:tcPr>
          <w:p w14:paraId="584599A3">
            <w:pPr>
              <w:pStyle w:val="6"/>
              <w:spacing w:line="276" w:lineRule="auto"/>
              <w:ind w:firstLine="210" w:firstLineChars="100"/>
              <w:jc w:val="center"/>
              <w:rPr>
                <w:rFonts w:hint="eastAsia"/>
              </w:rPr>
            </w:pPr>
            <w:r>
              <w:rPr>
                <w:rFonts w:hint="eastAsia"/>
              </w:rPr>
              <w:t>纳税人识别号</w:t>
            </w:r>
          </w:p>
        </w:tc>
        <w:tc>
          <w:tcPr>
            <w:tcW w:w="2074" w:type="dxa"/>
            <w:tcBorders>
              <w:top w:val="single" w:color="auto" w:sz="4" w:space="0"/>
              <w:left w:val="single" w:color="auto" w:sz="4" w:space="0"/>
              <w:bottom w:val="single" w:color="auto" w:sz="4" w:space="0"/>
              <w:right w:val="single" w:color="auto" w:sz="4" w:space="0"/>
            </w:tcBorders>
            <w:vAlign w:val="center"/>
          </w:tcPr>
          <w:p w14:paraId="0123EF04">
            <w:pPr>
              <w:spacing w:line="276" w:lineRule="auto"/>
              <w:ind w:left="-171"/>
              <w:jc w:val="center"/>
              <w:rPr>
                <w:rFonts w:hint="eastAsia" w:ascii="宋体" w:hAnsi="宋体"/>
                <w:szCs w:val="21"/>
              </w:rPr>
            </w:pPr>
            <w:r>
              <w:rPr>
                <w:rFonts w:hint="eastAsia" w:ascii="宋体" w:hAnsi="宋体"/>
                <w:szCs w:val="21"/>
              </w:rPr>
              <w:t xml:space="preserve">    </w:t>
            </w:r>
          </w:p>
        </w:tc>
      </w:tr>
    </w:tbl>
    <w:p w14:paraId="247B5035">
      <w:pPr>
        <w:spacing w:line="276" w:lineRule="auto"/>
        <w:ind w:left="403" w:hanging="403" w:hangingChars="192"/>
        <w:rPr>
          <w:rFonts w:hint="eastAsia" w:ascii="宋体" w:hAnsi="宋体" w:cs="Times New Roman"/>
          <w:szCs w:val="21"/>
        </w:rPr>
      </w:pPr>
    </w:p>
    <w:p w14:paraId="29C0C6A4">
      <w:pPr>
        <w:spacing w:line="276" w:lineRule="auto"/>
        <w:jc w:val="left"/>
        <w:rPr>
          <w:rFonts w:hint="eastAsia" w:ascii="宋体" w:hAnsi="宋体" w:cs="宋体"/>
          <w:b/>
          <w:bCs/>
          <w:szCs w:val="21"/>
        </w:rPr>
      </w:pPr>
      <w:r>
        <w:rPr>
          <w:rFonts w:hint="eastAsia" w:ascii="宋体" w:hAnsi="宋体"/>
          <w:szCs w:val="21"/>
        </w:rPr>
        <w:t>6.5 每月（）日前，甲、乙双方依据合同第5条验收的结果，汇总核算上月度的服务费，核算结果由双方书面签字确认。</w:t>
      </w:r>
      <w:r>
        <w:rPr>
          <w:rFonts w:hint="eastAsia" w:ascii="宋体" w:hAnsi="宋体" w:cs="宋体"/>
          <w:color w:val="000000"/>
          <w:szCs w:val="21"/>
        </w:rPr>
        <w:t>双方确认服务费后（）个工作日内，乙方向甲方开具合法有效的全额增值税专用发票（税率  %）。</w:t>
      </w:r>
      <w:r>
        <w:rPr>
          <w:rFonts w:hint="eastAsia" w:ascii="宋体" w:hAnsi="宋体"/>
          <w:szCs w:val="21"/>
        </w:rPr>
        <w:t>甲方收到乙方开具的增值税专用发票并审核无误，扣除乙方应支付的违约金、赔偿金后的（ 45 ）天内向乙方支付相应款项。</w:t>
      </w:r>
      <w:r>
        <w:rPr>
          <w:rFonts w:hint="eastAsia" w:ascii="宋体" w:hAnsi="宋体" w:cs="宋体"/>
          <w:szCs w:val="21"/>
        </w:rPr>
        <w:t>因开发票产生的各种附加税或费均由乙方承担，增值税税金由甲方承担。</w:t>
      </w:r>
      <w:r>
        <w:rPr>
          <w:rFonts w:hint="eastAsia" w:ascii="宋体" w:hAnsi="宋体"/>
          <w:szCs w:val="21"/>
        </w:rPr>
        <w:t>若遇支付日为法定节假日或财务结账日（每月1-3日），则顺延至下一工作日支付；</w:t>
      </w:r>
    </w:p>
    <w:p w14:paraId="63913CB2">
      <w:pPr>
        <w:tabs>
          <w:tab w:val="left" w:pos="2520"/>
          <w:tab w:val="left" w:pos="3780"/>
          <w:tab w:val="left" w:pos="4830"/>
        </w:tabs>
        <w:adjustRightInd w:val="0"/>
        <w:snapToGrid w:val="0"/>
        <w:spacing w:line="300" w:lineRule="auto"/>
        <w:ind w:left="420" w:hanging="420" w:hangingChars="200"/>
        <w:rPr>
          <w:rFonts w:hint="eastAsia" w:ascii="宋体" w:hAnsi="宋体" w:cs="Times New Roman"/>
          <w:b/>
          <w:szCs w:val="21"/>
        </w:rPr>
      </w:pPr>
      <w:r>
        <w:rPr>
          <w:rFonts w:hint="eastAsia" w:ascii="宋体" w:hAnsi="宋体"/>
          <w:b/>
          <w:szCs w:val="21"/>
        </w:rPr>
        <w:t>6.6 甲方向乙方付款，不接受乙方委托第三方收款的要求。甲方在付款时仅按本合同载明的开户行、账号付款。如开户行、账号有变更需乙方及时出具书面变更通知并经双方签署变更协议后方予以支付；</w:t>
      </w:r>
    </w:p>
    <w:p w14:paraId="55D25E91">
      <w:pPr>
        <w:tabs>
          <w:tab w:val="left" w:pos="2520"/>
          <w:tab w:val="left" w:pos="3780"/>
          <w:tab w:val="left" w:pos="4830"/>
        </w:tabs>
        <w:adjustRightInd w:val="0"/>
        <w:snapToGrid w:val="0"/>
        <w:spacing w:line="300" w:lineRule="auto"/>
        <w:ind w:left="420" w:hanging="420" w:hangingChars="200"/>
        <w:rPr>
          <w:rFonts w:hint="eastAsia" w:ascii="宋体" w:hAnsi="宋体"/>
          <w:bCs/>
          <w:szCs w:val="21"/>
        </w:rPr>
      </w:pPr>
      <w:r>
        <w:rPr>
          <w:rFonts w:hint="eastAsia" w:ascii="宋体" w:hAnsi="宋体"/>
          <w:bCs/>
          <w:szCs w:val="21"/>
        </w:rPr>
        <w:t>6.7 因乙方自身原因导致无法开具本合同约定的合法有效的增值税发票的，甲方有权拒绝支付任何款项；</w:t>
      </w:r>
    </w:p>
    <w:p w14:paraId="0282BBB8">
      <w:pPr>
        <w:tabs>
          <w:tab w:val="left" w:pos="2520"/>
          <w:tab w:val="left" w:pos="3780"/>
          <w:tab w:val="left" w:pos="4830"/>
        </w:tabs>
        <w:adjustRightInd w:val="0"/>
        <w:snapToGrid w:val="0"/>
        <w:spacing w:line="300" w:lineRule="auto"/>
        <w:ind w:left="420" w:hanging="420" w:hangingChars="200"/>
        <w:rPr>
          <w:rFonts w:hint="eastAsia" w:ascii="宋体" w:hAnsi="宋体"/>
          <w:b/>
          <w:szCs w:val="21"/>
        </w:rPr>
      </w:pPr>
      <w:r>
        <w:rPr>
          <w:rFonts w:hint="eastAsia" w:ascii="宋体" w:hAnsi="宋体"/>
          <w:b/>
          <w:szCs w:val="21"/>
        </w:rPr>
        <w:t>7. 甲方权利义务</w:t>
      </w:r>
    </w:p>
    <w:p w14:paraId="6C68298E">
      <w:pPr>
        <w:tabs>
          <w:tab w:val="left" w:pos="2520"/>
          <w:tab w:val="left" w:pos="3780"/>
          <w:tab w:val="left" w:pos="4830"/>
        </w:tabs>
        <w:adjustRightInd w:val="0"/>
        <w:snapToGrid w:val="0"/>
        <w:spacing w:line="300" w:lineRule="auto"/>
        <w:ind w:left="420" w:hanging="420" w:hangingChars="200"/>
        <w:rPr>
          <w:rFonts w:hint="eastAsia" w:ascii="宋体" w:hAnsi="宋体"/>
          <w:szCs w:val="21"/>
        </w:rPr>
      </w:pPr>
      <w:r>
        <w:rPr>
          <w:rFonts w:hint="eastAsia" w:ascii="宋体" w:hAnsi="宋体"/>
          <w:szCs w:val="21"/>
        </w:rPr>
        <w:t>7.1 甲方对乙方涉及本合同履行相关的管理和工作事项有权随时检查监督，针对存在的问题，有权提出改进意见和建议，并监督整改实施情况；</w:t>
      </w:r>
    </w:p>
    <w:p w14:paraId="730F10C4">
      <w:pPr>
        <w:tabs>
          <w:tab w:val="left" w:pos="2520"/>
          <w:tab w:val="left" w:pos="3780"/>
          <w:tab w:val="left" w:pos="4830"/>
        </w:tabs>
        <w:adjustRightInd w:val="0"/>
        <w:snapToGrid w:val="0"/>
        <w:spacing w:line="300" w:lineRule="auto"/>
        <w:ind w:left="420" w:hanging="420" w:hangingChars="200"/>
        <w:rPr>
          <w:rFonts w:hint="eastAsia" w:ascii="宋体" w:hAnsi="宋体"/>
          <w:szCs w:val="21"/>
        </w:rPr>
      </w:pPr>
      <w:r>
        <w:rPr>
          <w:rFonts w:hint="eastAsia" w:ascii="宋体" w:hAnsi="宋体"/>
          <w:szCs w:val="21"/>
        </w:rPr>
        <w:t>7.2 指定人员负责配合乙方进行灭杀有害生物工作，如：协调入室进行消杀、监测检查乙方工作情况，督促乙方执行合同有关规定等；</w:t>
      </w:r>
    </w:p>
    <w:p w14:paraId="24031A6D">
      <w:pPr>
        <w:tabs>
          <w:tab w:val="left" w:pos="2520"/>
          <w:tab w:val="left" w:pos="3780"/>
          <w:tab w:val="left" w:pos="4830"/>
        </w:tabs>
        <w:adjustRightInd w:val="0"/>
        <w:snapToGrid w:val="0"/>
        <w:spacing w:line="300" w:lineRule="auto"/>
        <w:ind w:left="420" w:hanging="420" w:hangingChars="200"/>
        <w:rPr>
          <w:rFonts w:hint="eastAsia" w:ascii="宋体" w:hAnsi="宋体"/>
          <w:szCs w:val="21"/>
        </w:rPr>
      </w:pPr>
      <w:r>
        <w:rPr>
          <w:rFonts w:hint="eastAsia" w:ascii="宋体" w:hAnsi="宋体"/>
          <w:szCs w:val="21"/>
        </w:rPr>
        <w:t>7.3 负责维护本单位的环境卫生，在乙方的指导下，落实有害生物的综合防制措施。负责防“有害生物”设施的建设和维修保养工作，保证设施的正常使用；</w:t>
      </w:r>
    </w:p>
    <w:p w14:paraId="26199EBE">
      <w:pPr>
        <w:tabs>
          <w:tab w:val="left" w:pos="2520"/>
          <w:tab w:val="left" w:pos="3780"/>
          <w:tab w:val="left" w:pos="4830"/>
        </w:tabs>
        <w:adjustRightInd w:val="0"/>
        <w:snapToGrid w:val="0"/>
        <w:spacing w:line="300" w:lineRule="auto"/>
        <w:ind w:left="420" w:hanging="420" w:hangingChars="200"/>
        <w:rPr>
          <w:rFonts w:hint="eastAsia" w:ascii="宋体" w:hAnsi="宋体"/>
          <w:szCs w:val="21"/>
        </w:rPr>
      </w:pPr>
      <w:r>
        <w:rPr>
          <w:rFonts w:hint="eastAsia" w:ascii="宋体" w:hAnsi="宋体"/>
          <w:szCs w:val="21"/>
        </w:rPr>
        <w:t>7.4 做好消杀前准备工作，按照乙方要求做好环境整治、有害生物孳生地治理以及消杀后清理有害生物死尸、鼠粪、蟑螂卵鞘等；</w:t>
      </w:r>
    </w:p>
    <w:p w14:paraId="3FEB9C04">
      <w:pPr>
        <w:tabs>
          <w:tab w:val="left" w:pos="2520"/>
          <w:tab w:val="left" w:pos="3780"/>
          <w:tab w:val="left" w:pos="4830"/>
        </w:tabs>
        <w:adjustRightInd w:val="0"/>
        <w:snapToGrid w:val="0"/>
        <w:spacing w:line="300" w:lineRule="auto"/>
        <w:ind w:left="525" w:hanging="525" w:hangingChars="250"/>
        <w:rPr>
          <w:rFonts w:hint="eastAsia" w:ascii="宋体" w:hAnsi="宋体"/>
          <w:szCs w:val="21"/>
        </w:rPr>
      </w:pPr>
      <w:r>
        <w:rPr>
          <w:rFonts w:hint="eastAsia" w:ascii="宋体" w:hAnsi="宋体"/>
          <w:szCs w:val="21"/>
        </w:rPr>
        <w:t>7.5 乙方每次服务后，甲方指定人员应当在乙方的工作记录上签字确认；</w:t>
      </w:r>
    </w:p>
    <w:p w14:paraId="4CCD19BF">
      <w:pPr>
        <w:tabs>
          <w:tab w:val="left" w:pos="2520"/>
          <w:tab w:val="left" w:pos="3780"/>
          <w:tab w:val="left" w:pos="4830"/>
        </w:tabs>
        <w:adjustRightInd w:val="0"/>
        <w:snapToGrid w:val="0"/>
        <w:spacing w:line="300" w:lineRule="auto"/>
        <w:ind w:left="420" w:hanging="420" w:hangingChars="200"/>
        <w:rPr>
          <w:rFonts w:hint="eastAsia" w:ascii="宋体" w:hAnsi="宋体"/>
          <w:szCs w:val="21"/>
        </w:rPr>
      </w:pPr>
      <w:r>
        <w:rPr>
          <w:rFonts w:hint="eastAsia" w:ascii="宋体" w:hAnsi="宋体"/>
          <w:szCs w:val="21"/>
        </w:rPr>
        <w:t>7.6 甲方有义务告知甲方人员，乙方喷洒药剂的场所及药品投放点，并维护好乙方投放的药品及器械，未经乙方允许，不得对投放的药品及器械擅自移动、损坏、清除；</w:t>
      </w:r>
    </w:p>
    <w:p w14:paraId="73619B7C">
      <w:pPr>
        <w:tabs>
          <w:tab w:val="left" w:pos="2520"/>
          <w:tab w:val="left" w:pos="3780"/>
          <w:tab w:val="left" w:pos="4830"/>
        </w:tabs>
        <w:adjustRightInd w:val="0"/>
        <w:snapToGrid w:val="0"/>
        <w:spacing w:line="300" w:lineRule="auto"/>
        <w:ind w:left="420" w:hanging="420" w:hangingChars="200"/>
        <w:rPr>
          <w:rFonts w:hint="eastAsia" w:ascii="宋体" w:hAnsi="宋体"/>
          <w:szCs w:val="21"/>
        </w:rPr>
      </w:pPr>
      <w:r>
        <w:rPr>
          <w:rFonts w:hint="eastAsia" w:ascii="宋体" w:hAnsi="宋体"/>
          <w:szCs w:val="21"/>
        </w:rPr>
        <w:t>7.7 甲方应按合同约定，及时、足额支付服务费。</w:t>
      </w:r>
    </w:p>
    <w:p w14:paraId="0296E1DB">
      <w:pPr>
        <w:spacing w:line="300" w:lineRule="auto"/>
        <w:jc w:val="left"/>
        <w:rPr>
          <w:rFonts w:hint="eastAsia" w:ascii="宋体" w:hAnsi="宋体"/>
          <w:b/>
          <w:szCs w:val="21"/>
        </w:rPr>
      </w:pPr>
      <w:r>
        <w:rPr>
          <w:rFonts w:hint="eastAsia" w:ascii="宋体" w:hAnsi="宋体"/>
          <w:b/>
          <w:szCs w:val="21"/>
        </w:rPr>
        <w:t>8.</w:t>
      </w:r>
      <w:r>
        <w:t xml:space="preserve"> </w:t>
      </w:r>
      <w:r>
        <w:rPr>
          <w:rFonts w:hint="eastAsia" w:ascii="宋体" w:hAnsi="宋体"/>
          <w:b/>
          <w:szCs w:val="21"/>
        </w:rPr>
        <w:t>乙方权利义务</w:t>
      </w:r>
    </w:p>
    <w:p w14:paraId="71634122">
      <w:pPr>
        <w:spacing w:line="300" w:lineRule="auto"/>
        <w:jc w:val="left"/>
        <w:rPr>
          <w:rFonts w:hint="eastAsia" w:ascii="宋体" w:hAnsi="宋体"/>
          <w:szCs w:val="21"/>
        </w:rPr>
      </w:pPr>
      <w:r>
        <w:rPr>
          <w:rFonts w:hint="eastAsia" w:ascii="宋体" w:hAnsi="宋体"/>
          <w:szCs w:val="21"/>
        </w:rPr>
        <w:t>8.1 根据有害生物生态规律，及时采取消杀与控制措施，使之达到国家有关标准；</w:t>
      </w:r>
    </w:p>
    <w:p w14:paraId="07C6A680">
      <w:pPr>
        <w:spacing w:line="300" w:lineRule="auto"/>
        <w:jc w:val="left"/>
        <w:rPr>
          <w:rFonts w:hint="eastAsia" w:ascii="宋体" w:hAnsi="宋体"/>
          <w:szCs w:val="21"/>
        </w:rPr>
      </w:pPr>
      <w:r>
        <w:rPr>
          <w:rFonts w:hint="eastAsia" w:ascii="宋体" w:hAnsi="宋体"/>
          <w:szCs w:val="21"/>
        </w:rPr>
        <w:t>8.2 作业前应提前通知甲方，以便甲方做好相应的准备工作；</w:t>
      </w:r>
    </w:p>
    <w:p w14:paraId="6AEE2B54">
      <w:pPr>
        <w:spacing w:line="300" w:lineRule="auto"/>
        <w:ind w:left="420" w:hanging="420" w:hangingChars="200"/>
        <w:jc w:val="left"/>
        <w:rPr>
          <w:rFonts w:hint="eastAsia" w:ascii="宋体" w:hAnsi="宋体"/>
          <w:szCs w:val="21"/>
        </w:rPr>
      </w:pPr>
      <w:r>
        <w:rPr>
          <w:rFonts w:hint="eastAsia" w:ascii="宋体" w:hAnsi="宋体"/>
          <w:szCs w:val="21"/>
        </w:rPr>
        <w:t>8.3 保持服务相关现场的清洁卫生，每次现场作业后如实进行记录，并要求甲方指定人员签字确认；</w:t>
      </w:r>
    </w:p>
    <w:p w14:paraId="4E012383">
      <w:pPr>
        <w:spacing w:line="300" w:lineRule="auto"/>
        <w:ind w:left="420" w:hanging="420" w:hangingChars="200"/>
        <w:jc w:val="left"/>
        <w:rPr>
          <w:rFonts w:hint="eastAsia" w:ascii="宋体" w:hAnsi="宋体"/>
          <w:szCs w:val="21"/>
        </w:rPr>
      </w:pPr>
      <w:r>
        <w:rPr>
          <w:rFonts w:hint="eastAsia" w:ascii="宋体" w:hAnsi="宋体"/>
          <w:szCs w:val="21"/>
        </w:rPr>
        <w:t xml:space="preserve">8.4 确保使用合规药品、器械，保证消杀服务人员的作业安全，乙方对所有投药场所，应当设立警示标志； </w:t>
      </w:r>
    </w:p>
    <w:p w14:paraId="1CBC24F2">
      <w:pPr>
        <w:spacing w:line="300" w:lineRule="auto"/>
        <w:ind w:left="420" w:hanging="420" w:hangingChars="200"/>
        <w:jc w:val="left"/>
        <w:rPr>
          <w:rFonts w:hint="eastAsia" w:ascii="宋体" w:hAnsi="宋体"/>
          <w:szCs w:val="21"/>
        </w:rPr>
      </w:pPr>
      <w:r>
        <w:rPr>
          <w:rFonts w:hint="eastAsia" w:ascii="宋体" w:hAnsi="宋体"/>
          <w:szCs w:val="21"/>
        </w:rPr>
        <w:t>8.5 每次消杀服务结束后，乙方有义务如实告知甲方消杀使用药剂情况、消杀内容、范围，告知甲方各项安全及注意事项；</w:t>
      </w:r>
    </w:p>
    <w:p w14:paraId="78E20EE9">
      <w:pPr>
        <w:spacing w:line="300" w:lineRule="auto"/>
        <w:ind w:left="420" w:hanging="420" w:hangingChars="200"/>
        <w:jc w:val="left"/>
        <w:rPr>
          <w:rFonts w:hint="eastAsia" w:ascii="宋体" w:hAnsi="宋体"/>
          <w:szCs w:val="21"/>
        </w:rPr>
      </w:pPr>
      <w:r>
        <w:rPr>
          <w:rFonts w:hint="eastAsia" w:ascii="宋体" w:hAnsi="宋体"/>
          <w:szCs w:val="21"/>
        </w:rPr>
        <w:t>8.6 乙方派员工到甲方处提供本合同项下服务时，应提前3日向甲方提交员工劳动关系证明等材料；若乙方在合同期间需新增、更换人员的，应提前3日通知甲方并提供上述材料；</w:t>
      </w:r>
    </w:p>
    <w:p w14:paraId="1362E6ED">
      <w:pPr>
        <w:spacing w:line="300" w:lineRule="auto"/>
        <w:ind w:left="420" w:hanging="420" w:hangingChars="200"/>
        <w:jc w:val="left"/>
        <w:rPr>
          <w:rFonts w:hint="eastAsia" w:ascii="宋体" w:hAnsi="宋体"/>
          <w:szCs w:val="21"/>
        </w:rPr>
      </w:pPr>
      <w:r>
        <w:rPr>
          <w:rFonts w:hint="eastAsia" w:ascii="宋体" w:hAnsi="宋体"/>
          <w:szCs w:val="21"/>
        </w:rPr>
        <w:t>8.7 建立规章</w:t>
      </w:r>
      <w:r>
        <w:fldChar w:fldCharType="begin"/>
      </w:r>
      <w:r>
        <w:instrText xml:space="preserve"> HYPERLINK "http://www.fdcew.com/hypx/List_177.html" \t "_blank" </w:instrText>
      </w:r>
      <w:r>
        <w:fldChar w:fldCharType="separate"/>
      </w:r>
      <w:r>
        <w:rPr>
          <w:rStyle w:val="16"/>
          <w:rFonts w:hint="eastAsia" w:ascii="宋体" w:hAnsi="宋体"/>
          <w:szCs w:val="21"/>
        </w:rPr>
        <w:t>制度</w:t>
      </w:r>
      <w:r>
        <w:rPr>
          <w:rStyle w:val="16"/>
          <w:rFonts w:hint="eastAsia" w:ascii="宋体" w:hAnsi="宋体"/>
          <w:szCs w:val="21"/>
        </w:rPr>
        <w:fldChar w:fldCharType="end"/>
      </w:r>
      <w:r>
        <w:rPr>
          <w:rFonts w:hint="eastAsia" w:ascii="宋体" w:hAnsi="宋体"/>
          <w:szCs w:val="21"/>
        </w:rPr>
        <w:t>，做好处理、检查、监测工作并做好记录，以备查验；</w:t>
      </w:r>
    </w:p>
    <w:p w14:paraId="5441C353">
      <w:pPr>
        <w:spacing w:line="300" w:lineRule="auto"/>
        <w:ind w:left="420" w:hanging="420" w:hangingChars="200"/>
        <w:jc w:val="left"/>
        <w:rPr>
          <w:rFonts w:hint="eastAsia" w:ascii="宋体" w:hAnsi="宋体"/>
          <w:szCs w:val="21"/>
        </w:rPr>
      </w:pPr>
      <w:r>
        <w:rPr>
          <w:rFonts w:hint="eastAsia" w:ascii="宋体" w:hAnsi="宋体"/>
          <w:szCs w:val="21"/>
        </w:rPr>
        <w:t>8.8 确保服务质量，保证在服务期限内，所服务项目控制在国家规定的标准之内；</w:t>
      </w:r>
    </w:p>
    <w:p w14:paraId="79EF2DF3">
      <w:pPr>
        <w:spacing w:line="300" w:lineRule="auto"/>
        <w:ind w:left="420" w:hanging="420" w:hangingChars="200"/>
        <w:jc w:val="left"/>
        <w:rPr>
          <w:rFonts w:hint="eastAsia" w:ascii="宋体" w:hAnsi="宋体"/>
          <w:szCs w:val="21"/>
        </w:rPr>
      </w:pPr>
      <w:r>
        <w:rPr>
          <w:rFonts w:hint="eastAsia" w:ascii="宋体" w:hAnsi="宋体"/>
          <w:szCs w:val="21"/>
        </w:rPr>
        <w:t>8.9 定期进行除害服务工作，负责质量跟踪，做好服务前后的四害密度监测记录工作；</w:t>
      </w:r>
    </w:p>
    <w:p w14:paraId="67C2CB92">
      <w:pPr>
        <w:spacing w:line="300" w:lineRule="auto"/>
        <w:ind w:left="420" w:hanging="420" w:hangingChars="200"/>
        <w:jc w:val="left"/>
        <w:rPr>
          <w:rFonts w:hint="eastAsia" w:ascii="宋体" w:hAnsi="宋体"/>
          <w:szCs w:val="21"/>
        </w:rPr>
      </w:pPr>
      <w:r>
        <w:rPr>
          <w:rFonts w:hint="eastAsia" w:ascii="宋体" w:hAnsi="宋体"/>
          <w:szCs w:val="21"/>
        </w:rPr>
        <w:t>8.10 指导甲方落实防制有害生物的综合防治措施，提出改进意见；</w:t>
      </w:r>
    </w:p>
    <w:p w14:paraId="37088977">
      <w:pPr>
        <w:spacing w:line="300" w:lineRule="auto"/>
        <w:ind w:left="420" w:hanging="420" w:hangingChars="200"/>
        <w:jc w:val="left"/>
        <w:rPr>
          <w:rFonts w:hint="eastAsia" w:ascii="宋体" w:hAnsi="宋体"/>
          <w:szCs w:val="21"/>
        </w:rPr>
      </w:pPr>
      <w:r>
        <w:rPr>
          <w:rFonts w:hint="eastAsia" w:ascii="宋体" w:hAnsi="宋体"/>
          <w:szCs w:val="21"/>
        </w:rPr>
        <w:t>8.11 对于甲方的投诉予以24小时内答复，48小时内采取解决措施；</w:t>
      </w:r>
    </w:p>
    <w:p w14:paraId="5D8E6382">
      <w:pPr>
        <w:spacing w:line="300" w:lineRule="auto"/>
        <w:ind w:left="420" w:hanging="420" w:hangingChars="200"/>
        <w:jc w:val="left"/>
        <w:rPr>
          <w:rFonts w:hint="eastAsia" w:ascii="宋体" w:hAnsi="宋体"/>
          <w:szCs w:val="21"/>
        </w:rPr>
      </w:pPr>
      <w:r>
        <w:rPr>
          <w:rFonts w:hint="eastAsia" w:ascii="宋体" w:hAnsi="宋体"/>
          <w:szCs w:val="21"/>
        </w:rPr>
        <w:t>8.12 未经甲方书面同意，乙方不得擅自委托第三人完成本合同服务；</w:t>
      </w:r>
    </w:p>
    <w:p w14:paraId="3A8C64CB">
      <w:pPr>
        <w:spacing w:line="300" w:lineRule="auto"/>
        <w:ind w:left="525" w:hanging="525" w:hangingChars="250"/>
        <w:jc w:val="left"/>
        <w:rPr>
          <w:rFonts w:hint="eastAsia" w:ascii="宋体" w:hAnsi="宋体"/>
          <w:szCs w:val="21"/>
        </w:rPr>
      </w:pPr>
      <w:r>
        <w:rPr>
          <w:rFonts w:hint="eastAsia" w:ascii="宋体" w:hAnsi="宋体"/>
          <w:szCs w:val="21"/>
        </w:rPr>
        <w:t>8.13 本合同有效期内，以及在其终止或期满后的任何时候，乙方应严格保护甲方的商业秘密，不得将甲方的任何生产经营信息披露给第三方。在本合同终止时立即将上述信息归还甲方，不能归还的应立即销毁和删除；</w:t>
      </w:r>
    </w:p>
    <w:p w14:paraId="37038F2C">
      <w:pPr>
        <w:spacing w:line="300" w:lineRule="auto"/>
        <w:ind w:left="525" w:hanging="525" w:hangingChars="250"/>
        <w:jc w:val="left"/>
        <w:rPr>
          <w:rFonts w:hint="eastAsia" w:ascii="宋体" w:hAnsi="宋体"/>
          <w:szCs w:val="21"/>
        </w:rPr>
      </w:pPr>
      <w:r>
        <w:rPr>
          <w:rFonts w:hint="eastAsia" w:ascii="宋体" w:hAnsi="宋体"/>
          <w:szCs w:val="21"/>
        </w:rPr>
        <w:t>8.14  乙方人员应注意药物的使用安全、投药时需要防护的部位，及时告知甲方并采取有效防护措施。因药械管理或使用不当造成人身安全和经济损失的，由乙方承担相应责任；</w:t>
      </w:r>
    </w:p>
    <w:p w14:paraId="1E985325">
      <w:pPr>
        <w:spacing w:line="300" w:lineRule="auto"/>
        <w:ind w:left="525" w:hanging="525" w:hangingChars="250"/>
        <w:jc w:val="left"/>
        <w:rPr>
          <w:rFonts w:hint="eastAsia" w:ascii="宋体" w:hAnsi="宋体"/>
          <w:szCs w:val="21"/>
        </w:rPr>
      </w:pPr>
      <w:r>
        <w:rPr>
          <w:rFonts w:hint="eastAsia" w:ascii="宋体" w:hAnsi="宋体"/>
          <w:szCs w:val="21"/>
        </w:rPr>
        <w:t>8.15 乙方必须使用国家规定的有“三证”的药物。因使用违禁药物，造成人身安全和经济损失的，乙方应承担相应责任；</w:t>
      </w:r>
    </w:p>
    <w:p w14:paraId="54BA62D8">
      <w:pPr>
        <w:spacing w:line="300" w:lineRule="auto"/>
        <w:ind w:left="525" w:hanging="525" w:hangingChars="250"/>
        <w:jc w:val="left"/>
        <w:rPr>
          <w:rFonts w:hint="eastAsia" w:ascii="宋体" w:hAnsi="宋体"/>
          <w:szCs w:val="21"/>
        </w:rPr>
      </w:pPr>
      <w:r>
        <w:rPr>
          <w:rFonts w:hint="eastAsia" w:ascii="宋体" w:hAnsi="宋体"/>
          <w:szCs w:val="21"/>
        </w:rPr>
        <w:t>8.16 在操作过程中，由于乙方操作失误造成甲方物品毁损的，由乙方按毁损物品的现金价值承担赔偿责任；</w:t>
      </w:r>
    </w:p>
    <w:p w14:paraId="0D6EDF59">
      <w:pPr>
        <w:spacing w:line="300" w:lineRule="auto"/>
        <w:ind w:left="525" w:hanging="525" w:hangingChars="250"/>
        <w:jc w:val="left"/>
        <w:rPr>
          <w:rFonts w:hint="eastAsia" w:ascii="宋体" w:hAnsi="宋体"/>
          <w:szCs w:val="24"/>
        </w:rPr>
      </w:pPr>
      <w:r>
        <w:rPr>
          <w:rFonts w:hint="eastAsia" w:ascii="宋体" w:hAnsi="宋体"/>
          <w:szCs w:val="21"/>
        </w:rPr>
        <w:t xml:space="preserve">8.17 </w:t>
      </w:r>
      <w:r>
        <w:rPr>
          <w:rFonts w:hint="eastAsia" w:ascii="宋体" w:hAnsi="宋体"/>
          <w:szCs w:val="24"/>
        </w:rPr>
        <w:t>乙方人员工伤、患病或非因工负伤，均由乙方自行处理并承担相关责任。由此引发甲方被提起仲裁或诉讼的，甲方有权暂扣应支付给乙方的费用，并不承担任何违约责任。因乙方人员造成的其他人员伤亡（包括甲方员工或第三人）或财产损失的，由乙方负责处理并承担赔偿责任。若发生甲方垫付医疗费、抢救费等情形时，甲方有权在应付给乙方的费用或保证金中扣收，或另行向乙方追偿；</w:t>
      </w:r>
    </w:p>
    <w:p w14:paraId="717B1BDE">
      <w:pPr>
        <w:spacing w:line="300" w:lineRule="auto"/>
        <w:ind w:left="525" w:hanging="525" w:hangingChars="250"/>
        <w:jc w:val="left"/>
        <w:rPr>
          <w:rFonts w:hint="eastAsia" w:ascii="宋体" w:hAnsi="宋体"/>
          <w:szCs w:val="21"/>
        </w:rPr>
      </w:pPr>
      <w:r>
        <w:rPr>
          <w:rFonts w:hint="eastAsia" w:ascii="宋体" w:hAnsi="宋体"/>
          <w:szCs w:val="24"/>
        </w:rPr>
        <w:t xml:space="preserve">8.18 乙方及时足额为乙方服务人员发放工资及缴纳社会保险，并于每月（）日前将乙方服务人员上月工资发放凭证及社会保险缴纳凭证加盖乙方公章后提交给甲方。否则甲方有权暂扣乙方当月的全部服务费用；如果因乙方用工不合规给甲方造成损失的，甲方有权向乙方追偿，并且不受本合同期限的限制。 </w:t>
      </w:r>
    </w:p>
    <w:p w14:paraId="1AE8F8E1">
      <w:pPr>
        <w:tabs>
          <w:tab w:val="left" w:pos="720"/>
          <w:tab w:val="left" w:pos="7560"/>
          <w:tab w:val="left" w:pos="7920"/>
          <w:tab w:val="left" w:pos="8100"/>
        </w:tabs>
        <w:adjustRightInd w:val="0"/>
        <w:snapToGrid w:val="0"/>
        <w:spacing w:line="300" w:lineRule="auto"/>
        <w:ind w:left="420" w:hanging="420" w:hangingChars="200"/>
        <w:rPr>
          <w:rFonts w:hint="eastAsia" w:ascii="宋体" w:hAnsi="宋体"/>
          <w:b/>
          <w:szCs w:val="21"/>
        </w:rPr>
      </w:pPr>
      <w:r>
        <w:rPr>
          <w:rFonts w:hint="eastAsia" w:ascii="宋体" w:hAnsi="宋体"/>
          <w:b/>
          <w:szCs w:val="21"/>
        </w:rPr>
        <w:t>9. 保证金</w:t>
      </w:r>
    </w:p>
    <w:p w14:paraId="76A0927F">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4"/>
        </w:rPr>
      </w:pPr>
      <w:r>
        <w:rPr>
          <w:rFonts w:hint="eastAsia" w:ascii="宋体" w:hAnsi="宋体"/>
          <w:szCs w:val="24"/>
        </w:rPr>
        <w:t>9.1乙方同意在本合同签订后（ ）日内一次性向甲方交付（ ）元的保证金，用于担保乙方全面履行本合同。乙方保证金在甲方留存期间，不计利息；</w:t>
      </w:r>
    </w:p>
    <w:p w14:paraId="09210C46">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4"/>
        </w:rPr>
      </w:pPr>
      <w:r>
        <w:rPr>
          <w:rFonts w:hint="eastAsia" w:ascii="宋体" w:hAnsi="宋体"/>
          <w:szCs w:val="24"/>
        </w:rPr>
        <w:t xml:space="preserve">9.2若乙方违反本合同且依据本合同应向甲方支付违约金或赔偿损失，甲方有权从乙方的保证金中扣收违约金和损失赔偿；若因乙方违约行为导致保证金不足的，乙方应当7日内补足，否则甲方有权解除本合同； </w:t>
      </w:r>
    </w:p>
    <w:p w14:paraId="53E08FE7">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4"/>
        </w:rPr>
      </w:pPr>
      <w:r>
        <w:rPr>
          <w:rFonts w:hint="eastAsia" w:ascii="宋体" w:hAnsi="宋体"/>
          <w:szCs w:val="24"/>
        </w:rPr>
        <w:t>9.3在合同解除或终止，并清算完毕后，甲方应在（ ）日内将剩余的保证金返还乙方；</w:t>
      </w:r>
    </w:p>
    <w:p w14:paraId="68FD6CC7">
      <w:pPr>
        <w:tabs>
          <w:tab w:val="left" w:pos="720"/>
          <w:tab w:val="left" w:pos="7560"/>
          <w:tab w:val="left" w:pos="7920"/>
          <w:tab w:val="left" w:pos="8100"/>
        </w:tabs>
        <w:adjustRightInd w:val="0"/>
        <w:snapToGrid w:val="0"/>
        <w:spacing w:line="300" w:lineRule="auto"/>
        <w:ind w:left="420" w:hanging="420" w:hangingChars="200"/>
        <w:rPr>
          <w:rFonts w:hint="eastAsia" w:ascii="宋体" w:hAnsi="宋体"/>
          <w:b/>
          <w:szCs w:val="21"/>
        </w:rPr>
      </w:pPr>
      <w:r>
        <w:rPr>
          <w:rFonts w:hint="eastAsia" w:ascii="宋体" w:hAnsi="宋体"/>
          <w:szCs w:val="24"/>
        </w:rPr>
        <w:t xml:space="preserve">9.4若乙方未按本合同约定缴纳保证金，则甲方有权单方解除合同，并追究乙方保证金相当金额的违约金。 </w:t>
      </w:r>
    </w:p>
    <w:p w14:paraId="5D4302A8">
      <w:pPr>
        <w:spacing w:line="300" w:lineRule="auto"/>
        <w:jc w:val="left"/>
        <w:rPr>
          <w:rFonts w:hint="eastAsia" w:ascii="宋体" w:hAnsi="宋体"/>
          <w:b/>
          <w:szCs w:val="21"/>
        </w:rPr>
      </w:pPr>
      <w:r>
        <w:rPr>
          <w:rFonts w:hint="eastAsia" w:ascii="宋体" w:hAnsi="宋体"/>
          <w:b/>
          <w:szCs w:val="21"/>
        </w:rPr>
        <w:t>10. 违约责任</w:t>
      </w:r>
    </w:p>
    <w:p w14:paraId="6EC9C43D">
      <w:pPr>
        <w:spacing w:line="300" w:lineRule="auto"/>
        <w:ind w:left="525" w:hanging="525" w:hangingChars="250"/>
        <w:jc w:val="left"/>
        <w:rPr>
          <w:rFonts w:hint="eastAsia" w:ascii="宋体" w:hAnsi="宋体"/>
          <w:b/>
          <w:szCs w:val="21"/>
        </w:rPr>
      </w:pPr>
      <w:r>
        <w:rPr>
          <w:rFonts w:hint="eastAsia" w:ascii="宋体" w:hAnsi="宋体"/>
          <w:b/>
          <w:szCs w:val="21"/>
        </w:rPr>
        <w:t>10.1 若甲方无故不按本合同约定给付合同价款的，乙方应给</w:t>
      </w:r>
      <w:r>
        <w:rPr>
          <w:rFonts w:hint="eastAsia" w:ascii="宋体" w:hAnsi="宋体"/>
          <w:b/>
          <w:szCs w:val="24"/>
        </w:rPr>
        <w:t>30</w:t>
      </w:r>
      <w:r>
        <w:rPr>
          <w:rFonts w:hint="eastAsia" w:ascii="宋体" w:hAnsi="宋体"/>
          <w:b/>
          <w:szCs w:val="21"/>
        </w:rPr>
        <w:t>天的宽限期；在宽限期内，甲方仍不能给付的，自宽限期满，由甲方就延迟付款部分和迟延期间，按中国人民银行授权的全国银行间同业拆借中心公布的合同订立时1年期贷款市场报价利率计算利息作为违约金支付给乙方；</w:t>
      </w:r>
    </w:p>
    <w:p w14:paraId="4D7A56DD">
      <w:pPr>
        <w:spacing w:line="300" w:lineRule="auto"/>
        <w:ind w:left="525" w:hanging="525" w:hangingChars="250"/>
        <w:jc w:val="left"/>
        <w:rPr>
          <w:rFonts w:hint="eastAsia" w:ascii="宋体" w:hAnsi="宋体"/>
          <w:szCs w:val="21"/>
        </w:rPr>
      </w:pPr>
      <w:r>
        <w:rPr>
          <w:rFonts w:hint="eastAsia" w:ascii="宋体" w:hAnsi="宋体"/>
          <w:szCs w:val="21"/>
        </w:rPr>
        <w:t>10.2 乙方及其员工或其他人员与甲方人员应保持正常、健康的工作关系，不得向甲方的有关人员进行行贿或变相行贿，如有发生，乙方应承担人民币</w:t>
      </w:r>
      <w:r>
        <w:rPr>
          <w:rFonts w:hint="eastAsia" w:ascii="宋体" w:hAnsi="宋体"/>
          <w:szCs w:val="24"/>
        </w:rPr>
        <w:t xml:space="preserve">10000 </w:t>
      </w:r>
      <w:r>
        <w:rPr>
          <w:rFonts w:hint="eastAsia" w:ascii="宋体" w:hAnsi="宋体"/>
          <w:szCs w:val="21"/>
        </w:rPr>
        <w:t>元的违约金，情况严重者，甲方有权单方解除本合同；</w:t>
      </w:r>
    </w:p>
    <w:p w14:paraId="69633C1E">
      <w:pPr>
        <w:spacing w:line="300" w:lineRule="auto"/>
        <w:ind w:left="525" w:hanging="525" w:hangingChars="250"/>
        <w:jc w:val="left"/>
        <w:rPr>
          <w:rFonts w:hint="eastAsia" w:ascii="宋体" w:hAnsi="宋体"/>
          <w:szCs w:val="21"/>
        </w:rPr>
      </w:pPr>
      <w:r>
        <w:rPr>
          <w:rFonts w:hint="eastAsia" w:ascii="宋体" w:hAnsi="宋体"/>
          <w:szCs w:val="21"/>
        </w:rPr>
        <w:t>10.3 甲方如不履行本合同约定的职责，影响乙方正常开展服务工作的，乙方有权通知甲方终止本合同，甲方已支付的服务费不再退还；</w:t>
      </w:r>
    </w:p>
    <w:p w14:paraId="1F0630F4">
      <w:pPr>
        <w:spacing w:line="300" w:lineRule="auto"/>
        <w:ind w:left="525" w:hanging="525" w:hangingChars="250"/>
        <w:jc w:val="left"/>
        <w:rPr>
          <w:rFonts w:hint="eastAsia" w:ascii="宋体" w:hAnsi="宋体"/>
          <w:szCs w:val="21"/>
        </w:rPr>
      </w:pPr>
      <w:r>
        <w:rPr>
          <w:rFonts w:hint="eastAsia" w:ascii="宋体" w:hAnsi="宋体"/>
          <w:szCs w:val="21"/>
        </w:rPr>
        <w:t>10.4 乙方未经甲方同意将本合同服务擅自转让、委托第三人的，乙方应向甲方支付合同总价款20%的违约金；</w:t>
      </w:r>
    </w:p>
    <w:p w14:paraId="4B90C340">
      <w:pPr>
        <w:spacing w:line="300" w:lineRule="auto"/>
        <w:ind w:left="525" w:hanging="525" w:hangingChars="250"/>
        <w:jc w:val="left"/>
        <w:rPr>
          <w:rFonts w:hint="eastAsia" w:ascii="宋体" w:hAnsi="宋体"/>
          <w:szCs w:val="21"/>
        </w:rPr>
      </w:pPr>
      <w:r>
        <w:rPr>
          <w:rFonts w:hint="eastAsia" w:ascii="宋体" w:hAnsi="宋体"/>
          <w:szCs w:val="21"/>
        </w:rPr>
        <w:t>10.5 合同有效期内，乙方负责防治的有害生物未达到国家或甲方所在地相关部门规定的有害生物防制相关标准，造成甲方因厂区内有害生物密度超标等情形受到处罚的，由乙方支付罚款并向甲方支付合同总价款的20%作为违约金；</w:t>
      </w:r>
    </w:p>
    <w:p w14:paraId="0B9F5A73">
      <w:pPr>
        <w:spacing w:line="300" w:lineRule="auto"/>
        <w:ind w:left="525" w:hanging="525" w:hangingChars="250"/>
        <w:jc w:val="left"/>
        <w:rPr>
          <w:rFonts w:hint="eastAsia" w:ascii="宋体" w:hAnsi="宋体"/>
          <w:szCs w:val="21"/>
        </w:rPr>
      </w:pPr>
      <w:r>
        <w:rPr>
          <w:rFonts w:hint="eastAsia" w:ascii="宋体" w:hAnsi="宋体"/>
          <w:szCs w:val="21"/>
        </w:rPr>
        <w:t>10.6 乙方违反本合同第8.13款约定，由乙方向甲方返还全部已支付的合同价款并向甲方支付合同总价款的20%作为违约金；</w:t>
      </w:r>
    </w:p>
    <w:p w14:paraId="7B5DAC57">
      <w:pPr>
        <w:spacing w:line="300" w:lineRule="auto"/>
        <w:ind w:left="525" w:hanging="525" w:hangingChars="250"/>
        <w:jc w:val="left"/>
        <w:rPr>
          <w:rFonts w:hint="eastAsia" w:ascii="宋体" w:hAnsi="宋体"/>
          <w:szCs w:val="21"/>
        </w:rPr>
      </w:pPr>
      <w:r>
        <w:rPr>
          <w:rFonts w:hint="eastAsia" w:ascii="宋体" w:hAnsi="宋体"/>
          <w:szCs w:val="21"/>
        </w:rPr>
        <w:t>10.7 乙方违反本合同第8条项下第8.13款之外的其它款项约定的，每发生一次，乙方应当承担1000元/次的违约金，本合同有效期内累计发生达3次的，视为乙方不能履行本合同，甲方有权解除合同，同时由乙方向甲方支付合同总价款的20%作为违约金；</w:t>
      </w:r>
    </w:p>
    <w:p w14:paraId="53A97925">
      <w:pPr>
        <w:spacing w:line="300" w:lineRule="auto"/>
        <w:ind w:left="525" w:hanging="525" w:hangingChars="250"/>
        <w:jc w:val="left"/>
        <w:rPr>
          <w:rFonts w:hint="eastAsia" w:ascii="宋体" w:hAnsi="宋体"/>
          <w:szCs w:val="21"/>
        </w:rPr>
      </w:pPr>
      <w:r>
        <w:rPr>
          <w:rFonts w:hint="eastAsia" w:ascii="宋体" w:hAnsi="宋体"/>
          <w:szCs w:val="21"/>
        </w:rPr>
        <w:t>10.8 若乙方违反第7.1款约定，未按甲方要求及时整改的，乙方应当承担2000元/次的违约金，并且甲方有权单方解除合同；</w:t>
      </w:r>
    </w:p>
    <w:p w14:paraId="27995DE1">
      <w:pPr>
        <w:spacing w:line="300" w:lineRule="auto"/>
        <w:ind w:left="525" w:hanging="525" w:hangingChars="250"/>
        <w:jc w:val="left"/>
        <w:rPr>
          <w:rFonts w:hint="eastAsia" w:ascii="宋体" w:hAnsi="宋体"/>
          <w:szCs w:val="21"/>
        </w:rPr>
      </w:pPr>
      <w:r>
        <w:rPr>
          <w:rFonts w:hint="eastAsia" w:ascii="宋体" w:hAnsi="宋体"/>
          <w:szCs w:val="21"/>
        </w:rPr>
        <w:t>10.9 乙方人员若非法侵占、盗窃甲方公私财物的，乙方除按原价赔偿外，应向甲方支付合同总价款的20%作为违约金，且甲方有权单方解除本合同；</w:t>
      </w:r>
    </w:p>
    <w:p w14:paraId="41B3479F">
      <w:pPr>
        <w:tabs>
          <w:tab w:val="left" w:pos="720"/>
          <w:tab w:val="left" w:pos="7560"/>
          <w:tab w:val="left" w:pos="7920"/>
          <w:tab w:val="left" w:pos="8100"/>
        </w:tabs>
        <w:adjustRightInd w:val="0"/>
        <w:snapToGrid w:val="0"/>
        <w:spacing w:line="300" w:lineRule="auto"/>
        <w:ind w:left="630" w:hanging="630" w:hangingChars="300"/>
        <w:rPr>
          <w:rFonts w:hint="eastAsia" w:ascii="宋体" w:hAnsi="宋体"/>
          <w:szCs w:val="21"/>
        </w:rPr>
      </w:pPr>
      <w:r>
        <w:rPr>
          <w:rFonts w:hint="eastAsia" w:ascii="宋体" w:hAnsi="宋体"/>
          <w:szCs w:val="21"/>
        </w:rPr>
        <w:t>10.10 乙方在履行本合同过程中，有故意欺骗或隐瞒足以影响本合同履行重要事实的，乙方应向甲方支付合同总价款的20%作为违约金，且甲方有权单方解除本合同；</w:t>
      </w:r>
    </w:p>
    <w:p w14:paraId="15CF7229">
      <w:pPr>
        <w:tabs>
          <w:tab w:val="left" w:pos="720"/>
          <w:tab w:val="left" w:pos="7560"/>
          <w:tab w:val="left" w:pos="7920"/>
          <w:tab w:val="left" w:pos="8100"/>
        </w:tabs>
        <w:adjustRightInd w:val="0"/>
        <w:snapToGrid w:val="0"/>
        <w:spacing w:line="300" w:lineRule="auto"/>
        <w:ind w:left="630" w:hanging="630" w:hangingChars="300"/>
        <w:rPr>
          <w:rFonts w:hint="eastAsia" w:ascii="宋体" w:hAnsi="宋体"/>
          <w:szCs w:val="21"/>
        </w:rPr>
      </w:pPr>
      <w:r>
        <w:rPr>
          <w:rFonts w:hint="eastAsia" w:ascii="宋体" w:hAnsi="宋体"/>
          <w:szCs w:val="21"/>
        </w:rPr>
        <w:t>10.11 本合同有效期内，除发生不可抗力外，乙方若单方解除本合同，应向甲方支付合同总价款的20%作为违约金；</w:t>
      </w:r>
    </w:p>
    <w:p w14:paraId="525B48BD">
      <w:pPr>
        <w:tabs>
          <w:tab w:val="left" w:pos="720"/>
          <w:tab w:val="left" w:pos="7560"/>
          <w:tab w:val="left" w:pos="7920"/>
          <w:tab w:val="left" w:pos="8100"/>
        </w:tabs>
        <w:adjustRightInd w:val="0"/>
        <w:snapToGrid w:val="0"/>
        <w:spacing w:line="300" w:lineRule="auto"/>
        <w:ind w:left="630" w:hanging="630" w:hangingChars="300"/>
        <w:rPr>
          <w:rFonts w:hint="eastAsia" w:ascii="宋体" w:hAnsi="宋体"/>
          <w:b/>
          <w:szCs w:val="21"/>
        </w:rPr>
      </w:pPr>
      <w:r>
        <w:rPr>
          <w:rFonts w:hint="eastAsia" w:ascii="宋体" w:hAnsi="宋体"/>
          <w:b/>
          <w:szCs w:val="21"/>
        </w:rPr>
        <w:t>10.12如乙方未经甲方书面同意，擅自将本合同项下权利全部或部分转让或质押给第三人，属于乙方根本违约，乙方应向甲方按转让债权数额或质押担保的主债权数额的20%支付违约金，且甲方有权从应付乙方且乙方转让的债权中直接扣除；此外，甲方有权中止或解除本合同，且无论甲方选择中止还是解除本合同，甲方均有权停止支付应付乙方且乙方未转让或质押的合同款项，用于担保乙方因擅自转让或质押合同权利而可能给甲方造成损失的相关赔偿责任，直至甲方认为因乙方前述违约行为给甲方可能造成的风险完全消除时止；停止支付合同款项期间甲方无需向乙方支付利息；</w:t>
      </w:r>
    </w:p>
    <w:p w14:paraId="13025D32">
      <w:pPr>
        <w:spacing w:line="300" w:lineRule="auto"/>
        <w:ind w:left="630" w:hanging="630" w:hangingChars="300"/>
        <w:jc w:val="left"/>
        <w:rPr>
          <w:rFonts w:hint="eastAsia" w:ascii="宋体" w:hAnsi="宋体"/>
          <w:szCs w:val="21"/>
        </w:rPr>
      </w:pPr>
      <w:r>
        <w:rPr>
          <w:rFonts w:hint="eastAsia" w:ascii="宋体" w:hAnsi="宋体"/>
          <w:szCs w:val="21"/>
        </w:rPr>
        <w:t>10.13 如乙方违反本合同约定，开具不符合规定发票，则应按以下方式赔偿甲方因此受到的损失：</w:t>
      </w:r>
    </w:p>
    <w:p w14:paraId="5CBDF52B">
      <w:pPr>
        <w:spacing w:line="300" w:lineRule="auto"/>
        <w:ind w:left="630" w:hanging="630" w:hangingChars="300"/>
        <w:jc w:val="left"/>
        <w:rPr>
          <w:rFonts w:hint="eastAsia" w:ascii="宋体" w:hAnsi="宋体"/>
          <w:szCs w:val="21"/>
        </w:rPr>
      </w:pPr>
      <w:r>
        <w:rPr>
          <w:rFonts w:hint="eastAsia" w:ascii="宋体" w:hAnsi="宋体"/>
          <w:szCs w:val="21"/>
        </w:rPr>
        <w:t>10.13.1应提供发票而未提供的或只提供企业自制收据的或出具不符合规定的发票、《销售货物或者提供应税劳务清单》的，造成甲方增值税不能抵扣或申报抵扣后被税务机关检查要求转出的，乙方应向甲方赔偿增值税及相关损失。即：（1）增值税损失=按照约定应开票含税结算额/（1+适用税率）*适用税率 - 实收票面可抵扣进项税；（2）城建税及附加损失：按损失的增值税损失金额*（城建税税率+教育附加费率+地方教育费附加费率）；（3）包括但不限于税务机关对甲方执行的滞纳金及罚款。</w:t>
      </w:r>
    </w:p>
    <w:p w14:paraId="7E7360B0">
      <w:pPr>
        <w:spacing w:line="300" w:lineRule="auto"/>
        <w:ind w:left="420" w:hanging="420" w:hangingChars="200"/>
        <w:jc w:val="left"/>
        <w:rPr>
          <w:rFonts w:hint="eastAsia" w:ascii="宋体" w:hAnsi="宋体"/>
          <w:szCs w:val="21"/>
        </w:rPr>
      </w:pPr>
      <w:r>
        <w:rPr>
          <w:rFonts w:hint="eastAsia" w:ascii="宋体" w:hAnsi="宋体"/>
          <w:szCs w:val="21"/>
        </w:rPr>
        <w:t>10.13.2 应提供发票而未提供的或只提供企业自制收据的或出具不符合规定发票的，造成甲方企业所得税损失的，乙方需按25%的税率向甲方承担企业所得税费用损失：（1）所得税损失=按照约定应开票据金额（含税金额）*25%；（2）包括但不限于税务机关对甲方执行的滞纳金及罚款。</w:t>
      </w:r>
    </w:p>
    <w:p w14:paraId="2B51399F">
      <w:pPr>
        <w:spacing w:line="300" w:lineRule="auto"/>
        <w:ind w:left="420" w:hanging="420" w:hangingChars="200"/>
        <w:jc w:val="left"/>
        <w:rPr>
          <w:rFonts w:hint="eastAsia" w:ascii="宋体" w:hAnsi="宋体"/>
          <w:szCs w:val="21"/>
        </w:rPr>
      </w:pPr>
      <w:r>
        <w:rPr>
          <w:rFonts w:hint="eastAsia" w:ascii="宋体" w:hAnsi="宋体"/>
          <w:szCs w:val="21"/>
        </w:rPr>
        <w:t>10.13.3 乙方除按第10.13.1、10.13.2项承担甲方相应损失外，还应赔偿甲方由此产生的资金时间损失。资金时间损失金额＝按照约定应开票据金额（含税金额）*全国银行间同业拆借中心公布的最近一期贷款市场报价利率（延迟时间1年以内（含一年）按照1年期LRP，超过1年按照5年期LPR执行）*延迟天数（从约定开票之日起至实际开票日）/360。</w:t>
      </w:r>
    </w:p>
    <w:p w14:paraId="661C6200">
      <w:pPr>
        <w:spacing w:line="300" w:lineRule="auto"/>
        <w:ind w:left="630" w:hanging="630" w:hangingChars="300"/>
        <w:jc w:val="left"/>
        <w:rPr>
          <w:rFonts w:hint="eastAsia" w:ascii="宋体" w:hAnsi="宋体"/>
          <w:szCs w:val="21"/>
        </w:rPr>
      </w:pPr>
      <w:r>
        <w:rPr>
          <w:rFonts w:hint="eastAsia" w:ascii="宋体" w:hAnsi="宋体"/>
          <w:szCs w:val="21"/>
        </w:rPr>
        <w:t>10.14 乙方须签署“阳光承诺”（详见合同附件1）并严格遵守，在本合同订立、合作过程中如有违反阳光承诺行为或甲方根据有关资料认为乙方可能存在上述情形的，甲方有权单方解除本合同且无需承担任何责任，并将乙方列入不合作供应商；</w:t>
      </w:r>
    </w:p>
    <w:p w14:paraId="69E880A6">
      <w:pPr>
        <w:spacing w:line="300" w:lineRule="auto"/>
        <w:ind w:left="525" w:hanging="525" w:hangingChars="250"/>
        <w:jc w:val="left"/>
        <w:rPr>
          <w:rFonts w:hint="eastAsia" w:ascii="宋体" w:hAnsi="宋体"/>
          <w:szCs w:val="21"/>
        </w:rPr>
      </w:pPr>
      <w:r>
        <w:rPr>
          <w:rFonts w:hint="eastAsia" w:ascii="宋体" w:hAnsi="宋体"/>
          <w:szCs w:val="21"/>
        </w:rPr>
        <w:t>10.15除上述约定外，乙方违反本合同其他约定的，应当向甲方支付人民币  元的违约金；</w:t>
      </w:r>
    </w:p>
    <w:p w14:paraId="179C5AAA">
      <w:pPr>
        <w:spacing w:line="300" w:lineRule="auto"/>
        <w:ind w:left="630" w:hanging="630" w:hangingChars="300"/>
        <w:jc w:val="left"/>
        <w:rPr>
          <w:rFonts w:hint="eastAsia" w:ascii="宋体" w:hAnsi="宋体"/>
          <w:szCs w:val="21"/>
        </w:rPr>
      </w:pPr>
      <w:r>
        <w:rPr>
          <w:rFonts w:hint="eastAsia" w:ascii="宋体" w:hAnsi="宋体"/>
          <w:szCs w:val="21"/>
        </w:rPr>
        <w:t>10.16若本合同约定的违约金不足以补偿甲方遭受的损失的，对于甲方遭受的损失（包括但不限于由此造成的诉讼费、调研费、差旅费、律师费、保全费、保全担保费、鉴定费、公证费、本合同第10.12款约定的甲方被依法确认给付或赔偿给应收账款受让人或质权人的款项或损失赔偿费），甲方有权进一步向乙方追偿；</w:t>
      </w:r>
    </w:p>
    <w:p w14:paraId="644EF6FC">
      <w:pPr>
        <w:spacing w:line="300" w:lineRule="auto"/>
        <w:ind w:left="630" w:hanging="630" w:hangingChars="300"/>
        <w:jc w:val="left"/>
        <w:rPr>
          <w:rFonts w:hint="eastAsia" w:ascii="宋体" w:hAnsi="宋体"/>
          <w:szCs w:val="21"/>
        </w:rPr>
      </w:pPr>
      <w:r>
        <w:rPr>
          <w:rFonts w:hint="eastAsia" w:ascii="宋体" w:hAnsi="宋体"/>
          <w:szCs w:val="21"/>
        </w:rPr>
        <w:t>10.17 甲方有权直接从待付的合同价款中扣除违约金和赔偿金，如待付的合同价款不足扣除的，乙方应另行向甲方支付。如果甲方在支付本合同第6.5款约定的合同价款时未扣除乙方应支付的违约金、赔偿金，并不代表甲方放弃对乙方的追索，甲方仍有权继续追索；</w:t>
      </w:r>
    </w:p>
    <w:p w14:paraId="44660979">
      <w:pPr>
        <w:spacing w:line="300" w:lineRule="auto"/>
        <w:ind w:left="630" w:hanging="630" w:hangingChars="300"/>
        <w:jc w:val="left"/>
        <w:rPr>
          <w:rFonts w:hint="eastAsia" w:ascii="宋体" w:hAnsi="宋体"/>
          <w:szCs w:val="21"/>
        </w:rPr>
      </w:pPr>
      <w:r>
        <w:rPr>
          <w:rFonts w:hint="eastAsia" w:ascii="宋体" w:hAnsi="宋体"/>
          <w:szCs w:val="21"/>
        </w:rPr>
        <w:t>10.18本合同主文中和/或合同附件中就同一事项或同一违约行为的约定不一致的，甲方有权选择适用。</w:t>
      </w:r>
    </w:p>
    <w:p w14:paraId="19863E53">
      <w:pPr>
        <w:spacing w:line="300" w:lineRule="auto"/>
        <w:jc w:val="left"/>
        <w:rPr>
          <w:rFonts w:hint="eastAsia" w:ascii="宋体" w:hAnsi="宋体"/>
          <w:szCs w:val="21"/>
        </w:rPr>
      </w:pPr>
      <w:r>
        <w:rPr>
          <w:rFonts w:hint="eastAsia" w:ascii="宋体" w:hAnsi="宋体"/>
          <w:b/>
          <w:szCs w:val="24"/>
        </w:rPr>
        <w:t>11. 不可抗力</w:t>
      </w:r>
    </w:p>
    <w:p w14:paraId="4E11C80C">
      <w:pPr>
        <w:adjustRightInd w:val="0"/>
        <w:snapToGrid w:val="0"/>
        <w:spacing w:line="300" w:lineRule="auto"/>
        <w:ind w:left="525" w:hanging="525" w:hangingChars="250"/>
        <w:rPr>
          <w:rFonts w:hint="eastAsia" w:ascii="宋体" w:hAnsi="宋体"/>
          <w:szCs w:val="24"/>
        </w:rPr>
      </w:pPr>
      <w:r>
        <w:rPr>
          <w:rFonts w:hint="eastAsia" w:ascii="宋体" w:hAnsi="宋体"/>
          <w:szCs w:val="24"/>
        </w:rPr>
        <w:t>11.1本合同约定的不可抗力指甲乙双方任何一方在签订本合同时不可预见的、遭受影响的一方不能克服和不能避免的，并对本合同的履行产生影响的事件；</w:t>
      </w:r>
    </w:p>
    <w:p w14:paraId="1B3462A8">
      <w:pPr>
        <w:adjustRightInd w:val="0"/>
        <w:snapToGrid w:val="0"/>
        <w:spacing w:line="300" w:lineRule="auto"/>
        <w:ind w:left="525" w:hanging="525" w:hangingChars="250"/>
        <w:rPr>
          <w:rFonts w:hint="eastAsia" w:ascii="宋体" w:hAnsi="宋体"/>
          <w:szCs w:val="24"/>
        </w:rPr>
      </w:pPr>
      <w:r>
        <w:rPr>
          <w:rFonts w:hint="eastAsia" w:ascii="宋体" w:hAnsi="宋体"/>
          <w:szCs w:val="24"/>
        </w:rPr>
        <w:t>11.2如果发生不可抗力事件,甲乙双方受该事件影响下的合同义务在不可抗力影响引起的延误期内将暂停履行；</w:t>
      </w:r>
    </w:p>
    <w:p w14:paraId="43B988E5">
      <w:pPr>
        <w:adjustRightInd w:val="0"/>
        <w:snapToGrid w:val="0"/>
        <w:spacing w:line="300" w:lineRule="auto"/>
        <w:ind w:left="525" w:hanging="525" w:hangingChars="250"/>
        <w:rPr>
          <w:rFonts w:hint="eastAsia" w:ascii="宋体" w:hAnsi="宋体"/>
          <w:szCs w:val="24"/>
        </w:rPr>
      </w:pPr>
      <w:r>
        <w:rPr>
          <w:rFonts w:hint="eastAsia" w:ascii="宋体" w:hAnsi="宋体"/>
          <w:szCs w:val="24"/>
        </w:rPr>
        <w:t>11.3甲乙双方任何一方遭受不可抗力时应及时通知另一方，解释其需要提出发生不可抗力的理由，并且应在其后十五天内对该不可抗力事件的发生及其持续时间提供适当证明；</w:t>
      </w:r>
    </w:p>
    <w:p w14:paraId="3FC58611">
      <w:pPr>
        <w:adjustRightInd w:val="0"/>
        <w:snapToGrid w:val="0"/>
        <w:spacing w:line="300" w:lineRule="auto"/>
        <w:ind w:left="420" w:hanging="420" w:hangingChars="200"/>
        <w:rPr>
          <w:rFonts w:hint="eastAsia" w:ascii="宋体" w:hAnsi="宋体"/>
          <w:szCs w:val="24"/>
        </w:rPr>
      </w:pPr>
      <w:r>
        <w:rPr>
          <w:rFonts w:hint="eastAsia" w:ascii="宋体" w:hAnsi="宋体"/>
          <w:szCs w:val="24"/>
        </w:rPr>
        <w:t>11.4 若发生不可抗力，甲乙双方应就变更或终止本合同达成协议。</w:t>
      </w:r>
    </w:p>
    <w:p w14:paraId="17B521F4">
      <w:pPr>
        <w:spacing w:line="300" w:lineRule="auto"/>
        <w:jc w:val="left"/>
        <w:rPr>
          <w:rFonts w:hint="eastAsia" w:ascii="宋体" w:hAnsi="宋体"/>
          <w:b/>
          <w:szCs w:val="21"/>
        </w:rPr>
      </w:pPr>
      <w:r>
        <w:rPr>
          <w:rFonts w:hint="eastAsia" w:ascii="宋体" w:hAnsi="宋体"/>
          <w:b/>
          <w:szCs w:val="21"/>
        </w:rPr>
        <w:t>12. 争议的解决</w:t>
      </w:r>
    </w:p>
    <w:p w14:paraId="1AE45713">
      <w:pPr>
        <w:spacing w:line="300" w:lineRule="auto"/>
        <w:ind w:left="525" w:hanging="525" w:hangingChars="250"/>
        <w:jc w:val="left"/>
        <w:rPr>
          <w:rFonts w:hint="eastAsia" w:ascii="宋体" w:hAnsi="宋体"/>
          <w:szCs w:val="24"/>
        </w:rPr>
      </w:pPr>
      <w:r>
        <w:rPr>
          <w:rFonts w:hint="eastAsia" w:ascii="宋体" w:hAnsi="宋体"/>
          <w:szCs w:val="21"/>
        </w:rPr>
        <w:t>12.1</w:t>
      </w:r>
      <w:r>
        <w:rPr>
          <w:rFonts w:hint="eastAsia" w:ascii="宋体" w:hAnsi="宋体"/>
          <w:szCs w:val="24"/>
        </w:rPr>
        <w:t xml:space="preserve"> 本合同约定的条款，双方当事人应当共同遵守。如果在履行过程中发生争议，应本着友好协商的原则予以解决，如果对合同有关条款的理解发生争议，应根据合同的目的、交易习惯以及诚实信用原则，确定该条款的真实意思；</w:t>
      </w:r>
    </w:p>
    <w:p w14:paraId="44ED27AE">
      <w:pPr>
        <w:spacing w:line="300" w:lineRule="auto"/>
        <w:ind w:left="525" w:hanging="525" w:hangingChars="250"/>
        <w:jc w:val="left"/>
        <w:rPr>
          <w:rFonts w:hint="eastAsia" w:ascii="宋体" w:hAnsi="宋体"/>
          <w:b/>
          <w:szCs w:val="21"/>
        </w:rPr>
      </w:pPr>
      <w:r>
        <w:rPr>
          <w:rFonts w:hint="eastAsia" w:ascii="宋体" w:hAnsi="宋体"/>
          <w:szCs w:val="24"/>
        </w:rPr>
        <w:t>12.2 凡有关本合同或执行本合同时发生的争议由双方协商解决，协商不成时任何一方均有权诉至法院，无论哪一方起诉，均由甲方所在地法院管辖。</w:t>
      </w:r>
    </w:p>
    <w:p w14:paraId="59180564">
      <w:pPr>
        <w:adjustRightInd w:val="0"/>
        <w:snapToGrid w:val="0"/>
        <w:spacing w:line="300" w:lineRule="auto"/>
        <w:ind w:left="420" w:hanging="420" w:hangingChars="200"/>
        <w:rPr>
          <w:rFonts w:hint="eastAsia" w:ascii="宋体" w:hAnsi="宋体"/>
          <w:b/>
          <w:szCs w:val="24"/>
        </w:rPr>
      </w:pPr>
      <w:r>
        <w:rPr>
          <w:rFonts w:hint="eastAsia" w:ascii="宋体" w:hAnsi="宋体"/>
          <w:b/>
          <w:szCs w:val="21"/>
        </w:rPr>
        <w:t>13.</w:t>
      </w:r>
      <w:r>
        <w:rPr>
          <w:rFonts w:hint="eastAsia" w:ascii="宋体" w:hAnsi="宋体"/>
          <w:b/>
          <w:szCs w:val="24"/>
        </w:rPr>
        <w:t xml:space="preserve"> 合同变更与转让</w:t>
      </w:r>
    </w:p>
    <w:p w14:paraId="0993BC9A">
      <w:pPr>
        <w:adjustRightInd w:val="0"/>
        <w:snapToGrid w:val="0"/>
        <w:spacing w:line="300" w:lineRule="auto"/>
        <w:ind w:left="420" w:hanging="420" w:hangingChars="200"/>
        <w:rPr>
          <w:rFonts w:hint="eastAsia" w:ascii="宋体" w:hAnsi="宋体"/>
          <w:b/>
          <w:szCs w:val="24"/>
        </w:rPr>
      </w:pPr>
      <w:r>
        <w:rPr>
          <w:rFonts w:hint="eastAsia" w:ascii="宋体" w:hAnsi="宋体"/>
          <w:b/>
          <w:szCs w:val="24"/>
        </w:rPr>
        <w:t>13.1未经甲方书面同意乙方不得擅自转让本合同，不得将本合同的应收账款全部或者部分转让或质押给第三人；</w:t>
      </w:r>
    </w:p>
    <w:p w14:paraId="03B7094F">
      <w:pPr>
        <w:adjustRightInd w:val="0"/>
        <w:snapToGrid w:val="0"/>
        <w:spacing w:line="300" w:lineRule="auto"/>
        <w:ind w:left="525" w:hanging="525" w:hangingChars="250"/>
        <w:rPr>
          <w:rFonts w:hint="eastAsia" w:ascii="宋体" w:hAnsi="宋体"/>
          <w:b/>
          <w:szCs w:val="24"/>
        </w:rPr>
      </w:pPr>
      <w:r>
        <w:rPr>
          <w:rFonts w:hint="eastAsia" w:ascii="宋体" w:hAnsi="宋体"/>
          <w:b/>
          <w:szCs w:val="24"/>
        </w:rPr>
        <w:t>13.2乙方发生合并、分立、改组、转让、经营权变更等变更情况的，必须事先通知甲方，甲方有权决定是否终止本合同。</w:t>
      </w:r>
    </w:p>
    <w:p w14:paraId="1FECD95E">
      <w:pPr>
        <w:spacing w:line="300" w:lineRule="auto"/>
        <w:rPr>
          <w:rFonts w:hint="eastAsia" w:ascii="宋体" w:hAnsi="宋体"/>
          <w:b/>
          <w:szCs w:val="24"/>
        </w:rPr>
      </w:pPr>
      <w:r>
        <w:rPr>
          <w:rFonts w:hint="eastAsia" w:ascii="宋体" w:hAnsi="宋体"/>
          <w:b/>
          <w:szCs w:val="24"/>
        </w:rPr>
        <w:t>14. 合同有效期</w:t>
      </w:r>
    </w:p>
    <w:p w14:paraId="5C5BB16E">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1"/>
        </w:rPr>
      </w:pPr>
      <w:r>
        <w:rPr>
          <w:rFonts w:hint="eastAsia" w:ascii="宋体" w:hAnsi="宋体"/>
          <w:szCs w:val="21"/>
        </w:rPr>
        <w:t>14.1 本合同须经双方盖章，自最后一方盖章之日起生效；</w:t>
      </w:r>
    </w:p>
    <w:p w14:paraId="44B2B156">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1"/>
        </w:rPr>
      </w:pPr>
      <w:r>
        <w:rPr>
          <w:rFonts w:hint="eastAsia" w:ascii="宋体" w:hAnsi="宋体"/>
          <w:szCs w:val="21"/>
        </w:rPr>
        <w:t xml:space="preserve">14.2 本合同有效期（根据实际情况选择在[ ]打“√”选择） </w:t>
      </w:r>
    </w:p>
    <w:p w14:paraId="164A0B0F">
      <w:pPr>
        <w:spacing w:line="300" w:lineRule="auto"/>
        <w:ind w:left="420" w:hanging="420" w:hangingChars="200"/>
        <w:jc w:val="left"/>
        <w:rPr>
          <w:rFonts w:hint="eastAsia" w:ascii="宋体" w:hAnsi="宋体"/>
          <w:szCs w:val="21"/>
        </w:rPr>
      </w:pPr>
      <w:r>
        <w:rPr>
          <w:rFonts w:hint="eastAsia" w:ascii="宋体" w:hAnsi="宋体"/>
          <w:szCs w:val="24"/>
        </w:rPr>
        <w:t xml:space="preserve">     </w:t>
      </w:r>
      <w:r>
        <w:rPr>
          <w:rFonts w:hint="eastAsia" w:ascii="宋体" w:hAnsi="宋体"/>
          <w:szCs w:val="21"/>
        </w:rPr>
        <w:t>本合同有效期为自本合同生效之日起至</w:t>
      </w:r>
      <w:r>
        <w:rPr>
          <w:rFonts w:hint="eastAsia" w:ascii="宋体" w:hAnsi="宋体"/>
          <w:szCs w:val="24"/>
        </w:rPr>
        <w:t xml:space="preserve">   </w:t>
      </w:r>
      <w:r>
        <w:rPr>
          <w:rFonts w:hint="eastAsia" w:ascii="宋体" w:hAnsi="宋体"/>
          <w:szCs w:val="21"/>
        </w:rPr>
        <w:t>年</w:t>
      </w:r>
      <w:r>
        <w:rPr>
          <w:rFonts w:hint="eastAsia" w:ascii="宋体" w:hAnsi="宋体"/>
          <w:szCs w:val="24"/>
        </w:rPr>
        <w:t xml:space="preserve">   </w:t>
      </w:r>
      <w:r>
        <w:rPr>
          <w:rFonts w:hint="eastAsia" w:ascii="宋体" w:hAnsi="宋体"/>
          <w:szCs w:val="21"/>
        </w:rPr>
        <w:t>月</w:t>
      </w:r>
      <w:r>
        <w:rPr>
          <w:rFonts w:hint="eastAsia" w:ascii="宋体" w:hAnsi="宋体"/>
          <w:szCs w:val="24"/>
        </w:rPr>
        <w:t xml:space="preserve">   </w:t>
      </w:r>
      <w:r>
        <w:rPr>
          <w:rFonts w:hint="eastAsia" w:ascii="宋体" w:hAnsi="宋体"/>
          <w:szCs w:val="21"/>
        </w:rPr>
        <w:t>日止。</w:t>
      </w:r>
    </w:p>
    <w:p w14:paraId="3196F79F">
      <w:pPr>
        <w:spacing w:line="300" w:lineRule="auto"/>
        <w:rPr>
          <w:rFonts w:hint="eastAsia" w:ascii="宋体" w:hAnsi="宋体"/>
          <w:szCs w:val="21"/>
        </w:rPr>
      </w:pPr>
      <w:r>
        <w:rPr>
          <w:rFonts w:hint="eastAsia" w:ascii="宋体" w:hAnsi="宋体"/>
          <w:szCs w:val="24"/>
        </w:rPr>
        <w:t xml:space="preserve">     </w:t>
      </w:r>
      <w:r>
        <w:rPr>
          <w:rFonts w:hint="eastAsia" w:ascii="宋体" w:hAnsi="宋体"/>
          <w:szCs w:val="21"/>
        </w:rPr>
        <w:t>本合同有效期为自</w:t>
      </w:r>
      <w:r>
        <w:rPr>
          <w:rFonts w:hint="eastAsia" w:ascii="宋体" w:hAnsi="宋体"/>
          <w:szCs w:val="24"/>
        </w:rPr>
        <w:t xml:space="preserve">   </w:t>
      </w:r>
      <w:r>
        <w:rPr>
          <w:rFonts w:hint="eastAsia" w:ascii="宋体" w:hAnsi="宋体"/>
          <w:szCs w:val="21"/>
        </w:rPr>
        <w:t>年</w:t>
      </w:r>
      <w:r>
        <w:rPr>
          <w:rFonts w:hint="eastAsia" w:ascii="宋体" w:hAnsi="宋体"/>
          <w:szCs w:val="24"/>
        </w:rPr>
        <w:t xml:space="preserve">   </w:t>
      </w:r>
      <w:r>
        <w:rPr>
          <w:rFonts w:hint="eastAsia" w:ascii="宋体" w:hAnsi="宋体"/>
          <w:szCs w:val="21"/>
        </w:rPr>
        <w:t>月</w:t>
      </w:r>
      <w:r>
        <w:rPr>
          <w:rFonts w:hint="eastAsia" w:ascii="宋体" w:hAnsi="宋体"/>
          <w:szCs w:val="24"/>
        </w:rPr>
        <w:t xml:space="preserve">   </w:t>
      </w:r>
      <w:r>
        <w:rPr>
          <w:rFonts w:hint="eastAsia" w:ascii="宋体" w:hAnsi="宋体"/>
          <w:szCs w:val="21"/>
        </w:rPr>
        <w:t>日起至</w:t>
      </w:r>
      <w:r>
        <w:rPr>
          <w:rFonts w:hint="eastAsia" w:ascii="宋体" w:hAnsi="宋体"/>
          <w:szCs w:val="24"/>
        </w:rPr>
        <w:t xml:space="preserve">   </w:t>
      </w:r>
      <w:r>
        <w:rPr>
          <w:rFonts w:hint="eastAsia" w:ascii="宋体" w:hAnsi="宋体"/>
          <w:szCs w:val="21"/>
        </w:rPr>
        <w:t>年</w:t>
      </w:r>
      <w:r>
        <w:rPr>
          <w:rFonts w:hint="eastAsia" w:ascii="宋体" w:hAnsi="宋体"/>
          <w:szCs w:val="24"/>
        </w:rPr>
        <w:t xml:space="preserve">   </w:t>
      </w:r>
      <w:r>
        <w:rPr>
          <w:rFonts w:hint="eastAsia" w:ascii="宋体" w:hAnsi="宋体"/>
          <w:szCs w:val="21"/>
        </w:rPr>
        <w:t>月</w:t>
      </w:r>
      <w:r>
        <w:rPr>
          <w:rFonts w:hint="eastAsia" w:ascii="宋体" w:hAnsi="宋体"/>
          <w:szCs w:val="24"/>
        </w:rPr>
        <w:t xml:space="preserve">   </w:t>
      </w:r>
      <w:r>
        <w:rPr>
          <w:rFonts w:hint="eastAsia" w:ascii="宋体" w:hAnsi="宋体"/>
          <w:szCs w:val="21"/>
        </w:rPr>
        <w:t>日止。</w:t>
      </w:r>
    </w:p>
    <w:p w14:paraId="07A658F2">
      <w:pPr>
        <w:adjustRightInd w:val="0"/>
        <w:snapToGrid w:val="0"/>
        <w:spacing w:line="300" w:lineRule="auto"/>
        <w:ind w:left="420" w:hanging="420" w:hangingChars="200"/>
        <w:rPr>
          <w:rFonts w:hint="eastAsia" w:ascii="宋体" w:hAnsi="宋体"/>
          <w:b/>
          <w:szCs w:val="24"/>
        </w:rPr>
      </w:pPr>
      <w:r>
        <w:rPr>
          <w:rFonts w:hint="eastAsia" w:ascii="宋体" w:hAnsi="宋体"/>
          <w:b/>
          <w:szCs w:val="21"/>
        </w:rPr>
        <w:t>15.</w:t>
      </w:r>
      <w:r>
        <w:rPr>
          <w:rFonts w:hint="eastAsia" w:ascii="宋体" w:hAnsi="宋体"/>
          <w:b/>
          <w:szCs w:val="24"/>
        </w:rPr>
        <w:t xml:space="preserve"> 通知条款</w:t>
      </w:r>
    </w:p>
    <w:p w14:paraId="13AEE8A6">
      <w:pPr>
        <w:tabs>
          <w:tab w:val="left" w:pos="720"/>
          <w:tab w:val="left" w:pos="7560"/>
          <w:tab w:val="left" w:pos="7920"/>
          <w:tab w:val="left" w:pos="8100"/>
        </w:tabs>
        <w:adjustRightInd w:val="0"/>
        <w:snapToGrid w:val="0"/>
        <w:spacing w:line="300" w:lineRule="auto"/>
        <w:ind w:left="420" w:leftChars="200"/>
        <w:rPr>
          <w:rFonts w:hint="eastAsia" w:ascii="宋体" w:hAnsi="宋体"/>
          <w:szCs w:val="21"/>
        </w:rPr>
      </w:pPr>
      <w:r>
        <w:rPr>
          <w:rFonts w:hint="eastAsia" w:ascii="宋体" w:hAnsi="宋体"/>
          <w:szCs w:val="21"/>
        </w:rPr>
        <w:t>甲乙双方就合同中涉及各类通知、协议等文件以及就合同发生纠纷时相关文件和法律文书送达时的送达地址及法律后果作如下约定：</w:t>
      </w:r>
    </w:p>
    <w:p w14:paraId="381FECA4">
      <w:pPr>
        <w:spacing w:line="440" w:lineRule="exact"/>
        <w:ind w:left="420" w:hanging="420" w:hangingChars="200"/>
        <w:jc w:val="left"/>
        <w:rPr>
          <w:rFonts w:hint="eastAsia" w:ascii="宋体" w:hAnsi="宋体"/>
          <w:szCs w:val="21"/>
        </w:rPr>
      </w:pPr>
      <w:r>
        <w:rPr>
          <w:rFonts w:hint="eastAsia" w:ascii="宋体" w:hAnsi="宋体"/>
          <w:szCs w:val="21"/>
        </w:rPr>
        <w:t>15.1 甲方确认其有效的送达地址为：</w:t>
      </w:r>
      <w:r>
        <w:rPr>
          <w:rFonts w:hint="eastAsia" w:ascii="宋体" w:hAnsi="宋体"/>
        </w:rPr>
        <w:t xml:space="preserve">                      </w:t>
      </w:r>
      <w:r>
        <w:rPr>
          <w:rFonts w:hint="eastAsia" w:ascii="宋体" w:hAnsi="宋体" w:cs="宋体"/>
          <w:bCs/>
          <w:szCs w:val="21"/>
          <w:highlight w:val="yellow"/>
        </w:rPr>
        <w:t xml:space="preserve"> </w:t>
      </w:r>
    </w:p>
    <w:p w14:paraId="3BC61C3B">
      <w:pPr>
        <w:spacing w:line="440" w:lineRule="exact"/>
        <w:ind w:left="420" w:hanging="420" w:hangingChars="200"/>
        <w:jc w:val="left"/>
        <w:rPr>
          <w:rFonts w:hint="eastAsia" w:ascii="宋体" w:hAnsi="宋体"/>
          <w:szCs w:val="21"/>
        </w:rPr>
      </w:pPr>
      <w:r>
        <w:rPr>
          <w:rFonts w:hint="eastAsia" w:ascii="宋体" w:hAnsi="宋体"/>
          <w:szCs w:val="21"/>
        </w:rPr>
        <w:t xml:space="preserve">     收件人：</w:t>
      </w:r>
      <w:r>
        <w:rPr>
          <w:rFonts w:hint="eastAsia" w:ascii="宋体" w:hAnsi="宋体"/>
        </w:rPr>
        <w:t xml:space="preserve">      </w:t>
      </w:r>
      <w:r>
        <w:rPr>
          <w:rFonts w:hint="eastAsia" w:ascii="宋体" w:hAnsi="宋体" w:cs="宋体"/>
          <w:bCs/>
          <w:szCs w:val="21"/>
          <w:highlight w:val="yellow"/>
        </w:rPr>
        <w:t xml:space="preserve"> </w:t>
      </w:r>
    </w:p>
    <w:p w14:paraId="3A35D64E">
      <w:pPr>
        <w:spacing w:line="440" w:lineRule="exact"/>
        <w:ind w:firstLine="525" w:firstLineChars="250"/>
        <w:jc w:val="left"/>
        <w:rPr>
          <w:rFonts w:hint="eastAsia" w:ascii="宋体" w:hAnsi="宋体"/>
          <w:szCs w:val="21"/>
        </w:rPr>
      </w:pPr>
      <w:r>
        <w:rPr>
          <w:rFonts w:hint="eastAsia" w:ascii="宋体" w:hAnsi="宋体"/>
          <w:szCs w:val="21"/>
        </w:rPr>
        <w:t>电子邮件：</w:t>
      </w:r>
      <w:r>
        <w:rPr>
          <w:rFonts w:hint="eastAsia" w:ascii="宋体" w:hAnsi="宋体"/>
        </w:rPr>
        <w:t xml:space="preserve">               </w:t>
      </w:r>
      <w:r>
        <w:rPr>
          <w:rFonts w:hint="eastAsia" w:ascii="宋体" w:hAnsi="宋体" w:cs="宋体"/>
          <w:bCs/>
          <w:szCs w:val="21"/>
          <w:highlight w:val="yellow"/>
        </w:rPr>
        <w:t xml:space="preserve"> </w:t>
      </w:r>
    </w:p>
    <w:p w14:paraId="3E6B4421">
      <w:pPr>
        <w:spacing w:line="440" w:lineRule="exact"/>
        <w:ind w:firstLine="525" w:firstLineChars="250"/>
        <w:jc w:val="left"/>
        <w:rPr>
          <w:rFonts w:hint="eastAsia" w:ascii="宋体" w:hAnsi="宋体"/>
          <w:szCs w:val="21"/>
        </w:rPr>
      </w:pPr>
      <w:r>
        <w:rPr>
          <w:rFonts w:hint="eastAsia" w:ascii="宋体" w:hAnsi="宋体"/>
          <w:szCs w:val="21"/>
        </w:rPr>
        <w:t>乙方确认其有效的送达地址为：</w:t>
      </w:r>
      <w:r>
        <w:rPr>
          <w:rFonts w:hint="eastAsia" w:ascii="宋体" w:hAnsi="宋体"/>
        </w:rPr>
        <w:t xml:space="preserve">                      </w:t>
      </w:r>
      <w:r>
        <w:rPr>
          <w:rFonts w:hint="eastAsia" w:ascii="宋体" w:hAnsi="宋体" w:cs="宋体"/>
          <w:bCs/>
          <w:szCs w:val="21"/>
          <w:highlight w:val="yellow"/>
        </w:rPr>
        <w:t xml:space="preserve"> </w:t>
      </w:r>
    </w:p>
    <w:p w14:paraId="34217F01">
      <w:pPr>
        <w:spacing w:line="440" w:lineRule="exact"/>
        <w:ind w:firstLine="525" w:firstLineChars="250"/>
        <w:jc w:val="left"/>
        <w:rPr>
          <w:rFonts w:hint="eastAsia" w:ascii="宋体" w:hAnsi="宋体"/>
          <w:szCs w:val="21"/>
        </w:rPr>
      </w:pPr>
      <w:r>
        <w:rPr>
          <w:rFonts w:hint="eastAsia" w:ascii="宋体" w:hAnsi="宋体"/>
          <w:szCs w:val="21"/>
        </w:rPr>
        <w:t>收件人：</w:t>
      </w:r>
      <w:r>
        <w:rPr>
          <w:rFonts w:hint="eastAsia" w:ascii="宋体" w:hAnsi="宋体"/>
        </w:rPr>
        <w:t xml:space="preserve">       </w:t>
      </w:r>
    </w:p>
    <w:p w14:paraId="04121B1D">
      <w:pPr>
        <w:spacing w:line="440" w:lineRule="exact"/>
        <w:ind w:firstLine="525" w:firstLineChars="250"/>
        <w:jc w:val="left"/>
        <w:rPr>
          <w:rFonts w:hint="eastAsia" w:ascii="宋体" w:hAnsi="宋体"/>
          <w:szCs w:val="21"/>
        </w:rPr>
      </w:pPr>
      <w:r>
        <w:rPr>
          <w:rFonts w:hint="eastAsia" w:ascii="宋体" w:hAnsi="宋体"/>
          <w:szCs w:val="21"/>
        </w:rPr>
        <w:t>电子邮件：</w:t>
      </w:r>
      <w:r>
        <w:rPr>
          <w:rFonts w:hint="eastAsia" w:ascii="宋体" w:hAnsi="宋体"/>
        </w:rPr>
        <w:t xml:space="preserve">               </w:t>
      </w:r>
      <w:r>
        <w:rPr>
          <w:rFonts w:hint="eastAsia" w:ascii="宋体" w:hAnsi="宋体" w:cs="宋体"/>
          <w:bCs/>
          <w:szCs w:val="21"/>
          <w:highlight w:val="yellow"/>
        </w:rPr>
        <w:t xml:space="preserve"> </w:t>
      </w:r>
    </w:p>
    <w:p w14:paraId="45A6E188">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15.2双方该送达地址适用范围包括双方非诉时各类通知、协议等文件以及就合同发生纠纷时相关文件和法律文书的送达，同时包括在争议进入仲裁、民事诉讼程序后的一审、二审、再审和执行程序；</w:t>
      </w:r>
    </w:p>
    <w:p w14:paraId="2E26E883">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15.3 一方的送达地址需要变更时应当履行通知义务，通过以书面形式写就并盖章的方式向对方进行通知。在仲裁及民事诉讼程序时当事人地址变更时应当向仲裁机构、法院履行送达地址变更通知义务；</w:t>
      </w:r>
    </w:p>
    <w:p w14:paraId="25B2B5B8">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15.4 一方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上述当事人在合同中明确约定的送达地址，法院进行送达时可直接邮寄送达，即使当事人未能收到法院邮寄送达的文书，由于其在合同中的约定，也应当视为送达；</w:t>
      </w:r>
    </w:p>
    <w:p w14:paraId="53F21C4C">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15.5纠纷进入仲裁、民事诉讼程序后，如当事人应诉并直接向仲裁机构、法院提交送达地址确认书，该确认地址与诉前确认的送达地址不一致的，以向仲裁机构、法院提交确认的送达地址为准（该送达地址适用上述条款约定的送达方式及送达的法律后果）；</w:t>
      </w:r>
    </w:p>
    <w:p w14:paraId="0A348241">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15.6甲乙双方之间就本合同的正式通知，除可以采用上述地址以直接交付、挂号邮寄、特快专递等方式送达对方外，还可以按15.1款约定的电子邮件的方式送达对方。但均以书面形式写就并盖章。</w:t>
      </w:r>
    </w:p>
    <w:p w14:paraId="1B75A7A5">
      <w:pPr>
        <w:pStyle w:val="39"/>
        <w:spacing w:before="0" w:after="0" w:line="300" w:lineRule="auto"/>
        <w:ind w:left="482" w:right="0" w:hanging="482" w:hangingChars="200"/>
        <w:rPr>
          <w:rFonts w:hint="eastAsia" w:ascii="宋体" w:hAnsi="宋体"/>
          <w:b/>
          <w:sz w:val="21"/>
          <w:szCs w:val="21"/>
        </w:rPr>
      </w:pPr>
      <w:r>
        <w:rPr>
          <w:rFonts w:hint="eastAsia" w:ascii="宋体" w:hAnsi="宋体"/>
          <w:b/>
          <w:szCs w:val="21"/>
        </w:rPr>
        <w:t xml:space="preserve">16. </w:t>
      </w:r>
      <w:r>
        <w:rPr>
          <w:rFonts w:hint="eastAsia" w:ascii="宋体" w:hAnsi="宋体"/>
          <w:b/>
          <w:sz w:val="21"/>
          <w:szCs w:val="21"/>
        </w:rPr>
        <w:t>其它约定</w:t>
      </w:r>
    </w:p>
    <w:p w14:paraId="0BAD28FB">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 xml:space="preserve">16.1甲方任何员工的言论和书面文件在经甲方书面确认之前均不代表甲方，甲方的任何书面文件均需加盖甲方公章方为有效； </w:t>
      </w:r>
    </w:p>
    <w:p w14:paraId="0D09D5F7">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16.2合同一方因与对方员工发生的私人经济往来而产生的任何损失，由该方自行承担，合同对方不负任何责任；</w:t>
      </w:r>
    </w:p>
    <w:p w14:paraId="4D6221B9">
      <w:pPr>
        <w:tabs>
          <w:tab w:val="left" w:pos="720"/>
          <w:tab w:val="left" w:pos="7560"/>
          <w:tab w:val="left" w:pos="7920"/>
          <w:tab w:val="left" w:pos="8100"/>
        </w:tabs>
        <w:adjustRightInd w:val="0"/>
        <w:snapToGrid w:val="0"/>
        <w:spacing w:line="300" w:lineRule="auto"/>
        <w:ind w:left="525" w:hanging="525" w:hangingChars="250"/>
        <w:rPr>
          <w:rFonts w:hint="eastAsia" w:ascii="宋体" w:hAnsi="宋体"/>
          <w:b/>
          <w:szCs w:val="21"/>
        </w:rPr>
      </w:pPr>
      <w:r>
        <w:rPr>
          <w:rFonts w:hint="eastAsia" w:ascii="宋体" w:hAnsi="宋体"/>
          <w:b/>
          <w:szCs w:val="21"/>
        </w:rPr>
        <w:t>16.3本合同有效期内，如甲方决定提前解散、注销或长期停产停业的，甲方应当书面通知乙方，自通知送达之日起满15日时，本合同自动终止，双方互不因此承担违约或赔偿责任；</w:t>
      </w:r>
    </w:p>
    <w:p w14:paraId="48B48A80">
      <w:pPr>
        <w:tabs>
          <w:tab w:val="left" w:pos="720"/>
          <w:tab w:val="left" w:pos="7560"/>
          <w:tab w:val="left" w:pos="7920"/>
          <w:tab w:val="left" w:pos="8100"/>
        </w:tabs>
        <w:adjustRightInd w:val="0"/>
        <w:snapToGrid w:val="0"/>
        <w:spacing w:line="300" w:lineRule="auto"/>
        <w:ind w:left="525" w:hanging="525" w:hangingChars="250"/>
        <w:rPr>
          <w:rFonts w:hint="eastAsia" w:ascii="宋体" w:hAnsi="宋体"/>
          <w:szCs w:val="21"/>
        </w:rPr>
      </w:pPr>
      <w:r>
        <w:rPr>
          <w:rFonts w:hint="eastAsia" w:ascii="宋体" w:hAnsi="宋体"/>
          <w:szCs w:val="21"/>
        </w:rPr>
        <w:t>16.4</w:t>
      </w:r>
      <w:r>
        <w:rPr>
          <w:rFonts w:hint="eastAsia" w:ascii="宋体" w:hAnsi="宋体"/>
          <w:szCs w:val="24"/>
        </w:rPr>
        <w:t>本合同约定期间的最后一日是法定休假日的，以法定休假日结束的次日为期间的最后一日</w:t>
      </w:r>
      <w:r>
        <w:rPr>
          <w:rFonts w:hint="eastAsia" w:ascii="宋体" w:hAnsi="宋体"/>
          <w:szCs w:val="21"/>
        </w:rPr>
        <w:t>；</w:t>
      </w:r>
    </w:p>
    <w:p w14:paraId="5132379A">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1"/>
        </w:rPr>
      </w:pPr>
      <w:r>
        <w:rPr>
          <w:rFonts w:hint="eastAsia" w:ascii="宋体" w:hAnsi="宋体"/>
          <w:szCs w:val="21"/>
        </w:rPr>
        <w:t>16.5 其它未尽约定…；</w:t>
      </w:r>
    </w:p>
    <w:p w14:paraId="0E8BE664">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1"/>
        </w:rPr>
      </w:pPr>
      <w:r>
        <w:rPr>
          <w:rFonts w:hint="eastAsia" w:ascii="宋体" w:hAnsi="宋体"/>
          <w:szCs w:val="21"/>
        </w:rPr>
        <w:t>16.6 本合同附件是合同的重要组成部分，与合同具有同等的法律效力：</w:t>
      </w:r>
    </w:p>
    <w:p w14:paraId="28123CD5">
      <w:pPr>
        <w:adjustRightInd w:val="0"/>
        <w:snapToGrid w:val="0"/>
        <w:spacing w:line="300" w:lineRule="auto"/>
        <w:ind w:firstLine="525" w:firstLineChars="250"/>
        <w:jc w:val="left"/>
        <w:rPr>
          <w:rFonts w:hint="eastAsia" w:ascii="宋体" w:hAnsi="宋体"/>
          <w:color w:val="000000"/>
          <w:szCs w:val="21"/>
        </w:rPr>
      </w:pPr>
      <w:r>
        <w:rPr>
          <w:rFonts w:hint="eastAsia" w:ascii="宋体" w:hAnsi="宋体"/>
          <w:color w:val="000000"/>
          <w:szCs w:val="21"/>
        </w:rPr>
        <w:t>合同附件1《阳光承诺》；</w:t>
      </w:r>
    </w:p>
    <w:p w14:paraId="5EB47B30">
      <w:pPr>
        <w:adjustRightInd w:val="0"/>
        <w:snapToGrid w:val="0"/>
        <w:spacing w:line="300" w:lineRule="auto"/>
        <w:ind w:firstLine="525" w:firstLineChars="250"/>
        <w:jc w:val="left"/>
        <w:rPr>
          <w:rFonts w:hint="eastAsia" w:ascii="宋体" w:hAnsi="宋体"/>
          <w:color w:val="000000"/>
          <w:szCs w:val="21"/>
        </w:rPr>
      </w:pPr>
      <w:r>
        <w:rPr>
          <w:rFonts w:hint="eastAsia" w:ascii="宋体" w:hAnsi="宋体"/>
          <w:color w:val="000000"/>
          <w:szCs w:val="21"/>
        </w:rPr>
        <w:t>合同附件2《        》；</w:t>
      </w:r>
    </w:p>
    <w:p w14:paraId="4CE6C909">
      <w:pPr>
        <w:adjustRightInd w:val="0"/>
        <w:snapToGrid w:val="0"/>
        <w:spacing w:line="300" w:lineRule="auto"/>
        <w:ind w:left="525" w:hanging="525" w:hangingChars="250"/>
        <w:jc w:val="left"/>
        <w:rPr>
          <w:rFonts w:hint="eastAsia" w:ascii="宋体" w:hAnsi="宋体"/>
          <w:szCs w:val="21"/>
        </w:rPr>
      </w:pPr>
      <w:r>
        <w:rPr>
          <w:rFonts w:hint="eastAsia" w:ascii="宋体" w:hAnsi="宋体"/>
          <w:color w:val="000000"/>
          <w:szCs w:val="21"/>
        </w:rPr>
        <w:t xml:space="preserve">16.7 </w:t>
      </w:r>
      <w:r>
        <w:rPr>
          <w:rFonts w:hint="eastAsia" w:ascii="宋体" w:hAnsi="宋体"/>
          <w:szCs w:val="21"/>
        </w:rPr>
        <w:t>本合同未尽事宜，双方应友好协商，签订补充协议，补充协议与本合同具有同等的法律效力；</w:t>
      </w:r>
    </w:p>
    <w:p w14:paraId="4CBB4DFD">
      <w:pPr>
        <w:tabs>
          <w:tab w:val="left" w:pos="720"/>
          <w:tab w:val="left" w:pos="7560"/>
          <w:tab w:val="left" w:pos="7920"/>
          <w:tab w:val="left" w:pos="8100"/>
        </w:tabs>
        <w:adjustRightInd w:val="0"/>
        <w:snapToGrid w:val="0"/>
        <w:spacing w:line="300" w:lineRule="auto"/>
        <w:ind w:left="420" w:hanging="420" w:hangingChars="200"/>
        <w:rPr>
          <w:rFonts w:hint="eastAsia" w:ascii="宋体" w:hAnsi="宋体"/>
          <w:szCs w:val="21"/>
        </w:rPr>
      </w:pPr>
      <w:r>
        <w:rPr>
          <w:rFonts w:hint="eastAsia" w:ascii="宋体" w:hAnsi="宋体"/>
          <w:szCs w:val="21"/>
        </w:rPr>
        <w:t>16.8 合同一式</w:t>
      </w:r>
      <w:r>
        <w:rPr>
          <w:rFonts w:hint="eastAsia" w:ascii="宋体" w:hAnsi="宋体"/>
          <w:szCs w:val="24"/>
        </w:rPr>
        <w:t xml:space="preserve">   </w:t>
      </w:r>
      <w:r>
        <w:rPr>
          <w:rFonts w:hint="eastAsia" w:ascii="宋体" w:hAnsi="宋体"/>
          <w:szCs w:val="21"/>
        </w:rPr>
        <w:t>份，甲方执</w:t>
      </w:r>
      <w:r>
        <w:rPr>
          <w:rFonts w:hint="eastAsia" w:ascii="宋体" w:hAnsi="宋体"/>
          <w:szCs w:val="24"/>
        </w:rPr>
        <w:t xml:space="preserve">   </w:t>
      </w:r>
      <w:r>
        <w:rPr>
          <w:rFonts w:hint="eastAsia" w:ascii="宋体" w:hAnsi="宋体"/>
          <w:szCs w:val="21"/>
        </w:rPr>
        <w:t>份，乙方执</w:t>
      </w:r>
      <w:r>
        <w:rPr>
          <w:rFonts w:hint="eastAsia" w:ascii="宋体" w:hAnsi="宋体"/>
          <w:szCs w:val="24"/>
        </w:rPr>
        <w:t xml:space="preserve">   </w:t>
      </w:r>
      <w:r>
        <w:rPr>
          <w:rFonts w:hint="eastAsia" w:ascii="宋体" w:hAnsi="宋体"/>
          <w:szCs w:val="21"/>
        </w:rPr>
        <w:t>份，均具有同等法律效力。</w:t>
      </w:r>
    </w:p>
    <w:p w14:paraId="48ABB615">
      <w:pPr>
        <w:spacing w:line="300" w:lineRule="auto"/>
        <w:ind w:firstLine="420" w:firstLineChars="200"/>
        <w:jc w:val="left"/>
        <w:rPr>
          <w:rFonts w:hint="eastAsia" w:ascii="宋体" w:hAnsi="宋体"/>
          <w:szCs w:val="24"/>
        </w:rPr>
      </w:pPr>
    </w:p>
    <w:p w14:paraId="7E750EEE">
      <w:pPr>
        <w:spacing w:line="300" w:lineRule="auto"/>
        <w:ind w:firstLine="420" w:firstLineChars="200"/>
        <w:jc w:val="left"/>
        <w:rPr>
          <w:rFonts w:hint="eastAsia" w:ascii="宋体" w:hAnsi="宋体"/>
          <w:b/>
          <w:szCs w:val="21"/>
        </w:rPr>
      </w:pPr>
      <w:r>
        <w:rPr>
          <w:rFonts w:hint="eastAsia" w:ascii="宋体" w:hAnsi="宋体"/>
          <w:b/>
          <w:szCs w:val="21"/>
        </w:rPr>
        <w:t>乙方确认:本合同系本方自愿签署，本合同所有内容均经双方充分协商，甲方已就所有与乙方有利害关系的条款进行了充分说明和提示。甲方不存在任何欺诈、胁迫等导致本方签署本协议的情形，乙方确认本合同不存在任何格式条款及其他违反法律或行政法规的强制性规定的情形，不存在任何重大误解、显失公平的情形。乙方放弃主张本合同无效（包括部分无效）或请求撤销本合同（包括部分撤销）的权利。</w:t>
      </w:r>
    </w:p>
    <w:p w14:paraId="6BCAAF5A">
      <w:pPr>
        <w:spacing w:line="300" w:lineRule="auto"/>
        <w:jc w:val="left"/>
        <w:rPr>
          <w:rFonts w:hint="eastAsia" w:ascii="宋体" w:hAnsi="宋体"/>
          <w:szCs w:val="24"/>
        </w:rPr>
      </w:pPr>
      <w:r>
        <w:rPr>
          <w:rFonts w:hint="eastAsia" w:ascii="宋体" w:hAnsi="宋体"/>
          <w:szCs w:val="24"/>
        </w:rPr>
        <w:t xml:space="preserve">  </w:t>
      </w:r>
    </w:p>
    <w:p w14:paraId="59B6094D">
      <w:pPr>
        <w:spacing w:line="300" w:lineRule="auto"/>
        <w:jc w:val="left"/>
        <w:rPr>
          <w:rFonts w:hint="eastAsia" w:ascii="宋体" w:hAnsi="宋体"/>
          <w:b/>
          <w:szCs w:val="21"/>
        </w:rPr>
      </w:pPr>
      <w:r>
        <w:rPr>
          <w:rFonts w:hint="eastAsia" w:ascii="宋体" w:hAnsi="宋体"/>
          <w:b/>
          <w:szCs w:val="21"/>
        </w:rPr>
        <w:t xml:space="preserve">甲方： </w:t>
      </w:r>
      <w:bookmarkStart w:id="14" w:name="firstParty1"/>
      <w:bookmarkEnd w:id="14"/>
      <w:r>
        <w:rPr>
          <w:rFonts w:hint="eastAsia" w:ascii="宋体" w:hAnsi="宋体"/>
          <w:b/>
          <w:szCs w:val="21"/>
        </w:rPr>
        <w:t xml:space="preserve"> </w:t>
      </w:r>
      <w:r>
        <w:rPr>
          <w:rFonts w:hint="eastAsia" w:ascii="宋体" w:hAnsi="宋体"/>
          <w:szCs w:val="24"/>
        </w:rPr>
        <w:t xml:space="preserve"> </w:t>
      </w:r>
      <w:r>
        <w:rPr>
          <w:rFonts w:hint="eastAsia" w:ascii="宋体" w:hAnsi="宋体"/>
          <w:b/>
          <w:szCs w:val="21"/>
        </w:rPr>
        <w:t>（盖章）</w:t>
      </w:r>
    </w:p>
    <w:p w14:paraId="378FC7AF">
      <w:pPr>
        <w:spacing w:line="300" w:lineRule="auto"/>
        <w:jc w:val="left"/>
        <w:rPr>
          <w:rFonts w:hint="eastAsia" w:ascii="宋体" w:hAnsi="宋体"/>
          <w:szCs w:val="24"/>
        </w:rPr>
      </w:pPr>
    </w:p>
    <w:p w14:paraId="21EC4FF4">
      <w:pPr>
        <w:spacing w:line="300" w:lineRule="auto"/>
        <w:ind w:firstLine="2310" w:firstLineChars="1100"/>
        <w:jc w:val="left"/>
        <w:rPr>
          <w:rFonts w:hint="eastAsia" w:ascii="宋体" w:hAnsi="宋体"/>
          <w:b/>
          <w:szCs w:val="21"/>
        </w:rPr>
      </w:pPr>
      <w:r>
        <w:rPr>
          <w:rFonts w:hint="eastAsia" w:ascii="宋体" w:hAnsi="宋体"/>
          <w:szCs w:val="24"/>
        </w:rPr>
        <w:t xml:space="preserve"> </w:t>
      </w:r>
      <w:r>
        <w:rPr>
          <w:rFonts w:hint="eastAsia" w:ascii="宋体" w:hAnsi="宋体"/>
          <w:b/>
          <w:szCs w:val="21"/>
        </w:rPr>
        <w:t>年</w:t>
      </w:r>
      <w:r>
        <w:rPr>
          <w:rFonts w:hint="eastAsia" w:ascii="宋体" w:hAnsi="宋体"/>
          <w:szCs w:val="24"/>
        </w:rPr>
        <w:t xml:space="preserve">   </w:t>
      </w:r>
      <w:r>
        <w:rPr>
          <w:rFonts w:hint="eastAsia" w:ascii="宋体" w:hAnsi="宋体"/>
          <w:b/>
          <w:szCs w:val="21"/>
        </w:rPr>
        <w:t>月</w:t>
      </w:r>
      <w:r>
        <w:rPr>
          <w:rFonts w:hint="eastAsia" w:ascii="宋体" w:hAnsi="宋体"/>
          <w:szCs w:val="24"/>
        </w:rPr>
        <w:t xml:space="preserve">   </w:t>
      </w:r>
      <w:r>
        <w:rPr>
          <w:rFonts w:hint="eastAsia" w:ascii="宋体" w:hAnsi="宋体"/>
          <w:b/>
          <w:szCs w:val="21"/>
        </w:rPr>
        <w:t>日</w:t>
      </w:r>
    </w:p>
    <w:p w14:paraId="01C41325">
      <w:pPr>
        <w:spacing w:line="300" w:lineRule="auto"/>
        <w:jc w:val="left"/>
        <w:rPr>
          <w:rFonts w:hint="eastAsia" w:ascii="宋体" w:hAnsi="宋体"/>
          <w:b/>
          <w:szCs w:val="21"/>
        </w:rPr>
      </w:pPr>
      <w:r>
        <w:rPr>
          <w:rFonts w:hint="eastAsia" w:ascii="宋体" w:hAnsi="宋体"/>
          <w:b/>
          <w:szCs w:val="21"/>
        </w:rPr>
        <w:t xml:space="preserve">乙方: </w:t>
      </w:r>
      <w:bookmarkStart w:id="15" w:name="secondParty1"/>
      <w:bookmarkEnd w:id="15"/>
      <w:r>
        <w:t xml:space="preserve"> </w:t>
      </w:r>
      <w:r>
        <w:rPr>
          <w:rFonts w:hint="eastAsia" w:ascii="宋体" w:hAnsi="宋体"/>
          <w:b/>
          <w:szCs w:val="24"/>
        </w:rPr>
        <w:t xml:space="preserve"> </w:t>
      </w:r>
      <w:r>
        <w:rPr>
          <w:rFonts w:hint="eastAsia" w:ascii="宋体" w:hAnsi="宋体"/>
          <w:b/>
          <w:szCs w:val="21"/>
        </w:rPr>
        <w:t>（盖章）</w:t>
      </w:r>
      <w:r>
        <w:rPr>
          <w:rFonts w:hint="eastAsia" w:ascii="宋体" w:hAnsi="宋体"/>
          <w:b/>
          <w:szCs w:val="21"/>
        </w:rPr>
        <w:tab/>
      </w:r>
    </w:p>
    <w:p w14:paraId="5A1F1B33">
      <w:pPr>
        <w:spacing w:line="300" w:lineRule="auto"/>
        <w:jc w:val="left"/>
        <w:rPr>
          <w:rFonts w:hint="eastAsia" w:ascii="宋体" w:hAnsi="宋体"/>
          <w:szCs w:val="24"/>
        </w:rPr>
      </w:pPr>
    </w:p>
    <w:p w14:paraId="76636C89">
      <w:pPr>
        <w:spacing w:line="300" w:lineRule="auto"/>
        <w:ind w:firstLine="2310" w:firstLineChars="1100"/>
        <w:jc w:val="left"/>
        <w:rPr>
          <w:rFonts w:hint="eastAsia" w:ascii="宋体" w:hAnsi="宋体"/>
          <w:b/>
          <w:szCs w:val="21"/>
        </w:rPr>
      </w:pPr>
      <w:r>
        <w:rPr>
          <w:rFonts w:hint="eastAsia" w:ascii="宋体" w:hAnsi="宋体"/>
          <w:szCs w:val="24"/>
        </w:rPr>
        <w:t xml:space="preserve"> </w:t>
      </w:r>
      <w:r>
        <w:rPr>
          <w:rFonts w:hint="eastAsia" w:ascii="宋体" w:hAnsi="宋体"/>
          <w:b/>
          <w:szCs w:val="21"/>
        </w:rPr>
        <w:t>年</w:t>
      </w:r>
      <w:r>
        <w:rPr>
          <w:rFonts w:hint="eastAsia" w:ascii="宋体" w:hAnsi="宋体"/>
          <w:szCs w:val="24"/>
        </w:rPr>
        <w:t xml:space="preserve">   </w:t>
      </w:r>
      <w:r>
        <w:rPr>
          <w:rFonts w:hint="eastAsia" w:ascii="宋体" w:hAnsi="宋体"/>
          <w:b/>
          <w:szCs w:val="21"/>
        </w:rPr>
        <w:t>月</w:t>
      </w:r>
      <w:r>
        <w:rPr>
          <w:rFonts w:hint="eastAsia" w:ascii="宋体" w:hAnsi="宋体"/>
          <w:szCs w:val="24"/>
        </w:rPr>
        <w:t xml:space="preserve">   </w:t>
      </w:r>
      <w:r>
        <w:rPr>
          <w:rFonts w:hint="eastAsia" w:ascii="宋体" w:hAnsi="宋体"/>
          <w:b/>
          <w:szCs w:val="21"/>
        </w:rPr>
        <w:t>日</w:t>
      </w:r>
      <w:r>
        <w:rPr>
          <w:rFonts w:hint="eastAsia" w:ascii="宋体" w:hAnsi="宋体"/>
          <w:b/>
          <w:szCs w:val="21"/>
        </w:rPr>
        <w:tab/>
      </w:r>
    </w:p>
    <w:p w14:paraId="13B796EE">
      <w:pPr>
        <w:spacing w:line="440" w:lineRule="exact"/>
        <w:outlineLvl w:val="1"/>
        <w:rPr>
          <w:rFonts w:ascii="Times New Roman" w:hAnsi="Times New Roman"/>
          <w:b/>
          <w:bCs/>
          <w:color w:val="000000"/>
          <w:szCs w:val="21"/>
        </w:rPr>
      </w:pPr>
    </w:p>
    <w:p w14:paraId="3681AED4">
      <w:pPr>
        <w:spacing w:line="440" w:lineRule="exact"/>
        <w:outlineLvl w:val="1"/>
        <w:rPr>
          <w:rFonts w:ascii="宋体" w:hAnsi="宋体" w:eastAsia="宋体"/>
          <w:b/>
          <w:iCs/>
          <w:sz w:val="24"/>
          <w:szCs w:val="24"/>
        </w:rPr>
      </w:pPr>
    </w:p>
    <w:p w14:paraId="74D10AB8">
      <w:pPr>
        <w:spacing w:line="440" w:lineRule="exact"/>
        <w:outlineLvl w:val="1"/>
        <w:rPr>
          <w:rFonts w:ascii="宋体" w:hAnsi="宋体" w:eastAsia="宋体"/>
          <w:b/>
          <w:iCs/>
          <w:sz w:val="24"/>
          <w:szCs w:val="24"/>
        </w:rPr>
      </w:pPr>
    </w:p>
    <w:p w14:paraId="007D068F">
      <w:pPr>
        <w:spacing w:line="440" w:lineRule="exact"/>
        <w:outlineLvl w:val="1"/>
        <w:rPr>
          <w:rFonts w:hint="eastAsia" w:ascii="宋体" w:hAnsi="宋体" w:eastAsia="宋体"/>
          <w:b/>
          <w:iCs/>
          <w:sz w:val="24"/>
          <w:szCs w:val="24"/>
        </w:rPr>
      </w:pPr>
    </w:p>
    <w:p w14:paraId="4C61B866">
      <w:pPr>
        <w:spacing w:line="440" w:lineRule="exact"/>
        <w:outlineLvl w:val="1"/>
        <w:rPr>
          <w:rFonts w:hint="eastAsia" w:ascii="宋体" w:hAnsi="宋体" w:eastAsia="宋体"/>
          <w:b/>
          <w:iCs/>
          <w:sz w:val="24"/>
          <w:szCs w:val="24"/>
        </w:rPr>
      </w:pPr>
    </w:p>
    <w:p w14:paraId="14045F69">
      <w:pPr>
        <w:spacing w:line="440" w:lineRule="exact"/>
        <w:outlineLvl w:val="1"/>
        <w:rPr>
          <w:rFonts w:hint="eastAsia" w:ascii="宋体" w:hAnsi="宋体" w:eastAsia="宋体"/>
          <w:b/>
          <w:iCs/>
          <w:sz w:val="24"/>
          <w:szCs w:val="24"/>
        </w:rPr>
      </w:pPr>
    </w:p>
    <w:p w14:paraId="2A12AD7D">
      <w:pPr>
        <w:spacing w:line="440" w:lineRule="exact"/>
        <w:outlineLvl w:val="1"/>
        <w:rPr>
          <w:rFonts w:hint="eastAsia" w:ascii="宋体" w:hAnsi="宋体" w:eastAsia="宋体"/>
          <w:b/>
          <w:iCs/>
          <w:sz w:val="24"/>
          <w:szCs w:val="24"/>
        </w:rPr>
      </w:pPr>
    </w:p>
    <w:p w14:paraId="407E26E3">
      <w:pPr>
        <w:spacing w:line="440" w:lineRule="exact"/>
        <w:outlineLvl w:val="1"/>
        <w:rPr>
          <w:rFonts w:hint="eastAsia" w:ascii="宋体" w:hAnsi="宋体" w:eastAsia="宋体"/>
          <w:b/>
          <w:iCs/>
          <w:sz w:val="24"/>
          <w:szCs w:val="24"/>
        </w:rPr>
      </w:pPr>
    </w:p>
    <w:p w14:paraId="424CD2BE">
      <w:pPr>
        <w:spacing w:line="440" w:lineRule="exact"/>
        <w:outlineLvl w:val="0"/>
        <w:rPr>
          <w:rFonts w:ascii="宋体" w:hAnsi="宋体" w:eastAsia="宋体"/>
          <w:b/>
          <w:sz w:val="24"/>
          <w:szCs w:val="24"/>
        </w:rPr>
      </w:pPr>
      <w:r>
        <w:rPr>
          <w:rFonts w:hint="eastAsia" w:ascii="宋体" w:hAnsi="宋体" w:eastAsia="宋体"/>
          <w:b/>
          <w:sz w:val="24"/>
          <w:szCs w:val="24"/>
        </w:rPr>
        <w:t>附件1：防控图</w:t>
      </w:r>
    </w:p>
    <w:p w14:paraId="18B58EA6">
      <w:pPr>
        <w:spacing w:line="360" w:lineRule="auto"/>
        <w:ind w:firstLine="420" w:firstLineChars="200"/>
        <w:outlineLvl w:val="0"/>
        <w:rPr>
          <w:rFonts w:ascii="宋体" w:hAnsi="宋体" w:eastAsia="宋体"/>
          <w:b/>
          <w:sz w:val="24"/>
          <w:szCs w:val="24"/>
        </w:rPr>
      </w:pPr>
      <w:r>
        <w:drawing>
          <wp:inline distT="0" distB="0" distL="0" distR="0">
            <wp:extent cx="5274310" cy="367792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274310" cy="3677920"/>
                    </a:xfrm>
                    <a:prstGeom prst="rect">
                      <a:avLst/>
                    </a:prstGeom>
                  </pic:spPr>
                </pic:pic>
              </a:graphicData>
            </a:graphic>
          </wp:inline>
        </w:drawing>
      </w:r>
    </w:p>
    <w:p w14:paraId="70AEF0AD">
      <w:pPr>
        <w:spacing w:line="360" w:lineRule="auto"/>
        <w:ind w:firstLine="420" w:firstLineChars="200"/>
        <w:outlineLvl w:val="0"/>
        <w:rPr>
          <w:rFonts w:ascii="宋体" w:hAnsi="宋体" w:eastAsia="宋体"/>
          <w:b/>
          <w:sz w:val="24"/>
          <w:szCs w:val="24"/>
        </w:rPr>
      </w:pPr>
      <w:r>
        <w:drawing>
          <wp:inline distT="0" distB="0" distL="0" distR="0">
            <wp:extent cx="5274310" cy="3795395"/>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tretch>
                      <a:fillRect/>
                    </a:stretch>
                  </pic:blipFill>
                  <pic:spPr>
                    <a:xfrm>
                      <a:off x="0" y="0"/>
                      <a:ext cx="5274310" cy="3795395"/>
                    </a:xfrm>
                    <a:prstGeom prst="rect">
                      <a:avLst/>
                    </a:prstGeom>
                  </pic:spPr>
                </pic:pic>
              </a:graphicData>
            </a:graphic>
          </wp:inline>
        </w:drawing>
      </w:r>
    </w:p>
    <w:p w14:paraId="6D368CB6">
      <w:pPr>
        <w:spacing w:line="440" w:lineRule="exact"/>
        <w:ind w:firstLine="482" w:firstLineChars="200"/>
        <w:outlineLvl w:val="0"/>
        <w:rPr>
          <w:rFonts w:ascii="宋体" w:hAnsi="宋体" w:eastAsia="宋体"/>
          <w:b/>
          <w:sz w:val="24"/>
          <w:szCs w:val="24"/>
        </w:rPr>
      </w:pPr>
    </w:p>
    <w:p w14:paraId="67F05ED8">
      <w:pPr>
        <w:spacing w:line="440" w:lineRule="exact"/>
        <w:ind w:firstLine="482" w:firstLineChars="200"/>
        <w:outlineLvl w:val="0"/>
        <w:rPr>
          <w:rFonts w:ascii="宋体" w:hAnsi="宋体" w:eastAsia="宋体"/>
          <w:b/>
          <w:sz w:val="24"/>
          <w:szCs w:val="24"/>
        </w:rPr>
      </w:pPr>
    </w:p>
    <w:p w14:paraId="681A7EA6">
      <w:pPr>
        <w:spacing w:line="440" w:lineRule="exact"/>
        <w:ind w:firstLine="482" w:firstLineChars="200"/>
        <w:outlineLvl w:val="0"/>
        <w:rPr>
          <w:rFonts w:ascii="宋体" w:hAnsi="宋体" w:eastAsia="宋体"/>
          <w:b/>
          <w:sz w:val="24"/>
          <w:szCs w:val="24"/>
        </w:rPr>
      </w:pPr>
    </w:p>
    <w:p w14:paraId="613865F6">
      <w:pPr>
        <w:spacing w:line="360" w:lineRule="auto"/>
        <w:ind w:firstLine="420" w:firstLineChars="200"/>
        <w:outlineLvl w:val="0"/>
        <w:rPr>
          <w:rFonts w:ascii="宋体" w:hAnsi="宋体" w:eastAsia="宋体"/>
          <w:b/>
          <w:sz w:val="24"/>
          <w:szCs w:val="24"/>
        </w:rPr>
      </w:pPr>
      <w:r>
        <w:drawing>
          <wp:inline distT="0" distB="0" distL="0" distR="0">
            <wp:extent cx="5274310" cy="3896360"/>
            <wp:effectExtent l="0" t="0" r="2540" b="889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5274310" cy="3896360"/>
                    </a:xfrm>
                    <a:prstGeom prst="rect">
                      <a:avLst/>
                    </a:prstGeom>
                  </pic:spPr>
                </pic:pic>
              </a:graphicData>
            </a:graphic>
          </wp:inline>
        </w:drawing>
      </w:r>
    </w:p>
    <w:p w14:paraId="3484B89E">
      <w:pPr>
        <w:spacing w:line="440" w:lineRule="exact"/>
        <w:ind w:firstLine="482" w:firstLineChars="200"/>
        <w:outlineLvl w:val="0"/>
        <w:rPr>
          <w:rFonts w:ascii="宋体" w:hAnsi="宋体" w:eastAsia="宋体"/>
          <w:b/>
          <w:sz w:val="24"/>
          <w:szCs w:val="24"/>
        </w:rPr>
      </w:pPr>
    </w:p>
    <w:p w14:paraId="64998B82">
      <w:pPr>
        <w:spacing w:line="440" w:lineRule="exact"/>
        <w:ind w:firstLine="482" w:firstLineChars="200"/>
        <w:outlineLvl w:val="0"/>
        <w:rPr>
          <w:rFonts w:ascii="宋体" w:hAnsi="宋体" w:eastAsia="宋体"/>
          <w:b/>
          <w:sz w:val="24"/>
          <w:szCs w:val="24"/>
        </w:rPr>
      </w:pPr>
    </w:p>
    <w:p w14:paraId="54E904AD">
      <w:pPr>
        <w:spacing w:line="440" w:lineRule="exact"/>
        <w:ind w:firstLine="482" w:firstLineChars="200"/>
        <w:outlineLvl w:val="0"/>
        <w:rPr>
          <w:rFonts w:ascii="宋体" w:hAnsi="宋体" w:eastAsia="宋体"/>
          <w:b/>
          <w:sz w:val="24"/>
          <w:szCs w:val="24"/>
        </w:rPr>
      </w:pPr>
    </w:p>
    <w:p w14:paraId="6991B7B6">
      <w:pPr>
        <w:spacing w:line="440" w:lineRule="exact"/>
        <w:ind w:firstLine="482" w:firstLineChars="200"/>
        <w:outlineLvl w:val="0"/>
        <w:rPr>
          <w:rFonts w:ascii="宋体" w:hAnsi="宋体" w:eastAsia="宋体"/>
          <w:b/>
          <w:sz w:val="24"/>
          <w:szCs w:val="24"/>
        </w:rPr>
      </w:pPr>
    </w:p>
    <w:p w14:paraId="6E7DB3B1">
      <w:pPr>
        <w:spacing w:line="440" w:lineRule="exact"/>
        <w:ind w:firstLine="482" w:firstLineChars="200"/>
        <w:outlineLvl w:val="0"/>
        <w:rPr>
          <w:rFonts w:ascii="宋体" w:hAnsi="宋体" w:eastAsia="宋体"/>
          <w:b/>
          <w:sz w:val="24"/>
          <w:szCs w:val="24"/>
        </w:rPr>
      </w:pPr>
    </w:p>
    <w:p w14:paraId="6C8C9568">
      <w:pPr>
        <w:spacing w:line="440" w:lineRule="exact"/>
        <w:ind w:firstLine="482" w:firstLineChars="200"/>
        <w:outlineLvl w:val="0"/>
        <w:rPr>
          <w:rFonts w:ascii="宋体" w:hAnsi="宋体" w:eastAsia="宋体"/>
          <w:b/>
          <w:sz w:val="24"/>
          <w:szCs w:val="24"/>
        </w:rPr>
      </w:pPr>
    </w:p>
    <w:p w14:paraId="6142DCCF">
      <w:pPr>
        <w:spacing w:line="440" w:lineRule="exact"/>
        <w:ind w:firstLine="482" w:firstLineChars="200"/>
        <w:outlineLvl w:val="0"/>
        <w:rPr>
          <w:rFonts w:ascii="宋体" w:hAnsi="宋体" w:eastAsia="宋体"/>
          <w:b/>
          <w:sz w:val="24"/>
          <w:szCs w:val="24"/>
        </w:rPr>
      </w:pPr>
    </w:p>
    <w:p w14:paraId="5C1FA380">
      <w:pPr>
        <w:spacing w:line="440" w:lineRule="exact"/>
        <w:ind w:firstLine="482" w:firstLineChars="200"/>
        <w:outlineLvl w:val="0"/>
        <w:rPr>
          <w:rFonts w:ascii="宋体" w:hAnsi="宋体" w:eastAsia="宋体"/>
          <w:b/>
          <w:sz w:val="24"/>
          <w:szCs w:val="24"/>
        </w:rPr>
      </w:pPr>
    </w:p>
    <w:p w14:paraId="062306E0">
      <w:pPr>
        <w:spacing w:line="440" w:lineRule="exact"/>
        <w:ind w:firstLine="482" w:firstLineChars="200"/>
        <w:outlineLvl w:val="0"/>
        <w:rPr>
          <w:rFonts w:ascii="宋体" w:hAnsi="宋体" w:eastAsia="宋体"/>
          <w:b/>
          <w:sz w:val="24"/>
          <w:szCs w:val="24"/>
        </w:rPr>
      </w:pPr>
    </w:p>
    <w:p w14:paraId="7D6424FF">
      <w:pPr>
        <w:spacing w:line="440" w:lineRule="exact"/>
        <w:ind w:firstLine="482" w:firstLineChars="200"/>
        <w:outlineLvl w:val="0"/>
        <w:rPr>
          <w:rFonts w:ascii="宋体" w:hAnsi="宋体" w:eastAsia="宋体"/>
          <w:b/>
          <w:sz w:val="24"/>
          <w:szCs w:val="24"/>
        </w:rPr>
      </w:pPr>
    </w:p>
    <w:p w14:paraId="5519CA9D">
      <w:pPr>
        <w:spacing w:line="440" w:lineRule="exact"/>
        <w:ind w:firstLine="482" w:firstLineChars="200"/>
        <w:outlineLvl w:val="0"/>
        <w:rPr>
          <w:rFonts w:ascii="宋体" w:hAnsi="宋体" w:eastAsia="宋体"/>
          <w:b/>
          <w:sz w:val="24"/>
          <w:szCs w:val="24"/>
        </w:rPr>
      </w:pPr>
    </w:p>
    <w:p w14:paraId="6F267B9F">
      <w:pPr>
        <w:spacing w:line="440" w:lineRule="exact"/>
        <w:ind w:firstLine="482" w:firstLineChars="200"/>
        <w:outlineLvl w:val="0"/>
        <w:rPr>
          <w:rFonts w:ascii="宋体" w:hAnsi="宋体" w:eastAsia="宋体"/>
          <w:b/>
          <w:sz w:val="24"/>
          <w:szCs w:val="24"/>
        </w:rPr>
      </w:pPr>
    </w:p>
    <w:p w14:paraId="60CD7C34">
      <w:pPr>
        <w:spacing w:line="440" w:lineRule="exact"/>
        <w:ind w:firstLine="482" w:firstLineChars="200"/>
        <w:outlineLvl w:val="0"/>
        <w:rPr>
          <w:rFonts w:ascii="宋体" w:hAnsi="宋体" w:eastAsia="宋体"/>
          <w:b/>
          <w:sz w:val="24"/>
          <w:szCs w:val="24"/>
        </w:rPr>
      </w:pPr>
    </w:p>
    <w:p w14:paraId="3F77BE5A">
      <w:pPr>
        <w:spacing w:line="440" w:lineRule="exact"/>
        <w:ind w:firstLine="482" w:firstLineChars="200"/>
        <w:outlineLvl w:val="0"/>
        <w:rPr>
          <w:rFonts w:ascii="宋体" w:hAnsi="宋体" w:eastAsia="宋体"/>
          <w:b/>
          <w:sz w:val="24"/>
          <w:szCs w:val="24"/>
        </w:rPr>
      </w:pPr>
    </w:p>
    <w:p w14:paraId="5925B7EF">
      <w:pPr>
        <w:spacing w:line="440" w:lineRule="exact"/>
        <w:ind w:firstLine="482" w:firstLineChars="200"/>
        <w:outlineLvl w:val="0"/>
        <w:rPr>
          <w:rFonts w:ascii="宋体" w:hAnsi="宋体" w:eastAsia="宋体"/>
          <w:b/>
          <w:sz w:val="24"/>
          <w:szCs w:val="24"/>
        </w:rPr>
      </w:pPr>
    </w:p>
    <w:p w14:paraId="16CD2527">
      <w:pPr>
        <w:spacing w:line="440" w:lineRule="exact"/>
        <w:ind w:firstLine="482" w:firstLineChars="200"/>
        <w:outlineLvl w:val="0"/>
        <w:rPr>
          <w:rFonts w:ascii="宋体" w:hAnsi="宋体" w:eastAsia="宋体"/>
          <w:b/>
          <w:sz w:val="24"/>
          <w:szCs w:val="24"/>
        </w:rPr>
      </w:pPr>
    </w:p>
    <w:p w14:paraId="71353D33">
      <w:pPr>
        <w:spacing w:line="440" w:lineRule="exact"/>
        <w:outlineLvl w:val="0"/>
        <w:rPr>
          <w:rFonts w:ascii="宋体" w:hAnsi="宋体" w:eastAsia="宋体"/>
          <w:b/>
          <w:sz w:val="24"/>
          <w:szCs w:val="24"/>
        </w:rPr>
      </w:pPr>
    </w:p>
    <w:p w14:paraId="68D7DF8A">
      <w:pPr>
        <w:spacing w:line="440" w:lineRule="exact"/>
        <w:outlineLvl w:val="0"/>
        <w:rPr>
          <w:rFonts w:ascii="宋体" w:hAnsi="宋体" w:eastAsia="宋体"/>
          <w:b/>
          <w:sz w:val="24"/>
          <w:szCs w:val="24"/>
        </w:rPr>
      </w:pPr>
      <w:r>
        <w:rPr>
          <w:rFonts w:hint="eastAsia" w:ascii="宋体" w:hAnsi="宋体" w:eastAsia="宋体"/>
          <w:b/>
          <w:sz w:val="24"/>
          <w:szCs w:val="24"/>
        </w:rPr>
        <w:t>附件</w:t>
      </w:r>
      <w:r>
        <w:rPr>
          <w:rFonts w:ascii="宋体" w:hAnsi="宋体" w:eastAsia="宋体"/>
          <w:b/>
          <w:sz w:val="24"/>
          <w:szCs w:val="24"/>
        </w:rPr>
        <w:t>2</w:t>
      </w:r>
      <w:r>
        <w:rPr>
          <w:rFonts w:hint="eastAsia" w:ascii="宋体" w:hAnsi="宋体" w:eastAsia="宋体"/>
          <w:b/>
          <w:sz w:val="24"/>
          <w:szCs w:val="24"/>
        </w:rPr>
        <w:t>：保密协议</w:t>
      </w:r>
    </w:p>
    <w:p w14:paraId="2E60196C">
      <w:pPr>
        <w:adjustRightInd w:val="0"/>
        <w:snapToGrid w:val="0"/>
        <w:spacing w:line="560" w:lineRule="exact"/>
        <w:jc w:val="center"/>
        <w:rPr>
          <w:rFonts w:ascii="华文中宋" w:hAnsi="华文中宋" w:eastAsia="华文中宋" w:cs="Microsoft JhengHei"/>
          <w:sz w:val="36"/>
          <w:szCs w:val="32"/>
        </w:rPr>
      </w:pPr>
      <w:r>
        <w:rPr>
          <w:rFonts w:hint="eastAsia" w:ascii="华文中宋" w:hAnsi="华文中宋" w:eastAsia="华文中宋" w:cs="Microsoft JhengHei"/>
          <w:bCs/>
          <w:sz w:val="36"/>
          <w:szCs w:val="32"/>
        </w:rPr>
        <w:t>保密协议</w:t>
      </w:r>
    </w:p>
    <w:p w14:paraId="37BC0DE4">
      <w:pPr>
        <w:pStyle w:val="5"/>
        <w:widowControl w:val="0"/>
        <w:spacing w:after="0" w:line="560" w:lineRule="exact"/>
        <w:ind w:left="0"/>
        <w:jc w:val="center"/>
        <w:rPr>
          <w:rFonts w:ascii="仿宋_GB2312" w:eastAsia="仿宋_GB2312"/>
          <w:sz w:val="32"/>
        </w:rPr>
      </w:pPr>
    </w:p>
    <w:p w14:paraId="446DAC82">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本保密协议（“本协议”）于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日，由如下双方签署并生效。</w:t>
      </w:r>
    </w:p>
    <w:p w14:paraId="3E7FD869">
      <w:pPr>
        <w:adjustRightInd w:val="0"/>
        <w:snapToGrid w:val="0"/>
      </w:pPr>
    </w:p>
    <w:p w14:paraId="499DFE2C">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甲方（披露方）：</w:t>
      </w:r>
    </w:p>
    <w:p w14:paraId="4D2CC982">
      <w:pPr>
        <w:adjustRightInd w:val="0"/>
        <w:snapToGrid w:val="0"/>
        <w:spacing w:line="560" w:lineRule="exact"/>
        <w:rPr>
          <w:rFonts w:ascii="仿宋_GB2312" w:hAnsi="仿宋_GB2312" w:eastAsia="仿宋_GB2312" w:cs="仿宋_GB2312"/>
          <w:spacing w:val="-129"/>
          <w:sz w:val="32"/>
          <w:szCs w:val="32"/>
        </w:rPr>
      </w:pPr>
      <w:r>
        <w:rPr>
          <w:rFonts w:hint="eastAsia" w:ascii="仿宋_GB2312" w:hAnsi="仿宋_GB2312" w:eastAsia="仿宋_GB2312" w:cs="仿宋_GB2312"/>
          <w:spacing w:val="-1"/>
          <w:sz w:val="32"/>
          <w:szCs w:val="32"/>
        </w:rPr>
        <w:t>法定代表人/授权代表：</w:t>
      </w:r>
    </w:p>
    <w:p w14:paraId="4A3B4CCE">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住所地：</w:t>
      </w:r>
    </w:p>
    <w:p w14:paraId="5FFE46BD">
      <w:pPr>
        <w:adjustRightInd w:val="0"/>
        <w:snapToGrid w:val="0"/>
        <w:spacing w:line="560" w:lineRule="exact"/>
        <w:rPr>
          <w:rFonts w:ascii="仿宋_GB2312" w:hAnsi="仿宋_GB2312" w:eastAsia="仿宋_GB2312" w:cs="仿宋_GB2312"/>
          <w:sz w:val="32"/>
          <w:szCs w:val="32"/>
        </w:rPr>
      </w:pPr>
    </w:p>
    <w:p w14:paraId="38EC9A93">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乙方（接收方）：</w:t>
      </w:r>
    </w:p>
    <w:p w14:paraId="67F2D20A">
      <w:pPr>
        <w:adjustRightInd w:val="0"/>
        <w:snapToGrid w:val="0"/>
        <w:spacing w:line="560" w:lineRule="exact"/>
        <w:rPr>
          <w:rFonts w:ascii="仿宋_GB2312" w:hAnsi="仿宋_GB2312" w:eastAsia="仿宋_GB2312" w:cs="仿宋_GB2312"/>
          <w:spacing w:val="-129"/>
          <w:sz w:val="32"/>
          <w:szCs w:val="32"/>
        </w:rPr>
      </w:pPr>
      <w:r>
        <w:rPr>
          <w:rFonts w:hint="eastAsia" w:ascii="仿宋_GB2312" w:hAnsi="仿宋_GB2312" w:eastAsia="仿宋_GB2312" w:cs="仿宋_GB2312"/>
          <w:spacing w:val="-1"/>
          <w:sz w:val="32"/>
          <w:szCs w:val="32"/>
        </w:rPr>
        <w:t>法定代表人/授权代表：</w:t>
      </w:r>
    </w:p>
    <w:p w14:paraId="6970C543">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住所地：</w:t>
      </w:r>
    </w:p>
    <w:p w14:paraId="264C904E">
      <w:pPr>
        <w:adjustRightInd w:val="0"/>
        <w:snapToGrid w:val="0"/>
        <w:spacing w:line="560" w:lineRule="exact"/>
        <w:rPr>
          <w:rFonts w:ascii="仿宋_GB2312" w:hAnsi="仿宋_GB2312" w:eastAsia="仿宋_GB2312" w:cs="仿宋_GB2312"/>
          <w:sz w:val="32"/>
          <w:szCs w:val="32"/>
        </w:rPr>
      </w:pPr>
    </w:p>
    <w:p w14:paraId="6248C89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鉴于：</w:t>
      </w:r>
    </w:p>
    <w:p w14:paraId="1D43406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A.甲方为中国华润有限公司、华润股份有限公司、华润(集团)有限公司及其各子公司(以下统称“华润集团成员”)的成员之一。</w:t>
      </w:r>
    </w:p>
    <w:p w14:paraId="380ADEE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乙方将承担____________________________“（目标项目）”外部顾问的职责，乙方在为甲方工作中将可能接触或掌握华润集团成员的保密信息，无论该种保密信息是由华润集团成员披露给乙方或乙方在工作中自行获得的（以下统称“保密信息”）。</w:t>
      </w:r>
    </w:p>
    <w:p w14:paraId="141606D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为确保有关保密信息的机密性及特定用途，甲方和乙方经协商达成协议如下：</w:t>
      </w:r>
    </w:p>
    <w:p w14:paraId="2C10D4B9">
      <w:pPr>
        <w:adjustRightInd w:val="0"/>
        <w:snapToGrid w:val="0"/>
        <w:spacing w:line="560" w:lineRule="exact"/>
        <w:ind w:firstLine="640" w:firstLineChars="200"/>
        <w:outlineLvl w:val="1"/>
        <w:rPr>
          <w:rFonts w:ascii="黑体" w:hAnsi="黑体" w:eastAsia="黑体" w:cs="仿宋_GB2312"/>
          <w:sz w:val="32"/>
          <w:szCs w:val="32"/>
        </w:rPr>
      </w:pPr>
      <w:bookmarkStart w:id="16" w:name="_Toc20767"/>
      <w:bookmarkStart w:id="17" w:name="_Toc28094"/>
      <w:r>
        <w:rPr>
          <w:rFonts w:hint="eastAsia" w:ascii="黑体" w:hAnsi="黑体" w:eastAsia="黑体" w:cs="仿宋_GB2312"/>
          <w:bCs/>
          <w:sz w:val="32"/>
          <w:szCs w:val="32"/>
        </w:rPr>
        <w:t>一、保密信息</w:t>
      </w:r>
      <w:bookmarkEnd w:id="16"/>
      <w:bookmarkEnd w:id="17"/>
    </w:p>
    <w:p w14:paraId="1CBD91A7">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（一）本协议所指“保密信息”指于本协议生效日前或后，甲方、任何其他甲方成员、或其分别的董事、员工、顾问（包括但不限</w:t>
      </w:r>
      <w:r>
        <w:rPr>
          <w:rFonts w:hint="eastAsia" w:ascii="仿宋_GB2312" w:hAnsi="仿宋_GB2312" w:eastAsia="仿宋_GB2312" w:cs="仿宋_GB2312"/>
          <w:spacing w:val="-7"/>
          <w:sz w:val="32"/>
          <w:szCs w:val="32"/>
        </w:rPr>
        <w:t>于财务或法律顾问）、代理人等不时向乙方（或其授权人士）</w:t>
      </w:r>
      <w:r>
        <w:rPr>
          <w:rFonts w:hint="eastAsia" w:ascii="仿宋_GB2312" w:hAnsi="仿宋_GB2312" w:eastAsia="仿宋_GB2312" w:cs="仿宋_GB2312"/>
          <w:sz w:val="32"/>
          <w:szCs w:val="32"/>
        </w:rPr>
        <w:t>提供的关于目标项目的全部或部分信息，包括但不限于：</w:t>
      </w:r>
    </w:p>
    <w:p w14:paraId="2F898258">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经营信息，包括但不限于目标公司经营状况资料、经营过程中的管理诀窍、运营数据、供应商名单、销售商及用户名单、营销策略、行销计划、成本构成、定价政策、营销数据、采购资料等。</w:t>
      </w:r>
    </w:p>
    <w:p w14:paraId="495A392B">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财务信息，包括但不限于目标公司财务账册、会计凭证、账单、票据、财务报表、信用凭证、税务凭证单</w:t>
      </w:r>
      <w:r>
        <w:rPr>
          <w:rFonts w:hint="eastAsia" w:ascii="仿宋_GB2312" w:hAnsi="仿宋_GB2312" w:eastAsia="仿宋_GB2312" w:cs="仿宋_GB2312"/>
          <w:spacing w:val="-1"/>
          <w:sz w:val="32"/>
          <w:szCs w:val="32"/>
        </w:rPr>
        <w:t>据、资金往来单据、银行账户资料、财务报告、预算制</w:t>
      </w:r>
      <w:r>
        <w:rPr>
          <w:rFonts w:hint="eastAsia" w:ascii="仿宋_GB2312" w:hAnsi="仿宋_GB2312" w:eastAsia="仿宋_GB2312" w:cs="仿宋_GB2312"/>
          <w:sz w:val="32"/>
          <w:szCs w:val="32"/>
        </w:rPr>
        <w:t>定、收支情况、信贷情况、审计报告、财务资料等。</w:t>
      </w:r>
    </w:p>
    <w:p w14:paraId="2550003D">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pacing w:val="-1"/>
          <w:sz w:val="32"/>
          <w:szCs w:val="32"/>
        </w:rPr>
        <w:t>人力资源信息，包括但不限于目标公司薪酬体系、绩效</w:t>
      </w:r>
      <w:r>
        <w:rPr>
          <w:rFonts w:hint="eastAsia" w:ascii="仿宋_GB2312" w:hAnsi="仿宋_GB2312" w:eastAsia="仿宋_GB2312" w:cs="仿宋_GB2312"/>
          <w:sz w:val="32"/>
          <w:szCs w:val="32"/>
        </w:rPr>
        <w:t>奖励机制等。</w:t>
      </w:r>
    </w:p>
    <w:p w14:paraId="0925E0EE">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pacing w:val="-1"/>
          <w:sz w:val="32"/>
          <w:szCs w:val="32"/>
        </w:rPr>
        <w:t>战略规划信息，包括但不限于目标公司投融资决策、并</w:t>
      </w:r>
      <w:r>
        <w:rPr>
          <w:rFonts w:hint="eastAsia" w:ascii="仿宋_GB2312" w:hAnsi="仿宋_GB2312" w:eastAsia="仿宋_GB2312" w:cs="仿宋_GB2312"/>
          <w:sz w:val="32"/>
          <w:szCs w:val="32"/>
        </w:rPr>
        <w:t>购重组方案、商业模式等。</w:t>
      </w:r>
    </w:p>
    <w:p w14:paraId="0D32C9DB">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技术信息，包括但不限于目标公司经营产品的设计、技</w:t>
      </w:r>
      <w:r>
        <w:rPr>
          <w:rFonts w:hint="eastAsia" w:ascii="仿宋_GB2312" w:hAnsi="仿宋_GB2312" w:eastAsia="仿宋_GB2312" w:cs="仿宋_GB2312"/>
          <w:spacing w:val="-1"/>
          <w:sz w:val="32"/>
          <w:szCs w:val="32"/>
        </w:rPr>
        <w:t>术方案、工程设计、电路设计、工艺流程、制作方法、技术指标、研究开发记录、技术报告、检测报告、实验数据、实验结果、计算机软件、数据库、图纸、样品、</w:t>
      </w:r>
      <w:r>
        <w:rPr>
          <w:rFonts w:hint="eastAsia" w:ascii="仿宋_GB2312" w:hAnsi="仿宋_GB2312" w:eastAsia="仿宋_GB2312" w:cs="仿宋_GB2312"/>
          <w:sz w:val="32"/>
          <w:szCs w:val="32"/>
        </w:rPr>
        <w:t>模型、模具、操作手册、技术文档、相关的函电等。</w:t>
      </w:r>
    </w:p>
    <w:p w14:paraId="70767D4B">
      <w:pPr>
        <w:adjustRightInd w:val="0"/>
        <w:snapToGrid w:val="0"/>
        <w:spacing w:line="560" w:lineRule="exact"/>
        <w:ind w:firstLine="640" w:firstLineChars="200"/>
        <w:outlineLvl w:val="2"/>
        <w:rPr>
          <w:rFonts w:ascii="仿宋_GB2312" w:hAnsi="仿宋_GB2312" w:eastAsia="仿宋_GB2312" w:cs="仿宋_GB2312"/>
          <w:sz w:val="32"/>
          <w:szCs w:val="32"/>
        </w:rPr>
      </w:pPr>
      <w:bookmarkStart w:id="18" w:name="_Toc20387"/>
      <w:bookmarkStart w:id="19" w:name="_Toc31572"/>
      <w:r>
        <w:rPr>
          <w:rFonts w:ascii="仿宋_GB2312" w:hAnsi="仿宋_GB2312" w:eastAsia="仿宋_GB2312" w:cs="仿宋_GB2312"/>
          <w:sz w:val="32"/>
          <w:szCs w:val="32"/>
        </w:rPr>
        <w:t>6.</w:t>
      </w:r>
      <w:r>
        <w:rPr>
          <w:rFonts w:hint="eastAsia" w:ascii="仿宋_GB2312" w:hAnsi="仿宋_GB2312" w:eastAsia="仿宋_GB2312" w:cs="仿宋_GB2312"/>
          <w:sz w:val="32"/>
          <w:szCs w:val="32"/>
        </w:rPr>
        <w:t>其他需要甲方提供给乙方的信息和资料。</w:t>
      </w:r>
      <w:bookmarkEnd w:id="18"/>
      <w:bookmarkEnd w:id="19"/>
    </w:p>
    <w:p w14:paraId="0CB1A2EE">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（二）本协议所指保密信息不包括：</w:t>
      </w:r>
    </w:p>
    <w:p w14:paraId="15C44188">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pacing w:val="-1"/>
          <w:sz w:val="32"/>
          <w:szCs w:val="32"/>
        </w:rPr>
        <w:t>已经成为公众所知的信息，但因乙方违反本协议约定而</w:t>
      </w:r>
      <w:r>
        <w:rPr>
          <w:rFonts w:hint="eastAsia" w:ascii="仿宋_GB2312" w:hAnsi="仿宋_GB2312" w:eastAsia="仿宋_GB2312" w:cs="仿宋_GB2312"/>
          <w:sz w:val="32"/>
          <w:szCs w:val="32"/>
        </w:rPr>
        <w:t>直接或间接成为公众所知信息的除外。</w:t>
      </w:r>
    </w:p>
    <w:p w14:paraId="2512B34F">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在甲方、甲方关联方及甲方顾问向乙方披露之前乙方已</w:t>
      </w:r>
      <w:r>
        <w:rPr>
          <w:rFonts w:hint="eastAsia" w:ascii="仿宋_GB2312" w:hAnsi="仿宋_GB2312" w:eastAsia="仿宋_GB2312" w:cs="仿宋_GB2312"/>
          <w:spacing w:val="-1"/>
          <w:sz w:val="32"/>
          <w:szCs w:val="32"/>
        </w:rPr>
        <w:t>知的信息，或在披露之后乙方合法取得的信息，并且该</w:t>
      </w:r>
      <w:r>
        <w:rPr>
          <w:rFonts w:hint="eastAsia" w:ascii="仿宋_GB2312" w:hAnsi="仿宋_GB2312" w:eastAsia="仿宋_GB2312" w:cs="仿宋_GB2312"/>
          <w:sz w:val="32"/>
          <w:szCs w:val="32"/>
        </w:rPr>
        <w:t>等信息的取得不违反且不受制于任何保密义务。</w:t>
      </w:r>
    </w:p>
    <w:p w14:paraId="59759A51">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（三）保密信息载体形式包括但不限于：文件、预测记录、数据、图标、笔记、报告、传真、信件、备忘录、摘录、注释、说明、资质证明、磁盘、录音（像）带、复制品以及其他任何形式可</w:t>
      </w:r>
      <w:r>
        <w:rPr>
          <w:rFonts w:hint="eastAsia" w:ascii="仿宋_GB2312" w:hAnsi="仿宋_GB2312" w:eastAsia="仿宋_GB2312" w:cs="仿宋_GB2312"/>
          <w:sz w:val="32"/>
          <w:szCs w:val="32"/>
        </w:rPr>
        <w:t>以反映保密信息的载体。</w:t>
      </w:r>
    </w:p>
    <w:p w14:paraId="0FADED3F">
      <w:pPr>
        <w:tabs>
          <w:tab w:val="left" w:pos="1054"/>
        </w:tabs>
        <w:adjustRightInd w:val="0"/>
        <w:snapToGrid w:val="0"/>
        <w:spacing w:line="560" w:lineRule="exact"/>
        <w:ind w:firstLine="608" w:firstLineChars="200"/>
        <w:outlineLvl w:val="1"/>
        <w:rPr>
          <w:rFonts w:ascii="黑体" w:hAnsi="黑体" w:eastAsia="黑体" w:cs="仿宋_GB2312"/>
          <w:sz w:val="32"/>
          <w:szCs w:val="32"/>
        </w:rPr>
      </w:pPr>
      <w:bookmarkStart w:id="20" w:name="_Toc32505"/>
      <w:bookmarkStart w:id="21" w:name="_Toc21736"/>
      <w:r>
        <w:rPr>
          <w:rFonts w:hint="eastAsia" w:ascii="黑体" w:hAnsi="黑体" w:eastAsia="黑体" w:cs="仿宋_GB2312"/>
          <w:bCs/>
          <w:w w:val="95"/>
          <w:sz w:val="32"/>
          <w:szCs w:val="32"/>
        </w:rPr>
        <w:t>二、</w:t>
      </w:r>
      <w:r>
        <w:rPr>
          <w:rFonts w:hint="eastAsia" w:ascii="黑体" w:hAnsi="黑体" w:eastAsia="黑体" w:cs="仿宋_GB2312"/>
          <w:bCs/>
          <w:sz w:val="32"/>
          <w:szCs w:val="32"/>
        </w:rPr>
        <w:t>保密信息的使用</w:t>
      </w:r>
      <w:bookmarkEnd w:id="20"/>
      <w:bookmarkEnd w:id="21"/>
    </w:p>
    <w:p w14:paraId="1E7338D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（一）乙方同意并承诺，对本协议所涉保密信息负有保密义务，在本</w:t>
      </w:r>
      <w:r>
        <w:rPr>
          <w:rFonts w:hint="eastAsia" w:ascii="仿宋_GB2312" w:hAnsi="仿宋_GB2312" w:eastAsia="仿宋_GB2312" w:cs="仿宋_GB2312"/>
          <w:spacing w:val="-1"/>
          <w:sz w:val="32"/>
          <w:szCs w:val="32"/>
        </w:rPr>
        <w:t>协议无明文许可的情况下，不会披露、使用、复制、修改、或</w:t>
      </w:r>
      <w:r>
        <w:rPr>
          <w:rFonts w:hint="eastAsia" w:ascii="仿宋_GB2312" w:hAnsi="仿宋_GB2312" w:eastAsia="仿宋_GB2312" w:cs="仿宋_GB2312"/>
          <w:sz w:val="32"/>
          <w:szCs w:val="32"/>
        </w:rPr>
        <w:t>改造保密信息的全部或其中任何部分。</w:t>
      </w:r>
    </w:p>
    <w:p w14:paraId="4559723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（二）乙方同意并承诺，仅将保密信息用于特定用途，不得为其它目的使用保密信息。</w:t>
      </w:r>
    </w:p>
    <w:p w14:paraId="137F927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（三）乙方同意并承诺，不会向下文第三条规定范围以外的任何人直</w:t>
      </w:r>
      <w:r>
        <w:rPr>
          <w:rFonts w:hint="eastAsia" w:ascii="仿宋_GB2312" w:hAnsi="仿宋_GB2312" w:eastAsia="仿宋_GB2312" w:cs="仿宋_GB2312"/>
          <w:spacing w:val="-1"/>
          <w:sz w:val="32"/>
          <w:szCs w:val="32"/>
        </w:rPr>
        <w:t>接或间接披露、允许、协助其使用属于保密信息的全部或者部</w:t>
      </w:r>
      <w:r>
        <w:rPr>
          <w:rFonts w:hint="eastAsia" w:ascii="仿宋_GB2312" w:hAnsi="仿宋_GB2312" w:eastAsia="仿宋_GB2312" w:cs="仿宋_GB2312"/>
          <w:sz w:val="32"/>
          <w:szCs w:val="32"/>
        </w:rPr>
        <w:t>分内容。</w:t>
      </w:r>
    </w:p>
    <w:p w14:paraId="20224A41">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（四）乙方同意并承诺，将采取一切必要措施确保从甲方获知保密信</w:t>
      </w:r>
      <w:r>
        <w:rPr>
          <w:rFonts w:hint="eastAsia" w:ascii="仿宋_GB2312" w:hAnsi="仿宋_GB2312" w:eastAsia="仿宋_GB2312" w:cs="仿宋_GB2312"/>
          <w:sz w:val="32"/>
          <w:szCs w:val="32"/>
        </w:rPr>
        <w:t>息的人士（按照下文第三条第（一）款第4项的规定披露的人士除</w:t>
      </w:r>
      <w:r>
        <w:rPr>
          <w:rFonts w:hint="eastAsia" w:ascii="仿宋_GB2312" w:hAnsi="仿宋_GB2312" w:eastAsia="仿宋_GB2312" w:cs="仿宋_GB2312"/>
          <w:spacing w:val="-1"/>
          <w:sz w:val="32"/>
          <w:szCs w:val="32"/>
        </w:rPr>
        <w:t>外）了解并遵守本协议的规定，如同其为本协议的一方一样。</w:t>
      </w:r>
    </w:p>
    <w:p w14:paraId="5E87587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（五）乙方同意并承诺，将保密信息妥善保存并提供适当保障以使保</w:t>
      </w:r>
      <w:r>
        <w:rPr>
          <w:rFonts w:hint="eastAsia" w:ascii="仿宋_GB2312" w:hAnsi="仿宋_GB2312" w:eastAsia="仿宋_GB2312" w:cs="仿宋_GB2312"/>
          <w:spacing w:val="-1"/>
          <w:sz w:val="32"/>
          <w:szCs w:val="32"/>
        </w:rPr>
        <w:t>密信息不会被盗窃及遗失。乙方同意如发现保密信息（除本协议所容许的情况外）被其它第三方取得，将立即通知甲方。</w:t>
      </w:r>
    </w:p>
    <w:p w14:paraId="095A61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（六）如果乙方未尽本协议项下的保密承诺义务，将赔偿由此给甲方带来的所有损失。</w:t>
      </w:r>
    </w:p>
    <w:p w14:paraId="6B638D0F">
      <w:pPr>
        <w:adjustRightInd w:val="0"/>
        <w:snapToGrid w:val="0"/>
        <w:spacing w:line="560" w:lineRule="exact"/>
        <w:ind w:firstLine="608" w:firstLineChars="200"/>
        <w:outlineLvl w:val="1"/>
        <w:rPr>
          <w:rFonts w:ascii="黑体" w:hAnsi="黑体" w:eastAsia="黑体" w:cs="仿宋_GB2312"/>
          <w:sz w:val="32"/>
          <w:szCs w:val="32"/>
        </w:rPr>
      </w:pPr>
      <w:bookmarkStart w:id="22" w:name="_Toc6657"/>
      <w:bookmarkStart w:id="23" w:name="_Toc13908"/>
      <w:r>
        <w:rPr>
          <w:rFonts w:hint="eastAsia" w:ascii="黑体" w:hAnsi="黑体" w:eastAsia="黑体" w:cs="仿宋_GB2312"/>
          <w:bCs/>
          <w:w w:val="95"/>
          <w:sz w:val="32"/>
          <w:szCs w:val="32"/>
        </w:rPr>
        <w:t>三、</w:t>
      </w:r>
      <w:r>
        <w:rPr>
          <w:rFonts w:hint="eastAsia" w:ascii="黑体" w:hAnsi="黑体" w:eastAsia="黑体" w:cs="仿宋_GB2312"/>
          <w:bCs/>
          <w:sz w:val="32"/>
          <w:szCs w:val="32"/>
        </w:rPr>
        <w:t>允许的披露</w:t>
      </w:r>
      <w:bookmarkEnd w:id="22"/>
      <w:bookmarkEnd w:id="23"/>
    </w:p>
    <w:p w14:paraId="652761A6">
      <w:pPr>
        <w:adjustRightInd w:val="0"/>
        <w:snapToGrid w:val="0"/>
        <w:spacing w:line="560" w:lineRule="exact"/>
        <w:ind w:firstLine="640" w:firstLineChars="200"/>
        <w:outlineLvl w:val="2"/>
        <w:rPr>
          <w:rFonts w:ascii="仿宋_GB2312" w:hAnsi="仿宋_GB2312" w:eastAsia="仿宋_GB2312" w:cs="仿宋_GB2312"/>
          <w:sz w:val="32"/>
          <w:szCs w:val="32"/>
        </w:rPr>
      </w:pPr>
      <w:bookmarkStart w:id="24" w:name="_Toc1512"/>
      <w:bookmarkStart w:id="25" w:name="_Toc13020"/>
      <w:r>
        <w:rPr>
          <w:rFonts w:hint="eastAsia" w:ascii="仿宋_GB2312" w:hAnsi="仿宋_GB2312" w:eastAsia="仿宋_GB2312" w:cs="仿宋_GB2312"/>
          <w:sz w:val="32"/>
          <w:szCs w:val="32"/>
        </w:rPr>
        <w:t>（一）甲方同意乙方可将保密信息作如下披露：</w:t>
      </w:r>
      <w:bookmarkEnd w:id="24"/>
      <w:bookmarkEnd w:id="25"/>
    </w:p>
    <w:p w14:paraId="32D9F80B">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如事先取得甲方的书面同意。</w:t>
      </w:r>
    </w:p>
    <w:p w14:paraId="6F0D968F">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如为实现特定用途所必要，向下列授权人士所做的披露：</w:t>
      </w:r>
    </w:p>
    <w:p w14:paraId="7755E09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乙方或其关联方内经向甲方报备认可的直接</w:t>
      </w:r>
      <w:r>
        <w:rPr>
          <w:rFonts w:hint="eastAsia" w:ascii="仿宋_GB2312" w:hAnsi="仿宋_GB2312" w:eastAsia="仿宋_GB2312" w:cs="仿宋_GB2312"/>
          <w:spacing w:val="-1"/>
          <w:sz w:val="32"/>
          <w:szCs w:val="32"/>
        </w:rPr>
        <w:t>参与目标项目的谈判、商议或其他准备工作的员工或顾</w:t>
      </w:r>
      <w:r>
        <w:rPr>
          <w:rFonts w:hint="eastAsia" w:ascii="仿宋_GB2312" w:hAnsi="仿宋_GB2312" w:eastAsia="仿宋_GB2312" w:cs="仿宋_GB2312"/>
          <w:sz w:val="32"/>
          <w:szCs w:val="32"/>
        </w:rPr>
        <w:t>问。</w:t>
      </w:r>
    </w:p>
    <w:p w14:paraId="3496B9D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向乙方可能与之签订合同的第三方披露，该披露必须为与特定用途相关且为达到特定用途所必要、且须取得甲方书面同意。</w:t>
      </w:r>
    </w:p>
    <w:p w14:paraId="1563EF4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应法院或仲裁庭的判决、裁定或裁决，或有管辖权的政</w:t>
      </w:r>
      <w:r>
        <w:rPr>
          <w:rFonts w:hint="eastAsia" w:ascii="仿宋_GB2312" w:hAnsi="仿宋_GB2312" w:eastAsia="仿宋_GB2312" w:cs="仿宋_GB2312"/>
          <w:spacing w:val="-1"/>
          <w:sz w:val="32"/>
          <w:szCs w:val="32"/>
        </w:rPr>
        <w:t>府部门或证券交易所的决定、命令或要求，或法律、法</w:t>
      </w:r>
      <w:r>
        <w:rPr>
          <w:rFonts w:hint="eastAsia" w:ascii="仿宋_GB2312" w:hAnsi="仿宋_GB2312" w:eastAsia="仿宋_GB2312" w:cs="仿宋_GB2312"/>
          <w:sz w:val="32"/>
          <w:szCs w:val="32"/>
        </w:rPr>
        <w:t>规、规章的强制性规定而进行的披露。</w:t>
      </w:r>
    </w:p>
    <w:p w14:paraId="35DF5AE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（二）如乙方进行上述第三条第（一）款第2项所规定的披露，需确保该等授权人士：</w:t>
      </w:r>
    </w:p>
    <w:p w14:paraId="54AEF6CE">
      <w:pPr>
        <w:tabs>
          <w:tab w:val="left" w:pos="857"/>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已受限于一般性的保密责任，并该责任包含对于保密信息的保密责任。</w:t>
      </w:r>
    </w:p>
    <w:p w14:paraId="573F2117">
      <w:pPr>
        <w:tabs>
          <w:tab w:val="left" w:pos="857"/>
        </w:tabs>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已签订书面保证，承诺保持保密信息的机密性及同样遵守本协议的条款及其项下的保密责任。</w:t>
      </w:r>
    </w:p>
    <w:p w14:paraId="2BE54A8B">
      <w:pPr>
        <w:tabs>
          <w:tab w:val="left" w:pos="857"/>
        </w:tabs>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（三）如乙方进行上述第三条第（一）款第4项所规定的披露，应及时通知甲方，并提供必要的协助，及时变更协议条款便于采取相应的</w:t>
      </w:r>
      <w:r>
        <w:rPr>
          <w:rFonts w:hint="eastAsia" w:ascii="仿宋_GB2312" w:hAnsi="仿宋_GB2312" w:eastAsia="仿宋_GB2312" w:cs="仿宋_GB2312"/>
          <w:sz w:val="32"/>
          <w:szCs w:val="32"/>
        </w:rPr>
        <w:t>保护措施。</w:t>
      </w:r>
    </w:p>
    <w:p w14:paraId="16699283">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四）在本协议中，“关联方”是指任何直接或间接地通过一家或多家中间方控制另一实体或个人，或被另一实体或个人所控制，或与另一实体或个人共同处于他人的控制之下的任一实体或个人。就本款的定义而言，当用于任一实体或个人时，“控制”是指不论是通过拥有表决权股份、合同还是其它方式直接或间</w:t>
      </w:r>
      <w:r>
        <w:rPr>
          <w:rFonts w:hint="eastAsia" w:ascii="仿宋_GB2312" w:hAnsi="仿宋_GB2312" w:eastAsia="仿宋_GB2312" w:cs="仿宋_GB2312"/>
          <w:sz w:val="32"/>
          <w:szCs w:val="32"/>
        </w:rPr>
        <w:t>接地主导该等实体或个人的管理和政策的权力。术语“被控制”和“控制”具有与前述相关的含义。</w:t>
      </w:r>
    </w:p>
    <w:p w14:paraId="6B266129">
      <w:pPr>
        <w:adjustRightInd w:val="0"/>
        <w:snapToGrid w:val="0"/>
        <w:spacing w:line="560" w:lineRule="exact"/>
        <w:ind w:firstLine="640" w:firstLineChars="200"/>
        <w:outlineLvl w:val="1"/>
        <w:rPr>
          <w:rFonts w:ascii="黑体" w:hAnsi="黑体" w:eastAsia="黑体" w:cs="仿宋_GB2312"/>
          <w:sz w:val="32"/>
          <w:szCs w:val="32"/>
        </w:rPr>
      </w:pPr>
      <w:bookmarkStart w:id="26" w:name="_Toc16012"/>
      <w:bookmarkStart w:id="27" w:name="_Toc15720"/>
      <w:r>
        <w:rPr>
          <w:rFonts w:hint="eastAsia" w:ascii="黑体" w:hAnsi="黑体" w:eastAsia="黑体" w:cs="仿宋_GB2312"/>
          <w:bCs/>
          <w:sz w:val="32"/>
          <w:szCs w:val="32"/>
        </w:rPr>
        <w:t>四、洽谈、商议的保密责任</w:t>
      </w:r>
      <w:bookmarkEnd w:id="26"/>
      <w:bookmarkEnd w:id="27"/>
    </w:p>
    <w:p w14:paraId="3A6A5D3A">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（一）本协议双方同意就目标项目已开展及/或正进行洽谈的事实保</w:t>
      </w:r>
      <w:r>
        <w:rPr>
          <w:rFonts w:hint="eastAsia" w:ascii="仿宋_GB2312" w:hAnsi="仿宋_GB2312" w:eastAsia="仿宋_GB2312" w:cs="仿宋_GB2312"/>
          <w:sz w:val="32"/>
          <w:szCs w:val="32"/>
        </w:rPr>
        <w:t>密及确保所有就目标项目洽谈所进行的会议、讨论和磋商内容之机密性。双方并同意，在受限于第四条第（二）款的情况下，不会在未有本协议另一方的事先书面同意下做出与双方之洽谈有关的任何公告或声明。</w:t>
      </w:r>
    </w:p>
    <w:p w14:paraId="1D875350">
      <w:pPr>
        <w:adjustRightInd w:val="0"/>
        <w:snapToGrid w:val="0"/>
        <w:spacing w:line="560" w:lineRule="exact"/>
        <w:ind w:firstLine="636" w:firstLineChars="200"/>
        <w:rPr>
          <w:rFonts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二）在获得本协议另一方事先书面同意的情况下，协议一方有权做出关于双方在目标项目上洽谈的公告或声明。如协议一方因法规或其他监管规定需就该目标项目或相关事宜做出公告时，本协议另一方不应无理地延迟或怠于提供本协议一方所需的书面同意，但需做出公告的一方必须提供相关公告的草稿供另一方于合理时间内提出意见。</w:t>
      </w:r>
    </w:p>
    <w:p w14:paraId="6B93E459">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（三）</w:t>
      </w:r>
      <w:r>
        <w:rPr>
          <w:rFonts w:hint="eastAsia" w:ascii="仿宋_GB2312" w:hAnsi="仿宋_GB2312" w:eastAsia="仿宋_GB2312" w:cs="仿宋_GB2312"/>
          <w:sz w:val="32"/>
          <w:szCs w:val="32"/>
        </w:rPr>
        <w:t>尽管有上述第四条第（二）款的限制，甲方有权在保密的基础上向任</w:t>
      </w:r>
      <w:r>
        <w:rPr>
          <w:rFonts w:hint="eastAsia" w:ascii="仿宋_GB2312" w:hAnsi="仿宋_GB2312" w:eastAsia="仿宋_GB2312" w:cs="仿宋_GB2312"/>
          <w:spacing w:val="-2"/>
          <w:sz w:val="32"/>
          <w:szCs w:val="32"/>
        </w:rPr>
        <w:t>何雇员、顾问或任何甲方成员、其董事、雇员及顾问披露就该目标项目所进行的会议、讨论和磋商内容，以让该目标项</w:t>
      </w:r>
      <w:r>
        <w:rPr>
          <w:rFonts w:hint="eastAsia" w:ascii="仿宋_GB2312" w:hAnsi="仿宋_GB2312" w:eastAsia="仿宋_GB2312" w:cs="仿宋_GB2312"/>
          <w:sz w:val="32"/>
          <w:szCs w:val="32"/>
        </w:rPr>
        <w:t>目的洽谈能继续进行。</w:t>
      </w:r>
    </w:p>
    <w:p w14:paraId="23AC24B1">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（四）</w:t>
      </w:r>
      <w:r>
        <w:rPr>
          <w:rFonts w:hint="eastAsia" w:ascii="仿宋_GB2312" w:hAnsi="仿宋_GB2312" w:eastAsia="仿宋_GB2312" w:cs="仿宋_GB2312"/>
          <w:spacing w:val="-2"/>
          <w:sz w:val="32"/>
          <w:szCs w:val="32"/>
        </w:rPr>
        <w:t>本条不妨碍甲方与其他经挑选的人士就该目标项目进行洽谈</w:t>
      </w:r>
      <w:r>
        <w:rPr>
          <w:rFonts w:hint="eastAsia" w:ascii="仿宋_GB2312" w:hAnsi="仿宋_GB2312" w:eastAsia="仿宋_GB2312" w:cs="仿宋_GB2312"/>
          <w:sz w:val="32"/>
          <w:szCs w:val="32"/>
        </w:rPr>
        <w:t>及做出公告或声明。</w:t>
      </w:r>
    </w:p>
    <w:p w14:paraId="1E08659B">
      <w:pPr>
        <w:adjustRightInd w:val="0"/>
        <w:snapToGrid w:val="0"/>
        <w:spacing w:line="560" w:lineRule="exact"/>
        <w:ind w:firstLine="640" w:firstLineChars="200"/>
        <w:outlineLvl w:val="1"/>
        <w:rPr>
          <w:rFonts w:ascii="黑体" w:hAnsi="黑体" w:eastAsia="黑体" w:cs="仿宋_GB2312"/>
          <w:spacing w:val="-1"/>
          <w:sz w:val="32"/>
          <w:szCs w:val="32"/>
        </w:rPr>
      </w:pPr>
      <w:bookmarkStart w:id="28" w:name="_Toc9609"/>
      <w:bookmarkStart w:id="29" w:name="_Toc21961"/>
      <w:r>
        <w:rPr>
          <w:rFonts w:hint="eastAsia" w:ascii="黑体" w:hAnsi="黑体" w:eastAsia="黑体" w:cs="仿宋_GB2312"/>
          <w:bCs/>
          <w:sz w:val="32"/>
          <w:szCs w:val="32"/>
        </w:rPr>
        <w:t>五、保密信息的交还或销毁</w:t>
      </w:r>
      <w:bookmarkEnd w:id="28"/>
      <w:bookmarkEnd w:id="29"/>
    </w:p>
    <w:p w14:paraId="432EB3D7">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如甲方以书面要求或双方就目标项目的商议终止后（不论因任</w:t>
      </w:r>
      <w:r>
        <w:rPr>
          <w:rFonts w:hint="eastAsia" w:ascii="仿宋_GB2312" w:hAnsi="仿宋_GB2312" w:eastAsia="仿宋_GB2312" w:cs="仿宋_GB2312"/>
          <w:sz w:val="32"/>
          <w:szCs w:val="32"/>
        </w:rPr>
        <w:t>何原因），</w:t>
      </w:r>
      <w:r>
        <w:rPr>
          <w:rFonts w:hint="eastAsia" w:ascii="仿宋_GB2312" w:hAnsi="仿宋_GB2312" w:eastAsia="仿宋_GB2312" w:cs="仿宋_GB2312"/>
          <w:spacing w:val="-1"/>
          <w:sz w:val="32"/>
          <w:szCs w:val="32"/>
        </w:rPr>
        <w:t>乙方必须立即向甲方或其授权之人返还或销毁所有受本</w:t>
      </w:r>
      <w:r>
        <w:rPr>
          <w:rFonts w:hint="eastAsia" w:ascii="仿宋_GB2312" w:hAnsi="仿宋_GB2312" w:eastAsia="仿宋_GB2312" w:cs="仿宋_GB2312"/>
          <w:spacing w:val="-2"/>
          <w:sz w:val="32"/>
          <w:szCs w:val="32"/>
        </w:rPr>
        <w:t>协议限定的一切书面资料的正本和副本及载有受本协议限定的形式</w:t>
      </w:r>
      <w:r>
        <w:rPr>
          <w:rFonts w:hint="eastAsia" w:ascii="仿宋_GB2312" w:hAnsi="仿宋_GB2312" w:eastAsia="仿宋_GB2312" w:cs="仿宋_GB2312"/>
          <w:sz w:val="32"/>
          <w:szCs w:val="32"/>
        </w:rPr>
        <w:t>存在的信息，也包括能反映本协议所涉保密信息的任何形式的资料。乙方未征得甲方同意不得留存任何复制品。</w:t>
      </w:r>
    </w:p>
    <w:p w14:paraId="71B61259">
      <w:pPr>
        <w:adjustRightInd w:val="0"/>
        <w:snapToGrid w:val="0"/>
        <w:spacing w:line="560" w:lineRule="exact"/>
        <w:ind w:firstLine="640" w:firstLineChars="200"/>
        <w:outlineLvl w:val="1"/>
        <w:rPr>
          <w:rFonts w:ascii="黑体" w:hAnsi="黑体" w:eastAsia="黑体" w:cs="仿宋_GB2312"/>
          <w:bCs/>
          <w:sz w:val="32"/>
          <w:szCs w:val="32"/>
        </w:rPr>
      </w:pPr>
      <w:bookmarkStart w:id="30" w:name="_Toc32077"/>
      <w:bookmarkStart w:id="31" w:name="_Toc27142"/>
      <w:r>
        <w:rPr>
          <w:rFonts w:hint="eastAsia" w:ascii="黑体" w:hAnsi="黑体" w:eastAsia="黑体" w:cs="仿宋_GB2312"/>
          <w:bCs/>
          <w:sz w:val="32"/>
          <w:szCs w:val="32"/>
        </w:rPr>
        <w:t>六、持续保密义务</w:t>
      </w:r>
      <w:bookmarkEnd w:id="30"/>
      <w:bookmarkEnd w:id="31"/>
    </w:p>
    <w:p w14:paraId="70EAD8F7">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本协议项下的所有义务应是持续性的并在乙方与甲方的商议终止后（不论因任何原因）继续有效。</w:t>
      </w:r>
    </w:p>
    <w:p w14:paraId="7C9266A6">
      <w:pPr>
        <w:adjustRightInd w:val="0"/>
        <w:snapToGrid w:val="0"/>
        <w:spacing w:line="560" w:lineRule="exact"/>
        <w:ind w:firstLine="640" w:firstLineChars="200"/>
        <w:outlineLvl w:val="1"/>
        <w:rPr>
          <w:rFonts w:ascii="黑体" w:hAnsi="黑体" w:eastAsia="黑体" w:cs="仿宋_GB2312"/>
          <w:bCs/>
          <w:sz w:val="32"/>
          <w:szCs w:val="32"/>
        </w:rPr>
      </w:pPr>
      <w:bookmarkStart w:id="32" w:name="_Toc1821"/>
      <w:bookmarkStart w:id="33" w:name="_Toc3899"/>
      <w:r>
        <w:rPr>
          <w:rFonts w:hint="eastAsia" w:ascii="黑体" w:hAnsi="黑体" w:eastAsia="黑体" w:cs="仿宋_GB2312"/>
          <w:bCs/>
          <w:sz w:val="32"/>
          <w:szCs w:val="32"/>
        </w:rPr>
        <w:t>七、转让</w:t>
      </w:r>
      <w:bookmarkEnd w:id="32"/>
      <w:bookmarkEnd w:id="33"/>
    </w:p>
    <w:p w14:paraId="1778F64D">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（一）</w:t>
      </w:r>
      <w:r>
        <w:rPr>
          <w:rFonts w:hint="eastAsia" w:ascii="仿宋_GB2312" w:hAnsi="仿宋_GB2312" w:eastAsia="仿宋_GB2312" w:cs="仿宋_GB2312"/>
          <w:spacing w:val="-5"/>
          <w:sz w:val="32"/>
          <w:szCs w:val="32"/>
        </w:rPr>
        <w:t>本协议对本协议双方、本协议双方各自的继承人均有效，本协</w:t>
      </w:r>
      <w:r>
        <w:rPr>
          <w:rFonts w:hint="eastAsia" w:ascii="仿宋_GB2312" w:hAnsi="仿宋_GB2312" w:eastAsia="仿宋_GB2312" w:cs="仿宋_GB2312"/>
          <w:sz w:val="32"/>
          <w:szCs w:val="32"/>
        </w:rPr>
        <w:t>议保证本协议双方及其各自的继承人的利益。</w:t>
      </w:r>
    </w:p>
    <w:p w14:paraId="168DB587">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（二）</w:t>
      </w:r>
      <w:r>
        <w:rPr>
          <w:rFonts w:hint="eastAsia" w:ascii="仿宋_GB2312" w:hAnsi="仿宋_GB2312" w:eastAsia="仿宋_GB2312" w:cs="仿宋_GB2312"/>
          <w:spacing w:val="-5"/>
          <w:sz w:val="32"/>
          <w:szCs w:val="32"/>
        </w:rPr>
        <w:t>除双方有其他的约定，或事先征得另一方的同意，否则不得将</w:t>
      </w:r>
      <w:r>
        <w:rPr>
          <w:rFonts w:hint="eastAsia" w:ascii="仿宋_GB2312" w:hAnsi="仿宋_GB2312" w:eastAsia="仿宋_GB2312" w:cs="仿宋_GB2312"/>
          <w:sz w:val="32"/>
          <w:szCs w:val="32"/>
        </w:rPr>
        <w:t>本协议项下权益的全部或部分转让给任何第三方。</w:t>
      </w:r>
    </w:p>
    <w:p w14:paraId="5579AF71">
      <w:pPr>
        <w:adjustRightInd w:val="0"/>
        <w:snapToGrid w:val="0"/>
        <w:spacing w:line="560" w:lineRule="exact"/>
        <w:ind w:firstLine="640" w:firstLineChars="200"/>
        <w:outlineLvl w:val="1"/>
        <w:rPr>
          <w:rFonts w:ascii="黑体" w:hAnsi="黑体" w:eastAsia="黑体" w:cs="仿宋_GB2312"/>
          <w:bCs/>
          <w:sz w:val="32"/>
          <w:szCs w:val="32"/>
        </w:rPr>
      </w:pPr>
      <w:bookmarkStart w:id="34" w:name="_Toc28846"/>
      <w:bookmarkStart w:id="35" w:name="_Toc11103"/>
      <w:r>
        <w:rPr>
          <w:rFonts w:hint="eastAsia" w:ascii="黑体" w:hAnsi="黑体" w:eastAsia="黑体" w:cs="仿宋_GB2312"/>
          <w:bCs/>
          <w:sz w:val="32"/>
          <w:szCs w:val="32"/>
        </w:rPr>
        <w:t>八、修改</w:t>
      </w:r>
      <w:bookmarkEnd w:id="34"/>
      <w:bookmarkEnd w:id="35"/>
    </w:p>
    <w:p w14:paraId="384C731E">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对本协议内容的变更应以书面方式另行做出，并经本协议各方签</w:t>
      </w:r>
      <w:r>
        <w:rPr>
          <w:rFonts w:hint="eastAsia" w:ascii="仿宋_GB2312" w:hAnsi="仿宋_GB2312" w:eastAsia="仿宋_GB2312" w:cs="仿宋_GB2312"/>
          <w:sz w:val="32"/>
          <w:szCs w:val="32"/>
        </w:rPr>
        <w:t>字确认，在本协议文本上做出的任何修改或添加均无效。</w:t>
      </w:r>
    </w:p>
    <w:p w14:paraId="67E92368">
      <w:pPr>
        <w:adjustRightInd w:val="0"/>
        <w:snapToGrid w:val="0"/>
        <w:spacing w:line="560" w:lineRule="exact"/>
        <w:ind w:firstLine="640" w:firstLineChars="200"/>
        <w:outlineLvl w:val="1"/>
        <w:rPr>
          <w:rFonts w:ascii="黑体" w:hAnsi="黑体" w:eastAsia="黑体" w:cs="仿宋_GB2312"/>
          <w:bCs/>
          <w:sz w:val="32"/>
          <w:szCs w:val="32"/>
        </w:rPr>
      </w:pPr>
      <w:bookmarkStart w:id="36" w:name="_Toc28979"/>
      <w:bookmarkStart w:id="37" w:name="_Toc7633"/>
      <w:r>
        <w:rPr>
          <w:rFonts w:hint="eastAsia" w:ascii="黑体" w:hAnsi="黑体" w:eastAsia="黑体" w:cs="仿宋_GB2312"/>
          <w:bCs/>
          <w:sz w:val="32"/>
          <w:szCs w:val="32"/>
        </w:rPr>
        <w:t>九、不放弃</w:t>
      </w:r>
      <w:bookmarkEnd w:id="36"/>
      <w:bookmarkEnd w:id="37"/>
    </w:p>
    <w:p w14:paraId="760040F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若本协议一方不履行或延迟履行其在本协议项下的任何权利</w:t>
      </w:r>
      <w:r>
        <w:rPr>
          <w:rFonts w:hint="eastAsia" w:ascii="仿宋_GB2312" w:hAnsi="仿宋_GB2312" w:eastAsia="仿宋_GB2312" w:cs="仿宋_GB2312"/>
          <w:spacing w:val="-2"/>
          <w:sz w:val="32"/>
          <w:szCs w:val="32"/>
        </w:rPr>
        <w:t>的，不应当被认为是对该权利的放弃。若本协议一方单独或部分地行使本协议项下的任何权利，不妨碍其进一步或以其他方式行使该</w:t>
      </w:r>
      <w:r>
        <w:rPr>
          <w:rFonts w:hint="eastAsia" w:ascii="仿宋_GB2312" w:hAnsi="仿宋_GB2312" w:eastAsia="仿宋_GB2312" w:cs="仿宋_GB2312"/>
          <w:sz w:val="32"/>
          <w:szCs w:val="32"/>
        </w:rPr>
        <w:t>权利，也不妨碍其行使其他的权利。</w:t>
      </w:r>
    </w:p>
    <w:p w14:paraId="02CA45EA">
      <w:pPr>
        <w:adjustRightInd w:val="0"/>
        <w:snapToGrid w:val="0"/>
        <w:spacing w:line="560" w:lineRule="exact"/>
        <w:ind w:firstLine="640" w:firstLineChars="200"/>
        <w:outlineLvl w:val="1"/>
        <w:rPr>
          <w:rFonts w:ascii="黑体" w:hAnsi="黑体" w:eastAsia="黑体" w:cs="仿宋_GB2312"/>
          <w:sz w:val="32"/>
          <w:szCs w:val="32"/>
        </w:rPr>
      </w:pPr>
      <w:bookmarkStart w:id="38" w:name="_Toc22619"/>
      <w:bookmarkStart w:id="39" w:name="_Toc7269"/>
      <w:r>
        <w:rPr>
          <w:rFonts w:hint="eastAsia" w:ascii="黑体" w:hAnsi="黑体" w:eastAsia="黑体" w:cs="仿宋_GB2312"/>
          <w:sz w:val="32"/>
          <w:szCs w:val="32"/>
        </w:rPr>
        <w:t>十、违约责任</w:t>
      </w:r>
      <w:bookmarkEnd w:id="38"/>
      <w:bookmarkEnd w:id="39"/>
    </w:p>
    <w:p w14:paraId="24E8DC61">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乙方如有违反本协议的行为发生，应当赔偿甲方因此所遭受的</w:t>
      </w:r>
      <w:r>
        <w:rPr>
          <w:rFonts w:hint="eastAsia" w:ascii="仿宋_GB2312" w:hAnsi="仿宋_GB2312" w:eastAsia="仿宋_GB2312" w:cs="仿宋_GB2312"/>
          <w:sz w:val="32"/>
          <w:szCs w:val="32"/>
        </w:rPr>
        <w:t>直接损失和间接损失。</w:t>
      </w:r>
    </w:p>
    <w:p w14:paraId="145B3BD3">
      <w:pPr>
        <w:adjustRightInd w:val="0"/>
        <w:snapToGrid w:val="0"/>
        <w:spacing w:line="560" w:lineRule="exact"/>
        <w:ind w:firstLine="640" w:firstLineChars="200"/>
        <w:outlineLvl w:val="1"/>
        <w:rPr>
          <w:rFonts w:ascii="黑体" w:hAnsi="黑体" w:eastAsia="黑体" w:cs="仿宋_GB2312"/>
          <w:bCs/>
          <w:sz w:val="32"/>
          <w:szCs w:val="32"/>
        </w:rPr>
      </w:pPr>
      <w:bookmarkStart w:id="40" w:name="_Toc18344"/>
      <w:bookmarkStart w:id="41" w:name="_Toc24418"/>
      <w:r>
        <w:rPr>
          <w:rFonts w:hint="eastAsia" w:ascii="黑体" w:hAnsi="黑体" w:eastAsia="黑体" w:cs="仿宋_GB2312"/>
          <w:bCs/>
          <w:sz w:val="32"/>
          <w:szCs w:val="32"/>
        </w:rPr>
        <w:t>十一、争议的解决方式</w:t>
      </w:r>
      <w:bookmarkEnd w:id="40"/>
      <w:bookmarkEnd w:id="41"/>
    </w:p>
    <w:p w14:paraId="0B12DC2E">
      <w:pPr>
        <w:adjustRightInd w:val="0"/>
        <w:snapToGrid w:val="0"/>
        <w:spacing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本协议受中华人民共和国法律管辖、解释和执行。凡因本协议</w:t>
      </w:r>
      <w:r>
        <w:rPr>
          <w:rFonts w:hint="eastAsia" w:ascii="仿宋_GB2312" w:hAnsi="仿宋_GB2312" w:eastAsia="仿宋_GB2312" w:cs="仿宋_GB2312"/>
          <w:sz w:val="32"/>
          <w:szCs w:val="32"/>
        </w:rPr>
        <w:t>而产生的或与本协议有关的任何争议，包括其存在、效力或终止等</w:t>
      </w:r>
      <w:r>
        <w:rPr>
          <w:rFonts w:hint="eastAsia" w:ascii="仿宋_GB2312" w:hAnsi="仿宋_GB2312" w:eastAsia="仿宋_GB2312" w:cs="仿宋_GB2312"/>
          <w:spacing w:val="-1"/>
          <w:sz w:val="32"/>
          <w:szCs w:val="32"/>
        </w:rPr>
        <w:t>方面的任何问题，均应提交诉讼方式解决，由甲方所在地人民法院</w:t>
      </w:r>
      <w:r>
        <w:rPr>
          <w:rFonts w:hint="eastAsia" w:ascii="仿宋_GB2312" w:hAnsi="仿宋_GB2312" w:eastAsia="仿宋_GB2312" w:cs="仿宋_GB2312"/>
          <w:sz w:val="32"/>
          <w:szCs w:val="32"/>
        </w:rPr>
        <w:t>管辖。</w:t>
      </w:r>
    </w:p>
    <w:p w14:paraId="6D9591F9">
      <w:pPr>
        <w:adjustRightInd w:val="0"/>
        <w:snapToGrid w:val="0"/>
        <w:spacing w:line="560" w:lineRule="exact"/>
        <w:ind w:firstLine="640" w:firstLineChars="200"/>
        <w:outlineLvl w:val="1"/>
        <w:rPr>
          <w:rFonts w:ascii="黑体" w:hAnsi="黑体" w:eastAsia="黑体" w:cs="仿宋_GB2312"/>
          <w:b/>
          <w:bCs/>
          <w:sz w:val="32"/>
          <w:szCs w:val="32"/>
        </w:rPr>
      </w:pPr>
      <w:bookmarkStart w:id="42" w:name="_Toc24419"/>
      <w:bookmarkStart w:id="43" w:name="_Toc10283"/>
      <w:r>
        <w:rPr>
          <w:rFonts w:hint="eastAsia" w:ascii="黑体" w:hAnsi="黑体" w:eastAsia="黑体" w:cs="仿宋_GB2312"/>
          <w:sz w:val="32"/>
          <w:szCs w:val="32"/>
        </w:rPr>
        <w:t>十二、</w:t>
      </w:r>
      <w:r>
        <w:rPr>
          <w:rFonts w:hint="eastAsia" w:ascii="黑体" w:hAnsi="黑体" w:eastAsia="黑体" w:cs="仿宋_GB2312"/>
          <w:bCs/>
          <w:sz w:val="32"/>
          <w:szCs w:val="32"/>
        </w:rPr>
        <w:t>文本</w:t>
      </w:r>
      <w:bookmarkEnd w:id="42"/>
      <w:bookmarkEnd w:id="43"/>
    </w:p>
    <w:p w14:paraId="1E0DDF5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本保密协议一式两份，双方各持一份。</w:t>
      </w:r>
    </w:p>
    <w:p w14:paraId="153CE29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本协议已于页首所述之日期由双方签署。</w:t>
      </w:r>
    </w:p>
    <w:p w14:paraId="5BCDB596">
      <w:pPr>
        <w:spacing w:line="560" w:lineRule="exact"/>
        <w:rPr>
          <w:rFonts w:ascii="仿宋_GB2312" w:hAnsi="仿宋_GB2312" w:eastAsia="仿宋_GB2312" w:cs="仿宋_GB2312"/>
          <w:sz w:val="32"/>
          <w:szCs w:val="32"/>
        </w:rPr>
      </w:pPr>
    </w:p>
    <w:p w14:paraId="7DBC298F">
      <w:pPr>
        <w:tabs>
          <w:tab w:val="left" w:pos="4900"/>
        </w:tabs>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乙方：</w:t>
      </w:r>
    </w:p>
    <w:p w14:paraId="36934CA2">
      <w:pPr>
        <w:tabs>
          <w:tab w:val="left" w:pos="4900"/>
        </w:tabs>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14:paraId="4BEFBC17">
      <w:pPr>
        <w:tabs>
          <w:tab w:val="left" w:pos="1678"/>
          <w:tab w:val="left" w:pos="2377"/>
          <w:tab w:val="left" w:pos="4898"/>
          <w:tab w:val="left" w:pos="5882"/>
          <w:tab w:val="left" w:pos="7139"/>
        </w:tabs>
        <w:spacing w:line="560" w:lineRule="exact"/>
        <w:rPr>
          <w:rFonts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 xml:space="preserve">法定代表人/授权代表： </w:t>
      </w:r>
      <w:r>
        <w:rPr>
          <w:rFonts w:hint="eastAsia" w:ascii="仿宋_GB2312" w:hAnsi="仿宋_GB2312" w:eastAsia="仿宋_GB2312" w:cs="仿宋_GB2312"/>
          <w:spacing w:val="-1"/>
          <w:sz w:val="32"/>
          <w:szCs w:val="32"/>
        </w:rPr>
        <w:tab/>
      </w:r>
      <w:r>
        <w:rPr>
          <w:rFonts w:hint="eastAsia" w:ascii="仿宋_GB2312" w:hAnsi="仿宋_GB2312" w:eastAsia="仿宋_GB2312" w:cs="仿宋_GB2312"/>
          <w:spacing w:val="-1"/>
          <w:sz w:val="32"/>
          <w:szCs w:val="32"/>
        </w:rPr>
        <w:t>法定代表人/授权代表：</w:t>
      </w:r>
    </w:p>
    <w:p w14:paraId="470FA502">
      <w:pPr>
        <w:tabs>
          <w:tab w:val="left" w:pos="1678"/>
          <w:tab w:val="left" w:pos="2377"/>
          <w:tab w:val="left" w:pos="4898"/>
          <w:tab w:val="left" w:pos="5882"/>
          <w:tab w:val="left" w:pos="7139"/>
        </w:tabs>
        <w:spacing w:line="560" w:lineRule="exact"/>
        <w:rPr>
          <w:rFonts w:ascii="仿宋_GB2312" w:hAnsi="仿宋_GB2312" w:eastAsia="仿宋_GB2312" w:cs="仿宋_GB2312"/>
          <w:spacing w:val="-1"/>
          <w:sz w:val="32"/>
          <w:szCs w:val="32"/>
        </w:rPr>
      </w:pPr>
    </w:p>
    <w:p w14:paraId="3E3A11B9">
      <w:pPr>
        <w:tabs>
          <w:tab w:val="left" w:pos="1678"/>
          <w:tab w:val="left" w:pos="2377"/>
          <w:tab w:val="left" w:pos="4898"/>
          <w:tab w:val="left" w:pos="5882"/>
          <w:tab w:val="left" w:pos="7139"/>
        </w:tabs>
        <w:spacing w:line="560" w:lineRule="exact"/>
        <w:rPr>
          <w:rFonts w:ascii="仿宋_GB2312" w:hAnsi="仿宋_GB2312" w:eastAsia="仿宋_GB2312" w:cs="仿宋_GB2312"/>
          <w:spacing w:val="-129"/>
          <w:sz w:val="32"/>
          <w:szCs w:val="32"/>
        </w:rPr>
      </w:pPr>
      <w:r>
        <w:rPr>
          <w:rFonts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rPr>
        <w:t xml:space="preserve"> </w:t>
      </w:r>
      <w:r>
        <w:rPr>
          <w:rFonts w:ascii="仿宋_GB2312" w:hAnsi="仿宋_GB2312" w:eastAsia="仿宋_GB2312" w:cs="仿宋_GB2312"/>
          <w:spacing w:val="-1"/>
          <w:sz w:val="32"/>
          <w:szCs w:val="32"/>
        </w:rPr>
        <w:t xml:space="preserve">  </w:t>
      </w:r>
      <w:r>
        <w:rPr>
          <w:rFonts w:hint="eastAsia" w:ascii="仿宋_GB2312" w:hAnsi="仿宋_GB2312" w:eastAsia="仿宋_GB2312" w:cs="仿宋_GB2312"/>
          <w:spacing w:val="-1"/>
          <w:sz w:val="32"/>
          <w:szCs w:val="32"/>
        </w:rPr>
        <w:t xml:space="preserve">月 </w:t>
      </w:r>
      <w:r>
        <w:rPr>
          <w:rFonts w:ascii="仿宋_GB2312" w:hAnsi="仿宋_GB2312" w:eastAsia="仿宋_GB2312" w:cs="仿宋_GB2312"/>
          <w:spacing w:val="-1"/>
          <w:sz w:val="32"/>
          <w:szCs w:val="32"/>
        </w:rPr>
        <w:t xml:space="preserve">  </w:t>
      </w:r>
      <w:r>
        <w:rPr>
          <w:rFonts w:hint="eastAsia" w:ascii="仿宋_GB2312" w:hAnsi="仿宋_GB2312" w:eastAsia="仿宋_GB2312" w:cs="仿宋_GB2312"/>
          <w:spacing w:val="-1"/>
          <w:sz w:val="32"/>
          <w:szCs w:val="32"/>
        </w:rPr>
        <w:t xml:space="preserve">日 </w:t>
      </w:r>
      <w:r>
        <w:rPr>
          <w:rFonts w:ascii="仿宋_GB2312" w:hAnsi="仿宋_GB2312" w:eastAsia="仿宋_GB2312" w:cs="仿宋_GB2312"/>
          <w:spacing w:val="-1"/>
          <w:sz w:val="32"/>
          <w:szCs w:val="32"/>
        </w:rPr>
        <w:t xml:space="preserve">                   年</w:t>
      </w:r>
      <w:r>
        <w:rPr>
          <w:rFonts w:hint="eastAsia" w:ascii="仿宋_GB2312" w:hAnsi="仿宋_GB2312" w:eastAsia="仿宋_GB2312" w:cs="仿宋_GB2312"/>
          <w:spacing w:val="-1"/>
          <w:sz w:val="32"/>
          <w:szCs w:val="32"/>
        </w:rPr>
        <w:t xml:space="preserve"> </w:t>
      </w:r>
      <w:r>
        <w:rPr>
          <w:rFonts w:ascii="仿宋_GB2312" w:hAnsi="仿宋_GB2312" w:eastAsia="仿宋_GB2312" w:cs="仿宋_GB2312"/>
          <w:spacing w:val="-1"/>
          <w:sz w:val="32"/>
          <w:szCs w:val="32"/>
        </w:rPr>
        <w:t xml:space="preserve">  </w:t>
      </w:r>
      <w:r>
        <w:rPr>
          <w:rFonts w:hint="eastAsia" w:ascii="仿宋_GB2312" w:hAnsi="仿宋_GB2312" w:eastAsia="仿宋_GB2312" w:cs="仿宋_GB2312"/>
          <w:spacing w:val="-1"/>
          <w:sz w:val="32"/>
          <w:szCs w:val="32"/>
        </w:rPr>
        <w:t xml:space="preserve">月 </w:t>
      </w:r>
      <w:r>
        <w:rPr>
          <w:rFonts w:ascii="仿宋_GB2312" w:hAnsi="仿宋_GB2312" w:eastAsia="仿宋_GB2312" w:cs="仿宋_GB2312"/>
          <w:spacing w:val="-1"/>
          <w:sz w:val="32"/>
          <w:szCs w:val="32"/>
        </w:rPr>
        <w:t xml:space="preserve">  </w:t>
      </w:r>
      <w:r>
        <w:rPr>
          <w:rFonts w:hint="eastAsia" w:ascii="仿宋_GB2312" w:hAnsi="仿宋_GB2312" w:eastAsia="仿宋_GB2312" w:cs="仿宋_GB2312"/>
          <w:spacing w:val="-1"/>
          <w:sz w:val="32"/>
          <w:szCs w:val="32"/>
        </w:rPr>
        <w:t>日</w:t>
      </w:r>
    </w:p>
    <w:p w14:paraId="54C6B16F">
      <w:pPr>
        <w:rPr>
          <w:rFonts w:ascii="仿宋_GB2312" w:hAnsi="仿宋_GB2312" w:eastAsia="仿宋_GB2312" w:cs="仿宋_GB2312"/>
          <w:sz w:val="32"/>
          <w:szCs w:val="32"/>
        </w:rPr>
      </w:pPr>
    </w:p>
    <w:p w14:paraId="7CD086D8">
      <w:pPr>
        <w:spacing w:line="440" w:lineRule="exact"/>
        <w:outlineLvl w:val="0"/>
        <w:rPr>
          <w:rFonts w:ascii="宋体" w:hAnsi="宋体" w:eastAsia="宋体"/>
          <w:b/>
          <w:sz w:val="24"/>
          <w:szCs w:val="24"/>
        </w:rPr>
      </w:pPr>
    </w:p>
    <w:p w14:paraId="252B5DFD">
      <w:pPr>
        <w:spacing w:line="440" w:lineRule="exact"/>
        <w:outlineLvl w:val="0"/>
        <w:rPr>
          <w:rFonts w:ascii="宋体" w:hAnsi="宋体" w:eastAsia="宋体"/>
          <w:b/>
          <w:sz w:val="24"/>
          <w:szCs w:val="24"/>
        </w:rPr>
      </w:pPr>
    </w:p>
    <w:p w14:paraId="061DFF17">
      <w:pPr>
        <w:spacing w:line="440" w:lineRule="exact"/>
        <w:outlineLvl w:val="0"/>
        <w:rPr>
          <w:rFonts w:ascii="宋体" w:hAnsi="宋体" w:eastAsia="宋体"/>
          <w:b/>
          <w:sz w:val="24"/>
          <w:szCs w:val="24"/>
        </w:rPr>
      </w:pPr>
    </w:p>
    <w:p w14:paraId="06F79FB9">
      <w:pPr>
        <w:spacing w:line="440" w:lineRule="exact"/>
        <w:outlineLvl w:val="0"/>
        <w:rPr>
          <w:rFonts w:ascii="宋体" w:hAnsi="宋体" w:eastAsia="宋体"/>
          <w:b/>
          <w:sz w:val="24"/>
          <w:szCs w:val="24"/>
        </w:rPr>
      </w:pPr>
      <w:r>
        <w:rPr>
          <w:rFonts w:hint="eastAsia" w:ascii="宋体" w:hAnsi="宋体" w:eastAsia="宋体"/>
          <w:b/>
          <w:sz w:val="24"/>
          <w:szCs w:val="24"/>
        </w:rPr>
        <w:t>附件</w:t>
      </w:r>
      <w:r>
        <w:rPr>
          <w:rFonts w:ascii="宋体" w:hAnsi="宋体" w:eastAsia="宋体"/>
          <w:b/>
          <w:sz w:val="24"/>
          <w:szCs w:val="24"/>
        </w:rPr>
        <w:t>3</w:t>
      </w:r>
      <w:r>
        <w:rPr>
          <w:rFonts w:hint="eastAsia" w:ascii="宋体" w:hAnsi="宋体" w:eastAsia="宋体"/>
          <w:b/>
          <w:sz w:val="24"/>
          <w:szCs w:val="24"/>
        </w:rPr>
        <w:t>：</w:t>
      </w:r>
      <w:r>
        <w:rPr>
          <w:rFonts w:hint="eastAsia" w:ascii="宋体" w:hAnsi="宋体" w:eastAsia="宋体"/>
          <w:b/>
          <w:sz w:val="24"/>
          <w:szCs w:val="24"/>
        </w:rPr>
        <w:t>廉洁合规承诺书</w:t>
      </w:r>
    </w:p>
    <w:p w14:paraId="3CD5E513">
      <w:pPr>
        <w:tabs>
          <w:tab w:val="left" w:pos="3075"/>
        </w:tabs>
        <w:spacing w:line="440" w:lineRule="exact"/>
        <w:jc w:val="center"/>
        <w:rPr>
          <w:rFonts w:ascii="宋体" w:hAnsi="宋体" w:eastAsia="宋体" w:cs="宋体"/>
          <w:sz w:val="24"/>
          <w:szCs w:val="24"/>
        </w:rPr>
      </w:pPr>
      <w:r>
        <w:rPr>
          <w:rFonts w:hint="eastAsia" w:ascii="宋体" w:hAnsi="宋体" w:eastAsia="宋体"/>
          <w:b/>
          <w:sz w:val="24"/>
          <w:szCs w:val="24"/>
        </w:rPr>
        <w:t>廉洁合规承诺书</w:t>
      </w:r>
    </w:p>
    <w:p w14:paraId="264EE053">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不向华润员工及其亲属和其他特定关系人赠送礼品、礼金、消费卡（券）、有价证券、股权、其他金融产品等财物。</w:t>
      </w:r>
    </w:p>
    <w:p w14:paraId="4A52A36B">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不向华润员工及其亲属和其他特定关系人出借钱款、住房、车辆等财物。</w:t>
      </w:r>
    </w:p>
    <w:p w14:paraId="3A3081F6">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不向华润员工及其亲属和其他特定关系人提供可能影响公正履职的宴请或者旅游、健身、娱乐等活动安排。</w:t>
      </w:r>
    </w:p>
    <w:p w14:paraId="771C04EC">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不替华润员工及其亲属和其他特定关系人支付或报销任何费用。</w:t>
      </w:r>
    </w:p>
    <w:p w14:paraId="06993236">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不替华润员工及其亲属和其他特定关系人代持股份。</w:t>
      </w:r>
    </w:p>
    <w:p w14:paraId="7D761234">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不与华润员工或者其他单位和个人串通投标或者串通报价，不采取恶性竞争等不正当手段竞争业务。</w:t>
      </w:r>
    </w:p>
    <w:p w14:paraId="418DA5FF">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不与华润员工就标底、其他供应商的响应文件等商业秘密及合同中的条款进行私下商谈或者达成默契。</w:t>
      </w:r>
    </w:p>
    <w:p w14:paraId="7DCB6538">
      <w:pPr>
        <w:numPr>
          <w:ilvl w:val="0"/>
          <w:numId w:val="13"/>
        </w:numPr>
        <w:spacing w:line="440" w:lineRule="exact"/>
        <w:rPr>
          <w:rFonts w:ascii="宋体" w:hAnsi="宋体" w:eastAsia="宋体" w:cs="宋体"/>
          <w:sz w:val="24"/>
          <w:szCs w:val="24"/>
        </w:rPr>
      </w:pPr>
      <w:r>
        <w:rPr>
          <w:rFonts w:ascii="宋体" w:hAnsi="宋体" w:eastAsia="宋体" w:cs="宋体"/>
          <w:sz w:val="24"/>
          <w:szCs w:val="24"/>
        </w:rPr>
        <w:t>不违法转包、分包项目。</w:t>
      </w:r>
    </w:p>
    <w:p w14:paraId="5017148F">
      <w:pPr>
        <w:numPr>
          <w:ilvl w:val="0"/>
          <w:numId w:val="13"/>
        </w:numPr>
        <w:spacing w:line="440" w:lineRule="exact"/>
        <w:rPr>
          <w:rFonts w:ascii="宋体" w:hAnsi="宋体" w:eastAsia="宋体" w:cs="宋体"/>
          <w:sz w:val="24"/>
          <w:szCs w:val="24"/>
        </w:rPr>
      </w:pPr>
      <w:r>
        <w:rPr>
          <w:rFonts w:ascii="宋体" w:hAnsi="宋体" w:eastAsia="宋体" w:cs="宋体"/>
          <w:sz w:val="24"/>
          <w:szCs w:val="24"/>
        </w:rPr>
        <w:t>严格执行合同约定，不弄虚作假。</w:t>
      </w:r>
    </w:p>
    <w:p w14:paraId="2A22F8F7">
      <w:pPr>
        <w:numPr>
          <w:ilvl w:val="0"/>
          <w:numId w:val="13"/>
        </w:numPr>
        <w:spacing w:line="440" w:lineRule="exact"/>
        <w:rPr>
          <w:rFonts w:ascii="宋体" w:hAnsi="宋体" w:eastAsia="宋体" w:cs="宋体"/>
          <w:sz w:val="24"/>
          <w:szCs w:val="24"/>
        </w:rPr>
      </w:pPr>
      <w:r>
        <w:rPr>
          <w:rFonts w:ascii="宋体" w:hAnsi="宋体" w:eastAsia="宋体" w:cs="宋体"/>
          <w:sz w:val="24"/>
          <w:szCs w:val="24"/>
        </w:rPr>
        <w:t>如实向华润方通报本单位股东和员工与华润方存在亲属或者其他特定关系的情况。</w:t>
      </w:r>
    </w:p>
    <w:p w14:paraId="4223C483">
      <w:pPr>
        <w:numPr>
          <w:ilvl w:val="0"/>
          <w:numId w:val="0"/>
        </w:numPr>
        <w:spacing w:line="440" w:lineRule="exact"/>
        <w:ind w:leftChars="0" w:firstLine="480" w:firstLineChars="200"/>
        <w:rPr>
          <w:rFonts w:ascii="宋体" w:hAnsi="宋体" w:eastAsia="宋体" w:cs="宋体"/>
          <w:sz w:val="24"/>
          <w:szCs w:val="24"/>
        </w:rPr>
      </w:pPr>
      <w:r>
        <w:rPr>
          <w:rFonts w:ascii="宋体" w:hAnsi="宋体" w:eastAsia="宋体" w:cs="宋体"/>
          <w:sz w:val="24"/>
          <w:szCs w:val="24"/>
        </w:rPr>
        <w:t>发现本单位人员有违反上述行为的，及时制止、批评教育；发现华润员工有索贿、受贿行为的，坚决拒绝，并向华润相关领导或纪检监察部门举报。</w:t>
      </w:r>
    </w:p>
    <w:p w14:paraId="1D159DA0">
      <w:pPr>
        <w:numPr>
          <w:ilvl w:val="0"/>
          <w:numId w:val="14"/>
        </w:numPr>
        <w:spacing w:line="440" w:lineRule="exact"/>
        <w:rPr>
          <w:rFonts w:ascii="宋体" w:hAnsi="宋体" w:eastAsia="宋体" w:cs="宋体"/>
          <w:sz w:val="24"/>
          <w:szCs w:val="24"/>
        </w:rPr>
      </w:pPr>
      <w:r>
        <w:rPr>
          <w:rFonts w:ascii="宋体" w:hAnsi="宋体" w:eastAsia="宋体" w:cs="宋体"/>
          <w:sz w:val="24"/>
          <w:szCs w:val="24"/>
        </w:rPr>
        <w:t>华润雪花采购管理中心受理采购投诉及举报途径：举报邮箱：</w:t>
      </w:r>
      <w:r>
        <w:rPr>
          <w:rFonts w:ascii="宋体" w:hAnsi="宋体" w:eastAsia="宋体" w:cs="宋体"/>
          <w:sz w:val="24"/>
          <w:szCs w:val="24"/>
        </w:rPr>
        <w:fldChar w:fldCharType="begin"/>
      </w:r>
      <w:r>
        <w:rPr>
          <w:rFonts w:ascii="宋体" w:hAnsi="宋体" w:eastAsia="宋体" w:cs="宋体"/>
          <w:sz w:val="24"/>
          <w:szCs w:val="24"/>
        </w:rPr>
        <w:instrText xml:space="preserve"> HYPERLINK "mailto:CRB_PMC_GW@crb.cn" </w:instrText>
      </w:r>
      <w:r>
        <w:rPr>
          <w:rFonts w:ascii="宋体" w:hAnsi="宋体" w:eastAsia="宋体" w:cs="宋体"/>
          <w:sz w:val="24"/>
          <w:szCs w:val="24"/>
        </w:rPr>
        <w:fldChar w:fldCharType="separate"/>
      </w:r>
      <w:r>
        <w:rPr>
          <w:rStyle w:val="16"/>
          <w:rFonts w:ascii="宋体" w:hAnsi="宋体" w:eastAsia="宋体" w:cs="宋体"/>
          <w:sz w:val="24"/>
          <w:szCs w:val="24"/>
        </w:rPr>
        <w:t>CRB_PMC_GW@crb.cn</w:t>
      </w:r>
      <w:r>
        <w:rPr>
          <w:rFonts w:ascii="宋体" w:hAnsi="宋体" w:eastAsia="宋体" w:cs="宋体"/>
          <w:sz w:val="24"/>
          <w:szCs w:val="24"/>
        </w:rPr>
        <w:fldChar w:fldCharType="end"/>
      </w:r>
    </w:p>
    <w:p w14:paraId="2723CB38">
      <w:pPr>
        <w:numPr>
          <w:ilvl w:val="0"/>
          <w:numId w:val="14"/>
        </w:numPr>
        <w:spacing w:line="440" w:lineRule="exact"/>
        <w:ind w:left="0" w:leftChars="0" w:firstLine="0" w:firstLineChars="0"/>
        <w:rPr>
          <w:rFonts w:ascii="宋体" w:hAnsi="宋体" w:eastAsia="宋体" w:cs="宋体"/>
          <w:sz w:val="24"/>
          <w:szCs w:val="24"/>
        </w:rPr>
      </w:pPr>
      <w:r>
        <w:rPr>
          <w:rFonts w:ascii="宋体" w:hAnsi="宋体" w:eastAsia="宋体" w:cs="宋体"/>
          <w:sz w:val="24"/>
          <w:szCs w:val="24"/>
        </w:rPr>
        <w:t>华润啤酒纪委办公室受理廉洁投诉及举报途径：</w:t>
      </w:r>
    </w:p>
    <w:p w14:paraId="35DBC68A">
      <w:pPr>
        <w:numPr>
          <w:ilvl w:val="0"/>
          <w:numId w:val="0"/>
        </w:numPr>
        <w:spacing w:line="440" w:lineRule="exact"/>
        <w:ind w:leftChars="0"/>
        <w:rPr>
          <w:rFonts w:ascii="宋体" w:hAnsi="宋体" w:eastAsia="宋体" w:cs="宋体"/>
          <w:sz w:val="24"/>
          <w:szCs w:val="24"/>
        </w:rPr>
      </w:pPr>
      <w:r>
        <w:rPr>
          <w:rFonts w:ascii="宋体" w:hAnsi="宋体" w:eastAsia="宋体" w:cs="宋体"/>
          <w:sz w:val="24"/>
          <w:szCs w:val="24"/>
        </w:rPr>
        <w:t>举报邮箱：</w:t>
      </w:r>
      <w:r>
        <w:rPr>
          <w:rFonts w:ascii="宋体" w:hAnsi="宋体" w:eastAsia="宋体" w:cs="宋体"/>
          <w:sz w:val="24"/>
          <w:szCs w:val="24"/>
        </w:rPr>
        <w:fldChar w:fldCharType="begin"/>
      </w:r>
      <w:r>
        <w:rPr>
          <w:rFonts w:ascii="宋体" w:hAnsi="宋体" w:eastAsia="宋体" w:cs="宋体"/>
          <w:sz w:val="24"/>
          <w:szCs w:val="24"/>
        </w:rPr>
        <w:instrText xml:space="preserve"> HYPERLINK "mailto:lianjie@crb.cn" </w:instrText>
      </w:r>
      <w:r>
        <w:rPr>
          <w:rFonts w:ascii="宋体" w:hAnsi="宋体" w:eastAsia="宋体" w:cs="宋体"/>
          <w:sz w:val="24"/>
          <w:szCs w:val="24"/>
        </w:rPr>
        <w:fldChar w:fldCharType="separate"/>
      </w:r>
      <w:r>
        <w:rPr>
          <w:rStyle w:val="16"/>
          <w:rFonts w:ascii="宋体" w:hAnsi="宋体" w:eastAsia="宋体" w:cs="宋体"/>
          <w:sz w:val="24"/>
          <w:szCs w:val="24"/>
        </w:rPr>
        <w:t>lianjie@crb.cn</w:t>
      </w:r>
      <w:r>
        <w:rPr>
          <w:rFonts w:ascii="宋体" w:hAnsi="宋体" w:eastAsia="宋体" w:cs="宋体"/>
          <w:sz w:val="24"/>
          <w:szCs w:val="24"/>
        </w:rPr>
        <w:fldChar w:fldCharType="end"/>
      </w:r>
    </w:p>
    <w:p w14:paraId="7BE993B2">
      <w:pPr>
        <w:numPr>
          <w:ilvl w:val="0"/>
          <w:numId w:val="0"/>
        </w:numPr>
        <w:spacing w:line="440" w:lineRule="exact"/>
        <w:rPr>
          <w:rFonts w:ascii="宋体" w:hAnsi="宋体" w:eastAsia="宋体" w:cs="宋体"/>
          <w:sz w:val="24"/>
          <w:szCs w:val="24"/>
        </w:rPr>
      </w:pPr>
    </w:p>
    <w:p w14:paraId="01F11C1D">
      <w:pPr>
        <w:numPr>
          <w:ilvl w:val="0"/>
          <w:numId w:val="0"/>
        </w:numPr>
        <w:spacing w:line="440" w:lineRule="exact"/>
        <w:rPr>
          <w:rFonts w:ascii="宋体" w:hAnsi="宋体" w:eastAsia="宋体" w:cs="宋体"/>
          <w:sz w:val="24"/>
          <w:szCs w:val="24"/>
        </w:rPr>
      </w:pPr>
    </w:p>
    <w:p w14:paraId="504A99F6">
      <w:pPr>
        <w:numPr>
          <w:ilvl w:val="0"/>
          <w:numId w:val="0"/>
        </w:numPr>
        <w:spacing w:line="440" w:lineRule="exact"/>
        <w:rPr>
          <w:rFonts w:ascii="宋体" w:hAnsi="宋体" w:eastAsia="宋体" w:cs="宋体"/>
          <w:sz w:val="24"/>
          <w:szCs w:val="24"/>
        </w:rPr>
      </w:pPr>
    </w:p>
    <w:p w14:paraId="19002402">
      <w:pPr>
        <w:numPr>
          <w:ilvl w:val="0"/>
          <w:numId w:val="0"/>
        </w:numPr>
        <w:spacing w:line="440" w:lineRule="exact"/>
        <w:rPr>
          <w:rFonts w:ascii="宋体" w:hAnsi="宋体" w:eastAsia="宋体" w:cs="宋体"/>
          <w:sz w:val="24"/>
          <w:szCs w:val="24"/>
        </w:rPr>
      </w:pPr>
      <w:r>
        <w:rPr>
          <w:rFonts w:ascii="宋体" w:hAnsi="宋体" w:eastAsia="宋体" w:cs="宋体"/>
          <w:sz w:val="24"/>
          <w:szCs w:val="24"/>
        </w:rPr>
        <w:t>乙方（盖章）：</w:t>
      </w:r>
    </w:p>
    <w:p w14:paraId="74CCCFAD">
      <w:pPr>
        <w:widowControl w:val="0"/>
        <w:numPr>
          <w:ilvl w:val="0"/>
          <w:numId w:val="0"/>
        </w:numPr>
        <w:spacing w:line="440" w:lineRule="exact"/>
        <w:jc w:val="both"/>
        <w:rPr>
          <w:rFonts w:ascii="宋体" w:hAnsi="宋体" w:eastAsia="宋体" w:cs="宋体"/>
          <w:sz w:val="24"/>
          <w:szCs w:val="24"/>
        </w:rPr>
      </w:pPr>
    </w:p>
    <w:p w14:paraId="2EABB89B">
      <w:pPr>
        <w:widowControl w:val="0"/>
        <w:numPr>
          <w:ilvl w:val="0"/>
          <w:numId w:val="0"/>
        </w:numPr>
        <w:spacing w:line="440" w:lineRule="exact"/>
        <w:jc w:val="both"/>
        <w:rPr>
          <w:rFonts w:ascii="宋体" w:hAnsi="宋体" w:eastAsia="宋体" w:cs="宋体"/>
          <w:sz w:val="24"/>
          <w:szCs w:val="24"/>
        </w:rPr>
      </w:pPr>
    </w:p>
    <w:p w14:paraId="4F413F9D">
      <w:pPr>
        <w:widowControl w:val="0"/>
        <w:numPr>
          <w:ilvl w:val="0"/>
          <w:numId w:val="0"/>
        </w:numPr>
        <w:spacing w:line="440" w:lineRule="exact"/>
        <w:jc w:val="both"/>
        <w:rPr>
          <w:rFonts w:ascii="宋体" w:hAnsi="宋体" w:eastAsia="宋体" w:cs="宋体"/>
          <w:sz w:val="24"/>
          <w:szCs w:val="24"/>
        </w:rPr>
      </w:pPr>
    </w:p>
    <w:p w14:paraId="0336B358">
      <w:pPr>
        <w:widowControl w:val="0"/>
        <w:numPr>
          <w:ilvl w:val="0"/>
          <w:numId w:val="0"/>
        </w:numPr>
        <w:spacing w:line="440" w:lineRule="exact"/>
        <w:jc w:val="both"/>
        <w:rPr>
          <w:rFonts w:ascii="宋体" w:hAnsi="宋体" w:eastAsia="宋体" w:cs="宋体"/>
          <w:sz w:val="24"/>
          <w:szCs w:val="24"/>
        </w:rPr>
      </w:pPr>
    </w:p>
    <w:p w14:paraId="7B22714E">
      <w:pPr>
        <w:spacing w:line="240" w:lineRule="atLeast"/>
        <w:rPr>
          <w:rFonts w:ascii="宋体" w:hAnsi="宋体" w:eastAsia="宋体"/>
          <w:sz w:val="24"/>
          <w:szCs w:val="24"/>
        </w:rPr>
      </w:pPr>
    </w:p>
    <w:p w14:paraId="7F12208F">
      <w:pPr>
        <w:spacing w:line="440" w:lineRule="exact"/>
        <w:outlineLvl w:val="0"/>
        <w:rPr>
          <w:rFonts w:ascii="宋体" w:hAnsi="宋体" w:eastAsia="宋体"/>
          <w:b/>
          <w:sz w:val="24"/>
          <w:szCs w:val="24"/>
        </w:rPr>
      </w:pPr>
      <w:r>
        <w:rPr>
          <w:rFonts w:hint="eastAsia" w:ascii="宋体" w:hAnsi="宋体" w:eastAsia="宋体"/>
          <w:b/>
          <w:sz w:val="24"/>
          <w:szCs w:val="24"/>
        </w:rPr>
        <w:t>附件</w:t>
      </w:r>
      <w:r>
        <w:rPr>
          <w:rFonts w:hint="eastAsia" w:ascii="宋体" w:hAnsi="宋体" w:eastAsia="宋体"/>
          <w:b/>
          <w:sz w:val="24"/>
          <w:szCs w:val="24"/>
          <w:lang w:val="en-US" w:eastAsia="zh-CN"/>
        </w:rPr>
        <w:t>2</w:t>
      </w:r>
      <w:r>
        <w:rPr>
          <w:rFonts w:hint="eastAsia" w:ascii="宋体" w:hAnsi="宋体" w:eastAsia="宋体"/>
          <w:b/>
          <w:sz w:val="24"/>
          <w:szCs w:val="24"/>
        </w:rPr>
        <w:t>：华润雪花承包商安全协议</w:t>
      </w:r>
    </w:p>
    <w:p w14:paraId="21AC4BEF">
      <w:pPr>
        <w:jc w:val="center"/>
        <w:rPr>
          <w:rFonts w:ascii="黑体" w:hAnsi="黑体" w:eastAsia="黑体" w:cs="宋体"/>
          <w:b/>
          <w:bCs/>
          <w:sz w:val="30"/>
          <w:szCs w:val="30"/>
          <w:u w:val="single"/>
        </w:rPr>
      </w:pPr>
      <w:r>
        <w:rPr>
          <w:rFonts w:hint="eastAsia" w:ascii="黑体" w:hAnsi="黑体" w:eastAsia="黑体"/>
          <w:b/>
          <w:bCs/>
          <w:sz w:val="30"/>
          <w:szCs w:val="30"/>
          <w:u w:val="single"/>
        </w:rPr>
        <w:t>《承包商安全协议（经营场所内）》</w:t>
      </w:r>
    </w:p>
    <w:p w14:paraId="198CACFE">
      <w:pPr>
        <w:widowControl/>
        <w:spacing w:line="360" w:lineRule="auto"/>
        <w:jc w:val="left"/>
        <w:rPr>
          <w:rFonts w:ascii="宋体" w:hAnsi="宋体" w:cs="Arial"/>
          <w:b/>
          <w:sz w:val="24"/>
        </w:rPr>
      </w:pPr>
      <w:r>
        <w:rPr>
          <w:rFonts w:hint="eastAsia" w:ascii="宋体" w:hAnsi="宋体" w:cs="Arial"/>
          <w:b/>
          <w:sz w:val="24"/>
        </w:rPr>
        <w:t>甲方名称：</w:t>
      </w:r>
      <w:r>
        <w:rPr>
          <w:rFonts w:hint="eastAsia" w:ascii="宋体" w:hAnsi="宋体" w:cs="Arial"/>
          <w:b/>
          <w:sz w:val="24"/>
          <w:u w:val="single"/>
        </w:rPr>
        <w:t xml:space="preserve">天津滨海新区雪花啤酒有限公司       </w:t>
      </w:r>
    </w:p>
    <w:p w14:paraId="36F600B8">
      <w:pPr>
        <w:widowControl/>
        <w:spacing w:line="360" w:lineRule="auto"/>
        <w:jc w:val="left"/>
        <w:rPr>
          <w:rFonts w:ascii="宋体" w:hAnsi="宋体" w:cs="Arial"/>
          <w:b/>
          <w:sz w:val="24"/>
        </w:rPr>
      </w:pPr>
    </w:p>
    <w:p w14:paraId="32F80B97">
      <w:pPr>
        <w:widowControl/>
        <w:spacing w:line="360" w:lineRule="auto"/>
        <w:jc w:val="left"/>
        <w:rPr>
          <w:rFonts w:ascii="宋体" w:hAnsi="宋体" w:cs="Arial"/>
          <w:b/>
          <w:sz w:val="24"/>
          <w:u w:val="single"/>
        </w:rPr>
      </w:pPr>
      <w:r>
        <w:rPr>
          <w:rFonts w:hint="eastAsia" w:ascii="宋体" w:hAnsi="宋体" w:cs="Arial"/>
          <w:b/>
          <w:sz w:val="24"/>
        </w:rPr>
        <w:t>乙方名称：</w:t>
      </w:r>
      <w:r>
        <w:rPr>
          <w:rFonts w:hint="eastAsia" w:ascii="宋体" w:hAnsi="宋体" w:cs="Arial"/>
          <w:b/>
          <w:sz w:val="24"/>
          <w:szCs w:val="21"/>
          <w:u w:val="single"/>
        </w:rPr>
        <w:t xml:space="preserve">  </w:t>
      </w:r>
      <w:r>
        <w:rPr>
          <w:rFonts w:ascii="宋体" w:hAnsi="宋体" w:cs="Arial"/>
          <w:b/>
          <w:sz w:val="24"/>
          <w:szCs w:val="21"/>
          <w:u w:val="single"/>
        </w:rPr>
        <w:t xml:space="preserve">                     </w:t>
      </w:r>
      <w:r>
        <w:rPr>
          <w:rFonts w:hint="eastAsia" w:ascii="宋体" w:hAnsi="宋体" w:cs="Arial"/>
          <w:b/>
          <w:sz w:val="24"/>
          <w:u w:val="single"/>
        </w:rPr>
        <w:t xml:space="preserve">            </w:t>
      </w:r>
    </w:p>
    <w:p w14:paraId="462F1BD9">
      <w:pPr>
        <w:adjustRightInd w:val="0"/>
        <w:snapToGrid w:val="0"/>
        <w:spacing w:before="312" w:beforeLines="100" w:line="320" w:lineRule="exact"/>
        <w:ind w:firstLine="420" w:firstLineChars="200"/>
        <w:rPr>
          <w:rFonts w:ascii="宋体" w:hAnsi="宋体"/>
          <w:szCs w:val="21"/>
        </w:rPr>
      </w:pPr>
      <w:r>
        <w:rPr>
          <w:rFonts w:hint="eastAsia" w:ascii="宋体" w:hAnsi="宋体"/>
          <w:szCs w:val="21"/>
        </w:rPr>
        <w:t>乙方</w:t>
      </w:r>
      <w:r>
        <w:rPr>
          <w:rFonts w:ascii="宋体" w:hAnsi="宋体"/>
          <w:szCs w:val="21"/>
        </w:rPr>
        <w:t>作为</w:t>
      </w:r>
      <w:r>
        <w:rPr>
          <w:rFonts w:hint="eastAsia" w:ascii="宋体" w:hAnsi="宋体"/>
          <w:szCs w:val="21"/>
        </w:rPr>
        <w:t>甲方的合作承包商（包括各类货物、服务、施工的提供方）</w:t>
      </w:r>
      <w:r>
        <w:rPr>
          <w:rFonts w:ascii="宋体" w:hAnsi="宋体"/>
          <w:szCs w:val="21"/>
        </w:rPr>
        <w:t>，为防止在施工和作业（以下统称“作业”）中</w:t>
      </w:r>
      <w:r>
        <w:rPr>
          <w:rFonts w:hint="eastAsia" w:ascii="宋体" w:hAnsi="宋体"/>
          <w:szCs w:val="21"/>
        </w:rPr>
        <w:t>发生环境、健康和安全相关的</w:t>
      </w:r>
      <w:r>
        <w:rPr>
          <w:rFonts w:ascii="宋体" w:hAnsi="宋体"/>
          <w:szCs w:val="21"/>
        </w:rPr>
        <w:t>事故</w:t>
      </w:r>
      <w:r>
        <w:rPr>
          <w:rFonts w:hint="eastAsia" w:ascii="宋体" w:hAnsi="宋体"/>
          <w:szCs w:val="21"/>
        </w:rPr>
        <w:t>事件</w:t>
      </w:r>
      <w:r>
        <w:rPr>
          <w:rFonts w:ascii="宋体" w:hAnsi="宋体"/>
          <w:szCs w:val="21"/>
        </w:rPr>
        <w:t>，保障</w:t>
      </w:r>
      <w:r>
        <w:rPr>
          <w:rFonts w:hint="eastAsia" w:ascii="宋体" w:hAnsi="宋体"/>
          <w:szCs w:val="21"/>
        </w:rPr>
        <w:t>安全生产、</w:t>
      </w:r>
      <w:r>
        <w:rPr>
          <w:rFonts w:ascii="宋体" w:hAnsi="宋体"/>
          <w:szCs w:val="21"/>
        </w:rPr>
        <w:t>人身健康</w:t>
      </w:r>
      <w:r>
        <w:rPr>
          <w:rFonts w:hint="eastAsia" w:ascii="宋体" w:hAnsi="宋体"/>
          <w:szCs w:val="21"/>
        </w:rPr>
        <w:t>、环境保护</w:t>
      </w:r>
      <w:r>
        <w:rPr>
          <w:rFonts w:ascii="宋体" w:hAnsi="宋体"/>
          <w:szCs w:val="21"/>
        </w:rPr>
        <w:t>和财产安全，必须遵守国家和地方有关</w:t>
      </w:r>
      <w:r>
        <w:rPr>
          <w:rFonts w:hint="eastAsia" w:ascii="宋体" w:hAnsi="宋体"/>
          <w:szCs w:val="21"/>
        </w:rPr>
        <w:t>安全生产、职业健康、</w:t>
      </w:r>
      <w:r>
        <w:rPr>
          <w:rFonts w:ascii="宋体" w:hAnsi="宋体"/>
          <w:szCs w:val="21"/>
        </w:rPr>
        <w:t>环境保护和劳动用工等方面的法律法规、国家标准</w:t>
      </w:r>
      <w:r>
        <w:rPr>
          <w:rFonts w:hint="eastAsia" w:ascii="宋体" w:hAnsi="宋体"/>
          <w:szCs w:val="21"/>
        </w:rPr>
        <w:t>，以及甲方及其关联公司有关环境、健康和安全</w:t>
      </w:r>
      <w:r>
        <w:rPr>
          <w:rFonts w:ascii="宋体" w:hAnsi="宋体"/>
          <w:szCs w:val="21"/>
        </w:rPr>
        <w:t>管理要求、标准及预防措施</w:t>
      </w:r>
      <w:r>
        <w:rPr>
          <w:rFonts w:hint="eastAsia" w:ascii="宋体" w:hAnsi="宋体"/>
          <w:szCs w:val="21"/>
        </w:rPr>
        <w:t>，</w:t>
      </w:r>
      <w:r>
        <w:rPr>
          <w:rFonts w:ascii="宋体" w:hAnsi="宋体"/>
          <w:szCs w:val="21"/>
        </w:rPr>
        <w:t>自愿承诺严格遵守和执行本</w:t>
      </w:r>
      <w:r>
        <w:rPr>
          <w:rFonts w:hint="eastAsia" w:ascii="宋体" w:hAnsi="宋体"/>
          <w:szCs w:val="21"/>
        </w:rPr>
        <w:t>协议约定。</w:t>
      </w:r>
    </w:p>
    <w:p w14:paraId="2B86D769">
      <w:pPr>
        <w:numPr>
          <w:ilvl w:val="0"/>
          <w:numId w:val="15"/>
        </w:numPr>
        <w:adjustRightInd w:val="0"/>
        <w:snapToGrid w:val="0"/>
        <w:spacing w:line="320" w:lineRule="exact"/>
        <w:ind w:left="0" w:firstLine="0"/>
        <w:rPr>
          <w:rFonts w:ascii="宋体" w:hAnsi="宋体"/>
          <w:b/>
          <w:bCs/>
          <w:szCs w:val="21"/>
        </w:rPr>
      </w:pPr>
      <w:r>
        <w:rPr>
          <w:rFonts w:hint="eastAsia" w:ascii="宋体" w:hAnsi="宋体"/>
          <w:b/>
          <w:bCs/>
          <w:szCs w:val="21"/>
        </w:rPr>
        <w:t>甲方的权利和义务</w:t>
      </w:r>
    </w:p>
    <w:p w14:paraId="760D54EA">
      <w:pPr>
        <w:numPr>
          <w:ilvl w:val="0"/>
          <w:numId w:val="16"/>
        </w:numPr>
        <w:tabs>
          <w:tab w:val="left" w:pos="0"/>
        </w:tabs>
        <w:adjustRightInd w:val="0"/>
        <w:snapToGrid w:val="0"/>
        <w:spacing w:line="320" w:lineRule="exact"/>
        <w:ind w:left="0" w:firstLine="0"/>
        <w:rPr>
          <w:rFonts w:ascii="宋体" w:hAnsi="宋体"/>
          <w:szCs w:val="21"/>
        </w:rPr>
      </w:pPr>
      <w:r>
        <w:rPr>
          <w:rFonts w:hint="eastAsia" w:ascii="宋体" w:hAnsi="宋体"/>
          <w:szCs w:val="21"/>
        </w:rPr>
        <w:t>向乙方提供符合安全要求的作业环境和条件；</w:t>
      </w:r>
    </w:p>
    <w:p w14:paraId="1199CB05">
      <w:pPr>
        <w:numPr>
          <w:ilvl w:val="0"/>
          <w:numId w:val="16"/>
        </w:numPr>
        <w:tabs>
          <w:tab w:val="left" w:pos="0"/>
        </w:tabs>
        <w:adjustRightInd w:val="0"/>
        <w:snapToGrid w:val="0"/>
        <w:spacing w:line="320" w:lineRule="exact"/>
        <w:ind w:left="0" w:firstLine="0"/>
        <w:rPr>
          <w:rFonts w:ascii="宋体" w:hAnsi="宋体"/>
          <w:szCs w:val="21"/>
        </w:rPr>
      </w:pPr>
      <w:r>
        <w:rPr>
          <w:rFonts w:hint="eastAsia" w:ascii="宋体" w:hAnsi="宋体"/>
          <w:szCs w:val="21"/>
        </w:rPr>
        <w:t>向乙方进行危险有害因素及安全风险告知，开展安全技术交底；</w:t>
      </w:r>
    </w:p>
    <w:p w14:paraId="4B87797A">
      <w:pPr>
        <w:numPr>
          <w:ilvl w:val="0"/>
          <w:numId w:val="16"/>
        </w:numPr>
        <w:tabs>
          <w:tab w:val="left" w:pos="0"/>
        </w:tabs>
        <w:adjustRightInd w:val="0"/>
        <w:snapToGrid w:val="0"/>
        <w:spacing w:line="320" w:lineRule="exact"/>
        <w:ind w:left="0" w:firstLine="0"/>
        <w:rPr>
          <w:rFonts w:ascii="宋体" w:hAnsi="宋体"/>
          <w:szCs w:val="21"/>
        </w:rPr>
      </w:pPr>
      <w:r>
        <w:rPr>
          <w:rFonts w:hint="eastAsia" w:ascii="宋体" w:hAnsi="宋体"/>
          <w:szCs w:val="21"/>
        </w:rPr>
        <w:t>对乙方工作现场及作业过程进行安全检查及督导工作，对发现事故隐患和违章行为进行纠正和处理；</w:t>
      </w:r>
    </w:p>
    <w:p w14:paraId="786C5197">
      <w:pPr>
        <w:numPr>
          <w:ilvl w:val="0"/>
          <w:numId w:val="16"/>
        </w:numPr>
        <w:tabs>
          <w:tab w:val="left" w:pos="0"/>
        </w:tabs>
        <w:adjustRightInd w:val="0"/>
        <w:snapToGrid w:val="0"/>
        <w:spacing w:line="320" w:lineRule="exact"/>
        <w:ind w:left="0" w:firstLine="0"/>
        <w:rPr>
          <w:rFonts w:ascii="宋体" w:hAnsi="宋体"/>
          <w:szCs w:val="21"/>
        </w:rPr>
      </w:pPr>
      <w:r>
        <w:rPr>
          <w:rFonts w:hint="eastAsia" w:ascii="宋体" w:hAnsi="宋体"/>
          <w:szCs w:val="21"/>
        </w:rPr>
        <w:t>发生事故后积极组织抢险，防止事故扩大，并按有关规定进行报告；</w:t>
      </w:r>
      <w:r>
        <w:rPr>
          <w:rFonts w:ascii="宋体" w:hAnsi="宋体"/>
          <w:szCs w:val="21"/>
        </w:rPr>
        <w:tab/>
      </w:r>
    </w:p>
    <w:p w14:paraId="03C303E8">
      <w:pPr>
        <w:numPr>
          <w:ilvl w:val="0"/>
          <w:numId w:val="15"/>
        </w:numPr>
        <w:adjustRightInd w:val="0"/>
        <w:snapToGrid w:val="0"/>
        <w:spacing w:line="320" w:lineRule="exact"/>
        <w:ind w:left="0" w:firstLine="0"/>
        <w:rPr>
          <w:rFonts w:ascii="宋体" w:hAnsi="宋体"/>
          <w:b/>
          <w:bCs/>
          <w:szCs w:val="21"/>
        </w:rPr>
      </w:pPr>
      <w:r>
        <w:rPr>
          <w:rFonts w:hint="eastAsia" w:ascii="宋体" w:hAnsi="宋体"/>
          <w:b/>
          <w:bCs/>
          <w:szCs w:val="21"/>
        </w:rPr>
        <w:t>承包商安全管理基本要求</w:t>
      </w:r>
    </w:p>
    <w:p w14:paraId="6691D397">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依据合作合同作业内容的风险因素、人员配置、服务时长，甲方将对承包商进行必要的分类管理；乙方应遵守甲方分类管理的要求；</w:t>
      </w:r>
    </w:p>
    <w:p w14:paraId="3DE2E7D4">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所有纳入高风险分类的承包商，甲方将进行安全资格审查。其中，安全资格审查的主要因素包括：全员安全生产责任制、安全生产规章制度；岗位安全操作规程、安全生产教育和培训计划；从业人员保险；特种作业人员资格证（如涉及须提供）；生产安全事故应急救援预案；近三年来的安全业绩，事故事件管理及安全管理相关违约情况等；</w:t>
      </w:r>
    </w:p>
    <w:p w14:paraId="2AB2AB9F">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在未获得《承包商安全卡》前，须严格遵守访客安全要求；承包商所有人员（包括但不限于乙方雇佣、聘用、聘请等）均将熟知甲方提供的安全告知或通过甲方组织的安全考试并提供个人基本信息，用于制作《承包商安全卡》或生成《承包商安全卡》电子版；《承包商安全卡》（或电子版） 必须随身携带，用于厂（场）地的进出并随时接受检查，禁止持访客证进行作业；</w:t>
      </w:r>
    </w:p>
    <w:p w14:paraId="1302C573">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物资应统计、登记并标识，用于物资进出厂（场）管理；承包商工器具及设备设施均应接受甲方必要的安全检查并张贴合格标识；</w:t>
      </w:r>
    </w:p>
    <w:p w14:paraId="08291AEE">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在开工前应接受安全沟通审查，并配合甲方或同甲方共同完成相关开工许可；承包商应知悉并同意任何偏离原定计划的项目或作业程序的变更，都将可能导致甲方重新进行安全评估、沟通及审查，并重新作出是否继续作业的许可；</w:t>
      </w:r>
    </w:p>
    <w:p w14:paraId="42524801">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驻厂承包商应纳入到甲方的日常环境、健康和安全管理范畴；</w:t>
      </w:r>
    </w:p>
    <w:p w14:paraId="57758CAE">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在作业过程中应严格遵守甲方关于工作安全分析、安全工作票审批、节假日管理、奖励、奖惩及黑名单等要求；甲方有权暂停或终止纳入黑名单的承包商在甲方及其关联公司已经进行中或未来招标采购项目的参与资格；</w:t>
      </w:r>
    </w:p>
    <w:p w14:paraId="6588A58A">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项目完工之前，甲方将进行验收工作，承包商针对验收过程中发现的安全隐患和问题应形成记录，按照要求进行整改并将整改结果反馈甲方；</w:t>
      </w:r>
    </w:p>
    <w:p w14:paraId="7A9B82FE">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对于项目周期≥</w:t>
      </w:r>
      <w:r>
        <w:rPr>
          <w:rFonts w:ascii="宋体" w:hAnsi="宋体"/>
          <w:szCs w:val="21"/>
        </w:rPr>
        <w:t>6个月的</w:t>
      </w:r>
      <w:r>
        <w:rPr>
          <w:rFonts w:hint="eastAsia" w:ascii="宋体" w:hAnsi="宋体"/>
          <w:szCs w:val="21"/>
        </w:rPr>
        <w:t>高风险</w:t>
      </w:r>
      <w:r>
        <w:rPr>
          <w:rFonts w:ascii="宋体" w:hAnsi="宋体"/>
          <w:szCs w:val="21"/>
        </w:rPr>
        <w:t>承包商，</w:t>
      </w:r>
      <w:r>
        <w:rPr>
          <w:rFonts w:hint="eastAsia" w:ascii="宋体" w:hAnsi="宋体"/>
          <w:szCs w:val="21"/>
        </w:rPr>
        <w:t>甲方将</w:t>
      </w:r>
      <w:r>
        <w:rPr>
          <w:rFonts w:ascii="宋体" w:hAnsi="宋体"/>
          <w:szCs w:val="21"/>
        </w:rPr>
        <w:t>每半年进行一次</w:t>
      </w:r>
      <w:r>
        <w:rPr>
          <w:rFonts w:hint="eastAsia" w:ascii="宋体" w:hAnsi="宋体"/>
          <w:szCs w:val="21"/>
        </w:rPr>
        <w:t>安全</w:t>
      </w:r>
      <w:r>
        <w:rPr>
          <w:rFonts w:ascii="宋体" w:hAnsi="宋体"/>
          <w:szCs w:val="21"/>
        </w:rPr>
        <w:t>表现评估</w:t>
      </w:r>
      <w:r>
        <w:rPr>
          <w:rFonts w:hint="eastAsia" w:ascii="宋体" w:hAnsi="宋体"/>
          <w:szCs w:val="21"/>
        </w:rPr>
        <w:t>，并在项目结束时再进行一次，承包商将会被告知表现评估结果。</w:t>
      </w:r>
    </w:p>
    <w:p w14:paraId="59FCD6AA">
      <w:pPr>
        <w:numPr>
          <w:ilvl w:val="0"/>
          <w:numId w:val="15"/>
        </w:numPr>
        <w:adjustRightInd w:val="0"/>
        <w:snapToGrid w:val="0"/>
        <w:spacing w:line="320" w:lineRule="exact"/>
        <w:ind w:left="274" w:hanging="274"/>
        <w:rPr>
          <w:rFonts w:ascii="宋体" w:hAnsi="宋体"/>
          <w:b/>
          <w:bCs/>
          <w:szCs w:val="21"/>
        </w:rPr>
      </w:pPr>
      <w:r>
        <w:rPr>
          <w:rFonts w:ascii="宋体" w:hAnsi="宋体"/>
          <w:b/>
          <w:bCs/>
          <w:szCs w:val="21"/>
        </w:rPr>
        <w:t>关于</w:t>
      </w:r>
      <w:r>
        <w:rPr>
          <w:rFonts w:ascii="宋体" w:hAnsi="宋体"/>
          <w:b/>
          <w:szCs w:val="21"/>
        </w:rPr>
        <w:t>承包商</w:t>
      </w:r>
      <w:r>
        <w:rPr>
          <w:rFonts w:ascii="宋体" w:hAnsi="宋体"/>
          <w:b/>
          <w:bCs/>
          <w:szCs w:val="21"/>
        </w:rPr>
        <w:t>安全作业</w:t>
      </w:r>
    </w:p>
    <w:p w14:paraId="74346D35">
      <w:pPr>
        <w:numPr>
          <w:ilvl w:val="0"/>
          <w:numId w:val="18"/>
        </w:numPr>
        <w:adjustRightInd w:val="0"/>
        <w:snapToGrid w:val="0"/>
        <w:spacing w:line="320" w:lineRule="exact"/>
        <w:rPr>
          <w:rFonts w:ascii="宋体" w:hAnsi="宋体"/>
          <w:szCs w:val="21"/>
        </w:rPr>
      </w:pPr>
      <w:r>
        <w:rPr>
          <w:rFonts w:hint="eastAsia" w:ascii="宋体" w:hAnsi="宋体"/>
          <w:szCs w:val="21"/>
        </w:rPr>
        <w:t>须</w:t>
      </w:r>
      <w:r>
        <w:rPr>
          <w:rFonts w:ascii="宋体" w:hAnsi="宋体"/>
          <w:szCs w:val="21"/>
        </w:rPr>
        <w:t>指定专人或兼职人员负责日常安全巡查，并定期向</w:t>
      </w:r>
      <w:r>
        <w:rPr>
          <w:rFonts w:hint="eastAsia" w:ascii="宋体" w:hAnsi="宋体"/>
          <w:szCs w:val="21"/>
        </w:rPr>
        <w:t>直线经理及相关方管理负责人通报；</w:t>
      </w:r>
    </w:p>
    <w:p w14:paraId="314EF187">
      <w:pPr>
        <w:numPr>
          <w:ilvl w:val="0"/>
          <w:numId w:val="18"/>
        </w:numPr>
        <w:adjustRightInd w:val="0"/>
        <w:snapToGrid w:val="0"/>
        <w:spacing w:line="320" w:lineRule="exact"/>
        <w:rPr>
          <w:rFonts w:ascii="宋体" w:hAnsi="宋体"/>
          <w:szCs w:val="21"/>
        </w:rPr>
      </w:pPr>
      <w:r>
        <w:rPr>
          <w:rFonts w:hint="eastAsia" w:ascii="宋体" w:hAnsi="宋体"/>
          <w:szCs w:val="21"/>
        </w:rPr>
        <w:t>须</w:t>
      </w:r>
      <w:r>
        <w:rPr>
          <w:rFonts w:ascii="宋体" w:hAnsi="宋体"/>
          <w:szCs w:val="21"/>
        </w:rPr>
        <w:t>知悉作业中存在或可能存在的影响人身安全和财产安全的</w:t>
      </w:r>
      <w:r>
        <w:rPr>
          <w:rFonts w:hint="eastAsia" w:ascii="宋体" w:hAnsi="宋体"/>
          <w:szCs w:val="21"/>
        </w:rPr>
        <w:t>危险有害因素，</w:t>
      </w:r>
      <w:r>
        <w:rPr>
          <w:rFonts w:ascii="宋体" w:hAnsi="宋体"/>
          <w:szCs w:val="21"/>
        </w:rPr>
        <w:t>并进行相关的防范和防护，负责作业区域内的安全管理，全面落实安全生产责任制并承担安全管理责任；建立相关的安全生产管理规章制度，建立健全</w:t>
      </w:r>
      <w:r>
        <w:rPr>
          <w:rFonts w:hint="eastAsia" w:ascii="宋体" w:hAnsi="宋体"/>
          <w:szCs w:val="21"/>
        </w:rPr>
        <w:t>安全风险分级管控和隐患排查治理工作机制</w:t>
      </w:r>
      <w:r>
        <w:rPr>
          <w:rFonts w:ascii="宋体" w:hAnsi="宋体"/>
          <w:szCs w:val="21"/>
        </w:rPr>
        <w:t>，采取技术、管理措施，及时发现并消除事故隐患；事故隐患排查治理情况应当如实记录并向从业人员通报</w:t>
      </w:r>
      <w:r>
        <w:rPr>
          <w:rFonts w:hint="eastAsia" w:ascii="宋体" w:hAnsi="宋体"/>
          <w:szCs w:val="21"/>
        </w:rPr>
        <w:t>；</w:t>
      </w:r>
    </w:p>
    <w:p w14:paraId="5B410476">
      <w:pPr>
        <w:numPr>
          <w:ilvl w:val="0"/>
          <w:numId w:val="18"/>
        </w:numPr>
        <w:adjustRightInd w:val="0"/>
        <w:snapToGrid w:val="0"/>
        <w:spacing w:line="320" w:lineRule="exact"/>
        <w:rPr>
          <w:rFonts w:ascii="宋体" w:hAnsi="宋体"/>
          <w:szCs w:val="21"/>
        </w:rPr>
      </w:pPr>
      <w:r>
        <w:rPr>
          <w:rFonts w:ascii="宋体" w:hAnsi="宋体"/>
          <w:szCs w:val="21"/>
        </w:rPr>
        <w:t>应</w:t>
      </w:r>
      <w:r>
        <w:rPr>
          <w:rFonts w:hint="eastAsia" w:ascii="宋体" w:hAnsi="宋体"/>
          <w:szCs w:val="21"/>
        </w:rPr>
        <w:t>在进厂（场）作业前对其从业人员进行安全生产教育和培训（包括但不限于三级安全教育），保证从业人员具备必要的安全生产知识，熟悉有关的安全生产规章制度和安全操作规程，掌握本岗位的安全操作技能，了解事故应急处理措施，知悉自身在安全生产方面的权利和义务；确保对作业人员进行100%的培训，对于经过培训并考核合格的从业人员，由甲方发放《承包商安全卡》或生成《承包商安全卡》电子版 ；未经安全生产教育和培训合格的从业人员，不得上岗作业；否则，甲方有权拒绝该从业人员进厂（场），或要求该从业人员停止作业；</w:t>
      </w:r>
    </w:p>
    <w:p w14:paraId="44C62603">
      <w:pPr>
        <w:numPr>
          <w:ilvl w:val="0"/>
          <w:numId w:val="18"/>
        </w:numPr>
        <w:adjustRightInd w:val="0"/>
        <w:snapToGrid w:val="0"/>
        <w:spacing w:line="320" w:lineRule="exact"/>
        <w:rPr>
          <w:rFonts w:ascii="宋体" w:hAnsi="宋体"/>
          <w:szCs w:val="21"/>
        </w:rPr>
      </w:pPr>
      <w:r>
        <w:rPr>
          <w:rFonts w:ascii="宋体" w:hAnsi="宋体"/>
          <w:szCs w:val="21"/>
        </w:rPr>
        <w:t>在作业前，应该成立一个合格的</w:t>
      </w:r>
      <w:r>
        <w:rPr>
          <w:rFonts w:hint="eastAsia" w:ascii="宋体" w:hAnsi="宋体"/>
          <w:szCs w:val="21"/>
        </w:rPr>
        <w:t>安全</w:t>
      </w:r>
      <w:r>
        <w:rPr>
          <w:rFonts w:ascii="宋体" w:hAnsi="宋体"/>
          <w:szCs w:val="21"/>
        </w:rPr>
        <w:t>管理团队，委派一名负责EHS和质量的</w:t>
      </w:r>
      <w:r>
        <w:rPr>
          <w:rFonts w:hint="eastAsia" w:ascii="宋体" w:hAnsi="宋体"/>
          <w:szCs w:val="21"/>
        </w:rPr>
        <w:t>现场</w:t>
      </w:r>
      <w:r>
        <w:rPr>
          <w:rFonts w:ascii="宋体" w:hAnsi="宋体"/>
          <w:szCs w:val="21"/>
        </w:rPr>
        <w:t>管理人员，负责进行作业</w:t>
      </w:r>
      <w:r>
        <w:rPr>
          <w:rFonts w:hint="eastAsia" w:ascii="宋体" w:hAnsi="宋体"/>
          <w:szCs w:val="21"/>
        </w:rPr>
        <w:t>现场</w:t>
      </w:r>
      <w:r>
        <w:rPr>
          <w:rFonts w:ascii="宋体" w:hAnsi="宋体"/>
          <w:szCs w:val="21"/>
        </w:rPr>
        <w:t>的日常管理；同时，组织作业人员</w:t>
      </w:r>
      <w:r>
        <w:rPr>
          <w:rFonts w:hint="eastAsia" w:ascii="宋体" w:hAnsi="宋体"/>
          <w:szCs w:val="21"/>
        </w:rPr>
        <w:t>进行</w:t>
      </w:r>
      <w:r>
        <w:rPr>
          <w:rFonts w:hint="eastAsia"/>
        </w:rPr>
        <w:t>常规健康体检</w:t>
      </w:r>
      <w:r>
        <w:rPr>
          <w:rFonts w:ascii="宋体" w:hAnsi="宋体"/>
          <w:szCs w:val="21"/>
        </w:rPr>
        <w:t>，</w:t>
      </w:r>
      <w:r>
        <w:rPr>
          <w:rFonts w:hint="eastAsia" w:ascii="宋体" w:hAnsi="宋体"/>
          <w:szCs w:val="21"/>
        </w:rPr>
        <w:t>涉及接触职业健康危害因素的作业人员要进行</w:t>
      </w:r>
      <w:r>
        <w:rPr>
          <w:rFonts w:hint="eastAsia"/>
        </w:rPr>
        <w:t>职业健康体检，</w:t>
      </w:r>
      <w:r>
        <w:rPr>
          <w:rFonts w:ascii="宋体" w:hAnsi="宋体"/>
          <w:szCs w:val="21"/>
        </w:rPr>
        <w:t>为作业人员购买保险，向甲方报备</w:t>
      </w:r>
      <w:r>
        <w:rPr>
          <w:rFonts w:hint="eastAsia" w:ascii="宋体" w:hAnsi="宋体"/>
          <w:szCs w:val="21"/>
        </w:rPr>
        <w:t>现场</w:t>
      </w:r>
      <w:r>
        <w:rPr>
          <w:rFonts w:ascii="宋体" w:hAnsi="宋体"/>
          <w:szCs w:val="21"/>
        </w:rPr>
        <w:t>安全管理人员和作业人员清单（如发生变动时应及时更新）</w:t>
      </w:r>
      <w:r>
        <w:rPr>
          <w:rFonts w:hint="eastAsia" w:ascii="宋体" w:hAnsi="宋体"/>
          <w:szCs w:val="21"/>
        </w:rPr>
        <w:t>；</w:t>
      </w:r>
    </w:p>
    <w:p w14:paraId="3C98DB20">
      <w:pPr>
        <w:numPr>
          <w:ilvl w:val="0"/>
          <w:numId w:val="18"/>
        </w:numPr>
        <w:adjustRightInd w:val="0"/>
        <w:snapToGrid w:val="0"/>
        <w:spacing w:line="320" w:lineRule="exact"/>
        <w:rPr>
          <w:rFonts w:ascii="宋体" w:hAnsi="宋体"/>
          <w:szCs w:val="21"/>
        </w:rPr>
      </w:pPr>
      <w:r>
        <w:rPr>
          <w:rFonts w:ascii="宋体" w:hAnsi="宋体"/>
          <w:szCs w:val="21"/>
        </w:rPr>
        <w:t>在作业前，承包商有责任为其作业人员提供作业所需的工具、设备和个人防护用品</w:t>
      </w:r>
      <w:r>
        <w:rPr>
          <w:rFonts w:hint="eastAsia" w:ascii="宋体" w:hAnsi="宋体"/>
          <w:szCs w:val="21"/>
        </w:rPr>
        <w:t>；</w:t>
      </w:r>
    </w:p>
    <w:p w14:paraId="3F2FF58B">
      <w:pPr>
        <w:numPr>
          <w:ilvl w:val="0"/>
          <w:numId w:val="18"/>
        </w:numPr>
        <w:adjustRightInd w:val="0"/>
        <w:snapToGrid w:val="0"/>
        <w:spacing w:line="320" w:lineRule="exact"/>
        <w:rPr>
          <w:rFonts w:ascii="宋体" w:hAnsi="宋体"/>
          <w:szCs w:val="21"/>
        </w:rPr>
      </w:pPr>
      <w:r>
        <w:rPr>
          <w:rFonts w:ascii="宋体" w:hAnsi="宋体"/>
          <w:szCs w:val="21"/>
        </w:rPr>
        <w:t>在作业期间，</w:t>
      </w:r>
      <w:r>
        <w:rPr>
          <w:rFonts w:hint="eastAsia" w:ascii="宋体" w:hAnsi="宋体"/>
          <w:szCs w:val="21"/>
        </w:rPr>
        <w:t>须</w:t>
      </w:r>
      <w:r>
        <w:rPr>
          <w:rFonts w:ascii="宋体" w:hAnsi="宋体"/>
          <w:szCs w:val="21"/>
        </w:rPr>
        <w:t>向甲方提供：工作描述、风险和危险的性质、作业人员资格和培训</w:t>
      </w:r>
      <w:r>
        <w:rPr>
          <w:rFonts w:hint="eastAsia" w:ascii="宋体" w:hAnsi="宋体"/>
          <w:szCs w:val="21"/>
        </w:rPr>
        <w:t>情况</w:t>
      </w:r>
      <w:r>
        <w:rPr>
          <w:rFonts w:ascii="宋体" w:hAnsi="宋体"/>
          <w:szCs w:val="21"/>
        </w:rPr>
        <w:t>、设备和物资</w:t>
      </w:r>
      <w:r>
        <w:rPr>
          <w:rFonts w:hint="eastAsia" w:ascii="宋体" w:hAnsi="宋体"/>
          <w:szCs w:val="21"/>
        </w:rPr>
        <w:t>情况</w:t>
      </w:r>
      <w:r>
        <w:rPr>
          <w:rFonts w:ascii="宋体" w:hAnsi="宋体"/>
          <w:szCs w:val="21"/>
        </w:rPr>
        <w:t>、个人防护设备</w:t>
      </w:r>
      <w:r>
        <w:rPr>
          <w:rFonts w:hint="eastAsia" w:ascii="宋体" w:hAnsi="宋体"/>
          <w:szCs w:val="21"/>
        </w:rPr>
        <w:t>情况</w:t>
      </w:r>
      <w:r>
        <w:rPr>
          <w:rFonts w:ascii="宋体" w:hAnsi="宋体"/>
          <w:szCs w:val="21"/>
        </w:rPr>
        <w:t>、作业安全完成</w:t>
      </w:r>
      <w:r>
        <w:rPr>
          <w:rFonts w:hint="eastAsia" w:ascii="宋体" w:hAnsi="宋体"/>
          <w:szCs w:val="21"/>
        </w:rPr>
        <w:t>情况</w:t>
      </w:r>
      <w:r>
        <w:rPr>
          <w:rFonts w:ascii="宋体" w:hAnsi="宋体"/>
          <w:szCs w:val="21"/>
        </w:rPr>
        <w:t>等</w:t>
      </w:r>
      <w:r>
        <w:rPr>
          <w:rFonts w:hint="eastAsia" w:ascii="宋体" w:hAnsi="宋体"/>
          <w:szCs w:val="21"/>
        </w:rPr>
        <w:t>；</w:t>
      </w:r>
    </w:p>
    <w:p w14:paraId="76CA64E1">
      <w:pPr>
        <w:numPr>
          <w:ilvl w:val="0"/>
          <w:numId w:val="18"/>
        </w:numPr>
        <w:adjustRightInd w:val="0"/>
        <w:snapToGrid w:val="0"/>
        <w:spacing w:line="320" w:lineRule="exact"/>
        <w:rPr>
          <w:rFonts w:ascii="宋体" w:hAnsi="宋体"/>
          <w:szCs w:val="21"/>
        </w:rPr>
      </w:pPr>
      <w:r>
        <w:rPr>
          <w:rFonts w:ascii="宋体" w:hAnsi="宋体"/>
          <w:szCs w:val="21"/>
        </w:rPr>
        <w:t>出于对作业人员身体素质和身体健康的考虑，承包商</w:t>
      </w:r>
      <w:r>
        <w:rPr>
          <w:rFonts w:hint="eastAsia" w:ascii="宋体" w:hAnsi="宋体"/>
          <w:szCs w:val="21"/>
        </w:rPr>
        <w:t>不得</w:t>
      </w:r>
      <w:r>
        <w:rPr>
          <w:rFonts w:ascii="宋体" w:hAnsi="宋体"/>
          <w:szCs w:val="21"/>
        </w:rPr>
        <w:t>使用年龄超过63岁的男性和55岁的女性人员作为承包商的作业人员在甲方</w:t>
      </w:r>
      <w:r>
        <w:rPr>
          <w:rFonts w:hint="eastAsia" w:ascii="宋体" w:hAnsi="宋体"/>
          <w:szCs w:val="21"/>
        </w:rPr>
        <w:t>厂（场）地</w:t>
      </w:r>
      <w:r>
        <w:rPr>
          <w:rFonts w:ascii="宋体" w:hAnsi="宋体"/>
          <w:szCs w:val="21"/>
        </w:rPr>
        <w:t>内作业</w:t>
      </w:r>
      <w:r>
        <w:rPr>
          <w:rFonts w:hint="eastAsia" w:ascii="宋体" w:hAnsi="宋体"/>
          <w:szCs w:val="21"/>
        </w:rPr>
        <w:t>；</w:t>
      </w:r>
    </w:p>
    <w:p w14:paraId="3390DD6A">
      <w:pPr>
        <w:numPr>
          <w:ilvl w:val="0"/>
          <w:numId w:val="18"/>
        </w:numPr>
        <w:adjustRightInd w:val="0"/>
        <w:snapToGrid w:val="0"/>
        <w:spacing w:line="320" w:lineRule="exact"/>
        <w:rPr>
          <w:rFonts w:ascii="宋体" w:hAnsi="宋体"/>
          <w:szCs w:val="21"/>
        </w:rPr>
      </w:pPr>
      <w:r>
        <w:rPr>
          <w:rFonts w:ascii="宋体" w:hAnsi="宋体"/>
          <w:szCs w:val="21"/>
        </w:rPr>
        <w:t>不得在作业区域内设置厨房和饭堂</w:t>
      </w:r>
      <w:r>
        <w:rPr>
          <w:rFonts w:hint="eastAsia" w:ascii="宋体" w:hAnsi="宋体"/>
          <w:szCs w:val="21"/>
        </w:rPr>
        <w:t>；</w:t>
      </w:r>
    </w:p>
    <w:p w14:paraId="4DA18008">
      <w:pPr>
        <w:numPr>
          <w:ilvl w:val="0"/>
          <w:numId w:val="18"/>
        </w:numPr>
        <w:adjustRightInd w:val="0"/>
        <w:snapToGrid w:val="0"/>
        <w:spacing w:line="320" w:lineRule="exact"/>
        <w:rPr>
          <w:rFonts w:ascii="宋体" w:hAnsi="宋体"/>
          <w:szCs w:val="21"/>
        </w:rPr>
      </w:pPr>
      <w:r>
        <w:rPr>
          <w:rFonts w:ascii="宋体" w:hAnsi="宋体"/>
          <w:szCs w:val="21"/>
        </w:rPr>
        <w:t>作业</w:t>
      </w:r>
      <w:r>
        <w:rPr>
          <w:rFonts w:hint="eastAsia" w:ascii="宋体" w:hAnsi="宋体"/>
          <w:szCs w:val="21"/>
        </w:rPr>
        <w:t>过程须</w:t>
      </w:r>
      <w:r>
        <w:rPr>
          <w:rFonts w:ascii="宋体" w:hAnsi="宋体"/>
          <w:szCs w:val="21"/>
        </w:rPr>
        <w:t>时刻保持高标准的清洁卫生，确保施工原料和设备设施的有序存放，及时</w:t>
      </w:r>
      <w:r>
        <w:rPr>
          <w:rFonts w:hint="eastAsia" w:ascii="宋体" w:hAnsi="宋体"/>
          <w:szCs w:val="21"/>
        </w:rPr>
        <w:t>清理处置</w:t>
      </w:r>
      <w:r>
        <w:rPr>
          <w:rFonts w:ascii="宋体" w:hAnsi="宋体"/>
          <w:szCs w:val="21"/>
        </w:rPr>
        <w:t>施工垃圾</w:t>
      </w:r>
      <w:r>
        <w:rPr>
          <w:rFonts w:hint="eastAsia" w:ascii="宋体" w:hAnsi="宋体"/>
          <w:szCs w:val="21"/>
        </w:rPr>
        <w:t>并保证清洁工作符合甲方要求；</w:t>
      </w:r>
    </w:p>
    <w:p w14:paraId="3D7454A1">
      <w:pPr>
        <w:numPr>
          <w:ilvl w:val="0"/>
          <w:numId w:val="18"/>
        </w:numPr>
        <w:tabs>
          <w:tab w:val="left" w:pos="567"/>
        </w:tabs>
        <w:adjustRightInd w:val="0"/>
        <w:snapToGrid w:val="0"/>
        <w:spacing w:line="320" w:lineRule="exact"/>
        <w:rPr>
          <w:rFonts w:ascii="宋体" w:hAnsi="宋体"/>
          <w:szCs w:val="21"/>
        </w:rPr>
      </w:pPr>
      <w:r>
        <w:rPr>
          <w:rFonts w:hint="eastAsia" w:ascii="宋体" w:hAnsi="宋体"/>
          <w:szCs w:val="21"/>
        </w:rPr>
        <w:t>须</w:t>
      </w:r>
      <w:r>
        <w:rPr>
          <w:rFonts w:ascii="宋体" w:hAnsi="宋体"/>
          <w:szCs w:val="21"/>
        </w:rPr>
        <w:t>及时上报作业过程中存在的问题和发生的不安全行为、事件和事故</w:t>
      </w:r>
      <w:r>
        <w:rPr>
          <w:rFonts w:hint="eastAsia" w:ascii="宋体" w:hAnsi="宋体"/>
          <w:szCs w:val="21"/>
        </w:rPr>
        <w:t>；</w:t>
      </w:r>
    </w:p>
    <w:p w14:paraId="7112DC08">
      <w:pPr>
        <w:pStyle w:val="18"/>
        <w:numPr>
          <w:ilvl w:val="0"/>
          <w:numId w:val="18"/>
        </w:numPr>
        <w:tabs>
          <w:tab w:val="left" w:pos="567"/>
        </w:tabs>
        <w:adjustRightInd w:val="0"/>
        <w:snapToGrid w:val="0"/>
        <w:spacing w:line="320" w:lineRule="exact"/>
        <w:ind w:firstLineChars="0"/>
        <w:rPr>
          <w:rFonts w:ascii="宋体" w:hAnsi="宋体"/>
          <w:szCs w:val="21"/>
        </w:rPr>
      </w:pPr>
      <w:r>
        <w:rPr>
          <w:rFonts w:hint="eastAsia" w:ascii="宋体" w:hAnsi="宋体"/>
          <w:szCs w:val="21"/>
        </w:rPr>
        <w:t>须及时按照约定购买雇主责任险、意外伤害险、建筑工程一切险等商业保险，保障项目保险金额不应低于本协议签订当期全国一次性工亡补助标准，意外伤害险中涉及人身医疗险、伤残及身故险应同时满足上述保险金额；未购买保险的作业人员严禁入厂作业。</w:t>
      </w:r>
    </w:p>
    <w:p w14:paraId="1934CBC2">
      <w:pPr>
        <w:pStyle w:val="18"/>
        <w:numPr>
          <w:ilvl w:val="0"/>
          <w:numId w:val="18"/>
        </w:numPr>
        <w:tabs>
          <w:tab w:val="left" w:pos="567"/>
        </w:tabs>
        <w:adjustRightInd w:val="0"/>
        <w:snapToGrid w:val="0"/>
        <w:spacing w:line="320" w:lineRule="exact"/>
        <w:ind w:firstLineChars="0"/>
        <w:rPr>
          <w:rFonts w:ascii="宋体" w:hAnsi="宋体"/>
          <w:szCs w:val="21"/>
        </w:rPr>
      </w:pPr>
      <w:r>
        <w:rPr>
          <w:rFonts w:hint="eastAsia" w:ascii="宋体" w:hAnsi="宋体"/>
          <w:szCs w:val="21"/>
        </w:rPr>
        <w:t>物流供应商须对于高频率（每月入厂次数≥1）司机及随车人员按照3.11条款执行。</w:t>
      </w:r>
    </w:p>
    <w:p w14:paraId="52A496D9">
      <w:pPr>
        <w:numPr>
          <w:ilvl w:val="0"/>
          <w:numId w:val="15"/>
        </w:numPr>
        <w:adjustRightInd w:val="0"/>
        <w:snapToGrid w:val="0"/>
        <w:spacing w:line="320" w:lineRule="exact"/>
        <w:ind w:left="274" w:hanging="274"/>
        <w:rPr>
          <w:rFonts w:ascii="宋体" w:hAnsi="宋体"/>
          <w:b/>
          <w:bCs/>
          <w:szCs w:val="21"/>
        </w:rPr>
      </w:pPr>
      <w:r>
        <w:rPr>
          <w:rFonts w:ascii="宋体" w:hAnsi="宋体"/>
          <w:b/>
          <w:bCs/>
          <w:szCs w:val="21"/>
        </w:rPr>
        <w:t>关于</w:t>
      </w:r>
      <w:r>
        <w:rPr>
          <w:rFonts w:hint="eastAsia" w:ascii="宋体" w:hAnsi="宋体"/>
          <w:b/>
          <w:bCs/>
          <w:szCs w:val="21"/>
        </w:rPr>
        <w:t>承包商禁止</w:t>
      </w:r>
      <w:r>
        <w:rPr>
          <w:rFonts w:ascii="宋体" w:hAnsi="宋体"/>
          <w:b/>
          <w:bCs/>
          <w:szCs w:val="21"/>
        </w:rPr>
        <w:t>行为</w:t>
      </w:r>
    </w:p>
    <w:p w14:paraId="40A1294A">
      <w:pPr>
        <w:tabs>
          <w:tab w:val="left" w:pos="0"/>
        </w:tabs>
        <w:adjustRightInd w:val="0"/>
        <w:snapToGrid w:val="0"/>
        <w:spacing w:line="320" w:lineRule="exact"/>
        <w:ind w:firstLine="420" w:firstLineChars="200"/>
        <w:rPr>
          <w:rFonts w:ascii="宋体" w:hAnsi="宋体"/>
          <w:szCs w:val="21"/>
        </w:rPr>
      </w:pPr>
      <w:r>
        <w:rPr>
          <w:rFonts w:hint="eastAsia" w:ascii="宋体" w:hAnsi="宋体"/>
          <w:szCs w:val="21"/>
        </w:rPr>
        <w:t>承包商</w:t>
      </w:r>
      <w:r>
        <w:rPr>
          <w:rFonts w:hint="eastAsia"/>
        </w:rPr>
        <w:t>及其作业人员</w:t>
      </w:r>
      <w:r>
        <w:rPr>
          <w:rFonts w:hint="eastAsia" w:ascii="宋体" w:hAnsi="宋体"/>
          <w:szCs w:val="21"/>
        </w:rPr>
        <w:t>须知悉和避免在甲方厂（场）内出现以下“禁止行为”，否则，甲方有权追究相关责任并拒绝承包商及相关人员进厂（场）作业；</w:t>
      </w:r>
    </w:p>
    <w:p w14:paraId="61A6DF7A">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厂（场）区内严禁喝酒或饮用任何含酒精类的饮料及服用精神药物或毒品</w:t>
      </w:r>
      <w:r>
        <w:rPr>
          <w:rFonts w:hint="eastAsia" w:ascii="宋体" w:hAnsi="宋体"/>
          <w:szCs w:val="21"/>
        </w:rPr>
        <w:t>；</w:t>
      </w:r>
    </w:p>
    <w:p w14:paraId="02D163DD">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厂（场）内除吸烟区外，严禁在其</w:t>
      </w:r>
      <w:r>
        <w:rPr>
          <w:rFonts w:hint="eastAsia" w:ascii="宋体" w:hAnsi="宋体"/>
          <w:szCs w:val="21"/>
        </w:rPr>
        <w:t>它</w:t>
      </w:r>
      <w:r>
        <w:rPr>
          <w:rFonts w:ascii="宋体" w:hAnsi="宋体"/>
          <w:szCs w:val="21"/>
        </w:rPr>
        <w:t>地方吸烟，未经允许严禁动用明火</w:t>
      </w:r>
      <w:r>
        <w:rPr>
          <w:rFonts w:hint="eastAsia" w:ascii="宋体" w:hAnsi="宋体"/>
          <w:szCs w:val="21"/>
        </w:rPr>
        <w:t>；</w:t>
      </w:r>
    </w:p>
    <w:p w14:paraId="670B01C3">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厂（场）内严禁追逐、打闹、嬉戏、打架、辱骂、伤害他人等行为；</w:t>
      </w:r>
    </w:p>
    <w:p w14:paraId="72978585">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严禁偷盗和故意破坏任何设施，严禁</w:t>
      </w:r>
      <w:r>
        <w:rPr>
          <w:rFonts w:hint="eastAsia" w:ascii="宋体" w:hAnsi="宋体"/>
          <w:szCs w:val="21"/>
        </w:rPr>
        <w:t>随意挪用</w:t>
      </w:r>
      <w:r>
        <w:rPr>
          <w:rFonts w:ascii="宋体" w:hAnsi="宋体"/>
          <w:szCs w:val="21"/>
        </w:rPr>
        <w:t>消防器材</w:t>
      </w:r>
      <w:r>
        <w:rPr>
          <w:rFonts w:hint="eastAsia" w:ascii="宋体" w:hAnsi="宋体"/>
          <w:szCs w:val="21"/>
        </w:rPr>
        <w:t>和应急物资</w:t>
      </w:r>
      <w:r>
        <w:rPr>
          <w:rFonts w:ascii="宋体" w:hAnsi="宋体"/>
          <w:szCs w:val="21"/>
        </w:rPr>
        <w:t>；</w:t>
      </w:r>
    </w:p>
    <w:p w14:paraId="313FFB55">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严禁将废物、化学品和其他未经允许的物质排放至污水处理系统、雨水沟、下水道、地面、绿化带、大气环境等区域，严禁污染土壤、空气、环境和地表径流；</w:t>
      </w:r>
    </w:p>
    <w:p w14:paraId="39FE5BDC">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严禁掩埋、燃烧</w:t>
      </w:r>
      <w:r>
        <w:rPr>
          <w:rFonts w:hint="eastAsia" w:ascii="宋体" w:hAnsi="宋体"/>
          <w:szCs w:val="21"/>
        </w:rPr>
        <w:t>及</w:t>
      </w:r>
      <w:r>
        <w:rPr>
          <w:rFonts w:ascii="宋体" w:hAnsi="宋体"/>
          <w:szCs w:val="21"/>
        </w:rPr>
        <w:t>生产</w:t>
      </w:r>
      <w:r>
        <w:rPr>
          <w:rFonts w:hint="eastAsia" w:ascii="宋体" w:hAnsi="宋体"/>
          <w:szCs w:val="21"/>
        </w:rPr>
        <w:t>各类</w:t>
      </w:r>
      <w:r>
        <w:rPr>
          <w:rFonts w:ascii="宋体" w:hAnsi="宋体"/>
          <w:szCs w:val="21"/>
        </w:rPr>
        <w:t>废物，</w:t>
      </w:r>
      <w:r>
        <w:rPr>
          <w:rFonts w:hint="eastAsia" w:ascii="宋体" w:hAnsi="宋体"/>
          <w:szCs w:val="21"/>
        </w:rPr>
        <w:t>或采用</w:t>
      </w:r>
      <w:r>
        <w:rPr>
          <w:rFonts w:ascii="宋体" w:hAnsi="宋体"/>
          <w:szCs w:val="21"/>
        </w:rPr>
        <w:t>不恰当的材料管理和废物处理；</w:t>
      </w:r>
    </w:p>
    <w:p w14:paraId="68BD292D">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严禁乱扔废弃物，不得污染工作</w:t>
      </w:r>
      <w:r>
        <w:rPr>
          <w:rFonts w:hint="eastAsia" w:ascii="宋体" w:hAnsi="宋体"/>
          <w:szCs w:val="21"/>
        </w:rPr>
        <w:t>场</w:t>
      </w:r>
      <w:r>
        <w:rPr>
          <w:rFonts w:ascii="宋体" w:hAnsi="宋体"/>
          <w:szCs w:val="21"/>
        </w:rPr>
        <w:t>所及周围区域，不得损坏绿化区域；</w:t>
      </w:r>
    </w:p>
    <w:p w14:paraId="36F6C2F1">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严禁使用超过校准日期</w:t>
      </w:r>
      <w:r>
        <w:rPr>
          <w:rFonts w:hint="eastAsia" w:ascii="宋体" w:hAnsi="宋体"/>
          <w:szCs w:val="21"/>
        </w:rPr>
        <w:t>或</w:t>
      </w:r>
      <w:r>
        <w:rPr>
          <w:rFonts w:ascii="宋体" w:hAnsi="宋体"/>
          <w:szCs w:val="21"/>
        </w:rPr>
        <w:t>有缺陷</w:t>
      </w:r>
      <w:r>
        <w:rPr>
          <w:rFonts w:hint="eastAsia" w:ascii="宋体" w:hAnsi="宋体"/>
          <w:szCs w:val="21"/>
        </w:rPr>
        <w:t>的</w:t>
      </w:r>
      <w:r>
        <w:rPr>
          <w:rFonts w:ascii="宋体" w:hAnsi="宋体"/>
          <w:szCs w:val="21"/>
        </w:rPr>
        <w:t>设备</w:t>
      </w:r>
      <w:r>
        <w:rPr>
          <w:rFonts w:hint="eastAsia" w:ascii="宋体" w:hAnsi="宋体"/>
          <w:szCs w:val="21"/>
        </w:rPr>
        <w:t>及</w:t>
      </w:r>
      <w:r>
        <w:rPr>
          <w:rFonts w:ascii="宋体" w:hAnsi="宋体"/>
          <w:szCs w:val="21"/>
        </w:rPr>
        <w:t>控制装置；</w:t>
      </w:r>
    </w:p>
    <w:p w14:paraId="61ECA097">
      <w:pPr>
        <w:numPr>
          <w:ilvl w:val="0"/>
          <w:numId w:val="19"/>
        </w:numPr>
        <w:tabs>
          <w:tab w:val="left" w:pos="0"/>
        </w:tabs>
        <w:adjustRightInd w:val="0"/>
        <w:snapToGrid w:val="0"/>
        <w:spacing w:line="320" w:lineRule="exact"/>
        <w:ind w:left="0" w:firstLine="0"/>
        <w:rPr>
          <w:rFonts w:ascii="宋体" w:hAnsi="宋体"/>
          <w:szCs w:val="21"/>
        </w:rPr>
      </w:pPr>
      <w:r>
        <w:rPr>
          <w:rFonts w:ascii="宋体" w:hAnsi="宋体"/>
          <w:szCs w:val="21"/>
        </w:rPr>
        <w:t>严禁</w:t>
      </w:r>
      <w:r>
        <w:rPr>
          <w:rFonts w:hint="eastAsia" w:ascii="宋体" w:hAnsi="宋体"/>
          <w:szCs w:val="21"/>
        </w:rPr>
        <w:t>私自</w:t>
      </w:r>
      <w:r>
        <w:rPr>
          <w:rFonts w:ascii="宋体" w:hAnsi="宋体"/>
          <w:szCs w:val="21"/>
        </w:rPr>
        <w:t>携带、储存和使用爆炸物和有毒有害物质；</w:t>
      </w:r>
    </w:p>
    <w:p w14:paraId="403ECBCA">
      <w:pPr>
        <w:numPr>
          <w:ilvl w:val="0"/>
          <w:numId w:val="19"/>
        </w:numPr>
        <w:tabs>
          <w:tab w:val="left" w:pos="567"/>
        </w:tabs>
        <w:adjustRightInd w:val="0"/>
        <w:snapToGrid w:val="0"/>
        <w:spacing w:line="320" w:lineRule="exact"/>
        <w:ind w:left="0" w:firstLine="0"/>
        <w:rPr>
          <w:rFonts w:ascii="宋体" w:hAnsi="宋体"/>
          <w:szCs w:val="21"/>
        </w:rPr>
      </w:pPr>
      <w:r>
        <w:rPr>
          <w:rFonts w:ascii="宋体" w:hAnsi="宋体"/>
          <w:szCs w:val="21"/>
        </w:rPr>
        <w:t>严禁在非特定区域饮食，吸引鸟类和动物，开展未经允许的活动；</w:t>
      </w:r>
    </w:p>
    <w:p w14:paraId="5C7A3A43">
      <w:pPr>
        <w:numPr>
          <w:ilvl w:val="0"/>
          <w:numId w:val="19"/>
        </w:numPr>
        <w:tabs>
          <w:tab w:val="left" w:pos="567"/>
        </w:tabs>
        <w:adjustRightInd w:val="0"/>
        <w:snapToGrid w:val="0"/>
        <w:spacing w:line="320" w:lineRule="exact"/>
        <w:ind w:left="0" w:firstLine="0"/>
        <w:rPr>
          <w:rFonts w:ascii="宋体" w:hAnsi="宋体"/>
          <w:szCs w:val="21"/>
        </w:rPr>
      </w:pPr>
      <w:r>
        <w:rPr>
          <w:rFonts w:ascii="宋体" w:hAnsi="宋体"/>
          <w:szCs w:val="21"/>
        </w:rPr>
        <w:t>严禁无证进行特种作业</w:t>
      </w:r>
      <w:r>
        <w:rPr>
          <w:rFonts w:hint="eastAsia" w:ascii="宋体" w:hAnsi="宋体"/>
          <w:szCs w:val="21"/>
        </w:rPr>
        <w:t>和其他违章作业</w:t>
      </w:r>
      <w:r>
        <w:rPr>
          <w:rFonts w:ascii="宋体" w:hAnsi="宋体"/>
          <w:szCs w:val="21"/>
        </w:rPr>
        <w:t>；</w:t>
      </w:r>
    </w:p>
    <w:p w14:paraId="62015F1F">
      <w:pPr>
        <w:numPr>
          <w:ilvl w:val="0"/>
          <w:numId w:val="19"/>
        </w:numPr>
        <w:tabs>
          <w:tab w:val="left" w:pos="567"/>
        </w:tabs>
        <w:adjustRightInd w:val="0"/>
        <w:snapToGrid w:val="0"/>
        <w:spacing w:line="320" w:lineRule="exact"/>
        <w:ind w:left="0" w:firstLine="0"/>
        <w:rPr>
          <w:rFonts w:ascii="宋体" w:hAnsi="宋体"/>
          <w:szCs w:val="21"/>
        </w:rPr>
      </w:pPr>
      <w:r>
        <w:rPr>
          <w:rFonts w:ascii="宋体" w:hAnsi="宋体"/>
          <w:szCs w:val="21"/>
        </w:rPr>
        <w:t>严禁任何无礼、亵渎和不尊重甲方</w:t>
      </w:r>
      <w:r>
        <w:rPr>
          <w:rFonts w:hint="eastAsia" w:ascii="宋体" w:hAnsi="宋体"/>
          <w:szCs w:val="21"/>
        </w:rPr>
        <w:t>或甲方关联公司及其</w:t>
      </w:r>
      <w:r>
        <w:rPr>
          <w:rFonts w:ascii="宋体" w:hAnsi="宋体"/>
          <w:szCs w:val="21"/>
        </w:rPr>
        <w:t>员工的行为</w:t>
      </w:r>
      <w:r>
        <w:rPr>
          <w:rFonts w:hint="eastAsia" w:ascii="宋体" w:hAnsi="宋体"/>
          <w:szCs w:val="21"/>
        </w:rPr>
        <w:t>；</w:t>
      </w:r>
    </w:p>
    <w:p w14:paraId="39A355FD">
      <w:pPr>
        <w:numPr>
          <w:ilvl w:val="0"/>
          <w:numId w:val="19"/>
        </w:numPr>
        <w:tabs>
          <w:tab w:val="left" w:pos="567"/>
        </w:tabs>
        <w:adjustRightInd w:val="0"/>
        <w:snapToGrid w:val="0"/>
        <w:spacing w:line="320" w:lineRule="exact"/>
        <w:ind w:left="0" w:firstLine="0"/>
        <w:rPr>
          <w:rFonts w:ascii="宋体" w:hAnsi="宋体"/>
          <w:szCs w:val="21"/>
        </w:rPr>
      </w:pPr>
      <w:r>
        <w:rPr>
          <w:rFonts w:ascii="宋体" w:hAnsi="宋体"/>
          <w:szCs w:val="21"/>
        </w:rPr>
        <w:t>严禁着装不整齐、衣服不扣好、穿无袖衫或其它不正规服装入厂（场）（如短裤，拖鞋等）</w:t>
      </w:r>
      <w:r>
        <w:rPr>
          <w:rFonts w:hint="eastAsia" w:ascii="宋体" w:hAnsi="宋体"/>
          <w:szCs w:val="21"/>
        </w:rPr>
        <w:t>或</w:t>
      </w:r>
      <w:r>
        <w:rPr>
          <w:rFonts w:ascii="宋体" w:hAnsi="宋体"/>
          <w:szCs w:val="21"/>
        </w:rPr>
        <w:t>进入甲方</w:t>
      </w:r>
      <w:r>
        <w:rPr>
          <w:rFonts w:hint="eastAsia" w:ascii="宋体" w:hAnsi="宋体"/>
          <w:szCs w:val="21"/>
        </w:rPr>
        <w:t>及甲方关联公司</w:t>
      </w:r>
      <w:r>
        <w:rPr>
          <w:rFonts w:ascii="宋体" w:hAnsi="宋体"/>
          <w:szCs w:val="21"/>
        </w:rPr>
        <w:t>；</w:t>
      </w:r>
    </w:p>
    <w:p w14:paraId="21426E49">
      <w:pPr>
        <w:numPr>
          <w:ilvl w:val="0"/>
          <w:numId w:val="19"/>
        </w:numPr>
        <w:tabs>
          <w:tab w:val="left" w:pos="567"/>
        </w:tabs>
        <w:adjustRightInd w:val="0"/>
        <w:snapToGrid w:val="0"/>
        <w:spacing w:line="320" w:lineRule="exact"/>
        <w:ind w:left="0" w:firstLine="0"/>
        <w:rPr>
          <w:rFonts w:ascii="宋体" w:hAnsi="宋体"/>
          <w:szCs w:val="21"/>
        </w:rPr>
      </w:pPr>
      <w:r>
        <w:rPr>
          <w:rFonts w:ascii="宋体" w:hAnsi="宋体"/>
          <w:szCs w:val="21"/>
        </w:rPr>
        <w:t>严禁从事其他违法违规行为或损害甲方</w:t>
      </w:r>
      <w:r>
        <w:rPr>
          <w:rFonts w:hint="eastAsia" w:ascii="宋体" w:hAnsi="宋体"/>
          <w:szCs w:val="21"/>
        </w:rPr>
        <w:t>或甲方关联公司及其</w:t>
      </w:r>
      <w:r>
        <w:rPr>
          <w:rFonts w:ascii="宋体" w:hAnsi="宋体"/>
          <w:szCs w:val="21"/>
        </w:rPr>
        <w:t>员工利益的行为</w:t>
      </w:r>
      <w:r>
        <w:rPr>
          <w:rFonts w:hint="eastAsia" w:ascii="宋体" w:hAnsi="宋体"/>
          <w:szCs w:val="21"/>
        </w:rPr>
        <w:t>。</w:t>
      </w:r>
    </w:p>
    <w:p w14:paraId="4B9104D4">
      <w:pPr>
        <w:numPr>
          <w:ilvl w:val="0"/>
          <w:numId w:val="15"/>
        </w:numPr>
        <w:adjustRightInd w:val="0"/>
        <w:snapToGrid w:val="0"/>
        <w:spacing w:line="320" w:lineRule="exact"/>
        <w:ind w:left="0" w:firstLine="0"/>
        <w:rPr>
          <w:rFonts w:ascii="宋体" w:hAnsi="宋体"/>
          <w:b/>
          <w:bCs/>
          <w:szCs w:val="21"/>
        </w:rPr>
      </w:pPr>
      <w:bookmarkStart w:id="44" w:name="OLE_LINK3"/>
      <w:bookmarkStart w:id="45" w:name="OLE_LINK4"/>
      <w:r>
        <w:rPr>
          <w:rFonts w:ascii="宋体" w:hAnsi="宋体"/>
          <w:b/>
          <w:bCs/>
          <w:szCs w:val="21"/>
        </w:rPr>
        <w:t>关于危险评估</w:t>
      </w:r>
    </w:p>
    <w:bookmarkEnd w:id="44"/>
    <w:bookmarkEnd w:id="45"/>
    <w:p w14:paraId="227529C8">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在作业开始前，甲方</w:t>
      </w:r>
      <w:r>
        <w:rPr>
          <w:rFonts w:hint="eastAsia" w:ascii="宋体" w:hAnsi="宋体"/>
          <w:szCs w:val="21"/>
        </w:rPr>
        <w:t>相关方管理负责人</w:t>
      </w:r>
      <w:r>
        <w:rPr>
          <w:rFonts w:ascii="宋体" w:hAnsi="宋体"/>
          <w:szCs w:val="21"/>
        </w:rPr>
        <w:t>应同</w:t>
      </w:r>
      <w:r>
        <w:rPr>
          <w:rFonts w:hint="eastAsia" w:ascii="宋体" w:hAnsi="宋体"/>
          <w:szCs w:val="21"/>
        </w:rPr>
        <w:t>承包商</w:t>
      </w:r>
      <w:r>
        <w:rPr>
          <w:rFonts w:ascii="宋体" w:hAnsi="宋体"/>
          <w:szCs w:val="21"/>
        </w:rPr>
        <w:t>一</w:t>
      </w:r>
      <w:r>
        <w:rPr>
          <w:rFonts w:hint="eastAsia" w:ascii="宋体" w:hAnsi="宋体"/>
          <w:szCs w:val="21"/>
        </w:rPr>
        <w:t>同</w:t>
      </w:r>
      <w:r>
        <w:rPr>
          <w:rFonts w:ascii="宋体" w:hAnsi="宋体"/>
          <w:szCs w:val="21"/>
        </w:rPr>
        <w:t>沟通并告知潜在危害，包括使用的化学品、登记的限制区域、有潜在危险的设备和操作等，并将此列入限制性要求内，放置于现</w:t>
      </w:r>
      <w:r>
        <w:rPr>
          <w:rFonts w:hint="eastAsia" w:ascii="宋体" w:hAnsi="宋体"/>
          <w:szCs w:val="21"/>
        </w:rPr>
        <w:t>场</w:t>
      </w:r>
      <w:r>
        <w:rPr>
          <w:rFonts w:ascii="宋体" w:hAnsi="宋体"/>
          <w:szCs w:val="21"/>
        </w:rPr>
        <w:t>明显位置；</w:t>
      </w:r>
      <w:r>
        <w:rPr>
          <w:rFonts w:hint="eastAsia" w:ascii="宋体" w:hAnsi="宋体"/>
          <w:szCs w:val="21"/>
        </w:rPr>
        <w:t>甲方主要危险有害因素包括（但不限于）：物体打击、车辆伤害、机械伤害、触电、淹溺、灼烫、火灾、高处坠落、坍塌、爆炸、中毒和窒息、粉尘、噪声、中暑等。</w:t>
      </w:r>
      <w:r>
        <w:rPr>
          <w:rFonts w:ascii="宋体" w:hAnsi="宋体"/>
          <w:szCs w:val="21"/>
        </w:rPr>
        <w:t>同样，承包商也有责任告知在甲方作业中可能出现的任何潜在危险；承包商并对可能出现的火灾、化学品接触、高危作业等潜在危险做好预防</w:t>
      </w:r>
      <w:r>
        <w:rPr>
          <w:rFonts w:hint="eastAsia" w:ascii="宋体" w:hAnsi="宋体"/>
          <w:szCs w:val="21"/>
        </w:rPr>
        <w:t>；</w:t>
      </w:r>
    </w:p>
    <w:p w14:paraId="522A8039">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在作业开始之前，承包商</w:t>
      </w:r>
      <w:r>
        <w:rPr>
          <w:rFonts w:hint="eastAsia" w:ascii="宋体" w:hAnsi="宋体"/>
          <w:szCs w:val="21"/>
        </w:rPr>
        <w:t>须</w:t>
      </w:r>
      <w:r>
        <w:rPr>
          <w:rFonts w:ascii="宋体" w:hAnsi="宋体"/>
          <w:szCs w:val="21"/>
        </w:rPr>
        <w:t>要完成风险评估，制定和提供标准作业程序，制定和提供安全施工方案，配备相应的安全设施，预防和管控作业过程中的风险</w:t>
      </w:r>
      <w:r>
        <w:rPr>
          <w:rFonts w:hint="eastAsia" w:ascii="宋体" w:hAnsi="宋体"/>
          <w:szCs w:val="21"/>
        </w:rPr>
        <w:t>；</w:t>
      </w:r>
    </w:p>
    <w:p w14:paraId="0AF6ACCA">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上述风险评估包括但不限于相关的环境风险评估（如向地表水，雨水收集管网，土壤和空气排放，或者产生环境噪声排放</w:t>
      </w:r>
      <w:r>
        <w:rPr>
          <w:rFonts w:hint="eastAsia" w:ascii="宋体" w:hAnsi="宋体"/>
          <w:szCs w:val="21"/>
        </w:rPr>
        <w:t>等</w:t>
      </w:r>
      <w:r>
        <w:rPr>
          <w:rFonts w:ascii="宋体" w:hAnsi="宋体"/>
          <w:szCs w:val="21"/>
        </w:rPr>
        <w:t>）</w:t>
      </w:r>
      <w:r>
        <w:rPr>
          <w:rFonts w:hint="eastAsia" w:ascii="宋体" w:hAnsi="宋体"/>
          <w:szCs w:val="21"/>
        </w:rPr>
        <w:t>。</w:t>
      </w:r>
    </w:p>
    <w:p w14:paraId="45488C15">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作业人员资质和培训</w:t>
      </w:r>
    </w:p>
    <w:p w14:paraId="7D5A8C59">
      <w:pPr>
        <w:numPr>
          <w:ilvl w:val="0"/>
          <w:numId w:val="21"/>
        </w:numPr>
        <w:tabs>
          <w:tab w:val="left" w:pos="0"/>
        </w:tabs>
        <w:adjustRightInd w:val="0"/>
        <w:snapToGrid w:val="0"/>
        <w:spacing w:line="320" w:lineRule="exact"/>
        <w:ind w:left="0" w:firstLine="0"/>
        <w:rPr>
          <w:rFonts w:ascii="宋体" w:hAnsi="宋体"/>
          <w:szCs w:val="21"/>
        </w:rPr>
      </w:pPr>
      <w:r>
        <w:rPr>
          <w:rFonts w:ascii="宋体" w:hAnsi="宋体"/>
          <w:szCs w:val="21"/>
        </w:rPr>
        <w:t>必须根据法律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规章和甲方的要求</w:t>
      </w:r>
      <w:r>
        <w:rPr>
          <w:rFonts w:hint="eastAsia" w:ascii="宋体" w:hAnsi="宋体"/>
          <w:szCs w:val="21"/>
        </w:rPr>
        <w:t>，</w:t>
      </w:r>
      <w:r>
        <w:rPr>
          <w:rFonts w:ascii="宋体" w:hAnsi="宋体"/>
          <w:szCs w:val="21"/>
        </w:rPr>
        <w:t>指派专业的安全管理人员（健康安全人员）在作业</w:t>
      </w:r>
      <w:r>
        <w:rPr>
          <w:rFonts w:hint="eastAsia" w:ascii="宋体" w:hAnsi="宋体"/>
          <w:szCs w:val="21"/>
        </w:rPr>
        <w:t>现场</w:t>
      </w:r>
      <w:r>
        <w:rPr>
          <w:rFonts w:ascii="宋体" w:hAnsi="宋体"/>
          <w:szCs w:val="21"/>
        </w:rPr>
        <w:t>进行管理</w:t>
      </w:r>
      <w:r>
        <w:rPr>
          <w:rFonts w:hint="eastAsia" w:ascii="宋体" w:hAnsi="宋体"/>
          <w:szCs w:val="21"/>
        </w:rPr>
        <w:t>；</w:t>
      </w:r>
      <w:r>
        <w:rPr>
          <w:rFonts w:ascii="宋体" w:hAnsi="宋体"/>
          <w:szCs w:val="21"/>
        </w:rPr>
        <w:t>同时，承包商应确保指派的健康安全人员必须符合当地法律法规和甲方的要求（如安全管理人员职业资质是否与工作类型及</w:t>
      </w:r>
      <w:r>
        <w:rPr>
          <w:rFonts w:hint="eastAsia" w:ascii="宋体" w:hAnsi="宋体"/>
          <w:szCs w:val="21"/>
        </w:rPr>
        <w:t>现场</w:t>
      </w:r>
      <w:r>
        <w:rPr>
          <w:rFonts w:ascii="宋体" w:hAnsi="宋体"/>
          <w:szCs w:val="21"/>
        </w:rPr>
        <w:t>人数相匹配）；</w:t>
      </w:r>
    </w:p>
    <w:p w14:paraId="691C71AE">
      <w:pPr>
        <w:numPr>
          <w:ilvl w:val="0"/>
          <w:numId w:val="21"/>
        </w:numPr>
        <w:tabs>
          <w:tab w:val="left" w:pos="0"/>
        </w:tabs>
        <w:adjustRightInd w:val="0"/>
        <w:snapToGrid w:val="0"/>
        <w:spacing w:line="320" w:lineRule="exact"/>
        <w:ind w:left="0" w:firstLine="0"/>
        <w:rPr>
          <w:rFonts w:ascii="宋体" w:hAnsi="宋体"/>
          <w:szCs w:val="21"/>
        </w:rPr>
      </w:pPr>
      <w:r>
        <w:rPr>
          <w:rFonts w:ascii="宋体" w:hAnsi="宋体"/>
          <w:szCs w:val="21"/>
        </w:rPr>
        <w:t>必须建立健康安全管理计划，并获得甲方认可，管理计划必须包含对分包商的管理</w:t>
      </w:r>
      <w:r>
        <w:rPr>
          <w:rFonts w:hint="eastAsia" w:ascii="宋体" w:hAnsi="宋体"/>
          <w:szCs w:val="21"/>
        </w:rPr>
        <w:t>（如有）</w:t>
      </w:r>
      <w:r>
        <w:rPr>
          <w:rFonts w:ascii="宋体" w:hAnsi="宋体"/>
          <w:szCs w:val="21"/>
        </w:rPr>
        <w:t>；</w:t>
      </w:r>
    </w:p>
    <w:p w14:paraId="16E57F4E">
      <w:pPr>
        <w:numPr>
          <w:ilvl w:val="0"/>
          <w:numId w:val="21"/>
        </w:numPr>
        <w:tabs>
          <w:tab w:val="left" w:pos="0"/>
        </w:tabs>
        <w:adjustRightInd w:val="0"/>
        <w:snapToGrid w:val="0"/>
        <w:spacing w:line="320" w:lineRule="exact"/>
        <w:ind w:left="0" w:firstLine="0"/>
        <w:rPr>
          <w:rFonts w:ascii="宋体" w:hAnsi="宋体"/>
          <w:szCs w:val="21"/>
        </w:rPr>
      </w:pPr>
      <w:r>
        <w:rPr>
          <w:rFonts w:hint="eastAsia" w:ascii="宋体" w:hAnsi="宋体"/>
          <w:szCs w:val="21"/>
        </w:rPr>
        <w:t>如果总承包商计划使用分包商，则总承包商负责将甲方的健康安全要求传达给分包商并确保其能够执行其中的要求；</w:t>
      </w:r>
    </w:p>
    <w:p w14:paraId="34327B35">
      <w:pPr>
        <w:numPr>
          <w:ilvl w:val="0"/>
          <w:numId w:val="21"/>
        </w:numPr>
        <w:tabs>
          <w:tab w:val="left" w:pos="0"/>
        </w:tabs>
        <w:adjustRightInd w:val="0"/>
        <w:snapToGrid w:val="0"/>
        <w:spacing w:line="320" w:lineRule="exact"/>
        <w:ind w:left="0" w:firstLine="0"/>
        <w:rPr>
          <w:rFonts w:ascii="宋体" w:hAnsi="宋体"/>
          <w:szCs w:val="21"/>
        </w:rPr>
      </w:pPr>
      <w:r>
        <w:rPr>
          <w:rFonts w:hint="eastAsia" w:ascii="宋体" w:hAnsi="宋体"/>
          <w:szCs w:val="21"/>
        </w:rPr>
        <w:t>总承包必须提前告知甲方其使用分包商的情况，包括分包商公司情况及分包的工作内容；如果有迹象表明分包商的健康安全表现不佳或者能力不足，甲方有权拒绝使用该分包商；</w:t>
      </w:r>
    </w:p>
    <w:p w14:paraId="5DE61E49">
      <w:pPr>
        <w:numPr>
          <w:ilvl w:val="0"/>
          <w:numId w:val="21"/>
        </w:numPr>
        <w:tabs>
          <w:tab w:val="left" w:pos="0"/>
        </w:tabs>
        <w:adjustRightInd w:val="0"/>
        <w:snapToGrid w:val="0"/>
        <w:spacing w:line="320" w:lineRule="exact"/>
        <w:ind w:left="0" w:firstLine="0"/>
        <w:rPr>
          <w:rFonts w:ascii="宋体" w:hAnsi="宋体"/>
          <w:szCs w:val="21"/>
        </w:rPr>
      </w:pPr>
      <w:r>
        <w:rPr>
          <w:rFonts w:ascii="宋体" w:hAnsi="宋体"/>
          <w:szCs w:val="21"/>
        </w:rPr>
        <w:t>必须建立安全管理架构，并获得甲方认可；对于低风险作业承包商，如作业时间超过4周并且作业人员超过20人的，</w:t>
      </w:r>
      <w:r>
        <w:rPr>
          <w:rFonts w:hint="eastAsia" w:ascii="宋体" w:hAnsi="宋体"/>
          <w:szCs w:val="21"/>
        </w:rPr>
        <w:t>应</w:t>
      </w:r>
      <w:r>
        <w:rPr>
          <w:rFonts w:ascii="宋体" w:hAnsi="宋体"/>
          <w:szCs w:val="21"/>
        </w:rPr>
        <w:t>至少指派一名专职的安全管理人员在工作现</w:t>
      </w:r>
      <w:r>
        <w:rPr>
          <w:rFonts w:hint="eastAsia" w:ascii="宋体" w:hAnsi="宋体"/>
          <w:szCs w:val="21"/>
        </w:rPr>
        <w:t>场</w:t>
      </w:r>
      <w:r>
        <w:rPr>
          <w:rFonts w:ascii="宋体" w:hAnsi="宋体"/>
          <w:szCs w:val="21"/>
        </w:rPr>
        <w:t>；如作业人员</w:t>
      </w:r>
      <w:r>
        <w:rPr>
          <w:rFonts w:hint="eastAsia" w:ascii="宋体" w:hAnsi="宋体"/>
          <w:szCs w:val="21"/>
        </w:rPr>
        <w:t>少于</w:t>
      </w:r>
      <w:r>
        <w:rPr>
          <w:rFonts w:ascii="宋体" w:hAnsi="宋体"/>
          <w:szCs w:val="21"/>
        </w:rPr>
        <w:t>20</w:t>
      </w:r>
      <w:r>
        <w:rPr>
          <w:rFonts w:hint="eastAsia" w:ascii="宋体" w:hAnsi="宋体"/>
          <w:szCs w:val="21"/>
        </w:rPr>
        <w:t>人的</w:t>
      </w:r>
      <w:r>
        <w:rPr>
          <w:rFonts w:ascii="宋体" w:hAnsi="宋体"/>
          <w:szCs w:val="21"/>
        </w:rPr>
        <w:t>，可指派一名兼职</w:t>
      </w:r>
      <w:r>
        <w:rPr>
          <w:rFonts w:hint="eastAsia" w:ascii="宋体" w:hAnsi="宋体"/>
          <w:szCs w:val="21"/>
        </w:rPr>
        <w:t>现场</w:t>
      </w:r>
      <w:r>
        <w:rPr>
          <w:rFonts w:ascii="宋体" w:hAnsi="宋体"/>
          <w:szCs w:val="21"/>
        </w:rPr>
        <w:t>安全管理人员；对于高风险作业承包商，无论作业时间长短</w:t>
      </w:r>
      <w:r>
        <w:rPr>
          <w:rFonts w:hint="eastAsia" w:ascii="宋体" w:hAnsi="宋体"/>
          <w:szCs w:val="21"/>
        </w:rPr>
        <w:t>，</w:t>
      </w:r>
      <w:r>
        <w:rPr>
          <w:rFonts w:ascii="宋体" w:hAnsi="宋体"/>
          <w:szCs w:val="21"/>
        </w:rPr>
        <w:t>作业人数超过10人的，作业期间必须指派一名专职的安全管理人员；</w:t>
      </w:r>
    </w:p>
    <w:p w14:paraId="2D05945E">
      <w:pPr>
        <w:numPr>
          <w:ilvl w:val="0"/>
          <w:numId w:val="21"/>
        </w:numPr>
        <w:tabs>
          <w:tab w:val="left" w:pos="0"/>
        </w:tabs>
        <w:adjustRightInd w:val="0"/>
        <w:snapToGrid w:val="0"/>
        <w:spacing w:line="320" w:lineRule="exact"/>
        <w:ind w:left="0" w:firstLine="0"/>
        <w:rPr>
          <w:rFonts w:ascii="宋体" w:hAnsi="宋体"/>
          <w:szCs w:val="21"/>
        </w:rPr>
      </w:pPr>
      <w:r>
        <w:rPr>
          <w:rFonts w:ascii="宋体" w:hAnsi="宋体"/>
          <w:szCs w:val="21"/>
        </w:rPr>
        <w:t>如承包商的作业人员依法需具备与作业业务相适应的合法有效资质（包括但不限于特殊设备操作许可证，例如电气作业、起重设备、重型车辆和叉车操作作业、其他类型的车辆驾驶作业、压力容器作业</w:t>
      </w:r>
      <w:r>
        <w:rPr>
          <w:rFonts w:hint="eastAsia" w:ascii="宋体" w:hAnsi="宋体"/>
          <w:szCs w:val="21"/>
        </w:rPr>
        <w:t>、锅炉作业</w:t>
      </w:r>
      <w:r>
        <w:rPr>
          <w:rFonts w:ascii="宋体" w:hAnsi="宋体"/>
          <w:szCs w:val="21"/>
        </w:rPr>
        <w:t>等），承包商有责任确保上述作业人员和作业设备具备与作业业务相适应的合法资质，并在作业前接受了健康安全风险培训，了解风险控制及要求后方可进行作业；特种作业人员必须</w:t>
      </w:r>
      <w:r>
        <w:rPr>
          <w:rFonts w:hint="eastAsia" w:ascii="宋体" w:hAnsi="宋体"/>
          <w:szCs w:val="21"/>
        </w:rPr>
        <w:t>持有与作业业务相适应的合法有效资质</w:t>
      </w:r>
      <w:r>
        <w:rPr>
          <w:rFonts w:ascii="宋体" w:hAnsi="宋体"/>
          <w:szCs w:val="21"/>
        </w:rPr>
        <w:t>，经培训考核合格后上岗，并按规定定期审</w:t>
      </w:r>
      <w:r>
        <w:rPr>
          <w:rFonts w:hint="eastAsia" w:ascii="宋体" w:hAnsi="宋体"/>
          <w:szCs w:val="21"/>
        </w:rPr>
        <w:t>（换）</w:t>
      </w:r>
      <w:r>
        <w:rPr>
          <w:rFonts w:ascii="宋体" w:hAnsi="宋体"/>
          <w:szCs w:val="21"/>
        </w:rPr>
        <w:t>证；</w:t>
      </w:r>
    </w:p>
    <w:p w14:paraId="56D87033">
      <w:pPr>
        <w:numPr>
          <w:ilvl w:val="0"/>
          <w:numId w:val="21"/>
        </w:numPr>
        <w:tabs>
          <w:tab w:val="left" w:pos="0"/>
        </w:tabs>
        <w:adjustRightInd w:val="0"/>
        <w:snapToGrid w:val="0"/>
        <w:spacing w:line="320" w:lineRule="exact"/>
        <w:ind w:left="0" w:firstLine="0"/>
        <w:rPr>
          <w:rFonts w:ascii="宋体" w:hAnsi="宋体"/>
          <w:szCs w:val="21"/>
        </w:rPr>
      </w:pPr>
      <w:r>
        <w:rPr>
          <w:rFonts w:hint="eastAsia" w:ascii="宋体" w:hAnsi="宋体"/>
          <w:szCs w:val="21"/>
        </w:rPr>
        <w:t>必须建立安全生产责任制，并获得甲方认可，安全责任制必须涵盖各级人员安全责任；承包商应建立各作业岗位和工种的安全操作规程，并负责定期安全检查和安全教育等。</w:t>
      </w:r>
    </w:p>
    <w:p w14:paraId="67491689">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关于承包商作业方案与实施</w:t>
      </w:r>
    </w:p>
    <w:p w14:paraId="246FE0B9">
      <w:pPr>
        <w:numPr>
          <w:ilvl w:val="0"/>
          <w:numId w:val="22"/>
        </w:numPr>
        <w:adjustRightInd w:val="0"/>
        <w:snapToGrid w:val="0"/>
        <w:spacing w:line="320" w:lineRule="exact"/>
        <w:ind w:left="0" w:firstLine="0"/>
        <w:rPr>
          <w:rFonts w:ascii="宋体" w:hAnsi="宋体"/>
          <w:szCs w:val="21"/>
        </w:rPr>
      </w:pPr>
      <w:r>
        <w:rPr>
          <w:rFonts w:ascii="宋体" w:hAnsi="宋体"/>
          <w:szCs w:val="21"/>
        </w:rPr>
        <w:t>在作业前，及时与甲方确定安全作业</w:t>
      </w:r>
      <w:r>
        <w:rPr>
          <w:rFonts w:hint="eastAsia" w:ascii="宋体" w:hAnsi="宋体"/>
          <w:szCs w:val="21"/>
        </w:rPr>
        <w:t>/施工</w:t>
      </w:r>
      <w:r>
        <w:rPr>
          <w:rFonts w:ascii="宋体" w:hAnsi="宋体"/>
          <w:szCs w:val="21"/>
        </w:rPr>
        <w:t>方案，严格按照该安全作业</w:t>
      </w:r>
      <w:r>
        <w:rPr>
          <w:rFonts w:hint="eastAsia" w:ascii="宋体" w:hAnsi="宋体"/>
          <w:szCs w:val="21"/>
        </w:rPr>
        <w:t>/施工</w:t>
      </w:r>
      <w:r>
        <w:rPr>
          <w:rFonts w:ascii="宋体" w:hAnsi="宋体"/>
          <w:szCs w:val="21"/>
        </w:rPr>
        <w:t>方案实施；如发现任何的违规行为，应及时整改到位；</w:t>
      </w:r>
    </w:p>
    <w:p w14:paraId="594A32D0">
      <w:pPr>
        <w:numPr>
          <w:ilvl w:val="0"/>
          <w:numId w:val="22"/>
        </w:numPr>
        <w:adjustRightInd w:val="0"/>
        <w:snapToGrid w:val="0"/>
        <w:spacing w:line="320" w:lineRule="exact"/>
        <w:ind w:left="0" w:firstLine="0"/>
        <w:rPr>
          <w:rFonts w:ascii="宋体" w:hAnsi="宋体"/>
          <w:szCs w:val="21"/>
        </w:rPr>
      </w:pPr>
      <w:r>
        <w:rPr>
          <w:rFonts w:ascii="宋体" w:hAnsi="宋体"/>
          <w:szCs w:val="21"/>
        </w:rPr>
        <w:t>如与</w:t>
      </w:r>
      <w:r>
        <w:rPr>
          <w:rFonts w:hint="eastAsia" w:ascii="宋体" w:hAnsi="宋体"/>
          <w:szCs w:val="21"/>
        </w:rPr>
        <w:t>其他</w:t>
      </w:r>
      <w:r>
        <w:rPr>
          <w:rFonts w:ascii="宋体" w:hAnsi="宋体"/>
          <w:szCs w:val="21"/>
        </w:rPr>
        <w:t>承包商或甲方在作业上存在</w:t>
      </w:r>
      <w:r>
        <w:rPr>
          <w:rFonts w:hint="eastAsia" w:ascii="宋体" w:hAnsi="宋体"/>
          <w:szCs w:val="21"/>
        </w:rPr>
        <w:t>交叉或</w:t>
      </w:r>
      <w:r>
        <w:rPr>
          <w:rFonts w:ascii="宋体" w:hAnsi="宋体"/>
          <w:szCs w:val="21"/>
        </w:rPr>
        <w:t>冲突</w:t>
      </w:r>
      <w:r>
        <w:rPr>
          <w:rFonts w:hint="eastAsia" w:ascii="宋体" w:hAnsi="宋体"/>
          <w:szCs w:val="21"/>
        </w:rPr>
        <w:t>的</w:t>
      </w:r>
      <w:r>
        <w:rPr>
          <w:rFonts w:ascii="宋体" w:hAnsi="宋体"/>
          <w:szCs w:val="21"/>
        </w:rPr>
        <w:t>，必须在制定作业</w:t>
      </w:r>
      <w:r>
        <w:rPr>
          <w:rFonts w:hint="eastAsia" w:ascii="宋体" w:hAnsi="宋体"/>
          <w:szCs w:val="21"/>
        </w:rPr>
        <w:t>/施工</w:t>
      </w:r>
      <w:r>
        <w:rPr>
          <w:rFonts w:ascii="宋体" w:hAnsi="宋体"/>
          <w:szCs w:val="21"/>
        </w:rPr>
        <w:t>方案阶段明确提出，按照达成一致的安全作业</w:t>
      </w:r>
      <w:r>
        <w:rPr>
          <w:rFonts w:hint="eastAsia" w:ascii="宋体" w:hAnsi="宋体"/>
          <w:szCs w:val="21"/>
        </w:rPr>
        <w:t>/施工</w:t>
      </w:r>
      <w:r>
        <w:rPr>
          <w:rFonts w:ascii="宋体" w:hAnsi="宋体"/>
          <w:szCs w:val="21"/>
        </w:rPr>
        <w:t>方案执行；如作业中作业</w:t>
      </w:r>
      <w:r>
        <w:rPr>
          <w:rFonts w:hint="eastAsia" w:ascii="宋体" w:hAnsi="宋体"/>
          <w:szCs w:val="21"/>
        </w:rPr>
        <w:t>/施工方案</w:t>
      </w:r>
      <w:r>
        <w:rPr>
          <w:rFonts w:ascii="宋体" w:hAnsi="宋体"/>
          <w:szCs w:val="21"/>
        </w:rPr>
        <w:t>发生</w:t>
      </w:r>
      <w:r>
        <w:rPr>
          <w:rFonts w:hint="eastAsia" w:ascii="宋体" w:hAnsi="宋体"/>
          <w:szCs w:val="21"/>
        </w:rPr>
        <w:t>变更，</w:t>
      </w:r>
      <w:r>
        <w:rPr>
          <w:rFonts w:ascii="宋体" w:hAnsi="宋体"/>
          <w:szCs w:val="21"/>
        </w:rPr>
        <w:t>必须提前告知；因作业</w:t>
      </w:r>
      <w:r>
        <w:rPr>
          <w:rFonts w:hint="eastAsia" w:ascii="宋体" w:hAnsi="宋体"/>
          <w:szCs w:val="21"/>
        </w:rPr>
        <w:t>/施工</w:t>
      </w:r>
      <w:r>
        <w:rPr>
          <w:rFonts w:ascii="宋体" w:hAnsi="宋体"/>
          <w:szCs w:val="21"/>
        </w:rPr>
        <w:t>方案变化</w:t>
      </w:r>
      <w:r>
        <w:rPr>
          <w:rFonts w:hint="eastAsia" w:ascii="宋体" w:hAnsi="宋体"/>
          <w:szCs w:val="21"/>
        </w:rPr>
        <w:t>产生</w:t>
      </w:r>
      <w:r>
        <w:rPr>
          <w:rFonts w:ascii="宋体" w:hAnsi="宋体"/>
          <w:szCs w:val="21"/>
        </w:rPr>
        <w:t>新的风险或发生事故</w:t>
      </w:r>
      <w:r>
        <w:rPr>
          <w:rFonts w:hint="eastAsia" w:ascii="宋体" w:hAnsi="宋体"/>
          <w:szCs w:val="21"/>
        </w:rPr>
        <w:t>的</w:t>
      </w:r>
      <w:r>
        <w:rPr>
          <w:rFonts w:ascii="宋体" w:hAnsi="宋体"/>
          <w:szCs w:val="21"/>
        </w:rPr>
        <w:t>，必须立即停止作业并通报甲方</w:t>
      </w:r>
      <w:r>
        <w:rPr>
          <w:rFonts w:hint="eastAsia" w:ascii="宋体" w:hAnsi="宋体"/>
          <w:szCs w:val="21"/>
        </w:rPr>
        <w:t>。</w:t>
      </w:r>
    </w:p>
    <w:p w14:paraId="6C9E1293">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关于作业工具和设备设施</w:t>
      </w:r>
    </w:p>
    <w:p w14:paraId="64914272">
      <w:pPr>
        <w:numPr>
          <w:ilvl w:val="0"/>
          <w:numId w:val="23"/>
        </w:numPr>
        <w:tabs>
          <w:tab w:val="left" w:pos="0"/>
        </w:tabs>
        <w:adjustRightInd w:val="0"/>
        <w:snapToGrid w:val="0"/>
        <w:spacing w:line="320" w:lineRule="exact"/>
        <w:ind w:left="0" w:firstLine="0"/>
        <w:rPr>
          <w:rFonts w:ascii="宋体" w:hAnsi="宋体"/>
          <w:szCs w:val="21"/>
        </w:rPr>
      </w:pPr>
      <w:r>
        <w:rPr>
          <w:rFonts w:ascii="宋体" w:hAnsi="宋体"/>
          <w:szCs w:val="21"/>
        </w:rPr>
        <w:t>承包商的作业工具和设备设施如依据国家相关法律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规章和甲方要求需要具备相关资质的，应满足国家相关法律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规章和甲方的要求，具备相关资质，并提供作业工具、设备清单和相关安全信息，经过甲方</w:t>
      </w:r>
      <w:r>
        <w:rPr>
          <w:rFonts w:hint="eastAsia" w:ascii="宋体" w:hAnsi="宋体"/>
          <w:szCs w:val="21"/>
        </w:rPr>
        <w:t>检查合格并张贴“允许使用”标签</w:t>
      </w:r>
      <w:r>
        <w:rPr>
          <w:rFonts w:ascii="宋体" w:hAnsi="宋体"/>
          <w:szCs w:val="21"/>
        </w:rPr>
        <w:t>后</w:t>
      </w:r>
      <w:r>
        <w:rPr>
          <w:rFonts w:hint="eastAsia" w:ascii="宋体" w:hAnsi="宋体"/>
          <w:szCs w:val="21"/>
        </w:rPr>
        <w:t>方可</w:t>
      </w:r>
      <w:r>
        <w:rPr>
          <w:rFonts w:ascii="宋体" w:hAnsi="宋体"/>
          <w:szCs w:val="21"/>
        </w:rPr>
        <w:t>进入作业区域，进行相关的作业；</w:t>
      </w:r>
    </w:p>
    <w:p w14:paraId="6781C3CC">
      <w:pPr>
        <w:numPr>
          <w:ilvl w:val="0"/>
          <w:numId w:val="23"/>
        </w:numPr>
        <w:tabs>
          <w:tab w:val="left" w:pos="0"/>
        </w:tabs>
        <w:adjustRightInd w:val="0"/>
        <w:snapToGrid w:val="0"/>
        <w:spacing w:line="320" w:lineRule="exact"/>
        <w:ind w:left="0" w:firstLine="0"/>
        <w:rPr>
          <w:rFonts w:ascii="宋体" w:hAnsi="宋体"/>
          <w:szCs w:val="21"/>
        </w:rPr>
      </w:pPr>
      <w:r>
        <w:rPr>
          <w:rFonts w:ascii="宋体" w:hAnsi="宋体"/>
          <w:szCs w:val="21"/>
        </w:rPr>
        <w:t>不允许承包商借用</w:t>
      </w:r>
      <w:r>
        <w:rPr>
          <w:rFonts w:hint="eastAsia" w:ascii="宋体" w:hAnsi="宋体"/>
          <w:szCs w:val="21"/>
        </w:rPr>
        <w:t>合同约定之外的</w:t>
      </w:r>
      <w:r>
        <w:rPr>
          <w:rFonts w:ascii="宋体" w:hAnsi="宋体"/>
          <w:szCs w:val="21"/>
        </w:rPr>
        <w:t>甲方工具和设备；</w:t>
      </w:r>
    </w:p>
    <w:p w14:paraId="46D5D15B">
      <w:pPr>
        <w:numPr>
          <w:ilvl w:val="0"/>
          <w:numId w:val="23"/>
        </w:numPr>
        <w:tabs>
          <w:tab w:val="left" w:pos="0"/>
        </w:tabs>
        <w:adjustRightInd w:val="0"/>
        <w:snapToGrid w:val="0"/>
        <w:spacing w:line="320" w:lineRule="exact"/>
        <w:ind w:left="0" w:firstLine="0"/>
        <w:rPr>
          <w:rFonts w:ascii="宋体" w:hAnsi="宋体"/>
          <w:szCs w:val="21"/>
        </w:rPr>
      </w:pPr>
      <w:r>
        <w:rPr>
          <w:rFonts w:ascii="宋体" w:hAnsi="宋体"/>
          <w:szCs w:val="21"/>
        </w:rPr>
        <w:t>承包商雇佣或合作的车辆和人员及其所使用的设备和工具，由承包商审查是否具有合法的资质、是否持有与驾驶车型相匹配的合法有效驾驶证、操作证</w:t>
      </w:r>
      <w:r>
        <w:rPr>
          <w:rFonts w:hint="eastAsia" w:ascii="宋体" w:hAnsi="宋体"/>
          <w:szCs w:val="21"/>
        </w:rPr>
        <w:t>、</w:t>
      </w:r>
      <w:r>
        <w:rPr>
          <w:rFonts w:ascii="宋体" w:hAnsi="宋体"/>
          <w:szCs w:val="21"/>
        </w:rPr>
        <w:t>资格证、健康证等原件</w:t>
      </w:r>
      <w:r>
        <w:rPr>
          <w:rFonts w:hint="eastAsia" w:ascii="宋体" w:hAnsi="宋体"/>
          <w:szCs w:val="21"/>
        </w:rPr>
        <w:t>，并</w:t>
      </w:r>
      <w:r>
        <w:rPr>
          <w:rFonts w:ascii="宋体" w:hAnsi="宋体"/>
          <w:szCs w:val="21"/>
        </w:rPr>
        <w:t>审查设备或工具是否具有检验合格证明；甲方有权对乙方雇佣或合作的车辆、人员和所使用工具设备等状况进行形式审查；</w:t>
      </w:r>
    </w:p>
    <w:p w14:paraId="63526579">
      <w:pPr>
        <w:numPr>
          <w:ilvl w:val="0"/>
          <w:numId w:val="23"/>
        </w:numPr>
        <w:tabs>
          <w:tab w:val="left" w:pos="0"/>
        </w:tabs>
        <w:adjustRightInd w:val="0"/>
        <w:snapToGrid w:val="0"/>
        <w:spacing w:line="320" w:lineRule="exact"/>
        <w:ind w:left="0" w:firstLine="0"/>
        <w:rPr>
          <w:rFonts w:ascii="宋体" w:hAnsi="宋体"/>
          <w:szCs w:val="21"/>
        </w:rPr>
      </w:pPr>
      <w:r>
        <w:rPr>
          <w:rFonts w:hint="eastAsia" w:ascii="宋体" w:hAnsi="宋体"/>
          <w:szCs w:val="21"/>
        </w:rPr>
        <w:t>须</w:t>
      </w:r>
      <w:r>
        <w:rPr>
          <w:rFonts w:ascii="宋体" w:hAnsi="宋体"/>
          <w:szCs w:val="21"/>
        </w:rPr>
        <w:t>始终确保作业工具和设备状态良好，符合国家相关法律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w:t>
      </w:r>
      <w:r>
        <w:rPr>
          <w:rFonts w:hint="eastAsia" w:ascii="宋体" w:hAnsi="宋体"/>
          <w:szCs w:val="21"/>
        </w:rPr>
        <w:t>的</w:t>
      </w:r>
      <w:r>
        <w:rPr>
          <w:rFonts w:ascii="宋体" w:hAnsi="宋体"/>
          <w:szCs w:val="21"/>
        </w:rPr>
        <w:t>要求，有序停放在指定的区域；始终高效使用作业设备，爱护工具，高效节约使用原材料、能源、燃料等；</w:t>
      </w:r>
    </w:p>
    <w:p w14:paraId="1D4C6288">
      <w:pPr>
        <w:numPr>
          <w:ilvl w:val="0"/>
          <w:numId w:val="23"/>
        </w:numPr>
        <w:tabs>
          <w:tab w:val="left" w:pos="0"/>
        </w:tabs>
        <w:adjustRightInd w:val="0"/>
        <w:snapToGrid w:val="0"/>
        <w:spacing w:line="320" w:lineRule="exact"/>
        <w:ind w:left="0" w:firstLine="0"/>
        <w:rPr>
          <w:rFonts w:ascii="宋体" w:hAnsi="宋体"/>
          <w:szCs w:val="21"/>
        </w:rPr>
      </w:pPr>
      <w:r>
        <w:rPr>
          <w:rFonts w:ascii="宋体" w:hAnsi="宋体"/>
          <w:szCs w:val="21"/>
        </w:rPr>
        <w:t>承包商的电离辐射设备和工具不允许存放在甲方</w:t>
      </w:r>
      <w:r>
        <w:rPr>
          <w:rFonts w:hint="eastAsia" w:ascii="宋体" w:hAnsi="宋体"/>
          <w:szCs w:val="21"/>
        </w:rPr>
        <w:t>场所</w:t>
      </w:r>
      <w:r>
        <w:rPr>
          <w:rFonts w:ascii="宋体" w:hAnsi="宋体"/>
          <w:szCs w:val="21"/>
        </w:rPr>
        <w:t>内，如需进入甲方</w:t>
      </w:r>
      <w:r>
        <w:rPr>
          <w:rFonts w:hint="eastAsia" w:ascii="宋体" w:hAnsi="宋体"/>
          <w:szCs w:val="21"/>
        </w:rPr>
        <w:t>场所内</w:t>
      </w:r>
      <w:r>
        <w:rPr>
          <w:rFonts w:ascii="宋体" w:hAnsi="宋体"/>
          <w:szCs w:val="21"/>
        </w:rPr>
        <w:t>，须提前经甲方批准并在使用过程中满足安全距离、安全警戒、标识牌、有效告知、专人监护等规定及甲方安全要求；</w:t>
      </w:r>
    </w:p>
    <w:p w14:paraId="307A9369">
      <w:pPr>
        <w:numPr>
          <w:ilvl w:val="0"/>
          <w:numId w:val="23"/>
        </w:numPr>
        <w:tabs>
          <w:tab w:val="left" w:pos="0"/>
        </w:tabs>
        <w:adjustRightInd w:val="0"/>
        <w:snapToGrid w:val="0"/>
        <w:spacing w:line="320" w:lineRule="exact"/>
        <w:ind w:left="0" w:firstLine="0"/>
        <w:rPr>
          <w:rFonts w:ascii="宋体" w:hAnsi="宋体"/>
          <w:szCs w:val="21"/>
        </w:rPr>
      </w:pPr>
      <w:r>
        <w:rPr>
          <w:rFonts w:ascii="宋体" w:hAnsi="宋体"/>
          <w:szCs w:val="21"/>
        </w:rPr>
        <w:t>必须配备相应的安全设备设施（包括但不限于额外的灭火器、跌落防护装备、空气供给系统、通风和气体监测设备等）</w:t>
      </w:r>
      <w:r>
        <w:rPr>
          <w:rFonts w:hint="eastAsia" w:ascii="宋体" w:hAnsi="宋体"/>
          <w:szCs w:val="21"/>
        </w:rPr>
        <w:t>。</w:t>
      </w:r>
    </w:p>
    <w:p w14:paraId="23E9596A">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用电安全规定</w:t>
      </w:r>
    </w:p>
    <w:p w14:paraId="6EFEEBA6">
      <w:pPr>
        <w:numPr>
          <w:ilvl w:val="0"/>
          <w:numId w:val="24"/>
        </w:numPr>
        <w:tabs>
          <w:tab w:val="left" w:pos="0"/>
        </w:tabs>
        <w:adjustRightInd w:val="0"/>
        <w:snapToGrid w:val="0"/>
        <w:spacing w:line="320" w:lineRule="exact"/>
        <w:ind w:left="0" w:firstLine="0"/>
        <w:rPr>
          <w:rFonts w:ascii="宋体" w:hAnsi="宋体"/>
          <w:szCs w:val="21"/>
        </w:rPr>
      </w:pPr>
      <w:r>
        <w:rPr>
          <w:rFonts w:hint="eastAsia" w:ascii="宋体" w:hAnsi="宋体"/>
          <w:szCs w:val="21"/>
        </w:rPr>
        <w:t>应</w:t>
      </w:r>
      <w:r>
        <w:rPr>
          <w:rFonts w:ascii="宋体" w:hAnsi="宋体"/>
          <w:szCs w:val="21"/>
        </w:rPr>
        <w:t>始终遵循安全用电原则和用电操作规程，确保所使用的电缆不能有接头，不得使用破损的电缆，不得</w:t>
      </w:r>
      <w:r>
        <w:rPr>
          <w:rFonts w:hint="eastAsia" w:ascii="宋体" w:hAnsi="宋体"/>
          <w:szCs w:val="21"/>
        </w:rPr>
        <w:t>敷设</w:t>
      </w:r>
      <w:r>
        <w:rPr>
          <w:rFonts w:ascii="宋体" w:hAnsi="宋体"/>
          <w:szCs w:val="21"/>
        </w:rPr>
        <w:t>在通道上，不得随意穿越门窗，不得无序杂乱布置电缆，不能使用与用电设备不匹配的电缆，不能使用不合格的电缆；电缆不得私自单独接电，应由甲方电工协助；</w:t>
      </w:r>
    </w:p>
    <w:p w14:paraId="47565540">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作业使用配电箱</w:t>
      </w:r>
      <w:r>
        <w:rPr>
          <w:rFonts w:hint="eastAsia" w:ascii="宋体" w:hAnsi="宋体"/>
          <w:szCs w:val="21"/>
        </w:rPr>
        <w:t>，</w:t>
      </w:r>
      <w:r>
        <w:rPr>
          <w:rFonts w:ascii="宋体" w:hAnsi="宋体"/>
          <w:szCs w:val="21"/>
        </w:rPr>
        <w:t>必须</w:t>
      </w:r>
      <w:r>
        <w:rPr>
          <w:rFonts w:hint="eastAsia" w:ascii="宋体" w:hAnsi="宋体"/>
          <w:szCs w:val="21"/>
        </w:rPr>
        <w:t>采用满足用电载荷的</w:t>
      </w:r>
      <w:r>
        <w:rPr>
          <w:rFonts w:ascii="宋体" w:hAnsi="宋体"/>
          <w:szCs w:val="21"/>
        </w:rPr>
        <w:t>电缆，并有合格的接地措施；</w:t>
      </w:r>
    </w:p>
    <w:p w14:paraId="3D3734B1">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必须使用安全的插头、插座，不得直接把电线插入插座；必须确保插头、插座等电源接入处的电缆内外绝缘层完好；</w:t>
      </w:r>
    </w:p>
    <w:p w14:paraId="351090CA">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不得使用有电源接头外露的设备</w:t>
      </w:r>
      <w:r>
        <w:rPr>
          <w:rFonts w:hint="eastAsia" w:ascii="宋体" w:hAnsi="宋体"/>
          <w:szCs w:val="21"/>
        </w:rPr>
        <w:t>。</w:t>
      </w:r>
    </w:p>
    <w:p w14:paraId="2CAD0550">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安全作业</w:t>
      </w:r>
      <w:r>
        <w:rPr>
          <w:rFonts w:hint="eastAsia" w:ascii="宋体" w:hAnsi="宋体"/>
          <w:b/>
          <w:bCs/>
          <w:szCs w:val="21"/>
        </w:rPr>
        <w:t>票</w:t>
      </w:r>
    </w:p>
    <w:p w14:paraId="4BF00EE9">
      <w:pPr>
        <w:numPr>
          <w:ilvl w:val="0"/>
          <w:numId w:val="25"/>
        </w:numPr>
        <w:adjustRightInd w:val="0"/>
        <w:snapToGrid w:val="0"/>
        <w:spacing w:line="320" w:lineRule="exact"/>
        <w:ind w:left="0" w:firstLine="0"/>
        <w:rPr>
          <w:rFonts w:ascii="宋体" w:hAnsi="宋体"/>
          <w:szCs w:val="21"/>
        </w:rPr>
      </w:pPr>
      <w:r>
        <w:rPr>
          <w:rFonts w:ascii="宋体" w:hAnsi="宋体"/>
          <w:szCs w:val="21"/>
        </w:rPr>
        <w:t>在进行交叉、</w:t>
      </w:r>
      <w:r>
        <w:rPr>
          <w:rFonts w:hint="eastAsia" w:ascii="宋体" w:hAnsi="宋体"/>
          <w:szCs w:val="21"/>
        </w:rPr>
        <w:t>高处</w:t>
      </w:r>
      <w:r>
        <w:rPr>
          <w:rFonts w:ascii="宋体" w:hAnsi="宋体"/>
          <w:szCs w:val="21"/>
        </w:rPr>
        <w:t>、动火、临时用电、进入</w:t>
      </w:r>
      <w:r>
        <w:rPr>
          <w:rFonts w:hint="eastAsia" w:ascii="宋体" w:hAnsi="宋体"/>
          <w:szCs w:val="21"/>
        </w:rPr>
        <w:t>有限</w:t>
      </w:r>
      <w:r>
        <w:rPr>
          <w:rFonts w:ascii="宋体" w:hAnsi="宋体"/>
          <w:szCs w:val="21"/>
        </w:rPr>
        <w:t>空间、挖掘/动土、</w:t>
      </w:r>
      <w:r>
        <w:rPr>
          <w:rFonts w:hint="eastAsia" w:ascii="宋体" w:hAnsi="宋体"/>
          <w:szCs w:val="21"/>
        </w:rPr>
        <w:t>吊装作业</w:t>
      </w:r>
      <w:r>
        <w:rPr>
          <w:rFonts w:ascii="宋体" w:hAnsi="宋体"/>
          <w:szCs w:val="21"/>
        </w:rPr>
        <w:t>、</w:t>
      </w:r>
      <w:r>
        <w:rPr>
          <w:rFonts w:hint="eastAsia" w:ascii="宋体" w:hAnsi="宋体"/>
          <w:szCs w:val="21"/>
        </w:rPr>
        <w:t>盲板抽堵</w:t>
      </w:r>
      <w:r>
        <w:rPr>
          <w:rFonts w:ascii="宋体" w:hAnsi="宋体"/>
          <w:szCs w:val="21"/>
        </w:rPr>
        <w:t>等</w:t>
      </w:r>
      <w:r>
        <w:rPr>
          <w:rFonts w:hint="eastAsia" w:ascii="宋体" w:hAnsi="宋体"/>
          <w:szCs w:val="21"/>
        </w:rPr>
        <w:t>危险</w:t>
      </w:r>
      <w:r>
        <w:rPr>
          <w:rFonts w:ascii="宋体" w:hAnsi="宋体"/>
          <w:szCs w:val="21"/>
        </w:rPr>
        <w:t>作业前，必须</w:t>
      </w:r>
      <w:r>
        <w:rPr>
          <w:rFonts w:hint="eastAsia" w:ascii="宋体" w:hAnsi="宋体"/>
          <w:szCs w:val="21"/>
        </w:rPr>
        <w:t>向甲方</w:t>
      </w:r>
      <w:r>
        <w:rPr>
          <w:rFonts w:ascii="宋体" w:hAnsi="宋体"/>
          <w:szCs w:val="21"/>
        </w:rPr>
        <w:t>申请并获得“安全作业</w:t>
      </w:r>
      <w:r>
        <w:rPr>
          <w:rFonts w:hint="eastAsia" w:ascii="宋体" w:hAnsi="宋体"/>
          <w:szCs w:val="21"/>
        </w:rPr>
        <w:t>票</w:t>
      </w:r>
      <w:r>
        <w:rPr>
          <w:rFonts w:ascii="宋体" w:hAnsi="宋体"/>
          <w:szCs w:val="21"/>
        </w:rPr>
        <w:t>”；未</w:t>
      </w:r>
      <w:r>
        <w:rPr>
          <w:rFonts w:hint="eastAsia" w:ascii="宋体" w:hAnsi="宋体"/>
          <w:szCs w:val="21"/>
        </w:rPr>
        <w:t>获</w:t>
      </w:r>
      <w:r>
        <w:rPr>
          <w:rFonts w:ascii="宋体" w:hAnsi="宋体"/>
          <w:szCs w:val="21"/>
        </w:rPr>
        <w:t>得</w:t>
      </w:r>
      <w:r>
        <w:rPr>
          <w:rFonts w:hint="eastAsia" w:ascii="宋体" w:hAnsi="宋体"/>
          <w:szCs w:val="21"/>
        </w:rPr>
        <w:t>该项作业的审批前</w:t>
      </w:r>
      <w:r>
        <w:rPr>
          <w:rFonts w:ascii="宋体" w:hAnsi="宋体"/>
          <w:szCs w:val="21"/>
        </w:rPr>
        <w:t>，不得进行前述作业；该许可</w:t>
      </w:r>
      <w:r>
        <w:rPr>
          <w:rFonts w:hint="eastAsia" w:ascii="宋体" w:hAnsi="宋体"/>
          <w:szCs w:val="21"/>
        </w:rPr>
        <w:t>仅在许可时间范围内</w:t>
      </w:r>
      <w:r>
        <w:rPr>
          <w:rFonts w:ascii="宋体" w:hAnsi="宋体"/>
          <w:szCs w:val="21"/>
        </w:rPr>
        <w:t>有效，逾期失效；</w:t>
      </w:r>
    </w:p>
    <w:p w14:paraId="01AAA5AF">
      <w:pPr>
        <w:numPr>
          <w:ilvl w:val="0"/>
          <w:numId w:val="25"/>
        </w:numPr>
        <w:adjustRightInd w:val="0"/>
        <w:snapToGrid w:val="0"/>
        <w:spacing w:line="320" w:lineRule="exact"/>
        <w:ind w:left="0" w:firstLine="0"/>
        <w:rPr>
          <w:rFonts w:ascii="宋体" w:hAnsi="宋体"/>
          <w:szCs w:val="21"/>
        </w:rPr>
      </w:pPr>
      <w:r>
        <w:rPr>
          <w:rFonts w:hint="eastAsia" w:ascii="宋体" w:hAnsi="宋体"/>
          <w:szCs w:val="21"/>
        </w:rPr>
        <w:t>当作业条件发生变化时，均应重新申请上述 “安全作业票”；在申请获准前，严禁从事危险作业；作业过程中，必须满足上述作业许可中所要求的全部事宜。</w:t>
      </w:r>
    </w:p>
    <w:p w14:paraId="6E4F7B80">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关于上锁挂牌规定</w:t>
      </w:r>
    </w:p>
    <w:p w14:paraId="62B2B729">
      <w:pPr>
        <w:numPr>
          <w:ilvl w:val="0"/>
          <w:numId w:val="26"/>
        </w:numPr>
        <w:tabs>
          <w:tab w:val="left" w:pos="567"/>
        </w:tabs>
        <w:adjustRightInd w:val="0"/>
        <w:snapToGrid w:val="0"/>
        <w:spacing w:line="320" w:lineRule="exact"/>
        <w:ind w:left="0" w:firstLine="0"/>
        <w:rPr>
          <w:rFonts w:ascii="宋体" w:hAnsi="宋体"/>
          <w:szCs w:val="21"/>
        </w:rPr>
      </w:pPr>
      <w:r>
        <w:rPr>
          <w:rFonts w:ascii="宋体" w:hAnsi="宋体"/>
          <w:szCs w:val="21"/>
        </w:rPr>
        <w:t>承包商必须遵守甲方上锁挂牌要求；</w:t>
      </w:r>
    </w:p>
    <w:p w14:paraId="4D31284C">
      <w:pPr>
        <w:numPr>
          <w:ilvl w:val="0"/>
          <w:numId w:val="26"/>
        </w:numPr>
        <w:tabs>
          <w:tab w:val="left" w:pos="567"/>
        </w:tabs>
        <w:adjustRightInd w:val="0"/>
        <w:snapToGrid w:val="0"/>
        <w:spacing w:line="320" w:lineRule="exact"/>
        <w:ind w:left="0" w:firstLine="0"/>
        <w:rPr>
          <w:rFonts w:ascii="宋体" w:hAnsi="宋体"/>
          <w:szCs w:val="21"/>
        </w:rPr>
      </w:pPr>
      <w:r>
        <w:rPr>
          <w:rFonts w:ascii="宋体" w:hAnsi="宋体"/>
          <w:szCs w:val="21"/>
        </w:rPr>
        <w:t>为保护作业人员和其他人员不被意外</w:t>
      </w:r>
      <w:r>
        <w:rPr>
          <w:rFonts w:hint="eastAsia" w:ascii="宋体" w:hAnsi="宋体"/>
          <w:szCs w:val="21"/>
        </w:rPr>
        <w:t>启动</w:t>
      </w:r>
      <w:r>
        <w:rPr>
          <w:rFonts w:ascii="宋体" w:hAnsi="宋体"/>
          <w:szCs w:val="21"/>
        </w:rPr>
        <w:t>的设备导致伤害，在作业前</w:t>
      </w:r>
      <w:r>
        <w:rPr>
          <w:rFonts w:hint="eastAsia" w:ascii="宋体" w:hAnsi="宋体"/>
          <w:szCs w:val="21"/>
        </w:rPr>
        <w:t>应</w:t>
      </w:r>
      <w:r>
        <w:rPr>
          <w:rFonts w:ascii="宋体" w:hAnsi="宋体"/>
          <w:szCs w:val="21"/>
        </w:rPr>
        <w:t>锁定、隔离有关设备的</w:t>
      </w:r>
      <w:r>
        <w:rPr>
          <w:rFonts w:hint="eastAsia" w:ascii="宋体" w:hAnsi="宋体"/>
          <w:szCs w:val="21"/>
        </w:rPr>
        <w:t>能量</w:t>
      </w:r>
      <w:r>
        <w:rPr>
          <w:rFonts w:ascii="宋体" w:hAnsi="宋体"/>
          <w:szCs w:val="21"/>
        </w:rPr>
        <w:t>，并挂牌警告；具体要求请与甲方</w:t>
      </w:r>
      <w:r>
        <w:rPr>
          <w:rFonts w:hint="eastAsia" w:ascii="宋体" w:hAnsi="宋体"/>
          <w:szCs w:val="21"/>
        </w:rPr>
        <w:t>相关方管理负责人</w:t>
      </w:r>
      <w:r>
        <w:rPr>
          <w:rFonts w:ascii="宋体" w:hAnsi="宋体"/>
          <w:szCs w:val="21"/>
        </w:rPr>
        <w:t>联系并获取；</w:t>
      </w:r>
    </w:p>
    <w:p w14:paraId="49B67206">
      <w:pPr>
        <w:numPr>
          <w:ilvl w:val="0"/>
          <w:numId w:val="26"/>
        </w:numPr>
        <w:tabs>
          <w:tab w:val="left" w:pos="567"/>
        </w:tabs>
        <w:adjustRightInd w:val="0"/>
        <w:snapToGrid w:val="0"/>
        <w:spacing w:line="320" w:lineRule="exact"/>
        <w:ind w:left="0" w:firstLine="0"/>
        <w:rPr>
          <w:rFonts w:ascii="宋体" w:hAnsi="宋体"/>
          <w:szCs w:val="21"/>
        </w:rPr>
      </w:pPr>
      <w:r>
        <w:rPr>
          <w:rFonts w:ascii="宋体" w:hAnsi="宋体"/>
          <w:szCs w:val="21"/>
        </w:rPr>
        <w:t>对机器的防护装置维修，待维修完成后应把拆下的防护</w:t>
      </w:r>
      <w:r>
        <w:rPr>
          <w:rFonts w:hint="eastAsia" w:ascii="宋体" w:hAnsi="宋体"/>
          <w:szCs w:val="21"/>
        </w:rPr>
        <w:t>装置</w:t>
      </w:r>
      <w:r>
        <w:rPr>
          <w:rFonts w:ascii="宋体" w:hAnsi="宋体"/>
          <w:szCs w:val="21"/>
        </w:rPr>
        <w:t>（</w:t>
      </w:r>
      <w:r>
        <w:rPr>
          <w:rFonts w:hint="eastAsia" w:ascii="宋体" w:hAnsi="宋体"/>
          <w:szCs w:val="21"/>
        </w:rPr>
        <w:t>如</w:t>
      </w:r>
      <w:r>
        <w:rPr>
          <w:rFonts w:ascii="宋体" w:hAnsi="宋体"/>
          <w:szCs w:val="21"/>
        </w:rPr>
        <w:t>皮带罩</w:t>
      </w:r>
      <w:r>
        <w:rPr>
          <w:rFonts w:hint="eastAsia" w:ascii="宋体" w:hAnsi="宋体"/>
          <w:szCs w:val="21"/>
        </w:rPr>
        <w:t>、联锁装置等</w:t>
      </w:r>
      <w:r>
        <w:rPr>
          <w:rFonts w:ascii="宋体" w:hAnsi="宋体"/>
          <w:szCs w:val="21"/>
        </w:rPr>
        <w:t>）和防护开关</w:t>
      </w:r>
      <w:r>
        <w:rPr>
          <w:rFonts w:hint="eastAsia" w:ascii="宋体" w:hAnsi="宋体"/>
          <w:szCs w:val="21"/>
        </w:rPr>
        <w:t>恢复</w:t>
      </w:r>
      <w:r>
        <w:rPr>
          <w:rFonts w:ascii="宋体" w:hAnsi="宋体"/>
          <w:szCs w:val="21"/>
        </w:rPr>
        <w:t>原位和原有功能</w:t>
      </w:r>
      <w:r>
        <w:rPr>
          <w:rFonts w:hint="eastAsia" w:ascii="宋体" w:hAnsi="宋体"/>
          <w:szCs w:val="21"/>
        </w:rPr>
        <w:t>。</w:t>
      </w:r>
    </w:p>
    <w:p w14:paraId="49B9182E">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关于个人防护用品</w:t>
      </w:r>
    </w:p>
    <w:p w14:paraId="1FCAB709">
      <w:pPr>
        <w:numPr>
          <w:ilvl w:val="0"/>
          <w:numId w:val="27"/>
        </w:numPr>
        <w:tabs>
          <w:tab w:val="left" w:pos="567"/>
        </w:tabs>
        <w:adjustRightInd w:val="0"/>
        <w:snapToGrid w:val="0"/>
        <w:spacing w:line="320" w:lineRule="exact"/>
        <w:ind w:left="0" w:firstLine="0"/>
        <w:rPr>
          <w:rFonts w:ascii="宋体" w:hAnsi="宋体"/>
          <w:szCs w:val="21"/>
        </w:rPr>
      </w:pPr>
      <w:r>
        <w:rPr>
          <w:rFonts w:ascii="宋体" w:hAnsi="宋体"/>
          <w:szCs w:val="21"/>
        </w:rPr>
        <w:t>承包商如作业过程中可能接触</w:t>
      </w:r>
      <w:r>
        <w:rPr>
          <w:rFonts w:hint="eastAsia" w:ascii="宋体" w:hAnsi="宋体"/>
          <w:szCs w:val="21"/>
        </w:rPr>
        <w:t>危险</w:t>
      </w:r>
      <w:r>
        <w:rPr>
          <w:rFonts w:ascii="宋体" w:hAnsi="宋体"/>
          <w:szCs w:val="21"/>
        </w:rPr>
        <w:t>有害因素，承包商应依法或根据甲方的要求为其从业人员配置个人防护用品，进行相应的培训并确保从业人员始终在作业过程中</w:t>
      </w:r>
      <w:r>
        <w:rPr>
          <w:rFonts w:hint="eastAsia" w:ascii="宋体" w:hAnsi="宋体"/>
          <w:szCs w:val="21"/>
        </w:rPr>
        <w:t>佩戴</w:t>
      </w:r>
      <w:r>
        <w:rPr>
          <w:rFonts w:ascii="宋体" w:hAnsi="宋体"/>
          <w:szCs w:val="21"/>
        </w:rPr>
        <w:t>相应的个人防护用品；承包商配置的个人防护用品必须经甲方检查</w:t>
      </w:r>
      <w:r>
        <w:rPr>
          <w:rFonts w:hint="eastAsia" w:ascii="宋体" w:hAnsi="宋体"/>
          <w:szCs w:val="21"/>
        </w:rPr>
        <w:t>合格</w:t>
      </w:r>
      <w:r>
        <w:rPr>
          <w:rFonts w:ascii="宋体" w:hAnsi="宋体"/>
          <w:szCs w:val="21"/>
        </w:rPr>
        <w:t>后才可使用；</w:t>
      </w:r>
    </w:p>
    <w:p w14:paraId="77325900">
      <w:pPr>
        <w:numPr>
          <w:ilvl w:val="0"/>
          <w:numId w:val="27"/>
        </w:numPr>
        <w:tabs>
          <w:tab w:val="left" w:pos="567"/>
        </w:tabs>
        <w:adjustRightInd w:val="0"/>
        <w:snapToGrid w:val="0"/>
        <w:spacing w:line="320" w:lineRule="exact"/>
        <w:ind w:left="0" w:firstLine="0"/>
        <w:rPr>
          <w:rFonts w:ascii="宋体" w:hAnsi="宋体"/>
          <w:szCs w:val="21"/>
        </w:rPr>
      </w:pPr>
      <w:r>
        <w:rPr>
          <w:rFonts w:ascii="宋体" w:hAnsi="宋体"/>
          <w:szCs w:val="21"/>
        </w:rPr>
        <w:t>承包商应确保其从业人员在进入甲方</w:t>
      </w:r>
      <w:r>
        <w:rPr>
          <w:rFonts w:hint="eastAsia" w:ascii="宋体" w:hAnsi="宋体"/>
          <w:szCs w:val="21"/>
        </w:rPr>
        <w:t>场所</w:t>
      </w:r>
      <w:r>
        <w:rPr>
          <w:rFonts w:ascii="宋体" w:hAnsi="宋体"/>
          <w:szCs w:val="21"/>
        </w:rPr>
        <w:t>时必须</w:t>
      </w:r>
      <w:r>
        <w:rPr>
          <w:rFonts w:hint="eastAsia" w:ascii="宋体" w:hAnsi="宋体"/>
          <w:szCs w:val="21"/>
        </w:rPr>
        <w:t>穿戴</w:t>
      </w:r>
      <w:r>
        <w:rPr>
          <w:rFonts w:ascii="宋体" w:hAnsi="宋体"/>
          <w:szCs w:val="21"/>
        </w:rPr>
        <w:t>合格的工服、安全鞋，在特定区域和从事特殊业务时应</w:t>
      </w:r>
      <w:r>
        <w:rPr>
          <w:rFonts w:hint="eastAsia" w:ascii="宋体" w:hAnsi="宋体"/>
          <w:szCs w:val="21"/>
        </w:rPr>
        <w:t>佩戴</w:t>
      </w:r>
      <w:r>
        <w:rPr>
          <w:rFonts w:ascii="宋体" w:hAnsi="宋体"/>
          <w:szCs w:val="21"/>
        </w:rPr>
        <w:t>相应的个人防护用品；</w:t>
      </w:r>
    </w:p>
    <w:p w14:paraId="0FF6FFDC">
      <w:pPr>
        <w:numPr>
          <w:ilvl w:val="0"/>
          <w:numId w:val="27"/>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应为本单位员工</w:t>
      </w:r>
      <w:r>
        <w:rPr>
          <w:rFonts w:ascii="宋体" w:hAnsi="宋体"/>
          <w:szCs w:val="21"/>
        </w:rPr>
        <w:t>提供</w:t>
      </w:r>
      <w:r>
        <w:rPr>
          <w:rFonts w:hint="eastAsia" w:ascii="宋体" w:hAnsi="宋体"/>
          <w:szCs w:val="21"/>
        </w:rPr>
        <w:t>符合甲方标准的</w:t>
      </w:r>
      <w:r>
        <w:rPr>
          <w:rFonts w:ascii="宋体" w:hAnsi="宋体"/>
          <w:szCs w:val="21"/>
        </w:rPr>
        <w:t>个人防护用品</w:t>
      </w:r>
      <w:r>
        <w:rPr>
          <w:rFonts w:hint="eastAsia" w:ascii="宋体" w:hAnsi="宋体"/>
          <w:szCs w:val="21"/>
        </w:rPr>
        <w:t>，</w:t>
      </w:r>
      <w:r>
        <w:rPr>
          <w:rFonts w:ascii="宋体" w:hAnsi="宋体"/>
          <w:szCs w:val="21"/>
        </w:rPr>
        <w:t>承包商</w:t>
      </w:r>
      <w:r>
        <w:rPr>
          <w:rFonts w:hint="eastAsia" w:ascii="宋体" w:hAnsi="宋体"/>
          <w:szCs w:val="21"/>
        </w:rPr>
        <w:t>的工作服（反光背心）或安全帽应当有明显的标示以区别于甲方员工及其他承包商。</w:t>
      </w:r>
    </w:p>
    <w:p w14:paraId="2837DB23">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关于消防安全规定</w:t>
      </w:r>
    </w:p>
    <w:p w14:paraId="7BA6A6D8">
      <w:pPr>
        <w:numPr>
          <w:ilvl w:val="0"/>
          <w:numId w:val="28"/>
        </w:numPr>
        <w:tabs>
          <w:tab w:val="left" w:pos="567"/>
        </w:tabs>
        <w:adjustRightInd w:val="0"/>
        <w:snapToGrid w:val="0"/>
        <w:spacing w:line="320" w:lineRule="exact"/>
        <w:ind w:left="0" w:firstLine="0"/>
        <w:rPr>
          <w:rFonts w:ascii="宋体" w:hAnsi="宋体"/>
          <w:szCs w:val="21"/>
        </w:rPr>
      </w:pPr>
      <w:r>
        <w:rPr>
          <w:rFonts w:ascii="宋体" w:hAnsi="宋体"/>
          <w:szCs w:val="21"/>
        </w:rPr>
        <w:t>在实施作业前以及作业过程中，承包商应确保其设备设施、工具、物料、栏杆等存放有序，不得堵塞消防通道（包括逃生出口、道路），不得阻挡消防设施；</w:t>
      </w:r>
    </w:p>
    <w:p w14:paraId="2938FA36">
      <w:pPr>
        <w:numPr>
          <w:ilvl w:val="0"/>
          <w:numId w:val="28"/>
        </w:numPr>
        <w:tabs>
          <w:tab w:val="left" w:pos="567"/>
        </w:tabs>
        <w:adjustRightInd w:val="0"/>
        <w:snapToGrid w:val="0"/>
        <w:spacing w:line="320" w:lineRule="exact"/>
        <w:ind w:left="0" w:firstLine="0"/>
        <w:rPr>
          <w:rFonts w:ascii="宋体" w:hAnsi="宋体"/>
          <w:szCs w:val="21"/>
        </w:rPr>
      </w:pPr>
      <w:r>
        <w:rPr>
          <w:rFonts w:ascii="宋体" w:hAnsi="宋体"/>
          <w:szCs w:val="21"/>
        </w:rPr>
        <w:t>在作业前，承包商应熟悉作业现场周围的环境，熟悉报警器，灭火器，消防栓、甲方所贴的逃生图（厂（场）区各处）、紧急疏散通道和逃生门的位置，如有疑问须及时向甲方负责人询问；</w:t>
      </w:r>
    </w:p>
    <w:p w14:paraId="7A96C1EE">
      <w:pPr>
        <w:numPr>
          <w:ilvl w:val="0"/>
          <w:numId w:val="28"/>
        </w:numPr>
        <w:tabs>
          <w:tab w:val="left" w:pos="567"/>
        </w:tabs>
        <w:adjustRightInd w:val="0"/>
        <w:snapToGrid w:val="0"/>
        <w:spacing w:line="320" w:lineRule="exact"/>
        <w:ind w:left="0" w:firstLine="0"/>
        <w:rPr>
          <w:rFonts w:ascii="宋体" w:hAnsi="宋体"/>
          <w:szCs w:val="21"/>
        </w:rPr>
      </w:pPr>
      <w:r>
        <w:rPr>
          <w:rFonts w:ascii="宋体" w:hAnsi="宋体"/>
          <w:szCs w:val="21"/>
        </w:rPr>
        <w:t>在作业过程中，承包商应在作业</w:t>
      </w:r>
      <w:r>
        <w:rPr>
          <w:rFonts w:hint="eastAsia" w:ascii="宋体" w:hAnsi="宋体"/>
          <w:szCs w:val="21"/>
        </w:rPr>
        <w:t>现场</w:t>
      </w:r>
      <w:r>
        <w:rPr>
          <w:rFonts w:ascii="宋体" w:hAnsi="宋体"/>
          <w:szCs w:val="21"/>
        </w:rPr>
        <w:t>配备必要的消防</w:t>
      </w:r>
      <w:r>
        <w:rPr>
          <w:rFonts w:hint="eastAsia" w:ascii="宋体" w:hAnsi="宋体"/>
          <w:szCs w:val="21"/>
        </w:rPr>
        <w:t>器材</w:t>
      </w:r>
      <w:r>
        <w:rPr>
          <w:rFonts w:ascii="宋体" w:hAnsi="宋体"/>
          <w:szCs w:val="21"/>
        </w:rPr>
        <w:t>、应急救援设备</w:t>
      </w:r>
      <w:r>
        <w:rPr>
          <w:rFonts w:hint="eastAsia" w:ascii="宋体" w:hAnsi="宋体"/>
          <w:szCs w:val="21"/>
        </w:rPr>
        <w:t>和</w:t>
      </w:r>
      <w:r>
        <w:rPr>
          <w:rFonts w:ascii="宋体" w:hAnsi="宋体"/>
          <w:szCs w:val="21"/>
        </w:rPr>
        <w:t>急救箱等；</w:t>
      </w:r>
    </w:p>
    <w:p w14:paraId="0DA08466">
      <w:pPr>
        <w:numPr>
          <w:ilvl w:val="0"/>
          <w:numId w:val="28"/>
        </w:numPr>
        <w:tabs>
          <w:tab w:val="left" w:pos="567"/>
        </w:tabs>
        <w:adjustRightInd w:val="0"/>
        <w:snapToGrid w:val="0"/>
        <w:spacing w:line="320" w:lineRule="exact"/>
        <w:ind w:left="0" w:firstLine="0"/>
        <w:rPr>
          <w:rFonts w:ascii="宋体" w:hAnsi="宋体"/>
          <w:szCs w:val="21"/>
        </w:rPr>
      </w:pPr>
      <w:r>
        <w:rPr>
          <w:rFonts w:ascii="宋体" w:hAnsi="宋体"/>
          <w:szCs w:val="21"/>
        </w:rPr>
        <w:t>在未得到甲方EHS部门许可前，不得擅自改动、更换、取消或动用消防设备设施（如</w:t>
      </w:r>
      <w:r>
        <w:rPr>
          <w:rFonts w:hint="eastAsia" w:ascii="宋体" w:hAnsi="宋体"/>
          <w:szCs w:val="21"/>
        </w:rPr>
        <w:t>灭火器、消火栓、感烟探测器</w:t>
      </w:r>
      <w:r>
        <w:rPr>
          <w:rFonts w:ascii="宋体" w:hAnsi="宋体"/>
          <w:szCs w:val="21"/>
        </w:rPr>
        <w:t>等）；如因作业需要</w:t>
      </w:r>
      <w:r>
        <w:rPr>
          <w:rFonts w:hint="eastAsia" w:ascii="宋体" w:hAnsi="宋体"/>
          <w:szCs w:val="21"/>
        </w:rPr>
        <w:t>紧急使用的，或经许可</w:t>
      </w:r>
      <w:r>
        <w:rPr>
          <w:rFonts w:ascii="宋体" w:hAnsi="宋体"/>
          <w:szCs w:val="21"/>
        </w:rPr>
        <w:t>改动或更换的，应在完成作业后恢复</w:t>
      </w:r>
      <w:r>
        <w:rPr>
          <w:rFonts w:hint="eastAsia" w:ascii="宋体" w:hAnsi="宋体"/>
          <w:szCs w:val="21"/>
        </w:rPr>
        <w:t>。</w:t>
      </w:r>
    </w:p>
    <w:p w14:paraId="5B6E2CA5">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易燃液体的使用与管理规定</w:t>
      </w:r>
    </w:p>
    <w:p w14:paraId="3A5387E7">
      <w:pPr>
        <w:numPr>
          <w:ilvl w:val="0"/>
          <w:numId w:val="29"/>
        </w:numPr>
        <w:tabs>
          <w:tab w:val="left" w:pos="567"/>
        </w:tabs>
        <w:adjustRightInd w:val="0"/>
        <w:snapToGrid w:val="0"/>
        <w:spacing w:line="320" w:lineRule="exact"/>
        <w:ind w:left="0" w:firstLine="0"/>
        <w:rPr>
          <w:rFonts w:ascii="宋体" w:hAnsi="宋体"/>
          <w:szCs w:val="21"/>
        </w:rPr>
      </w:pPr>
      <w:bookmarkStart w:id="46" w:name="_Hlk5180704"/>
      <w:r>
        <w:rPr>
          <w:rFonts w:ascii="宋体" w:hAnsi="宋体"/>
          <w:szCs w:val="21"/>
        </w:rPr>
        <w:t>未</w:t>
      </w:r>
      <w:r>
        <w:rPr>
          <w:rFonts w:hint="eastAsia" w:ascii="宋体" w:hAnsi="宋体"/>
          <w:szCs w:val="21"/>
        </w:rPr>
        <w:t>获</w:t>
      </w:r>
      <w:r>
        <w:rPr>
          <w:rFonts w:ascii="宋体" w:hAnsi="宋体"/>
          <w:szCs w:val="21"/>
        </w:rPr>
        <w:t>甲方</w:t>
      </w:r>
      <w:r>
        <w:rPr>
          <w:rFonts w:hint="eastAsia" w:ascii="宋体" w:hAnsi="宋体"/>
          <w:szCs w:val="21"/>
        </w:rPr>
        <w:t>同意</w:t>
      </w:r>
      <w:r>
        <w:rPr>
          <w:rFonts w:ascii="宋体" w:hAnsi="宋体"/>
          <w:szCs w:val="21"/>
        </w:rPr>
        <w:t>前，</w:t>
      </w:r>
      <w:bookmarkEnd w:id="46"/>
      <w:r>
        <w:rPr>
          <w:rFonts w:ascii="宋体" w:hAnsi="宋体"/>
          <w:szCs w:val="21"/>
        </w:rPr>
        <w:t>不得将易燃物（包括但不限于酒精</w:t>
      </w:r>
      <w:r>
        <w:rPr>
          <w:rFonts w:hint="eastAsia" w:ascii="宋体" w:hAnsi="宋体"/>
          <w:szCs w:val="21"/>
        </w:rPr>
        <w:t>、</w:t>
      </w:r>
      <w:r>
        <w:rPr>
          <w:rFonts w:ascii="宋体" w:hAnsi="宋体"/>
          <w:szCs w:val="21"/>
        </w:rPr>
        <w:t>稀释液（松节水）、油漆和汽油等）擅自带入甲方</w:t>
      </w:r>
      <w:r>
        <w:rPr>
          <w:rFonts w:hint="eastAsia" w:ascii="宋体" w:hAnsi="宋体"/>
          <w:szCs w:val="21"/>
        </w:rPr>
        <w:t>厂（场）所内、</w:t>
      </w:r>
      <w:r>
        <w:rPr>
          <w:rFonts w:ascii="宋体" w:hAnsi="宋体"/>
          <w:szCs w:val="21"/>
        </w:rPr>
        <w:t>使用，不得用</w:t>
      </w:r>
      <w:r>
        <w:rPr>
          <w:rFonts w:hint="eastAsia" w:ascii="宋体" w:hAnsi="宋体"/>
          <w:szCs w:val="21"/>
        </w:rPr>
        <w:t>汽油、</w:t>
      </w:r>
      <w:r>
        <w:rPr>
          <w:rFonts w:ascii="宋体" w:hAnsi="宋体"/>
          <w:szCs w:val="21"/>
        </w:rPr>
        <w:t>酒精和稀释液作清洁用途；</w:t>
      </w:r>
    </w:p>
    <w:p w14:paraId="7EBA5644">
      <w:pPr>
        <w:numPr>
          <w:ilvl w:val="0"/>
          <w:numId w:val="29"/>
        </w:numPr>
        <w:tabs>
          <w:tab w:val="left" w:pos="567"/>
        </w:tabs>
        <w:adjustRightInd w:val="0"/>
        <w:snapToGrid w:val="0"/>
        <w:spacing w:line="320" w:lineRule="exact"/>
        <w:ind w:left="0" w:firstLine="0"/>
        <w:rPr>
          <w:rFonts w:ascii="宋体" w:hAnsi="宋体"/>
          <w:szCs w:val="21"/>
        </w:rPr>
      </w:pPr>
      <w:r>
        <w:rPr>
          <w:rFonts w:ascii="宋体" w:hAnsi="宋体"/>
          <w:szCs w:val="21"/>
        </w:rPr>
        <w:t>易燃液体应妥善保存和密封，存放在甲方指定地方并配备</w:t>
      </w:r>
      <w:r>
        <w:rPr>
          <w:rFonts w:hint="eastAsia" w:ascii="宋体" w:hAnsi="宋体"/>
          <w:szCs w:val="21"/>
        </w:rPr>
        <w:t>满足要求的消防设施。</w:t>
      </w:r>
    </w:p>
    <w:p w14:paraId="6E38868C">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关于压缩气体的使用与管理</w:t>
      </w:r>
    </w:p>
    <w:p w14:paraId="45A258C2">
      <w:pPr>
        <w:numPr>
          <w:ilvl w:val="0"/>
          <w:numId w:val="30"/>
        </w:numPr>
        <w:tabs>
          <w:tab w:val="left" w:pos="567"/>
        </w:tabs>
        <w:adjustRightInd w:val="0"/>
        <w:snapToGrid w:val="0"/>
        <w:spacing w:line="320" w:lineRule="exact"/>
        <w:ind w:left="0" w:firstLine="0"/>
        <w:rPr>
          <w:rFonts w:ascii="宋体" w:hAnsi="宋体"/>
          <w:szCs w:val="21"/>
        </w:rPr>
      </w:pPr>
      <w:r>
        <w:rPr>
          <w:rFonts w:ascii="宋体" w:hAnsi="宋体"/>
          <w:szCs w:val="21"/>
        </w:rPr>
        <w:t>未</w:t>
      </w:r>
      <w:r>
        <w:rPr>
          <w:rFonts w:hint="eastAsia" w:ascii="宋体" w:hAnsi="宋体"/>
          <w:szCs w:val="21"/>
        </w:rPr>
        <w:t>获得</w:t>
      </w:r>
      <w:r>
        <w:rPr>
          <w:rFonts w:ascii="宋体" w:hAnsi="宋体"/>
          <w:szCs w:val="21"/>
        </w:rPr>
        <w:t>甲方</w:t>
      </w:r>
      <w:r>
        <w:rPr>
          <w:rFonts w:hint="eastAsia" w:ascii="宋体" w:hAnsi="宋体"/>
          <w:szCs w:val="21"/>
        </w:rPr>
        <w:t>同意</w:t>
      </w:r>
      <w:r>
        <w:rPr>
          <w:rFonts w:ascii="宋体" w:hAnsi="宋体"/>
          <w:szCs w:val="21"/>
        </w:rPr>
        <w:t>，承包商不得将压缩气体擅自带入甲方</w:t>
      </w:r>
      <w:r>
        <w:rPr>
          <w:rFonts w:hint="eastAsia" w:ascii="宋体" w:hAnsi="宋体"/>
          <w:szCs w:val="21"/>
        </w:rPr>
        <w:t>厂（场）内、</w:t>
      </w:r>
      <w:r>
        <w:rPr>
          <w:rFonts w:ascii="宋体" w:hAnsi="宋体"/>
          <w:szCs w:val="21"/>
        </w:rPr>
        <w:t>使用</w:t>
      </w:r>
      <w:r>
        <w:rPr>
          <w:rFonts w:hint="eastAsia" w:ascii="宋体" w:hAnsi="宋体"/>
          <w:szCs w:val="21"/>
        </w:rPr>
        <w:t>；</w:t>
      </w:r>
    </w:p>
    <w:p w14:paraId="34CF9F55">
      <w:pPr>
        <w:numPr>
          <w:ilvl w:val="0"/>
          <w:numId w:val="30"/>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应当</w:t>
      </w:r>
      <w:r>
        <w:rPr>
          <w:rFonts w:ascii="宋体" w:hAnsi="宋体"/>
          <w:szCs w:val="21"/>
        </w:rPr>
        <w:t>依法使用合格的压缩气瓶储存压缩气体，同时，压缩气瓶应标明名称和</w:t>
      </w:r>
      <w:r>
        <w:rPr>
          <w:rFonts w:hint="eastAsia" w:ascii="宋体" w:hAnsi="宋体"/>
          <w:szCs w:val="21"/>
        </w:rPr>
        <w:t>压力</w:t>
      </w:r>
      <w:r>
        <w:rPr>
          <w:rFonts w:ascii="宋体" w:hAnsi="宋体"/>
          <w:szCs w:val="21"/>
        </w:rPr>
        <w:t>指示，并做好以下预防措施：</w:t>
      </w:r>
    </w:p>
    <w:p w14:paraId="14E4E15C">
      <w:pPr>
        <w:numPr>
          <w:ilvl w:val="0"/>
          <w:numId w:val="31"/>
        </w:numPr>
        <w:tabs>
          <w:tab w:val="left" w:pos="709"/>
        </w:tabs>
        <w:adjustRightInd w:val="0"/>
        <w:snapToGrid w:val="0"/>
        <w:spacing w:line="320" w:lineRule="exact"/>
        <w:ind w:left="0" w:firstLine="0"/>
        <w:rPr>
          <w:rFonts w:ascii="宋体" w:hAnsi="宋体"/>
          <w:szCs w:val="21"/>
        </w:rPr>
      </w:pPr>
      <w:r>
        <w:rPr>
          <w:rFonts w:hint="eastAsia" w:ascii="宋体" w:hAnsi="宋体"/>
          <w:szCs w:val="21"/>
        </w:rPr>
        <w:t>使</w:t>
      </w:r>
      <w:r>
        <w:rPr>
          <w:rFonts w:ascii="宋体" w:hAnsi="宋体"/>
          <w:szCs w:val="21"/>
        </w:rPr>
        <w:t>用</w:t>
      </w:r>
      <w:r>
        <w:rPr>
          <w:rFonts w:hint="eastAsia" w:ascii="宋体" w:hAnsi="宋体"/>
          <w:szCs w:val="21"/>
        </w:rPr>
        <w:t>可靠措施</w:t>
      </w:r>
      <w:r>
        <w:rPr>
          <w:rFonts w:ascii="宋体" w:hAnsi="宋体"/>
          <w:szCs w:val="21"/>
        </w:rPr>
        <w:t>紧固气瓶，固定位置在瓶上部2/3处，不能捆绑瓶口；保持气瓶垂直向上放置；</w:t>
      </w:r>
    </w:p>
    <w:p w14:paraId="3812613D">
      <w:pPr>
        <w:numPr>
          <w:ilvl w:val="0"/>
          <w:numId w:val="31"/>
        </w:numPr>
        <w:tabs>
          <w:tab w:val="left" w:pos="709"/>
        </w:tabs>
        <w:adjustRightInd w:val="0"/>
        <w:snapToGrid w:val="0"/>
        <w:spacing w:line="320" w:lineRule="exact"/>
        <w:ind w:left="0" w:firstLine="0"/>
        <w:rPr>
          <w:rFonts w:ascii="宋体" w:hAnsi="宋体"/>
          <w:szCs w:val="21"/>
        </w:rPr>
      </w:pPr>
      <w:r>
        <w:rPr>
          <w:rFonts w:ascii="宋体" w:hAnsi="宋体"/>
          <w:szCs w:val="21"/>
        </w:rPr>
        <w:t>易燃气体（乙炔，煤气）与氧气瓶隔开，间距</w:t>
      </w:r>
      <w:r>
        <w:rPr>
          <w:rFonts w:hint="eastAsia" w:ascii="宋体" w:hAnsi="宋体"/>
          <w:szCs w:val="21"/>
        </w:rPr>
        <w:t>应大于5</w:t>
      </w:r>
      <w:r>
        <w:rPr>
          <w:rFonts w:ascii="宋体" w:hAnsi="宋体"/>
          <w:szCs w:val="21"/>
        </w:rPr>
        <w:t>米；</w:t>
      </w:r>
    </w:p>
    <w:p w14:paraId="4F512842">
      <w:pPr>
        <w:numPr>
          <w:ilvl w:val="0"/>
          <w:numId w:val="31"/>
        </w:numPr>
        <w:tabs>
          <w:tab w:val="left" w:pos="709"/>
        </w:tabs>
        <w:adjustRightInd w:val="0"/>
        <w:snapToGrid w:val="0"/>
        <w:spacing w:line="320" w:lineRule="exact"/>
        <w:ind w:left="0" w:firstLine="0"/>
        <w:rPr>
          <w:rFonts w:ascii="宋体" w:hAnsi="宋体"/>
          <w:szCs w:val="21"/>
        </w:rPr>
      </w:pPr>
      <w:r>
        <w:rPr>
          <w:rFonts w:ascii="宋体" w:hAnsi="宋体"/>
          <w:szCs w:val="21"/>
        </w:rPr>
        <w:t>不使用的气瓶应保护好阀门，盖上钢瓶盖，标示空瓶；</w:t>
      </w:r>
    </w:p>
    <w:p w14:paraId="24A810B4">
      <w:pPr>
        <w:numPr>
          <w:ilvl w:val="0"/>
          <w:numId w:val="31"/>
        </w:numPr>
        <w:tabs>
          <w:tab w:val="left" w:pos="709"/>
        </w:tabs>
        <w:adjustRightInd w:val="0"/>
        <w:snapToGrid w:val="0"/>
        <w:spacing w:line="320" w:lineRule="exact"/>
        <w:ind w:left="0" w:firstLine="0"/>
        <w:rPr>
          <w:rFonts w:ascii="宋体" w:hAnsi="宋体"/>
          <w:szCs w:val="21"/>
        </w:rPr>
      </w:pPr>
      <w:r>
        <w:rPr>
          <w:rFonts w:ascii="宋体" w:hAnsi="宋体"/>
          <w:szCs w:val="21"/>
        </w:rPr>
        <w:t>气瓶与热源分隔开，使用合格阀门、气管和相关设备；</w:t>
      </w:r>
    </w:p>
    <w:p w14:paraId="0B2F8E06">
      <w:pPr>
        <w:numPr>
          <w:ilvl w:val="0"/>
          <w:numId w:val="31"/>
        </w:numPr>
        <w:tabs>
          <w:tab w:val="left" w:pos="709"/>
        </w:tabs>
        <w:adjustRightInd w:val="0"/>
        <w:snapToGrid w:val="0"/>
        <w:spacing w:line="320" w:lineRule="exact"/>
        <w:ind w:left="0" w:firstLine="0"/>
        <w:rPr>
          <w:rFonts w:ascii="宋体" w:hAnsi="宋体"/>
          <w:szCs w:val="21"/>
        </w:rPr>
      </w:pPr>
      <w:r>
        <w:rPr>
          <w:rFonts w:ascii="宋体" w:hAnsi="宋体"/>
          <w:szCs w:val="21"/>
        </w:rPr>
        <w:t>法律法规规章规定</w:t>
      </w:r>
      <w:r>
        <w:rPr>
          <w:rFonts w:hint="eastAsia" w:ascii="宋体" w:hAnsi="宋体"/>
          <w:szCs w:val="21"/>
        </w:rPr>
        <w:t>的</w:t>
      </w:r>
      <w:r>
        <w:rPr>
          <w:rFonts w:ascii="宋体" w:hAnsi="宋体"/>
          <w:szCs w:val="21"/>
        </w:rPr>
        <w:t>其他注意事项和预防措施</w:t>
      </w:r>
      <w:r>
        <w:rPr>
          <w:rFonts w:hint="eastAsia" w:ascii="宋体" w:hAnsi="宋体"/>
          <w:szCs w:val="21"/>
        </w:rPr>
        <w:t>。</w:t>
      </w:r>
    </w:p>
    <w:p w14:paraId="55A65604">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关于化学品的使用与管理</w:t>
      </w:r>
    </w:p>
    <w:p w14:paraId="03865878">
      <w:pPr>
        <w:numPr>
          <w:ilvl w:val="0"/>
          <w:numId w:val="32"/>
        </w:numPr>
        <w:tabs>
          <w:tab w:val="left" w:pos="567"/>
        </w:tabs>
        <w:adjustRightInd w:val="0"/>
        <w:snapToGrid w:val="0"/>
        <w:spacing w:line="320" w:lineRule="exact"/>
        <w:ind w:left="0" w:firstLine="0"/>
        <w:rPr>
          <w:rFonts w:ascii="宋体" w:hAnsi="宋体"/>
          <w:szCs w:val="21"/>
        </w:rPr>
      </w:pPr>
      <w:r>
        <w:rPr>
          <w:rFonts w:ascii="宋体" w:hAnsi="宋体"/>
          <w:szCs w:val="21"/>
        </w:rPr>
        <w:t>承包商未</w:t>
      </w:r>
      <w:r>
        <w:rPr>
          <w:rFonts w:hint="eastAsia" w:ascii="宋体" w:hAnsi="宋体"/>
          <w:szCs w:val="21"/>
        </w:rPr>
        <w:t>获</w:t>
      </w:r>
      <w:r>
        <w:rPr>
          <w:rFonts w:ascii="宋体" w:hAnsi="宋体"/>
          <w:szCs w:val="21"/>
        </w:rPr>
        <w:t>甲方</w:t>
      </w:r>
      <w:r>
        <w:rPr>
          <w:rFonts w:hint="eastAsia" w:ascii="宋体" w:hAnsi="宋体"/>
          <w:szCs w:val="21"/>
        </w:rPr>
        <w:t>同意</w:t>
      </w:r>
      <w:r>
        <w:rPr>
          <w:rFonts w:ascii="宋体" w:hAnsi="宋体"/>
          <w:szCs w:val="21"/>
        </w:rPr>
        <w:t>前，不得将化学品擅自带入甲方</w:t>
      </w:r>
      <w:r>
        <w:rPr>
          <w:rFonts w:hint="eastAsia" w:ascii="宋体" w:hAnsi="宋体"/>
          <w:szCs w:val="21"/>
        </w:rPr>
        <w:t>厂（场）内、</w:t>
      </w:r>
      <w:r>
        <w:rPr>
          <w:rFonts w:ascii="宋体" w:hAnsi="宋体"/>
          <w:szCs w:val="21"/>
        </w:rPr>
        <w:t>使用；在向甲方申请时，</w:t>
      </w:r>
      <w:r>
        <w:rPr>
          <w:rFonts w:hint="eastAsia" w:ascii="宋体" w:hAnsi="宋体"/>
          <w:szCs w:val="21"/>
        </w:rPr>
        <w:t>应</w:t>
      </w:r>
      <w:r>
        <w:rPr>
          <w:rFonts w:ascii="宋体" w:hAnsi="宋体"/>
          <w:szCs w:val="21"/>
        </w:rPr>
        <w:t>提供</w:t>
      </w:r>
      <w:r>
        <w:rPr>
          <w:rFonts w:hint="eastAsia" w:ascii="宋体" w:hAnsi="宋体"/>
          <w:szCs w:val="21"/>
        </w:rPr>
        <w:t>所</w:t>
      </w:r>
      <w:r>
        <w:rPr>
          <w:rFonts w:ascii="宋体" w:hAnsi="宋体"/>
          <w:szCs w:val="21"/>
        </w:rPr>
        <w:t>使用</w:t>
      </w:r>
      <w:r>
        <w:rPr>
          <w:rFonts w:hint="eastAsia" w:ascii="宋体" w:hAnsi="宋体"/>
          <w:szCs w:val="21"/>
        </w:rPr>
        <w:t>的</w:t>
      </w:r>
      <w:r>
        <w:rPr>
          <w:rFonts w:ascii="宋体" w:hAnsi="宋体"/>
          <w:szCs w:val="21"/>
        </w:rPr>
        <w:t>化学品清单</w:t>
      </w:r>
      <w:r>
        <w:rPr>
          <w:rFonts w:hint="eastAsia" w:ascii="宋体" w:hAnsi="宋体"/>
          <w:szCs w:val="21"/>
        </w:rPr>
        <w:t>、</w:t>
      </w:r>
      <w:r>
        <w:rPr>
          <w:rFonts w:ascii="宋体" w:hAnsi="宋体"/>
          <w:szCs w:val="21"/>
        </w:rPr>
        <w:t>安全数据资料、风险评估及使用方法说明；</w:t>
      </w:r>
      <w:r>
        <w:rPr>
          <w:rFonts w:hint="eastAsia" w:ascii="宋体" w:hAnsi="宋体"/>
          <w:szCs w:val="21"/>
        </w:rPr>
        <w:t>不得使用国家明令禁止的危险化学品；</w:t>
      </w:r>
    </w:p>
    <w:p w14:paraId="0E03BAD6">
      <w:pPr>
        <w:numPr>
          <w:ilvl w:val="0"/>
          <w:numId w:val="32"/>
        </w:numPr>
        <w:tabs>
          <w:tab w:val="left" w:pos="567"/>
          <w:tab w:val="left" w:pos="810"/>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w:t>
      </w:r>
      <w:r>
        <w:rPr>
          <w:rFonts w:ascii="宋体" w:hAnsi="宋体"/>
          <w:szCs w:val="21"/>
        </w:rPr>
        <w:t>正确储存和使用化学品（如溶剂，清洗液，胶水，酸，碱等），并采取</w:t>
      </w:r>
      <w:r>
        <w:rPr>
          <w:rFonts w:hint="eastAsia" w:ascii="宋体" w:hAnsi="宋体"/>
          <w:szCs w:val="21"/>
        </w:rPr>
        <w:t>有效的</w:t>
      </w:r>
      <w:r>
        <w:rPr>
          <w:rFonts w:ascii="宋体" w:hAnsi="宋体"/>
          <w:szCs w:val="21"/>
        </w:rPr>
        <w:t>预防措施</w:t>
      </w:r>
      <w:r>
        <w:rPr>
          <w:rFonts w:hint="eastAsia" w:ascii="宋体" w:hAnsi="宋体"/>
          <w:szCs w:val="21"/>
        </w:rPr>
        <w:t>，预防措施包括但不限于以下内容</w:t>
      </w:r>
      <w:r>
        <w:rPr>
          <w:rFonts w:ascii="宋体" w:hAnsi="宋体"/>
          <w:szCs w:val="21"/>
        </w:rPr>
        <w:t>：</w:t>
      </w:r>
    </w:p>
    <w:p w14:paraId="2CF594BC">
      <w:pPr>
        <w:numPr>
          <w:ilvl w:val="0"/>
          <w:numId w:val="33"/>
        </w:numPr>
        <w:tabs>
          <w:tab w:val="left" w:pos="709"/>
        </w:tabs>
        <w:adjustRightInd w:val="0"/>
        <w:snapToGrid w:val="0"/>
        <w:spacing w:line="320" w:lineRule="exact"/>
        <w:ind w:left="0" w:firstLine="0"/>
        <w:rPr>
          <w:rFonts w:ascii="宋体" w:hAnsi="宋体"/>
          <w:szCs w:val="21"/>
        </w:rPr>
      </w:pPr>
      <w:r>
        <w:rPr>
          <w:rFonts w:ascii="宋体" w:hAnsi="宋体"/>
          <w:szCs w:val="21"/>
        </w:rPr>
        <w:t>使用工业化学品之前必须提供MSDS及风险评估，化学品必须存放在二级围堰中（如围堰、收集盘、表面防渗漏处理的房间内）；</w:t>
      </w:r>
    </w:p>
    <w:p w14:paraId="6BB1DE43">
      <w:pPr>
        <w:numPr>
          <w:ilvl w:val="0"/>
          <w:numId w:val="33"/>
        </w:numPr>
        <w:tabs>
          <w:tab w:val="left" w:pos="709"/>
        </w:tabs>
        <w:adjustRightInd w:val="0"/>
        <w:snapToGrid w:val="0"/>
        <w:spacing w:line="320" w:lineRule="exact"/>
        <w:ind w:left="0" w:firstLine="0"/>
        <w:rPr>
          <w:rFonts w:ascii="宋体" w:hAnsi="宋体"/>
          <w:szCs w:val="21"/>
        </w:rPr>
      </w:pPr>
      <w:r>
        <w:rPr>
          <w:rFonts w:ascii="宋体" w:hAnsi="宋体"/>
          <w:szCs w:val="21"/>
        </w:rPr>
        <w:t>查看标签和安全数据资料，了解使用化学品的有害性；</w:t>
      </w:r>
    </w:p>
    <w:p w14:paraId="46C0BE6D">
      <w:pPr>
        <w:numPr>
          <w:ilvl w:val="0"/>
          <w:numId w:val="33"/>
        </w:numPr>
        <w:tabs>
          <w:tab w:val="left" w:pos="709"/>
        </w:tabs>
        <w:adjustRightInd w:val="0"/>
        <w:snapToGrid w:val="0"/>
        <w:spacing w:line="320" w:lineRule="exact"/>
        <w:ind w:left="0" w:firstLine="0"/>
        <w:rPr>
          <w:rFonts w:ascii="宋体" w:hAnsi="宋体"/>
          <w:szCs w:val="21"/>
        </w:rPr>
      </w:pPr>
      <w:r>
        <w:rPr>
          <w:rFonts w:ascii="宋体" w:hAnsi="宋体"/>
          <w:szCs w:val="21"/>
        </w:rPr>
        <w:t>所有容器应正确贴有标签（包括名称、浓度、有害性等）；</w:t>
      </w:r>
    </w:p>
    <w:p w14:paraId="54F23977">
      <w:pPr>
        <w:numPr>
          <w:ilvl w:val="0"/>
          <w:numId w:val="33"/>
        </w:numPr>
        <w:tabs>
          <w:tab w:val="left" w:pos="709"/>
        </w:tabs>
        <w:adjustRightInd w:val="0"/>
        <w:snapToGrid w:val="0"/>
        <w:spacing w:line="320" w:lineRule="exact"/>
        <w:ind w:left="0" w:firstLine="0"/>
        <w:rPr>
          <w:rFonts w:ascii="宋体" w:hAnsi="宋体"/>
          <w:szCs w:val="21"/>
        </w:rPr>
      </w:pPr>
      <w:r>
        <w:rPr>
          <w:rFonts w:ascii="宋体" w:hAnsi="宋体"/>
          <w:szCs w:val="21"/>
        </w:rPr>
        <w:t>对使用处理和操作化学品的人员进行有害性的培训；</w:t>
      </w:r>
    </w:p>
    <w:p w14:paraId="086CC657">
      <w:pPr>
        <w:numPr>
          <w:ilvl w:val="0"/>
          <w:numId w:val="33"/>
        </w:numPr>
        <w:tabs>
          <w:tab w:val="left" w:pos="709"/>
        </w:tabs>
        <w:adjustRightInd w:val="0"/>
        <w:snapToGrid w:val="0"/>
        <w:spacing w:line="320" w:lineRule="exact"/>
        <w:ind w:left="0" w:firstLine="0"/>
        <w:rPr>
          <w:rFonts w:ascii="宋体" w:hAnsi="宋体"/>
          <w:szCs w:val="21"/>
        </w:rPr>
      </w:pPr>
      <w:r>
        <w:rPr>
          <w:rFonts w:ascii="宋体" w:hAnsi="宋体"/>
          <w:szCs w:val="21"/>
        </w:rPr>
        <w:t>为使用处理和操作化学品的人员提供个人保护用品，如有必要</w:t>
      </w:r>
      <w:r>
        <w:rPr>
          <w:rFonts w:hint="eastAsia" w:ascii="宋体" w:hAnsi="宋体"/>
          <w:szCs w:val="21"/>
        </w:rPr>
        <w:t>应</w:t>
      </w:r>
      <w:r>
        <w:rPr>
          <w:rFonts w:ascii="宋体" w:hAnsi="宋体"/>
          <w:szCs w:val="21"/>
        </w:rPr>
        <w:t>提供现</w:t>
      </w:r>
      <w:r>
        <w:rPr>
          <w:rFonts w:hint="eastAsia" w:ascii="宋体" w:hAnsi="宋体"/>
          <w:szCs w:val="21"/>
        </w:rPr>
        <w:t>场</w:t>
      </w:r>
      <w:r>
        <w:rPr>
          <w:rFonts w:ascii="宋体" w:hAnsi="宋体"/>
          <w:szCs w:val="21"/>
        </w:rPr>
        <w:t>通风装置；</w:t>
      </w:r>
    </w:p>
    <w:p w14:paraId="0F85A97D">
      <w:pPr>
        <w:numPr>
          <w:ilvl w:val="0"/>
          <w:numId w:val="32"/>
        </w:numPr>
        <w:tabs>
          <w:tab w:val="left" w:pos="567"/>
          <w:tab w:val="left" w:pos="709"/>
          <w:tab w:val="left" w:pos="810"/>
        </w:tabs>
        <w:adjustRightInd w:val="0"/>
        <w:snapToGrid w:val="0"/>
        <w:spacing w:line="320" w:lineRule="exact"/>
        <w:ind w:left="0" w:firstLine="0"/>
        <w:rPr>
          <w:rFonts w:ascii="宋体" w:hAnsi="宋体"/>
          <w:szCs w:val="21"/>
        </w:rPr>
      </w:pPr>
      <w:r>
        <w:rPr>
          <w:rFonts w:ascii="宋体" w:hAnsi="宋体"/>
          <w:szCs w:val="21"/>
        </w:rPr>
        <w:t>不得使用石棉制品</w:t>
      </w:r>
      <w:r>
        <w:rPr>
          <w:rFonts w:hint="eastAsia" w:ascii="宋体" w:hAnsi="宋体"/>
          <w:szCs w:val="21"/>
        </w:rPr>
        <w:t>。</w:t>
      </w:r>
    </w:p>
    <w:p w14:paraId="0045B920">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高处</w:t>
      </w:r>
      <w:r>
        <w:rPr>
          <w:rFonts w:ascii="宋体" w:hAnsi="宋体"/>
          <w:b/>
          <w:bCs/>
          <w:szCs w:val="21"/>
        </w:rPr>
        <w:t>作业/厂（场）区天面作业规定</w:t>
      </w:r>
    </w:p>
    <w:p w14:paraId="6B86E097">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在作业前，必须对作业人员进行必要的培训；</w:t>
      </w:r>
    </w:p>
    <w:p w14:paraId="20FC0E3A">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作业时</w:t>
      </w:r>
      <w:r>
        <w:rPr>
          <w:rFonts w:hint="eastAsia" w:ascii="宋体" w:hAnsi="宋体"/>
          <w:szCs w:val="21"/>
        </w:rPr>
        <w:t>应有</w:t>
      </w:r>
      <w:r>
        <w:rPr>
          <w:rFonts w:ascii="宋体" w:hAnsi="宋体"/>
          <w:szCs w:val="21"/>
        </w:rPr>
        <w:t>防止工具和材料</w:t>
      </w:r>
      <w:r>
        <w:rPr>
          <w:rFonts w:hint="eastAsia" w:ascii="宋体" w:hAnsi="宋体"/>
          <w:szCs w:val="21"/>
        </w:rPr>
        <w:t>高处</w:t>
      </w:r>
      <w:r>
        <w:rPr>
          <w:rFonts w:ascii="宋体" w:hAnsi="宋体"/>
          <w:szCs w:val="21"/>
        </w:rPr>
        <w:t>坠落</w:t>
      </w:r>
      <w:r>
        <w:rPr>
          <w:rFonts w:hint="eastAsia" w:ascii="宋体" w:hAnsi="宋体"/>
          <w:szCs w:val="21"/>
        </w:rPr>
        <w:t>的措施</w:t>
      </w:r>
      <w:r>
        <w:rPr>
          <w:rFonts w:ascii="宋体" w:hAnsi="宋体"/>
          <w:szCs w:val="21"/>
        </w:rPr>
        <w:t>；</w:t>
      </w:r>
    </w:p>
    <w:p w14:paraId="143C1D01">
      <w:pPr>
        <w:numPr>
          <w:ilvl w:val="0"/>
          <w:numId w:val="34"/>
        </w:numPr>
        <w:tabs>
          <w:tab w:val="left" w:pos="567"/>
        </w:tabs>
        <w:adjustRightInd w:val="0"/>
        <w:snapToGrid w:val="0"/>
        <w:spacing w:line="320" w:lineRule="exact"/>
        <w:ind w:left="0" w:firstLine="0"/>
        <w:rPr>
          <w:rFonts w:ascii="宋体" w:hAnsi="宋体"/>
          <w:szCs w:val="21"/>
        </w:rPr>
      </w:pPr>
      <w:r>
        <w:rPr>
          <w:rFonts w:hint="eastAsia" w:ascii="宋体" w:hAnsi="宋体"/>
          <w:szCs w:val="21"/>
        </w:rPr>
        <w:t>高处</w:t>
      </w:r>
      <w:r>
        <w:rPr>
          <w:rFonts w:ascii="宋体" w:hAnsi="宋体"/>
          <w:szCs w:val="21"/>
        </w:rPr>
        <w:t>作业的区域应</w:t>
      </w:r>
      <w:r>
        <w:rPr>
          <w:rFonts w:hint="eastAsia" w:ascii="宋体" w:hAnsi="宋体"/>
          <w:szCs w:val="21"/>
        </w:rPr>
        <w:t>采用</w:t>
      </w:r>
      <w:r>
        <w:rPr>
          <w:rFonts w:ascii="宋体" w:hAnsi="宋体"/>
          <w:szCs w:val="21"/>
        </w:rPr>
        <w:t>分离、</w:t>
      </w:r>
      <w:r>
        <w:rPr>
          <w:rFonts w:hint="eastAsia" w:ascii="宋体" w:hAnsi="宋体"/>
          <w:szCs w:val="21"/>
        </w:rPr>
        <w:t>围栏安全措施</w:t>
      </w:r>
      <w:r>
        <w:rPr>
          <w:rFonts w:ascii="宋体" w:hAnsi="宋体"/>
          <w:szCs w:val="21"/>
        </w:rPr>
        <w:t>，</w:t>
      </w:r>
      <w:r>
        <w:rPr>
          <w:rFonts w:hint="eastAsia" w:ascii="宋体" w:hAnsi="宋体"/>
          <w:szCs w:val="21"/>
        </w:rPr>
        <w:t>并设置</w:t>
      </w:r>
      <w:r>
        <w:rPr>
          <w:rFonts w:ascii="宋体" w:hAnsi="宋体"/>
          <w:szCs w:val="21"/>
        </w:rPr>
        <w:t>警告标牌；作业时，作业人员应</w:t>
      </w:r>
      <w:r>
        <w:rPr>
          <w:rFonts w:hint="eastAsia" w:ascii="宋体" w:hAnsi="宋体"/>
          <w:szCs w:val="21"/>
        </w:rPr>
        <w:t>规范</w:t>
      </w:r>
      <w:r>
        <w:rPr>
          <w:rFonts w:ascii="宋体" w:hAnsi="宋体"/>
          <w:szCs w:val="21"/>
        </w:rPr>
        <w:t>佩戴安全帽</w:t>
      </w:r>
      <w:r>
        <w:rPr>
          <w:rFonts w:hint="eastAsia" w:ascii="宋体" w:hAnsi="宋体"/>
          <w:szCs w:val="21"/>
        </w:rPr>
        <w:t>、全身式</w:t>
      </w:r>
      <w:r>
        <w:rPr>
          <w:rFonts w:ascii="宋体" w:hAnsi="宋体"/>
          <w:szCs w:val="21"/>
        </w:rPr>
        <w:t>安全带</w:t>
      </w:r>
      <w:r>
        <w:rPr>
          <w:rFonts w:hint="eastAsia" w:ascii="宋体" w:hAnsi="宋体"/>
          <w:szCs w:val="21"/>
        </w:rPr>
        <w:t>等个人防护用品</w:t>
      </w:r>
      <w:r>
        <w:rPr>
          <w:rFonts w:ascii="宋体" w:hAnsi="宋体"/>
          <w:szCs w:val="21"/>
        </w:rPr>
        <w:t>；如有违反，相关人员将</w:t>
      </w:r>
      <w:r>
        <w:rPr>
          <w:rFonts w:hint="eastAsia" w:ascii="宋体" w:hAnsi="宋体"/>
          <w:szCs w:val="21"/>
        </w:rPr>
        <w:t>被甲方拒绝进入厂（场）区、或停止现场作业</w:t>
      </w:r>
      <w:r>
        <w:rPr>
          <w:rFonts w:ascii="宋体" w:hAnsi="宋体"/>
          <w:szCs w:val="21"/>
        </w:rPr>
        <w:t>，并对承包商按照相关规定行处理；</w:t>
      </w:r>
    </w:p>
    <w:p w14:paraId="17F15090">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搭设脚手架时，应符合国家相关安全标准；不得用竹子搭建，应在主结构中使用标准钢制脚手架（每隔3米应设钢制脚手架)，脚手架与地面应稳固支撑；有斜撑、拉杆，确保脚手架不会跌落；脚手架外方应</w:t>
      </w:r>
      <w:r>
        <w:rPr>
          <w:rFonts w:hint="eastAsia" w:ascii="宋体" w:hAnsi="宋体"/>
          <w:szCs w:val="21"/>
        </w:rPr>
        <w:t>设</w:t>
      </w:r>
      <w:r>
        <w:rPr>
          <w:rFonts w:ascii="宋体" w:hAnsi="宋体"/>
          <w:szCs w:val="21"/>
        </w:rPr>
        <w:t>防护网，以防止人员、工具和材料高空</w:t>
      </w:r>
      <w:r>
        <w:rPr>
          <w:rFonts w:hint="eastAsia" w:ascii="宋体" w:hAnsi="宋体"/>
          <w:szCs w:val="21"/>
        </w:rPr>
        <w:t>坠落</w:t>
      </w:r>
      <w:r>
        <w:rPr>
          <w:rFonts w:ascii="宋体" w:hAnsi="宋体"/>
          <w:szCs w:val="21"/>
        </w:rPr>
        <w:t>；同时，应设有防止防护网着火的消防设施；</w:t>
      </w:r>
    </w:p>
    <w:p w14:paraId="67D7907A">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所有梯子都应该标记载荷、批准使用用途及合格证；梯子在使用前应进行检查，如发现裂痕，腐蚀或其它缺陷，该梯子应标记为禁止使用；</w:t>
      </w:r>
    </w:p>
    <w:p w14:paraId="6DE0B152">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承包商不得擅自拆除、更</w:t>
      </w:r>
      <w:r>
        <w:rPr>
          <w:rFonts w:hint="eastAsia" w:ascii="宋体" w:hAnsi="宋体"/>
          <w:szCs w:val="21"/>
        </w:rPr>
        <w:t>改</w:t>
      </w:r>
      <w:r>
        <w:rPr>
          <w:rFonts w:ascii="宋体" w:hAnsi="宋体"/>
          <w:szCs w:val="21"/>
        </w:rPr>
        <w:t>和移动施工现</w:t>
      </w:r>
      <w:r>
        <w:rPr>
          <w:rFonts w:hint="eastAsia" w:ascii="宋体" w:hAnsi="宋体"/>
          <w:szCs w:val="21"/>
        </w:rPr>
        <w:t>场</w:t>
      </w:r>
      <w:r>
        <w:rPr>
          <w:rFonts w:ascii="宋体" w:hAnsi="宋体"/>
          <w:szCs w:val="21"/>
        </w:rPr>
        <w:t>脚手架、各类安全防护设施、安全标志和警告牌；如需拆除、更</w:t>
      </w:r>
      <w:r>
        <w:rPr>
          <w:rFonts w:hint="eastAsia" w:ascii="宋体" w:hAnsi="宋体"/>
          <w:szCs w:val="21"/>
        </w:rPr>
        <w:t>改</w:t>
      </w:r>
      <w:r>
        <w:rPr>
          <w:rFonts w:ascii="宋体" w:hAnsi="宋体"/>
          <w:szCs w:val="21"/>
        </w:rPr>
        <w:t>和移动，必须经施工负责人和指派的安全管理人员同意，并采取必要、可靠的安全措施后方可拆除、更改和移动；未经批准擅自拆除、更改或移动所造成的后果，由承包商承担</w:t>
      </w:r>
      <w:r>
        <w:rPr>
          <w:rFonts w:hint="eastAsia" w:ascii="宋体" w:hAnsi="宋体"/>
          <w:szCs w:val="21"/>
        </w:rPr>
        <w:t>相应责任</w:t>
      </w:r>
      <w:r>
        <w:rPr>
          <w:rFonts w:ascii="宋体" w:hAnsi="宋体"/>
          <w:szCs w:val="21"/>
        </w:rPr>
        <w:t>；</w:t>
      </w:r>
    </w:p>
    <w:p w14:paraId="41973039">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在脆弱屋面或表面进行作业时必须提前制定安全方案，安全方案包含进出该区域的方式</w:t>
      </w:r>
      <w:r>
        <w:rPr>
          <w:rFonts w:hint="eastAsia" w:ascii="宋体" w:hAnsi="宋体"/>
          <w:szCs w:val="21"/>
        </w:rPr>
        <w:t>、</w:t>
      </w:r>
      <w:r>
        <w:rPr>
          <w:rFonts w:ascii="宋体" w:hAnsi="宋体"/>
          <w:szCs w:val="21"/>
        </w:rPr>
        <w:t>脆弱屋面/表面强度信息、跌落防护和作业等内容；保持天面清洁，每天做好废物的清理，并固定好材料和有关设备，保持下水道畅通；在厂（场）区天面作业时应</w:t>
      </w:r>
      <w:r>
        <w:rPr>
          <w:rFonts w:hint="eastAsia" w:ascii="宋体" w:hAnsi="宋体"/>
          <w:szCs w:val="21"/>
        </w:rPr>
        <w:t>与各类</w:t>
      </w:r>
      <w:r>
        <w:rPr>
          <w:rFonts w:ascii="宋体" w:hAnsi="宋体"/>
          <w:szCs w:val="21"/>
        </w:rPr>
        <w:t>通风</w:t>
      </w:r>
      <w:r>
        <w:rPr>
          <w:rFonts w:hint="eastAsia" w:ascii="宋体" w:hAnsi="宋体"/>
          <w:szCs w:val="21"/>
        </w:rPr>
        <w:t>装置保持安全距离</w:t>
      </w:r>
      <w:r>
        <w:rPr>
          <w:rFonts w:ascii="宋体" w:hAnsi="宋体"/>
          <w:szCs w:val="21"/>
        </w:rPr>
        <w:t>；</w:t>
      </w:r>
    </w:p>
    <w:p w14:paraId="65E0A2E9">
      <w:pPr>
        <w:tabs>
          <w:tab w:val="left" w:pos="567"/>
        </w:tabs>
        <w:adjustRightInd w:val="0"/>
        <w:snapToGrid w:val="0"/>
        <w:spacing w:line="320" w:lineRule="exact"/>
        <w:rPr>
          <w:rFonts w:ascii="宋体" w:hAnsi="宋体"/>
          <w:szCs w:val="21"/>
        </w:rPr>
      </w:pPr>
      <w:r>
        <w:rPr>
          <w:rFonts w:hint="eastAsia" w:ascii="宋体" w:hAnsi="宋体"/>
          <w:szCs w:val="21"/>
        </w:rPr>
        <w:t>17.7</w:t>
      </w:r>
      <w:r>
        <w:rPr>
          <w:rFonts w:hint="eastAsia" w:ascii="宋体" w:hAnsi="宋体"/>
          <w:szCs w:val="21"/>
        </w:rPr>
        <w:tab/>
      </w:r>
      <w:r>
        <w:rPr>
          <w:rFonts w:hint="eastAsia" w:ascii="宋体" w:hAnsi="宋体"/>
          <w:szCs w:val="21"/>
        </w:rPr>
        <w:t>在不安全屋顶屋面进行作业时必须提前制定安全方案，安全方案包含进出该区域的方式、屋面/表面不安全屋顶强度信息、跌落坠落防护和作业等内容；保持天面屋顶清洁，每天做好废物的清理，并固定好材料和有关设备，保持下水道畅通；在厂（场）区天面作业时应与各类通风装置保持安全距离；</w:t>
      </w:r>
    </w:p>
    <w:p w14:paraId="16564929">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禁止承包商使用叉车载人吊篮；</w:t>
      </w:r>
    </w:p>
    <w:p w14:paraId="6947DBC0">
      <w:pPr>
        <w:numPr>
          <w:ilvl w:val="0"/>
          <w:numId w:val="34"/>
        </w:numPr>
        <w:tabs>
          <w:tab w:val="left" w:pos="567"/>
        </w:tabs>
        <w:adjustRightInd w:val="0"/>
        <w:snapToGrid w:val="0"/>
        <w:spacing w:line="320" w:lineRule="exact"/>
        <w:ind w:left="0" w:firstLine="0"/>
        <w:rPr>
          <w:rFonts w:ascii="宋体" w:hAnsi="宋体"/>
          <w:szCs w:val="21"/>
        </w:rPr>
      </w:pPr>
      <w:r>
        <w:rPr>
          <w:rFonts w:ascii="宋体" w:hAnsi="宋体"/>
          <w:szCs w:val="21"/>
        </w:rPr>
        <w:t>可移动的升降平台（MEWP）必须安装标准的栏杆系统、个人跌落防护锚点、开车警报、底盘和平台控制系统，包括紧急制动；所有可移动升降平台必须清楚标明载荷，以及使用用途和合格证</w:t>
      </w:r>
      <w:r>
        <w:rPr>
          <w:rFonts w:hint="eastAsia" w:ascii="宋体" w:hAnsi="宋体"/>
          <w:szCs w:val="21"/>
        </w:rPr>
        <w:t>。</w:t>
      </w:r>
    </w:p>
    <w:p w14:paraId="1F68B504">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动火</w:t>
      </w:r>
      <w:r>
        <w:rPr>
          <w:rFonts w:ascii="宋体" w:hAnsi="宋体"/>
          <w:b/>
          <w:bCs/>
          <w:szCs w:val="21"/>
        </w:rPr>
        <w:t>作业规定</w:t>
      </w:r>
    </w:p>
    <w:p w14:paraId="1C807338">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所谓的“</w:t>
      </w:r>
      <w:r>
        <w:rPr>
          <w:rFonts w:hint="eastAsia" w:ascii="宋体" w:hAnsi="宋体"/>
          <w:szCs w:val="21"/>
        </w:rPr>
        <w:t>动火</w:t>
      </w:r>
      <w:r>
        <w:rPr>
          <w:rFonts w:ascii="宋体" w:hAnsi="宋体"/>
          <w:szCs w:val="21"/>
        </w:rPr>
        <w:t>作业”是指涉及到焊接、火焰切割、砂轮切割、打磨或任何产生潜在火花及热量的作业</w:t>
      </w:r>
      <w:r>
        <w:rPr>
          <w:rFonts w:hint="eastAsia" w:ascii="宋体" w:hAnsi="宋体"/>
          <w:szCs w:val="21"/>
        </w:rPr>
        <w:t>，</w:t>
      </w:r>
      <w:r>
        <w:rPr>
          <w:rFonts w:ascii="宋体" w:hAnsi="宋体"/>
          <w:szCs w:val="21"/>
        </w:rPr>
        <w:t>并且可能点燃周围可燃物或者引其周围爆炸性环境爆炸的作业；</w:t>
      </w:r>
    </w:p>
    <w:p w14:paraId="54CAAA7F">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w:t>
      </w:r>
      <w:r>
        <w:rPr>
          <w:rFonts w:ascii="宋体" w:hAnsi="宋体"/>
          <w:szCs w:val="21"/>
        </w:rPr>
        <w:t>在取得</w:t>
      </w:r>
      <w:r>
        <w:rPr>
          <w:rFonts w:hint="eastAsia" w:ascii="宋体" w:hAnsi="宋体"/>
          <w:szCs w:val="21"/>
        </w:rPr>
        <w:t>甲方许可</w:t>
      </w:r>
      <w:r>
        <w:rPr>
          <w:rFonts w:ascii="宋体" w:hAnsi="宋体"/>
          <w:szCs w:val="21"/>
        </w:rPr>
        <w:t>后</w:t>
      </w:r>
      <w:r>
        <w:rPr>
          <w:rFonts w:hint="eastAsia" w:ascii="宋体" w:hAnsi="宋体"/>
          <w:szCs w:val="21"/>
        </w:rPr>
        <w:t>方可</w:t>
      </w:r>
      <w:r>
        <w:rPr>
          <w:rFonts w:ascii="宋体" w:hAnsi="宋体"/>
          <w:szCs w:val="21"/>
        </w:rPr>
        <w:t>从事</w:t>
      </w:r>
      <w:r>
        <w:rPr>
          <w:rFonts w:hint="eastAsia" w:ascii="宋体" w:hAnsi="宋体"/>
          <w:szCs w:val="21"/>
        </w:rPr>
        <w:t>动火作业</w:t>
      </w:r>
      <w:r>
        <w:rPr>
          <w:rFonts w:ascii="宋体" w:hAnsi="宋体"/>
          <w:szCs w:val="21"/>
        </w:rPr>
        <w:t>；</w:t>
      </w:r>
    </w:p>
    <w:p w14:paraId="7F21F4FC">
      <w:pPr>
        <w:numPr>
          <w:ilvl w:val="0"/>
          <w:numId w:val="35"/>
        </w:numPr>
        <w:tabs>
          <w:tab w:val="left" w:pos="567"/>
        </w:tabs>
        <w:adjustRightInd w:val="0"/>
        <w:snapToGrid w:val="0"/>
        <w:spacing w:line="320" w:lineRule="exact"/>
        <w:ind w:left="0" w:firstLine="0"/>
        <w:rPr>
          <w:rFonts w:ascii="宋体" w:hAnsi="宋体"/>
          <w:szCs w:val="21"/>
        </w:rPr>
      </w:pPr>
      <w:r>
        <w:rPr>
          <w:rFonts w:hint="eastAsia" w:ascii="宋体" w:hAnsi="宋体"/>
          <w:szCs w:val="21"/>
        </w:rPr>
        <w:t>如动火作业存在</w:t>
      </w:r>
      <w:r>
        <w:rPr>
          <w:rFonts w:ascii="宋体" w:hAnsi="宋体"/>
          <w:szCs w:val="21"/>
        </w:rPr>
        <w:t>妨碍</w:t>
      </w:r>
      <w:r>
        <w:rPr>
          <w:rFonts w:hint="eastAsia" w:ascii="宋体" w:hAnsi="宋体"/>
          <w:szCs w:val="21"/>
        </w:rPr>
        <w:t>或</w:t>
      </w:r>
      <w:r>
        <w:rPr>
          <w:rFonts w:ascii="宋体" w:hAnsi="宋体"/>
          <w:szCs w:val="21"/>
        </w:rPr>
        <w:t>影响消防系统使用</w:t>
      </w:r>
      <w:r>
        <w:rPr>
          <w:rFonts w:hint="eastAsia" w:ascii="宋体" w:hAnsi="宋体"/>
          <w:szCs w:val="21"/>
        </w:rPr>
        <w:t>的</w:t>
      </w:r>
      <w:r>
        <w:rPr>
          <w:rFonts w:ascii="宋体" w:hAnsi="宋体"/>
          <w:szCs w:val="21"/>
        </w:rPr>
        <w:t>情形（如探头，警报，消防喷淋），必须专门</w:t>
      </w:r>
      <w:r>
        <w:rPr>
          <w:rFonts w:hint="eastAsia" w:ascii="宋体" w:hAnsi="宋体"/>
          <w:szCs w:val="21"/>
        </w:rPr>
        <w:t>进行</w:t>
      </w:r>
      <w:r>
        <w:rPr>
          <w:rFonts w:ascii="宋体" w:hAnsi="宋体"/>
          <w:szCs w:val="21"/>
        </w:rPr>
        <w:t>批准（</w:t>
      </w:r>
      <w:r>
        <w:rPr>
          <w:rFonts w:hint="eastAsia" w:ascii="宋体" w:hAnsi="宋体"/>
          <w:szCs w:val="21"/>
        </w:rPr>
        <w:t>安全作业票</w:t>
      </w:r>
      <w:r>
        <w:rPr>
          <w:rFonts w:ascii="宋体" w:hAnsi="宋体"/>
          <w:szCs w:val="21"/>
        </w:rPr>
        <w:t>一部分或单独申请）；</w:t>
      </w:r>
    </w:p>
    <w:p w14:paraId="633C2732">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根据甲方的要求设置</w:t>
      </w:r>
      <w:r>
        <w:rPr>
          <w:rFonts w:hint="eastAsia" w:ascii="宋体" w:hAnsi="宋体"/>
          <w:szCs w:val="21"/>
        </w:rPr>
        <w:t>现场监护人</w:t>
      </w:r>
      <w:r>
        <w:rPr>
          <w:rFonts w:ascii="宋体" w:hAnsi="宋体"/>
          <w:szCs w:val="21"/>
        </w:rPr>
        <w:t>（包括在动火过程中以及动火结束后1小时内）；</w:t>
      </w:r>
    </w:p>
    <w:p w14:paraId="2D8878EF">
      <w:pPr>
        <w:numPr>
          <w:ilvl w:val="0"/>
          <w:numId w:val="35"/>
        </w:numPr>
        <w:tabs>
          <w:tab w:val="left" w:pos="567"/>
        </w:tabs>
        <w:adjustRightInd w:val="0"/>
        <w:snapToGrid w:val="0"/>
        <w:spacing w:line="320" w:lineRule="exact"/>
        <w:ind w:left="0" w:firstLine="0"/>
        <w:rPr>
          <w:rFonts w:ascii="宋体" w:hAnsi="宋体"/>
          <w:szCs w:val="21"/>
        </w:rPr>
      </w:pPr>
      <w:r>
        <w:rPr>
          <w:rFonts w:hint="eastAsia" w:ascii="宋体" w:hAnsi="宋体"/>
          <w:szCs w:val="21"/>
        </w:rPr>
        <w:t>所有动火作业现场均应配置</w:t>
      </w:r>
      <w:r>
        <w:rPr>
          <w:rFonts w:ascii="宋体" w:hAnsi="宋体"/>
          <w:szCs w:val="21"/>
        </w:rPr>
        <w:t>灭火器</w:t>
      </w:r>
      <w:r>
        <w:rPr>
          <w:rFonts w:hint="eastAsia" w:ascii="宋体" w:hAnsi="宋体"/>
          <w:szCs w:val="21"/>
        </w:rPr>
        <w:t>和消防设施，满足应急要求</w:t>
      </w:r>
      <w:r>
        <w:rPr>
          <w:rFonts w:ascii="宋体" w:hAnsi="宋体"/>
          <w:szCs w:val="21"/>
        </w:rPr>
        <w:t>；</w:t>
      </w:r>
    </w:p>
    <w:p w14:paraId="1E5FB684">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气焊和气割系统必须配备单向阀（止回阀）；如焊枪在有限空间内</w:t>
      </w:r>
      <w:r>
        <w:rPr>
          <w:rFonts w:hint="eastAsia" w:ascii="宋体" w:hAnsi="宋体"/>
          <w:szCs w:val="21"/>
        </w:rPr>
        <w:t>已</w:t>
      </w:r>
      <w:r>
        <w:rPr>
          <w:rFonts w:ascii="宋体" w:hAnsi="宋体"/>
          <w:szCs w:val="21"/>
        </w:rPr>
        <w:t>不再使用，必须关闭并从有限空间内移出；</w:t>
      </w:r>
    </w:p>
    <w:p w14:paraId="3DCB1014">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电弧焊和电弧切割作业现</w:t>
      </w:r>
      <w:r>
        <w:rPr>
          <w:rFonts w:hint="eastAsia" w:ascii="宋体" w:hAnsi="宋体"/>
          <w:szCs w:val="21"/>
        </w:rPr>
        <w:t>场</w:t>
      </w:r>
      <w:r>
        <w:rPr>
          <w:rFonts w:ascii="宋体" w:hAnsi="宋体"/>
          <w:szCs w:val="21"/>
        </w:rPr>
        <w:t>必须进行遮蔽，防止工作现</w:t>
      </w:r>
      <w:r>
        <w:rPr>
          <w:rFonts w:hint="eastAsia" w:ascii="宋体" w:hAnsi="宋体"/>
          <w:szCs w:val="21"/>
        </w:rPr>
        <w:t>场</w:t>
      </w:r>
      <w:r>
        <w:rPr>
          <w:rFonts w:ascii="宋体" w:hAnsi="宋体"/>
          <w:szCs w:val="21"/>
        </w:rPr>
        <w:t>附近其他人员受到电弧辐射；</w:t>
      </w:r>
    </w:p>
    <w:p w14:paraId="4DD5A231">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在存在爆炸性气体环境中进行</w:t>
      </w:r>
      <w:r>
        <w:rPr>
          <w:rFonts w:hint="eastAsia" w:ascii="宋体" w:hAnsi="宋体"/>
          <w:szCs w:val="21"/>
        </w:rPr>
        <w:t>动火</w:t>
      </w:r>
      <w:r>
        <w:rPr>
          <w:rFonts w:ascii="宋体" w:hAnsi="宋体"/>
          <w:szCs w:val="21"/>
        </w:rPr>
        <w:t>作业时，必须在作业前进行气体检测；如有必要，应使用防爆设备</w:t>
      </w:r>
      <w:r>
        <w:rPr>
          <w:rFonts w:hint="eastAsia" w:ascii="宋体" w:hAnsi="宋体"/>
          <w:szCs w:val="21"/>
        </w:rPr>
        <w:t>。</w:t>
      </w:r>
    </w:p>
    <w:p w14:paraId="6520115B">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关于复杂吊装作业（非例行吊装）规定</w:t>
      </w:r>
    </w:p>
    <w:p w14:paraId="07780C5D">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所谓“复杂吊装作业（非例行吊装）”是指对载荷＞10吨的吊装作业或者风险因素复杂的吊装作业（使用多台吊车协同吊装，载荷达到额定安全吊装载荷的75%，载荷不稳，附近有输电线路/其它服务线缆/建筑物或工艺装置）；</w:t>
      </w:r>
    </w:p>
    <w:p w14:paraId="2DF17FE5">
      <w:pPr>
        <w:numPr>
          <w:ilvl w:val="0"/>
          <w:numId w:val="36"/>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承包商应在取得甲方许可后方可从事吊装作业；</w:t>
      </w:r>
    </w:p>
    <w:p w14:paraId="78C73662">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必须安排具备资质和能力的操作人员按照设备使用说明</w:t>
      </w:r>
      <w:r>
        <w:rPr>
          <w:rFonts w:hint="eastAsia" w:ascii="宋体" w:hAnsi="宋体"/>
          <w:szCs w:val="21"/>
        </w:rPr>
        <w:t>，</w:t>
      </w:r>
      <w:r>
        <w:rPr>
          <w:rFonts w:ascii="宋体" w:hAnsi="宋体"/>
          <w:szCs w:val="21"/>
        </w:rPr>
        <w:t>操作吊车以及起重设备；</w:t>
      </w:r>
    </w:p>
    <w:p w14:paraId="0D8CB6A3">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吊车、曲臂车、汽车或者其它有支腿用于提升和吊装的设备</w:t>
      </w:r>
      <w:r>
        <w:rPr>
          <w:rFonts w:hint="eastAsia" w:ascii="宋体" w:hAnsi="宋体"/>
          <w:szCs w:val="21"/>
        </w:rPr>
        <w:t>，</w:t>
      </w:r>
      <w:r>
        <w:rPr>
          <w:rFonts w:ascii="宋体" w:hAnsi="宋体"/>
          <w:szCs w:val="21"/>
        </w:rPr>
        <w:t>在使用时都必须在支腿下放置垫块；</w:t>
      </w:r>
    </w:p>
    <w:p w14:paraId="27851566">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必须制定复杂吊装作业方案并提交甲方专业人员批准；</w:t>
      </w:r>
    </w:p>
    <w:p w14:paraId="65B94427">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吊链、钢丝绳和吊钩必须保持良好的物理状态；</w:t>
      </w:r>
    </w:p>
    <w:p w14:paraId="158ED70F">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所有与吊装相关的设备和附件都应该定期检查</w:t>
      </w:r>
      <w:r>
        <w:rPr>
          <w:rFonts w:hint="eastAsia" w:ascii="宋体" w:hAnsi="宋体"/>
          <w:szCs w:val="21"/>
        </w:rPr>
        <w:t>，</w:t>
      </w:r>
      <w:r>
        <w:rPr>
          <w:rFonts w:ascii="宋体" w:hAnsi="宋体"/>
          <w:szCs w:val="21"/>
        </w:rPr>
        <w:t>并且标记最近的检查日期</w:t>
      </w:r>
      <w:r>
        <w:rPr>
          <w:rFonts w:hint="eastAsia" w:ascii="宋体" w:hAnsi="宋体"/>
          <w:szCs w:val="21"/>
        </w:rPr>
        <w:t>；</w:t>
      </w:r>
    </w:p>
    <w:p w14:paraId="25716F8F">
      <w:pPr>
        <w:numPr>
          <w:ilvl w:val="0"/>
          <w:numId w:val="36"/>
        </w:numPr>
        <w:tabs>
          <w:tab w:val="left" w:pos="567"/>
        </w:tabs>
        <w:adjustRightInd w:val="0"/>
        <w:snapToGrid w:val="0"/>
        <w:spacing w:line="320" w:lineRule="exact"/>
        <w:ind w:left="0" w:firstLine="0"/>
        <w:rPr>
          <w:rFonts w:ascii="宋体" w:hAnsi="宋体"/>
          <w:szCs w:val="21"/>
        </w:rPr>
      </w:pPr>
      <w:r>
        <w:rPr>
          <w:rFonts w:hint="eastAsia" w:ascii="宋体" w:hAnsi="宋体"/>
          <w:szCs w:val="21"/>
        </w:rPr>
        <w:t>吊装过程中，吊装工作区域内无关人员不得停留或通过，在伸臂及吊物的下方严禁任何人员通过或逗留；</w:t>
      </w:r>
    </w:p>
    <w:p w14:paraId="2C99FDD4">
      <w:pPr>
        <w:numPr>
          <w:ilvl w:val="0"/>
          <w:numId w:val="36"/>
        </w:numPr>
        <w:tabs>
          <w:tab w:val="left" w:pos="567"/>
        </w:tabs>
        <w:adjustRightInd w:val="0"/>
        <w:snapToGrid w:val="0"/>
        <w:spacing w:line="320" w:lineRule="exact"/>
        <w:ind w:left="0" w:firstLine="0"/>
        <w:rPr>
          <w:rFonts w:ascii="宋体" w:hAnsi="宋体"/>
          <w:szCs w:val="21"/>
        </w:rPr>
      </w:pPr>
      <w:r>
        <w:rPr>
          <w:rFonts w:hint="eastAsia" w:ascii="宋体" w:hAnsi="宋体"/>
          <w:szCs w:val="21"/>
        </w:rPr>
        <w:t>当多人吊挂同一吊物时，须由专人负责指挥，指挥人员须站在使操作人员能看清指挥信号的安全位置上进行。</w:t>
      </w:r>
    </w:p>
    <w:p w14:paraId="08B67167">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关于有限空间进入的规定</w:t>
      </w:r>
    </w:p>
    <w:p w14:paraId="38D8EA21">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在有限空间作业前必须向甲方申请</w:t>
      </w:r>
      <w:r>
        <w:rPr>
          <w:rFonts w:hint="eastAsia" w:ascii="宋体" w:hAnsi="宋体"/>
          <w:szCs w:val="21"/>
        </w:rPr>
        <w:t>安全作业票</w:t>
      </w:r>
      <w:r>
        <w:rPr>
          <w:rFonts w:ascii="宋体" w:hAnsi="宋体"/>
          <w:szCs w:val="21"/>
        </w:rPr>
        <w:t>，制定救援方案；</w:t>
      </w:r>
    </w:p>
    <w:p w14:paraId="172E74A2">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有限空间进入氧气含量必须为19.5</w:t>
      </w:r>
      <w:r>
        <w:rPr>
          <w:rFonts w:hint="eastAsia" w:ascii="宋体" w:hAnsi="宋体"/>
          <w:szCs w:val="21"/>
        </w:rPr>
        <w:t>～</w:t>
      </w:r>
      <w:r>
        <w:rPr>
          <w:rFonts w:ascii="宋体" w:hAnsi="宋体"/>
          <w:szCs w:val="21"/>
        </w:rPr>
        <w:t>23</w:t>
      </w:r>
      <w:r>
        <w:rPr>
          <w:rFonts w:hint="eastAsia" w:ascii="宋体" w:hAnsi="宋体"/>
          <w:szCs w:val="21"/>
        </w:rPr>
        <w:t>.5</w:t>
      </w:r>
      <w:r>
        <w:rPr>
          <w:rFonts w:ascii="宋体" w:hAnsi="宋体"/>
          <w:szCs w:val="21"/>
        </w:rPr>
        <w:t>%，在进入前和进入后都必须分别进行气体检测；</w:t>
      </w:r>
    </w:p>
    <w:p w14:paraId="665407A0">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如发现有其它有害物质，必须在进入前和进入后参照该有害气体的允许接触浓度进行测量（可燃气体，有毒气体）；</w:t>
      </w:r>
    </w:p>
    <w:p w14:paraId="3BE1E8C0">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承包商必须提供有限空间</w:t>
      </w:r>
      <w:r>
        <w:rPr>
          <w:rFonts w:hint="eastAsia" w:ascii="宋体" w:hAnsi="宋体"/>
          <w:szCs w:val="21"/>
        </w:rPr>
        <w:t>现场监护人，并对现场进行全程监护</w:t>
      </w:r>
      <w:r>
        <w:rPr>
          <w:rFonts w:ascii="宋体" w:hAnsi="宋体"/>
          <w:szCs w:val="21"/>
        </w:rPr>
        <w:t>；</w:t>
      </w:r>
    </w:p>
    <w:p w14:paraId="1D61691C">
      <w:pPr>
        <w:numPr>
          <w:ilvl w:val="0"/>
          <w:numId w:val="37"/>
        </w:numPr>
        <w:tabs>
          <w:tab w:val="left" w:pos="567"/>
        </w:tabs>
        <w:adjustRightInd w:val="0"/>
        <w:snapToGrid w:val="0"/>
        <w:spacing w:line="320" w:lineRule="exact"/>
        <w:ind w:left="0" w:firstLine="0"/>
        <w:rPr>
          <w:rFonts w:ascii="宋体" w:hAnsi="宋体"/>
          <w:szCs w:val="21"/>
        </w:rPr>
      </w:pPr>
      <w:r>
        <w:rPr>
          <w:rFonts w:hint="eastAsia" w:ascii="宋体" w:hAnsi="宋体"/>
          <w:szCs w:val="21"/>
        </w:rPr>
        <w:t>作业过程中承包商须采取通风措施，保持空气流通，作业出入口不得有障碍物，要保证其畅通无阻；</w:t>
      </w:r>
    </w:p>
    <w:p w14:paraId="0EFF37C4">
      <w:pPr>
        <w:numPr>
          <w:ilvl w:val="0"/>
          <w:numId w:val="37"/>
        </w:numPr>
        <w:tabs>
          <w:tab w:val="left" w:pos="567"/>
        </w:tabs>
        <w:adjustRightInd w:val="0"/>
        <w:snapToGrid w:val="0"/>
        <w:spacing w:line="320" w:lineRule="exact"/>
        <w:ind w:left="0" w:firstLine="0"/>
        <w:rPr>
          <w:rFonts w:ascii="宋体" w:hAnsi="宋体"/>
          <w:szCs w:val="21"/>
        </w:rPr>
      </w:pPr>
      <w:r>
        <w:rPr>
          <w:rFonts w:hint="eastAsia" w:ascii="宋体" w:hAnsi="宋体"/>
          <w:szCs w:val="21"/>
        </w:rPr>
        <w:t>须</w:t>
      </w:r>
      <w:r>
        <w:rPr>
          <w:rFonts w:ascii="宋体" w:hAnsi="宋体"/>
          <w:szCs w:val="21"/>
        </w:rPr>
        <w:t>要提供额外的有限空间</w:t>
      </w:r>
      <w:r>
        <w:rPr>
          <w:rFonts w:hint="eastAsia" w:ascii="宋体" w:hAnsi="宋体"/>
          <w:szCs w:val="21"/>
        </w:rPr>
        <w:t>应急救援</w:t>
      </w:r>
      <w:r>
        <w:rPr>
          <w:rFonts w:ascii="宋体" w:hAnsi="宋体"/>
          <w:szCs w:val="21"/>
        </w:rPr>
        <w:t>作业设备（如空气自主供应设备、通风设备等），并确保这些设备都有相应的合格证明/证书；在实际使用前，必须</w:t>
      </w:r>
      <w:r>
        <w:rPr>
          <w:rFonts w:hint="eastAsia" w:ascii="宋体" w:hAnsi="宋体"/>
          <w:szCs w:val="21"/>
        </w:rPr>
        <w:t>经甲方</w:t>
      </w:r>
      <w:r>
        <w:rPr>
          <w:rFonts w:ascii="宋体" w:hAnsi="宋体"/>
          <w:szCs w:val="21"/>
        </w:rPr>
        <w:t>必要的检查（包括查看是否均</w:t>
      </w:r>
      <w:r>
        <w:rPr>
          <w:rFonts w:hint="eastAsia" w:ascii="宋体" w:hAnsi="宋体"/>
          <w:szCs w:val="21"/>
        </w:rPr>
        <w:t>有</w:t>
      </w:r>
      <w:r>
        <w:rPr>
          <w:rFonts w:ascii="宋体" w:hAnsi="宋体"/>
          <w:szCs w:val="21"/>
        </w:rPr>
        <w:t>清晰的检查日期标志），提供设备检验合格证书</w:t>
      </w:r>
      <w:r>
        <w:rPr>
          <w:rFonts w:hint="eastAsia" w:ascii="宋体" w:hAnsi="宋体"/>
          <w:szCs w:val="21"/>
        </w:rPr>
        <w:t>。</w:t>
      </w:r>
    </w:p>
    <w:p w14:paraId="558C3D43">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警</w:t>
      </w:r>
      <w:r>
        <w:rPr>
          <w:rFonts w:ascii="宋体" w:hAnsi="宋体"/>
          <w:b/>
          <w:bCs/>
          <w:szCs w:val="21"/>
        </w:rPr>
        <w:t>示牌设立规定</w:t>
      </w:r>
    </w:p>
    <w:p w14:paraId="5E3EA6AA">
      <w:pPr>
        <w:numPr>
          <w:ilvl w:val="0"/>
          <w:numId w:val="38"/>
        </w:numPr>
        <w:tabs>
          <w:tab w:val="left" w:pos="567"/>
        </w:tabs>
        <w:adjustRightInd w:val="0"/>
        <w:snapToGrid w:val="0"/>
        <w:spacing w:line="320" w:lineRule="exact"/>
        <w:ind w:left="0" w:firstLine="0"/>
        <w:rPr>
          <w:rFonts w:ascii="宋体" w:hAnsi="宋体"/>
          <w:szCs w:val="21"/>
        </w:rPr>
      </w:pPr>
      <w:r>
        <w:rPr>
          <w:rFonts w:ascii="宋体" w:hAnsi="宋体"/>
          <w:szCs w:val="21"/>
        </w:rPr>
        <w:t>在作业前，应充分了解甲方内的告示牌并遵照执行；未经甲方许可，不得进入标有“封闭空间”</w:t>
      </w:r>
      <w:r>
        <w:rPr>
          <w:rFonts w:hint="eastAsia" w:ascii="宋体" w:hAnsi="宋体"/>
          <w:szCs w:val="21"/>
        </w:rPr>
        <w:t>“有限空间”</w:t>
      </w:r>
      <w:r>
        <w:rPr>
          <w:rFonts w:ascii="宋体" w:hAnsi="宋体"/>
          <w:szCs w:val="21"/>
        </w:rPr>
        <w:t>“机房重地”等限制区域；</w:t>
      </w:r>
    </w:p>
    <w:p w14:paraId="7329049C">
      <w:pPr>
        <w:numPr>
          <w:ilvl w:val="0"/>
          <w:numId w:val="38"/>
        </w:numPr>
        <w:tabs>
          <w:tab w:val="left" w:pos="567"/>
        </w:tabs>
        <w:adjustRightInd w:val="0"/>
        <w:snapToGrid w:val="0"/>
        <w:spacing w:line="320" w:lineRule="exact"/>
        <w:ind w:left="0" w:firstLine="0"/>
        <w:rPr>
          <w:rFonts w:ascii="宋体" w:hAnsi="宋体"/>
          <w:szCs w:val="21"/>
        </w:rPr>
      </w:pPr>
      <w:r>
        <w:rPr>
          <w:rFonts w:ascii="宋体" w:hAnsi="宋体"/>
          <w:szCs w:val="21"/>
        </w:rPr>
        <w:t>承包商在作业前，承包商应放置</w:t>
      </w:r>
      <w:r>
        <w:rPr>
          <w:rFonts w:hint="eastAsia" w:ascii="宋体" w:hAnsi="宋体"/>
          <w:szCs w:val="21"/>
        </w:rPr>
        <w:t>警</w:t>
      </w:r>
      <w:r>
        <w:rPr>
          <w:rFonts w:ascii="宋体" w:hAnsi="宋体"/>
          <w:szCs w:val="21"/>
        </w:rPr>
        <w:t>示牌（“当心</w:t>
      </w:r>
      <w:r>
        <w:rPr>
          <w:rFonts w:hint="eastAsia" w:ascii="宋体" w:hAnsi="宋体"/>
          <w:szCs w:val="21"/>
        </w:rPr>
        <w:t>坠</w:t>
      </w:r>
      <w:r>
        <w:rPr>
          <w:rFonts w:ascii="宋体" w:hAnsi="宋体"/>
          <w:szCs w:val="21"/>
        </w:rPr>
        <w:t>物”“戴安全帽”“逃生通道”等警示牌），提示危害风险；</w:t>
      </w:r>
    </w:p>
    <w:p w14:paraId="3C79BD9C">
      <w:pPr>
        <w:numPr>
          <w:ilvl w:val="0"/>
          <w:numId w:val="38"/>
        </w:numPr>
        <w:tabs>
          <w:tab w:val="left" w:pos="567"/>
        </w:tabs>
        <w:adjustRightInd w:val="0"/>
        <w:snapToGrid w:val="0"/>
        <w:spacing w:line="320" w:lineRule="exact"/>
        <w:ind w:left="0" w:firstLine="0"/>
        <w:rPr>
          <w:rFonts w:ascii="宋体" w:hAnsi="宋体"/>
          <w:szCs w:val="21"/>
        </w:rPr>
      </w:pPr>
      <w:bookmarkStart w:id="47" w:name="_Hlk4146783"/>
      <w:r>
        <w:rPr>
          <w:rFonts w:ascii="宋体" w:hAnsi="宋体"/>
          <w:szCs w:val="21"/>
        </w:rPr>
        <w:t>所有进行高风险作业的区域必须围闭并张贴警示标志，非授权人员和车辆不得进入</w:t>
      </w:r>
      <w:r>
        <w:rPr>
          <w:rFonts w:hint="eastAsia" w:ascii="宋体" w:hAnsi="宋体"/>
          <w:szCs w:val="21"/>
        </w:rPr>
        <w:t>。</w:t>
      </w:r>
      <w:bookmarkEnd w:id="47"/>
    </w:p>
    <w:p w14:paraId="22050F3C">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关于废弃物的储存和处置规定</w:t>
      </w:r>
    </w:p>
    <w:p w14:paraId="47397A66">
      <w:pPr>
        <w:numPr>
          <w:ilvl w:val="0"/>
          <w:numId w:val="39"/>
        </w:numPr>
        <w:tabs>
          <w:tab w:val="left" w:pos="567"/>
        </w:tabs>
        <w:adjustRightInd w:val="0"/>
        <w:snapToGrid w:val="0"/>
        <w:spacing w:line="320" w:lineRule="exact"/>
        <w:ind w:left="0" w:firstLine="0"/>
        <w:rPr>
          <w:rFonts w:ascii="宋体" w:hAnsi="宋体"/>
          <w:szCs w:val="21"/>
        </w:rPr>
      </w:pPr>
      <w:r>
        <w:rPr>
          <w:rFonts w:ascii="宋体" w:hAnsi="宋体"/>
          <w:szCs w:val="21"/>
        </w:rPr>
        <w:t>从事与危险废弃物、</w:t>
      </w:r>
      <w:r>
        <w:rPr>
          <w:rFonts w:hint="eastAsia" w:ascii="宋体" w:hAnsi="宋体"/>
          <w:szCs w:val="21"/>
        </w:rPr>
        <w:t>一般</w:t>
      </w:r>
      <w:r>
        <w:rPr>
          <w:rFonts w:ascii="宋体" w:hAnsi="宋体"/>
          <w:szCs w:val="21"/>
        </w:rPr>
        <w:t>废弃物及工程碎料相关的处置工作时，应确保</w:t>
      </w:r>
      <w:r>
        <w:rPr>
          <w:rFonts w:hint="eastAsia" w:ascii="宋体" w:hAnsi="宋体"/>
          <w:szCs w:val="21"/>
        </w:rPr>
        <w:t>定期</w:t>
      </w:r>
      <w:r>
        <w:rPr>
          <w:rFonts w:ascii="宋体" w:hAnsi="宋体"/>
          <w:szCs w:val="21"/>
        </w:rPr>
        <w:t>利用特殊车辆清理出甲方，确保安全处置和存放；</w:t>
      </w:r>
    </w:p>
    <w:p w14:paraId="7D83B48B">
      <w:pPr>
        <w:numPr>
          <w:ilvl w:val="0"/>
          <w:numId w:val="39"/>
        </w:numPr>
        <w:tabs>
          <w:tab w:val="left" w:pos="567"/>
        </w:tabs>
        <w:adjustRightInd w:val="0"/>
        <w:snapToGrid w:val="0"/>
        <w:spacing w:line="320" w:lineRule="exact"/>
        <w:ind w:left="0" w:firstLine="0"/>
        <w:rPr>
          <w:rFonts w:ascii="宋体" w:hAnsi="宋体"/>
          <w:szCs w:val="21"/>
        </w:rPr>
      </w:pPr>
      <w:r>
        <w:rPr>
          <w:rFonts w:ascii="宋体" w:hAnsi="宋体"/>
          <w:szCs w:val="21"/>
        </w:rPr>
        <w:t>对于作业时产生的有害废弃物，承包商应负责向甲方报告废弃物种类及性质，进行妥善安全地收集和贮存，并保留文件说明、清运转移和处理方法以备查；</w:t>
      </w:r>
    </w:p>
    <w:p w14:paraId="716D5CDF">
      <w:pPr>
        <w:numPr>
          <w:ilvl w:val="0"/>
          <w:numId w:val="39"/>
        </w:numPr>
        <w:tabs>
          <w:tab w:val="left" w:pos="567"/>
        </w:tabs>
        <w:adjustRightInd w:val="0"/>
        <w:snapToGrid w:val="0"/>
        <w:spacing w:line="320" w:lineRule="exact"/>
        <w:ind w:left="0" w:firstLine="0"/>
        <w:rPr>
          <w:rFonts w:ascii="宋体" w:hAnsi="宋体"/>
          <w:szCs w:val="21"/>
        </w:rPr>
      </w:pPr>
      <w:r>
        <w:rPr>
          <w:rFonts w:ascii="宋体" w:hAnsi="宋体"/>
          <w:szCs w:val="21"/>
        </w:rPr>
        <w:t>在户外储存废物时（非有害物质，有害废物不得储存于户外），</w:t>
      </w:r>
      <w:r>
        <w:rPr>
          <w:rFonts w:hint="eastAsia" w:ascii="宋体" w:hAnsi="宋体"/>
          <w:szCs w:val="21"/>
        </w:rPr>
        <w:t>应</w:t>
      </w:r>
      <w:r>
        <w:rPr>
          <w:rFonts w:ascii="宋体" w:hAnsi="宋体"/>
          <w:szCs w:val="21"/>
        </w:rPr>
        <w:t>采取必要的防护措施，必须存放于离下水道口至少3米</w:t>
      </w:r>
      <w:r>
        <w:rPr>
          <w:rFonts w:hint="eastAsia" w:ascii="宋体" w:hAnsi="宋体"/>
          <w:szCs w:val="21"/>
        </w:rPr>
        <w:t>的位置</w:t>
      </w:r>
      <w:r>
        <w:rPr>
          <w:rFonts w:ascii="宋体" w:hAnsi="宋体"/>
          <w:szCs w:val="21"/>
        </w:rPr>
        <w:t>并妥善遮盖下水道口，避免流入下水道污染水源</w:t>
      </w:r>
      <w:r>
        <w:rPr>
          <w:rFonts w:hint="eastAsia" w:ascii="宋体" w:hAnsi="宋体"/>
          <w:szCs w:val="21"/>
        </w:rPr>
        <w:t>；</w:t>
      </w:r>
    </w:p>
    <w:p w14:paraId="03A38CF0">
      <w:pPr>
        <w:numPr>
          <w:ilvl w:val="0"/>
          <w:numId w:val="39"/>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承包商应</w:t>
      </w:r>
      <w:r>
        <w:rPr>
          <w:rFonts w:ascii="宋体" w:hAnsi="宋体"/>
          <w:szCs w:val="21"/>
        </w:rPr>
        <w:t>对废弃物储存和处置的合法性负责，若造成周边环境污染被有关部门</w:t>
      </w:r>
      <w:r>
        <w:rPr>
          <w:rFonts w:hint="eastAsia" w:ascii="宋体" w:hAnsi="宋体"/>
          <w:szCs w:val="21"/>
        </w:rPr>
        <w:t>行政处罚</w:t>
      </w:r>
      <w:r>
        <w:rPr>
          <w:rFonts w:ascii="宋体" w:hAnsi="宋体"/>
          <w:szCs w:val="21"/>
        </w:rPr>
        <w:t>或被其他民事主体要求承担损害赔偿责任的，</w:t>
      </w:r>
      <w:r>
        <w:rPr>
          <w:rFonts w:hint="eastAsia" w:ascii="宋体" w:hAnsi="宋体"/>
          <w:szCs w:val="21"/>
        </w:rPr>
        <w:t>根据政府有关部门调查，甲乙双方分别承担相应的处罚费用及相应责任。</w:t>
      </w:r>
    </w:p>
    <w:p w14:paraId="47B255EA">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关于化学品防泄漏规定</w:t>
      </w:r>
    </w:p>
    <w:p w14:paraId="09C52AD1">
      <w:pPr>
        <w:numPr>
          <w:ilvl w:val="0"/>
          <w:numId w:val="40"/>
        </w:numPr>
        <w:tabs>
          <w:tab w:val="left" w:pos="567"/>
        </w:tabs>
        <w:adjustRightInd w:val="0"/>
        <w:snapToGrid w:val="0"/>
        <w:spacing w:line="320" w:lineRule="exact"/>
        <w:ind w:left="0" w:firstLine="0"/>
        <w:rPr>
          <w:rFonts w:ascii="宋体" w:hAnsi="宋体"/>
          <w:szCs w:val="21"/>
        </w:rPr>
      </w:pPr>
      <w:r>
        <w:rPr>
          <w:rFonts w:ascii="宋体" w:hAnsi="宋体"/>
          <w:szCs w:val="21"/>
        </w:rPr>
        <w:t>承包商必须使用认证的化学物品，并采取预防措施储存酸性或腐蚀性液体、石油产品、油漆和清漆材料等；</w:t>
      </w:r>
    </w:p>
    <w:p w14:paraId="756DAEF2">
      <w:pPr>
        <w:numPr>
          <w:ilvl w:val="0"/>
          <w:numId w:val="40"/>
        </w:numPr>
        <w:tabs>
          <w:tab w:val="left" w:pos="567"/>
        </w:tabs>
        <w:adjustRightInd w:val="0"/>
        <w:snapToGrid w:val="0"/>
        <w:spacing w:line="320" w:lineRule="exact"/>
        <w:ind w:left="0" w:firstLine="0"/>
        <w:rPr>
          <w:rFonts w:ascii="宋体" w:hAnsi="宋体"/>
          <w:szCs w:val="21"/>
        </w:rPr>
      </w:pPr>
      <w:r>
        <w:rPr>
          <w:rFonts w:ascii="宋体" w:hAnsi="宋体"/>
          <w:szCs w:val="21"/>
        </w:rPr>
        <w:t>承包商必须准备适当的泄漏清洁工具，建立泄漏应急反应程序</w:t>
      </w:r>
      <w:r>
        <w:rPr>
          <w:rFonts w:hint="eastAsia" w:ascii="宋体" w:hAnsi="宋体"/>
          <w:szCs w:val="21"/>
        </w:rPr>
        <w:t>。</w:t>
      </w:r>
    </w:p>
    <w:p w14:paraId="25DC2035">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关于排水系统的规定</w:t>
      </w:r>
    </w:p>
    <w:p w14:paraId="152EAF00">
      <w:pPr>
        <w:numPr>
          <w:ilvl w:val="0"/>
          <w:numId w:val="41"/>
        </w:numPr>
        <w:tabs>
          <w:tab w:val="left" w:pos="567"/>
        </w:tabs>
        <w:adjustRightInd w:val="0"/>
        <w:snapToGrid w:val="0"/>
        <w:spacing w:line="320" w:lineRule="exact"/>
        <w:ind w:left="0" w:firstLine="0"/>
        <w:rPr>
          <w:rFonts w:ascii="宋体" w:hAnsi="宋体"/>
          <w:szCs w:val="21"/>
        </w:rPr>
      </w:pPr>
      <w:r>
        <w:rPr>
          <w:rFonts w:hint="eastAsia" w:ascii="宋体" w:hAnsi="宋体"/>
          <w:szCs w:val="21"/>
        </w:rPr>
        <w:t>未经甲方允许</w:t>
      </w:r>
      <w:r>
        <w:rPr>
          <w:rFonts w:ascii="宋体" w:hAnsi="宋体"/>
          <w:szCs w:val="21"/>
        </w:rPr>
        <w:t>严禁承包商向甲方排水系统倾倒任何液体或固体废弃物；</w:t>
      </w:r>
    </w:p>
    <w:p w14:paraId="4C0DCC88">
      <w:pPr>
        <w:numPr>
          <w:ilvl w:val="0"/>
          <w:numId w:val="41"/>
        </w:numPr>
        <w:tabs>
          <w:tab w:val="left" w:pos="567"/>
        </w:tabs>
        <w:adjustRightInd w:val="0"/>
        <w:snapToGrid w:val="0"/>
        <w:spacing w:line="320" w:lineRule="exact"/>
        <w:ind w:left="0" w:firstLine="0"/>
        <w:rPr>
          <w:rFonts w:ascii="宋体" w:hAnsi="宋体"/>
          <w:szCs w:val="21"/>
        </w:rPr>
      </w:pPr>
      <w:r>
        <w:rPr>
          <w:rFonts w:ascii="宋体" w:hAnsi="宋体"/>
          <w:szCs w:val="21"/>
        </w:rPr>
        <w:t>任何与甲方生活污水、生产污水和雨水系统相连接的工程必须得到甲方的批准</w:t>
      </w:r>
      <w:r>
        <w:rPr>
          <w:rFonts w:hint="eastAsia" w:ascii="宋体" w:hAnsi="宋体"/>
          <w:szCs w:val="21"/>
        </w:rPr>
        <w:t>。</w:t>
      </w:r>
    </w:p>
    <w:p w14:paraId="0D571BEF">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关于设备和车辆的安全管理规定</w:t>
      </w:r>
    </w:p>
    <w:p w14:paraId="1BD7FEAA">
      <w:pPr>
        <w:numPr>
          <w:ilvl w:val="0"/>
          <w:numId w:val="42"/>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承包商应</w:t>
      </w:r>
      <w:r>
        <w:rPr>
          <w:rFonts w:ascii="宋体" w:hAnsi="宋体"/>
          <w:szCs w:val="21"/>
        </w:rPr>
        <w:t>使用符合废气和有害物质排放标准的设备和车辆；</w:t>
      </w:r>
    </w:p>
    <w:p w14:paraId="102B0A64">
      <w:pPr>
        <w:numPr>
          <w:ilvl w:val="0"/>
          <w:numId w:val="42"/>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须</w:t>
      </w:r>
      <w:r>
        <w:rPr>
          <w:rFonts w:ascii="宋体" w:hAnsi="宋体"/>
          <w:szCs w:val="21"/>
        </w:rPr>
        <w:t>在</w:t>
      </w:r>
      <w:r>
        <w:rPr>
          <w:rFonts w:hint="eastAsia" w:ascii="宋体" w:hAnsi="宋体"/>
          <w:szCs w:val="21"/>
        </w:rPr>
        <w:t>甲方指定</w:t>
      </w:r>
      <w:r>
        <w:rPr>
          <w:rFonts w:ascii="宋体" w:hAnsi="宋体"/>
          <w:szCs w:val="21"/>
        </w:rPr>
        <w:t>区域储存设备、材料和物资；</w:t>
      </w:r>
    </w:p>
    <w:p w14:paraId="66448763">
      <w:pPr>
        <w:numPr>
          <w:ilvl w:val="0"/>
          <w:numId w:val="42"/>
        </w:numPr>
        <w:tabs>
          <w:tab w:val="left" w:pos="567"/>
        </w:tabs>
        <w:adjustRightInd w:val="0"/>
        <w:snapToGrid w:val="0"/>
        <w:spacing w:line="320" w:lineRule="exact"/>
        <w:ind w:left="0" w:firstLine="0"/>
        <w:rPr>
          <w:rFonts w:ascii="宋体" w:hAnsi="宋体"/>
          <w:szCs w:val="21"/>
        </w:rPr>
      </w:pPr>
      <w:r>
        <w:rPr>
          <w:rFonts w:ascii="宋体" w:hAnsi="宋体"/>
          <w:szCs w:val="21"/>
        </w:rPr>
        <w:t>除</w:t>
      </w:r>
      <w:r>
        <w:rPr>
          <w:rFonts w:hint="eastAsia" w:ascii="宋体" w:hAnsi="宋体"/>
          <w:szCs w:val="21"/>
        </w:rPr>
        <w:t>特殊约定</w:t>
      </w:r>
      <w:r>
        <w:rPr>
          <w:rFonts w:ascii="宋体" w:hAnsi="宋体"/>
          <w:szCs w:val="21"/>
        </w:rPr>
        <w:t>外，承包商不得在甲方</w:t>
      </w:r>
      <w:r>
        <w:rPr>
          <w:rFonts w:hint="eastAsia" w:ascii="宋体" w:hAnsi="宋体"/>
          <w:szCs w:val="21"/>
        </w:rPr>
        <w:t>厂（场）地</w:t>
      </w:r>
      <w:r>
        <w:rPr>
          <w:rFonts w:ascii="宋体" w:hAnsi="宋体"/>
          <w:szCs w:val="21"/>
        </w:rPr>
        <w:t>清洗</w:t>
      </w:r>
      <w:r>
        <w:rPr>
          <w:rFonts w:hint="eastAsia" w:ascii="宋体" w:hAnsi="宋体"/>
          <w:szCs w:val="21"/>
        </w:rPr>
        <w:t>设备或车辆</w:t>
      </w:r>
      <w:r>
        <w:rPr>
          <w:rFonts w:ascii="宋体" w:hAnsi="宋体"/>
          <w:szCs w:val="21"/>
        </w:rPr>
        <w:t>；</w:t>
      </w:r>
      <w:r>
        <w:rPr>
          <w:rFonts w:hint="eastAsia" w:ascii="宋体" w:hAnsi="宋体"/>
          <w:szCs w:val="21"/>
        </w:rPr>
        <w:t>即便允许，设备或</w:t>
      </w:r>
      <w:r>
        <w:rPr>
          <w:rFonts w:ascii="宋体" w:hAnsi="宋体"/>
          <w:szCs w:val="21"/>
        </w:rPr>
        <w:t>车辆</w:t>
      </w:r>
      <w:r>
        <w:rPr>
          <w:rFonts w:hint="eastAsia" w:ascii="宋体" w:hAnsi="宋体"/>
          <w:szCs w:val="21"/>
        </w:rPr>
        <w:t>也应</w:t>
      </w:r>
      <w:r>
        <w:rPr>
          <w:rFonts w:ascii="宋体" w:hAnsi="宋体"/>
          <w:szCs w:val="21"/>
        </w:rPr>
        <w:t>在指定区域清洗</w:t>
      </w:r>
      <w:r>
        <w:rPr>
          <w:rFonts w:hint="eastAsia" w:ascii="宋体" w:hAnsi="宋体"/>
          <w:szCs w:val="21"/>
        </w:rPr>
        <w:t>，</w:t>
      </w:r>
      <w:r>
        <w:rPr>
          <w:rFonts w:ascii="宋体" w:hAnsi="宋体"/>
          <w:szCs w:val="21"/>
        </w:rPr>
        <w:t>并节约能源和水；</w:t>
      </w:r>
    </w:p>
    <w:p w14:paraId="7F5EFE62">
      <w:pPr>
        <w:numPr>
          <w:ilvl w:val="0"/>
          <w:numId w:val="42"/>
        </w:numPr>
        <w:tabs>
          <w:tab w:val="left" w:pos="567"/>
        </w:tabs>
        <w:adjustRightInd w:val="0"/>
        <w:snapToGrid w:val="0"/>
        <w:spacing w:line="320" w:lineRule="exact"/>
        <w:ind w:left="0" w:firstLine="0"/>
        <w:rPr>
          <w:rFonts w:ascii="宋体" w:hAnsi="宋体"/>
          <w:szCs w:val="21"/>
        </w:rPr>
      </w:pPr>
      <w:r>
        <w:rPr>
          <w:rFonts w:ascii="宋体" w:hAnsi="宋体"/>
          <w:szCs w:val="21"/>
        </w:rPr>
        <w:t>车辆应停放于指定区域并锁好，进入厂（场）内车辆应按指示牌限速行驶；</w:t>
      </w:r>
    </w:p>
    <w:p w14:paraId="767F8103">
      <w:pPr>
        <w:numPr>
          <w:ilvl w:val="0"/>
          <w:numId w:val="42"/>
        </w:numPr>
        <w:tabs>
          <w:tab w:val="left" w:pos="567"/>
        </w:tabs>
        <w:adjustRightInd w:val="0"/>
        <w:snapToGrid w:val="0"/>
        <w:spacing w:line="320" w:lineRule="exact"/>
        <w:ind w:left="0" w:firstLine="0"/>
        <w:rPr>
          <w:rFonts w:ascii="宋体" w:hAnsi="宋体"/>
          <w:szCs w:val="21"/>
        </w:rPr>
      </w:pPr>
      <w:r>
        <w:rPr>
          <w:rFonts w:hint="eastAsia" w:ascii="宋体" w:hAnsi="宋体"/>
          <w:szCs w:val="21"/>
        </w:rPr>
        <w:t>原辅料、成品酒运输车辆应保持干净卫生，符合食品安全要求；</w:t>
      </w:r>
    </w:p>
    <w:p w14:paraId="6DE2AFE2">
      <w:pPr>
        <w:numPr>
          <w:ilvl w:val="0"/>
          <w:numId w:val="42"/>
        </w:numPr>
        <w:tabs>
          <w:tab w:val="left" w:pos="567"/>
        </w:tabs>
        <w:adjustRightInd w:val="0"/>
        <w:snapToGrid w:val="0"/>
        <w:spacing w:line="320" w:lineRule="exact"/>
        <w:ind w:left="0" w:firstLine="0"/>
        <w:rPr>
          <w:rFonts w:ascii="宋体" w:hAnsi="宋体"/>
          <w:szCs w:val="21"/>
        </w:rPr>
      </w:pPr>
      <w:r>
        <w:rPr>
          <w:rFonts w:hint="eastAsia" w:ascii="宋体" w:hAnsi="宋体"/>
          <w:szCs w:val="21"/>
        </w:rPr>
        <w:t>危险化学品运输车辆须使用符合危险化学品管理要求的专用车辆，运输车辆各项安全附件有效；</w:t>
      </w:r>
    </w:p>
    <w:p w14:paraId="5DAD0FEB">
      <w:pPr>
        <w:numPr>
          <w:ilvl w:val="0"/>
          <w:numId w:val="42"/>
        </w:numPr>
        <w:tabs>
          <w:tab w:val="left" w:pos="567"/>
        </w:tabs>
        <w:adjustRightInd w:val="0"/>
        <w:snapToGrid w:val="0"/>
        <w:spacing w:line="320" w:lineRule="exact"/>
        <w:ind w:left="0" w:firstLine="0"/>
        <w:rPr>
          <w:rFonts w:ascii="宋体" w:hAnsi="宋体"/>
          <w:szCs w:val="21"/>
        </w:rPr>
      </w:pPr>
      <w:r>
        <w:rPr>
          <w:rFonts w:hint="eastAsia" w:ascii="宋体" w:hAnsi="宋体"/>
          <w:szCs w:val="21"/>
        </w:rPr>
        <w:t>在作业过程中，必须确保设备和车辆运行安全。</w:t>
      </w:r>
    </w:p>
    <w:p w14:paraId="79074115">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关于循环</w:t>
      </w:r>
      <w:r>
        <w:rPr>
          <w:rFonts w:hint="eastAsia" w:ascii="宋体" w:hAnsi="宋体"/>
          <w:b/>
          <w:bCs/>
          <w:szCs w:val="21"/>
        </w:rPr>
        <w:t>利用</w:t>
      </w:r>
      <w:r>
        <w:rPr>
          <w:rFonts w:ascii="宋体" w:hAnsi="宋体"/>
          <w:b/>
          <w:bCs/>
          <w:szCs w:val="21"/>
        </w:rPr>
        <w:t>的规定</w:t>
      </w:r>
    </w:p>
    <w:p w14:paraId="720E96E7">
      <w:pPr>
        <w:adjustRightInd w:val="0"/>
        <w:snapToGrid w:val="0"/>
        <w:spacing w:line="320" w:lineRule="exact"/>
        <w:ind w:firstLine="428" w:firstLineChars="204"/>
        <w:rPr>
          <w:rFonts w:ascii="宋体" w:hAnsi="宋体"/>
          <w:szCs w:val="21"/>
        </w:rPr>
      </w:pPr>
      <w:r>
        <w:rPr>
          <w:rFonts w:ascii="宋体" w:hAnsi="宋体"/>
          <w:szCs w:val="21"/>
        </w:rPr>
        <w:t>循环利用是甲方的一项标准化操作要求，甲方工作联系人指导承包商把废弃物分类收集于相应的垃圾桶或集中存放；承包商承诺对土壤和绿化区域的危害降低到最小</w:t>
      </w:r>
      <w:r>
        <w:rPr>
          <w:rFonts w:hint="eastAsia" w:ascii="宋体" w:hAnsi="宋体"/>
          <w:szCs w:val="21"/>
        </w:rPr>
        <w:t>。</w:t>
      </w:r>
    </w:p>
    <w:p w14:paraId="16BD5126">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关于在甲方生产</w:t>
      </w:r>
      <w:r>
        <w:rPr>
          <w:rFonts w:hint="eastAsia" w:ascii="宋体" w:hAnsi="宋体"/>
          <w:b/>
          <w:bCs/>
          <w:szCs w:val="21"/>
        </w:rPr>
        <w:t>现场</w:t>
      </w:r>
      <w:r>
        <w:rPr>
          <w:rFonts w:ascii="宋体" w:hAnsi="宋体"/>
          <w:b/>
          <w:bCs/>
          <w:szCs w:val="21"/>
        </w:rPr>
        <w:t>作业安全规定</w:t>
      </w:r>
    </w:p>
    <w:p w14:paraId="7403AE24">
      <w:pPr>
        <w:numPr>
          <w:ilvl w:val="0"/>
          <w:numId w:val="43"/>
        </w:numPr>
        <w:tabs>
          <w:tab w:val="left" w:pos="567"/>
        </w:tabs>
        <w:adjustRightInd w:val="0"/>
        <w:snapToGrid w:val="0"/>
        <w:spacing w:line="320" w:lineRule="exact"/>
        <w:ind w:left="0" w:firstLine="0"/>
        <w:rPr>
          <w:rFonts w:ascii="宋体" w:hAnsi="宋体"/>
          <w:szCs w:val="21"/>
        </w:rPr>
      </w:pPr>
      <w:r>
        <w:rPr>
          <w:rFonts w:ascii="宋体" w:hAnsi="宋体"/>
          <w:szCs w:val="21"/>
        </w:rPr>
        <w:t>在作业之前，承包商应确认其作业人员已经充分知悉卫生管理要求；如作业人员需要处理食品时，须严格遵守国家和甲方的卫生安全标准；</w:t>
      </w:r>
    </w:p>
    <w:p w14:paraId="15210B24">
      <w:pPr>
        <w:numPr>
          <w:ilvl w:val="0"/>
          <w:numId w:val="43"/>
        </w:numPr>
        <w:tabs>
          <w:tab w:val="left" w:pos="567"/>
        </w:tabs>
        <w:adjustRightInd w:val="0"/>
        <w:snapToGrid w:val="0"/>
        <w:spacing w:line="320" w:lineRule="exact"/>
        <w:ind w:left="0" w:firstLine="0"/>
        <w:rPr>
          <w:rFonts w:ascii="宋体" w:hAnsi="宋体"/>
          <w:szCs w:val="21"/>
        </w:rPr>
      </w:pPr>
      <w:r>
        <w:rPr>
          <w:rFonts w:ascii="宋体" w:hAnsi="宋体"/>
          <w:szCs w:val="21"/>
        </w:rPr>
        <w:t>如作业人员具有伤寒、副伤寒、痢疾、肠道疾病、传染性肝炎、骨疾病、肺结核、性病、皮肤病、耳朵/鼻子/眼睛有分泌物、心绞痛、高热等情形之一的，不得开展作业；</w:t>
      </w:r>
    </w:p>
    <w:p w14:paraId="6FA0F316">
      <w:pPr>
        <w:numPr>
          <w:ilvl w:val="0"/>
          <w:numId w:val="43"/>
        </w:numPr>
        <w:tabs>
          <w:tab w:val="left" w:pos="567"/>
        </w:tabs>
        <w:adjustRightInd w:val="0"/>
        <w:snapToGrid w:val="0"/>
        <w:spacing w:line="320" w:lineRule="exact"/>
        <w:ind w:left="0" w:firstLine="0"/>
        <w:rPr>
          <w:rFonts w:ascii="宋体" w:hAnsi="宋体"/>
          <w:szCs w:val="21"/>
        </w:rPr>
      </w:pPr>
      <w:r>
        <w:rPr>
          <w:rFonts w:ascii="宋体" w:hAnsi="宋体"/>
          <w:szCs w:val="21"/>
        </w:rPr>
        <w:t>为确保</w:t>
      </w:r>
      <w:r>
        <w:rPr>
          <w:rFonts w:hint="eastAsia" w:ascii="宋体" w:hAnsi="宋体"/>
          <w:szCs w:val="21"/>
        </w:rPr>
        <w:t>生产车间</w:t>
      </w:r>
      <w:r>
        <w:rPr>
          <w:rFonts w:ascii="宋体" w:hAnsi="宋体"/>
          <w:szCs w:val="21"/>
        </w:rPr>
        <w:t>卫生要求，不允许在箱柜里存储</w:t>
      </w:r>
      <w:r>
        <w:rPr>
          <w:rFonts w:hint="eastAsia" w:ascii="宋体" w:hAnsi="宋体"/>
          <w:szCs w:val="21"/>
        </w:rPr>
        <w:t>食物、</w:t>
      </w:r>
      <w:r>
        <w:rPr>
          <w:rFonts w:ascii="宋体" w:hAnsi="宋体"/>
          <w:szCs w:val="21"/>
        </w:rPr>
        <w:t>脏衣</w:t>
      </w:r>
      <w:r>
        <w:rPr>
          <w:rFonts w:hint="eastAsia" w:ascii="宋体" w:hAnsi="宋体"/>
          <w:szCs w:val="21"/>
        </w:rPr>
        <w:t>、产品、</w:t>
      </w:r>
      <w:r>
        <w:rPr>
          <w:rFonts w:ascii="宋体" w:hAnsi="宋体"/>
          <w:szCs w:val="21"/>
        </w:rPr>
        <w:t>工具和设备</w:t>
      </w:r>
      <w:r>
        <w:rPr>
          <w:rFonts w:hint="eastAsia" w:ascii="宋体" w:hAnsi="宋体"/>
          <w:szCs w:val="21"/>
        </w:rPr>
        <w:t>等易导致污染环境的物品</w:t>
      </w:r>
      <w:r>
        <w:rPr>
          <w:rFonts w:ascii="宋体" w:hAnsi="宋体"/>
          <w:szCs w:val="21"/>
        </w:rPr>
        <w:t>；</w:t>
      </w:r>
    </w:p>
    <w:p w14:paraId="4507CB02">
      <w:pPr>
        <w:numPr>
          <w:ilvl w:val="0"/>
          <w:numId w:val="43"/>
        </w:numPr>
        <w:tabs>
          <w:tab w:val="left" w:pos="567"/>
        </w:tabs>
        <w:adjustRightInd w:val="0"/>
        <w:snapToGrid w:val="0"/>
        <w:spacing w:line="320" w:lineRule="exact"/>
        <w:ind w:left="0" w:firstLine="0"/>
        <w:rPr>
          <w:rFonts w:ascii="宋体" w:hAnsi="宋体"/>
          <w:szCs w:val="21"/>
        </w:rPr>
      </w:pPr>
      <w:r>
        <w:rPr>
          <w:rFonts w:ascii="宋体" w:hAnsi="宋体"/>
          <w:szCs w:val="21"/>
        </w:rPr>
        <w:t>在选用洗涤剂、化学消毒剂和使用设备工作时，必须具有合格证书，可用于食品工业，防腐蚀，能够与产品、清洗和其他消毒剂等兼容</w:t>
      </w:r>
      <w:r>
        <w:rPr>
          <w:rFonts w:hint="eastAsia" w:ascii="宋体" w:hAnsi="宋体"/>
          <w:szCs w:val="21"/>
        </w:rPr>
        <w:t>。</w:t>
      </w:r>
    </w:p>
    <w:p w14:paraId="50EA011E">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关于清洁卫生</w:t>
      </w:r>
      <w:r>
        <w:rPr>
          <w:rFonts w:hint="eastAsia" w:ascii="宋体" w:hAnsi="宋体"/>
          <w:b/>
          <w:bCs/>
          <w:szCs w:val="21"/>
        </w:rPr>
        <w:t>(</w:t>
      </w:r>
      <w:r>
        <w:rPr>
          <w:rFonts w:ascii="宋体" w:hAnsi="宋体"/>
          <w:b/>
          <w:bCs/>
          <w:szCs w:val="21"/>
        </w:rPr>
        <w:t>5S)的规定</w:t>
      </w:r>
    </w:p>
    <w:p w14:paraId="6B114011">
      <w:pPr>
        <w:numPr>
          <w:ilvl w:val="0"/>
          <w:numId w:val="44"/>
        </w:numPr>
        <w:tabs>
          <w:tab w:val="left" w:pos="567"/>
        </w:tabs>
        <w:adjustRightInd w:val="0"/>
        <w:snapToGrid w:val="0"/>
        <w:spacing w:line="320" w:lineRule="exact"/>
        <w:ind w:left="0" w:firstLine="0"/>
        <w:rPr>
          <w:rFonts w:ascii="宋体" w:hAnsi="宋体"/>
          <w:szCs w:val="21"/>
        </w:rPr>
      </w:pPr>
      <w:r>
        <w:rPr>
          <w:rFonts w:ascii="宋体" w:hAnsi="宋体"/>
          <w:szCs w:val="21"/>
        </w:rPr>
        <w:t>承包商负责作业区域内清洁卫生工作，定时清扫工作区域，每日清运作业产生的碎料、垃圾、废物及淤泥，保持厂（场）区整洁</w:t>
      </w:r>
      <w:r>
        <w:rPr>
          <w:rFonts w:hint="eastAsia" w:ascii="宋体" w:hAnsi="宋体"/>
          <w:szCs w:val="21"/>
        </w:rPr>
        <w:t>；</w:t>
      </w:r>
    </w:p>
    <w:p w14:paraId="1FB95C24">
      <w:pPr>
        <w:numPr>
          <w:ilvl w:val="0"/>
          <w:numId w:val="44"/>
        </w:numPr>
        <w:tabs>
          <w:tab w:val="left" w:pos="567"/>
        </w:tabs>
        <w:adjustRightInd w:val="0"/>
        <w:snapToGrid w:val="0"/>
        <w:spacing w:line="320" w:lineRule="exact"/>
        <w:ind w:left="0" w:firstLine="0"/>
        <w:rPr>
          <w:rFonts w:ascii="宋体" w:hAnsi="宋体"/>
          <w:szCs w:val="21"/>
        </w:rPr>
      </w:pPr>
      <w:r>
        <w:rPr>
          <w:rFonts w:ascii="宋体" w:hAnsi="宋体"/>
          <w:szCs w:val="21"/>
        </w:rPr>
        <w:t>保持所有作业用品整洁并存放于指定区域，不得阻塞走道、出口和应急通道</w:t>
      </w:r>
      <w:r>
        <w:rPr>
          <w:rFonts w:hint="eastAsia" w:ascii="宋体" w:hAnsi="宋体"/>
          <w:szCs w:val="21"/>
        </w:rPr>
        <w:t>。</w:t>
      </w:r>
    </w:p>
    <w:p w14:paraId="13075FB3">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关于承包商使用厂（场）区设施的规定</w:t>
      </w:r>
    </w:p>
    <w:p w14:paraId="4C7F8523">
      <w:pPr>
        <w:numPr>
          <w:ilvl w:val="0"/>
          <w:numId w:val="45"/>
        </w:numPr>
        <w:tabs>
          <w:tab w:val="left" w:pos="567"/>
        </w:tabs>
        <w:adjustRightInd w:val="0"/>
        <w:snapToGrid w:val="0"/>
        <w:spacing w:line="320" w:lineRule="exact"/>
        <w:ind w:left="0" w:firstLine="0"/>
        <w:rPr>
          <w:rFonts w:ascii="宋体" w:hAnsi="宋体"/>
          <w:szCs w:val="21"/>
        </w:rPr>
      </w:pPr>
      <w:r>
        <w:rPr>
          <w:rFonts w:ascii="宋体" w:hAnsi="宋体"/>
          <w:szCs w:val="21"/>
        </w:rPr>
        <w:t>如需使用甲方的设施必须事先</w:t>
      </w:r>
      <w:r>
        <w:rPr>
          <w:rFonts w:hint="eastAsia" w:ascii="宋体" w:hAnsi="宋体"/>
          <w:szCs w:val="21"/>
        </w:rPr>
        <w:t>获得</w:t>
      </w:r>
      <w:r>
        <w:rPr>
          <w:rFonts w:ascii="宋体" w:hAnsi="宋体"/>
          <w:szCs w:val="21"/>
        </w:rPr>
        <w:t>甲方</w:t>
      </w:r>
      <w:r>
        <w:rPr>
          <w:rFonts w:hint="eastAsia" w:ascii="宋体" w:hAnsi="宋体"/>
          <w:szCs w:val="21"/>
        </w:rPr>
        <w:t>同意</w:t>
      </w:r>
      <w:r>
        <w:rPr>
          <w:rFonts w:ascii="宋体" w:hAnsi="宋体"/>
          <w:szCs w:val="21"/>
        </w:rPr>
        <w:t>（包括水，电，压缩空气，排污系统及消防系统）；</w:t>
      </w:r>
    </w:p>
    <w:p w14:paraId="36823B00">
      <w:pPr>
        <w:numPr>
          <w:ilvl w:val="0"/>
          <w:numId w:val="45"/>
        </w:numPr>
        <w:tabs>
          <w:tab w:val="left" w:pos="567"/>
        </w:tabs>
        <w:adjustRightInd w:val="0"/>
        <w:snapToGrid w:val="0"/>
        <w:spacing w:line="320" w:lineRule="exact"/>
        <w:ind w:left="0" w:firstLine="0"/>
        <w:rPr>
          <w:rFonts w:ascii="宋体" w:hAnsi="宋体"/>
          <w:szCs w:val="21"/>
        </w:rPr>
      </w:pPr>
      <w:r>
        <w:rPr>
          <w:rFonts w:ascii="宋体" w:hAnsi="宋体"/>
          <w:szCs w:val="21"/>
        </w:rPr>
        <w:t>如需关闭任何甲方设施必须事先</w:t>
      </w:r>
      <w:r>
        <w:rPr>
          <w:rFonts w:hint="eastAsia" w:ascii="宋体" w:hAnsi="宋体"/>
          <w:szCs w:val="21"/>
        </w:rPr>
        <w:t>获得</w:t>
      </w:r>
      <w:r>
        <w:rPr>
          <w:rFonts w:ascii="宋体" w:hAnsi="宋体"/>
          <w:szCs w:val="21"/>
        </w:rPr>
        <w:t>甲方</w:t>
      </w:r>
      <w:r>
        <w:rPr>
          <w:rFonts w:hint="eastAsia" w:ascii="宋体" w:hAnsi="宋体"/>
          <w:szCs w:val="21"/>
        </w:rPr>
        <w:t>同意。</w:t>
      </w:r>
    </w:p>
    <w:p w14:paraId="6964FF64">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关于出入厂（场）区及安全保卫规定</w:t>
      </w:r>
    </w:p>
    <w:p w14:paraId="59283B6A">
      <w:pPr>
        <w:numPr>
          <w:ilvl w:val="0"/>
          <w:numId w:val="46"/>
        </w:numPr>
        <w:tabs>
          <w:tab w:val="left" w:pos="567"/>
        </w:tabs>
        <w:adjustRightInd w:val="0"/>
        <w:snapToGrid w:val="0"/>
        <w:spacing w:line="320" w:lineRule="exact"/>
        <w:ind w:left="0" w:firstLine="0"/>
        <w:rPr>
          <w:rFonts w:ascii="宋体" w:hAnsi="宋体"/>
          <w:szCs w:val="21"/>
        </w:rPr>
      </w:pPr>
      <w:r>
        <w:rPr>
          <w:rFonts w:ascii="宋体" w:hAnsi="宋体"/>
          <w:szCs w:val="21"/>
        </w:rPr>
        <w:t>承包商的人员在进入</w:t>
      </w:r>
      <w:r>
        <w:rPr>
          <w:rFonts w:hint="eastAsia" w:ascii="宋体" w:hAnsi="宋体"/>
          <w:szCs w:val="21"/>
        </w:rPr>
        <w:t>厂（场）区</w:t>
      </w:r>
      <w:r>
        <w:rPr>
          <w:rFonts w:ascii="宋体" w:hAnsi="宋体"/>
          <w:szCs w:val="21"/>
        </w:rPr>
        <w:t>之前应在甲方门卫</w:t>
      </w:r>
      <w:r>
        <w:rPr>
          <w:rFonts w:hint="eastAsia" w:ascii="宋体" w:hAnsi="宋体"/>
          <w:szCs w:val="21"/>
        </w:rPr>
        <w:t>出具电子访客证</w:t>
      </w:r>
      <w:r>
        <w:rPr>
          <w:rFonts w:ascii="宋体" w:hAnsi="宋体"/>
          <w:szCs w:val="21"/>
        </w:rPr>
        <w:t>，</w:t>
      </w:r>
      <w:r>
        <w:rPr>
          <w:rFonts w:hint="eastAsia" w:ascii="宋体" w:hAnsi="宋体"/>
          <w:szCs w:val="21"/>
        </w:rPr>
        <w:t>由业务接待人接待，</w:t>
      </w:r>
      <w:r>
        <w:rPr>
          <w:rFonts w:ascii="宋体" w:hAnsi="宋体"/>
          <w:szCs w:val="21"/>
        </w:rPr>
        <w:t>从</w:t>
      </w:r>
      <w:r>
        <w:rPr>
          <w:rFonts w:hint="eastAsia" w:ascii="宋体" w:hAnsi="宋体"/>
          <w:szCs w:val="21"/>
        </w:rPr>
        <w:t>指定通道进出</w:t>
      </w:r>
      <w:r>
        <w:rPr>
          <w:rFonts w:ascii="宋体" w:hAnsi="宋体"/>
          <w:szCs w:val="21"/>
        </w:rPr>
        <w:t xml:space="preserve">厂（场）区； </w:t>
      </w:r>
    </w:p>
    <w:p w14:paraId="3476AEE9">
      <w:pPr>
        <w:numPr>
          <w:ilvl w:val="0"/>
          <w:numId w:val="46"/>
        </w:numPr>
        <w:tabs>
          <w:tab w:val="left" w:pos="567"/>
        </w:tabs>
        <w:adjustRightInd w:val="0"/>
        <w:snapToGrid w:val="0"/>
        <w:spacing w:line="320" w:lineRule="exact"/>
        <w:ind w:left="0" w:firstLine="0"/>
        <w:rPr>
          <w:rFonts w:ascii="宋体" w:hAnsi="宋体"/>
          <w:szCs w:val="21"/>
        </w:rPr>
      </w:pPr>
      <w:r>
        <w:rPr>
          <w:rFonts w:ascii="宋体" w:hAnsi="宋体"/>
          <w:szCs w:val="21"/>
        </w:rPr>
        <w:t>在厂（场）内作业或行走时应注意来往车辆，注意安全并采取保护措施</w:t>
      </w:r>
      <w:r>
        <w:rPr>
          <w:rFonts w:hint="eastAsia" w:ascii="宋体" w:hAnsi="宋体"/>
          <w:szCs w:val="21"/>
        </w:rPr>
        <w:t>；</w:t>
      </w:r>
    </w:p>
    <w:p w14:paraId="0E85D4F4">
      <w:pPr>
        <w:numPr>
          <w:ilvl w:val="0"/>
          <w:numId w:val="46"/>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人员</w:t>
      </w:r>
      <w:r>
        <w:rPr>
          <w:rFonts w:ascii="宋体" w:hAnsi="宋体"/>
          <w:szCs w:val="21"/>
        </w:rPr>
        <w:t>只能在指定区域活动，不得进入其他区域；</w:t>
      </w:r>
    </w:p>
    <w:p w14:paraId="1B2E83A5">
      <w:pPr>
        <w:numPr>
          <w:ilvl w:val="0"/>
          <w:numId w:val="46"/>
        </w:numPr>
        <w:tabs>
          <w:tab w:val="left" w:pos="567"/>
        </w:tabs>
        <w:adjustRightInd w:val="0"/>
        <w:snapToGrid w:val="0"/>
        <w:spacing w:line="320" w:lineRule="exact"/>
        <w:ind w:left="0" w:firstLine="0"/>
        <w:rPr>
          <w:rFonts w:ascii="宋体" w:hAnsi="宋体"/>
          <w:szCs w:val="21"/>
        </w:rPr>
      </w:pPr>
      <w:r>
        <w:rPr>
          <w:rFonts w:ascii="宋体" w:hAnsi="宋体"/>
          <w:szCs w:val="21"/>
        </w:rPr>
        <w:t>甲方根据安保需要可以对承包商携带的工具和物品进行</w:t>
      </w:r>
      <w:r>
        <w:rPr>
          <w:rFonts w:hint="eastAsia" w:ascii="宋体" w:hAnsi="宋体"/>
          <w:szCs w:val="21"/>
        </w:rPr>
        <w:t>必要的</w:t>
      </w:r>
      <w:r>
        <w:rPr>
          <w:rFonts w:ascii="宋体" w:hAnsi="宋体"/>
          <w:szCs w:val="21"/>
        </w:rPr>
        <w:t>检查后放行</w:t>
      </w:r>
      <w:r>
        <w:rPr>
          <w:rFonts w:hint="eastAsia" w:ascii="宋体" w:hAnsi="宋体"/>
          <w:szCs w:val="21"/>
        </w:rPr>
        <w:t>。</w:t>
      </w:r>
    </w:p>
    <w:p w14:paraId="46318F0D">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关于事故</w:t>
      </w:r>
      <w:r>
        <w:rPr>
          <w:rFonts w:hint="eastAsia" w:ascii="宋体" w:hAnsi="宋体"/>
          <w:b/>
          <w:bCs/>
          <w:szCs w:val="21"/>
        </w:rPr>
        <w:t>事件</w:t>
      </w:r>
      <w:r>
        <w:rPr>
          <w:rFonts w:ascii="宋体" w:hAnsi="宋体"/>
          <w:b/>
          <w:bCs/>
          <w:szCs w:val="21"/>
        </w:rPr>
        <w:t>报告的规定</w:t>
      </w:r>
    </w:p>
    <w:p w14:paraId="1B671F6F">
      <w:pPr>
        <w:tabs>
          <w:tab w:val="left" w:pos="567"/>
          <w:tab w:val="left" w:pos="993"/>
        </w:tabs>
        <w:adjustRightInd w:val="0"/>
        <w:snapToGrid w:val="0"/>
        <w:spacing w:line="320" w:lineRule="exact"/>
        <w:rPr>
          <w:rFonts w:ascii="宋体" w:hAnsi="宋体"/>
          <w:szCs w:val="21"/>
        </w:rPr>
      </w:pPr>
      <w:r>
        <w:rPr>
          <w:rFonts w:hint="eastAsia" w:ascii="宋体" w:hAnsi="宋体"/>
          <w:szCs w:val="21"/>
        </w:rPr>
        <w:t>31.1</w:t>
      </w:r>
      <w:r>
        <w:rPr>
          <w:rFonts w:hint="eastAsia" w:ascii="宋体" w:hAnsi="宋体"/>
          <w:szCs w:val="21"/>
        </w:rPr>
        <w:tab/>
      </w:r>
      <w:r>
        <w:rPr>
          <w:rFonts w:hint="eastAsia" w:ascii="宋体" w:hAnsi="宋体"/>
          <w:szCs w:val="21"/>
        </w:rPr>
        <w:t>在作业过程中发生任何的环境、健康、安全、财产事故事件（包括但不限于环境污染、火灾、盗窃、人身损害、财产损失等），承包商应立即通报甲方指定的相关方管理负责人并依据相关法律法规和甲方的要求进行调查，依据政府有关部门事故调查报告结论，确定甲乙双方的责任，甲乙双方分别承担相应的事故责任。</w:t>
      </w:r>
    </w:p>
    <w:p w14:paraId="510A367E">
      <w:pPr>
        <w:tabs>
          <w:tab w:val="left" w:pos="567"/>
          <w:tab w:val="left" w:pos="993"/>
        </w:tabs>
        <w:adjustRightInd w:val="0"/>
        <w:snapToGrid w:val="0"/>
        <w:spacing w:line="320" w:lineRule="exact"/>
        <w:rPr>
          <w:rFonts w:ascii="宋体" w:hAnsi="宋体"/>
          <w:szCs w:val="21"/>
        </w:rPr>
      </w:pPr>
      <w:r>
        <w:rPr>
          <w:rFonts w:hint="eastAsia" w:ascii="宋体" w:hAnsi="宋体"/>
          <w:szCs w:val="21"/>
        </w:rPr>
        <w:t>31.2</w:t>
      </w:r>
      <w:r>
        <w:rPr>
          <w:rFonts w:hint="eastAsia" w:ascii="宋体" w:hAnsi="宋体"/>
          <w:szCs w:val="21"/>
        </w:rPr>
        <w:tab/>
      </w:r>
      <w:r>
        <w:rPr>
          <w:rFonts w:hint="eastAsia" w:ascii="宋体" w:hAnsi="宋体"/>
          <w:szCs w:val="21"/>
        </w:rPr>
        <w:t>作业过程中发生事故事件的，应严格遵守甲方要求开展事故事件的报告、处置、调查、分析等；如造成达到甲方“一事一报事故事件”等级的，或发生事故事件迟报、漏报、谎报和瞒报情况的，甲方有权立即单方解除合同并要求其承担因此造成的相应责任，同时立即划入承包商黑名单。</w:t>
      </w:r>
    </w:p>
    <w:p w14:paraId="25C53903">
      <w:pPr>
        <w:tabs>
          <w:tab w:val="left" w:pos="567"/>
          <w:tab w:val="left" w:pos="993"/>
        </w:tabs>
        <w:adjustRightInd w:val="0"/>
        <w:snapToGrid w:val="0"/>
        <w:spacing w:line="320" w:lineRule="exact"/>
        <w:ind w:firstLine="420" w:firstLineChars="200"/>
        <w:rPr>
          <w:rFonts w:ascii="宋体" w:hAnsi="宋体"/>
          <w:szCs w:val="21"/>
        </w:rPr>
      </w:pPr>
      <w:r>
        <w:rPr>
          <w:rFonts w:hint="eastAsia" w:ascii="宋体" w:hAnsi="宋体"/>
          <w:szCs w:val="21"/>
        </w:rPr>
        <w:t>“一事一报事故事件”清单乙方可随时向甲方获取，“一事一报事故事件”包含（但不限于）：生产安全事故、交通事故造成1人及以上死亡或重伤；生产安全事故、交通事故造成3人及以上轻伤；生产安全事故、交通事故造成直接经济损失5</w:t>
      </w:r>
      <w:r>
        <w:rPr>
          <w:rFonts w:ascii="宋体" w:hAnsi="宋体"/>
          <w:szCs w:val="21"/>
        </w:rPr>
        <w:t>0</w:t>
      </w:r>
      <w:r>
        <w:rPr>
          <w:rFonts w:hint="eastAsia" w:ascii="宋体" w:hAnsi="宋体"/>
          <w:szCs w:val="21"/>
        </w:rPr>
        <w:t>万元及以上；火灾、爆炸、坍塌事故事件造成停产停业，或直接经济损失</w:t>
      </w:r>
      <w:r>
        <w:rPr>
          <w:rFonts w:ascii="宋体" w:hAnsi="宋体"/>
          <w:szCs w:val="21"/>
        </w:rPr>
        <w:t>50万</w:t>
      </w:r>
      <w:r>
        <w:rPr>
          <w:rFonts w:hint="eastAsia" w:ascii="宋体" w:hAnsi="宋体"/>
          <w:szCs w:val="21"/>
        </w:rPr>
        <w:t>元及以上，或过火面积</w:t>
      </w:r>
      <w:r>
        <w:rPr>
          <w:rFonts w:ascii="宋体" w:hAnsi="宋体"/>
          <w:szCs w:val="21"/>
        </w:rPr>
        <w:t>100平方米及以上；被主流媒体报道的负面舆情事件；环境污染、生态破坏事件造成直接经济损失20万元及以上；被政府部门责令停产停业或处罚金额达到10万元及以上，或地市级及以上政府部门通报批评；污染物排放事件造成直接经济损失10万元及以上；工作厂（场）所或工作时间突发疾病、自杀等原因致人死亡或重伤；工作厂（场）所或工作时间同时出现3人以上身体不适需住院治疗</w:t>
      </w:r>
      <w:r>
        <w:rPr>
          <w:rFonts w:hint="eastAsia" w:ascii="宋体" w:hAnsi="宋体"/>
          <w:szCs w:val="21"/>
        </w:rPr>
        <w:t>等。</w:t>
      </w:r>
    </w:p>
    <w:p w14:paraId="3308B67B">
      <w:pPr>
        <w:numPr>
          <w:ilvl w:val="0"/>
          <w:numId w:val="15"/>
        </w:numPr>
        <w:adjustRightInd w:val="0"/>
        <w:snapToGrid w:val="0"/>
        <w:spacing w:line="320" w:lineRule="exact"/>
        <w:ind w:left="0" w:firstLine="0"/>
        <w:rPr>
          <w:rFonts w:ascii="宋体" w:hAnsi="宋体"/>
          <w:b/>
          <w:bCs/>
          <w:szCs w:val="21"/>
        </w:rPr>
      </w:pPr>
      <w:r>
        <w:rPr>
          <w:rFonts w:ascii="宋体" w:hAnsi="宋体"/>
          <w:b/>
          <w:bCs/>
          <w:szCs w:val="21"/>
        </w:rPr>
        <w:t>申明与保证</w:t>
      </w:r>
    </w:p>
    <w:p w14:paraId="5C0D1DCC">
      <w:pPr>
        <w:numPr>
          <w:ilvl w:val="0"/>
          <w:numId w:val="47"/>
        </w:numPr>
        <w:tabs>
          <w:tab w:val="left" w:pos="567"/>
        </w:tabs>
        <w:adjustRightInd w:val="0"/>
        <w:snapToGrid w:val="0"/>
        <w:spacing w:line="320" w:lineRule="exact"/>
        <w:ind w:left="0" w:firstLine="0"/>
        <w:rPr>
          <w:rFonts w:ascii="宋体" w:hAnsi="宋体"/>
          <w:szCs w:val="21"/>
        </w:rPr>
      </w:pPr>
      <w:r>
        <w:rPr>
          <w:rFonts w:ascii="宋体" w:hAnsi="宋体"/>
          <w:szCs w:val="21"/>
        </w:rPr>
        <w:t>承包商承诺在合作中严格执行相关法律法规规章、相关国家标准、本协议</w:t>
      </w:r>
      <w:r>
        <w:rPr>
          <w:rFonts w:hint="eastAsia" w:ascii="宋体" w:hAnsi="宋体"/>
          <w:szCs w:val="21"/>
        </w:rPr>
        <w:t>约定</w:t>
      </w:r>
      <w:r>
        <w:rPr>
          <w:rFonts w:ascii="宋体" w:hAnsi="宋体"/>
          <w:szCs w:val="21"/>
        </w:rPr>
        <w:t>和甲方的</w:t>
      </w:r>
      <w:r>
        <w:rPr>
          <w:rFonts w:hint="eastAsia" w:ascii="宋体" w:hAnsi="宋体"/>
          <w:szCs w:val="21"/>
        </w:rPr>
        <w:t>合理</w:t>
      </w:r>
      <w:r>
        <w:rPr>
          <w:rFonts w:ascii="宋体" w:hAnsi="宋体"/>
          <w:szCs w:val="21"/>
        </w:rPr>
        <w:t>要求，</w:t>
      </w:r>
      <w:r>
        <w:rPr>
          <w:rFonts w:hint="eastAsia" w:ascii="宋体" w:hAnsi="宋体"/>
          <w:szCs w:val="21"/>
        </w:rPr>
        <w:t>且</w:t>
      </w:r>
      <w:r>
        <w:rPr>
          <w:rFonts w:ascii="宋体" w:hAnsi="宋体"/>
          <w:szCs w:val="21"/>
        </w:rPr>
        <w:t>承包商应确保其作业人员严格遵守本协议</w:t>
      </w:r>
      <w:r>
        <w:rPr>
          <w:rFonts w:hint="eastAsia" w:ascii="宋体" w:hAnsi="宋体"/>
          <w:szCs w:val="21"/>
        </w:rPr>
        <w:t>（</w:t>
      </w:r>
      <w:r>
        <w:rPr>
          <w:rFonts w:hint="eastAsia" w:ascii="宋体" w:hAnsi="宋体"/>
          <w:szCs w:val="21"/>
          <w:u w:val="single"/>
        </w:rPr>
        <w:t>甲方根据业务需要或属地政府特殊要求的，双方另行签订补充协议</w:t>
      </w:r>
      <w:r>
        <w:rPr>
          <w:rFonts w:hint="eastAsia" w:ascii="宋体" w:hAnsi="宋体"/>
          <w:szCs w:val="21"/>
        </w:rPr>
        <w:t>）</w:t>
      </w:r>
      <w:r>
        <w:rPr>
          <w:rFonts w:ascii="宋体" w:hAnsi="宋体"/>
          <w:szCs w:val="21"/>
        </w:rPr>
        <w:t>，</w:t>
      </w:r>
      <w:r>
        <w:rPr>
          <w:rFonts w:hint="eastAsia" w:ascii="宋体" w:hAnsi="宋体"/>
          <w:szCs w:val="21"/>
        </w:rPr>
        <w:t>作业人员的行为视同承包商的行为，承包商</w:t>
      </w:r>
      <w:r>
        <w:rPr>
          <w:rFonts w:ascii="宋体" w:hAnsi="宋体"/>
          <w:szCs w:val="21"/>
        </w:rPr>
        <w:t>对作业人员的行为负责并承担法律责任</w:t>
      </w:r>
      <w:r>
        <w:rPr>
          <w:rFonts w:hint="eastAsia" w:ascii="宋体" w:hAnsi="宋体"/>
          <w:szCs w:val="21"/>
        </w:rPr>
        <w:t>，不得以履行本安全协议为理由违反各方就合作主协议约定的主要义务；</w:t>
      </w:r>
      <w:r>
        <w:rPr>
          <w:rFonts w:ascii="宋体" w:hAnsi="宋体"/>
          <w:szCs w:val="21"/>
        </w:rPr>
        <w:t>甲方发现承包商</w:t>
      </w:r>
      <w:r>
        <w:rPr>
          <w:rFonts w:hint="eastAsia" w:ascii="宋体" w:hAnsi="宋体"/>
          <w:szCs w:val="21"/>
        </w:rPr>
        <w:t>及其作业人员</w:t>
      </w:r>
      <w:r>
        <w:rPr>
          <w:rFonts w:ascii="宋体" w:hAnsi="宋体"/>
          <w:szCs w:val="21"/>
        </w:rPr>
        <w:t>存在任何的违规或违约情形，承包商同意并接受甲方提出的</w:t>
      </w:r>
      <w:r>
        <w:rPr>
          <w:rFonts w:hint="eastAsia" w:ascii="宋体" w:hAnsi="宋体"/>
          <w:szCs w:val="21"/>
        </w:rPr>
        <w:t>限期</w:t>
      </w:r>
      <w:r>
        <w:rPr>
          <w:rFonts w:ascii="宋体" w:hAnsi="宋体"/>
          <w:szCs w:val="21"/>
        </w:rPr>
        <w:t>整改要求；如承包商</w:t>
      </w:r>
      <w:r>
        <w:rPr>
          <w:rFonts w:hint="eastAsia" w:ascii="宋体" w:hAnsi="宋体"/>
          <w:szCs w:val="21"/>
        </w:rPr>
        <w:t>违反本安全协议约定或发生安全生产、环境保护、人身健康和财产安全相关的事故事件，</w:t>
      </w:r>
      <w:r>
        <w:rPr>
          <w:rFonts w:ascii="宋体" w:hAnsi="宋体"/>
          <w:szCs w:val="21"/>
        </w:rPr>
        <w:t>由此产生</w:t>
      </w:r>
      <w:r>
        <w:rPr>
          <w:rFonts w:hint="eastAsia" w:ascii="宋体" w:hAnsi="宋体"/>
          <w:szCs w:val="21"/>
        </w:rPr>
        <w:t>的</w:t>
      </w:r>
      <w:r>
        <w:rPr>
          <w:rFonts w:ascii="宋体" w:hAnsi="宋体"/>
          <w:szCs w:val="21"/>
        </w:rPr>
        <w:t>纠纷、后果和责任由</w:t>
      </w:r>
      <w:r>
        <w:rPr>
          <w:rFonts w:hint="eastAsia" w:ascii="宋体" w:hAnsi="宋体"/>
          <w:szCs w:val="21"/>
        </w:rPr>
        <w:t>乙方</w:t>
      </w:r>
      <w:r>
        <w:rPr>
          <w:rFonts w:ascii="宋体" w:hAnsi="宋体"/>
          <w:szCs w:val="21"/>
        </w:rPr>
        <w:t>承担</w:t>
      </w:r>
      <w:r>
        <w:rPr>
          <w:rFonts w:hint="eastAsia" w:ascii="宋体" w:hAnsi="宋体"/>
          <w:szCs w:val="21"/>
        </w:rPr>
        <w:t>相应责任；</w:t>
      </w:r>
    </w:p>
    <w:p w14:paraId="62F78011">
      <w:pPr>
        <w:numPr>
          <w:ilvl w:val="0"/>
          <w:numId w:val="47"/>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及其作业人员有责任维护作业区域和/或厂（场）内设备、设施等甲方或甲方关联公司物品的安全，因承包商或其作业人员原因造成甲方或第三方物品的损坏、灭失或他人人身伤亡的，依据调查责任划分相应的赔偿责任；</w:t>
      </w:r>
    </w:p>
    <w:p w14:paraId="53FCF375">
      <w:pPr>
        <w:widowControl/>
        <w:numPr>
          <w:ilvl w:val="0"/>
          <w:numId w:val="47"/>
        </w:numPr>
        <w:tabs>
          <w:tab w:val="left" w:pos="567"/>
        </w:tabs>
        <w:adjustRightInd w:val="0"/>
        <w:snapToGrid w:val="0"/>
        <w:spacing w:line="320" w:lineRule="exact"/>
        <w:ind w:left="0" w:firstLine="0"/>
        <w:jc w:val="left"/>
        <w:rPr>
          <w:rFonts w:ascii="宋体" w:hAnsi="宋体"/>
          <w:szCs w:val="21"/>
        </w:rPr>
      </w:pPr>
      <w:r>
        <w:rPr>
          <w:rFonts w:ascii="宋体" w:hAnsi="宋体"/>
          <w:szCs w:val="21"/>
        </w:rPr>
        <w:t>甲方有权依据</w:t>
      </w:r>
      <w:r>
        <w:rPr>
          <w:rFonts w:hint="eastAsia" w:ascii="宋体" w:hAnsi="宋体"/>
          <w:szCs w:val="21"/>
        </w:rPr>
        <w:t>约定在</w:t>
      </w:r>
      <w:r>
        <w:rPr>
          <w:rFonts w:ascii="宋体" w:hAnsi="宋体"/>
          <w:szCs w:val="21"/>
        </w:rPr>
        <w:t>承包商的</w:t>
      </w:r>
      <w:r>
        <w:rPr>
          <w:rFonts w:hint="eastAsia" w:ascii="宋体" w:hAnsi="宋体"/>
          <w:szCs w:val="21"/>
        </w:rPr>
        <w:t>合同应付款项或</w:t>
      </w:r>
      <w:r>
        <w:rPr>
          <w:rFonts w:ascii="宋体" w:hAnsi="宋体"/>
          <w:szCs w:val="21"/>
        </w:rPr>
        <w:t>履约保证金（如</w:t>
      </w:r>
      <w:r>
        <w:rPr>
          <w:rFonts w:hint="eastAsia" w:ascii="宋体" w:hAnsi="宋体"/>
          <w:szCs w:val="21"/>
        </w:rPr>
        <w:t>有</w:t>
      </w:r>
      <w:r>
        <w:rPr>
          <w:rFonts w:ascii="宋体" w:hAnsi="宋体"/>
          <w:szCs w:val="21"/>
        </w:rPr>
        <w:t>）</w:t>
      </w:r>
      <w:r>
        <w:rPr>
          <w:rFonts w:hint="eastAsia" w:ascii="宋体" w:hAnsi="宋体"/>
          <w:szCs w:val="21"/>
        </w:rPr>
        <w:t>中扣收承包商应当支付的</w:t>
      </w:r>
      <w:r>
        <w:rPr>
          <w:rFonts w:ascii="宋体" w:hAnsi="宋体"/>
          <w:szCs w:val="21"/>
        </w:rPr>
        <w:t>违约金</w:t>
      </w:r>
      <w:r>
        <w:rPr>
          <w:rFonts w:hint="eastAsia" w:ascii="宋体" w:hAnsi="宋体"/>
          <w:szCs w:val="21"/>
        </w:rPr>
        <w:t>、赔偿金等</w:t>
      </w:r>
      <w:r>
        <w:rPr>
          <w:rFonts w:ascii="宋体" w:hAnsi="宋体"/>
          <w:szCs w:val="21"/>
        </w:rPr>
        <w:t>；如出现多次违规或严重违规、违约情形，甲方有权根据</w:t>
      </w:r>
      <w:r>
        <w:rPr>
          <w:rFonts w:hint="eastAsia" w:ascii="宋体" w:hAnsi="宋体"/>
          <w:szCs w:val="21"/>
        </w:rPr>
        <w:t>自行</w:t>
      </w:r>
      <w:r>
        <w:rPr>
          <w:rFonts w:ascii="宋体" w:hAnsi="宋体"/>
          <w:szCs w:val="21"/>
        </w:rPr>
        <w:t>判断完成违规</w:t>
      </w:r>
      <w:r>
        <w:rPr>
          <w:rFonts w:hint="eastAsia" w:ascii="宋体" w:hAnsi="宋体"/>
          <w:szCs w:val="21"/>
        </w:rPr>
        <w:t>调查处理</w:t>
      </w:r>
      <w:r>
        <w:rPr>
          <w:rFonts w:ascii="宋体" w:hAnsi="宋体"/>
          <w:szCs w:val="21"/>
        </w:rPr>
        <w:t>报告</w:t>
      </w:r>
      <w:r>
        <w:rPr>
          <w:rFonts w:hint="eastAsia" w:ascii="宋体" w:hAnsi="宋体"/>
          <w:szCs w:val="21"/>
        </w:rPr>
        <w:t>。承包商同一人员违反甲方安全规定的行为，承包商应当给予相应的处理，且甲方有权监督：第一次为口头警告；第二次为书面警告，并要求承包商对其作业人员重新培训和重新获取《承包商安全卡》；第三次发生，承包商应要求其作业人员立即离厂（场）并永久禁止进入甲方厂（场）所。承包商作业人员违反甲方安全规定的违约行为，视严重程度将违约行为分为A</w:t>
      </w:r>
      <w:r>
        <w:rPr>
          <w:rFonts w:ascii="宋体" w:hAnsi="宋体"/>
          <w:szCs w:val="21"/>
        </w:rPr>
        <w:t>/B/C/D</w:t>
      </w:r>
      <w:r>
        <w:rPr>
          <w:rFonts w:hint="eastAsia" w:ascii="宋体" w:hAnsi="宋体"/>
          <w:szCs w:val="21"/>
        </w:rPr>
        <w:t>四类，承包商应当承担的违约金分别为A类（严重违约）:</w:t>
      </w:r>
      <w:r>
        <w:rPr>
          <w:rFonts w:ascii="宋体" w:hAnsi="宋体"/>
          <w:szCs w:val="21"/>
        </w:rPr>
        <w:t>2000</w:t>
      </w:r>
      <w:r>
        <w:rPr>
          <w:rFonts w:hint="eastAsia" w:ascii="宋体" w:hAnsi="宋体"/>
          <w:szCs w:val="21"/>
        </w:rPr>
        <w:t>元，如脱岗、睡岗和酒后上岗等；</w:t>
      </w:r>
      <w:r>
        <w:rPr>
          <w:rFonts w:ascii="宋体" w:hAnsi="宋体"/>
          <w:szCs w:val="21"/>
        </w:rPr>
        <w:t>B</w:t>
      </w:r>
      <w:r>
        <w:rPr>
          <w:rFonts w:hint="eastAsia" w:ascii="宋体" w:hAnsi="宋体"/>
          <w:szCs w:val="21"/>
        </w:rPr>
        <w:t>类（较重违约）：1</w:t>
      </w:r>
      <w:r>
        <w:rPr>
          <w:rFonts w:ascii="宋体" w:hAnsi="宋体"/>
          <w:szCs w:val="21"/>
        </w:rPr>
        <w:t>000</w:t>
      </w:r>
      <w:r>
        <w:rPr>
          <w:rFonts w:hint="eastAsia" w:ascii="宋体" w:hAnsi="宋体"/>
          <w:szCs w:val="21"/>
        </w:rPr>
        <w:t>元，如用手代替工具进行作业，用手部/足部等身体部位碰触旋转部位等；</w:t>
      </w:r>
      <w:r>
        <w:rPr>
          <w:rFonts w:ascii="宋体" w:hAnsi="宋体"/>
          <w:szCs w:val="21"/>
        </w:rPr>
        <w:t>C</w:t>
      </w:r>
      <w:r>
        <w:rPr>
          <w:rFonts w:hint="eastAsia" w:ascii="宋体" w:hAnsi="宋体"/>
          <w:szCs w:val="21"/>
        </w:rPr>
        <w:t>类（一般违约）：4</w:t>
      </w:r>
      <w:r>
        <w:rPr>
          <w:rFonts w:ascii="宋体" w:hAnsi="宋体"/>
          <w:szCs w:val="21"/>
        </w:rPr>
        <w:t>00</w:t>
      </w:r>
      <w:r>
        <w:rPr>
          <w:rFonts w:hint="eastAsia" w:ascii="宋体" w:hAnsi="宋体"/>
          <w:szCs w:val="21"/>
        </w:rPr>
        <w:t>元，如</w:t>
      </w:r>
      <w:r>
        <w:rPr>
          <w:rFonts w:ascii="宋体" w:hAnsi="宋体"/>
          <w:szCs w:val="21"/>
        </w:rPr>
        <w:t>未正确佩戴、使用劳动防护用品进入生产作业场所</w:t>
      </w:r>
      <w:r>
        <w:rPr>
          <w:rFonts w:hint="eastAsia" w:ascii="宋体" w:hAnsi="宋体"/>
          <w:szCs w:val="21"/>
        </w:rPr>
        <w:t>等；</w:t>
      </w:r>
      <w:r>
        <w:rPr>
          <w:rFonts w:ascii="宋体" w:hAnsi="宋体"/>
          <w:szCs w:val="21"/>
        </w:rPr>
        <w:t>D</w:t>
      </w:r>
      <w:r>
        <w:rPr>
          <w:rFonts w:hint="eastAsia" w:ascii="宋体" w:hAnsi="宋体"/>
          <w:szCs w:val="21"/>
        </w:rPr>
        <w:t>类（其他违约）：2</w:t>
      </w:r>
      <w:r>
        <w:rPr>
          <w:rFonts w:ascii="宋体" w:hAnsi="宋体"/>
          <w:szCs w:val="21"/>
        </w:rPr>
        <w:t>00</w:t>
      </w:r>
      <w:r>
        <w:rPr>
          <w:rFonts w:hint="eastAsia" w:ascii="宋体" w:hAnsi="宋体"/>
          <w:szCs w:val="21"/>
        </w:rPr>
        <w:t>元，如进入厂区不佩戴安全卡或伪造安全卡等。同时，高风险承包商公司以违约金A/B类总额的1%进行累积计分（C/D类不累计积分），低风险承包商公司以A/B类违约金总额的3%进行累积计分（C/D类不累计积分），当计分累积到30分，承包商应停工进行全面的培训及安全检查；当计分累积到60分，承包商应配合甲方制定停工安全整改计划；当计分累积到100分，承包商将被纳入黑名单管理。对于提供辅助业务服务、叉车/装卸业务服务的，则该辅助业务服务、叉车/装卸业务服务独立计分。承包商的违约金缴纳可以延迟3个月（如果项目结束期在3个月内，则延迟至项目结束），在延迟缴纳期内如果该承包商没有重复发生同一违规行为的，可以经甲方同意后，免除相应的违约金，但累积的计分不予取消。对同一违规行为反复发生且</w:t>
      </w:r>
      <w:r>
        <w:rPr>
          <w:rFonts w:ascii="宋体" w:hAnsi="宋体"/>
          <w:szCs w:val="21"/>
        </w:rPr>
        <w:t>情节严重的（</w:t>
      </w:r>
      <w:r>
        <w:rPr>
          <w:rFonts w:hint="eastAsia" w:ascii="宋体" w:hAnsi="宋体"/>
          <w:szCs w:val="21"/>
        </w:rPr>
        <w:t>甲方</w:t>
      </w:r>
      <w:r>
        <w:rPr>
          <w:rFonts w:ascii="宋体" w:hAnsi="宋体"/>
          <w:szCs w:val="21"/>
        </w:rPr>
        <w:t>以实际情况自行判断）</w:t>
      </w:r>
      <w:r>
        <w:rPr>
          <w:rFonts w:hint="eastAsia" w:ascii="宋体" w:hAnsi="宋体"/>
          <w:szCs w:val="21"/>
        </w:rPr>
        <w:t>，甲方</w:t>
      </w:r>
      <w:r>
        <w:rPr>
          <w:rFonts w:ascii="宋体" w:hAnsi="宋体"/>
          <w:szCs w:val="21"/>
        </w:rPr>
        <w:t>有权</w:t>
      </w:r>
      <w:r>
        <w:rPr>
          <w:rFonts w:hint="eastAsia" w:ascii="宋体" w:hAnsi="宋体"/>
          <w:szCs w:val="21"/>
        </w:rPr>
        <w:t>取消</w:t>
      </w:r>
      <w:r>
        <w:rPr>
          <w:rFonts w:ascii="宋体" w:hAnsi="宋体"/>
          <w:szCs w:val="21"/>
        </w:rPr>
        <w:t>承包商参加</w:t>
      </w:r>
      <w:r>
        <w:rPr>
          <w:rFonts w:hint="eastAsia" w:ascii="宋体" w:hAnsi="宋体"/>
          <w:szCs w:val="21"/>
        </w:rPr>
        <w:t>甲方及关联公司正在进行中或未来的招标采购项目的参与资格并划入承包商黑名单；</w:t>
      </w:r>
      <w:r>
        <w:rPr>
          <w:rFonts w:ascii="宋体" w:hAnsi="宋体"/>
          <w:szCs w:val="21"/>
        </w:rPr>
        <w:t>同时，甲方</w:t>
      </w:r>
      <w:r>
        <w:rPr>
          <w:rFonts w:hint="eastAsia" w:ascii="宋体" w:hAnsi="宋体"/>
          <w:szCs w:val="21"/>
        </w:rPr>
        <w:t>有权按照本协议项下承包商违规或违约情形，选择是否</w:t>
      </w:r>
      <w:r>
        <w:rPr>
          <w:rFonts w:ascii="宋体" w:hAnsi="宋体"/>
          <w:szCs w:val="21"/>
        </w:rPr>
        <w:t>单方解除</w:t>
      </w:r>
      <w:r>
        <w:rPr>
          <w:rFonts w:hint="eastAsia" w:ascii="宋体" w:hAnsi="宋体"/>
          <w:szCs w:val="21"/>
        </w:rPr>
        <w:t>相应合作</w:t>
      </w:r>
      <w:r>
        <w:rPr>
          <w:rFonts w:ascii="宋体" w:hAnsi="宋体"/>
          <w:szCs w:val="21"/>
        </w:rPr>
        <w:t>合同；</w:t>
      </w:r>
    </w:p>
    <w:p w14:paraId="06116305">
      <w:pPr>
        <w:numPr>
          <w:ilvl w:val="0"/>
          <w:numId w:val="47"/>
        </w:numPr>
        <w:tabs>
          <w:tab w:val="left" w:pos="567"/>
        </w:tabs>
        <w:adjustRightInd w:val="0"/>
        <w:snapToGrid w:val="0"/>
        <w:spacing w:line="320" w:lineRule="exact"/>
        <w:ind w:left="0" w:firstLine="0"/>
        <w:rPr>
          <w:rFonts w:ascii="宋体" w:hAnsi="宋体"/>
          <w:szCs w:val="21"/>
        </w:rPr>
      </w:pPr>
      <w:r>
        <w:rPr>
          <w:rFonts w:hint="eastAsia" w:ascii="宋体" w:hAnsi="宋体"/>
          <w:szCs w:val="21"/>
        </w:rPr>
        <w:t>若前述口头/书面警告、违约金等处理不足以补偿甲方遭受的全部损失的，对于甲方和/或甲方关联公司遭受的损失（包括但不限于由此造成的诉讼费、差旅费、律师费、保全费、保全担保费、鉴定费、公证费等），甲方有权进一步向乙方追偿；</w:t>
      </w:r>
    </w:p>
    <w:p w14:paraId="5639312A">
      <w:pPr>
        <w:numPr>
          <w:ilvl w:val="0"/>
          <w:numId w:val="47"/>
        </w:numPr>
        <w:tabs>
          <w:tab w:val="left" w:pos="567"/>
        </w:tabs>
        <w:adjustRightInd w:val="0"/>
        <w:snapToGrid w:val="0"/>
        <w:spacing w:line="320" w:lineRule="exact"/>
        <w:ind w:left="0" w:firstLine="0"/>
        <w:rPr>
          <w:rFonts w:ascii="宋体" w:hAnsi="宋体"/>
          <w:szCs w:val="21"/>
        </w:rPr>
      </w:pPr>
      <w:r>
        <w:rPr>
          <w:rFonts w:hint="eastAsia" w:ascii="宋体" w:hAnsi="宋体"/>
          <w:szCs w:val="21"/>
        </w:rPr>
        <w:t>因乙方违反本协议约定或发生事故事件，甲方和/或甲方关联公司被当地政府有关管理部门进行处罚的，根据政府有关部门调查，甲乙双方分别承担相应的处罚费用及相应责任。</w:t>
      </w:r>
    </w:p>
    <w:p w14:paraId="3BA6DE29">
      <w:pPr>
        <w:numPr>
          <w:ilvl w:val="0"/>
          <w:numId w:val="15"/>
        </w:numPr>
        <w:adjustRightInd w:val="0"/>
        <w:snapToGrid w:val="0"/>
        <w:spacing w:line="320" w:lineRule="exact"/>
        <w:ind w:left="0" w:firstLine="0"/>
        <w:rPr>
          <w:rFonts w:ascii="宋体" w:hAnsi="宋体"/>
          <w:szCs w:val="21"/>
        </w:rPr>
      </w:pPr>
      <w:r>
        <w:rPr>
          <w:rFonts w:hint="eastAsia" w:ascii="宋体" w:hAnsi="宋体"/>
          <w:b/>
          <w:bCs/>
          <w:szCs w:val="21"/>
        </w:rPr>
        <w:t>名词解释</w:t>
      </w:r>
    </w:p>
    <w:p w14:paraId="38AEAAE0">
      <w:pPr>
        <w:numPr>
          <w:ilvl w:val="0"/>
          <w:numId w:val="48"/>
        </w:numPr>
        <w:tabs>
          <w:tab w:val="left" w:pos="567"/>
        </w:tabs>
        <w:adjustRightInd w:val="0"/>
        <w:snapToGrid w:val="0"/>
        <w:spacing w:line="320" w:lineRule="exact"/>
        <w:ind w:left="0" w:firstLine="0"/>
        <w:rPr>
          <w:rFonts w:ascii="宋体" w:hAnsi="宋体"/>
          <w:szCs w:val="21"/>
        </w:rPr>
      </w:pPr>
      <w:r>
        <w:rPr>
          <w:rFonts w:hint="eastAsia" w:ascii="宋体" w:hAnsi="宋体"/>
          <w:szCs w:val="21"/>
        </w:rPr>
        <w:t>厂（场）内高风险承包商：所有从事高风险作业的承包商，无论人数、时长均划定为高风险承包商；从事低风险作业但同时满足人数≥2</w:t>
      </w:r>
      <w:r>
        <w:rPr>
          <w:rFonts w:ascii="宋体" w:hAnsi="宋体"/>
          <w:szCs w:val="21"/>
        </w:rPr>
        <w:t>0人且时长≥4周的承包商也划定为高风险承包商</w:t>
      </w:r>
      <w:r>
        <w:rPr>
          <w:rFonts w:hint="eastAsia" w:ascii="宋体" w:hAnsi="宋体"/>
          <w:szCs w:val="21"/>
        </w:rPr>
        <w:t>；</w:t>
      </w:r>
    </w:p>
    <w:p w14:paraId="685AC5ED">
      <w:pPr>
        <w:numPr>
          <w:ilvl w:val="0"/>
          <w:numId w:val="49"/>
        </w:numPr>
        <w:tabs>
          <w:tab w:val="left" w:pos="709"/>
        </w:tabs>
        <w:adjustRightInd w:val="0"/>
        <w:snapToGrid w:val="0"/>
        <w:spacing w:line="320" w:lineRule="exact"/>
        <w:ind w:left="0" w:firstLine="0"/>
        <w:rPr>
          <w:rFonts w:ascii="宋体" w:hAnsi="宋体"/>
          <w:szCs w:val="21"/>
        </w:rPr>
      </w:pPr>
      <w:r>
        <w:rPr>
          <w:rFonts w:hint="eastAsia" w:ascii="宋体" w:hAnsi="宋体"/>
          <w:szCs w:val="21"/>
        </w:rPr>
        <w:t>高风险作业（包括但不限于）：土建工程、设备安装、高处作业、动火作业、有害物质管线断开、电气作业、上锁挂牌、危险化学品操作、拆除作业、挖掘作业、有限空间进入、复杂吊装、特种设备使用等；</w:t>
      </w:r>
    </w:p>
    <w:p w14:paraId="230630DE">
      <w:pPr>
        <w:numPr>
          <w:ilvl w:val="0"/>
          <w:numId w:val="49"/>
        </w:numPr>
        <w:tabs>
          <w:tab w:val="left" w:pos="709"/>
        </w:tabs>
        <w:adjustRightInd w:val="0"/>
        <w:snapToGrid w:val="0"/>
        <w:spacing w:line="320" w:lineRule="exact"/>
        <w:ind w:left="0" w:firstLine="0"/>
        <w:rPr>
          <w:rFonts w:ascii="宋体" w:hAnsi="宋体"/>
          <w:szCs w:val="21"/>
        </w:rPr>
      </w:pPr>
      <w:r>
        <w:rPr>
          <w:rFonts w:hint="eastAsia" w:ascii="宋体" w:hAnsi="宋体"/>
          <w:szCs w:val="21"/>
        </w:rPr>
        <w:t>低风险作业（包括但不限于）：保卫、保洁、食堂、绿化、手工处理一些较轻质材料、手工打包/贴标签等。</w:t>
      </w:r>
    </w:p>
    <w:p w14:paraId="72F3CB57">
      <w:pPr>
        <w:numPr>
          <w:ilvl w:val="0"/>
          <w:numId w:val="48"/>
        </w:numPr>
        <w:tabs>
          <w:tab w:val="left" w:pos="567"/>
        </w:tabs>
        <w:adjustRightInd w:val="0"/>
        <w:snapToGrid w:val="0"/>
        <w:spacing w:line="320" w:lineRule="exact"/>
        <w:ind w:left="0" w:firstLine="0"/>
        <w:rPr>
          <w:rFonts w:ascii="宋体" w:hAnsi="宋体"/>
          <w:szCs w:val="21"/>
        </w:rPr>
      </w:pPr>
      <w:r>
        <w:rPr>
          <w:rFonts w:hint="eastAsia" w:ascii="宋体" w:hAnsi="宋体"/>
          <w:szCs w:val="21"/>
        </w:rPr>
        <w:t>厂（场）内低风险承包商：从事低风险作业不同时满足人数≥</w:t>
      </w:r>
      <w:r>
        <w:rPr>
          <w:rFonts w:ascii="宋体" w:hAnsi="宋体"/>
          <w:szCs w:val="21"/>
        </w:rPr>
        <w:t>20人且时长≥4周的承包商</w:t>
      </w:r>
      <w:r>
        <w:rPr>
          <w:rFonts w:hint="eastAsia" w:ascii="宋体" w:hAnsi="宋体"/>
          <w:szCs w:val="21"/>
        </w:rPr>
        <w:t>。</w:t>
      </w:r>
    </w:p>
    <w:p w14:paraId="0791FB0E">
      <w:pPr>
        <w:spacing w:line="440" w:lineRule="exact"/>
        <w:rPr>
          <w:rFonts w:ascii="宋体" w:hAnsi="宋体" w:eastAsia="宋体" w:cs="Arial"/>
          <w:sz w:val="24"/>
          <w:szCs w:val="24"/>
        </w:rPr>
      </w:pPr>
    </w:p>
    <w:p w14:paraId="319F106A">
      <w:pPr>
        <w:tabs>
          <w:tab w:val="left" w:pos="567"/>
        </w:tabs>
        <w:adjustRightInd w:val="0"/>
        <w:snapToGrid w:val="0"/>
        <w:spacing w:line="320" w:lineRule="exact"/>
        <w:rPr>
          <w:rFonts w:ascii="宋体" w:hAnsi="宋体"/>
          <w:szCs w:val="21"/>
        </w:rPr>
      </w:pPr>
      <w:r>
        <w:rPr>
          <w:rFonts w:hint="eastAsia" w:ascii="宋体" w:hAnsi="宋体"/>
          <w:szCs w:val="21"/>
        </w:rPr>
        <w:t>33.本协议作为甲乙双方《XXXXXXXXXXXXXXX合同》的附件，与《XXXXXXXXXXXXXXX合同》具有同等法律效力。</w:t>
      </w:r>
    </w:p>
    <w:p w14:paraId="5F992BB3">
      <w:pPr>
        <w:tabs>
          <w:tab w:val="left" w:pos="567"/>
        </w:tabs>
        <w:adjustRightInd w:val="0"/>
        <w:snapToGrid w:val="0"/>
        <w:spacing w:line="320" w:lineRule="exact"/>
        <w:rPr>
          <w:rFonts w:ascii="宋体" w:hAnsi="宋体"/>
          <w:szCs w:val="21"/>
        </w:rPr>
      </w:pPr>
    </w:p>
    <w:p w14:paraId="38865B4F">
      <w:pPr>
        <w:snapToGrid w:val="0"/>
        <w:spacing w:line="360" w:lineRule="auto"/>
        <w:rPr>
          <w:rFonts w:ascii="宋体"/>
          <w:b/>
          <w:sz w:val="24"/>
        </w:rPr>
      </w:pPr>
      <w:r>
        <w:rPr>
          <w:rFonts w:hint="eastAsia" w:ascii="宋体" w:hAnsi="宋体"/>
          <w:b/>
          <w:sz w:val="24"/>
        </w:rPr>
        <w:t>甲方名称：</w:t>
      </w:r>
      <w:r>
        <w:rPr>
          <w:rFonts w:hint="eastAsia" w:ascii="宋体" w:hAnsi="宋体" w:cs="Arial"/>
          <w:b/>
          <w:sz w:val="24"/>
          <w:u w:val="single"/>
        </w:rPr>
        <w:t>天津滨海新区雪花啤酒有限公司</w:t>
      </w:r>
      <w:r>
        <w:rPr>
          <w:rFonts w:hint="eastAsia" w:ascii="宋体" w:hAnsi="宋体"/>
          <w:b/>
          <w:sz w:val="24"/>
          <w:u w:val="single"/>
        </w:rPr>
        <w:t xml:space="preserve"> </w:t>
      </w:r>
      <w:r>
        <w:rPr>
          <w:rFonts w:hint="eastAsia" w:ascii="宋体" w:hAnsi="宋体"/>
          <w:b/>
          <w:sz w:val="24"/>
        </w:rPr>
        <w:t xml:space="preserve">  </w:t>
      </w:r>
      <w:r>
        <w:rPr>
          <w:rFonts w:hint="eastAsia" w:ascii="宋体"/>
          <w:b/>
          <w:sz w:val="24"/>
        </w:rPr>
        <w:t xml:space="preserve">                 </w:t>
      </w:r>
      <w:r>
        <w:rPr>
          <w:rFonts w:hint="eastAsia" w:ascii="宋体" w:hAnsi="宋体"/>
          <w:b/>
          <w:sz w:val="24"/>
        </w:rPr>
        <w:t>年    月    日</w:t>
      </w:r>
    </w:p>
    <w:p w14:paraId="328F2A99">
      <w:pPr>
        <w:snapToGrid w:val="0"/>
        <w:spacing w:line="360" w:lineRule="auto"/>
        <w:rPr>
          <w:rFonts w:ascii="宋体" w:hAnsi="宋体"/>
          <w:b/>
          <w:sz w:val="24"/>
        </w:rPr>
      </w:pPr>
    </w:p>
    <w:p w14:paraId="0AB65B9C">
      <w:pPr>
        <w:snapToGrid w:val="0"/>
        <w:spacing w:line="360" w:lineRule="auto"/>
        <w:rPr>
          <w:rFonts w:ascii="宋体" w:hAnsi="宋体"/>
          <w:b/>
          <w:sz w:val="24"/>
        </w:rPr>
      </w:pPr>
      <w:r>
        <w:rPr>
          <w:rFonts w:hint="eastAsia" w:ascii="宋体" w:hAnsi="宋体"/>
          <w:b/>
          <w:sz w:val="24"/>
        </w:rPr>
        <w:t>乙方名称：</w:t>
      </w:r>
      <w:r>
        <w:rPr>
          <w:rFonts w:hint="eastAsia" w:ascii="宋体" w:hAnsi="宋体" w:cs="Arial"/>
          <w:b/>
          <w:sz w:val="24"/>
          <w:szCs w:val="21"/>
          <w:u w:val="single"/>
        </w:rPr>
        <w:t xml:space="preserve">  </w:t>
      </w:r>
      <w:r>
        <w:rPr>
          <w:rFonts w:ascii="宋体" w:hAnsi="宋体" w:cs="Arial"/>
          <w:b/>
          <w:sz w:val="24"/>
          <w:szCs w:val="21"/>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rPr>
        <w:t xml:space="preserve">                   年    月    日</w:t>
      </w:r>
    </w:p>
    <w:p w14:paraId="5E967BA1">
      <w:pPr>
        <w:spacing w:line="440" w:lineRule="exact"/>
        <w:rPr>
          <w:rFonts w:ascii="宋体" w:hAnsi="宋体" w:eastAsia="宋体"/>
          <w:sz w:val="24"/>
          <w:szCs w:val="24"/>
        </w:rPr>
      </w:pPr>
      <w:bookmarkStart w:id="48" w:name="_GoBack"/>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A41DB"/>
    <w:multiLevelType w:val="singleLevel"/>
    <w:tmpl w:val="928A41DB"/>
    <w:lvl w:ilvl="0" w:tentative="0">
      <w:start w:val="1"/>
      <w:numFmt w:val="chineseCounting"/>
      <w:suff w:val="nothing"/>
      <w:lvlText w:val="（%1）"/>
      <w:lvlJc w:val="left"/>
      <w:rPr>
        <w:rFonts w:hint="eastAsia"/>
      </w:rPr>
    </w:lvl>
  </w:abstractNum>
  <w:abstractNum w:abstractNumId="1">
    <w:nsid w:val="ADA1CE44"/>
    <w:multiLevelType w:val="singleLevel"/>
    <w:tmpl w:val="ADA1CE44"/>
    <w:lvl w:ilvl="0" w:tentative="0">
      <w:start w:val="1"/>
      <w:numFmt w:val="chineseCounting"/>
      <w:suff w:val="nothing"/>
      <w:lvlText w:val="%1、"/>
      <w:lvlJc w:val="left"/>
      <w:rPr>
        <w:rFonts w:hint="eastAsia"/>
      </w:rPr>
    </w:lvl>
  </w:abstractNum>
  <w:abstractNum w:abstractNumId="2">
    <w:nsid w:val="02E94E7A"/>
    <w:multiLevelType w:val="multilevel"/>
    <w:tmpl w:val="02E94E7A"/>
    <w:lvl w:ilvl="0" w:tentative="0">
      <w:start w:val="1"/>
      <w:numFmt w:val="decimal"/>
      <w:lvlText w:val="1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3ED5B0E"/>
    <w:multiLevelType w:val="multilevel"/>
    <w:tmpl w:val="03ED5B0E"/>
    <w:lvl w:ilvl="0" w:tentative="0">
      <w:start w:val="1"/>
      <w:numFmt w:val="decimal"/>
      <w:lvlText w:val="1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764306A"/>
    <w:multiLevelType w:val="multilevel"/>
    <w:tmpl w:val="0764306A"/>
    <w:lvl w:ilvl="0" w:tentative="0">
      <w:start w:val="1"/>
      <w:numFmt w:val="decimal"/>
      <w:lvlText w:val="2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7724BF7"/>
    <w:multiLevelType w:val="multilevel"/>
    <w:tmpl w:val="07724BF7"/>
    <w:lvl w:ilvl="0" w:tentative="0">
      <w:start w:val="1"/>
      <w:numFmt w:val="decimal"/>
      <w:lvlText w:val="11.%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88332BF"/>
    <w:multiLevelType w:val="multilevel"/>
    <w:tmpl w:val="088332BF"/>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234050"/>
    <w:multiLevelType w:val="multilevel"/>
    <w:tmpl w:val="0C234050"/>
    <w:lvl w:ilvl="0" w:tentative="0">
      <w:start w:val="1"/>
      <w:numFmt w:val="decimal"/>
      <w:lvlText w:val="1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FAB5377"/>
    <w:multiLevelType w:val="multilevel"/>
    <w:tmpl w:val="0FAB5377"/>
    <w:lvl w:ilvl="0" w:tentative="0">
      <w:start w:val="1"/>
      <w:numFmt w:val="decimal"/>
      <w:lvlText w:val="6.%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0F83833"/>
    <w:multiLevelType w:val="multilevel"/>
    <w:tmpl w:val="10F83833"/>
    <w:lvl w:ilvl="0" w:tentative="0">
      <w:start w:val="1"/>
      <w:numFmt w:val="decimal"/>
      <w:lvlText w:val="1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236648B"/>
    <w:multiLevelType w:val="multilevel"/>
    <w:tmpl w:val="1236648B"/>
    <w:lvl w:ilvl="0" w:tentative="0">
      <w:start w:val="1"/>
      <w:numFmt w:val="decimal"/>
      <w:lvlText w:val="26.%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3D63C6F"/>
    <w:multiLevelType w:val="multilevel"/>
    <w:tmpl w:val="13D63C6F"/>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13DC20B4"/>
    <w:multiLevelType w:val="multilevel"/>
    <w:tmpl w:val="13DC20B4"/>
    <w:lvl w:ilvl="0" w:tentative="0">
      <w:start w:val="1"/>
      <w:numFmt w:val="decimal"/>
      <w:lvlText w:val="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A9F77DB"/>
    <w:multiLevelType w:val="multilevel"/>
    <w:tmpl w:val="1A9F77DB"/>
    <w:lvl w:ilvl="0" w:tentative="0">
      <w:start w:val="1"/>
      <w:numFmt w:val="japaneseCounting"/>
      <w:pStyle w:val="33"/>
      <w:lvlText w:val="第%1章"/>
      <w:lvlJc w:val="left"/>
      <w:pPr>
        <w:ind w:left="1080" w:hanging="1080"/>
      </w:pPr>
      <w:rPr>
        <w:rFonts w:hint="eastAsia" w:ascii="黑体" w:hAnsi="黑体" w:eastAsia="黑体"/>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B234FEF"/>
    <w:multiLevelType w:val="multilevel"/>
    <w:tmpl w:val="1B234FEF"/>
    <w:lvl w:ilvl="0" w:tentative="0">
      <w:start w:val="1"/>
      <w:numFmt w:val="decimal"/>
      <w:lvlText w:val="31.%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D767533"/>
    <w:multiLevelType w:val="multilevel"/>
    <w:tmpl w:val="1D767533"/>
    <w:lvl w:ilvl="0" w:tentative="0">
      <w:start w:val="1"/>
      <w:numFmt w:val="decimal"/>
      <w:lvlText w:val="15.2.%1"/>
      <w:lvlJc w:val="left"/>
      <w:pPr>
        <w:ind w:left="1215" w:hanging="360"/>
      </w:pPr>
      <w:rPr>
        <w:rFonts w:hint="eastAsia"/>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rPr>
    </w:lvl>
    <w:lvl w:ilvl="3" w:tentative="0">
      <w:start w:val="1"/>
      <w:numFmt w:val="bullet"/>
      <w:lvlText w:val=""/>
      <w:lvlJc w:val="left"/>
      <w:pPr>
        <w:ind w:left="3375" w:hanging="360"/>
      </w:pPr>
      <w:rPr>
        <w:rFonts w:hint="default" w:ascii="Symbol" w:hAnsi="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rPr>
    </w:lvl>
    <w:lvl w:ilvl="6" w:tentative="0">
      <w:start w:val="1"/>
      <w:numFmt w:val="bullet"/>
      <w:lvlText w:val=""/>
      <w:lvlJc w:val="left"/>
      <w:pPr>
        <w:ind w:left="5535" w:hanging="360"/>
      </w:pPr>
      <w:rPr>
        <w:rFonts w:hint="default" w:ascii="Symbol" w:hAnsi="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rPr>
    </w:lvl>
  </w:abstractNum>
  <w:abstractNum w:abstractNumId="16">
    <w:nsid w:val="200773B2"/>
    <w:multiLevelType w:val="multilevel"/>
    <w:tmpl w:val="200773B2"/>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220B307B"/>
    <w:multiLevelType w:val="multilevel"/>
    <w:tmpl w:val="220B307B"/>
    <w:lvl w:ilvl="0" w:tentative="0">
      <w:start w:val="1"/>
      <w:numFmt w:val="decimal"/>
      <w:lvlText w:val="1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74E2263"/>
    <w:multiLevelType w:val="multilevel"/>
    <w:tmpl w:val="274E2263"/>
    <w:lvl w:ilvl="0" w:tentative="0">
      <w:start w:val="1"/>
      <w:numFmt w:val="decimal"/>
      <w:lvlText w:val="20.%1"/>
      <w:lvlJc w:val="left"/>
      <w:pPr>
        <w:ind w:left="2486" w:hanging="360"/>
      </w:pPr>
      <w:rPr>
        <w:rFonts w:hint="eastAsia"/>
        <w:b w:val="0"/>
      </w:rPr>
    </w:lvl>
    <w:lvl w:ilvl="1" w:tentative="0">
      <w:start w:val="1"/>
      <w:numFmt w:val="lowerLetter"/>
      <w:lvlText w:val="%2."/>
      <w:lvlJc w:val="left"/>
      <w:pPr>
        <w:ind w:left="3206" w:hanging="360"/>
      </w:pPr>
    </w:lvl>
    <w:lvl w:ilvl="2" w:tentative="0">
      <w:start w:val="1"/>
      <w:numFmt w:val="lowerRoman"/>
      <w:lvlText w:val="%3."/>
      <w:lvlJc w:val="right"/>
      <w:pPr>
        <w:ind w:left="3926" w:hanging="180"/>
      </w:pPr>
    </w:lvl>
    <w:lvl w:ilvl="3" w:tentative="0">
      <w:start w:val="1"/>
      <w:numFmt w:val="decimal"/>
      <w:lvlText w:val="%4."/>
      <w:lvlJc w:val="left"/>
      <w:pPr>
        <w:ind w:left="4646" w:hanging="360"/>
      </w:pPr>
    </w:lvl>
    <w:lvl w:ilvl="4" w:tentative="0">
      <w:start w:val="1"/>
      <w:numFmt w:val="lowerLetter"/>
      <w:lvlText w:val="%5."/>
      <w:lvlJc w:val="left"/>
      <w:pPr>
        <w:ind w:left="5366" w:hanging="360"/>
      </w:pPr>
    </w:lvl>
    <w:lvl w:ilvl="5" w:tentative="0">
      <w:start w:val="1"/>
      <w:numFmt w:val="lowerRoman"/>
      <w:lvlText w:val="%6."/>
      <w:lvlJc w:val="right"/>
      <w:pPr>
        <w:ind w:left="6086" w:hanging="180"/>
      </w:pPr>
    </w:lvl>
    <w:lvl w:ilvl="6" w:tentative="0">
      <w:start w:val="1"/>
      <w:numFmt w:val="decimal"/>
      <w:lvlText w:val="%7."/>
      <w:lvlJc w:val="left"/>
      <w:pPr>
        <w:ind w:left="6806" w:hanging="360"/>
      </w:pPr>
    </w:lvl>
    <w:lvl w:ilvl="7" w:tentative="0">
      <w:start w:val="1"/>
      <w:numFmt w:val="lowerLetter"/>
      <w:lvlText w:val="%8."/>
      <w:lvlJc w:val="left"/>
      <w:pPr>
        <w:ind w:left="7526" w:hanging="360"/>
      </w:pPr>
    </w:lvl>
    <w:lvl w:ilvl="8" w:tentative="0">
      <w:start w:val="1"/>
      <w:numFmt w:val="lowerRoman"/>
      <w:lvlText w:val="%9."/>
      <w:lvlJc w:val="right"/>
      <w:pPr>
        <w:ind w:left="8246" w:hanging="180"/>
      </w:pPr>
    </w:lvl>
  </w:abstractNum>
  <w:abstractNum w:abstractNumId="19">
    <w:nsid w:val="290C7A95"/>
    <w:multiLevelType w:val="multilevel"/>
    <w:tmpl w:val="290C7A95"/>
    <w:lvl w:ilvl="0" w:tentative="0">
      <w:start w:val="1"/>
      <w:numFmt w:val="decimal"/>
      <w:lvlText w:val="32.1.%1"/>
      <w:lvlJc w:val="left"/>
      <w:pPr>
        <w:ind w:left="1215" w:hanging="360"/>
      </w:pPr>
      <w:rPr>
        <w:rFonts w:hint="eastAsia"/>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rPr>
    </w:lvl>
    <w:lvl w:ilvl="3" w:tentative="0">
      <w:start w:val="1"/>
      <w:numFmt w:val="bullet"/>
      <w:lvlText w:val=""/>
      <w:lvlJc w:val="left"/>
      <w:pPr>
        <w:ind w:left="3375" w:hanging="360"/>
      </w:pPr>
      <w:rPr>
        <w:rFonts w:hint="default" w:ascii="Symbol" w:hAnsi="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rPr>
    </w:lvl>
    <w:lvl w:ilvl="6" w:tentative="0">
      <w:start w:val="1"/>
      <w:numFmt w:val="bullet"/>
      <w:lvlText w:val=""/>
      <w:lvlJc w:val="left"/>
      <w:pPr>
        <w:ind w:left="5535" w:hanging="360"/>
      </w:pPr>
      <w:rPr>
        <w:rFonts w:hint="default" w:ascii="Symbol" w:hAnsi="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rPr>
    </w:lvl>
  </w:abstractNum>
  <w:abstractNum w:abstractNumId="20">
    <w:nsid w:val="2BD53AC9"/>
    <w:multiLevelType w:val="multilevel"/>
    <w:tmpl w:val="2BD53AC9"/>
    <w:lvl w:ilvl="0" w:tentative="0">
      <w:start w:val="1"/>
      <w:numFmt w:val="decimal"/>
      <w:lvlText w:val="2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D740339"/>
    <w:multiLevelType w:val="multilevel"/>
    <w:tmpl w:val="2D740339"/>
    <w:lvl w:ilvl="0" w:tentative="0">
      <w:start w:val="1"/>
      <w:numFmt w:val="decimal"/>
      <w:lvlText w:val="2.%1"/>
      <w:lvlJc w:val="left"/>
      <w:pPr>
        <w:ind w:left="0" w:firstLine="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FFD493F"/>
    <w:multiLevelType w:val="multilevel"/>
    <w:tmpl w:val="2FFD493F"/>
    <w:lvl w:ilvl="0" w:tentative="0">
      <w:start w:val="1"/>
      <w:numFmt w:val="decimal"/>
      <w:lvlText w:val="%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0B70B2A"/>
    <w:multiLevelType w:val="multilevel"/>
    <w:tmpl w:val="30B70B2A"/>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30F1495B"/>
    <w:multiLevelType w:val="multilevel"/>
    <w:tmpl w:val="30F1495B"/>
    <w:lvl w:ilvl="0" w:tentative="0">
      <w:start w:val="1"/>
      <w:numFmt w:val="decimal"/>
      <w:lvlText w:val="19.%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1C762CC"/>
    <w:multiLevelType w:val="multilevel"/>
    <w:tmpl w:val="31C762CC"/>
    <w:lvl w:ilvl="0" w:tentative="0">
      <w:start w:val="1"/>
      <w:numFmt w:val="decimal"/>
      <w:lvlText w:val="2.%1"/>
      <w:lvlJc w:val="left"/>
      <w:pPr>
        <w:ind w:left="644"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1F95F0F"/>
    <w:multiLevelType w:val="multilevel"/>
    <w:tmpl w:val="31F95F0F"/>
    <w:lvl w:ilvl="0" w:tentative="0">
      <w:start w:val="1"/>
      <w:numFmt w:val="decimal"/>
      <w:lvlText w:val="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564755D"/>
    <w:multiLevelType w:val="multilevel"/>
    <w:tmpl w:val="3564755D"/>
    <w:lvl w:ilvl="0" w:tentative="0">
      <w:start w:val="1"/>
      <w:numFmt w:val="decimal"/>
      <w:lvlText w:val="2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6760182"/>
    <w:multiLevelType w:val="multilevel"/>
    <w:tmpl w:val="367601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BBE2FDD"/>
    <w:multiLevelType w:val="multilevel"/>
    <w:tmpl w:val="3BBE2FDD"/>
    <w:lvl w:ilvl="0" w:tentative="0">
      <w:start w:val="1"/>
      <w:numFmt w:val="decimal"/>
      <w:lvlText w:val="21.%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0205280"/>
    <w:multiLevelType w:val="multilevel"/>
    <w:tmpl w:val="40205280"/>
    <w:lvl w:ilvl="0" w:tentative="0">
      <w:start w:val="1"/>
      <w:numFmt w:val="japaneseCounting"/>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1">
    <w:nsid w:val="405C4D66"/>
    <w:multiLevelType w:val="multilevel"/>
    <w:tmpl w:val="405C4D66"/>
    <w:lvl w:ilvl="0" w:tentative="0">
      <w:start w:val="1"/>
      <w:numFmt w:val="decimal"/>
      <w:lvlText w:val="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5DA10BF"/>
    <w:multiLevelType w:val="multilevel"/>
    <w:tmpl w:val="45DA10BF"/>
    <w:lvl w:ilvl="0" w:tentative="0">
      <w:start w:val="1"/>
      <w:numFmt w:val="decimal"/>
      <w:lvlText w:val="14.2.%1"/>
      <w:lvlJc w:val="left"/>
      <w:pPr>
        <w:ind w:left="2346" w:hanging="360"/>
      </w:pPr>
      <w:rPr>
        <w:rFonts w:hint="eastAsia"/>
        <w:b w:val="0"/>
      </w:rPr>
    </w:lvl>
    <w:lvl w:ilvl="1" w:tentative="0">
      <w:start w:val="1"/>
      <w:numFmt w:val="bullet"/>
      <w:lvlText w:val="o"/>
      <w:lvlJc w:val="left"/>
      <w:pPr>
        <w:ind w:left="3066" w:hanging="360"/>
      </w:pPr>
      <w:rPr>
        <w:rFonts w:hint="default" w:ascii="Courier New" w:hAnsi="Courier New" w:cs="Courier New"/>
      </w:rPr>
    </w:lvl>
    <w:lvl w:ilvl="2" w:tentative="0">
      <w:start w:val="1"/>
      <w:numFmt w:val="bullet"/>
      <w:lvlText w:val=""/>
      <w:lvlJc w:val="left"/>
      <w:pPr>
        <w:ind w:left="3786" w:hanging="360"/>
      </w:pPr>
      <w:rPr>
        <w:rFonts w:hint="default" w:ascii="Wingdings" w:hAnsi="Wingdings"/>
      </w:rPr>
    </w:lvl>
    <w:lvl w:ilvl="3" w:tentative="0">
      <w:start w:val="1"/>
      <w:numFmt w:val="bullet"/>
      <w:lvlText w:val=""/>
      <w:lvlJc w:val="left"/>
      <w:pPr>
        <w:ind w:left="4506" w:hanging="360"/>
      </w:pPr>
      <w:rPr>
        <w:rFonts w:hint="default" w:ascii="Symbol" w:hAnsi="Symbol"/>
      </w:rPr>
    </w:lvl>
    <w:lvl w:ilvl="4" w:tentative="0">
      <w:start w:val="1"/>
      <w:numFmt w:val="bullet"/>
      <w:lvlText w:val="o"/>
      <w:lvlJc w:val="left"/>
      <w:pPr>
        <w:ind w:left="5226" w:hanging="360"/>
      </w:pPr>
      <w:rPr>
        <w:rFonts w:hint="default" w:ascii="Courier New" w:hAnsi="Courier New" w:cs="Courier New"/>
      </w:rPr>
    </w:lvl>
    <w:lvl w:ilvl="5" w:tentative="0">
      <w:start w:val="1"/>
      <w:numFmt w:val="bullet"/>
      <w:lvlText w:val=""/>
      <w:lvlJc w:val="left"/>
      <w:pPr>
        <w:ind w:left="5946" w:hanging="360"/>
      </w:pPr>
      <w:rPr>
        <w:rFonts w:hint="default" w:ascii="Wingdings" w:hAnsi="Wingdings"/>
      </w:rPr>
    </w:lvl>
    <w:lvl w:ilvl="6" w:tentative="0">
      <w:start w:val="1"/>
      <w:numFmt w:val="bullet"/>
      <w:lvlText w:val=""/>
      <w:lvlJc w:val="left"/>
      <w:pPr>
        <w:ind w:left="6666" w:hanging="360"/>
      </w:pPr>
      <w:rPr>
        <w:rFonts w:hint="default" w:ascii="Symbol" w:hAnsi="Symbol"/>
      </w:rPr>
    </w:lvl>
    <w:lvl w:ilvl="7" w:tentative="0">
      <w:start w:val="1"/>
      <w:numFmt w:val="bullet"/>
      <w:lvlText w:val="o"/>
      <w:lvlJc w:val="left"/>
      <w:pPr>
        <w:ind w:left="7386" w:hanging="360"/>
      </w:pPr>
      <w:rPr>
        <w:rFonts w:hint="default" w:ascii="Courier New" w:hAnsi="Courier New" w:cs="Courier New"/>
      </w:rPr>
    </w:lvl>
    <w:lvl w:ilvl="8" w:tentative="0">
      <w:start w:val="1"/>
      <w:numFmt w:val="bullet"/>
      <w:lvlText w:val=""/>
      <w:lvlJc w:val="left"/>
      <w:pPr>
        <w:ind w:left="8106" w:hanging="360"/>
      </w:pPr>
      <w:rPr>
        <w:rFonts w:hint="default" w:ascii="Wingdings" w:hAnsi="Wingdings"/>
      </w:rPr>
    </w:lvl>
  </w:abstractNum>
  <w:abstractNum w:abstractNumId="33">
    <w:nsid w:val="49051B0C"/>
    <w:multiLevelType w:val="multilevel"/>
    <w:tmpl w:val="49051B0C"/>
    <w:lvl w:ilvl="0" w:tentative="0">
      <w:start w:val="1"/>
      <w:numFmt w:val="decimal"/>
      <w:lvlText w:val="16.%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A4E4A4E"/>
    <w:multiLevelType w:val="multilevel"/>
    <w:tmpl w:val="4A4E4A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B2E72FA"/>
    <w:multiLevelType w:val="multilevel"/>
    <w:tmpl w:val="4B2E72FA"/>
    <w:lvl w:ilvl="0" w:tentative="0">
      <w:start w:val="1"/>
      <w:numFmt w:val="decimal"/>
      <w:lvlText w:val="3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193320E"/>
    <w:multiLevelType w:val="multilevel"/>
    <w:tmpl w:val="5193320E"/>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540E529C"/>
    <w:multiLevelType w:val="multilevel"/>
    <w:tmpl w:val="540E529C"/>
    <w:lvl w:ilvl="0" w:tentative="0">
      <w:start w:val="1"/>
      <w:numFmt w:val="decimal"/>
      <w:lvlText w:val="9.%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BF8156B"/>
    <w:multiLevelType w:val="multilevel"/>
    <w:tmpl w:val="5BF8156B"/>
    <w:lvl w:ilvl="0" w:tentative="0">
      <w:start w:val="1"/>
      <w:numFmt w:val="decimal"/>
      <w:lvlText w:val="1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C24279D"/>
    <w:multiLevelType w:val="multilevel"/>
    <w:tmpl w:val="5C24279D"/>
    <w:lvl w:ilvl="0" w:tentative="0">
      <w:start w:val="1"/>
      <w:numFmt w:val="decimal"/>
      <w:lvlText w:val="2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6AB85F94"/>
    <w:multiLevelType w:val="multilevel"/>
    <w:tmpl w:val="6AB85F94"/>
    <w:lvl w:ilvl="0" w:tentative="0">
      <w:start w:val="1"/>
      <w:numFmt w:val="decimal"/>
      <w:lvlText w:val="1.%1"/>
      <w:lvlJc w:val="left"/>
      <w:pPr>
        <w:ind w:left="644"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6E0EEC"/>
    <w:multiLevelType w:val="multilevel"/>
    <w:tmpl w:val="6C6E0EEC"/>
    <w:lvl w:ilvl="0" w:tentative="0">
      <w:start w:val="1"/>
      <w:numFmt w:val="decimal"/>
      <w:lvlText w:val="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6F957D81"/>
    <w:multiLevelType w:val="multilevel"/>
    <w:tmpl w:val="6F957D81"/>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72F148E9"/>
    <w:multiLevelType w:val="multilevel"/>
    <w:tmpl w:val="72F148E9"/>
    <w:lvl w:ilvl="0" w:tentative="0">
      <w:start w:val="1"/>
      <w:numFmt w:val="decimal"/>
      <w:lvlText w:val="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7627188E"/>
    <w:multiLevelType w:val="multilevel"/>
    <w:tmpl w:val="7627188E"/>
    <w:lvl w:ilvl="0" w:tentative="0">
      <w:start w:val="1"/>
      <w:numFmt w:val="decimal"/>
      <w:lvlText w:val="28.%1"/>
      <w:lvlJc w:val="left"/>
      <w:pPr>
        <w:ind w:left="786" w:hanging="360"/>
      </w:pPr>
      <w:rPr>
        <w:rFonts w:hint="eastAsia"/>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5">
    <w:nsid w:val="793423B7"/>
    <w:multiLevelType w:val="multilevel"/>
    <w:tmpl w:val="793423B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AD220A8"/>
    <w:multiLevelType w:val="multilevel"/>
    <w:tmpl w:val="7AD220A8"/>
    <w:lvl w:ilvl="0" w:tentative="0">
      <w:start w:val="1"/>
      <w:numFmt w:val="decimal"/>
      <w:lvlText w:val="10.%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BB35608"/>
    <w:multiLevelType w:val="multilevel"/>
    <w:tmpl w:val="7BB35608"/>
    <w:lvl w:ilvl="0" w:tentative="0">
      <w:start w:val="1"/>
      <w:numFmt w:val="decimal"/>
      <w:lvlText w:val="29.%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7F652801"/>
    <w:multiLevelType w:val="multilevel"/>
    <w:tmpl w:val="7F6528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3"/>
  </w:num>
  <w:num w:numId="2">
    <w:abstractNumId w:val="6"/>
  </w:num>
  <w:num w:numId="3">
    <w:abstractNumId w:val="34"/>
  </w:num>
  <w:num w:numId="4">
    <w:abstractNumId w:val="16"/>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5"/>
  </w:num>
  <w:num w:numId="11">
    <w:abstractNumId w:val="30"/>
  </w:num>
  <w:num w:numId="12">
    <w:abstractNumId w:val="48"/>
  </w:num>
  <w:num w:numId="13">
    <w:abstractNumId w:val="1"/>
  </w:num>
  <w:num w:numId="14">
    <w:abstractNumId w:val="0"/>
  </w:num>
  <w:num w:numId="15">
    <w:abstractNumId w:val="22"/>
  </w:num>
  <w:num w:numId="16">
    <w:abstractNumId w:val="40"/>
  </w:num>
  <w:num w:numId="17">
    <w:abstractNumId w:val="25"/>
  </w:num>
  <w:num w:numId="18">
    <w:abstractNumId w:val="21"/>
  </w:num>
  <w:num w:numId="19">
    <w:abstractNumId w:val="43"/>
  </w:num>
  <w:num w:numId="20">
    <w:abstractNumId w:val="31"/>
  </w:num>
  <w:num w:numId="21">
    <w:abstractNumId w:val="41"/>
  </w:num>
  <w:num w:numId="22">
    <w:abstractNumId w:val="8"/>
  </w:num>
  <w:num w:numId="23">
    <w:abstractNumId w:val="26"/>
  </w:num>
  <w:num w:numId="24">
    <w:abstractNumId w:val="12"/>
  </w:num>
  <w:num w:numId="25">
    <w:abstractNumId w:val="37"/>
  </w:num>
  <w:num w:numId="26">
    <w:abstractNumId w:val="46"/>
  </w:num>
  <w:num w:numId="27">
    <w:abstractNumId w:val="5"/>
  </w:num>
  <w:num w:numId="28">
    <w:abstractNumId w:val="2"/>
  </w:num>
  <w:num w:numId="29">
    <w:abstractNumId w:val="17"/>
  </w:num>
  <w:num w:numId="30">
    <w:abstractNumId w:val="7"/>
  </w:num>
  <w:num w:numId="31">
    <w:abstractNumId w:val="32"/>
  </w:num>
  <w:num w:numId="32">
    <w:abstractNumId w:val="3"/>
  </w:num>
  <w:num w:numId="33">
    <w:abstractNumId w:val="15"/>
  </w:num>
  <w:num w:numId="34">
    <w:abstractNumId w:val="33"/>
  </w:num>
  <w:num w:numId="35">
    <w:abstractNumId w:val="9"/>
  </w:num>
  <w:num w:numId="36">
    <w:abstractNumId w:val="38"/>
  </w:num>
  <w:num w:numId="37">
    <w:abstractNumId w:val="24"/>
  </w:num>
  <w:num w:numId="38">
    <w:abstractNumId w:val="18"/>
  </w:num>
  <w:num w:numId="39">
    <w:abstractNumId w:val="29"/>
  </w:num>
  <w:num w:numId="40">
    <w:abstractNumId w:val="27"/>
  </w:num>
  <w:num w:numId="41">
    <w:abstractNumId w:val="20"/>
  </w:num>
  <w:num w:numId="42">
    <w:abstractNumId w:val="39"/>
  </w:num>
  <w:num w:numId="43">
    <w:abstractNumId w:val="10"/>
  </w:num>
  <w:num w:numId="44">
    <w:abstractNumId w:val="4"/>
  </w:num>
  <w:num w:numId="45">
    <w:abstractNumId w:val="44"/>
  </w:num>
  <w:num w:numId="46">
    <w:abstractNumId w:val="47"/>
  </w:num>
  <w:num w:numId="47">
    <w:abstractNumId w:val="14"/>
  </w:num>
  <w:num w:numId="48">
    <w:abstractNumId w:val="3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37"/>
    <w:rsid w:val="00001EBA"/>
    <w:rsid w:val="000037D0"/>
    <w:rsid w:val="00004380"/>
    <w:rsid w:val="000052B6"/>
    <w:rsid w:val="0001144B"/>
    <w:rsid w:val="00013BFB"/>
    <w:rsid w:val="000142BE"/>
    <w:rsid w:val="000173D9"/>
    <w:rsid w:val="00021E9A"/>
    <w:rsid w:val="000320B6"/>
    <w:rsid w:val="00037D9E"/>
    <w:rsid w:val="00061C57"/>
    <w:rsid w:val="000662FE"/>
    <w:rsid w:val="00067C31"/>
    <w:rsid w:val="00073F7E"/>
    <w:rsid w:val="0008183D"/>
    <w:rsid w:val="000818ED"/>
    <w:rsid w:val="000943B3"/>
    <w:rsid w:val="00095396"/>
    <w:rsid w:val="000A3B6A"/>
    <w:rsid w:val="000D01F0"/>
    <w:rsid w:val="000D2C58"/>
    <w:rsid w:val="000D5AFE"/>
    <w:rsid w:val="000F1A8F"/>
    <w:rsid w:val="000F3668"/>
    <w:rsid w:val="000F42B3"/>
    <w:rsid w:val="000F4E0C"/>
    <w:rsid w:val="00102092"/>
    <w:rsid w:val="00105BD9"/>
    <w:rsid w:val="00110462"/>
    <w:rsid w:val="00121736"/>
    <w:rsid w:val="001252C1"/>
    <w:rsid w:val="00132C66"/>
    <w:rsid w:val="001368AA"/>
    <w:rsid w:val="00141E08"/>
    <w:rsid w:val="00146B71"/>
    <w:rsid w:val="00155FFA"/>
    <w:rsid w:val="0016138D"/>
    <w:rsid w:val="00163CC0"/>
    <w:rsid w:val="0016516C"/>
    <w:rsid w:val="00172C95"/>
    <w:rsid w:val="001800A8"/>
    <w:rsid w:val="001850E3"/>
    <w:rsid w:val="001853C9"/>
    <w:rsid w:val="00195C26"/>
    <w:rsid w:val="001B1995"/>
    <w:rsid w:val="001B46D6"/>
    <w:rsid w:val="001C0E38"/>
    <w:rsid w:val="001C3907"/>
    <w:rsid w:val="001C4418"/>
    <w:rsid w:val="001C585A"/>
    <w:rsid w:val="001C6ADB"/>
    <w:rsid w:val="001D26EE"/>
    <w:rsid w:val="001D62AA"/>
    <w:rsid w:val="001D7D03"/>
    <w:rsid w:val="001E0249"/>
    <w:rsid w:val="001E4640"/>
    <w:rsid w:val="001E5601"/>
    <w:rsid w:val="001F2698"/>
    <w:rsid w:val="001F2990"/>
    <w:rsid w:val="001F3AA3"/>
    <w:rsid w:val="001F62AF"/>
    <w:rsid w:val="001F7153"/>
    <w:rsid w:val="00202EF7"/>
    <w:rsid w:val="0020379E"/>
    <w:rsid w:val="00216930"/>
    <w:rsid w:val="00220CDF"/>
    <w:rsid w:val="00224A8F"/>
    <w:rsid w:val="00236D05"/>
    <w:rsid w:val="00243C30"/>
    <w:rsid w:val="00254304"/>
    <w:rsid w:val="00260E72"/>
    <w:rsid w:val="00261AD0"/>
    <w:rsid w:val="002759EA"/>
    <w:rsid w:val="0028068D"/>
    <w:rsid w:val="002834A8"/>
    <w:rsid w:val="00284A9D"/>
    <w:rsid w:val="00286CDD"/>
    <w:rsid w:val="0029220E"/>
    <w:rsid w:val="00292C54"/>
    <w:rsid w:val="002A1E1A"/>
    <w:rsid w:val="002A7CFF"/>
    <w:rsid w:val="002C093C"/>
    <w:rsid w:val="002C75F7"/>
    <w:rsid w:val="002D2D18"/>
    <w:rsid w:val="002D4EA7"/>
    <w:rsid w:val="002D7A99"/>
    <w:rsid w:val="002E1292"/>
    <w:rsid w:val="002E48FD"/>
    <w:rsid w:val="003000B8"/>
    <w:rsid w:val="00305475"/>
    <w:rsid w:val="0031173B"/>
    <w:rsid w:val="00312C60"/>
    <w:rsid w:val="0031349D"/>
    <w:rsid w:val="0032151B"/>
    <w:rsid w:val="00324514"/>
    <w:rsid w:val="0032650A"/>
    <w:rsid w:val="00330E1E"/>
    <w:rsid w:val="00333E92"/>
    <w:rsid w:val="00334FC2"/>
    <w:rsid w:val="00336D4F"/>
    <w:rsid w:val="003441CB"/>
    <w:rsid w:val="00346394"/>
    <w:rsid w:val="00351D2C"/>
    <w:rsid w:val="003524B6"/>
    <w:rsid w:val="003539D9"/>
    <w:rsid w:val="00355C67"/>
    <w:rsid w:val="003635F8"/>
    <w:rsid w:val="00376084"/>
    <w:rsid w:val="00376301"/>
    <w:rsid w:val="00376D38"/>
    <w:rsid w:val="003810D3"/>
    <w:rsid w:val="0039501C"/>
    <w:rsid w:val="00397597"/>
    <w:rsid w:val="003B2B0F"/>
    <w:rsid w:val="003B41B7"/>
    <w:rsid w:val="003B42C2"/>
    <w:rsid w:val="003B55C8"/>
    <w:rsid w:val="003C0C03"/>
    <w:rsid w:val="003C29D7"/>
    <w:rsid w:val="003C5BFD"/>
    <w:rsid w:val="003C769F"/>
    <w:rsid w:val="003D4B9F"/>
    <w:rsid w:val="003E262A"/>
    <w:rsid w:val="003E266F"/>
    <w:rsid w:val="003E28AF"/>
    <w:rsid w:val="00403F2B"/>
    <w:rsid w:val="00410292"/>
    <w:rsid w:val="00410B2E"/>
    <w:rsid w:val="00415B68"/>
    <w:rsid w:val="004403B5"/>
    <w:rsid w:val="00454468"/>
    <w:rsid w:val="00464A2B"/>
    <w:rsid w:val="00466743"/>
    <w:rsid w:val="004743D4"/>
    <w:rsid w:val="004765A1"/>
    <w:rsid w:val="004812AA"/>
    <w:rsid w:val="00490C88"/>
    <w:rsid w:val="00491C91"/>
    <w:rsid w:val="00493277"/>
    <w:rsid w:val="00494B3A"/>
    <w:rsid w:val="004A2092"/>
    <w:rsid w:val="004A44B9"/>
    <w:rsid w:val="004A7C43"/>
    <w:rsid w:val="004C1271"/>
    <w:rsid w:val="004E666D"/>
    <w:rsid w:val="004F08AC"/>
    <w:rsid w:val="004F11B8"/>
    <w:rsid w:val="00503D03"/>
    <w:rsid w:val="00504412"/>
    <w:rsid w:val="00517027"/>
    <w:rsid w:val="00520DE9"/>
    <w:rsid w:val="00525C28"/>
    <w:rsid w:val="00535DC9"/>
    <w:rsid w:val="00551DB0"/>
    <w:rsid w:val="00562A4B"/>
    <w:rsid w:val="00563287"/>
    <w:rsid w:val="00566DB5"/>
    <w:rsid w:val="00571B5B"/>
    <w:rsid w:val="00577340"/>
    <w:rsid w:val="005961E1"/>
    <w:rsid w:val="005963C4"/>
    <w:rsid w:val="005A70B7"/>
    <w:rsid w:val="005A74CF"/>
    <w:rsid w:val="005B1390"/>
    <w:rsid w:val="005B55BF"/>
    <w:rsid w:val="005C2160"/>
    <w:rsid w:val="005C43C4"/>
    <w:rsid w:val="005C5024"/>
    <w:rsid w:val="005D690C"/>
    <w:rsid w:val="005E3390"/>
    <w:rsid w:val="005F6C76"/>
    <w:rsid w:val="005F771E"/>
    <w:rsid w:val="00612C92"/>
    <w:rsid w:val="0062129D"/>
    <w:rsid w:val="00626BD9"/>
    <w:rsid w:val="00626DED"/>
    <w:rsid w:val="0062710B"/>
    <w:rsid w:val="006308E4"/>
    <w:rsid w:val="006343AA"/>
    <w:rsid w:val="00634F4D"/>
    <w:rsid w:val="00635C7E"/>
    <w:rsid w:val="006361D8"/>
    <w:rsid w:val="00652543"/>
    <w:rsid w:val="00657E88"/>
    <w:rsid w:val="00664EFD"/>
    <w:rsid w:val="00673490"/>
    <w:rsid w:val="00676C5F"/>
    <w:rsid w:val="00677F23"/>
    <w:rsid w:val="00680DA7"/>
    <w:rsid w:val="00681CAC"/>
    <w:rsid w:val="006851BE"/>
    <w:rsid w:val="00687D03"/>
    <w:rsid w:val="00687DF6"/>
    <w:rsid w:val="006A3C9F"/>
    <w:rsid w:val="006A719E"/>
    <w:rsid w:val="006B271D"/>
    <w:rsid w:val="006B37B3"/>
    <w:rsid w:val="006C3D93"/>
    <w:rsid w:val="006C475E"/>
    <w:rsid w:val="006D00AA"/>
    <w:rsid w:val="006D0BCE"/>
    <w:rsid w:val="006E1BCE"/>
    <w:rsid w:val="006E658A"/>
    <w:rsid w:val="006E718B"/>
    <w:rsid w:val="006F4637"/>
    <w:rsid w:val="006F7DE6"/>
    <w:rsid w:val="007130E9"/>
    <w:rsid w:val="00716BE0"/>
    <w:rsid w:val="00717940"/>
    <w:rsid w:val="00720DEA"/>
    <w:rsid w:val="00720FCF"/>
    <w:rsid w:val="00721753"/>
    <w:rsid w:val="00724B29"/>
    <w:rsid w:val="00734D81"/>
    <w:rsid w:val="007550BC"/>
    <w:rsid w:val="00756D25"/>
    <w:rsid w:val="0076311D"/>
    <w:rsid w:val="00765D74"/>
    <w:rsid w:val="007865D1"/>
    <w:rsid w:val="00795DAA"/>
    <w:rsid w:val="007A2836"/>
    <w:rsid w:val="007A45F0"/>
    <w:rsid w:val="007B0B50"/>
    <w:rsid w:val="007B760A"/>
    <w:rsid w:val="007C0E6C"/>
    <w:rsid w:val="007C435A"/>
    <w:rsid w:val="007C57FC"/>
    <w:rsid w:val="007C72C8"/>
    <w:rsid w:val="007E2DFE"/>
    <w:rsid w:val="007F2FBA"/>
    <w:rsid w:val="0081140B"/>
    <w:rsid w:val="008157BD"/>
    <w:rsid w:val="0082720C"/>
    <w:rsid w:val="0083522A"/>
    <w:rsid w:val="0084146E"/>
    <w:rsid w:val="008456AA"/>
    <w:rsid w:val="008525F5"/>
    <w:rsid w:val="008661EF"/>
    <w:rsid w:val="0087076A"/>
    <w:rsid w:val="008771FA"/>
    <w:rsid w:val="00877261"/>
    <w:rsid w:val="00877AF1"/>
    <w:rsid w:val="00884F5E"/>
    <w:rsid w:val="00887018"/>
    <w:rsid w:val="00887D95"/>
    <w:rsid w:val="008932AB"/>
    <w:rsid w:val="0089569D"/>
    <w:rsid w:val="008A3298"/>
    <w:rsid w:val="008C6271"/>
    <w:rsid w:val="008D08DB"/>
    <w:rsid w:val="00905B2B"/>
    <w:rsid w:val="009060A0"/>
    <w:rsid w:val="00910A57"/>
    <w:rsid w:val="0091285F"/>
    <w:rsid w:val="00913270"/>
    <w:rsid w:val="0091739A"/>
    <w:rsid w:val="009174CE"/>
    <w:rsid w:val="009210FA"/>
    <w:rsid w:val="009256C4"/>
    <w:rsid w:val="00954BFC"/>
    <w:rsid w:val="0096068C"/>
    <w:rsid w:val="0096591C"/>
    <w:rsid w:val="00975C33"/>
    <w:rsid w:val="009760B6"/>
    <w:rsid w:val="0097632A"/>
    <w:rsid w:val="0098245C"/>
    <w:rsid w:val="009923B0"/>
    <w:rsid w:val="009933C3"/>
    <w:rsid w:val="00997C71"/>
    <w:rsid w:val="009A4D42"/>
    <w:rsid w:val="009B3825"/>
    <w:rsid w:val="009B7C01"/>
    <w:rsid w:val="009C1007"/>
    <w:rsid w:val="009C14BB"/>
    <w:rsid w:val="009C4A62"/>
    <w:rsid w:val="009D61C2"/>
    <w:rsid w:val="009D7E4C"/>
    <w:rsid w:val="009E668A"/>
    <w:rsid w:val="009F1B2C"/>
    <w:rsid w:val="009F5139"/>
    <w:rsid w:val="00A03DBE"/>
    <w:rsid w:val="00A05945"/>
    <w:rsid w:val="00A06BEB"/>
    <w:rsid w:val="00A1402A"/>
    <w:rsid w:val="00A14A7E"/>
    <w:rsid w:val="00A20474"/>
    <w:rsid w:val="00A2353B"/>
    <w:rsid w:val="00A257E1"/>
    <w:rsid w:val="00A33F30"/>
    <w:rsid w:val="00A35270"/>
    <w:rsid w:val="00A35AC6"/>
    <w:rsid w:val="00A35E49"/>
    <w:rsid w:val="00A371B0"/>
    <w:rsid w:val="00A41934"/>
    <w:rsid w:val="00A440D7"/>
    <w:rsid w:val="00A52A63"/>
    <w:rsid w:val="00A61FDD"/>
    <w:rsid w:val="00A6432D"/>
    <w:rsid w:val="00A6598A"/>
    <w:rsid w:val="00A77A8C"/>
    <w:rsid w:val="00A77D53"/>
    <w:rsid w:val="00A90BDE"/>
    <w:rsid w:val="00A93B71"/>
    <w:rsid w:val="00AA1185"/>
    <w:rsid w:val="00AC6914"/>
    <w:rsid w:val="00AD76AA"/>
    <w:rsid w:val="00AE00FF"/>
    <w:rsid w:val="00AE1495"/>
    <w:rsid w:val="00AE4752"/>
    <w:rsid w:val="00AE62D6"/>
    <w:rsid w:val="00AE76AD"/>
    <w:rsid w:val="00AF29DC"/>
    <w:rsid w:val="00AF30B2"/>
    <w:rsid w:val="00AF6299"/>
    <w:rsid w:val="00B023EC"/>
    <w:rsid w:val="00B033A4"/>
    <w:rsid w:val="00B12A09"/>
    <w:rsid w:val="00B20891"/>
    <w:rsid w:val="00B21E23"/>
    <w:rsid w:val="00B24083"/>
    <w:rsid w:val="00B310CF"/>
    <w:rsid w:val="00B3494D"/>
    <w:rsid w:val="00B40543"/>
    <w:rsid w:val="00B65C37"/>
    <w:rsid w:val="00B7371D"/>
    <w:rsid w:val="00B77660"/>
    <w:rsid w:val="00B91271"/>
    <w:rsid w:val="00BB51AF"/>
    <w:rsid w:val="00BC0976"/>
    <w:rsid w:val="00BD2C7C"/>
    <w:rsid w:val="00BD626E"/>
    <w:rsid w:val="00BD671D"/>
    <w:rsid w:val="00BD73D2"/>
    <w:rsid w:val="00BE1308"/>
    <w:rsid w:val="00BF4789"/>
    <w:rsid w:val="00C00089"/>
    <w:rsid w:val="00C0095E"/>
    <w:rsid w:val="00C01E39"/>
    <w:rsid w:val="00C06557"/>
    <w:rsid w:val="00C2042F"/>
    <w:rsid w:val="00C60622"/>
    <w:rsid w:val="00C657FA"/>
    <w:rsid w:val="00C660CC"/>
    <w:rsid w:val="00C73B8B"/>
    <w:rsid w:val="00C7417D"/>
    <w:rsid w:val="00C746CB"/>
    <w:rsid w:val="00C74BDF"/>
    <w:rsid w:val="00C74F9E"/>
    <w:rsid w:val="00C75360"/>
    <w:rsid w:val="00C80504"/>
    <w:rsid w:val="00C80FF4"/>
    <w:rsid w:val="00CA26A7"/>
    <w:rsid w:val="00CA5722"/>
    <w:rsid w:val="00CB5352"/>
    <w:rsid w:val="00CC41A6"/>
    <w:rsid w:val="00CC44E3"/>
    <w:rsid w:val="00CC5999"/>
    <w:rsid w:val="00CC6CDF"/>
    <w:rsid w:val="00CD502A"/>
    <w:rsid w:val="00CE4D51"/>
    <w:rsid w:val="00CE4FA2"/>
    <w:rsid w:val="00CE59C6"/>
    <w:rsid w:val="00CE68C4"/>
    <w:rsid w:val="00CF69C4"/>
    <w:rsid w:val="00D005DB"/>
    <w:rsid w:val="00D05B5F"/>
    <w:rsid w:val="00D05DB7"/>
    <w:rsid w:val="00D20D7B"/>
    <w:rsid w:val="00D23510"/>
    <w:rsid w:val="00D26E6D"/>
    <w:rsid w:val="00D27619"/>
    <w:rsid w:val="00D32101"/>
    <w:rsid w:val="00D354E2"/>
    <w:rsid w:val="00D47252"/>
    <w:rsid w:val="00D51A31"/>
    <w:rsid w:val="00D6100E"/>
    <w:rsid w:val="00D83B31"/>
    <w:rsid w:val="00D873F6"/>
    <w:rsid w:val="00D92DED"/>
    <w:rsid w:val="00D95958"/>
    <w:rsid w:val="00D95E84"/>
    <w:rsid w:val="00DA4DAE"/>
    <w:rsid w:val="00DD1458"/>
    <w:rsid w:val="00DD7BC5"/>
    <w:rsid w:val="00DE7055"/>
    <w:rsid w:val="00DF08BF"/>
    <w:rsid w:val="00DF423C"/>
    <w:rsid w:val="00E03F87"/>
    <w:rsid w:val="00E03F8C"/>
    <w:rsid w:val="00E05EA6"/>
    <w:rsid w:val="00E119AC"/>
    <w:rsid w:val="00E16FBC"/>
    <w:rsid w:val="00E20349"/>
    <w:rsid w:val="00E21F2A"/>
    <w:rsid w:val="00E23FAA"/>
    <w:rsid w:val="00E3514A"/>
    <w:rsid w:val="00E36F2F"/>
    <w:rsid w:val="00E37BA2"/>
    <w:rsid w:val="00E414BB"/>
    <w:rsid w:val="00E41B1A"/>
    <w:rsid w:val="00E43F10"/>
    <w:rsid w:val="00E558EC"/>
    <w:rsid w:val="00E61E5C"/>
    <w:rsid w:val="00E74426"/>
    <w:rsid w:val="00E9243F"/>
    <w:rsid w:val="00E970EB"/>
    <w:rsid w:val="00EA3ABE"/>
    <w:rsid w:val="00EC5951"/>
    <w:rsid w:val="00ED0A18"/>
    <w:rsid w:val="00ED1132"/>
    <w:rsid w:val="00ED3DEB"/>
    <w:rsid w:val="00EE1272"/>
    <w:rsid w:val="00EE3D02"/>
    <w:rsid w:val="00EF1A0B"/>
    <w:rsid w:val="00EF2927"/>
    <w:rsid w:val="00EF5341"/>
    <w:rsid w:val="00F149CB"/>
    <w:rsid w:val="00F14DD7"/>
    <w:rsid w:val="00F204CE"/>
    <w:rsid w:val="00F21F76"/>
    <w:rsid w:val="00F2207D"/>
    <w:rsid w:val="00F26444"/>
    <w:rsid w:val="00F36ACD"/>
    <w:rsid w:val="00F4138A"/>
    <w:rsid w:val="00F45419"/>
    <w:rsid w:val="00F571AA"/>
    <w:rsid w:val="00F66AAF"/>
    <w:rsid w:val="00F67285"/>
    <w:rsid w:val="00F70236"/>
    <w:rsid w:val="00F76E1C"/>
    <w:rsid w:val="00F85899"/>
    <w:rsid w:val="00F87217"/>
    <w:rsid w:val="00F87A08"/>
    <w:rsid w:val="00F9427D"/>
    <w:rsid w:val="00F969E9"/>
    <w:rsid w:val="00FA458B"/>
    <w:rsid w:val="00FC5C1E"/>
    <w:rsid w:val="00FD15D3"/>
    <w:rsid w:val="00FD6F0E"/>
    <w:rsid w:val="00FD70B5"/>
    <w:rsid w:val="00FE37F6"/>
    <w:rsid w:val="00FF3755"/>
    <w:rsid w:val="00FF4A36"/>
    <w:rsid w:val="00FF5071"/>
    <w:rsid w:val="00FF7FC2"/>
    <w:rsid w:val="4DCB69D6"/>
    <w:rsid w:val="678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spacing w:before="240" w:after="60"/>
      <w:jc w:val="left"/>
      <w:outlineLvl w:val="0"/>
    </w:pPr>
    <w:rPr>
      <w:rFonts w:ascii="Verdana" w:hAnsi="Verdana" w:eastAsia="等线 Light" w:cs="Times New Roman"/>
      <w:b/>
      <w:bCs/>
      <w:kern w:val="32"/>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textAlignment w:val="baseline"/>
    </w:pPr>
    <w:rPr>
      <w:rFonts w:ascii="Times New Roman" w:hAnsi="Times New Roman" w:eastAsia="宋体" w:cs="Times New Roman"/>
      <w:szCs w:val="20"/>
    </w:rPr>
  </w:style>
  <w:style w:type="paragraph" w:styleId="4">
    <w:name w:val="annotation text"/>
    <w:basedOn w:val="1"/>
    <w:link w:val="21"/>
    <w:unhideWhenUsed/>
    <w:qFormat/>
    <w:uiPriority w:val="0"/>
    <w:pPr>
      <w:jc w:val="left"/>
    </w:pPr>
  </w:style>
  <w:style w:type="paragraph" w:styleId="5">
    <w:name w:val="Body Text"/>
    <w:basedOn w:val="1"/>
    <w:link w:val="37"/>
    <w:autoRedefine/>
    <w:qFormat/>
    <w:uiPriority w:val="1"/>
    <w:pPr>
      <w:widowControl/>
      <w:spacing w:after="160" w:line="259" w:lineRule="auto"/>
      <w:ind w:left="140"/>
      <w:jc w:val="left"/>
    </w:pPr>
    <w:rPr>
      <w:rFonts w:ascii="宋体" w:hAnsi="宋体" w:eastAsia="宋体"/>
      <w:kern w:val="0"/>
      <w:sz w:val="24"/>
      <w:szCs w:val="24"/>
    </w:rPr>
  </w:style>
  <w:style w:type="paragraph" w:styleId="6">
    <w:name w:val="Body Text Indent"/>
    <w:basedOn w:val="1"/>
    <w:link w:val="38"/>
    <w:semiHidden/>
    <w:unhideWhenUsed/>
    <w:qFormat/>
    <w:uiPriority w:val="99"/>
    <w:pPr>
      <w:spacing w:after="120"/>
      <w:ind w:left="420" w:leftChars="200"/>
    </w:pPr>
  </w:style>
  <w:style w:type="paragraph" w:styleId="7">
    <w:name w:val="Balloon Text"/>
    <w:basedOn w:val="1"/>
    <w:link w:val="25"/>
    <w:unhideWhenUsed/>
    <w:qFormat/>
    <w:uiPriority w:val="0"/>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2"/>
    <w:unhideWhenUsed/>
    <w:qFormat/>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unhideWhenUsed/>
    <w:qFormat/>
    <w:uiPriority w:val="0"/>
    <w:rPr>
      <w:sz w:val="21"/>
      <w:szCs w:val="21"/>
    </w:rPr>
  </w:style>
  <w:style w:type="paragraph" w:styleId="18">
    <w:name w:val="List Paragraph"/>
    <w:basedOn w:val="1"/>
    <w:link w:val="26"/>
    <w:qFormat/>
    <w:uiPriority w:val="99"/>
    <w:pPr>
      <w:ind w:firstLine="420" w:firstLineChars="200"/>
    </w:pPr>
  </w:style>
  <w:style w:type="character" w:customStyle="1" w:styleId="19">
    <w:name w:val="页眉 字符"/>
    <w:basedOn w:val="14"/>
    <w:link w:val="9"/>
    <w:qFormat/>
    <w:uiPriority w:val="99"/>
    <w:rPr>
      <w:sz w:val="18"/>
      <w:szCs w:val="18"/>
    </w:rPr>
  </w:style>
  <w:style w:type="character" w:customStyle="1" w:styleId="20">
    <w:name w:val="页脚 字符"/>
    <w:basedOn w:val="14"/>
    <w:link w:val="8"/>
    <w:qFormat/>
    <w:uiPriority w:val="99"/>
    <w:rPr>
      <w:sz w:val="18"/>
      <w:szCs w:val="18"/>
    </w:rPr>
  </w:style>
  <w:style w:type="character" w:customStyle="1" w:styleId="21">
    <w:name w:val="批注文字 字符"/>
    <w:basedOn w:val="14"/>
    <w:link w:val="4"/>
    <w:qFormat/>
    <w:uiPriority w:val="0"/>
  </w:style>
  <w:style w:type="character" w:customStyle="1" w:styleId="22">
    <w:name w:val="批注主题 字符"/>
    <w:basedOn w:val="21"/>
    <w:link w:val="11"/>
    <w:qFormat/>
    <w:uiPriority w:val="0"/>
    <w:rPr>
      <w:b/>
      <w:bCs/>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character" w:customStyle="1" w:styleId="25">
    <w:name w:val="批注框文本 字符"/>
    <w:basedOn w:val="14"/>
    <w:link w:val="7"/>
    <w:qFormat/>
    <w:uiPriority w:val="0"/>
    <w:rPr>
      <w:sz w:val="18"/>
      <w:szCs w:val="18"/>
    </w:rPr>
  </w:style>
  <w:style w:type="character" w:customStyle="1" w:styleId="26">
    <w:name w:val="列表段落 字符"/>
    <w:link w:val="18"/>
    <w:qFormat/>
    <w:uiPriority w:val="34"/>
  </w:style>
  <w:style w:type="paragraph" w:customStyle="1" w:styleId="27">
    <w:name w:val="Normal_1"/>
    <w:qFormat/>
    <w:uiPriority w:val="0"/>
    <w:pPr>
      <w:widowControl w:val="0"/>
      <w:jc w:val="both"/>
    </w:pPr>
    <w:rPr>
      <w:rFonts w:ascii="宋体" w:hAnsi="宋体" w:eastAsia="宋体" w:cs="宋体"/>
      <w:kern w:val="0"/>
      <w:sz w:val="20"/>
      <w:szCs w:val="20"/>
      <w:lang w:val="en-US" w:eastAsia="zh-CN" w:bidi="ar-SA"/>
    </w:rPr>
  </w:style>
  <w:style w:type="table" w:customStyle="1" w:styleId="28">
    <w:name w:val="网格型1"/>
    <w:basedOn w:val="1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Unresolved Mention"/>
    <w:basedOn w:val="14"/>
    <w:semiHidden/>
    <w:unhideWhenUsed/>
    <w:qFormat/>
    <w:uiPriority w:val="99"/>
    <w:rPr>
      <w:color w:val="605E5C"/>
      <w:shd w:val="clear" w:color="auto" w:fill="E1DFDD"/>
    </w:rPr>
  </w:style>
  <w:style w:type="character" w:customStyle="1" w:styleId="30">
    <w:name w:val="标题 1 字符"/>
    <w:basedOn w:val="14"/>
    <w:link w:val="2"/>
    <w:qFormat/>
    <w:uiPriority w:val="0"/>
    <w:rPr>
      <w:rFonts w:ascii="Verdana" w:hAnsi="Verdana" w:eastAsia="等线 Light" w:cs="Times New Roman"/>
      <w:b/>
      <w:bCs/>
      <w:kern w:val="32"/>
      <w:sz w:val="32"/>
      <w:szCs w:val="32"/>
    </w:rPr>
  </w:style>
  <w:style w:type="paragraph" w:customStyle="1" w:styleId="31">
    <w:name w:val="Char"/>
    <w:basedOn w:val="1"/>
    <w:qFormat/>
    <w:uiPriority w:val="0"/>
    <w:pPr>
      <w:widowControl/>
      <w:overflowPunct w:val="0"/>
      <w:autoSpaceDE w:val="0"/>
      <w:autoSpaceDN w:val="0"/>
      <w:adjustRightInd w:val="0"/>
      <w:jc w:val="left"/>
      <w:textAlignment w:val="baseline"/>
    </w:pPr>
    <w:rPr>
      <w:rFonts w:ascii="Book Antiqua" w:hAnsi="Book Antiqua" w:eastAsia="宋体" w:cs="Times New Roman"/>
      <w:kern w:val="0"/>
      <w:sz w:val="20"/>
      <w:szCs w:val="20"/>
    </w:rPr>
  </w:style>
  <w:style w:type="paragraph" w:customStyle="1" w:styleId="32">
    <w:name w:val="_Style 29"/>
    <w:basedOn w:val="1"/>
    <w:next w:val="18"/>
    <w:qFormat/>
    <w:uiPriority w:val="34"/>
    <w:pPr>
      <w:widowControl/>
      <w:ind w:left="720"/>
      <w:jc w:val="left"/>
    </w:pPr>
    <w:rPr>
      <w:rFonts w:ascii="Calibri" w:hAnsi="Calibri" w:eastAsia="等线" w:cs="Calibri"/>
      <w:kern w:val="0"/>
      <w:sz w:val="22"/>
    </w:rPr>
  </w:style>
  <w:style w:type="paragraph" w:customStyle="1" w:styleId="33">
    <w:name w:val="规章制度"/>
    <w:basedOn w:val="1"/>
    <w:link w:val="34"/>
    <w:qFormat/>
    <w:uiPriority w:val="0"/>
    <w:pPr>
      <w:numPr>
        <w:ilvl w:val="0"/>
        <w:numId w:val="1"/>
      </w:numPr>
      <w:snapToGrid w:val="0"/>
      <w:spacing w:line="560" w:lineRule="exact"/>
      <w:outlineLvl w:val="0"/>
    </w:pPr>
    <w:rPr>
      <w:rFonts w:ascii="仿宋_GB2312" w:hAnsi="华文楷体" w:eastAsia="仿宋_GB2312" w:cs="Times New Roman"/>
      <w:sz w:val="32"/>
      <w:szCs w:val="32"/>
    </w:rPr>
  </w:style>
  <w:style w:type="character" w:customStyle="1" w:styleId="34">
    <w:name w:val="规章制度 Char"/>
    <w:basedOn w:val="14"/>
    <w:link w:val="33"/>
    <w:qFormat/>
    <w:uiPriority w:val="0"/>
    <w:rPr>
      <w:rFonts w:ascii="仿宋_GB2312" w:hAnsi="华文楷体" w:eastAsia="仿宋_GB2312" w:cs="Times New Roman"/>
      <w:sz w:val="32"/>
      <w:szCs w:val="32"/>
    </w:rPr>
  </w:style>
  <w:style w:type="paragraph" w:customStyle="1" w:styleId="35">
    <w:name w:val="条文"/>
    <w:basedOn w:val="33"/>
    <w:link w:val="36"/>
    <w:qFormat/>
    <w:uiPriority w:val="0"/>
    <w:pPr>
      <w:numPr>
        <w:numId w:val="0"/>
      </w:numPr>
      <w:ind w:firstLine="640" w:firstLineChars="200"/>
    </w:pPr>
  </w:style>
  <w:style w:type="character" w:customStyle="1" w:styleId="36">
    <w:name w:val="条文 Char"/>
    <w:basedOn w:val="34"/>
    <w:link w:val="35"/>
    <w:qFormat/>
    <w:uiPriority w:val="0"/>
    <w:rPr>
      <w:rFonts w:ascii="仿宋_GB2312" w:hAnsi="华文楷体" w:eastAsia="仿宋_GB2312" w:cs="Times New Roman"/>
      <w:sz w:val="32"/>
      <w:szCs w:val="32"/>
    </w:rPr>
  </w:style>
  <w:style w:type="character" w:customStyle="1" w:styleId="37">
    <w:name w:val="正文文本 字符"/>
    <w:basedOn w:val="14"/>
    <w:link w:val="5"/>
    <w:qFormat/>
    <w:uiPriority w:val="1"/>
    <w:rPr>
      <w:rFonts w:ascii="宋体" w:hAnsi="宋体" w:eastAsia="宋体"/>
      <w:kern w:val="0"/>
      <w:sz w:val="24"/>
      <w:szCs w:val="24"/>
    </w:rPr>
  </w:style>
  <w:style w:type="character" w:customStyle="1" w:styleId="38">
    <w:name w:val="正文文本缩进 字符"/>
    <w:basedOn w:val="14"/>
    <w:link w:val="6"/>
    <w:semiHidden/>
    <w:qFormat/>
    <w:uiPriority w:val="99"/>
  </w:style>
  <w:style w:type="paragraph" w:customStyle="1" w:styleId="3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30A7-C58A-46D1-824E-6B8FF5E03622}">
  <ds:schemaRefs/>
</ds:datastoreItem>
</file>

<file path=docProps/app.xml><?xml version="1.0" encoding="utf-8"?>
<Properties xmlns="http://schemas.openxmlformats.org/officeDocument/2006/extended-properties" xmlns:vt="http://schemas.openxmlformats.org/officeDocument/2006/docPropsVTypes">
  <Template>Normal</Template>
  <Pages>40</Pages>
  <Words>4776</Words>
  <Characters>27227</Characters>
  <Lines>226</Lines>
  <Paragraphs>63</Paragraphs>
  <TotalTime>0</TotalTime>
  <ScaleCrop>false</ScaleCrop>
  <LinksUpToDate>false</LinksUpToDate>
  <CharactersWithSpaces>31940</CharactersWithSpaces>
  <Application>WPS Office_12.8.2.21215_F1E327BC-269C-435d-A152-05C5408002CA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2022-05-31T02:36:00Z</dcterms:created>
  <dc:creator>黄 海国</dc:creator>
  <cp:lastModifiedBy>chenguosheng</cp:lastModifiedBy>
  <dcterms:modified xsi:type="dcterms:W3CDTF">2026-05-19T06:04:36Z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2052-12.8.2.21215</vt:lpwstr>
  </property>
  <property fmtid="{D5CDD505-2E9C-101B-9397-08002B2CF9AE}" pid="3" name="ICV">
    <vt:lpwstr>1EAAB6C9B6154E0DBF18666BBCFB40E6_12</vt:lpwstr>
  </property>
</Properties>
</file>