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2972">
      <w:pPr>
        <w:pStyle w:val="2"/>
        <w:widowControl/>
        <w:spacing w:beforeAutospacing="0" w:afterAutospacing="0" w:line="360" w:lineRule="atLeas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C149397">
      <w:pPr>
        <w:pStyle w:val="2"/>
        <w:widowControl/>
        <w:spacing w:beforeAutospacing="0" w:afterAutospacing="0" w:line="360" w:lineRule="atLeas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49578B4">
      <w:pPr>
        <w:pStyle w:val="2"/>
        <w:widowControl/>
        <w:spacing w:beforeAutospacing="0" w:afterAutospacing="0" w:line="360" w:lineRule="atLeas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96B1678">
      <w:pPr>
        <w:pStyle w:val="2"/>
        <w:widowControl/>
        <w:spacing w:beforeAutospacing="0" w:afterAutospacing="0" w:line="10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北京易尚诺林大酒店有限责任公司</w:t>
      </w:r>
    </w:p>
    <w:p w14:paraId="02C216E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怀柔分公司</w:t>
      </w:r>
    </w:p>
    <w:p w14:paraId="0BACC9ED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p w14:paraId="53110175">
      <w:pPr>
        <w:pStyle w:val="2"/>
        <w:widowControl/>
        <w:spacing w:beforeAutospacing="0" w:afterAutospacing="0" w:line="100" w:lineRule="atLeas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有害生物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防治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服务询比价文件</w:t>
      </w:r>
    </w:p>
    <w:p w14:paraId="37DE41B3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 w14:paraId="75986A1F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 w14:paraId="2ECF3355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 w14:paraId="78C596D0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 w14:paraId="6A7CEBD9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 w14:paraId="45C5EA5E">
      <w:pPr>
        <w:widowControl/>
        <w:spacing w:line="360" w:lineRule="atLeas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p w14:paraId="7ACC8AFA">
      <w:pPr>
        <w:widowControl/>
        <w:spacing w:line="360" w:lineRule="atLeas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p w14:paraId="1A0B88A7">
      <w:pPr>
        <w:widowControl/>
        <w:spacing w:line="360" w:lineRule="atLeas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p w14:paraId="3A1476EA">
      <w:pPr>
        <w:widowControl/>
        <w:spacing w:line="360" w:lineRule="atLeas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p w14:paraId="36C1D010">
      <w:pPr>
        <w:widowControl/>
        <w:spacing w:line="36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编制日期：2026 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月</w:t>
      </w:r>
    </w:p>
    <w:p w14:paraId="0DF1B4E0">
      <w:pPr>
        <w:rPr>
          <w:rFonts w:ascii="宋体" w:hAnsi="宋体" w:eastAsia="宋体" w:cs="宋体"/>
          <w:color w:val="000000"/>
          <w:kern w:val="0"/>
          <w:sz w:val="2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F2C366"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4EFC027E">
      <w:pPr>
        <w:pStyle w:val="2"/>
        <w:widowControl/>
        <w:spacing w:beforeAutospacing="0" w:afterAutospacing="0" w:line="360" w:lineRule="atLeas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目  录</w:t>
      </w:r>
    </w:p>
    <w:p w14:paraId="246FC9A7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0F00A3BC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项目概述</w:t>
      </w:r>
    </w:p>
    <w:p w14:paraId="32ADC7B2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参选人资格要求</w:t>
      </w:r>
    </w:p>
    <w:p w14:paraId="0C149B8C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比选响应文件编制要求</w:t>
      </w:r>
    </w:p>
    <w:p w14:paraId="242086E0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比选流程与评审办法</w:t>
      </w:r>
    </w:p>
    <w:p w14:paraId="09B9771A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综合评分标准表</w:t>
      </w:r>
    </w:p>
    <w:p w14:paraId="7520A47F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长期服务框架协议（主要条款）</w:t>
      </w:r>
    </w:p>
    <w:p w14:paraId="3AC298A1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报价要求</w:t>
      </w:r>
    </w:p>
    <w:p w14:paraId="7DD39D9B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 则</w:t>
      </w:r>
    </w:p>
    <w:p w14:paraId="5CC8B291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2123D217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 1 比选响应函（模板）</w:t>
      </w:r>
    </w:p>
    <w:p w14:paraId="7A4F4B62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 2 报价表（模板）</w:t>
      </w:r>
    </w:p>
    <w:p w14:paraId="2A2D7246"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br w:type="page"/>
      </w:r>
    </w:p>
    <w:p w14:paraId="562A4391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77C771B9">
      <w:pPr>
        <w:pStyle w:val="2"/>
        <w:widowControl/>
        <w:numPr>
          <w:ilvl w:val="0"/>
          <w:numId w:val="2"/>
        </w:numPr>
        <w:spacing w:beforeAutospacing="0" w:afterAutospacing="0" w:line="36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项目概述</w:t>
      </w:r>
    </w:p>
    <w:p w14:paraId="10822CCD">
      <w:pPr>
        <w:pStyle w:val="2"/>
        <w:widowControl/>
        <w:spacing w:beforeAutospacing="0" w:afterAutospacing="0"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一、项目基本情况</w:t>
      </w:r>
    </w:p>
    <w:p w14:paraId="11BE870A">
      <w:pPr>
        <w:widowControl/>
        <w:numPr>
          <w:ilvl w:val="0"/>
          <w:numId w:val="3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项目名称：北京易尚诺林大酒店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有限责任公司怀柔分公司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有害生物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服务项目</w:t>
      </w:r>
    </w:p>
    <w:p w14:paraId="38AC4F19">
      <w:pPr>
        <w:widowControl/>
        <w:numPr>
          <w:ilvl w:val="0"/>
          <w:numId w:val="3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比选人：北京易尚诺林大酒店有限责任公司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有限责任公司怀柔分公司</w:t>
      </w:r>
    </w:p>
    <w:p w14:paraId="74AC8981">
      <w:pPr>
        <w:widowControl/>
        <w:numPr>
          <w:ilvl w:val="0"/>
          <w:numId w:val="3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服务地点：北京市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怀柔区雁栖湖雁水路6号</w:t>
      </w:r>
    </w:p>
    <w:p w14:paraId="1568DA6E">
      <w:pPr>
        <w:widowControl/>
        <w:numPr>
          <w:ilvl w:val="0"/>
          <w:numId w:val="3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有害生物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</w:p>
    <w:p w14:paraId="194E7D12">
      <w:pPr>
        <w:widowControl/>
        <w:numPr>
          <w:ilvl w:val="0"/>
          <w:numId w:val="3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服务期限：1 年，框架协议模式，一年一签</w:t>
      </w:r>
    </w:p>
    <w:p w14:paraId="71FCC5A4">
      <w:pPr>
        <w:widowControl/>
        <w:numPr>
          <w:ilvl w:val="0"/>
          <w:numId w:val="3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比选方式：邀请比选</w:t>
      </w:r>
    </w:p>
    <w:p w14:paraId="5AD82CBE">
      <w:pPr>
        <w:widowControl/>
        <w:numPr>
          <w:ilvl w:val="0"/>
          <w:numId w:val="3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评审方式：综合评分</w:t>
      </w:r>
    </w:p>
    <w:p w14:paraId="1ACC24D3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防治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范围</w:t>
      </w:r>
    </w:p>
    <w:p w14:paraId="51FDC7BA">
      <w:pPr>
        <w:widowControl/>
        <w:numPr>
          <w:ilvl w:val="0"/>
          <w:numId w:val="4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餐厅大堂、包房</w:t>
      </w:r>
    </w:p>
    <w:p w14:paraId="1B76FDE2">
      <w:pPr>
        <w:widowControl/>
        <w:numPr>
          <w:ilvl w:val="0"/>
          <w:numId w:val="4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厨房操作间、厨房过道</w:t>
      </w:r>
    </w:p>
    <w:p w14:paraId="160B1136">
      <w:pPr>
        <w:widowControl/>
        <w:numPr>
          <w:ilvl w:val="0"/>
          <w:numId w:val="4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酒店垃圾收集站</w:t>
      </w:r>
    </w:p>
    <w:p w14:paraId="0AD4D464">
      <w:pPr>
        <w:widowControl/>
        <w:numPr>
          <w:ilvl w:val="0"/>
          <w:numId w:val="4"/>
        </w:numPr>
        <w:spacing w:line="600" w:lineRule="exact"/>
        <w:ind w:left="479" w:leftChars="228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主楼建筑周围</w:t>
      </w:r>
    </w:p>
    <w:p w14:paraId="253C9864">
      <w:pPr>
        <w:pStyle w:val="3"/>
        <w:widowControl/>
        <w:numPr>
          <w:ilvl w:val="0"/>
          <w:numId w:val="5"/>
        </w:numPr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标准</w:t>
      </w:r>
    </w:p>
    <w:p w14:paraId="5DD0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防治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 xml:space="preserve">对象：蟑螂、鼠类、苍蝇。               </w:t>
      </w:r>
    </w:p>
    <w:p w14:paraId="421C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2、乙方采取综合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措施，控制服务区域内的有害生物密度。</w:t>
      </w:r>
    </w:p>
    <w:p w14:paraId="44D8F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3、指导甲方搞好卫生基础设施和预防措施。</w:t>
      </w:r>
    </w:p>
    <w:p w14:paraId="3F66F9E4"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防治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效果达到北京市爱卫会规定标准</w:t>
      </w:r>
    </w:p>
    <w:p w14:paraId="1CEC597E">
      <w:pPr>
        <w:pStyle w:val="2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第二章 参选人资格要求</w:t>
      </w:r>
    </w:p>
    <w:p w14:paraId="32EF009D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一、法人资格</w:t>
      </w:r>
    </w:p>
    <w:p w14:paraId="4D4319F7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在中华人民共和国境内注册，具有独立法人资格，持有有效营业执照。</w:t>
      </w:r>
    </w:p>
    <w:p w14:paraId="4B8D9F76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二、服务机构资质</w:t>
      </w:r>
    </w:p>
    <w:p w14:paraId="0FF4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1、公司具有有害生物消杀防治专业资质；</w:t>
      </w:r>
    </w:p>
    <w:p w14:paraId="424A9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2、日常使用的防治药物、药剂、工具等具有产品合格证明，符合国家和北京市地方卫生健康标准，有合格证书或产品检测报告。</w:t>
      </w:r>
    </w:p>
    <w:p w14:paraId="7549D739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三、人员要求</w:t>
      </w:r>
    </w:p>
    <w:p w14:paraId="5F69DD57">
      <w:pPr>
        <w:widowControl/>
        <w:numPr>
          <w:ilvl w:val="0"/>
          <w:numId w:val="6"/>
        </w:numPr>
        <w:tabs>
          <w:tab w:val="left" w:pos="220"/>
          <w:tab w:val="clear" w:pos="720"/>
        </w:tabs>
        <w:spacing w:line="600" w:lineRule="exact"/>
        <w:ind w:left="0" w:firstLine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具有有害生物消杀防治操作资质</w:t>
      </w:r>
    </w:p>
    <w:p w14:paraId="2398933D">
      <w:pPr>
        <w:widowControl/>
        <w:numPr>
          <w:ilvl w:val="0"/>
          <w:numId w:val="6"/>
        </w:numPr>
        <w:tabs>
          <w:tab w:val="left" w:pos="220"/>
          <w:tab w:val="clear" w:pos="720"/>
        </w:tabs>
        <w:spacing w:line="600" w:lineRule="exact"/>
        <w:ind w:left="0" w:firstLine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所有人员必须持证上岗、专人固定服务</w:t>
      </w:r>
    </w:p>
    <w:p w14:paraId="7DA3DB33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四、业绩要求</w:t>
      </w:r>
    </w:p>
    <w:p w14:paraId="547EB1F8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近 3 年内具有</w:t>
      </w:r>
      <w:r>
        <w:rPr>
          <w:rStyle w:val="12"/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酒店、商业综合体、高层建筑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有害生物消杀防治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业绩不少于 2 个（提供合同复印件）。</w:t>
      </w:r>
    </w:p>
    <w:p w14:paraId="1AFFC15A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五、信誉要求</w:t>
      </w:r>
    </w:p>
    <w:p w14:paraId="77D8136C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未被列入失信被执行人、重大税收违法失信主体，无重大安全事故及违法违规记录。</w:t>
      </w:r>
    </w:p>
    <w:p w14:paraId="71B40526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六、其他</w:t>
      </w:r>
    </w:p>
    <w:p w14:paraId="7205BE26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本项目</w:t>
      </w:r>
      <w:r>
        <w:rPr>
          <w:rStyle w:val="12"/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不接受联合体参选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，不允许转包、违法分包。</w:t>
      </w:r>
    </w:p>
    <w:p w14:paraId="54FF95E2">
      <w:pPr>
        <w:pStyle w:val="2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</w:p>
    <w:p w14:paraId="40814027">
      <w:pPr>
        <w:pStyle w:val="2"/>
        <w:widowControl/>
        <w:spacing w:beforeAutospacing="0" w:afterAutospacing="0" w:line="600" w:lineRule="exact"/>
        <w:jc w:val="both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</w:p>
    <w:p w14:paraId="7C52D052">
      <w:pPr>
        <w:pStyle w:val="2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第三章 比选响应文件编制要求</w:t>
      </w:r>
    </w:p>
    <w:p w14:paraId="2259BABB"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参选人须按以下顺序编制、密封提交：</w:t>
      </w:r>
      <w:r>
        <w:rPr>
          <w:rStyle w:val="12"/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正本</w:t>
      </w:r>
      <w:r>
        <w:rPr>
          <w:rStyle w:val="12"/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投</w:t>
      </w:r>
      <w:r>
        <w:rPr>
          <w:rStyle w:val="12"/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标</w:t>
      </w:r>
      <w:r>
        <w:rPr>
          <w:rStyle w:val="12"/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文件一套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09C3C7B7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响应文件封面、目录</w:t>
      </w:r>
    </w:p>
    <w:p w14:paraId="1D6FC020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比选响应函</w:t>
      </w:r>
    </w:p>
    <w:p w14:paraId="5494D8CD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法定代表人身份证明及授权委托书</w:t>
      </w:r>
    </w:p>
    <w:p w14:paraId="19322282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营业执照复印件</w:t>
      </w:r>
    </w:p>
    <w:p w14:paraId="6D311461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行业相关证书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复印件</w:t>
      </w:r>
    </w:p>
    <w:p w14:paraId="4498F27F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项目负责人、操作人员证书</w:t>
      </w:r>
    </w:p>
    <w:p w14:paraId="418B6679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 3 年同类业绩合同复印件</w:t>
      </w:r>
    </w:p>
    <w:p w14:paraId="2A2F0889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有害生物消杀防治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服务方案</w:t>
      </w:r>
    </w:p>
    <w:p w14:paraId="0F0FA8E2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报价文件（总价）</w:t>
      </w:r>
    </w:p>
    <w:p w14:paraId="51862C4E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服务承诺、廉洁承诺</w:t>
      </w:r>
    </w:p>
    <w:p w14:paraId="7E89E0B5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协议响应意见</w:t>
      </w:r>
    </w:p>
    <w:p w14:paraId="51CE93CC">
      <w:pPr>
        <w:widowControl/>
        <w:numPr>
          <w:ilvl w:val="0"/>
          <w:numId w:val="7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参选人认为需要提供的其他材料</w:t>
      </w:r>
    </w:p>
    <w:p w14:paraId="2A910BB1">
      <w:pPr>
        <w:pStyle w:val="2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</w:p>
    <w:p w14:paraId="6E644D96">
      <w:pPr>
        <w:pStyle w:val="2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第四章 比选流程与评审办法</w:t>
      </w:r>
    </w:p>
    <w:p w14:paraId="271B8AC1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一、比选流程</w:t>
      </w:r>
    </w:p>
    <w:p w14:paraId="6427B19F">
      <w:pPr>
        <w:widowControl/>
        <w:numPr>
          <w:ilvl w:val="0"/>
          <w:numId w:val="8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发布比选文件</w:t>
      </w:r>
    </w:p>
    <w:p w14:paraId="3913951F">
      <w:pPr>
        <w:widowControl/>
        <w:numPr>
          <w:ilvl w:val="0"/>
          <w:numId w:val="8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参选人编制并递交响应文件</w:t>
      </w:r>
    </w:p>
    <w:p w14:paraId="7A827012">
      <w:pPr>
        <w:widowControl/>
        <w:numPr>
          <w:ilvl w:val="0"/>
          <w:numId w:val="8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比选人组织资格审查</w:t>
      </w:r>
    </w:p>
    <w:p w14:paraId="004BC1D1">
      <w:pPr>
        <w:widowControl/>
        <w:numPr>
          <w:ilvl w:val="0"/>
          <w:numId w:val="8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综合评分</w:t>
      </w:r>
    </w:p>
    <w:p w14:paraId="38AB48B9">
      <w:pPr>
        <w:widowControl/>
        <w:numPr>
          <w:ilvl w:val="0"/>
          <w:numId w:val="8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确定中选候选人</w:t>
      </w:r>
    </w:p>
    <w:p w14:paraId="6E6698C3">
      <w:pPr>
        <w:widowControl/>
        <w:numPr>
          <w:ilvl w:val="0"/>
          <w:numId w:val="8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通知中选单位</w:t>
      </w:r>
    </w:p>
    <w:p w14:paraId="503C095A">
      <w:pPr>
        <w:widowControl/>
        <w:numPr>
          <w:ilvl w:val="0"/>
          <w:numId w:val="8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</w:t>
      </w:r>
    </w:p>
    <w:p w14:paraId="39FF9C9F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二、评审原则</w:t>
      </w:r>
    </w:p>
    <w:p w14:paraId="70850C49">
      <w:pPr>
        <w:widowControl/>
        <w:numPr>
          <w:ilvl w:val="0"/>
          <w:numId w:val="9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坚持公平、公正、科学、择优原则。</w:t>
      </w:r>
    </w:p>
    <w:p w14:paraId="5FD1BCE0">
      <w:pPr>
        <w:widowControl/>
        <w:numPr>
          <w:ilvl w:val="0"/>
          <w:numId w:val="9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采用综合评分法，总分 100 分。</w:t>
      </w:r>
    </w:p>
    <w:p w14:paraId="735E7DBE">
      <w:pPr>
        <w:widowControl/>
        <w:numPr>
          <w:ilvl w:val="0"/>
          <w:numId w:val="9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得分最高者为第一中选候选人，依次顺延。</w:t>
      </w:r>
    </w:p>
    <w:p w14:paraId="35FC6756">
      <w:pPr>
        <w:widowControl/>
        <w:numPr>
          <w:ilvl w:val="0"/>
          <w:numId w:val="9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比选人有权对参选资料进行实地核查，弄虚作假直接取消参选资格。</w:t>
      </w:r>
    </w:p>
    <w:p w14:paraId="0F132FDE">
      <w:pPr>
        <w:pStyle w:val="2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</w:p>
    <w:p w14:paraId="07DC3495">
      <w:pPr>
        <w:pStyle w:val="2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第五章 综合评分标准表（总分 100 分）</w:t>
      </w:r>
    </w:p>
    <w:p w14:paraId="22346788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一、技术部分（40 分）</w:t>
      </w:r>
    </w:p>
    <w:p w14:paraId="6C6CAFB0">
      <w:pPr>
        <w:widowControl/>
        <w:numPr>
          <w:ilvl w:val="0"/>
          <w:numId w:val="10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方案完整性、针对性、合理性 ——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 分</w:t>
      </w:r>
    </w:p>
    <w:p w14:paraId="60242B5F">
      <w:pPr>
        <w:widowControl/>
        <w:numPr>
          <w:ilvl w:val="0"/>
          <w:numId w:val="10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项目团队配置、人员资质、稳定性 ——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</w:t>
      </w:r>
    </w:p>
    <w:p w14:paraId="1F1659AE">
      <w:pPr>
        <w:widowControl/>
        <w:numPr>
          <w:ilvl w:val="0"/>
          <w:numId w:val="10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 3 年酒店 / 商业 / 同类业绩 —— 5分</w:t>
      </w:r>
    </w:p>
    <w:p w14:paraId="7805CAFA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二、商务部分（20 分）</w:t>
      </w:r>
    </w:p>
    <w:p w14:paraId="4EAC8A51">
      <w:pPr>
        <w:widowControl/>
        <w:numPr>
          <w:ilvl w:val="0"/>
          <w:numId w:val="11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企业资质、备案情况、合规性 —— 5 分</w:t>
      </w:r>
    </w:p>
    <w:p w14:paraId="76CE3841">
      <w:pPr>
        <w:widowControl/>
        <w:numPr>
          <w:ilvl w:val="0"/>
          <w:numId w:val="11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企业信誉、履约能力、服务承诺 —— 5 分</w:t>
      </w:r>
    </w:p>
    <w:p w14:paraId="6D7B8949">
      <w:pPr>
        <w:widowControl/>
        <w:numPr>
          <w:ilvl w:val="0"/>
          <w:numId w:val="11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框架协议响应、服务期限、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 —— 10 分</w:t>
      </w:r>
    </w:p>
    <w:p w14:paraId="1F6FA3C2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三、报价部分（40 分）</w:t>
      </w:r>
    </w:p>
    <w:p w14:paraId="36DA6A2E">
      <w:pPr>
        <w:widowControl/>
        <w:numPr>
          <w:ilvl w:val="0"/>
          <w:numId w:val="12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报价合理、完整、无漏项 —— 20 分</w:t>
      </w:r>
    </w:p>
    <w:p w14:paraId="48D2FBD5">
      <w:pPr>
        <w:widowControl/>
        <w:numPr>
          <w:ilvl w:val="0"/>
          <w:numId w:val="12"/>
        </w:numPr>
        <w:spacing w:line="600" w:lineRule="exact"/>
        <w:ind w:left="279" w:leftChars="133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价格竞争力、性价比 —— 20 分</w:t>
      </w:r>
    </w:p>
    <w:p w14:paraId="0E79553D">
      <w:pPr>
        <w:pStyle w:val="2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</w:p>
    <w:p w14:paraId="0BD32BCA">
      <w:pPr>
        <w:pStyle w:val="2"/>
        <w:widowControl/>
        <w:spacing w:beforeAutospacing="0" w:afterAutospacing="0" w:line="600" w:lineRule="exact"/>
        <w:jc w:val="both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3D2C2F0C">
      <w:pPr>
        <w:pStyle w:val="2"/>
        <w:widowControl/>
        <w:spacing w:beforeAutospacing="0" w:afterAutospacing="0" w:line="600" w:lineRule="exact"/>
        <w:jc w:val="both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7E437CD6">
      <w:pPr>
        <w:pStyle w:val="2"/>
        <w:widowControl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0060745B">
      <w:pPr>
        <w:pStyle w:val="2"/>
        <w:widowControl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>第六章 服务协议（主要条款）</w:t>
      </w:r>
    </w:p>
    <w:p w14:paraId="6C33EEAE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、服务内容</w:t>
      </w:r>
    </w:p>
    <w:p w14:paraId="5AAB6001">
      <w:pPr>
        <w:ind w:left="57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项目具体要求：详见合同条款内容。</w:t>
      </w:r>
    </w:p>
    <w:p w14:paraId="0DF8874C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、协议性质</w:t>
      </w:r>
    </w:p>
    <w:p w14:paraId="2E992A16">
      <w:pPr>
        <w:widowControl/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本项目采用</w:t>
      </w:r>
      <w:r>
        <w:rPr>
          <w:rStyle w:val="12"/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年度框架协议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，服务期 1 年，期满经考核合格可续签。</w:t>
      </w:r>
    </w:p>
    <w:p w14:paraId="1750DB30">
      <w:pPr>
        <w:pStyle w:val="3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、付款方式</w:t>
      </w:r>
      <w:bookmarkStart w:id="0" w:name="_GoBack"/>
      <w:bookmarkEnd w:id="0"/>
    </w:p>
    <w:p w14:paraId="3E44880E"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服务期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结束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支付，以正式合同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金额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为准。</w:t>
      </w:r>
    </w:p>
    <w:p w14:paraId="313766B0">
      <w:pPr>
        <w:widowControl/>
        <w:spacing w:line="60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3771066F">
      <w:pPr>
        <w:pStyle w:val="2"/>
        <w:widowControl/>
        <w:numPr>
          <w:ilvl w:val="0"/>
          <w:numId w:val="13"/>
        </w:numPr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>报价要求</w:t>
      </w:r>
    </w:p>
    <w:p w14:paraId="3279ED9C">
      <w:pPr>
        <w:spacing w:line="600" w:lineRule="exact"/>
      </w:pPr>
    </w:p>
    <w:p w14:paraId="0CFBB63E">
      <w:pPr>
        <w:widowControl/>
        <w:numPr>
          <w:ilvl w:val="0"/>
          <w:numId w:val="14"/>
        </w:num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报价为</w:t>
      </w:r>
      <w:r>
        <w:rPr>
          <w:rStyle w:val="12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含税全包价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，包含人工、设备、工具、交通、通讯、培训费、服务费、税费等所有费用。</w:t>
      </w:r>
    </w:p>
    <w:p w14:paraId="7A8FBF77">
      <w:pPr>
        <w:widowControl/>
        <w:numPr>
          <w:ilvl w:val="0"/>
          <w:numId w:val="14"/>
        </w:num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超过比选人最高限价的按无效参选处理。</w:t>
      </w:r>
    </w:p>
    <w:p w14:paraId="0DF0E015">
      <w:pPr>
        <w:widowControl/>
        <w:numPr>
          <w:ilvl w:val="0"/>
          <w:numId w:val="14"/>
        </w:num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报价一旦确认，作为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计价依据。</w:t>
      </w:r>
    </w:p>
    <w:p w14:paraId="21567289">
      <w:pPr>
        <w:pStyle w:val="2"/>
        <w:widowControl/>
        <w:spacing w:beforeAutospacing="0" w:afterAutospacing="0"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</w:p>
    <w:p w14:paraId="0D428997">
      <w:pPr>
        <w:pStyle w:val="2"/>
        <w:widowControl/>
        <w:numPr>
          <w:ilvl w:val="0"/>
          <w:numId w:val="13"/>
        </w:numPr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>附 则</w:t>
      </w:r>
    </w:p>
    <w:p w14:paraId="22F09941">
      <w:pPr>
        <w:widowControl/>
        <w:numPr>
          <w:ilvl w:val="0"/>
          <w:numId w:val="15"/>
        </w:num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参选人应自行踏勘现场，了解酒店实际情况。</w:t>
      </w:r>
    </w:p>
    <w:p w14:paraId="0C8AF263">
      <w:pPr>
        <w:widowControl/>
        <w:numPr>
          <w:ilvl w:val="0"/>
          <w:numId w:val="15"/>
        </w:num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中选人应在收到中选通知后7 日内完成合同洽谈及签订。</w:t>
      </w:r>
    </w:p>
    <w:p w14:paraId="64062EAF">
      <w:pPr>
        <w:widowControl/>
        <w:numPr>
          <w:ilvl w:val="0"/>
          <w:numId w:val="15"/>
        </w:num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比选人有权根据实际情况对服务内容进行合理调整。</w:t>
      </w:r>
    </w:p>
    <w:p w14:paraId="48423D50">
      <w:pPr>
        <w:widowControl/>
        <w:numPr>
          <w:ilvl w:val="0"/>
          <w:numId w:val="15"/>
        </w:num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本比选文件最终解释权归北京易尚诺林大酒店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有限责任公司怀柔分公司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所有。</w:t>
      </w:r>
    </w:p>
    <w:p w14:paraId="35A6781C">
      <w:pPr>
        <w:widowControl/>
        <w:spacing w:line="600" w:lineRule="exact"/>
        <w:ind w:left="42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BAAC662">
      <w:pP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42E8C31D">
      <w:pP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68C5E3BD">
      <w:pPr>
        <w:pStyle w:val="2"/>
        <w:widowControl/>
        <w:spacing w:beforeAutospacing="0" w:afterAutospacing="0" w:line="360" w:lineRule="atLeas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 xml:space="preserve">附件 1 </w:t>
      </w:r>
    </w:p>
    <w:p w14:paraId="5174BAD2">
      <w:pPr>
        <w:pStyle w:val="2"/>
        <w:widowControl/>
        <w:spacing w:beforeAutospacing="0" w:afterAutospacing="0" w:line="360" w:lineRule="atLeast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44"/>
          <w:szCs w:val="44"/>
        </w:rPr>
        <w:t>比选响应函（模板）</w:t>
      </w:r>
    </w:p>
    <w:p w14:paraId="32B23FCE">
      <w:pPr>
        <w:widowControl/>
        <w:spacing w:line="36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</w:p>
    <w:p w14:paraId="6A1006CB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致：北京易尚诺林大酒店有限责任公司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怀柔分公司</w:t>
      </w:r>
    </w:p>
    <w:p w14:paraId="19229622">
      <w:pPr>
        <w:widowControl/>
        <w:spacing w:line="360" w:lineRule="atLeas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我方已仔细研究《北京易尚诺林大酒店</w:t>
      </w:r>
      <w:r>
        <w:rPr>
          <w:rFonts w:hint="eastAsia" w:ascii="宋体" w:hAnsi="宋体" w:eastAsia="宋体" w:cs="宋体"/>
          <w:sz w:val="32"/>
          <w:szCs w:val="32"/>
        </w:rPr>
        <w:t>有害生物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防治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服务询比价文件》，愿意按照文件要求参与比选，并严格履行相应责任与义务。</w:t>
      </w:r>
    </w:p>
    <w:p w14:paraId="6874F594">
      <w:pPr>
        <w:widowControl/>
        <w:spacing w:line="36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</w:p>
    <w:p w14:paraId="67A216ED">
      <w:pPr>
        <w:widowControl/>
        <w:spacing w:line="36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</w:p>
    <w:p w14:paraId="2169AA47">
      <w:pPr>
        <w:widowControl/>
        <w:spacing w:line="360" w:lineRule="atLeast"/>
        <w:ind w:firstLine="2880" w:firstLineChars="9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>参选单位（盖章）：</w:t>
      </w:r>
    </w:p>
    <w:p w14:paraId="00863667">
      <w:pPr>
        <w:widowControl/>
        <w:spacing w:line="360" w:lineRule="atLeast"/>
        <w:ind w:firstLine="2880" w:firstLineChars="9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>法定代表人或授权代表（签字）：</w:t>
      </w:r>
    </w:p>
    <w:p w14:paraId="63E3F464">
      <w:pPr>
        <w:widowControl/>
        <w:spacing w:line="360" w:lineRule="atLeast"/>
        <w:ind w:firstLine="3840" w:firstLineChars="1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>日期：2026 年 月 日</w:t>
      </w:r>
    </w:p>
    <w:p w14:paraId="46C1DEFF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br w:type="page"/>
      </w:r>
    </w:p>
    <w:p w14:paraId="25FE9F65">
      <w:pPr>
        <w:pStyle w:val="2"/>
        <w:widowControl/>
        <w:spacing w:beforeAutospacing="0" w:afterAutospacing="0" w:line="360" w:lineRule="atLeas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 xml:space="preserve">附件 2 </w:t>
      </w:r>
    </w:p>
    <w:p w14:paraId="303DD6AF">
      <w:pPr>
        <w:pStyle w:val="2"/>
        <w:widowControl/>
        <w:spacing w:beforeAutospacing="0" w:afterAutospacing="0" w:line="360" w:lineRule="atLeast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44"/>
          <w:szCs w:val="44"/>
        </w:rPr>
        <w:t>报价表（模板）</w:t>
      </w:r>
    </w:p>
    <w:p w14:paraId="279D1A7D">
      <w:pPr>
        <w:widowControl/>
        <w:spacing w:line="360" w:lineRule="atLeast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bidi="ar"/>
        </w:rPr>
        <w:t>项目名称：北京易尚诺林大酒店有限责任公司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怀柔分公司</w:t>
      </w:r>
    </w:p>
    <w:p w14:paraId="41574C5B">
      <w:pPr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服务名称：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有害生物防治服务</w:t>
      </w:r>
    </w:p>
    <w:tbl>
      <w:tblPr>
        <w:tblStyle w:val="10"/>
        <w:tblW w:w="9525" w:type="dxa"/>
        <w:tblInd w:w="-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2655"/>
        <w:gridCol w:w="2520"/>
      </w:tblGrid>
      <w:tr w14:paraId="4D9B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0" w:type="dxa"/>
            <w:shd w:val="clear" w:color="auto" w:fill="E7E6E6" w:themeFill="background2"/>
          </w:tcPr>
          <w:p w14:paraId="6BF93052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2655" w:type="dxa"/>
            <w:shd w:val="clear" w:color="auto" w:fill="E7E6E6" w:themeFill="background2"/>
          </w:tcPr>
          <w:p w14:paraId="565062F7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金额（元）</w:t>
            </w:r>
          </w:p>
        </w:tc>
        <w:tc>
          <w:tcPr>
            <w:tcW w:w="2520" w:type="dxa"/>
            <w:shd w:val="clear" w:color="auto" w:fill="E7E6E6" w:themeFill="background2"/>
          </w:tcPr>
          <w:p w14:paraId="50228BC9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6D7F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0" w:type="dxa"/>
          </w:tcPr>
          <w:p w14:paraId="4D86C6F3">
            <w:pPr>
              <w:widowControl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有害生物防治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服务费</w:t>
            </w:r>
          </w:p>
        </w:tc>
        <w:tc>
          <w:tcPr>
            <w:tcW w:w="2655" w:type="dxa"/>
          </w:tcPr>
          <w:p w14:paraId="261CEEBE">
            <w:pPr>
              <w:widowControl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20" w:type="dxa"/>
          </w:tcPr>
          <w:p w14:paraId="3C4A1861"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发票</w:t>
            </w:r>
          </w:p>
        </w:tc>
      </w:tr>
      <w:tr w14:paraId="26C7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0" w:type="dxa"/>
          </w:tcPr>
          <w:p w14:paraId="7C2A118C">
            <w:pPr>
              <w:widowControl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服务期限</w:t>
            </w:r>
          </w:p>
        </w:tc>
        <w:tc>
          <w:tcPr>
            <w:tcW w:w="2655" w:type="dxa"/>
          </w:tcPr>
          <w:p w14:paraId="432F432F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 年</w:t>
            </w:r>
          </w:p>
        </w:tc>
        <w:tc>
          <w:tcPr>
            <w:tcW w:w="2520" w:type="dxa"/>
          </w:tcPr>
          <w:p w14:paraId="035B8836">
            <w:pPr>
              <w:widowControl/>
              <w:spacing w:line="360" w:lineRule="atLeas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框架协议</w:t>
            </w:r>
          </w:p>
        </w:tc>
      </w:tr>
    </w:tbl>
    <w:p w14:paraId="6B4F1D0E">
      <w:pPr>
        <w:widowControl/>
        <w:spacing w:line="36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</w:p>
    <w:p w14:paraId="3A7BBD3C">
      <w:pPr>
        <w:widowControl/>
        <w:spacing w:line="36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</w:p>
    <w:p w14:paraId="183DFA39">
      <w:pPr>
        <w:widowControl/>
        <w:spacing w:line="36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>报价单位（盖章）：</w:t>
      </w:r>
    </w:p>
    <w:p w14:paraId="1DDD2BE8">
      <w:pPr>
        <w:widowControl/>
        <w:spacing w:line="36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>日期：2026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0DFB28F3-E748-49A4-945A-363E382119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B10AEB-4AE4-42BC-82B7-7F8A7C1751A6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823E628A-A30B-4441-B195-D2190EEDDD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A3C48F-02AB-40A3-B7EC-1B57C98F05E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7535F"/>
    <w:multiLevelType w:val="singleLevel"/>
    <w:tmpl w:val="8177535F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878DB0AF"/>
    <w:multiLevelType w:val="multilevel"/>
    <w:tmpl w:val="878DB0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8D338AF1"/>
    <w:multiLevelType w:val="multilevel"/>
    <w:tmpl w:val="8D338A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BD715DE"/>
    <w:multiLevelType w:val="multilevel"/>
    <w:tmpl w:val="9BD715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ADB70025"/>
    <w:multiLevelType w:val="singleLevel"/>
    <w:tmpl w:val="ADB7002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C3EFEBF8"/>
    <w:multiLevelType w:val="multilevel"/>
    <w:tmpl w:val="C3EFEB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C8C6AFF5"/>
    <w:multiLevelType w:val="multilevel"/>
    <w:tmpl w:val="C8C6AF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D0707066"/>
    <w:multiLevelType w:val="singleLevel"/>
    <w:tmpl w:val="D070706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F9648C3A"/>
    <w:multiLevelType w:val="multilevel"/>
    <w:tmpl w:val="F9648C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05F95796"/>
    <w:multiLevelType w:val="singleLevel"/>
    <w:tmpl w:val="05F95796"/>
    <w:lvl w:ilvl="0" w:tentative="0">
      <w:start w:val="7"/>
      <w:numFmt w:val="chineseCounting"/>
      <w:suff w:val="space"/>
      <w:lvlText w:val="第%1章"/>
      <w:lvlJc w:val="left"/>
      <w:rPr>
        <w:rFonts w:hint="eastAsia"/>
      </w:rPr>
    </w:lvl>
  </w:abstractNum>
  <w:abstractNum w:abstractNumId="10">
    <w:nsid w:val="18400F0C"/>
    <w:multiLevelType w:val="singleLevel"/>
    <w:tmpl w:val="18400F0C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1">
    <w:nsid w:val="28275149"/>
    <w:multiLevelType w:val="multilevel"/>
    <w:tmpl w:val="282751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3C18BFFD"/>
    <w:multiLevelType w:val="singleLevel"/>
    <w:tmpl w:val="3C18BFF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3">
    <w:nsid w:val="64093BE3"/>
    <w:multiLevelType w:val="multilevel"/>
    <w:tmpl w:val="64093B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6B31AD8C"/>
    <w:multiLevelType w:val="multilevel"/>
    <w:tmpl w:val="6B31AD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1"/>
  </w:num>
  <w:num w:numId="5">
    <w:abstractNumId w:val="7"/>
  </w:num>
  <w:num w:numId="6">
    <w:abstractNumId w:val="13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14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865D74"/>
    <w:rsid w:val="0001756D"/>
    <w:rsid w:val="000551E0"/>
    <w:rsid w:val="00197FAB"/>
    <w:rsid w:val="00271D2D"/>
    <w:rsid w:val="005043E9"/>
    <w:rsid w:val="00586056"/>
    <w:rsid w:val="005A21A6"/>
    <w:rsid w:val="008618A3"/>
    <w:rsid w:val="00961262"/>
    <w:rsid w:val="0096150E"/>
    <w:rsid w:val="00A76167"/>
    <w:rsid w:val="00CB5080"/>
    <w:rsid w:val="00E330E5"/>
    <w:rsid w:val="00FC7679"/>
    <w:rsid w:val="02641C78"/>
    <w:rsid w:val="036B0DD8"/>
    <w:rsid w:val="06865D74"/>
    <w:rsid w:val="094D21F0"/>
    <w:rsid w:val="0BB202F1"/>
    <w:rsid w:val="1179268A"/>
    <w:rsid w:val="17D054B0"/>
    <w:rsid w:val="180F562E"/>
    <w:rsid w:val="1B342950"/>
    <w:rsid w:val="1E05479F"/>
    <w:rsid w:val="227757FE"/>
    <w:rsid w:val="2393103B"/>
    <w:rsid w:val="301C40B0"/>
    <w:rsid w:val="356D5162"/>
    <w:rsid w:val="373E6758"/>
    <w:rsid w:val="3AD529C6"/>
    <w:rsid w:val="48BB14E0"/>
    <w:rsid w:val="4F4F6876"/>
    <w:rsid w:val="56C93900"/>
    <w:rsid w:val="57B03A40"/>
    <w:rsid w:val="57B563D1"/>
    <w:rsid w:val="6739419F"/>
    <w:rsid w:val="68E86BE3"/>
    <w:rsid w:val="68FD088F"/>
    <w:rsid w:val="6A131ACF"/>
    <w:rsid w:val="716F055B"/>
    <w:rsid w:val="75A85834"/>
    <w:rsid w:val="79E941A2"/>
    <w:rsid w:val="7D86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Body Text Indent 2"/>
    <w:basedOn w:val="1"/>
    <w:qFormat/>
    <w:uiPriority w:val="0"/>
    <w:pPr>
      <w:ind w:left="552"/>
    </w:pPr>
    <w:rPr>
      <w:rFonts w:ascii="仿宋_GB2312" w:eastAsia="仿宋_GB2312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4"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1627</Words>
  <Characters>1648</Characters>
  <Lines>15</Lines>
  <Paragraphs>4</Paragraphs>
  <TotalTime>0</TotalTime>
  <ScaleCrop>false</ScaleCrop>
  <LinksUpToDate>false</LinksUpToDate>
  <CharactersWithSpaces>1733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2026-03-18T02:38:00Z</dcterms:created>
  <dc:creator>沈波</dc:creator>
  <cp:lastModifiedBy>刘连忠</cp:lastModifiedBy>
  <dcterms:modified xsi:type="dcterms:W3CDTF">2026-05-11T02:40:29Z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5190E4FA054649EFB6D928F3A174377E_13</vt:lpwstr>
  </property>
  <property fmtid="{D5CDD505-2E9C-101B-9397-08002B2CF9AE}" pid="4" name="KSOTemplateDocerSaveRecord">
    <vt:lpwstr>eyJoZGlkIjoiZjQ0MTliZjU4NWIxOWU3MWFhMzMyNzk0YTgzZDIzZmUiLCJ1c2VySWQiOiI0MDY3MjAxOTQifQ==</vt:lpwstr>
  </property>
</Properties>
</file>