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p>
    <w:p>
      <w:pPr>
        <w:adjustRightInd/>
        <w:spacing w:line="360" w:lineRule="auto"/>
        <w:jc w:val="center"/>
        <w:rPr>
          <w:rFonts w:ascii="宋体" w:hAnsi="宋体" w:cs="宋体"/>
          <w:sz w:val="48"/>
          <w:szCs w:val="48"/>
        </w:rPr>
      </w:pPr>
    </w:p>
    <w:p>
      <w:pPr>
        <w:adjustRightInd/>
        <w:spacing w:line="360" w:lineRule="auto"/>
        <w:jc w:val="center"/>
        <w:rPr>
          <w:rFonts w:ascii="宋体" w:hAnsi="宋体" w:cs="宋体"/>
          <w:sz w:val="44"/>
          <w:szCs w:val="44"/>
        </w:rPr>
      </w:pPr>
      <w:r>
        <w:rPr>
          <w:rFonts w:hint="eastAsia" w:ascii="宋体" w:hAnsi="宋体" w:cs="宋体"/>
          <w:sz w:val="44"/>
          <w:szCs w:val="44"/>
        </w:rPr>
        <w:t>拱墅区2026年病媒生物监测服务项目</w:t>
      </w:r>
    </w:p>
    <w:p>
      <w:pPr>
        <w:adjustRightInd/>
        <w:spacing w:line="360" w:lineRule="auto"/>
        <w:jc w:val="center"/>
        <w:rPr>
          <w:rFonts w:ascii="宋体" w:hAnsi="宋体" w:cs="宋体"/>
          <w:sz w:val="44"/>
          <w:szCs w:val="44"/>
        </w:rPr>
      </w:pPr>
    </w:p>
    <w:p>
      <w:pPr>
        <w:adjustRightInd/>
        <w:spacing w:line="360" w:lineRule="auto"/>
        <w:jc w:val="center"/>
        <w:rPr>
          <w:rFonts w:ascii="宋体" w:hAnsi="宋体" w:cs="宋体"/>
          <w:sz w:val="44"/>
          <w:szCs w:val="44"/>
        </w:rPr>
      </w:pPr>
    </w:p>
    <w:p>
      <w:pPr>
        <w:adjustRightInd/>
        <w:spacing w:line="360" w:lineRule="auto"/>
        <w:jc w:val="center"/>
        <w:rPr>
          <w:rFonts w:ascii="宋体" w:hAnsi="宋体" w:cs="宋体"/>
          <w:sz w:val="52"/>
          <w:szCs w:val="52"/>
        </w:rPr>
      </w:pPr>
      <w:r>
        <w:rPr>
          <w:rFonts w:hint="eastAsia" w:ascii="宋体" w:hAnsi="宋体" w:cs="宋体"/>
          <w:sz w:val="48"/>
          <w:szCs w:val="48"/>
        </w:rPr>
        <w:t>采购文件</w:t>
      </w:r>
      <w:r>
        <w:rPr>
          <w:rFonts w:hint="eastAsia" w:ascii="宋体" w:hAnsi="宋体" w:cs="宋体"/>
          <w:sz w:val="52"/>
          <w:szCs w:val="52"/>
        </w:rPr>
        <w:t xml:space="preserve"> </w:t>
      </w:r>
    </w:p>
    <w:p>
      <w:pPr>
        <w:snapToGrid w:val="0"/>
        <w:spacing w:line="360" w:lineRule="auto"/>
        <w:jc w:val="center"/>
        <w:rPr>
          <w:rFonts w:ascii="宋体" w:hAnsi="宋体" w:cs="宋体"/>
          <w:sz w:val="30"/>
          <w:szCs w:val="30"/>
        </w:rPr>
      </w:pPr>
    </w:p>
    <w:p>
      <w:pPr>
        <w:snapToGrid w:val="0"/>
        <w:spacing w:line="360" w:lineRule="auto"/>
        <w:jc w:val="center"/>
        <w:rPr>
          <w:rFonts w:ascii="宋体" w:hAnsi="宋体" w:cs="宋体"/>
          <w:sz w:val="30"/>
          <w:szCs w:val="30"/>
        </w:rPr>
      </w:pPr>
      <w:r>
        <w:rPr>
          <w:rFonts w:hint="eastAsia" w:ascii="宋体" w:hAnsi="宋体" w:cs="宋体"/>
          <w:sz w:val="30"/>
          <w:szCs w:val="30"/>
        </w:rPr>
        <w:t>编号: GSWJCG-2026010</w:t>
      </w:r>
    </w:p>
    <w:p>
      <w:pPr>
        <w:adjustRightInd/>
        <w:spacing w:line="360" w:lineRule="auto"/>
        <w:rPr>
          <w:rFonts w:ascii="宋体" w:hAnsi="宋体" w:cs="宋体"/>
          <w:sz w:val="28"/>
          <w:szCs w:val="20"/>
        </w:rPr>
      </w:pPr>
    </w:p>
    <w:p>
      <w:pPr>
        <w:spacing w:line="360" w:lineRule="auto"/>
        <w:jc w:val="center"/>
        <w:rPr>
          <w:rFonts w:ascii="宋体" w:hAnsi="宋体" w:cs="宋体"/>
          <w:b/>
          <w:sz w:val="44"/>
          <w:szCs w:val="4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rPr>
          <w:rFonts w:ascii="宋体" w:hAnsi="宋体" w:cs="宋体"/>
          <w:sz w:val="32"/>
          <w:szCs w:val="32"/>
        </w:rPr>
      </w:pPr>
    </w:p>
    <w:p>
      <w:pPr>
        <w:snapToGrid w:val="0"/>
        <w:spacing w:line="360" w:lineRule="auto"/>
        <w:jc w:val="center"/>
        <w:rPr>
          <w:rFonts w:ascii="宋体" w:hAnsi="宋体" w:cs="宋体"/>
          <w:sz w:val="32"/>
          <w:szCs w:val="32"/>
        </w:rPr>
      </w:pPr>
      <w:r>
        <w:rPr>
          <w:rFonts w:hint="eastAsia" w:ascii="宋体" w:hAnsi="宋体" w:cs="宋体"/>
          <w:sz w:val="32"/>
          <w:szCs w:val="32"/>
        </w:rPr>
        <w:t>杭州市拱墅区疾病预防控制中心（杭州市拱墅区卫生监督所）</w:t>
      </w:r>
    </w:p>
    <w:p>
      <w:pPr>
        <w:spacing w:line="360" w:lineRule="auto"/>
        <w:jc w:val="center"/>
        <w:rPr>
          <w:rFonts w:ascii="宋体" w:hAnsi="宋体" w:cs="宋体"/>
          <w:sz w:val="32"/>
          <w:szCs w:val="32"/>
        </w:rPr>
      </w:pPr>
      <w:r>
        <w:rPr>
          <w:rFonts w:hint="eastAsia" w:ascii="宋体" w:hAnsi="宋体" w:cs="宋体"/>
          <w:sz w:val="32"/>
          <w:szCs w:val="32"/>
        </w:rPr>
        <w:t>浙江蟠龙工程审计咨询有限公司</w:t>
      </w:r>
    </w:p>
    <w:p>
      <w:pPr>
        <w:snapToGrid w:val="0"/>
        <w:spacing w:line="360" w:lineRule="auto"/>
        <w:jc w:val="center"/>
        <w:rPr>
          <w:rFonts w:ascii="宋体" w:hAnsi="宋体" w:cs="宋体"/>
          <w:sz w:val="32"/>
          <w:szCs w:val="32"/>
        </w:rPr>
      </w:pPr>
      <w:r>
        <w:rPr>
          <w:rFonts w:hint="eastAsia" w:ascii="宋体" w:hAnsi="宋体" w:cs="宋体"/>
          <w:sz w:val="32"/>
          <w:szCs w:val="32"/>
        </w:rPr>
        <w:t>二〇二六年</w:t>
      </w:r>
      <w:r>
        <w:rPr>
          <w:rFonts w:hint="eastAsia" w:ascii="宋体" w:hAnsi="宋体" w:cs="宋体"/>
          <w:sz w:val="32"/>
          <w:szCs w:val="32"/>
          <w:lang w:val="en-US" w:eastAsia="zh-CN"/>
        </w:rPr>
        <w:t>五</w:t>
      </w:r>
      <w:r>
        <w:rPr>
          <w:rFonts w:hint="eastAsia" w:ascii="宋体" w:hAnsi="宋体" w:cs="宋体"/>
          <w:sz w:val="32"/>
          <w:szCs w:val="32"/>
        </w:rPr>
        <w:t>月</w:t>
      </w:r>
      <w:r>
        <w:rPr>
          <w:rFonts w:hint="eastAsia" w:ascii="宋体" w:hAnsi="宋体" w:cs="宋体"/>
          <w:sz w:val="32"/>
          <w:szCs w:val="32"/>
          <w:lang w:val="en-US" w:eastAsia="zh-CN"/>
        </w:rPr>
        <w:t>十五</w:t>
      </w:r>
      <w:r>
        <w:rPr>
          <w:rFonts w:hint="eastAsia" w:ascii="宋体" w:hAnsi="宋体" w:cs="宋体"/>
          <w:sz w:val="32"/>
          <w:szCs w:val="32"/>
        </w:rPr>
        <w:t>日</w:t>
      </w:r>
    </w:p>
    <w:p>
      <w:pPr>
        <w:spacing w:line="360" w:lineRule="auto"/>
        <w:ind w:firstLine="482" w:firstLineChars="100"/>
        <w:rPr>
          <w:rFonts w:ascii="宋体" w:hAnsi="宋体" w:cs="宋体"/>
          <w:b/>
          <w:sz w:val="48"/>
          <w:szCs w:val="48"/>
        </w:rPr>
      </w:pPr>
    </w:p>
    <w:p>
      <w:pPr>
        <w:spacing w:line="360" w:lineRule="auto"/>
        <w:jc w:val="center"/>
        <w:rPr>
          <w:rFonts w:ascii="宋体" w:hAnsi="宋体" w:cs="宋体"/>
          <w:b/>
          <w:sz w:val="48"/>
          <w:szCs w:val="48"/>
        </w:rPr>
      </w:pPr>
      <w:r>
        <w:rPr>
          <w:rFonts w:hint="eastAsia" w:ascii="宋体" w:hAnsi="宋体" w:cs="宋体"/>
          <w:b/>
          <w:sz w:val="48"/>
          <w:szCs w:val="48"/>
        </w:rPr>
        <w:t>目  录</w:t>
      </w: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ind w:firstLine="1280" w:firstLineChars="400"/>
        <w:rPr>
          <w:rFonts w:ascii="宋体" w:hAnsi="宋体" w:cs="宋体"/>
          <w:sz w:val="32"/>
          <w:szCs w:val="32"/>
        </w:rPr>
      </w:pPr>
      <w:r>
        <w:rPr>
          <w:rFonts w:hint="eastAsia" w:ascii="宋体" w:hAnsi="宋体" w:cs="宋体"/>
          <w:sz w:val="32"/>
          <w:szCs w:val="32"/>
        </w:rPr>
        <w:t>第一章      交易公告</w:t>
      </w:r>
    </w:p>
    <w:p>
      <w:pPr>
        <w:spacing w:line="360" w:lineRule="auto"/>
        <w:ind w:firstLine="1280" w:firstLineChars="400"/>
        <w:rPr>
          <w:rFonts w:ascii="宋体" w:hAnsi="宋体" w:cs="宋体"/>
          <w:sz w:val="32"/>
          <w:szCs w:val="32"/>
        </w:rPr>
      </w:pPr>
      <w:r>
        <w:rPr>
          <w:rFonts w:hint="eastAsia" w:ascii="宋体" w:hAnsi="宋体" w:cs="宋体"/>
          <w:sz w:val="32"/>
          <w:szCs w:val="32"/>
        </w:rPr>
        <w:t>第二章      供应商须知</w:t>
      </w:r>
    </w:p>
    <w:p>
      <w:pPr>
        <w:spacing w:line="360" w:lineRule="auto"/>
        <w:ind w:firstLine="1280" w:firstLineChars="400"/>
        <w:rPr>
          <w:rFonts w:ascii="宋体" w:hAnsi="宋体" w:cs="宋体"/>
          <w:sz w:val="32"/>
          <w:szCs w:val="32"/>
        </w:rPr>
      </w:pPr>
      <w:r>
        <w:rPr>
          <w:rFonts w:hint="eastAsia" w:ascii="宋体" w:hAnsi="宋体" w:cs="宋体"/>
          <w:sz w:val="32"/>
          <w:szCs w:val="32"/>
        </w:rPr>
        <w:t>第三章      采购需求</w:t>
      </w:r>
    </w:p>
    <w:p>
      <w:pPr>
        <w:spacing w:line="360" w:lineRule="auto"/>
        <w:ind w:firstLine="1280" w:firstLineChars="400"/>
        <w:rPr>
          <w:rFonts w:ascii="宋体" w:hAnsi="宋体" w:cs="宋体"/>
          <w:sz w:val="32"/>
          <w:szCs w:val="32"/>
        </w:rPr>
      </w:pPr>
      <w:r>
        <w:rPr>
          <w:rFonts w:hint="eastAsia" w:ascii="宋体" w:hAnsi="宋体" w:cs="宋体"/>
          <w:sz w:val="32"/>
          <w:szCs w:val="32"/>
        </w:rPr>
        <w:t>第四章      评审办法</w:t>
      </w:r>
    </w:p>
    <w:p>
      <w:pPr>
        <w:spacing w:line="360" w:lineRule="auto"/>
        <w:ind w:firstLine="1280" w:firstLineChars="400"/>
        <w:rPr>
          <w:rFonts w:ascii="宋体" w:hAnsi="宋体" w:cs="宋体"/>
          <w:sz w:val="32"/>
          <w:szCs w:val="32"/>
        </w:rPr>
      </w:pPr>
      <w:r>
        <w:rPr>
          <w:rFonts w:hint="eastAsia" w:ascii="宋体" w:hAnsi="宋体" w:cs="宋体"/>
          <w:sz w:val="32"/>
          <w:szCs w:val="32"/>
        </w:rPr>
        <w:t>第五章      拟签订的合同文本</w:t>
      </w:r>
    </w:p>
    <w:p>
      <w:pPr>
        <w:spacing w:line="360" w:lineRule="auto"/>
        <w:ind w:firstLine="1280" w:firstLineChars="400"/>
        <w:rPr>
          <w:rFonts w:ascii="宋体" w:hAnsi="宋体" w:cs="宋体"/>
          <w:sz w:val="32"/>
          <w:szCs w:val="32"/>
        </w:rPr>
      </w:pPr>
      <w:r>
        <w:rPr>
          <w:rFonts w:hint="eastAsia" w:ascii="宋体" w:hAnsi="宋体" w:cs="宋体"/>
          <w:sz w:val="32"/>
          <w:szCs w:val="32"/>
        </w:rPr>
        <w:t>第六章      应提交的有关格式范例</w:t>
      </w:r>
    </w:p>
    <w:p>
      <w:pPr>
        <w:pStyle w:val="29"/>
        <w:rPr>
          <w:lang w:val="en-US"/>
        </w:rPr>
      </w:pPr>
    </w:p>
    <w:p>
      <w:pPr>
        <w:spacing w:line="360" w:lineRule="auto"/>
        <w:ind w:firstLine="1280" w:firstLineChars="400"/>
        <w:rPr>
          <w:rFonts w:ascii="宋体" w:hAnsi="宋体" w:cs="宋体"/>
          <w:sz w:val="32"/>
          <w:szCs w:val="32"/>
        </w:rPr>
      </w:pPr>
    </w:p>
    <w:p/>
    <w:p>
      <w:pPr>
        <w:pStyle w:val="4"/>
      </w:pPr>
    </w:p>
    <w:p/>
    <w:p>
      <w:pPr>
        <w:pStyle w:val="4"/>
      </w:pPr>
    </w:p>
    <w:p/>
    <w:p>
      <w:pPr>
        <w:pStyle w:val="4"/>
      </w:pPr>
    </w:p>
    <w:p/>
    <w:p>
      <w:pPr>
        <w:adjustRightInd/>
        <w:spacing w:line="360" w:lineRule="auto"/>
        <w:jc w:val="center"/>
        <w:outlineLvl w:val="0"/>
        <w:rPr>
          <w:rFonts w:ascii="宋体" w:hAnsi="宋体" w:cs="宋体"/>
          <w:b/>
          <w:sz w:val="36"/>
          <w:szCs w:val="20"/>
        </w:rPr>
      </w:pPr>
      <w:r>
        <w:rPr>
          <w:rFonts w:hint="eastAsia" w:ascii="宋体" w:hAnsi="宋体" w:cs="宋体"/>
          <w:b/>
          <w:sz w:val="36"/>
          <w:szCs w:val="20"/>
        </w:rPr>
        <w:t>第一章 交易公告</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u w:val="single"/>
        </w:rPr>
        <w:t>拱墅区2026年病媒生物监测服务项目</w:t>
      </w:r>
      <w:r>
        <w:rPr>
          <w:rFonts w:hint="eastAsia" w:asciiTheme="minorEastAsia" w:hAnsiTheme="minorEastAsia" w:eastAsiaTheme="minorEastAsia"/>
          <w:sz w:val="24"/>
        </w:rPr>
        <w:t>的潜在供应商应在乐采云平台（</w:t>
      </w:r>
      <w:r>
        <w:fldChar w:fldCharType="begin"/>
      </w:r>
      <w:r>
        <w:instrText xml:space="preserve"> HYPERLINK "https://www.zcygov.cn/）获取（下载）招标文件，并于202%20年%20月%20日%20点%20分00秒" </w:instrText>
      </w:r>
      <w:r>
        <w:fldChar w:fldCharType="separate"/>
      </w:r>
      <w:r>
        <w:rPr>
          <w:rStyle w:val="26"/>
          <w:rFonts w:hint="eastAsia" w:cs="Times New Roman" w:asciiTheme="minorEastAsia" w:hAnsiTheme="minorEastAsia" w:eastAsiaTheme="minorEastAsia"/>
          <w:snapToGrid/>
          <w:color w:val="auto"/>
          <w:kern w:val="2"/>
          <w:sz w:val="24"/>
          <w:szCs w:val="24"/>
        </w:rPr>
        <w:t>https://www.lecaiyun.com/</w:t>
      </w:r>
      <w:r>
        <w:rPr>
          <w:rStyle w:val="26"/>
          <w:rFonts w:cs="Times New Roman" w:asciiTheme="minorEastAsia" w:hAnsiTheme="minorEastAsia" w:eastAsiaTheme="minorEastAsia"/>
          <w:snapToGrid/>
          <w:color w:val="auto"/>
          <w:kern w:val="2"/>
          <w:sz w:val="24"/>
          <w:szCs w:val="24"/>
        </w:rPr>
        <w:t>）获取（下载）</w:t>
      </w:r>
      <w:r>
        <w:rPr>
          <w:rStyle w:val="26"/>
          <w:rFonts w:hint="eastAsia" w:cs="Times New Roman" w:asciiTheme="minorEastAsia" w:hAnsiTheme="minorEastAsia" w:eastAsiaTheme="minorEastAsia"/>
          <w:snapToGrid/>
          <w:color w:val="auto"/>
          <w:kern w:val="2"/>
          <w:sz w:val="24"/>
          <w:szCs w:val="24"/>
        </w:rPr>
        <w:t>采购</w:t>
      </w:r>
      <w:r>
        <w:rPr>
          <w:rStyle w:val="26"/>
          <w:rFonts w:cs="Times New Roman" w:asciiTheme="minorEastAsia" w:hAnsiTheme="minorEastAsia" w:eastAsiaTheme="minorEastAsia"/>
          <w:snapToGrid/>
          <w:color w:val="auto"/>
          <w:kern w:val="2"/>
          <w:sz w:val="24"/>
          <w:szCs w:val="24"/>
        </w:rPr>
        <w:t>文件，并于</w:t>
      </w:r>
      <w:r>
        <w:rPr>
          <w:rFonts w:hint="eastAsia" w:cs="仿宋_GB2312" w:asciiTheme="minorEastAsia" w:hAnsiTheme="minorEastAsia" w:eastAsiaTheme="minorEastAsia"/>
          <w:sz w:val="24"/>
          <w:u w:val="single"/>
        </w:rPr>
        <w:t>2026年</w:t>
      </w:r>
      <w:r>
        <w:rPr>
          <w:rFonts w:hint="eastAsia" w:cs="仿宋_GB2312" w:asciiTheme="minorEastAsia" w:hAnsiTheme="minorEastAsia" w:eastAsiaTheme="minorEastAsia"/>
          <w:sz w:val="24"/>
          <w:u w:val="single"/>
          <w:lang w:val="en-US" w:eastAsia="zh-CN"/>
        </w:rPr>
        <w:t>6</w:t>
      </w:r>
      <w:r>
        <w:rPr>
          <w:rFonts w:hint="eastAsia" w:cs="仿宋_GB2312" w:asciiTheme="minorEastAsia" w:hAnsiTheme="minorEastAsia" w:eastAsiaTheme="minorEastAsia"/>
          <w:sz w:val="24"/>
          <w:u w:val="single"/>
        </w:rPr>
        <w:t>月</w:t>
      </w:r>
      <w:r>
        <w:rPr>
          <w:rFonts w:hint="eastAsia" w:cs="仿宋_GB2312" w:asciiTheme="minorEastAsia" w:hAnsiTheme="minorEastAsia" w:eastAsiaTheme="minorEastAsia"/>
          <w:sz w:val="24"/>
          <w:u w:val="single"/>
          <w:lang w:val="en-US" w:eastAsia="zh-CN"/>
        </w:rPr>
        <w:t>1</w:t>
      </w:r>
      <w:r>
        <w:rPr>
          <w:rFonts w:hint="eastAsia" w:cs="仿宋_GB2312" w:asciiTheme="minorEastAsia" w:hAnsiTheme="minorEastAsia" w:eastAsiaTheme="minorEastAsia"/>
          <w:sz w:val="24"/>
          <w:u w:val="single"/>
        </w:rPr>
        <w:t>日14点00分00秒</w:t>
      </w:r>
      <w:r>
        <w:rPr>
          <w:rFonts w:hint="eastAsia" w:cs="仿宋_GB2312" w:asciiTheme="minorEastAsia" w:hAnsiTheme="minorEastAsia" w:eastAsiaTheme="minorEastAsia"/>
          <w:sz w:val="24"/>
          <w:u w:val="single"/>
        </w:rPr>
        <w:fldChar w:fldCharType="end"/>
      </w:r>
      <w:r>
        <w:rPr>
          <w:rFonts w:hint="eastAsia" w:asciiTheme="minorEastAsia" w:hAnsiTheme="minorEastAsia" w:eastAsiaTheme="minorEastAsia"/>
          <w:bCs/>
          <w:sz w:val="24"/>
        </w:rPr>
        <w:t>（北京时间）前</w:t>
      </w:r>
      <w:r>
        <w:rPr>
          <w:rFonts w:hint="eastAsia" w:asciiTheme="minorEastAsia" w:hAnsiTheme="minorEastAsia" w:eastAsiaTheme="minorEastAsia"/>
          <w:sz w:val="24"/>
        </w:rPr>
        <w:t>递交（上传）响应文件。</w:t>
      </w:r>
    </w:p>
    <w:p>
      <w:pPr>
        <w:keepNext w:val="0"/>
        <w:keepLines w:val="0"/>
        <w:pageBreakBefore w:val="0"/>
        <w:kinsoku/>
        <w:wordWrap/>
        <w:overflowPunct/>
        <w:topLinePunct w:val="0"/>
        <w:autoSpaceDE/>
        <w:autoSpaceDN/>
        <w:bidi w:val="0"/>
        <w:adjustRightInd w:val="0"/>
        <w:spacing w:after="0" w:line="360" w:lineRule="auto"/>
        <w:textAlignment w:val="auto"/>
        <w:rPr>
          <w:rFonts w:ascii="宋体" w:hAnsi="宋体" w:cs="宋体"/>
          <w:b/>
          <w:sz w:val="24"/>
        </w:rPr>
      </w:pPr>
      <w:r>
        <w:rPr>
          <w:rFonts w:hint="eastAsia" w:ascii="宋体" w:hAnsi="宋体" w:cs="宋体"/>
          <w:b/>
          <w:sz w:val="24"/>
        </w:rPr>
        <w:t xml:space="preserve">一、项目基本情况                                            </w:t>
      </w:r>
    </w:p>
    <w:p>
      <w:pPr>
        <w:keepNext w:val="0"/>
        <w:keepLines w:val="0"/>
        <w:pageBreakBefore w:val="0"/>
        <w:kinsoku/>
        <w:wordWrap/>
        <w:overflowPunct/>
        <w:topLinePunct w:val="0"/>
        <w:autoSpaceDE/>
        <w:autoSpaceDN/>
        <w:bidi w:val="0"/>
        <w:adjustRightInd w:val="0"/>
        <w:spacing w:after="0" w:line="360" w:lineRule="auto"/>
        <w:textAlignment w:val="auto"/>
        <w:rPr>
          <w:rFonts w:ascii="宋体" w:hAnsi="宋体" w:cs="宋体"/>
          <w:sz w:val="24"/>
        </w:rPr>
      </w:pPr>
      <w:r>
        <w:rPr>
          <w:rFonts w:hint="eastAsia" w:ascii="宋体" w:hAnsi="宋体" w:cs="宋体"/>
          <w:sz w:val="24"/>
        </w:rPr>
        <w:t xml:space="preserve">    </w:t>
      </w:r>
      <w:r>
        <w:rPr>
          <w:rFonts w:hint="eastAsia" w:ascii="宋体" w:hAnsi="宋体" w:cs="宋体"/>
          <w:b/>
          <w:sz w:val="24"/>
        </w:rPr>
        <w:t>项目编号：</w:t>
      </w:r>
    </w:p>
    <w:p>
      <w:pPr>
        <w:keepNext w:val="0"/>
        <w:keepLines w:val="0"/>
        <w:pageBreakBefore w:val="0"/>
        <w:kinsoku/>
        <w:wordWrap/>
        <w:overflowPunct/>
        <w:topLinePunct w:val="0"/>
        <w:autoSpaceDE/>
        <w:autoSpaceDN/>
        <w:bidi w:val="0"/>
        <w:adjustRightInd w:val="0"/>
        <w:spacing w:after="0" w:line="360" w:lineRule="auto"/>
        <w:ind w:firstLine="480"/>
        <w:textAlignment w:val="auto"/>
        <w:rPr>
          <w:rFonts w:ascii="宋体" w:hAnsi="宋体" w:cs="宋体"/>
          <w:sz w:val="24"/>
        </w:rPr>
      </w:pPr>
      <w:r>
        <w:rPr>
          <w:rFonts w:hint="eastAsia" w:ascii="宋体" w:hAnsi="宋体" w:cs="宋体"/>
          <w:b/>
          <w:sz w:val="24"/>
        </w:rPr>
        <w:t>项目名称：拱墅区2026年病媒生物监测服务项目</w:t>
      </w:r>
    </w:p>
    <w:p>
      <w:pPr>
        <w:keepNext w:val="0"/>
        <w:keepLines w:val="0"/>
        <w:pageBreakBefore w:val="0"/>
        <w:kinsoku/>
        <w:wordWrap/>
        <w:overflowPunct/>
        <w:topLinePunct w:val="0"/>
        <w:autoSpaceDE/>
        <w:autoSpaceDN/>
        <w:bidi w:val="0"/>
        <w:adjustRightInd w:val="0"/>
        <w:spacing w:after="0" w:line="360" w:lineRule="auto"/>
        <w:ind w:firstLine="480"/>
        <w:textAlignment w:val="auto"/>
        <w:rPr>
          <w:rFonts w:ascii="宋体" w:hAnsi="宋体" w:cs="宋体"/>
          <w:b/>
          <w:sz w:val="24"/>
        </w:rPr>
      </w:pPr>
      <w:r>
        <w:rPr>
          <w:rFonts w:hint="eastAsia" w:ascii="宋体" w:hAnsi="宋体" w:cs="宋体"/>
          <w:b/>
          <w:sz w:val="24"/>
        </w:rPr>
        <w:t>预算金额（元）：160000</w:t>
      </w:r>
    </w:p>
    <w:p>
      <w:pPr>
        <w:keepNext w:val="0"/>
        <w:keepLines w:val="0"/>
        <w:pageBreakBefore w:val="0"/>
        <w:kinsoku/>
        <w:wordWrap/>
        <w:overflowPunct/>
        <w:topLinePunct w:val="0"/>
        <w:autoSpaceDE/>
        <w:autoSpaceDN/>
        <w:bidi w:val="0"/>
        <w:adjustRightInd w:val="0"/>
        <w:spacing w:after="0" w:line="360" w:lineRule="auto"/>
        <w:ind w:firstLine="480"/>
        <w:textAlignment w:val="auto"/>
        <w:rPr>
          <w:rFonts w:ascii="宋体" w:hAnsi="宋体" w:cs="宋体"/>
          <w:sz w:val="24"/>
        </w:rPr>
      </w:pPr>
      <w:r>
        <w:rPr>
          <w:rFonts w:hint="eastAsia" w:ascii="宋体" w:hAnsi="宋体" w:cs="宋体"/>
          <w:b/>
          <w:sz w:val="24"/>
        </w:rPr>
        <w:t>最高限价（元）：154850</w:t>
      </w:r>
    </w:p>
    <w:p>
      <w:pPr>
        <w:pStyle w:val="6"/>
        <w:keepNext w:val="0"/>
        <w:keepLines w:val="0"/>
        <w:pageBreakBefore w:val="0"/>
        <w:kinsoku/>
        <w:wordWrap/>
        <w:overflowPunct/>
        <w:topLinePunct w:val="0"/>
        <w:autoSpaceDE/>
        <w:autoSpaceDN/>
        <w:bidi w:val="0"/>
        <w:adjustRightInd w:val="0"/>
        <w:spacing w:after="0" w:line="360" w:lineRule="auto"/>
        <w:ind w:firstLine="480"/>
        <w:textAlignment w:val="auto"/>
        <w:rPr>
          <w:rFonts w:hAnsi="宋体" w:cs="宋体"/>
          <w:bCs/>
          <w:snapToGrid/>
          <w:color w:val="auto"/>
          <w:kern w:val="2"/>
          <w:sz w:val="22"/>
          <w:szCs w:val="22"/>
        </w:rPr>
      </w:pPr>
      <w:r>
        <w:rPr>
          <w:rFonts w:hint="eastAsia" w:hAnsi="宋体" w:cs="宋体"/>
          <w:b/>
          <w:color w:val="auto"/>
          <w:sz w:val="24"/>
        </w:rPr>
        <w:t>采购需求：</w:t>
      </w:r>
      <w:r>
        <w:rPr>
          <w:rFonts w:hint="eastAsia" w:hAnsi="宋体" w:cs="宋体"/>
          <w:bCs/>
          <w:snapToGrid/>
          <w:color w:val="auto"/>
          <w:kern w:val="2"/>
          <w:sz w:val="24"/>
          <w:szCs w:val="24"/>
        </w:rPr>
        <w:t>拱墅区2026年病媒生物监测服务项目主要内容：</w:t>
      </w:r>
      <w:r>
        <w:rPr>
          <w:rFonts w:hint="eastAsia" w:hAnsi="宋体" w:cs="仿宋"/>
          <w:sz w:val="24"/>
        </w:rPr>
        <w:t>具体要求详见采购文件第三部分。</w:t>
      </w:r>
    </w:p>
    <w:p>
      <w:pPr>
        <w:pStyle w:val="31"/>
        <w:keepNext w:val="0"/>
        <w:keepLines w:val="0"/>
        <w:pageBreakBefore w:val="0"/>
        <w:kinsoku/>
        <w:wordWrap/>
        <w:overflowPunct/>
        <w:topLinePunct w:val="0"/>
        <w:autoSpaceDE/>
        <w:autoSpaceDN/>
        <w:bidi w:val="0"/>
        <w:adjustRightInd w:val="0"/>
        <w:spacing w:after="0"/>
        <w:ind w:firstLine="489"/>
        <w:textAlignment w:val="auto"/>
        <w:outlineLvl w:val="2"/>
        <w:rPr>
          <w:rFonts w:ascii="宋体" w:hAnsi="宋体" w:cs="宋体"/>
        </w:rPr>
      </w:pPr>
      <w:r>
        <w:rPr>
          <w:rFonts w:hint="eastAsia" w:ascii="宋体" w:hAnsi="宋体" w:cs="宋体"/>
          <w:b/>
        </w:rPr>
        <w:t xml:space="preserve">合同履约期限：1年 </w:t>
      </w:r>
    </w:p>
    <w:p>
      <w:pPr>
        <w:pStyle w:val="6"/>
        <w:keepNext w:val="0"/>
        <w:keepLines w:val="0"/>
        <w:pageBreakBefore w:val="0"/>
        <w:kinsoku/>
        <w:wordWrap/>
        <w:overflowPunct/>
        <w:topLinePunct w:val="0"/>
        <w:autoSpaceDE/>
        <w:autoSpaceDN/>
        <w:bidi w:val="0"/>
        <w:adjustRightInd w:val="0"/>
        <w:spacing w:after="0" w:line="360" w:lineRule="auto"/>
        <w:ind w:firstLine="480"/>
        <w:textAlignment w:val="auto"/>
        <w:rPr>
          <w:rFonts w:hAnsi="宋体" w:cs="宋体"/>
          <w:color w:val="auto"/>
          <w:kern w:val="0"/>
          <w:sz w:val="24"/>
        </w:rPr>
      </w:pPr>
      <w:r>
        <w:rPr>
          <w:rFonts w:hint="eastAsia" w:hAnsi="宋体" w:cs="宋体"/>
          <w:b/>
          <w:color w:val="auto"/>
          <w:sz w:val="24"/>
        </w:rPr>
        <w:t>本项目接受联合体响应：</w:t>
      </w:r>
      <w:sdt>
        <w:sdtPr>
          <w:rPr>
            <w:rFonts w:hint="eastAsia" w:hAnsi="宋体" w:cs="宋体"/>
            <w:color w:val="auto"/>
            <w:kern w:val="0"/>
            <w:sz w:val="24"/>
          </w:rPr>
          <w:id w:val="2035453831"/>
          <w14:checkbox>
            <w14:checked w14:val="0"/>
            <w14:checkedState w14:val="00FE" w14:font="Wingdings"/>
            <w14:uncheckedState w14:val="2610" w14:font="MS Gothic"/>
          </w14:checkbox>
        </w:sdtPr>
        <w:sdtEndPr>
          <w:rPr>
            <w:rFonts w:hint="eastAsia" w:hAnsi="宋体" w:cs="宋体"/>
            <w:color w:val="auto"/>
            <w:kern w:val="0"/>
            <w:sz w:val="24"/>
          </w:rPr>
        </w:sdtEndPr>
        <w:sdtContent>
          <w:r>
            <w:rPr>
              <w:rFonts w:hint="eastAsia" w:ascii="MS Gothic" w:hAnsi="MS Gothic" w:cs="宋体"/>
              <w:color w:val="auto"/>
              <w:kern w:val="0"/>
              <w:sz w:val="24"/>
            </w:rPr>
            <w:t>☐</w:t>
          </w:r>
        </w:sdtContent>
      </w:sdt>
      <w:r>
        <w:rPr>
          <w:rFonts w:hint="eastAsia" w:hAnsi="宋体" w:cs="宋体"/>
          <w:b/>
          <w:color w:val="auto"/>
          <w:sz w:val="24"/>
        </w:rPr>
        <w:t>是</w:t>
      </w:r>
      <w:r>
        <w:rPr>
          <w:rFonts w:hint="eastAsia" w:hAnsi="宋体" w:cs="宋体"/>
          <w:b/>
          <w:snapToGrid/>
          <w:color w:val="auto"/>
          <w:kern w:val="2"/>
          <w:sz w:val="24"/>
        </w:rPr>
        <w:t>；</w:t>
      </w:r>
      <w:sdt>
        <w:sdtPr>
          <w:rPr>
            <w:rFonts w:hint="eastAsia" w:hAnsi="宋体" w:cs="宋体"/>
            <w:color w:val="auto"/>
            <w:kern w:val="0"/>
            <w:sz w:val="24"/>
          </w:rPr>
          <w:id w:val="-2049061454"/>
          <w14:checkbox>
            <w14:checked w14:val="1"/>
            <w14:checkedState w14:val="00FE" w14:font="Wingdings"/>
            <w14:uncheckedState w14:val="2610" w14:font="MS Gothic"/>
          </w14:checkbox>
        </w:sdtPr>
        <w:sdtEndPr>
          <w:rPr>
            <w:rFonts w:hint="eastAsia" w:hAnsi="宋体" w:cs="宋体"/>
            <w:color w:val="auto"/>
            <w:kern w:val="0"/>
            <w:sz w:val="24"/>
          </w:rPr>
        </w:sdtEndPr>
        <w:sdtContent>
          <w:r>
            <w:rPr>
              <w:rFonts w:hint="eastAsia" w:ascii="Wingdings" w:hAnsi="Wingdings" w:cs="宋体"/>
              <w:color w:val="auto"/>
              <w:kern w:val="0"/>
              <w:sz w:val="24"/>
            </w:rPr>
            <w:t>þ</w:t>
          </w:r>
        </w:sdtContent>
      </w:sdt>
      <w:r>
        <w:rPr>
          <w:rFonts w:hint="eastAsia" w:hAnsi="宋体" w:cs="宋体"/>
          <w:b/>
          <w:color w:val="auto"/>
          <w:sz w:val="24"/>
        </w:rPr>
        <w:t>否</w:t>
      </w:r>
      <w:r>
        <w:rPr>
          <w:rFonts w:hint="eastAsia" w:hAnsi="宋体" w:cs="宋体"/>
          <w:color w:val="auto"/>
          <w:kern w:val="0"/>
          <w:sz w:val="24"/>
        </w:rPr>
        <w:t>。</w:t>
      </w:r>
    </w:p>
    <w:p>
      <w:pPr>
        <w:keepNext w:val="0"/>
        <w:keepLines w:val="0"/>
        <w:pageBreakBefore w:val="0"/>
        <w:kinsoku/>
        <w:wordWrap/>
        <w:overflowPunct/>
        <w:topLinePunct w:val="0"/>
        <w:autoSpaceDE/>
        <w:autoSpaceDN/>
        <w:bidi w:val="0"/>
        <w:adjustRightInd w:val="0"/>
        <w:spacing w:after="0" w:line="360" w:lineRule="auto"/>
        <w:textAlignment w:val="auto"/>
        <w:rPr>
          <w:rFonts w:ascii="宋体" w:hAnsi="宋体" w:cs="宋体"/>
          <w:b/>
          <w:sz w:val="24"/>
        </w:rPr>
      </w:pPr>
      <w:r>
        <w:rPr>
          <w:rFonts w:hint="eastAsia" w:ascii="宋体" w:hAnsi="宋体" w:cs="宋体"/>
          <w:b/>
          <w:sz w:val="24"/>
        </w:rPr>
        <w:t>二、</w:t>
      </w:r>
      <w:bookmarkStart w:id="0" w:name="_Hlk101132948"/>
      <w:r>
        <w:rPr>
          <w:rFonts w:hint="eastAsia" w:ascii="宋体" w:hAnsi="宋体" w:cs="宋体"/>
          <w:b/>
          <w:sz w:val="24"/>
        </w:rPr>
        <w:t>申请人的资格要求</w:t>
      </w:r>
      <w:bookmarkEnd w:id="0"/>
      <w:r>
        <w:rPr>
          <w:rFonts w:hint="eastAsia" w:ascii="宋体" w:hAnsi="宋体" w:cs="宋体"/>
          <w:b/>
          <w:sz w:val="24"/>
        </w:rPr>
        <w:t>：</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napToGrid w:val="0"/>
          <w:kern w:val="28"/>
          <w:sz w:val="24"/>
          <w:szCs w:val="20"/>
        </w:rPr>
      </w:pPr>
      <w:bookmarkStart w:id="1" w:name="OLE_LINK4"/>
      <w:r>
        <w:rPr>
          <w:rFonts w:hint="eastAsia" w:ascii="宋体" w:hAnsi="宋体" w:cs="宋体"/>
          <w:snapToGrid w:val="0"/>
          <w:kern w:val="28"/>
          <w:sz w:val="24"/>
          <w:szCs w:val="20"/>
        </w:rPr>
        <w:t>（1）符合《中华人民共和国政府采购法》第二十二条规定；</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napToGrid w:val="0"/>
          <w:kern w:val="28"/>
          <w:sz w:val="24"/>
          <w:szCs w:val="20"/>
        </w:rPr>
      </w:pPr>
      <w:r>
        <w:rPr>
          <w:rFonts w:hint="eastAsia" w:ascii="宋体" w:hAnsi="宋体" w:cs="宋体"/>
          <w:snapToGrid w:val="0"/>
          <w:kern w:val="28"/>
          <w:sz w:val="24"/>
          <w:szCs w:val="20"/>
        </w:rPr>
        <w:t>（2）未被“信用中国”（www.creditchina.gov.cn)、中国政府采购网（www.ccgp.gov.cn）列入失信被执行人、重大税收违法案件当事人名单、政府采购严重违法失信行为记录名单；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val="0"/>
        <w:spacing w:after="0" w:line="420" w:lineRule="exact"/>
        <w:ind w:firstLine="480" w:firstLineChars="200"/>
        <w:textAlignment w:val="auto"/>
        <w:rPr>
          <w:rFonts w:ascii="宋体" w:hAnsi="宋体" w:cs="宋体"/>
          <w:snapToGrid w:val="0"/>
          <w:kern w:val="28"/>
          <w:sz w:val="24"/>
          <w:szCs w:val="20"/>
        </w:rPr>
      </w:pPr>
      <w:r>
        <w:rPr>
          <w:rFonts w:hint="eastAsia" w:ascii="宋体" w:hAnsi="宋体" w:cs="宋体"/>
          <w:snapToGrid w:val="0"/>
          <w:kern w:val="28"/>
          <w:sz w:val="24"/>
          <w:szCs w:val="20"/>
        </w:rPr>
        <w:t>（3）落实政府采购政策需满足的资格要求：</w:t>
      </w:r>
    </w:p>
    <w:p>
      <w:pPr>
        <w:keepNext w:val="0"/>
        <w:keepLines w:val="0"/>
        <w:pageBreakBefore w:val="0"/>
        <w:kinsoku/>
        <w:wordWrap/>
        <w:overflowPunct/>
        <w:topLinePunct w:val="0"/>
        <w:autoSpaceDE/>
        <w:autoSpaceDN/>
        <w:bidi w:val="0"/>
        <w:adjustRightInd w:val="0"/>
        <w:spacing w:after="0" w:line="420" w:lineRule="exact"/>
        <w:ind w:firstLine="480" w:firstLineChars="200"/>
        <w:textAlignment w:val="auto"/>
        <w:rPr>
          <w:rFonts w:ascii="宋体" w:hAnsi="宋体" w:cs="宋体"/>
          <w:sz w:val="24"/>
        </w:rPr>
      </w:pPr>
      <w:sdt>
        <w:sdtPr>
          <w:rPr>
            <w:rFonts w:hint="eastAsia" w:ascii="宋体" w:hAnsi="宋体" w:cs="宋体"/>
            <w:kern w:val="0"/>
            <w:sz w:val="24"/>
          </w:rPr>
          <w:id w:val="192861692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sz w:val="24"/>
        </w:rPr>
        <w:t>无</w:t>
      </w:r>
      <w:r>
        <w:rPr>
          <w:rFonts w:hint="eastAsia" w:ascii="宋体" w:hAnsi="宋体" w:cs="宋体"/>
          <w:snapToGrid w:val="0"/>
          <w:kern w:val="28"/>
          <w:sz w:val="24"/>
          <w:szCs w:val="20"/>
        </w:rPr>
        <w:t>（注：不得限制大中型企业与小微企业组成联合体参与投标）；</w:t>
      </w:r>
    </w:p>
    <w:p>
      <w:pPr>
        <w:keepNext w:val="0"/>
        <w:keepLines w:val="0"/>
        <w:pageBreakBefore w:val="0"/>
        <w:kinsoku/>
        <w:wordWrap/>
        <w:overflowPunct/>
        <w:topLinePunct w:val="0"/>
        <w:autoSpaceDE/>
        <w:autoSpaceDN/>
        <w:bidi w:val="0"/>
        <w:adjustRightInd w:val="0"/>
        <w:spacing w:after="0" w:line="420" w:lineRule="exact"/>
        <w:ind w:firstLine="480" w:firstLineChars="200"/>
        <w:textAlignment w:val="auto"/>
        <w:rPr>
          <w:rFonts w:ascii="宋体" w:hAnsi="宋体" w:cs="宋体"/>
          <w:sz w:val="24"/>
        </w:rPr>
      </w:pPr>
      <w:sdt>
        <w:sdtPr>
          <w:rPr>
            <w:rFonts w:hint="eastAsia" w:ascii="宋体" w:hAnsi="宋体" w:cs="宋体"/>
            <w:kern w:val="0"/>
            <w:sz w:val="24"/>
          </w:rPr>
          <w:id w:val="-183913629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cs="宋体"/>
              <w:kern w:val="0"/>
              <w:sz w:val="24"/>
            </w:rPr>
            <w:t>þ</w:t>
          </w:r>
        </w:sdtContent>
      </w:sdt>
      <w:r>
        <w:rPr>
          <w:rFonts w:hint="eastAsia" w:ascii="宋体" w:hAnsi="宋体" w:cs="宋体"/>
          <w:kern w:val="0"/>
          <w:sz w:val="24"/>
        </w:rPr>
        <w:t>专</w:t>
      </w:r>
      <w:r>
        <w:rPr>
          <w:rFonts w:hint="eastAsia" w:ascii="宋体" w:hAnsi="宋体" w:cs="宋体"/>
          <w:sz w:val="24"/>
        </w:rPr>
        <w:t>门面向中小企业</w:t>
      </w:r>
    </w:p>
    <w:p>
      <w:pPr>
        <w:keepNext w:val="0"/>
        <w:keepLines w:val="0"/>
        <w:pageBreakBefore w:val="0"/>
        <w:kinsoku/>
        <w:wordWrap/>
        <w:overflowPunct/>
        <w:topLinePunct w:val="0"/>
        <w:autoSpaceDE/>
        <w:autoSpaceDN/>
        <w:bidi w:val="0"/>
        <w:adjustRightInd w:val="0"/>
        <w:spacing w:after="0" w:line="420" w:lineRule="exact"/>
        <w:ind w:firstLine="897" w:firstLineChars="374"/>
        <w:textAlignment w:val="auto"/>
        <w:rPr>
          <w:rFonts w:ascii="宋体" w:hAnsi="宋体" w:cs="宋体"/>
          <w:sz w:val="24"/>
        </w:rPr>
      </w:pPr>
      <w:sdt>
        <w:sdtPr>
          <w:rPr>
            <w:rFonts w:hint="eastAsia" w:ascii="宋体" w:hAnsi="宋体" w:cs="宋体"/>
            <w:kern w:val="0"/>
            <w:sz w:val="24"/>
          </w:rPr>
          <w:id w:val="-85789215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cs="宋体"/>
              <w:kern w:val="0"/>
              <w:sz w:val="24"/>
            </w:rPr>
            <w:t>þ</w:t>
          </w:r>
        </w:sdtContent>
      </w:sdt>
      <w:r>
        <w:rPr>
          <w:rFonts w:hint="eastAsia" w:ascii="宋体" w:hAnsi="宋体" w:cs="宋体"/>
          <w:sz w:val="24"/>
        </w:rPr>
        <w:t>服务全部由符合政策要求的中小企业承接，提供中小企业声明函；</w:t>
      </w:r>
    </w:p>
    <w:p>
      <w:pPr>
        <w:keepNext w:val="0"/>
        <w:keepLines w:val="0"/>
        <w:pageBreakBefore w:val="0"/>
        <w:kinsoku/>
        <w:wordWrap/>
        <w:overflowPunct/>
        <w:topLinePunct w:val="0"/>
        <w:autoSpaceDE/>
        <w:autoSpaceDN/>
        <w:bidi w:val="0"/>
        <w:adjustRightInd w:val="0"/>
        <w:spacing w:after="0" w:line="420" w:lineRule="exact"/>
        <w:ind w:firstLine="897" w:firstLineChars="374"/>
        <w:textAlignment w:val="auto"/>
        <w:rPr>
          <w:rFonts w:ascii="宋体" w:hAnsi="宋体" w:cs="宋体"/>
          <w:sz w:val="24"/>
        </w:rPr>
      </w:pPr>
      <w:sdt>
        <w:sdtPr>
          <w:rPr>
            <w:rFonts w:hint="eastAsia" w:ascii="宋体" w:hAnsi="宋体" w:cs="宋体"/>
            <w:kern w:val="0"/>
            <w:sz w:val="24"/>
          </w:rPr>
          <w:id w:val="-106155649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服务全部由符合政策要求的小微企业承接，提供中小企业声明函；</w:t>
      </w:r>
    </w:p>
    <w:p>
      <w:pPr>
        <w:keepNext w:val="0"/>
        <w:keepLines w:val="0"/>
        <w:pageBreakBefore w:val="0"/>
        <w:kinsoku/>
        <w:wordWrap/>
        <w:overflowPunct/>
        <w:topLinePunct w:val="0"/>
        <w:autoSpaceDE/>
        <w:autoSpaceDN/>
        <w:bidi w:val="0"/>
        <w:adjustRightInd w:val="0"/>
        <w:spacing w:after="0" w:line="420" w:lineRule="exact"/>
        <w:ind w:firstLine="480" w:firstLineChars="200"/>
        <w:textAlignment w:val="auto"/>
        <w:rPr>
          <w:rFonts w:ascii="宋体" w:hAnsi="宋体" w:cs="宋体"/>
          <w:sz w:val="24"/>
        </w:rPr>
      </w:pPr>
      <w:sdt>
        <w:sdtPr>
          <w:rPr>
            <w:rFonts w:hint="eastAsia" w:ascii="宋体" w:hAnsi="宋体" w:cs="宋体"/>
            <w:kern w:val="0"/>
            <w:sz w:val="24"/>
          </w:rPr>
          <w:id w:val="-1421707372"/>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要求以联合体形式参加，提供联合协议和中小企业声明函，联合协议中中小企业合同金额应当达到</w:t>
      </w:r>
      <w:r>
        <w:rPr>
          <w:rFonts w:hint="eastAsia" w:ascii="宋体" w:hAnsi="宋体" w:cs="宋体"/>
          <w:sz w:val="24"/>
          <w:u w:val="single"/>
        </w:rPr>
        <w:t xml:space="preserve">  </w:t>
      </w:r>
      <w:r>
        <w:rPr>
          <w:rFonts w:hint="eastAsia" w:ascii="宋体" w:hAnsi="宋体" w:cs="宋体"/>
          <w:sz w:val="24"/>
        </w:rPr>
        <w:t>%，小微企业合同金额应当达到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sz w:val="24"/>
        </w:rPr>
        <w:t>；</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napToGrid w:val="0"/>
          <w:kern w:val="28"/>
          <w:sz w:val="24"/>
          <w:szCs w:val="20"/>
        </w:rPr>
      </w:pPr>
      <w:sdt>
        <w:sdtPr>
          <w:rPr>
            <w:rFonts w:hint="eastAsia" w:ascii="宋体" w:hAnsi="宋体" w:cs="宋体"/>
            <w:kern w:val="0"/>
            <w:sz w:val="24"/>
          </w:rPr>
          <w:id w:val="3463064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要求合同分包，提供分包意向协议和中小企业声明函，分包意向协议中中小企业合同金额应当达到达到</w:t>
      </w:r>
      <w:r>
        <w:rPr>
          <w:rFonts w:hint="eastAsia" w:ascii="宋体" w:hAnsi="宋体" w:cs="宋体"/>
          <w:sz w:val="24"/>
          <w:u w:val="single"/>
        </w:rPr>
        <w:t xml:space="preserve">  </w:t>
      </w:r>
      <w:r>
        <w:rPr>
          <w:rFonts w:hint="eastAsia" w:ascii="宋体" w:hAnsi="宋体" w:cs="宋体"/>
          <w:sz w:val="24"/>
        </w:rPr>
        <w:t>% ，小微企业合同金额应当达到</w:t>
      </w:r>
      <w:r>
        <w:rPr>
          <w:rFonts w:hint="eastAsia" w:ascii="宋体" w:hAnsi="宋体" w:cs="宋体"/>
          <w:sz w:val="24"/>
          <w:u w:val="single"/>
        </w:rPr>
        <w:t xml:space="preserve"> </w:t>
      </w:r>
      <w:r>
        <w:rPr>
          <w:rFonts w:hint="eastAsia" w:ascii="宋体" w:hAnsi="宋体" w:cs="宋体"/>
          <w:sz w:val="24"/>
        </w:rPr>
        <w:t>% ;</w:t>
      </w:r>
      <w:r>
        <w:rPr>
          <w:rFonts w:hint="eastAsia" w:ascii="宋体" w:hAnsi="宋体" w:cs="宋体"/>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sz w:val="24"/>
        </w:rPr>
        <w:t>；</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napToGrid w:val="0"/>
          <w:kern w:val="28"/>
          <w:sz w:val="24"/>
          <w:szCs w:val="20"/>
        </w:rPr>
      </w:pPr>
      <w:r>
        <w:rPr>
          <w:rFonts w:hint="eastAsia" w:ascii="宋体" w:hAnsi="宋体" w:cs="宋体"/>
          <w:snapToGrid w:val="0"/>
          <w:kern w:val="28"/>
          <w:sz w:val="24"/>
          <w:szCs w:val="20"/>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napToGrid w:val="0"/>
          <w:kern w:val="28"/>
          <w:sz w:val="24"/>
          <w:szCs w:val="20"/>
        </w:rPr>
      </w:pPr>
      <w:r>
        <w:rPr>
          <w:rFonts w:hint="eastAsia" w:ascii="宋体" w:hAnsi="宋体" w:cs="宋体"/>
          <w:snapToGrid w:val="0"/>
          <w:kern w:val="28"/>
          <w:sz w:val="24"/>
          <w:szCs w:val="20"/>
        </w:rPr>
        <w:t>（5）具有卫生行政部门病媒生物防制服务单位备案证明</w:t>
      </w:r>
    </w:p>
    <w:bookmarkEnd w:id="1"/>
    <w:p>
      <w:pPr>
        <w:keepNext w:val="0"/>
        <w:keepLines w:val="0"/>
        <w:pageBreakBefore w:val="0"/>
        <w:kinsoku/>
        <w:wordWrap/>
        <w:overflowPunct/>
        <w:topLinePunct w:val="0"/>
        <w:autoSpaceDE/>
        <w:autoSpaceDN/>
        <w:bidi w:val="0"/>
        <w:adjustRightInd w:val="0"/>
        <w:spacing w:after="0" w:line="360" w:lineRule="auto"/>
        <w:textAlignment w:val="auto"/>
        <w:rPr>
          <w:rFonts w:ascii="宋体" w:hAnsi="宋体" w:cs="宋体"/>
          <w:b/>
          <w:sz w:val="24"/>
        </w:rPr>
      </w:pPr>
      <w:r>
        <w:rPr>
          <w:rFonts w:hint="eastAsia" w:ascii="宋体" w:hAnsi="宋体" w:cs="宋体"/>
          <w:b/>
          <w:sz w:val="24"/>
        </w:rPr>
        <w:t xml:space="preserve">三、获取采购文件 </w:t>
      </w:r>
    </w:p>
    <w:p>
      <w:pPr>
        <w:keepNext w:val="0"/>
        <w:keepLines w:val="0"/>
        <w:pageBreakBefore w:val="0"/>
        <w:kinsoku/>
        <w:wordWrap/>
        <w:overflowPunct/>
        <w:topLinePunct w:val="0"/>
        <w:autoSpaceDE/>
        <w:autoSpaceDN/>
        <w:bidi w:val="0"/>
        <w:adjustRightInd w:val="0"/>
        <w:spacing w:after="0" w:line="360" w:lineRule="auto"/>
        <w:ind w:firstLine="482" w:firstLineChars="200"/>
        <w:textAlignment w:val="auto"/>
        <w:rPr>
          <w:rFonts w:ascii="宋体" w:hAnsi="宋体" w:cs="宋体"/>
          <w:sz w:val="24"/>
        </w:rPr>
      </w:pPr>
      <w:r>
        <w:rPr>
          <w:rFonts w:hint="eastAsia" w:ascii="宋体" w:hAnsi="宋体" w:cs="宋体"/>
          <w:b/>
          <w:sz w:val="24"/>
        </w:rPr>
        <w:t>时间：</w:t>
      </w:r>
      <w:r>
        <w:rPr>
          <w:rFonts w:hint="eastAsia" w:ascii="宋体" w:hAnsi="宋体" w:cs="宋体"/>
          <w:sz w:val="24"/>
          <w:u w:val="single"/>
        </w:rPr>
        <w:t>2026年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15</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2026年</w:t>
      </w:r>
      <w:r>
        <w:rPr>
          <w:rFonts w:hint="eastAsia" w:ascii="宋体" w:hAnsi="宋体" w:cs="宋体"/>
          <w:sz w:val="24"/>
          <w:u w:val="single"/>
          <w:lang w:val="en-US" w:eastAsia="zh-CN"/>
        </w:rPr>
        <w:t>6</w:t>
      </w:r>
      <w:r>
        <w:rPr>
          <w:rFonts w:hint="eastAsia" w:ascii="宋体" w:hAnsi="宋体" w:cs="宋体"/>
          <w:sz w:val="24"/>
          <w:u w:val="single"/>
        </w:rPr>
        <w:t>月</w:t>
      </w:r>
      <w:r>
        <w:rPr>
          <w:rFonts w:hint="eastAsia" w:ascii="宋体" w:hAnsi="宋体" w:cs="宋体"/>
          <w:sz w:val="24"/>
          <w:u w:val="single"/>
          <w:lang w:val="en-US" w:eastAsia="zh-CN"/>
        </w:rPr>
        <w:t>1</w:t>
      </w:r>
      <w:r>
        <w:rPr>
          <w:rFonts w:hint="eastAsia" w:ascii="宋体" w:hAnsi="宋体" w:cs="宋体"/>
          <w:sz w:val="24"/>
          <w:u w:val="single"/>
        </w:rPr>
        <w:t>日止</w:t>
      </w:r>
      <w:r>
        <w:rPr>
          <w:rFonts w:hint="eastAsia" w:ascii="宋体" w:hAnsi="宋体" w:cs="宋体"/>
          <w:sz w:val="24"/>
        </w:rPr>
        <w:t>，每天上午00:00至12:00 ，下午12:00至23:59（北京时间，线上获取法定节假日均可）</w:t>
      </w:r>
    </w:p>
    <w:p>
      <w:pPr>
        <w:keepNext w:val="0"/>
        <w:keepLines w:val="0"/>
        <w:pageBreakBefore w:val="0"/>
        <w:kinsoku/>
        <w:wordWrap/>
        <w:overflowPunct/>
        <w:topLinePunct w:val="0"/>
        <w:autoSpaceDE/>
        <w:autoSpaceDN/>
        <w:bidi w:val="0"/>
        <w:adjustRightInd w:val="0"/>
        <w:spacing w:after="0" w:line="360" w:lineRule="auto"/>
        <w:ind w:firstLine="482" w:firstLineChars="200"/>
        <w:textAlignment w:val="auto"/>
        <w:rPr>
          <w:rFonts w:ascii="宋体" w:hAnsi="宋体" w:cs="宋体"/>
          <w:b/>
          <w:sz w:val="24"/>
        </w:rPr>
      </w:pPr>
      <w:r>
        <w:rPr>
          <w:rFonts w:hint="eastAsia" w:ascii="宋体" w:hAnsi="宋体" w:cs="宋体"/>
          <w:b/>
          <w:sz w:val="24"/>
        </w:rPr>
        <w:t xml:space="preserve">地点（网址）：乐采云平台（https://www.lecaiyun.com/） </w:t>
      </w:r>
    </w:p>
    <w:p>
      <w:pPr>
        <w:keepNext w:val="0"/>
        <w:keepLines w:val="0"/>
        <w:pageBreakBefore w:val="0"/>
        <w:kinsoku/>
        <w:wordWrap/>
        <w:overflowPunct/>
        <w:topLinePunct w:val="0"/>
        <w:autoSpaceDE/>
        <w:autoSpaceDN/>
        <w:bidi w:val="0"/>
        <w:adjustRightInd w:val="0"/>
        <w:spacing w:after="0" w:line="360" w:lineRule="auto"/>
        <w:ind w:firstLine="482" w:firstLineChars="200"/>
        <w:textAlignment w:val="auto"/>
        <w:rPr>
          <w:rFonts w:ascii="宋体" w:hAnsi="宋体" w:cs="宋体"/>
          <w:sz w:val="24"/>
        </w:rPr>
      </w:pPr>
      <w:r>
        <w:rPr>
          <w:rFonts w:hint="eastAsia" w:ascii="宋体" w:hAnsi="宋体" w:cs="宋体"/>
          <w:b/>
          <w:sz w:val="24"/>
        </w:rPr>
        <w:t>方式：</w:t>
      </w:r>
      <w:r>
        <w:rPr>
          <w:rFonts w:hint="eastAsia" w:ascii="宋体" w:hAnsi="宋体" w:cs="宋体"/>
          <w:sz w:val="24"/>
        </w:rPr>
        <w:t xml:space="preserve">供应商登录乐采云平台（https://www.lecaiyun.com/）在线申请获取采购文件（进入“项目采购”应用，在获取采购文件菜单中选择项目，申请获取采购文件）。 </w:t>
      </w:r>
    </w:p>
    <w:p>
      <w:pPr>
        <w:keepNext w:val="0"/>
        <w:keepLines w:val="0"/>
        <w:pageBreakBefore w:val="0"/>
        <w:kinsoku/>
        <w:wordWrap/>
        <w:overflowPunct/>
        <w:topLinePunct w:val="0"/>
        <w:autoSpaceDE/>
        <w:autoSpaceDN/>
        <w:bidi w:val="0"/>
        <w:adjustRightInd w:val="0"/>
        <w:spacing w:after="0" w:line="360" w:lineRule="auto"/>
        <w:ind w:firstLine="482" w:firstLineChars="200"/>
        <w:textAlignment w:val="auto"/>
        <w:rPr>
          <w:rFonts w:ascii="宋体" w:hAnsi="宋体" w:cs="宋体"/>
          <w:sz w:val="24"/>
        </w:rPr>
      </w:pPr>
      <w:r>
        <w:rPr>
          <w:rFonts w:hint="eastAsia" w:ascii="宋体" w:hAnsi="宋体" w:cs="宋体"/>
          <w:b/>
          <w:sz w:val="24"/>
        </w:rPr>
        <w:t>售价（元）：</w:t>
      </w:r>
      <w:r>
        <w:rPr>
          <w:rFonts w:hint="eastAsia" w:ascii="宋体" w:hAnsi="宋体" w:cs="宋体"/>
          <w:sz w:val="24"/>
        </w:rPr>
        <w:t xml:space="preserve">0 </w:t>
      </w:r>
    </w:p>
    <w:p>
      <w:pPr>
        <w:keepNext w:val="0"/>
        <w:keepLines w:val="0"/>
        <w:pageBreakBefore w:val="0"/>
        <w:kinsoku/>
        <w:wordWrap/>
        <w:overflowPunct/>
        <w:topLinePunct w:val="0"/>
        <w:autoSpaceDE/>
        <w:autoSpaceDN/>
        <w:bidi w:val="0"/>
        <w:adjustRightInd w:val="0"/>
        <w:spacing w:after="0" w:line="360" w:lineRule="auto"/>
        <w:textAlignment w:val="auto"/>
        <w:rPr>
          <w:rFonts w:ascii="宋体" w:hAnsi="宋体" w:cs="宋体"/>
          <w:b/>
          <w:sz w:val="24"/>
        </w:rPr>
      </w:pPr>
      <w:r>
        <w:rPr>
          <w:rFonts w:hint="eastAsia" w:ascii="宋体" w:hAnsi="宋体" w:cs="宋体"/>
          <w:b/>
          <w:sz w:val="24"/>
        </w:rPr>
        <w:t>四、提交响应文件截止时间、开标时间和地点</w:t>
      </w:r>
    </w:p>
    <w:p>
      <w:pPr>
        <w:keepNext w:val="0"/>
        <w:keepLines w:val="0"/>
        <w:pageBreakBefore w:val="0"/>
        <w:kinsoku/>
        <w:wordWrap/>
        <w:overflowPunct/>
        <w:topLinePunct w:val="0"/>
        <w:autoSpaceDE/>
        <w:autoSpaceDN/>
        <w:bidi w:val="0"/>
        <w:adjustRightInd w:val="0"/>
        <w:spacing w:after="0" w:line="360" w:lineRule="auto"/>
        <w:ind w:firstLine="482" w:firstLineChars="200"/>
        <w:textAlignment w:val="auto"/>
        <w:rPr>
          <w:rFonts w:ascii="宋体" w:hAnsi="宋体" w:cs="宋体"/>
          <w:sz w:val="24"/>
        </w:rPr>
      </w:pPr>
      <w:r>
        <w:rPr>
          <w:rFonts w:hint="eastAsia" w:ascii="宋体" w:hAnsi="宋体" w:cs="宋体"/>
          <w:b/>
          <w:sz w:val="24"/>
        </w:rPr>
        <w:t>提交响应文件截止时间：</w:t>
      </w:r>
      <w:r>
        <w:rPr>
          <w:rFonts w:hint="eastAsia" w:ascii="宋体" w:hAnsi="宋体" w:cs="宋体"/>
          <w:sz w:val="24"/>
          <w:u w:val="single"/>
        </w:rPr>
        <w:t xml:space="preserve"> 2026年</w:t>
      </w:r>
      <w:r>
        <w:rPr>
          <w:rFonts w:hint="eastAsia" w:ascii="宋体" w:hAnsi="宋体" w:cs="宋体"/>
          <w:sz w:val="24"/>
          <w:u w:val="single"/>
          <w:lang w:val="en-US" w:eastAsia="zh-CN"/>
        </w:rPr>
        <w:t>6</w:t>
      </w:r>
      <w:r>
        <w:rPr>
          <w:rFonts w:hint="eastAsia" w:ascii="宋体" w:hAnsi="宋体" w:cs="宋体"/>
          <w:sz w:val="24"/>
          <w:u w:val="single"/>
        </w:rPr>
        <w:t>月</w:t>
      </w:r>
      <w:r>
        <w:rPr>
          <w:rFonts w:hint="eastAsia" w:ascii="宋体" w:hAnsi="宋体" w:cs="宋体"/>
          <w:sz w:val="24"/>
          <w:u w:val="single"/>
          <w:lang w:val="en-US" w:eastAsia="zh-CN"/>
        </w:rPr>
        <w:t>1</w:t>
      </w:r>
      <w:r>
        <w:rPr>
          <w:rFonts w:hint="eastAsia" w:ascii="宋体" w:hAnsi="宋体" w:cs="宋体"/>
          <w:sz w:val="24"/>
          <w:u w:val="single"/>
        </w:rPr>
        <w:t>日14点00分00秒</w:t>
      </w:r>
      <w:r>
        <w:rPr>
          <w:rFonts w:hint="eastAsia" w:ascii="宋体" w:hAnsi="宋体" w:cs="宋体"/>
          <w:bCs/>
          <w:sz w:val="24"/>
          <w:u w:val="single"/>
        </w:rPr>
        <w:t xml:space="preserve"> </w:t>
      </w:r>
      <w:r>
        <w:rPr>
          <w:rFonts w:hint="eastAsia" w:ascii="宋体" w:hAnsi="宋体" w:cs="宋体"/>
          <w:sz w:val="24"/>
        </w:rPr>
        <w:t>（北京时间）</w:t>
      </w:r>
    </w:p>
    <w:p>
      <w:pPr>
        <w:keepNext w:val="0"/>
        <w:keepLines w:val="0"/>
        <w:pageBreakBefore w:val="0"/>
        <w:kinsoku/>
        <w:wordWrap/>
        <w:overflowPunct/>
        <w:topLinePunct w:val="0"/>
        <w:autoSpaceDE/>
        <w:autoSpaceDN/>
        <w:bidi w:val="0"/>
        <w:adjustRightInd w:val="0"/>
        <w:spacing w:after="0" w:line="360" w:lineRule="auto"/>
        <w:ind w:firstLine="482" w:firstLineChars="200"/>
        <w:textAlignment w:val="auto"/>
        <w:rPr>
          <w:rFonts w:ascii="宋体" w:hAnsi="宋体" w:cs="宋体"/>
          <w:b/>
          <w:sz w:val="24"/>
        </w:rPr>
      </w:pPr>
      <w:r>
        <w:rPr>
          <w:rFonts w:hint="eastAsia" w:ascii="宋体" w:hAnsi="宋体" w:cs="宋体"/>
          <w:b/>
          <w:sz w:val="24"/>
        </w:rPr>
        <w:t>提交响应文件地点（网址）：</w:t>
      </w:r>
      <w:r>
        <w:rPr>
          <w:rFonts w:hint="eastAsia" w:ascii="宋体" w:hAnsi="宋体" w:cs="宋体"/>
          <w:b/>
          <w:bCs/>
          <w:sz w:val="24"/>
        </w:rPr>
        <w:t>乐采云平台（https://www.lecaiyun.com/）</w:t>
      </w:r>
      <w:r>
        <w:rPr>
          <w:rFonts w:hint="eastAsia" w:ascii="宋体" w:hAnsi="宋体" w:cs="宋体"/>
          <w:sz w:val="24"/>
        </w:rPr>
        <w:t xml:space="preserve"> </w:t>
      </w:r>
    </w:p>
    <w:p>
      <w:pPr>
        <w:keepNext w:val="0"/>
        <w:keepLines w:val="0"/>
        <w:pageBreakBefore w:val="0"/>
        <w:kinsoku/>
        <w:wordWrap/>
        <w:overflowPunct/>
        <w:topLinePunct w:val="0"/>
        <w:autoSpaceDE/>
        <w:autoSpaceDN/>
        <w:bidi w:val="0"/>
        <w:adjustRightInd w:val="0"/>
        <w:spacing w:after="0" w:line="360" w:lineRule="auto"/>
        <w:ind w:firstLine="482" w:firstLineChars="200"/>
        <w:textAlignment w:val="auto"/>
        <w:rPr>
          <w:rFonts w:ascii="宋体" w:hAnsi="宋体" w:cs="宋体"/>
          <w:bCs/>
          <w:sz w:val="24"/>
          <w:u w:val="single"/>
        </w:rPr>
      </w:pPr>
      <w:r>
        <w:rPr>
          <w:rFonts w:hint="eastAsia" w:ascii="宋体" w:hAnsi="宋体" w:cs="宋体"/>
          <w:b/>
          <w:sz w:val="24"/>
        </w:rPr>
        <w:t>开标时间：</w:t>
      </w:r>
      <w:r>
        <w:rPr>
          <w:rFonts w:hint="eastAsia" w:ascii="宋体" w:hAnsi="宋体" w:cs="宋体"/>
          <w:sz w:val="24"/>
          <w:u w:val="single"/>
        </w:rPr>
        <w:t>2026年</w:t>
      </w:r>
      <w:r>
        <w:rPr>
          <w:rFonts w:hint="eastAsia" w:ascii="宋体" w:hAnsi="宋体" w:cs="宋体"/>
          <w:sz w:val="24"/>
          <w:u w:val="single"/>
          <w:lang w:val="en-US" w:eastAsia="zh-CN"/>
        </w:rPr>
        <w:t>6</w:t>
      </w:r>
      <w:r>
        <w:rPr>
          <w:rFonts w:hint="eastAsia" w:ascii="宋体" w:hAnsi="宋体" w:cs="宋体"/>
          <w:sz w:val="24"/>
          <w:u w:val="single"/>
        </w:rPr>
        <w:t>月</w:t>
      </w:r>
      <w:r>
        <w:rPr>
          <w:rFonts w:hint="eastAsia" w:ascii="宋体" w:hAnsi="宋体" w:cs="宋体"/>
          <w:sz w:val="24"/>
          <w:u w:val="single"/>
          <w:lang w:val="en-US" w:eastAsia="zh-CN"/>
        </w:rPr>
        <w:t>1</w:t>
      </w:r>
      <w:r>
        <w:rPr>
          <w:rFonts w:hint="eastAsia" w:ascii="宋体" w:hAnsi="宋体" w:cs="宋体"/>
          <w:sz w:val="24"/>
          <w:u w:val="single"/>
        </w:rPr>
        <w:t>日14点00分00秒</w:t>
      </w:r>
      <w:r>
        <w:rPr>
          <w:rFonts w:hint="eastAsia" w:ascii="宋体" w:hAnsi="宋体" w:cs="宋体"/>
          <w:bCs/>
          <w:sz w:val="24"/>
          <w:u w:val="single"/>
        </w:rPr>
        <w:t xml:space="preserve">  （北京时间）</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ascii="宋体" w:hAnsi="宋体" w:cs="宋体"/>
          <w:b/>
          <w:sz w:val="24"/>
        </w:rPr>
      </w:pPr>
      <w:r>
        <w:rPr>
          <w:rFonts w:hint="eastAsia" w:ascii="宋体" w:hAnsi="宋体" w:cs="宋体"/>
          <w:b/>
          <w:sz w:val="24"/>
        </w:rPr>
        <w:t>开标地点（网址）：</w:t>
      </w:r>
      <w:r>
        <w:rPr>
          <w:rFonts w:hint="eastAsia" w:ascii="宋体" w:hAnsi="宋体" w:cs="宋体"/>
          <w:b/>
          <w:bCs/>
          <w:sz w:val="24"/>
        </w:rPr>
        <w:t>乐采云平台（https://www.lecaiyun.com/）</w:t>
      </w:r>
    </w:p>
    <w:p>
      <w:pPr>
        <w:keepNext w:val="0"/>
        <w:keepLines w:val="0"/>
        <w:pageBreakBefore w:val="0"/>
        <w:kinsoku/>
        <w:wordWrap/>
        <w:overflowPunct/>
        <w:topLinePunct w:val="0"/>
        <w:autoSpaceDE/>
        <w:autoSpaceDN/>
        <w:bidi w:val="0"/>
        <w:adjustRightInd w:val="0"/>
        <w:spacing w:after="0" w:line="360" w:lineRule="auto"/>
        <w:textAlignment w:val="auto"/>
        <w:rPr>
          <w:rFonts w:ascii="宋体" w:hAnsi="宋体" w:cs="宋体"/>
          <w:kern w:val="0"/>
          <w:szCs w:val="21"/>
        </w:rPr>
      </w:pPr>
      <w:r>
        <w:rPr>
          <w:rFonts w:hint="eastAsia" w:ascii="宋体" w:hAnsi="宋体" w:cs="宋体"/>
          <w:b/>
          <w:sz w:val="24"/>
        </w:rPr>
        <w:t>五、公告期限：</w:t>
      </w:r>
      <w:r>
        <w:rPr>
          <w:rFonts w:hint="eastAsia" w:hAnsi="宋体" w:cs="宋体"/>
          <w:bCs/>
          <w:sz w:val="24"/>
        </w:rPr>
        <w:t>自本公告发布之日起10个工作日。（不少于10个工作日）</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ascii="宋体" w:hAnsi="宋体" w:cs="宋体"/>
          <w:b/>
          <w:sz w:val="24"/>
        </w:rPr>
      </w:pPr>
      <w:r>
        <w:rPr>
          <w:rFonts w:hint="eastAsia" w:ascii="宋体" w:hAnsi="宋体" w:cs="宋体"/>
          <w:b/>
          <w:sz w:val="24"/>
        </w:rPr>
        <w:t>六、其他事项：</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1、供应商认为采购文件使自己的权益受到损害的，可以自收到采购文件之日（获取截止日之后收到采购文件的，以获取截止日为准）起7个工作日内，以书面形式向采购人和采购代理机构提出质疑。质疑供应商对采购人、采购代理机构的答复不满意或者采购人、采购代理机构未在规定的时间内作出答复的，可以在答复期满后15个工作日内向采购人监督管理部门投诉。</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2、其他事项：电子交易的说明：①电子交易：本项目以数据电文形式，依托“乐采云平台（https://www.lecaiyun.com/）”进行采购活动，不接受纸质响应文件；②响应准备：注册账号--点击“商家中心-商家注册（https://middle-lcy.lecaiyun.com/settle-front/#/enter/newsettle?entranceType=150&amp;settleCategory=1）”，进行供应商资料填写；申领CA数字证书---申领流程详见“乐采云平台-帮助文档-申请CA证书（https://lecaiyun.com/helpcenter/document#/document/detail?siteCode=lecaiyun&amp;topicId=12851&amp;manualId=2185）”；安装“乐采云电子交易客户端”----供应商通过乐采云平台电子投标工具制作响应文件，前往“乐采云平台-服务中心-电子交易客户端”进行下载并安装。乐采云电子交易客户端：https://sitecdn.zcycdn.com/zcy-client/bidding-client-new/official/lcy/LeCaiYunSetup.latest.exe；③采购文件的获取：使用账号登录或者使用CA登录乐采云平台；进入“项目采购”应用，在获取采购文件菜单中选择项目，获取采购文件；④响应文件的制作：在“乐采云电子交易客户端”中完成“填写基本信息”、“导入响应文件”、“标书关联”、“标书检查”、“电子签名”、“生成电子标书”等操作；⑤采购人、采购代理机构将依托乐采云平台完成本项目的电子交易活动，平台不接受未按上述方式获取采购文件的供应商进行响应活动； ⑥对未按上述方式获取采购文件的供应商对该文件提出的质疑，采购人或采购代理机构将不予处理；⑦不提供采购文件纸质版；⑧响应文件的传输递交：供应商在响应截止时间前将加密的响应文件上传至乐采云平台，还可以在响应截止时间前直接提交或者以邮政快递方式递交备份响应文件1份。备份响应文件的制作、存储、密封详见采购文件第二部分第15点—“备份响应文件”；⑨响应文件的解密：供应商按照平台提示和采购文件的规定在半小时内完成在线解密。通过“乐采云平台”上传递交的响应文件无法按时解密，潜在供应商递交了备份响应文件的，以备份响应文件为依据，否则视为响应文件撤回。通过“乐采云平台”上传递交的响应文件已按时解密的，备份响应文件自动失效。供应商仅提交备份响应文件，未在电子交易平台传输递交响应文件的，响应无效；⑩具体操作指南：详见“乐采云平台”服务中心-帮助文档-项目采购-操作流程-电子招投标。</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3.采购文件公告期限与采购公告的公告期限一致。</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cs="宋体"/>
          <w:b/>
          <w:sz w:val="24"/>
        </w:rPr>
      </w:pPr>
      <w:r>
        <w:rPr>
          <w:rFonts w:hint="eastAsia" w:ascii="宋体" w:hAnsi="宋体" w:cs="宋体"/>
          <w:b/>
          <w:sz w:val="24"/>
        </w:rPr>
        <w:t>七、联系方式：</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bookmarkStart w:id="2" w:name="OLE_LINK1"/>
      <w:r>
        <w:rPr>
          <w:rFonts w:hint="eastAsia" w:ascii="宋体" w:hAnsi="宋体" w:cs="宋体"/>
          <w:sz w:val="24"/>
        </w:rPr>
        <w:t>1、采购人：杭州市拱墅区疾病预防控制中心（杭州市拱墅区卫生监督所）</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 xml:space="preserve">联系地址：杭州市半山街道园河弄51号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 xml:space="preserve">联系人：王医师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联系电话：0571-88129112</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2、采购代理机构：浙江蟠龙工程审计咨询有限公司</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 xml:space="preserve">公司地址：杭州市西湖区振华路298号西港发展中心西7幢5楼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 xml:space="preserve">联系人：方洪胜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联系电话：18069796119</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 xml:space="preserve">传真：/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 xml:space="preserve">3、采购人监督管理部门：杭州市拱墅区疾病预防控制中心（杭州市拱墅区卫生监督所）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 xml:space="preserve">联系人：袁老师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 xml:space="preserve">监督投诉电话：0571-86812058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 xml:space="preserve">地址：杭州市半山街道园河弄51号  </w:t>
      </w:r>
    </w:p>
    <w:p>
      <w:pPr>
        <w:keepNext w:val="0"/>
        <w:keepLines w:val="0"/>
        <w:pageBreakBefore w:val="0"/>
        <w:widowControl w:val="0"/>
        <w:kinsoku/>
        <w:wordWrap/>
        <w:overflowPunct/>
        <w:topLinePunct w:val="0"/>
        <w:autoSpaceDE/>
        <w:autoSpaceDN/>
        <w:bidi w:val="0"/>
        <w:adjustRightInd w:val="0"/>
        <w:spacing w:after="0" w:line="360" w:lineRule="auto"/>
        <w:ind w:firstLine="480" w:firstLineChars="200"/>
        <w:textAlignment w:val="auto"/>
        <w:rPr>
          <w:rFonts w:ascii="宋体" w:hAnsi="宋体" w:cs="宋体"/>
          <w:sz w:val="24"/>
        </w:rPr>
      </w:pPr>
      <w:r>
        <w:rPr>
          <w:rFonts w:hint="eastAsia" w:ascii="宋体" w:hAnsi="宋体" w:cs="宋体"/>
          <w:sz w:val="24"/>
        </w:rPr>
        <w:t>若对项目采购电子交易系统操作有疑问，可登录乐采云平台（https://www.lecaiyun.com/），点击右侧咨询小采，获取采小蜜智能服务管家帮助，或拨打乐采云有限公司服务热线95763获取热线服务帮助。</w:t>
      </w:r>
    </w:p>
    <w:p>
      <w:pPr>
        <w:keepNext w:val="0"/>
        <w:keepLines w:val="0"/>
        <w:pageBreakBefore w:val="0"/>
        <w:widowControl w:val="0"/>
        <w:kinsoku/>
        <w:wordWrap/>
        <w:overflowPunct/>
        <w:topLinePunct w:val="0"/>
        <w:autoSpaceDE/>
        <w:autoSpaceDN/>
        <w:bidi w:val="0"/>
        <w:adjustRightInd w:val="0"/>
        <w:spacing w:after="0" w:line="360" w:lineRule="auto"/>
        <w:ind w:firstLine="480" w:firstLineChars="200"/>
        <w:textAlignment w:val="auto"/>
        <w:rPr>
          <w:rFonts w:ascii="宋体"/>
          <w:snapToGrid w:val="0"/>
        </w:rPr>
      </w:pPr>
      <w:r>
        <w:rPr>
          <w:rFonts w:hint="eastAsia" w:ascii="宋体" w:hAnsi="宋体" w:cs="宋体"/>
          <w:sz w:val="24"/>
        </w:rPr>
        <w:t>CA问题联系电话（人工）：汇信CA 400-888-4636；天谷CA 400-087-8198。</w:t>
      </w:r>
      <w:bookmarkEnd w:id="2"/>
    </w:p>
    <w:p>
      <w:pPr>
        <w:keepNext w:val="0"/>
        <w:keepLines w:val="0"/>
        <w:pageBreakBefore w:val="0"/>
        <w:widowControl w:val="0"/>
        <w:kinsoku/>
        <w:wordWrap/>
        <w:overflowPunct/>
        <w:topLinePunct w:val="0"/>
        <w:autoSpaceDE/>
        <w:autoSpaceDN/>
        <w:bidi w:val="0"/>
        <w:adjustRightInd w:val="0"/>
        <w:spacing w:after="0"/>
        <w:textAlignment w:val="auto"/>
        <w:rPr>
          <w:rFonts w:ascii="宋体" w:hAnsi="宋体" w:cs="宋体"/>
          <w:b/>
          <w:sz w:val="36"/>
          <w:szCs w:val="20"/>
        </w:rPr>
      </w:pPr>
      <w:bookmarkStart w:id="3" w:name="_Toc273624872"/>
      <w:bookmarkStart w:id="4" w:name="_Toc1460"/>
      <w:bookmarkStart w:id="5" w:name="_Toc20025"/>
      <w:r>
        <w:rPr>
          <w:rFonts w:hint="eastAsia" w:ascii="宋体" w:hAnsi="宋体" w:cs="宋体"/>
          <w:b/>
          <w:sz w:val="36"/>
          <w:szCs w:val="20"/>
        </w:rPr>
        <w:br w:type="page"/>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0"/>
        <w:rPr>
          <w:rFonts w:ascii="宋体" w:hAnsi="宋体" w:cs="宋体"/>
          <w:b/>
          <w:sz w:val="36"/>
          <w:szCs w:val="20"/>
        </w:rPr>
      </w:pPr>
      <w:r>
        <w:rPr>
          <w:rFonts w:hint="eastAsia" w:ascii="宋体" w:hAnsi="宋体" w:cs="宋体"/>
          <w:b/>
          <w:sz w:val="36"/>
          <w:szCs w:val="20"/>
        </w:rPr>
        <w:t xml:space="preserve">第二章  </w:t>
      </w:r>
      <w:bookmarkEnd w:id="3"/>
      <w:r>
        <w:rPr>
          <w:rFonts w:hint="eastAsia" w:ascii="宋体" w:hAnsi="宋体" w:cs="宋体"/>
          <w:b/>
          <w:sz w:val="36"/>
          <w:szCs w:val="20"/>
        </w:rPr>
        <w:t>供应商须知</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0"/>
        <w:rPr>
          <w:rFonts w:ascii="宋体" w:hAnsi="宋体" w:cs="宋体"/>
          <w:b/>
          <w:sz w:val="36"/>
          <w:szCs w:val="20"/>
        </w:rPr>
      </w:pPr>
      <w:r>
        <w:rPr>
          <w:rFonts w:hint="eastAsia" w:ascii="宋体" w:hAnsi="宋体" w:cs="宋体"/>
          <w:b/>
          <w:sz w:val="36"/>
          <w:szCs w:val="20"/>
        </w:rPr>
        <w:t>前附表</w:t>
      </w:r>
      <w:bookmarkEnd w:id="4"/>
      <w:bookmarkEnd w:id="5"/>
    </w:p>
    <w:tbl>
      <w:tblPr>
        <w:tblStyle w:val="21"/>
        <w:tblW w:w="85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76" w:hRule="atLeast"/>
          <w:tblHeader/>
          <w:jc w:val="cent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sz w:val="24"/>
              </w:rPr>
            </w:pPr>
            <w:bookmarkStart w:id="6" w:name="_Toc82873321"/>
            <w:bookmarkStart w:id="7" w:name="_Toc211745567"/>
            <w:bookmarkStart w:id="8" w:name="_Toc204"/>
            <w:bookmarkStart w:id="9" w:name="_Toc10541"/>
            <w:bookmarkStart w:id="10" w:name="_Toc82338238"/>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3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spacing w:after="0" w:line="360" w:lineRule="auto"/>
              <w:jc w:val="both"/>
              <w:textAlignment w:val="auto"/>
              <w:rPr>
                <w:rFonts w:ascii="宋体" w:hAnsi="宋体" w:cs="宋体"/>
                <w:sz w:val="24"/>
              </w:rPr>
            </w:pPr>
            <w:r>
              <w:rPr>
                <w:rFonts w:hint="eastAsia" w:ascii="宋体" w:hAnsi="宋体" w:cs="宋体"/>
                <w:kern w:val="0"/>
                <w:sz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8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cs="宋体"/>
                <w:kern w:val="0"/>
                <w:sz w:val="24"/>
              </w:rPr>
            </w:pPr>
            <w:sdt>
              <w:sdtPr>
                <w:rPr>
                  <w:rFonts w:hint="eastAsia" w:ascii="宋体" w:hAnsi="宋体" w:cs="宋体"/>
                  <w:kern w:val="0"/>
                  <w:sz w:val="24"/>
                </w:rPr>
                <w:id w:val="5108395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cs="宋体"/>
              </w:rPr>
            </w:pPr>
            <w:sdt>
              <w:sdtPr>
                <w:rPr>
                  <w:rFonts w:hint="eastAsia" w:ascii="宋体" w:hAnsi="宋体" w:cs="宋体"/>
                  <w:kern w:val="0"/>
                  <w:sz w:val="24"/>
                </w:rPr>
                <w:id w:val="9405925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21"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cs="宋体"/>
                <w:sz w:val="24"/>
              </w:rPr>
            </w:pPr>
            <w:sdt>
              <w:sdtPr>
                <w:rPr>
                  <w:rFonts w:hint="eastAsia" w:ascii="宋体" w:hAnsi="宋体" w:cs="宋体"/>
                  <w:kern w:val="0"/>
                  <w:sz w:val="24"/>
                </w:rPr>
                <w:id w:val="8631642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kern w:val="0"/>
                  <w:sz w:val="24"/>
                </w:rPr>
                <w:id w:val="810371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cs="宋体"/>
                    <w:kern w:val="0"/>
                    <w:sz w:val="24"/>
                  </w:rPr>
                  <w:t>þ</w:t>
                </w:r>
              </w:sdtContent>
            </w:sdt>
            <w:r>
              <w:rPr>
                <w:rFonts w:hint="eastAsia" w:ascii="宋体" w:hAnsi="宋体" w:cs="宋体"/>
                <w:kern w:val="0"/>
                <w:sz w:val="24"/>
              </w:rPr>
              <w:t xml:space="preserve"> B</w:t>
            </w:r>
            <w:r>
              <w:rPr>
                <w:rFonts w:hint="eastAsia" w:ascii="宋体" w:hAnsi="宋体" w:cs="宋体"/>
                <w:sz w:val="24"/>
              </w:rPr>
              <w:t>不同意分包。</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cs="宋体"/>
                <w:sz w:val="24"/>
              </w:rPr>
            </w:pPr>
            <w:r>
              <w:rPr>
                <w:rFonts w:hint="eastAsia" w:ascii="宋体" w:hAnsi="宋体" w:cs="宋体"/>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3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cs="宋体"/>
                <w:sz w:val="24"/>
              </w:rPr>
            </w:pPr>
            <w:sdt>
              <w:sdtPr>
                <w:rPr>
                  <w:rFonts w:hint="eastAsia" w:ascii="宋体" w:hAnsi="宋体" w:cs="宋体"/>
                  <w:kern w:val="0"/>
                  <w:sz w:val="24"/>
                </w:rPr>
                <w:id w:val="997055142"/>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rPr>
                  <w:t>þ</w:t>
                </w:r>
              </w:sdtContent>
            </w:sdt>
            <w:r>
              <w:rPr>
                <w:rFonts w:hint="eastAsia" w:ascii="宋体" w:hAnsi="宋体" w:cs="宋体"/>
                <w:kern w:val="0"/>
                <w:sz w:val="24"/>
              </w:rPr>
              <w:t>A</w:t>
            </w:r>
            <w:r>
              <w:rPr>
                <w:rFonts w:hint="eastAsia" w:ascii="宋体" w:hAnsi="宋体" w:cs="宋体"/>
                <w:sz w:val="24"/>
              </w:rPr>
              <w:t>不组织。</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cs="宋体"/>
                <w:sz w:val="24"/>
                <w:szCs w:val="20"/>
              </w:rPr>
            </w:pPr>
            <w:sdt>
              <w:sdtPr>
                <w:rPr>
                  <w:rFonts w:hint="eastAsia" w:ascii="宋体" w:hAnsi="宋体" w:cs="宋体"/>
                  <w:kern w:val="0"/>
                  <w:sz w:val="24"/>
                </w:rPr>
                <w:id w:val="73124690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443" w:hRule="atLeast"/>
          <w:tblHeader/>
          <w:jc w:val="cent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cs="宋体"/>
                <w:sz w:val="24"/>
              </w:rPr>
            </w:pPr>
            <w:sdt>
              <w:sdtPr>
                <w:rPr>
                  <w:rFonts w:hint="eastAsia" w:ascii="宋体" w:hAnsi="宋体" w:cs="宋体"/>
                  <w:kern w:val="0"/>
                  <w:sz w:val="24"/>
                </w:rPr>
                <w:id w:val="792568430"/>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rPr>
                  <w:t>þ</w:t>
                </w:r>
              </w:sdtContent>
            </w:sdt>
            <w:r>
              <w:rPr>
                <w:rFonts w:hint="eastAsia" w:ascii="宋体" w:hAnsi="宋体" w:cs="宋体"/>
                <w:kern w:val="0"/>
                <w:sz w:val="24"/>
              </w:rPr>
              <w:t>A</w:t>
            </w:r>
            <w:r>
              <w:rPr>
                <w:rFonts w:hint="eastAsia" w:ascii="宋体" w:hAnsi="宋体" w:cs="宋体"/>
                <w:sz w:val="24"/>
              </w:rPr>
              <w:t>不要求提供。</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。请供应商在上述时间内提供样品并按规定位置安装完毕。超过截止时间的，采购人或采购代理机构将不予接收，并将清场并封闭样品现场。</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cs="宋体"/>
                <w:sz w:val="24"/>
              </w:rPr>
            </w:pPr>
            <w:r>
              <w:rPr>
                <w:rFonts w:hint="eastAsia" w:ascii="宋体" w:hAnsi="宋体" w:cs="宋体"/>
                <w:sz w:val="24"/>
              </w:rPr>
              <w:t xml:space="preserve"> (6)采购活动结束后，对于未成交供应商提供的样品，采购人、采购代理机构将通知未成交供应商在规定的时间内取回，逾期未取回的，采购人、采购代理机构不负保管义务；对于成交供应商提供的样品，采购人将进行保管、封存，并作为履约验收的参考。</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cs="宋体"/>
                <w:b/>
                <w:sz w:val="24"/>
              </w:rPr>
            </w:pPr>
            <w:r>
              <w:rPr>
                <w:rFonts w:hint="eastAsia" w:ascii="宋体" w:hAnsi="宋体" w:cs="宋体"/>
                <w:sz w:val="24"/>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after="0" w:line="360" w:lineRule="auto"/>
              <w:textAlignment w:val="auto"/>
              <w:rPr>
                <w:rFonts w:ascii="宋体" w:hAnsi="宋体" w:cs="宋体"/>
                <w:sz w:val="24"/>
              </w:rPr>
            </w:pPr>
            <w:sdt>
              <w:sdtPr>
                <w:rPr>
                  <w:rFonts w:hint="eastAsia" w:ascii="宋体" w:hAnsi="宋体" w:cs="宋体"/>
                  <w:kern w:val="0"/>
                  <w:sz w:val="24"/>
                </w:rPr>
                <w:id w:val="641810201"/>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rPr>
                  <w:t>þ</w:t>
                </w:r>
              </w:sdtContent>
            </w:sdt>
            <w:r>
              <w:rPr>
                <w:rFonts w:hint="eastAsia" w:ascii="宋体" w:hAnsi="宋体" w:cs="宋体"/>
                <w:kern w:val="0"/>
                <w:sz w:val="24"/>
              </w:rPr>
              <w:t>A</w:t>
            </w:r>
            <w:r>
              <w:rPr>
                <w:rFonts w:hint="eastAsia" w:ascii="宋体" w:hAnsi="宋体" w:cs="宋体"/>
                <w:sz w:val="24"/>
              </w:rPr>
              <w:t>不组织。</w:t>
            </w:r>
          </w:p>
          <w:p>
            <w:pPr>
              <w:keepNext w:val="0"/>
              <w:keepLines w:val="0"/>
              <w:pageBreakBefore w:val="0"/>
              <w:widowControl w:val="0"/>
              <w:kinsoku/>
              <w:wordWrap/>
              <w:overflowPunct/>
              <w:topLinePunct w:val="0"/>
              <w:autoSpaceDE/>
              <w:autoSpaceDN/>
              <w:bidi w:val="0"/>
              <w:adjustRightInd w:val="0"/>
              <w:spacing w:after="0" w:line="360" w:lineRule="auto"/>
              <w:textAlignment w:val="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cs="宋体"/>
                <w:kern w:val="0"/>
                <w:sz w:val="24"/>
              </w:rPr>
            </w:pPr>
            <w:r>
              <w:rPr>
                <w:rFonts w:hint="eastAsia" w:ascii="宋体" w:hAnsi="宋体" w:cs="宋体"/>
                <w:kern w:val="0"/>
                <w:sz w:val="24"/>
              </w:rPr>
              <w:t>（1）在评审时安排每个供应商进行方案讲解演示。每个供应商时间不超过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分钟，讲解次序以响应文件解密时间先后次序为准，讲解演示人员不超过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人。讲解演示结束后按要求解答评审小组提问。</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cs="宋体"/>
                <w:kern w:val="0"/>
                <w:sz w:val="24"/>
              </w:rPr>
            </w:pPr>
            <w:r>
              <w:rPr>
                <w:rFonts w:hint="eastAsia" w:ascii="宋体" w:hAnsi="宋体" w:cs="宋体"/>
                <w:kern w:val="0"/>
                <w:sz w:val="24"/>
              </w:rPr>
              <w:t>（2）方案讲解演示方式：</w:t>
            </w:r>
          </w:p>
          <w:p>
            <w:pPr>
              <w:keepNext w:val="0"/>
              <w:keepLines w:val="0"/>
              <w:pageBreakBefore w:val="0"/>
              <w:widowControl w:val="0"/>
              <w:kinsoku/>
              <w:wordWrap/>
              <w:overflowPunct/>
              <w:topLinePunct w:val="0"/>
              <w:autoSpaceDE/>
              <w:autoSpaceDN/>
              <w:bidi w:val="0"/>
              <w:adjustRightInd w:val="0"/>
              <w:spacing w:after="0" w:line="360" w:lineRule="auto"/>
              <w:textAlignment w:val="auto"/>
              <w:rPr>
                <w:rFonts w:ascii="宋体" w:hAnsi="宋体" w:cs="宋体"/>
                <w:sz w:val="24"/>
              </w:rPr>
            </w:pPr>
            <w:sdt>
              <w:sdtPr>
                <w:rPr>
                  <w:rFonts w:hint="eastAsia" w:ascii="宋体" w:hAnsi="宋体" w:cs="宋体"/>
                  <w:kern w:val="0"/>
                  <w:sz w:val="24"/>
                </w:rPr>
                <w:id w:val="147454726"/>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A现场演示</w:t>
            </w:r>
            <w:r>
              <w:rPr>
                <w:rFonts w:hint="eastAsia" w:ascii="宋体" w:hAnsi="宋体" w:cs="宋体"/>
                <w:sz w:val="24"/>
              </w:rPr>
              <w:t>。</w:t>
            </w:r>
            <w:r>
              <w:rPr>
                <w:rFonts w:hint="eastAsia" w:ascii="宋体" w:hAnsi="宋体" w:cs="宋体"/>
                <w:kern w:val="0"/>
                <w:sz w:val="24"/>
              </w:rPr>
              <w:t>现场讲解地点为</w:t>
            </w:r>
            <w:r>
              <w:rPr>
                <w:rFonts w:hint="eastAsia" w:ascii="宋体" w:hAnsi="宋体" w:cs="宋体"/>
                <w:kern w:val="0"/>
                <w:sz w:val="24"/>
                <w:u w:val="single"/>
              </w:rPr>
              <w:t xml:space="preserve">     </w:t>
            </w:r>
            <w:r>
              <w:rPr>
                <w:rFonts w:hint="eastAsia" w:ascii="宋体" w:hAnsi="宋体" w:cs="宋体"/>
                <w:kern w:val="0"/>
                <w:sz w:val="24"/>
              </w:rPr>
              <w:t>，讲解演示所用电脑等设备由供应商自备。现场讲解演示人员进场时提供讲解人员名单（加盖公章或授权代表签名）及身份证明，否则不得讲解演示</w:t>
            </w:r>
          </w:p>
          <w:p>
            <w:pPr>
              <w:keepNext w:val="0"/>
              <w:keepLines w:val="0"/>
              <w:pageBreakBefore w:val="0"/>
              <w:widowControl w:val="0"/>
              <w:kinsoku/>
              <w:wordWrap/>
              <w:overflowPunct/>
              <w:topLinePunct w:val="0"/>
              <w:autoSpaceDE/>
              <w:autoSpaceDN/>
              <w:bidi w:val="0"/>
              <w:adjustRightInd w:val="0"/>
              <w:spacing w:after="0" w:line="360" w:lineRule="auto"/>
              <w:textAlignment w:val="auto"/>
              <w:rPr>
                <w:rFonts w:ascii="宋体" w:hAnsi="宋体" w:cs="宋体"/>
                <w:kern w:val="0"/>
                <w:sz w:val="24"/>
              </w:rPr>
            </w:pPr>
            <w:sdt>
              <w:sdtPr>
                <w:rPr>
                  <w:rFonts w:hint="eastAsia" w:ascii="宋体" w:hAnsi="宋体" w:cs="宋体"/>
                  <w:kern w:val="0"/>
                  <w:sz w:val="24"/>
                </w:rPr>
                <w:id w:val="147480052"/>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B视频演示。视频演示邮寄地址为</w:t>
            </w:r>
            <w:r>
              <w:rPr>
                <w:rFonts w:hint="eastAsia" w:ascii="宋体" w:hAnsi="宋体" w:cs="宋体"/>
                <w:kern w:val="0"/>
                <w:sz w:val="24"/>
                <w:u w:val="single"/>
              </w:rPr>
              <w:t xml:space="preserve">   </w:t>
            </w:r>
            <w:r>
              <w:rPr>
                <w:rFonts w:hint="eastAsia" w:ascii="宋体" w:hAnsi="宋体" w:cs="宋体"/>
                <w:kern w:val="0"/>
                <w:sz w:val="24"/>
              </w:rPr>
              <w:t>，请各供应商在开标前将相关演示视频通过光盘等形式邮寄至采购代理机构指定地点。</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cs="宋体"/>
                <w:b/>
                <w:kern w:val="0"/>
                <w:sz w:val="24"/>
                <w:lang w:val="zh-CN"/>
              </w:rPr>
            </w:pPr>
            <w:r>
              <w:rPr>
                <w:rFonts w:hint="eastAsia" w:ascii="宋体" w:hAnsi="宋体" w:cs="宋体"/>
                <w:kern w:val="0"/>
                <w:sz w:val="24"/>
              </w:rPr>
              <w:t>注：因供应商自身原因导致无法演示或者演示效果不理想的，责任自负。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jc w:val="center"/>
        </w:trPr>
        <w:tc>
          <w:tcPr>
            <w:tcW w:w="629" w:type="dxa"/>
            <w:vMerge w:val="restart"/>
            <w:tcBorders>
              <w:top w:val="single" w:color="auto" w:sz="4" w:space="0"/>
              <w:left w:val="single" w:color="auto" w:sz="4" w:space="0"/>
              <w:right w:val="single" w:color="auto" w:sz="4" w:space="0"/>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7</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after="0" w:line="360" w:lineRule="auto"/>
              <w:textAlignment w:val="auto"/>
              <w:rPr>
                <w:rFonts w:ascii="宋体" w:hAnsi="宋体" w:cs="宋体"/>
                <w:sz w:val="24"/>
              </w:rPr>
            </w:pPr>
            <w:r>
              <w:rPr>
                <w:rFonts w:hint="eastAsia" w:ascii="宋体" w:hAnsi="宋体" w:cs="宋体"/>
                <w:sz w:val="24"/>
              </w:rPr>
              <w:t>（1）资格证明文件：见采购文件第二部分11.1。</w:t>
            </w:r>
          </w:p>
          <w:p>
            <w:pPr>
              <w:keepNext w:val="0"/>
              <w:keepLines w:val="0"/>
              <w:pageBreakBefore w:val="0"/>
              <w:widowControl w:val="0"/>
              <w:kinsoku/>
              <w:wordWrap/>
              <w:overflowPunct/>
              <w:topLinePunct w:val="0"/>
              <w:autoSpaceDE/>
              <w:autoSpaceDN/>
              <w:bidi w:val="0"/>
              <w:adjustRightInd w:val="0"/>
              <w:spacing w:after="0" w:line="360" w:lineRule="auto"/>
              <w:textAlignment w:val="auto"/>
              <w:rPr>
                <w:rFonts w:ascii="宋体" w:hAnsi="宋体" w:cs="宋体"/>
                <w:snapToGrid w:val="0"/>
                <w:kern w:val="0"/>
                <w:szCs w:val="21"/>
              </w:rPr>
            </w:pPr>
            <w:r>
              <w:rPr>
                <w:rFonts w:hint="eastAsia" w:ascii="宋体" w:hAnsi="宋体" w:cs="宋体"/>
                <w:kern w:val="0"/>
                <w:sz w:val="24"/>
                <w:lang w:val="zh-CN"/>
              </w:rPr>
              <w:t>供应商未提供有效的资格证明文件的，视为供应商不具备采购文件中规定的资格要求，响应无效。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jc w:val="center"/>
        </w:trPr>
        <w:tc>
          <w:tcPr>
            <w:tcW w:w="629" w:type="dxa"/>
            <w:vMerge w:val="continue"/>
            <w:tcBorders>
              <w:left w:val="single" w:color="auto" w:sz="4" w:space="0"/>
              <w:bottom w:val="single" w:color="auto" w:sz="4" w:space="0"/>
              <w:right w:val="single" w:color="auto" w:sz="4" w:space="0"/>
            </w:tcBorders>
          </w:tcPr>
          <w:p>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after="0" w:line="360" w:lineRule="auto"/>
              <w:textAlignment w:val="auto"/>
              <w:rPr>
                <w:rFonts w:ascii="宋体" w:hAnsi="宋体" w:cs="宋体"/>
                <w:sz w:val="24"/>
              </w:rPr>
            </w:pPr>
            <w:r>
              <w:rPr>
                <w:rFonts w:hint="eastAsia" w:ascii="宋体" w:hAnsi="宋体" w:cs="宋体"/>
                <w:sz w:val="24"/>
              </w:rPr>
              <w:t>（2）资信证明文件：根据采购文件第四章评标办法内容提供。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tcBorders>
              <w:top w:val="single" w:color="auto" w:sz="4" w:space="0"/>
              <w:left w:val="single" w:color="000000" w:sz="8" w:space="0"/>
              <w:bottom w:val="single" w:color="auto" w:sz="4" w:space="0"/>
              <w:right w:val="single" w:color="000000" w:sz="2" w:space="0"/>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8</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rPr>
              <w:t>响应</w:t>
            </w:r>
            <w:r>
              <w:rPr>
                <w:rFonts w:hint="eastAsia" w:ascii="宋体" w:hAnsi="宋体" w:cs="宋体"/>
                <w:b/>
                <w:bCs/>
                <w:kern w:val="0"/>
                <w:sz w:val="24"/>
                <w:lang w:val="zh-CN"/>
              </w:rPr>
              <w:t>文件</w:t>
            </w:r>
            <w:r>
              <w:rPr>
                <w:rFonts w:hint="eastAsia" w:ascii="宋体" w:hAnsi="宋体" w:cs="宋体"/>
                <w:b/>
                <w:bCs/>
                <w:sz w:val="24"/>
              </w:rPr>
              <w:t>开标一览表（报价表）是报价的唯一载体，如供应商在乐采云平台填写的报价与响应文件报价文件中开标一览表（报价表）不一致的，以响应文件中开标一览表（报价表）为准。</w:t>
            </w:r>
            <w:r>
              <w:rPr>
                <w:rFonts w:hint="eastAsia" w:ascii="宋体" w:hAnsi="宋体" w:cs="宋体"/>
                <w:kern w:val="0"/>
                <w:sz w:val="24"/>
              </w:rPr>
              <w:t>响应</w:t>
            </w:r>
            <w:r>
              <w:rPr>
                <w:rFonts w:hint="eastAsia" w:ascii="宋体" w:hAnsi="宋体" w:cs="宋体"/>
                <w:kern w:val="0"/>
                <w:sz w:val="24"/>
                <w:lang w:val="zh-CN"/>
              </w:rPr>
              <w:t>文件中价格全部采用人民币报价。</w:t>
            </w:r>
            <w:r>
              <w:rPr>
                <w:rFonts w:hint="eastAsia" w:ascii="宋体" w:hAnsi="宋体" w:cs="宋体"/>
                <w:kern w:val="0"/>
                <w:sz w:val="24"/>
              </w:rPr>
              <w:t>采购</w:t>
            </w:r>
            <w:r>
              <w:rPr>
                <w:rFonts w:hint="eastAsia" w:ascii="宋体" w:hAnsi="宋体" w:cs="宋体"/>
                <w:kern w:val="0"/>
                <w:sz w:val="24"/>
                <w:lang w:val="zh-CN"/>
              </w:rPr>
              <w:t>文件未列明，而</w:t>
            </w:r>
            <w:r>
              <w:rPr>
                <w:rFonts w:hint="eastAsia" w:ascii="宋体" w:hAnsi="宋体" w:cs="宋体"/>
                <w:kern w:val="0"/>
                <w:sz w:val="24"/>
              </w:rPr>
              <w:t>供应商</w:t>
            </w:r>
            <w:r>
              <w:rPr>
                <w:rFonts w:hint="eastAsia" w:ascii="宋体" w:hAnsi="宋体" w:cs="宋体"/>
                <w:kern w:val="0"/>
                <w:sz w:val="24"/>
                <w:lang w:val="zh-CN"/>
              </w:rPr>
              <w:t>认为必需的费用也需列入报价。</w:t>
            </w:r>
            <w:r>
              <w:rPr>
                <w:rFonts w:hint="eastAsia" w:ascii="宋体" w:hAnsi="宋体" w:cs="宋体"/>
                <w:b/>
                <w:kern w:val="0"/>
                <w:sz w:val="24"/>
                <w:lang w:val="zh-CN"/>
              </w:rPr>
              <w:t>提醒：验收时检测费用由采购人承担，不包含在响应总价中。</w:t>
            </w:r>
          </w:p>
          <w:p>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ascii="宋体" w:hAnsi="宋体" w:cs="宋体"/>
                <w:b/>
                <w:kern w:val="0"/>
                <w:sz w:val="24"/>
                <w:lang w:val="zh-CN"/>
              </w:rPr>
            </w:pPr>
            <w:r>
              <w:rPr>
                <w:rFonts w:hint="eastAsia" w:ascii="宋体" w:hAnsi="宋体" w:cs="宋体"/>
                <w:b/>
                <w:kern w:val="0"/>
                <w:sz w:val="24"/>
              </w:rPr>
              <w:t>响应</w:t>
            </w:r>
            <w:r>
              <w:rPr>
                <w:rFonts w:hint="eastAsia" w:ascii="宋体" w:hAnsi="宋体" w:cs="宋体"/>
                <w:b/>
                <w:kern w:val="0"/>
                <w:sz w:val="24"/>
                <w:lang w:val="zh-CN"/>
              </w:rPr>
              <w:t>报价出现下列情形的，响应无效：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241" w:firstLineChars="100"/>
              <w:jc w:val="left"/>
              <w:textAlignment w:val="auto"/>
              <w:rPr>
                <w:rFonts w:ascii="宋体" w:hAnsi="宋体" w:cs="宋体"/>
                <w:b/>
                <w:kern w:val="0"/>
                <w:sz w:val="24"/>
                <w:lang w:val="zh-CN"/>
              </w:rPr>
            </w:pPr>
            <w:r>
              <w:rPr>
                <w:rFonts w:hint="eastAsia" w:ascii="宋体" w:hAnsi="宋体" w:cs="宋体"/>
                <w:b/>
                <w:kern w:val="0"/>
                <w:sz w:val="24"/>
              </w:rPr>
              <w:t>响应</w:t>
            </w:r>
            <w:r>
              <w:rPr>
                <w:rFonts w:hint="eastAsia" w:ascii="宋体" w:hAnsi="宋体" w:cs="宋体"/>
                <w:b/>
                <w:kern w:val="0"/>
                <w:sz w:val="24"/>
                <w:lang w:val="zh-CN"/>
              </w:rPr>
              <w:t>文件出现不是唯一的、有选择性响应报价的；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241" w:firstLineChars="100"/>
              <w:jc w:val="left"/>
              <w:textAlignment w:val="auto"/>
              <w:rPr>
                <w:rFonts w:ascii="宋体" w:hAnsi="宋体" w:cs="宋体"/>
                <w:kern w:val="0"/>
                <w:sz w:val="24"/>
                <w:lang w:val="zh-CN"/>
              </w:rPr>
            </w:pPr>
            <w:r>
              <w:rPr>
                <w:rFonts w:hint="eastAsia" w:ascii="宋体" w:hAnsi="宋体" w:cs="宋体"/>
                <w:b/>
                <w:kern w:val="0"/>
                <w:sz w:val="24"/>
              </w:rPr>
              <w:t>响应</w:t>
            </w:r>
            <w:r>
              <w:rPr>
                <w:rFonts w:hint="eastAsia" w:ascii="宋体" w:hAnsi="宋体" w:cs="宋体"/>
                <w:b/>
                <w:kern w:val="0"/>
                <w:sz w:val="24"/>
                <w:lang w:val="zh-CN"/>
              </w:rPr>
              <w:t>报价超过</w:t>
            </w:r>
            <w:r>
              <w:rPr>
                <w:rFonts w:hint="eastAsia" w:ascii="宋体" w:hAnsi="宋体" w:cs="宋体"/>
                <w:b/>
                <w:kern w:val="0"/>
                <w:sz w:val="24"/>
              </w:rPr>
              <w:t>采购</w:t>
            </w:r>
            <w:r>
              <w:rPr>
                <w:rFonts w:hint="eastAsia" w:ascii="宋体" w:hAnsi="宋体" w:cs="宋体"/>
                <w:b/>
                <w:kern w:val="0"/>
                <w:sz w:val="24"/>
                <w:lang w:val="zh-CN"/>
              </w:rPr>
              <w:t>文件中规定的预算金额或者最高限价的;</w:t>
            </w:r>
          </w:p>
          <w:p>
            <w:pPr>
              <w:keepNext w:val="0"/>
              <w:keepLines w:val="0"/>
              <w:pageBreakBefore w:val="0"/>
              <w:widowControl w:val="0"/>
              <w:kinsoku/>
              <w:wordWrap/>
              <w:overflowPunct/>
              <w:topLinePunct w:val="0"/>
              <w:autoSpaceDE/>
              <w:autoSpaceDN/>
              <w:bidi w:val="0"/>
              <w:adjustRightInd w:val="0"/>
              <w:spacing w:after="0" w:line="360" w:lineRule="auto"/>
              <w:ind w:firstLine="241" w:firstLineChars="100"/>
              <w:textAlignment w:val="auto"/>
              <w:rPr>
                <w:rFonts w:ascii="宋体" w:hAnsi="宋体" w:cs="宋体"/>
                <w:b/>
                <w:sz w:val="24"/>
              </w:rPr>
            </w:pPr>
            <w:r>
              <w:rPr>
                <w:rFonts w:hint="eastAsia" w:ascii="宋体" w:hAnsi="宋体" w:cs="宋体"/>
                <w:b/>
                <w:kern w:val="0"/>
                <w:sz w:val="24"/>
              </w:rPr>
              <w:t>报价明显低于其他通过符合性审查供应商的报价，有可能影响产品质量或者不能诚信履约的，未能按要求提供书面说明或者提交相关证明材料证明其报价合理性的</w:t>
            </w:r>
            <w:r>
              <w:rPr>
                <w:rFonts w:hint="eastAsia" w:ascii="宋体" w:hAnsi="宋体" w:cs="宋体"/>
                <w:b/>
                <w:sz w:val="24"/>
                <w:szCs w:val="21"/>
              </w:rPr>
              <w:t>;</w:t>
            </w:r>
          </w:p>
          <w:p>
            <w:pPr>
              <w:keepNext w:val="0"/>
              <w:keepLines w:val="0"/>
              <w:pageBreakBefore w:val="0"/>
              <w:widowControl w:val="0"/>
              <w:kinsoku/>
              <w:wordWrap/>
              <w:overflowPunct/>
              <w:topLinePunct w:val="0"/>
              <w:autoSpaceDE/>
              <w:autoSpaceDN/>
              <w:bidi w:val="0"/>
              <w:adjustRightInd w:val="0"/>
              <w:spacing w:after="0" w:line="360" w:lineRule="auto"/>
              <w:ind w:firstLine="241" w:firstLineChars="100"/>
              <w:textAlignment w:val="auto"/>
              <w:rPr>
                <w:rFonts w:ascii="宋体" w:hAnsi="宋体" w:cs="宋体"/>
                <w:sz w:val="24"/>
              </w:rPr>
            </w:pPr>
            <w:r>
              <w:rPr>
                <w:rFonts w:hint="eastAsia" w:ascii="宋体" w:hAnsi="宋体" w:cs="宋体"/>
                <w:b/>
                <w:kern w:val="0"/>
                <w:sz w:val="24"/>
              </w:rPr>
              <w:t>供应商对根据修正原则修正后的报价不确认的</w:t>
            </w:r>
            <w:r>
              <w:rPr>
                <w:rFonts w:hint="eastAsia" w:ascii="宋体" w:hAnsi="宋体" w:cs="宋体"/>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jc w:val="center"/>
        </w:trPr>
        <w:tc>
          <w:tcPr>
            <w:tcW w:w="629" w:type="dxa"/>
            <w:tcBorders>
              <w:top w:val="single" w:color="auto" w:sz="4" w:space="0"/>
              <w:left w:val="single" w:color="000000" w:sz="8" w:space="0"/>
              <w:bottom w:val="single" w:color="auto" w:sz="4" w:space="0"/>
              <w:right w:val="single" w:color="000000" w:sz="2" w:space="0"/>
            </w:tcBorders>
          </w:tcPr>
          <w:p>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pStyle w:val="10"/>
              <w:keepNext w:val="0"/>
              <w:keepLines w:val="0"/>
              <w:pageBreakBefore w:val="0"/>
              <w:widowControl w:val="0"/>
              <w:kinsoku/>
              <w:wordWrap/>
              <w:overflowPunct/>
              <w:topLinePunct w:val="0"/>
              <w:autoSpaceDE/>
              <w:autoSpaceDN/>
              <w:bidi w:val="0"/>
              <w:adjustRightInd w:val="0"/>
              <w:spacing w:after="0" w:line="360" w:lineRule="auto"/>
              <w:textAlignment w:val="auto"/>
              <w:rPr>
                <w:rFonts w:hAnsi="宋体" w:cs="宋体"/>
                <w:kern w:val="28"/>
                <w:sz w:val="24"/>
              </w:rPr>
            </w:pPr>
            <w:r>
              <w:rPr>
                <w:rFonts w:hint="eastAsia" w:hAnsi="宋体" w:cs="宋体"/>
                <w:kern w:val="28"/>
                <w:sz w:val="24"/>
                <w:szCs w:val="24"/>
              </w:rPr>
              <w:t>备份响应文件送达地点：</w:t>
            </w:r>
            <w:r>
              <w:rPr>
                <w:rFonts w:hint="eastAsia" w:hAnsi="宋体" w:cs="宋体"/>
                <w:sz w:val="24"/>
                <w:u w:val="single"/>
              </w:rPr>
              <w:t>杭州市西湖区振华路298号西港发展中心西7幢5楼</w:t>
            </w:r>
            <w:r>
              <w:rPr>
                <w:rFonts w:hint="eastAsia" w:hAnsi="宋体" w:cs="宋体"/>
                <w:kern w:val="28"/>
                <w:sz w:val="24"/>
                <w:szCs w:val="24"/>
              </w:rPr>
              <w:t>；备份响应文件签收人员联系电话：</w:t>
            </w:r>
            <w:r>
              <w:rPr>
                <w:rFonts w:hint="eastAsia" w:hAnsi="宋体" w:cs="宋体"/>
                <w:sz w:val="24"/>
                <w:u w:val="single"/>
              </w:rPr>
              <w:t>方洪胜、18069796119</w:t>
            </w:r>
            <w:r>
              <w:rPr>
                <w:rFonts w:hint="eastAsia" w:hAnsi="宋体" w:cs="宋体"/>
                <w:sz w:val="24"/>
                <w:szCs w:val="24"/>
              </w:rPr>
              <w:t>。</w:t>
            </w:r>
            <w:r>
              <w:rPr>
                <w:rFonts w:hint="eastAsia" w:hAnsi="宋体" w:cs="宋体"/>
                <w:b/>
                <w:sz w:val="24"/>
                <w:szCs w:val="24"/>
              </w:rPr>
              <w:t>采购人、采购代理机构不强制或变相强制供应商提交备份响应文件。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vMerge w:val="restart"/>
            <w:tcBorders>
              <w:top w:val="single" w:color="auto" w:sz="4" w:space="0"/>
              <w:left w:val="single" w:color="000000" w:sz="8" w:space="0"/>
              <w:right w:val="single" w:color="000000" w:sz="2" w:space="0"/>
            </w:tcBorders>
          </w:tcPr>
          <w:p>
            <w:pPr>
              <w:snapToGrid w:val="0"/>
              <w:spacing w:line="360" w:lineRule="auto"/>
              <w:jc w:val="center"/>
              <w:rPr>
                <w:rFonts w:ascii="宋体" w:hAnsi="宋体" w:cs="宋体"/>
                <w:sz w:val="24"/>
              </w:rPr>
            </w:pPr>
            <w:r>
              <w:rPr>
                <w:rFonts w:hint="eastAsia" w:ascii="宋体" w:hAnsi="宋体" w:cs="宋体"/>
                <w:sz w:val="24"/>
              </w:rPr>
              <w:t>10</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after="0" w:line="360" w:lineRule="auto"/>
              <w:textAlignment w:val="auto"/>
              <w:rPr>
                <w:rFonts w:ascii="宋体" w:hAnsi="宋体" w:cs="宋体"/>
                <w:snapToGrid w:val="0"/>
                <w:kern w:val="28"/>
                <w:sz w:val="24"/>
              </w:rPr>
            </w:pPr>
            <w:r>
              <w:rPr>
                <w:rFonts w:hint="eastAsia" w:ascii="宋体" w:hAnsi="宋体" w:cs="宋体"/>
                <w:snapToGrid w:val="0"/>
                <w:kern w:val="28"/>
                <w:sz w:val="24"/>
              </w:rPr>
              <w:t>联合体响应的，联合体各方分别提供与联合体协议中规定的分工内容相应的业绩证明材料，业绩数量以提供材料较少的一方为准。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vMerge w:val="continue"/>
            <w:tcBorders>
              <w:left w:val="single" w:color="000000" w:sz="8" w:space="0"/>
              <w:right w:val="single" w:color="000000" w:sz="2" w:space="0"/>
            </w:tcBorders>
          </w:tcPr>
          <w:p>
            <w:pPr>
              <w:snapToGrid w:val="0"/>
              <w:spacing w:line="360" w:lineRule="auto"/>
              <w:jc w:val="center"/>
              <w:rPr>
                <w:rFonts w:ascii="宋体" w:hAnsi="宋体" w:cs="宋体"/>
                <w:sz w:val="24"/>
              </w:rPr>
            </w:pPr>
          </w:p>
        </w:tc>
        <w:tc>
          <w:tcPr>
            <w:tcW w:w="1843" w:type="dxa"/>
            <w:vMerge w:val="continue"/>
            <w:tcBorders>
              <w:left w:val="single" w:color="000000" w:sz="2" w:space="0"/>
              <w:right w:val="single" w:color="000000" w:sz="8" w:space="0"/>
            </w:tcBorders>
            <w:vAlign w:val="center"/>
          </w:tcPr>
          <w:p>
            <w:pPr>
              <w:snapToGrid w:val="0"/>
              <w:spacing w:line="360" w:lineRule="auto"/>
              <w:jc w:val="center"/>
              <w:rPr>
                <w:rFonts w:ascii="宋体" w:hAnsi="宋体" w:cs="宋体"/>
                <w:b/>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snapToGrid/>
              <w:spacing w:after="0" w:line="360" w:lineRule="auto"/>
              <w:textAlignment w:val="auto"/>
              <w:rPr>
                <w:rFonts w:ascii="宋体" w:hAnsi="宋体" w:cs="宋体"/>
                <w:snapToGrid w:val="0"/>
                <w:kern w:val="28"/>
                <w:sz w:val="24"/>
              </w:rPr>
            </w:pPr>
            <w:sdt>
              <w:sdtPr>
                <w:rPr>
                  <w:rFonts w:hint="eastAsia" w:cs="Arial" w:asciiTheme="minorEastAsia" w:hAnsiTheme="minorEastAsia" w:eastAsiaTheme="minorEastAsia"/>
                  <w:kern w:val="0"/>
                  <w:sz w:val="24"/>
                </w:rPr>
                <w:id w:val="474240415"/>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联合体响应的，联合体各方均需按采购文件第四部分评标标准要求提供资信证明文件，否则视为不符合相关要求。</w:t>
            </w:r>
          </w:p>
          <w:p>
            <w:pPr>
              <w:keepNext w:val="0"/>
              <w:keepLines w:val="0"/>
              <w:pageBreakBefore w:val="0"/>
              <w:kinsoku/>
              <w:wordWrap/>
              <w:overflowPunct/>
              <w:topLinePunct w:val="0"/>
              <w:autoSpaceDE/>
              <w:autoSpaceDN/>
              <w:bidi w:val="0"/>
              <w:snapToGrid/>
              <w:spacing w:after="0" w:line="360" w:lineRule="auto"/>
              <w:textAlignment w:val="auto"/>
              <w:rPr>
                <w:rFonts w:ascii="宋体" w:hAnsi="宋体" w:cs="宋体"/>
                <w:snapToGrid w:val="0"/>
                <w:kern w:val="28"/>
                <w:sz w:val="24"/>
              </w:rPr>
            </w:pPr>
            <w:sdt>
              <w:sdtPr>
                <w:rPr>
                  <w:rFonts w:hint="eastAsia" w:cs="Arial" w:asciiTheme="minorEastAsia" w:hAnsiTheme="minorEastAsia" w:eastAsiaTheme="minorEastAsia"/>
                  <w:kern w:val="0"/>
                  <w:sz w:val="24"/>
                </w:rPr>
                <w:id w:val="347877758"/>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cs="Arial" w:eastAsiaTheme="minorEastAsia"/>
                    <w:kern w:val="0"/>
                    <w:sz w:val="24"/>
                  </w:rPr>
                  <w:t>☐</w:t>
                </w:r>
              </w:sdtContent>
            </w:sdt>
            <w:r>
              <w:rPr>
                <w:rFonts w:hint="eastAsia" w:ascii="宋体" w:hAnsi="宋体" w:cs="宋体"/>
                <w:snapToGrid w:val="0"/>
                <w:kern w:val="28"/>
                <w:sz w:val="24"/>
              </w:rPr>
              <w:t>联合体响应的，联合体中有一方或者联合体成员根据分工按采购文件第四部分评标标准要求提供资信证明文件的，视为符合了相关要求。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tcBorders>
              <w:left w:val="single" w:color="000000" w:sz="8" w:space="0"/>
              <w:right w:val="single" w:color="000000" w:sz="2" w:space="0"/>
            </w:tcBorders>
          </w:tcPr>
          <w:p>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left w:val="single" w:color="000000" w:sz="2"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推荐供应商家数</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snapToGrid/>
              <w:spacing w:after="0" w:line="360" w:lineRule="auto"/>
              <w:textAlignment w:val="auto"/>
              <w:rPr>
                <w:rFonts w:cs="Arial" w:asciiTheme="minorEastAsia" w:hAnsiTheme="minorEastAsia" w:eastAsiaTheme="minorEastAsia"/>
                <w:kern w:val="0"/>
                <w:sz w:val="24"/>
              </w:rPr>
            </w:pPr>
            <w:r>
              <w:rPr>
                <w:rFonts w:hint="eastAsia" w:ascii="宋体" w:hAnsi="宋体" w:cs="宋体"/>
                <w:snapToGrid w:val="0"/>
                <w:kern w:val="28"/>
                <w:sz w:val="24"/>
              </w:rPr>
              <w:t>推荐成交候选人1家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tcBorders>
              <w:left w:val="single" w:color="000000" w:sz="8" w:space="0"/>
              <w:bottom w:val="single" w:color="auto" w:sz="4" w:space="0"/>
              <w:right w:val="single" w:color="000000" w:sz="2" w:space="0"/>
            </w:tcBorders>
          </w:tcPr>
          <w:p>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其它</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12" w:lineRule="auto"/>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采购代理服务费：本项目的代理费由中标人支付。</w:t>
            </w:r>
          </w:p>
          <w:p>
            <w:pPr>
              <w:keepNext w:val="0"/>
              <w:keepLines w:val="0"/>
              <w:pageBreakBefore w:val="0"/>
              <w:widowControl/>
              <w:kinsoku/>
              <w:wordWrap/>
              <w:overflowPunct/>
              <w:topLinePunct w:val="0"/>
              <w:autoSpaceDE/>
              <w:autoSpaceDN/>
              <w:bidi w:val="0"/>
              <w:adjustRightInd/>
              <w:snapToGrid/>
              <w:spacing w:after="0" w:line="312" w:lineRule="auto"/>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计费标准：招标代理费用参照《招标代理服务收费管理暂行办法》（计价格[2002]1980号）文件收费标准 80% 计取，不足4000元按4000元计取。</w:t>
            </w:r>
          </w:p>
          <w:p>
            <w:pPr>
              <w:keepNext w:val="0"/>
              <w:keepLines w:val="0"/>
              <w:pageBreakBefore w:val="0"/>
              <w:widowControl/>
              <w:kinsoku/>
              <w:wordWrap/>
              <w:overflowPunct/>
              <w:topLinePunct w:val="0"/>
              <w:autoSpaceDE/>
              <w:autoSpaceDN/>
              <w:bidi w:val="0"/>
              <w:adjustRightInd/>
              <w:snapToGrid/>
              <w:spacing w:after="0" w:line="312" w:lineRule="auto"/>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结算方式及时间为：在领取中标通知书时由中标人一次性向采购代理机构付清。</w:t>
            </w:r>
          </w:p>
          <w:p>
            <w:pPr>
              <w:keepNext w:val="0"/>
              <w:keepLines w:val="0"/>
              <w:pageBreakBefore w:val="0"/>
              <w:widowControl/>
              <w:kinsoku/>
              <w:wordWrap/>
              <w:overflowPunct/>
              <w:topLinePunct w:val="0"/>
              <w:autoSpaceDE/>
              <w:autoSpaceDN/>
              <w:bidi w:val="0"/>
              <w:adjustRightInd/>
              <w:snapToGrid/>
              <w:spacing w:after="0" w:line="312" w:lineRule="auto"/>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银行账户名称：浙江蟠龙工程审计咨询有限公司</w:t>
            </w:r>
          </w:p>
          <w:p>
            <w:pPr>
              <w:keepNext w:val="0"/>
              <w:keepLines w:val="0"/>
              <w:pageBreakBefore w:val="0"/>
              <w:widowControl/>
              <w:kinsoku/>
              <w:wordWrap/>
              <w:overflowPunct/>
              <w:topLinePunct w:val="0"/>
              <w:autoSpaceDE/>
              <w:autoSpaceDN/>
              <w:bidi w:val="0"/>
              <w:adjustRightInd/>
              <w:snapToGrid/>
              <w:spacing w:after="0" w:line="312" w:lineRule="auto"/>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开户银行：中国工商银行杭州三墩支行</w:t>
            </w:r>
          </w:p>
          <w:p>
            <w:pPr>
              <w:keepNext w:val="0"/>
              <w:keepLines w:val="0"/>
              <w:pageBreakBefore w:val="0"/>
              <w:kinsoku/>
              <w:wordWrap/>
              <w:overflowPunct/>
              <w:topLinePunct w:val="0"/>
              <w:autoSpaceDE/>
              <w:autoSpaceDN/>
              <w:bidi w:val="0"/>
              <w:snapToGrid/>
              <w:spacing w:after="0" w:line="360" w:lineRule="auto"/>
              <w:textAlignment w:val="auto"/>
              <w:rPr>
                <w:rFonts w:ascii="宋体" w:hAnsi="宋体" w:cs="宋体"/>
                <w:snapToGrid w:val="0"/>
                <w:kern w:val="28"/>
                <w:sz w:val="24"/>
              </w:rPr>
            </w:pPr>
            <w:r>
              <w:rPr>
                <w:rFonts w:hint="eastAsia" w:ascii="宋体" w:hAnsi="宋体" w:cs="宋体"/>
                <w:color w:val="000000" w:themeColor="text1"/>
                <w:sz w:val="24"/>
                <w14:textFill>
                  <w14:solidFill>
                    <w14:schemeClr w14:val="tx1"/>
                  </w14:solidFill>
                </w14:textFill>
              </w:rPr>
              <w:t xml:space="preserve">银行账号：1202023309910113534 </w:t>
            </w:r>
          </w:p>
        </w:tc>
      </w:tr>
    </w:tbl>
    <w:p>
      <w:pPr>
        <w:pageBreakBefore w:val="0"/>
        <w:kinsoku/>
        <w:wordWrap/>
        <w:overflowPunct/>
        <w:topLinePunct w:val="0"/>
        <w:bidi w:val="0"/>
        <w:adjustRightInd/>
        <w:spacing w:after="0" w:afterAutospacing="0" w:line="360" w:lineRule="auto"/>
        <w:ind w:firstLine="3845" w:firstLineChars="1197"/>
        <w:textAlignment w:val="auto"/>
        <w:outlineLvl w:val="0"/>
        <w:rPr>
          <w:rFonts w:ascii="宋体" w:hAnsi="宋体" w:cs="宋体"/>
          <w:b/>
          <w:sz w:val="32"/>
          <w:szCs w:val="20"/>
        </w:rPr>
      </w:pPr>
      <w:r>
        <w:rPr>
          <w:rFonts w:hint="eastAsia" w:ascii="宋体" w:hAnsi="宋体" w:cs="宋体"/>
          <w:b/>
          <w:sz w:val="32"/>
          <w:szCs w:val="20"/>
        </w:rPr>
        <w:t>一、总则</w:t>
      </w:r>
    </w:p>
    <w:p>
      <w:pPr>
        <w:pageBreakBefore w:val="0"/>
        <w:kinsoku/>
        <w:wordWrap/>
        <w:overflowPunct/>
        <w:topLinePunct w:val="0"/>
        <w:bidi w:val="0"/>
        <w:adjustRightInd/>
        <w:spacing w:after="0" w:afterAutospacing="0" w:line="360" w:lineRule="auto"/>
        <w:textAlignment w:val="auto"/>
        <w:outlineLvl w:val="0"/>
        <w:rPr>
          <w:rFonts w:ascii="宋体" w:hAnsi="宋体" w:cs="宋体"/>
          <w:b/>
          <w:sz w:val="24"/>
        </w:rPr>
      </w:pPr>
      <w:r>
        <w:rPr>
          <w:rFonts w:hint="eastAsia" w:ascii="宋体" w:hAnsi="宋体" w:cs="宋体"/>
          <w:b/>
          <w:sz w:val="24"/>
        </w:rPr>
        <w:t xml:space="preserve">   1.定义</w:t>
      </w:r>
    </w:p>
    <w:p>
      <w:pPr>
        <w:pageBreakBefore w:val="0"/>
        <w:kinsoku/>
        <w:wordWrap/>
        <w:overflowPunct/>
        <w:topLinePunct w:val="0"/>
        <w:bidi w:val="0"/>
        <w:spacing w:after="0" w:afterAutospacing="0" w:line="360" w:lineRule="auto"/>
        <w:ind w:firstLine="480" w:firstLineChars="200"/>
        <w:textAlignment w:val="auto"/>
        <w:rPr>
          <w:rFonts w:ascii="宋体" w:hAnsi="宋体" w:cs="宋体"/>
          <w:sz w:val="24"/>
        </w:rPr>
      </w:pPr>
      <w:r>
        <w:rPr>
          <w:rFonts w:hint="eastAsia" w:ascii="宋体" w:hAnsi="宋体" w:cs="宋体"/>
          <w:sz w:val="24"/>
        </w:rPr>
        <w:t>1.1 “采购人”系指交易公告中载明的本项目的采购人。</w:t>
      </w:r>
    </w:p>
    <w:p>
      <w:pPr>
        <w:pageBreakBefore w:val="0"/>
        <w:kinsoku/>
        <w:wordWrap/>
        <w:overflowPunct/>
        <w:topLinePunct w:val="0"/>
        <w:bidi w:val="0"/>
        <w:spacing w:after="0" w:afterAutospacing="0" w:line="360" w:lineRule="auto"/>
        <w:ind w:firstLine="480" w:firstLineChars="200"/>
        <w:textAlignment w:val="auto"/>
        <w:rPr>
          <w:rFonts w:ascii="宋体" w:hAnsi="宋体" w:cs="宋体"/>
          <w:sz w:val="24"/>
        </w:rPr>
      </w:pPr>
      <w:r>
        <w:rPr>
          <w:rFonts w:hint="eastAsia" w:ascii="宋体" w:hAnsi="宋体" w:cs="宋体"/>
          <w:sz w:val="24"/>
        </w:rPr>
        <w:t>1.2 “采购代理机构”系指交易公告中载明的本项目的采购代理机构。</w:t>
      </w:r>
    </w:p>
    <w:p>
      <w:pPr>
        <w:pageBreakBefore w:val="0"/>
        <w:kinsoku/>
        <w:wordWrap/>
        <w:overflowPunct/>
        <w:topLinePunct w:val="0"/>
        <w:bidi w:val="0"/>
        <w:spacing w:after="0" w:afterAutospacing="0" w:line="360" w:lineRule="auto"/>
        <w:ind w:firstLine="480" w:firstLineChars="200"/>
        <w:textAlignment w:val="auto"/>
        <w:rPr>
          <w:rFonts w:ascii="宋体" w:hAnsi="宋体" w:cs="宋体"/>
          <w:sz w:val="24"/>
        </w:rPr>
      </w:pPr>
      <w:r>
        <w:rPr>
          <w:rFonts w:hint="eastAsia" w:ascii="宋体" w:hAnsi="宋体" w:cs="宋体"/>
          <w:sz w:val="24"/>
        </w:rPr>
        <w:t>1.3 “供应商”系指响应采购、参加响应竞争的法人、其他组织。</w:t>
      </w:r>
    </w:p>
    <w:p>
      <w:pPr>
        <w:pageBreakBefore w:val="0"/>
        <w:kinsoku/>
        <w:wordWrap/>
        <w:overflowPunct/>
        <w:topLinePunct w:val="0"/>
        <w:bidi w:val="0"/>
        <w:spacing w:after="0" w:afterAutospacing="0" w:line="360" w:lineRule="auto"/>
        <w:ind w:firstLine="480" w:firstLineChars="200"/>
        <w:textAlignment w:val="auto"/>
        <w:rPr>
          <w:rFonts w:ascii="宋体" w:hAnsi="宋体" w:cs="宋体"/>
          <w:sz w:val="24"/>
        </w:rPr>
      </w:pPr>
      <w:r>
        <w:rPr>
          <w:rFonts w:hint="eastAsia" w:ascii="宋体" w:hAnsi="宋体" w:cs="宋体"/>
          <w:sz w:val="24"/>
        </w:rPr>
        <w:t>1.4 “负责人”系指法人企业的法定负责人，或其他组织为法律、行政法规规定代表单位行使职权的主要负责人。</w:t>
      </w:r>
    </w:p>
    <w:p>
      <w:pPr>
        <w:pageBreakBefore w:val="0"/>
        <w:kinsoku/>
        <w:wordWrap/>
        <w:overflowPunct/>
        <w:topLinePunct w:val="0"/>
        <w:bidi w:val="0"/>
        <w:spacing w:after="0" w:afterAutospacing="0" w:line="360" w:lineRule="auto"/>
        <w:ind w:firstLine="480" w:firstLineChars="200"/>
        <w:textAlignment w:val="auto"/>
        <w:rPr>
          <w:rFonts w:ascii="宋体" w:hAnsi="宋体" w:cs="宋体"/>
          <w:sz w:val="24"/>
        </w:rPr>
      </w:pPr>
      <w:r>
        <w:rPr>
          <w:rFonts w:hint="eastAsia" w:ascii="宋体" w:hAnsi="宋体" w:cs="宋体"/>
          <w:sz w:val="24"/>
        </w:rPr>
        <w:t>1.5“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pPr>
        <w:pageBreakBefore w:val="0"/>
        <w:kinsoku/>
        <w:wordWrap/>
        <w:overflowPunct/>
        <w:topLinePunct w:val="0"/>
        <w:bidi w:val="0"/>
        <w:spacing w:after="0" w:afterAutospacing="0" w:line="360" w:lineRule="auto"/>
        <w:ind w:firstLine="480" w:firstLineChars="200"/>
        <w:textAlignment w:val="auto"/>
        <w:rPr>
          <w:rFonts w:ascii="宋体" w:hAnsi="宋体" w:cs="宋体"/>
          <w:sz w:val="24"/>
        </w:rPr>
      </w:pPr>
      <w:r>
        <w:rPr>
          <w:rFonts w:hint="eastAsia" w:ascii="宋体" w:hAnsi="宋体" w:cs="宋体"/>
          <w:sz w:val="24"/>
        </w:rPr>
        <w:t>1.6“电子交易平台”系指本项目采购活动所依托的乐采云平台（https://www.lecaiyun.com/）。</w:t>
      </w:r>
    </w:p>
    <w:p>
      <w:pPr>
        <w:pageBreakBefore w:val="0"/>
        <w:kinsoku/>
        <w:wordWrap/>
        <w:overflowPunct/>
        <w:topLinePunct w:val="0"/>
        <w:bidi w:val="0"/>
        <w:spacing w:after="0" w:afterAutospacing="0" w:line="360" w:lineRule="auto"/>
        <w:ind w:firstLine="480" w:firstLineChars="200"/>
        <w:textAlignment w:val="auto"/>
        <w:rPr>
          <w:rFonts w:ascii="宋体" w:hAnsi="宋体" w:cs="宋体"/>
          <w:sz w:val="24"/>
        </w:rPr>
      </w:pPr>
      <w:r>
        <w:rPr>
          <w:rFonts w:hint="eastAsia" w:ascii="宋体" w:hAnsi="宋体" w:cs="宋体"/>
          <w:sz w:val="24"/>
        </w:rPr>
        <w:t>1.7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pPr>
        <w:pageBreakBefore w:val="0"/>
        <w:kinsoku/>
        <w:wordWrap/>
        <w:overflowPunct/>
        <w:topLinePunct w:val="0"/>
        <w:bidi w:val="0"/>
        <w:spacing w:after="0" w:afterAutospacing="0" w:line="360" w:lineRule="auto"/>
        <w:ind w:firstLine="241" w:firstLineChars="100"/>
        <w:textAlignment w:val="auto"/>
        <w:rPr>
          <w:rFonts w:ascii="宋体" w:hAnsi="宋体" w:cs="宋体"/>
          <w:b/>
          <w:sz w:val="24"/>
        </w:rPr>
      </w:pPr>
      <w:r>
        <w:rPr>
          <w:rFonts w:hint="eastAsia" w:ascii="宋体" w:hAnsi="宋体" w:cs="宋体"/>
          <w:b/>
          <w:sz w:val="24"/>
        </w:rPr>
        <w:t>2. 询问、质疑、投诉</w:t>
      </w:r>
    </w:p>
    <w:p>
      <w:pPr>
        <w:pageBreakBefore w:val="0"/>
        <w:kinsoku/>
        <w:wordWrap/>
        <w:overflowPunct/>
        <w:topLinePunct w:val="0"/>
        <w:autoSpaceDE w:val="0"/>
        <w:autoSpaceDN w:val="0"/>
        <w:bidi w:val="0"/>
        <w:spacing w:after="0" w:afterAutospacing="0" w:line="360" w:lineRule="auto"/>
        <w:ind w:firstLine="480" w:firstLineChars="200"/>
        <w:jc w:val="left"/>
        <w:textAlignment w:val="auto"/>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1在线询问、质疑、投诉。鼓励供应商在线提起询问，路径为：乐采云-项目采购-询问质疑投诉-询问列表；鼓励供应商在线提起质疑，路径为：乐采云-项目采购-询问质疑投诉-质疑列表。质疑供应商对在线质疑答复不满意的，可在线提起投诉，路径为：乐采云-项目采购-询问质疑投诉-投诉列表发起投诉。</w:t>
      </w:r>
    </w:p>
    <w:p>
      <w:pPr>
        <w:pageBreakBefore w:val="0"/>
        <w:kinsoku/>
        <w:wordWrap/>
        <w:overflowPunct/>
        <w:topLinePunct w:val="0"/>
        <w:autoSpaceDE w:val="0"/>
        <w:autoSpaceDN w:val="0"/>
        <w:bidi w:val="0"/>
        <w:spacing w:after="0" w:afterAutospacing="0" w:line="360" w:lineRule="auto"/>
        <w:ind w:firstLine="480" w:firstLineChars="200"/>
        <w:jc w:val="left"/>
        <w:textAlignment w:val="auto"/>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.2供应商询问</w:t>
      </w:r>
    </w:p>
    <w:p>
      <w:pPr>
        <w:pageBreakBefore w:val="0"/>
        <w:kinsoku/>
        <w:wordWrap/>
        <w:overflowPunct/>
        <w:topLinePunct w:val="0"/>
        <w:autoSpaceDE w:val="0"/>
        <w:autoSpaceDN w:val="0"/>
        <w:bidi w:val="0"/>
        <w:spacing w:after="0" w:afterAutospacing="0" w:line="360" w:lineRule="auto"/>
        <w:ind w:firstLine="480" w:firstLineChars="200"/>
        <w:jc w:val="left"/>
        <w:textAlignment w:val="auto"/>
        <w:rPr>
          <w:rFonts w:ascii="宋体" w:hAnsi="宋体" w:cs="宋体"/>
          <w:kern w:val="0"/>
          <w:sz w:val="24"/>
          <w:lang w:val="zh-CN"/>
        </w:rPr>
      </w:pPr>
      <w:r>
        <w:rPr>
          <w:rFonts w:hint="eastAsia" w:ascii="宋体" w:hAnsi="宋体" w:cs="宋体"/>
          <w:kern w:val="0"/>
          <w:sz w:val="24"/>
          <w:lang w:val="zh-CN"/>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pageBreakBefore w:val="0"/>
        <w:kinsoku/>
        <w:wordWrap/>
        <w:overflowPunct/>
        <w:topLinePunct w:val="0"/>
        <w:autoSpaceDE w:val="0"/>
        <w:autoSpaceDN w:val="0"/>
        <w:bidi w:val="0"/>
        <w:spacing w:after="0" w:afterAutospacing="0" w:line="360" w:lineRule="auto"/>
        <w:ind w:firstLine="240" w:firstLineChars="100"/>
        <w:jc w:val="left"/>
        <w:textAlignment w:val="auto"/>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.3供应商质疑</w:t>
      </w:r>
    </w:p>
    <w:p>
      <w:pPr>
        <w:pStyle w:val="10"/>
        <w:pageBreakBefore w:val="0"/>
        <w:kinsoku/>
        <w:wordWrap/>
        <w:overflowPunct/>
        <w:topLinePunct w:val="0"/>
        <w:bidi w:val="0"/>
        <w:spacing w:after="0" w:afterAutospacing="0" w:line="360" w:lineRule="auto"/>
        <w:ind w:firstLine="480" w:firstLineChars="200"/>
        <w:textAlignment w:val="auto"/>
        <w:rPr>
          <w:rFonts w:hAnsi="宋体" w:cs="宋体"/>
          <w:sz w:val="24"/>
        </w:rPr>
      </w:pPr>
      <w:r>
        <w:rPr>
          <w:rFonts w:hint="eastAsia" w:hAnsi="宋体" w:cs="宋体"/>
          <w:kern w:val="0"/>
          <w:sz w:val="24"/>
        </w:rPr>
        <w:t>2</w:t>
      </w:r>
      <w:r>
        <w:rPr>
          <w:rFonts w:hint="eastAsia" w:hAnsi="宋体" w:cs="宋体"/>
          <w:kern w:val="0"/>
          <w:sz w:val="24"/>
          <w:lang w:val="zh-CN"/>
        </w:rPr>
        <w:t>.3</w:t>
      </w:r>
      <w:r>
        <w:rPr>
          <w:rFonts w:hint="eastAsia" w:hAnsi="宋体" w:cs="宋体"/>
          <w:sz w:val="24"/>
        </w:rPr>
        <w:t>.1提出质疑的供应商应当是参与所质疑项目采购活动的供应商。潜在供应商已依法获取其可质疑的采购文件的，可以对该文件提出质疑。</w:t>
      </w:r>
    </w:p>
    <w:p>
      <w:pPr>
        <w:pStyle w:val="10"/>
        <w:pageBreakBefore w:val="0"/>
        <w:kinsoku/>
        <w:wordWrap/>
        <w:overflowPunct/>
        <w:topLinePunct w:val="0"/>
        <w:bidi w:val="0"/>
        <w:spacing w:after="0" w:afterAutospacing="0" w:line="360" w:lineRule="auto"/>
        <w:ind w:firstLine="480" w:firstLineChars="200"/>
        <w:textAlignment w:val="auto"/>
        <w:rPr>
          <w:rFonts w:hAnsi="宋体" w:cs="宋体"/>
          <w:sz w:val="24"/>
        </w:rPr>
      </w:pPr>
      <w:r>
        <w:rPr>
          <w:rFonts w:hint="eastAsia" w:hAnsi="宋体" w:cs="宋体"/>
          <w:kern w:val="0"/>
          <w:sz w:val="24"/>
        </w:rPr>
        <w:t>2</w:t>
      </w:r>
      <w:r>
        <w:rPr>
          <w:rFonts w:hint="eastAsia" w:hAnsi="宋体" w:cs="宋体"/>
          <w:kern w:val="0"/>
          <w:sz w:val="24"/>
          <w:lang w:val="zh-CN"/>
        </w:rPr>
        <w:t>.3</w:t>
      </w:r>
      <w:r>
        <w:rPr>
          <w:rFonts w:hint="eastAsia" w:hAnsi="宋体" w:cs="宋体"/>
          <w:sz w:val="24"/>
        </w:rPr>
        <w:t>.2供应商认为采购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6"/>
        <w:pageBreakBefore w:val="0"/>
        <w:kinsoku/>
        <w:wordWrap/>
        <w:overflowPunct/>
        <w:topLinePunct w:val="0"/>
        <w:bidi w:val="0"/>
        <w:spacing w:after="0" w:afterAutospacing="0" w:line="360" w:lineRule="auto"/>
        <w:ind w:firstLine="480" w:firstLineChars="200"/>
        <w:textAlignment w:val="auto"/>
        <w:rPr>
          <w:rFonts w:hAnsi="宋体" w:cs="宋体"/>
          <w:snapToGrid/>
          <w:color w:val="auto"/>
          <w:kern w:val="2"/>
          <w:sz w:val="24"/>
        </w:rPr>
      </w:pPr>
      <w:r>
        <w:rPr>
          <w:rFonts w:hint="eastAsia" w:hAnsi="宋体" w:cs="宋体"/>
          <w:snapToGrid/>
          <w:color w:val="auto"/>
          <w:kern w:val="2"/>
          <w:sz w:val="24"/>
        </w:rPr>
        <w:t>2.3.2.1对采购文件提出质疑的，质疑期限为供应商获得采购文件之日或者采购文件公告期限届满之日起计算。</w:t>
      </w:r>
    </w:p>
    <w:p>
      <w:pPr>
        <w:pStyle w:val="10"/>
        <w:pageBreakBefore w:val="0"/>
        <w:kinsoku/>
        <w:wordWrap/>
        <w:overflowPunct/>
        <w:topLinePunct w:val="0"/>
        <w:bidi w:val="0"/>
        <w:spacing w:after="0" w:afterAutospacing="0" w:line="360" w:lineRule="auto"/>
        <w:ind w:left="479" w:leftChars="228"/>
        <w:textAlignment w:val="auto"/>
        <w:rPr>
          <w:rFonts w:hAnsi="宋体" w:cs="宋体"/>
          <w:sz w:val="24"/>
        </w:rPr>
      </w:pPr>
      <w:r>
        <w:rPr>
          <w:rFonts w:hint="eastAsia" w:hAnsi="宋体" w:cs="宋体"/>
          <w:sz w:val="24"/>
        </w:rPr>
        <w:t>2.3.2.2对采购过程提出质疑的，质疑期限为各采购程序环节结束之日起计算。</w:t>
      </w:r>
    </w:p>
    <w:p>
      <w:pPr>
        <w:pStyle w:val="10"/>
        <w:pageBreakBefore w:val="0"/>
        <w:kinsoku/>
        <w:wordWrap/>
        <w:overflowPunct/>
        <w:topLinePunct w:val="0"/>
        <w:bidi w:val="0"/>
        <w:spacing w:after="0" w:afterAutospacing="0" w:line="360" w:lineRule="auto"/>
        <w:ind w:left="479" w:leftChars="228"/>
        <w:textAlignment w:val="auto"/>
        <w:rPr>
          <w:rFonts w:hAnsi="宋体" w:cs="宋体"/>
          <w:sz w:val="24"/>
        </w:rPr>
      </w:pPr>
      <w:r>
        <w:rPr>
          <w:rFonts w:hint="eastAsia" w:hAnsi="宋体" w:cs="宋体"/>
          <w:sz w:val="24"/>
        </w:rPr>
        <w:t>2.3.2.3对采购结果提出质疑的，质疑期限自采购结果公告期限届满之日起计算。</w:t>
      </w:r>
    </w:p>
    <w:p>
      <w:pPr>
        <w:pStyle w:val="10"/>
        <w:pageBreakBefore w:val="0"/>
        <w:kinsoku/>
        <w:wordWrap/>
        <w:overflowPunct/>
        <w:topLinePunct w:val="0"/>
        <w:bidi w:val="0"/>
        <w:spacing w:after="0" w:afterAutospacing="0" w:line="360" w:lineRule="auto"/>
        <w:ind w:firstLine="480" w:firstLineChars="200"/>
        <w:textAlignment w:val="auto"/>
        <w:rPr>
          <w:rFonts w:hAnsi="宋体" w:cs="宋体"/>
          <w:kern w:val="0"/>
          <w:sz w:val="24"/>
          <w:lang w:val="zh-CN"/>
        </w:rPr>
      </w:pPr>
      <w:r>
        <w:rPr>
          <w:rFonts w:hint="eastAsia" w:hAnsi="宋体" w:cs="宋体"/>
          <w:kern w:val="0"/>
          <w:sz w:val="24"/>
        </w:rPr>
        <w:t>2</w:t>
      </w:r>
      <w:r>
        <w:rPr>
          <w:rFonts w:hint="eastAsia" w:hAnsi="宋体" w:cs="宋体"/>
          <w:kern w:val="0"/>
          <w:sz w:val="24"/>
          <w:lang w:val="zh-CN"/>
        </w:rPr>
        <w:t>.3.3</w:t>
      </w:r>
      <w:r>
        <w:rPr>
          <w:rFonts w:hint="eastAsia" w:hAnsi="宋体" w:cs="宋体"/>
          <w:sz w:val="24"/>
        </w:rPr>
        <w:t>供应商提出质疑应当提交质疑函和必要的证明材料。质疑函应当包括下列内容：</w:t>
      </w:r>
    </w:p>
    <w:p>
      <w:pPr>
        <w:pStyle w:val="10"/>
        <w:pageBreakBefore w:val="0"/>
        <w:kinsoku/>
        <w:wordWrap/>
        <w:overflowPunct/>
        <w:topLinePunct w:val="0"/>
        <w:bidi w:val="0"/>
        <w:spacing w:after="0" w:afterAutospacing="0" w:line="360" w:lineRule="auto"/>
        <w:ind w:firstLine="480" w:firstLineChars="200"/>
        <w:textAlignment w:val="auto"/>
        <w:rPr>
          <w:rFonts w:hAnsi="宋体" w:cs="宋体"/>
          <w:kern w:val="0"/>
          <w:sz w:val="24"/>
          <w:lang w:val="zh-CN"/>
        </w:rPr>
      </w:pPr>
      <w:r>
        <w:rPr>
          <w:rFonts w:hint="eastAsia" w:hAnsi="宋体" w:cs="宋体"/>
          <w:kern w:val="0"/>
          <w:sz w:val="24"/>
          <w:lang w:val="zh-CN"/>
        </w:rPr>
        <w:t>　　</w:t>
      </w:r>
      <w:r>
        <w:rPr>
          <w:rFonts w:hint="eastAsia" w:hAnsi="宋体" w:cs="宋体"/>
          <w:kern w:val="0"/>
          <w:sz w:val="24"/>
        </w:rPr>
        <w:t>2</w:t>
      </w:r>
      <w:r>
        <w:rPr>
          <w:rFonts w:hint="eastAsia" w:hAnsi="宋体" w:cs="宋体"/>
          <w:kern w:val="0"/>
          <w:sz w:val="24"/>
          <w:lang w:val="zh-CN"/>
        </w:rPr>
        <w:t>.3.3.1供应商的姓名或者名称、地址、邮编、联系人及联系电话；</w:t>
      </w:r>
    </w:p>
    <w:p>
      <w:pPr>
        <w:pStyle w:val="10"/>
        <w:pageBreakBefore w:val="0"/>
        <w:kinsoku/>
        <w:wordWrap/>
        <w:overflowPunct/>
        <w:topLinePunct w:val="0"/>
        <w:bidi w:val="0"/>
        <w:spacing w:after="0" w:afterAutospacing="0" w:line="360" w:lineRule="auto"/>
        <w:ind w:firstLine="480" w:firstLineChars="200"/>
        <w:textAlignment w:val="auto"/>
        <w:rPr>
          <w:rFonts w:hAnsi="宋体" w:cs="宋体"/>
          <w:kern w:val="0"/>
          <w:sz w:val="24"/>
          <w:lang w:val="zh-CN"/>
        </w:rPr>
      </w:pPr>
      <w:r>
        <w:rPr>
          <w:rFonts w:hint="eastAsia" w:hAnsi="宋体" w:cs="宋体"/>
          <w:kern w:val="0"/>
          <w:sz w:val="24"/>
          <w:lang w:val="zh-CN"/>
        </w:rPr>
        <w:t>　　</w:t>
      </w:r>
      <w:r>
        <w:rPr>
          <w:rFonts w:hint="eastAsia" w:hAnsi="宋体" w:cs="宋体"/>
          <w:kern w:val="0"/>
          <w:sz w:val="24"/>
        </w:rPr>
        <w:t>2</w:t>
      </w:r>
      <w:r>
        <w:rPr>
          <w:rFonts w:hint="eastAsia" w:hAnsi="宋体" w:cs="宋体"/>
          <w:kern w:val="0"/>
          <w:sz w:val="24"/>
          <w:lang w:val="zh-CN"/>
        </w:rPr>
        <w:t>.3.3.2质疑项目的名称、编号；</w:t>
      </w:r>
    </w:p>
    <w:p>
      <w:pPr>
        <w:pStyle w:val="10"/>
        <w:pageBreakBefore w:val="0"/>
        <w:kinsoku/>
        <w:wordWrap/>
        <w:overflowPunct/>
        <w:topLinePunct w:val="0"/>
        <w:bidi w:val="0"/>
        <w:spacing w:after="0" w:afterAutospacing="0" w:line="360" w:lineRule="auto"/>
        <w:ind w:firstLine="480" w:firstLineChars="200"/>
        <w:textAlignment w:val="auto"/>
        <w:rPr>
          <w:rFonts w:hAnsi="宋体" w:cs="宋体"/>
          <w:kern w:val="0"/>
          <w:sz w:val="24"/>
          <w:lang w:val="zh-CN"/>
        </w:rPr>
      </w:pPr>
      <w:r>
        <w:rPr>
          <w:rFonts w:hint="eastAsia" w:hAnsi="宋体" w:cs="宋体"/>
          <w:kern w:val="0"/>
          <w:sz w:val="24"/>
          <w:lang w:val="zh-CN"/>
        </w:rPr>
        <w:t>　　</w:t>
      </w:r>
      <w:r>
        <w:rPr>
          <w:rFonts w:hint="eastAsia" w:hAnsi="宋体" w:cs="宋体"/>
          <w:kern w:val="0"/>
          <w:sz w:val="24"/>
        </w:rPr>
        <w:t>2</w:t>
      </w:r>
      <w:r>
        <w:rPr>
          <w:rFonts w:hint="eastAsia" w:hAnsi="宋体" w:cs="宋体"/>
          <w:kern w:val="0"/>
          <w:sz w:val="24"/>
          <w:lang w:val="zh-CN"/>
        </w:rPr>
        <w:t>.3.3.3具体、明确的质疑事项和与质疑事项相关的请求；</w:t>
      </w:r>
    </w:p>
    <w:p>
      <w:pPr>
        <w:pStyle w:val="10"/>
        <w:pageBreakBefore w:val="0"/>
        <w:kinsoku/>
        <w:wordWrap/>
        <w:overflowPunct/>
        <w:topLinePunct w:val="0"/>
        <w:bidi w:val="0"/>
        <w:spacing w:after="0" w:afterAutospacing="0" w:line="360" w:lineRule="auto"/>
        <w:ind w:firstLine="480" w:firstLineChars="200"/>
        <w:textAlignment w:val="auto"/>
        <w:rPr>
          <w:rFonts w:hAnsi="宋体" w:cs="宋体"/>
          <w:kern w:val="0"/>
          <w:sz w:val="24"/>
          <w:lang w:val="zh-CN"/>
        </w:rPr>
      </w:pPr>
      <w:r>
        <w:rPr>
          <w:rFonts w:hint="eastAsia" w:hAnsi="宋体" w:cs="宋体"/>
          <w:kern w:val="0"/>
          <w:sz w:val="24"/>
          <w:lang w:val="zh-CN"/>
        </w:rPr>
        <w:t>　　</w:t>
      </w:r>
      <w:r>
        <w:rPr>
          <w:rFonts w:hint="eastAsia" w:hAnsi="宋体" w:cs="宋体"/>
          <w:kern w:val="0"/>
          <w:sz w:val="24"/>
        </w:rPr>
        <w:t>2</w:t>
      </w:r>
      <w:r>
        <w:rPr>
          <w:rFonts w:hint="eastAsia" w:hAnsi="宋体" w:cs="宋体"/>
          <w:kern w:val="0"/>
          <w:sz w:val="24"/>
          <w:lang w:val="zh-CN"/>
        </w:rPr>
        <w:t>.3.3.4事实依据；</w:t>
      </w:r>
    </w:p>
    <w:p>
      <w:pPr>
        <w:pStyle w:val="10"/>
        <w:pageBreakBefore w:val="0"/>
        <w:kinsoku/>
        <w:wordWrap/>
        <w:overflowPunct/>
        <w:topLinePunct w:val="0"/>
        <w:bidi w:val="0"/>
        <w:spacing w:after="0" w:afterAutospacing="0" w:line="360" w:lineRule="auto"/>
        <w:ind w:firstLine="480" w:firstLineChars="200"/>
        <w:textAlignment w:val="auto"/>
        <w:rPr>
          <w:rFonts w:hAnsi="宋体" w:cs="宋体"/>
          <w:kern w:val="0"/>
          <w:sz w:val="24"/>
          <w:lang w:val="zh-CN"/>
        </w:rPr>
      </w:pPr>
      <w:r>
        <w:rPr>
          <w:rFonts w:hint="eastAsia" w:hAnsi="宋体" w:cs="宋体"/>
          <w:kern w:val="0"/>
          <w:sz w:val="24"/>
          <w:lang w:val="zh-CN"/>
        </w:rPr>
        <w:t>　　</w:t>
      </w:r>
      <w:r>
        <w:rPr>
          <w:rFonts w:hint="eastAsia" w:hAnsi="宋体" w:cs="宋体"/>
          <w:kern w:val="0"/>
          <w:sz w:val="24"/>
        </w:rPr>
        <w:t>2</w:t>
      </w:r>
      <w:r>
        <w:rPr>
          <w:rFonts w:hint="eastAsia" w:hAnsi="宋体" w:cs="宋体"/>
          <w:kern w:val="0"/>
          <w:sz w:val="24"/>
          <w:lang w:val="zh-CN"/>
        </w:rPr>
        <w:t>.3.3.5必要的法律依据；</w:t>
      </w:r>
    </w:p>
    <w:p>
      <w:pPr>
        <w:pStyle w:val="10"/>
        <w:pageBreakBefore w:val="0"/>
        <w:kinsoku/>
        <w:wordWrap/>
        <w:overflowPunct/>
        <w:topLinePunct w:val="0"/>
        <w:bidi w:val="0"/>
        <w:spacing w:after="0" w:afterAutospacing="0" w:line="360" w:lineRule="auto"/>
        <w:ind w:firstLine="960" w:firstLineChars="400"/>
        <w:textAlignment w:val="auto"/>
        <w:rPr>
          <w:rFonts w:hAnsi="宋体" w:cs="宋体"/>
          <w:kern w:val="0"/>
          <w:sz w:val="24"/>
          <w:lang w:val="zh-CN"/>
        </w:rPr>
      </w:pPr>
      <w:r>
        <w:rPr>
          <w:rFonts w:hint="eastAsia" w:hAnsi="宋体" w:cs="宋体"/>
          <w:kern w:val="0"/>
          <w:sz w:val="24"/>
        </w:rPr>
        <w:t>2</w:t>
      </w:r>
      <w:r>
        <w:rPr>
          <w:rFonts w:hint="eastAsia" w:hAnsi="宋体" w:cs="宋体"/>
          <w:kern w:val="0"/>
          <w:sz w:val="24"/>
          <w:lang w:val="zh-CN"/>
        </w:rPr>
        <w:t>.3.3.6提出质疑的日期。</w:t>
      </w:r>
    </w:p>
    <w:p>
      <w:pPr>
        <w:pStyle w:val="34"/>
        <w:pageBreakBefore w:val="0"/>
        <w:shd w:val="clear" w:color="auto" w:fill="FFFFFF"/>
        <w:kinsoku/>
        <w:wordWrap/>
        <w:overflowPunct/>
        <w:topLinePunct w:val="0"/>
        <w:bidi w:val="0"/>
        <w:snapToGrid w:val="0"/>
        <w:spacing w:after="0" w:afterAutospacing="0" w:line="360" w:lineRule="auto"/>
        <w:ind w:firstLine="400"/>
        <w:contextualSpacing/>
        <w:textAlignment w:val="auto"/>
      </w:pPr>
      <w:r>
        <w:rPr>
          <w:rFonts w:hint="eastAsia"/>
        </w:rPr>
        <w:t>供应商提交的质疑函需一式三份。供应商为法人或者其他组织的，应当由法定代表人、主要负责人，或者其授权代表签字或者盖章，并加盖公章。</w:t>
      </w:r>
    </w:p>
    <w:p>
      <w:pPr>
        <w:pStyle w:val="34"/>
        <w:pageBreakBefore w:val="0"/>
        <w:shd w:val="clear" w:color="auto" w:fill="FFFFFF"/>
        <w:kinsoku/>
        <w:wordWrap/>
        <w:overflowPunct/>
        <w:topLinePunct w:val="0"/>
        <w:bidi w:val="0"/>
        <w:snapToGrid w:val="0"/>
        <w:spacing w:after="0" w:afterAutospacing="0" w:line="360" w:lineRule="auto"/>
        <w:ind w:firstLine="400"/>
        <w:contextualSpacing/>
        <w:textAlignment w:val="auto"/>
      </w:pPr>
      <w:r>
        <w:rPr>
          <w:rFonts w:hint="eastAsia"/>
        </w:rPr>
        <w:t>质疑函范本及制作说明详见附件2。</w:t>
      </w:r>
    </w:p>
    <w:p>
      <w:pPr>
        <w:pStyle w:val="34"/>
        <w:pageBreakBefore w:val="0"/>
        <w:shd w:val="clear" w:color="auto" w:fill="FFFFFF"/>
        <w:kinsoku/>
        <w:wordWrap/>
        <w:overflowPunct/>
        <w:topLinePunct w:val="0"/>
        <w:bidi w:val="0"/>
        <w:snapToGrid w:val="0"/>
        <w:spacing w:after="0" w:afterAutospacing="0" w:line="360" w:lineRule="auto"/>
        <w:ind w:firstLine="400"/>
        <w:contextualSpacing/>
        <w:textAlignment w:val="auto"/>
      </w:pPr>
      <w:r>
        <w:rPr>
          <w:rFonts w:hint="eastAsia"/>
        </w:rPr>
        <w:t>2.3.4对同一采购程序环节的质疑，供应商须在质疑期内一次性提出。</w:t>
      </w:r>
    </w:p>
    <w:p>
      <w:pPr>
        <w:pStyle w:val="34"/>
        <w:pageBreakBefore w:val="0"/>
        <w:shd w:val="clear" w:color="auto" w:fill="FFFFFF"/>
        <w:kinsoku/>
        <w:wordWrap/>
        <w:overflowPunct/>
        <w:topLinePunct w:val="0"/>
        <w:bidi w:val="0"/>
        <w:snapToGrid w:val="0"/>
        <w:spacing w:after="0" w:afterAutospacing="0" w:line="360" w:lineRule="auto"/>
        <w:ind w:firstLine="400"/>
        <w:contextualSpacing/>
        <w:textAlignment w:val="auto"/>
        <w:rPr>
          <w:strike/>
        </w:rPr>
      </w:pPr>
      <w:r>
        <w:rPr>
          <w:rFonts w:hint="eastAsia"/>
        </w:rPr>
        <w:t>2</w:t>
      </w:r>
      <w:r>
        <w:rPr>
          <w:rFonts w:hint="eastAsia"/>
          <w:lang w:val="zh-CN"/>
        </w:rPr>
        <w:t>.3</w:t>
      </w:r>
      <w:r>
        <w:rPr>
          <w:rFonts w:hint="eastAsia"/>
        </w:rPr>
        <w:t>.5采购人或者采购代理机构应当在收到供应商的书面质疑后七个工作日内作出答复，并以书面形式通知质疑供应商和其他与质疑处理结果有利害关系的采购当事人，但答复的内容不得涉及商业秘密。</w:t>
      </w:r>
    </w:p>
    <w:p>
      <w:pPr>
        <w:pStyle w:val="34"/>
        <w:pageBreakBefore w:val="0"/>
        <w:shd w:val="clear" w:color="auto" w:fill="FFFFFF"/>
        <w:kinsoku/>
        <w:wordWrap/>
        <w:overflowPunct/>
        <w:topLinePunct w:val="0"/>
        <w:bidi w:val="0"/>
        <w:snapToGrid w:val="0"/>
        <w:spacing w:after="0" w:afterAutospacing="0" w:line="360" w:lineRule="auto"/>
        <w:ind w:firstLine="400"/>
        <w:contextualSpacing/>
        <w:textAlignment w:val="auto"/>
      </w:pPr>
      <w:r>
        <w:rPr>
          <w:rFonts w:hint="eastAsia"/>
        </w:rPr>
        <w:t>2</w:t>
      </w:r>
      <w:r>
        <w:rPr>
          <w:rFonts w:hint="eastAsia"/>
          <w:lang w:val="zh-CN"/>
        </w:rPr>
        <w:t>.3</w:t>
      </w:r>
      <w:r>
        <w:rPr>
          <w:rFonts w:hint="eastAsia"/>
        </w:rPr>
        <w:t>.6询问或者质疑事项可能影响采购结果的，采购人应当暂停签订合同，已经签订合同的，应当中止履行合同。</w:t>
      </w:r>
    </w:p>
    <w:p>
      <w:pPr>
        <w:pStyle w:val="34"/>
        <w:pageBreakBefore w:val="0"/>
        <w:shd w:val="clear" w:color="auto" w:fill="FFFFFF"/>
        <w:kinsoku/>
        <w:wordWrap/>
        <w:overflowPunct/>
        <w:topLinePunct w:val="0"/>
        <w:bidi w:val="0"/>
        <w:snapToGrid w:val="0"/>
        <w:spacing w:after="0" w:afterAutospacing="0" w:line="360" w:lineRule="auto"/>
        <w:ind w:firstLine="480" w:firstLineChars="200"/>
        <w:contextualSpacing/>
        <w:textAlignment w:val="auto"/>
        <w:rPr>
          <w:lang w:val="zh-CN"/>
        </w:rPr>
      </w:pPr>
      <w:r>
        <w:rPr>
          <w:rFonts w:hint="eastAsia"/>
        </w:rPr>
        <w:t>2</w:t>
      </w:r>
      <w:r>
        <w:rPr>
          <w:rFonts w:hint="eastAsia"/>
          <w:lang w:val="zh-CN"/>
        </w:rPr>
        <w:t>.4供应商投诉</w:t>
      </w:r>
    </w:p>
    <w:p>
      <w:pPr>
        <w:pStyle w:val="34"/>
        <w:pageBreakBefore w:val="0"/>
        <w:shd w:val="clear" w:color="auto" w:fill="FFFFFF"/>
        <w:kinsoku/>
        <w:wordWrap/>
        <w:overflowPunct/>
        <w:topLinePunct w:val="0"/>
        <w:bidi w:val="0"/>
        <w:snapToGrid w:val="0"/>
        <w:spacing w:after="0" w:afterAutospacing="0" w:line="360" w:lineRule="auto"/>
        <w:ind w:firstLine="400"/>
        <w:contextualSpacing/>
        <w:textAlignment w:val="auto"/>
      </w:pPr>
      <w:r>
        <w:rPr>
          <w:rFonts w:hint="eastAsia"/>
        </w:rPr>
        <w:t>2.4.1质疑供应商对采购人、采购代理机构的答复不满意或者采购人、采购代理机构未在规定的时间内作出答复的，可以在答复期满后十五个工作日内向采购人监督管理部门提出投诉。</w:t>
      </w:r>
    </w:p>
    <w:p>
      <w:pPr>
        <w:pStyle w:val="34"/>
        <w:pageBreakBefore w:val="0"/>
        <w:shd w:val="clear" w:color="auto" w:fill="FFFFFF"/>
        <w:kinsoku/>
        <w:wordWrap/>
        <w:overflowPunct/>
        <w:topLinePunct w:val="0"/>
        <w:bidi w:val="0"/>
        <w:snapToGrid w:val="0"/>
        <w:spacing w:after="0" w:afterAutospacing="0" w:line="360" w:lineRule="auto"/>
        <w:ind w:firstLine="400"/>
        <w:contextualSpacing/>
        <w:textAlignment w:val="auto"/>
      </w:pPr>
      <w:r>
        <w:rPr>
          <w:rFonts w:hint="eastAsia"/>
        </w:rPr>
        <w:t>2.4.</w:t>
      </w:r>
      <w:r>
        <w:rPr>
          <w:rFonts w:hint="eastAsia"/>
          <w:lang w:val="zh-CN"/>
        </w:rPr>
        <w:t>2</w:t>
      </w:r>
      <w:r>
        <w:rPr>
          <w:rFonts w:hint="eastAsia"/>
        </w:rPr>
        <w:t>供应商投诉的事项不得超出已质疑事项的范围，基于质疑答复内容提出的投诉事项除外。</w:t>
      </w:r>
    </w:p>
    <w:p>
      <w:pPr>
        <w:pStyle w:val="34"/>
        <w:pageBreakBefore w:val="0"/>
        <w:shd w:val="clear" w:color="auto" w:fill="FFFFFF"/>
        <w:kinsoku/>
        <w:wordWrap/>
        <w:overflowPunct/>
        <w:topLinePunct w:val="0"/>
        <w:bidi w:val="0"/>
        <w:snapToGrid w:val="0"/>
        <w:spacing w:after="0" w:afterAutospacing="0" w:line="360" w:lineRule="auto"/>
        <w:ind w:firstLine="400"/>
        <w:contextualSpacing/>
        <w:textAlignment w:val="auto"/>
      </w:pPr>
      <w:r>
        <w:rPr>
          <w:rFonts w:hint="eastAsia"/>
        </w:rPr>
        <w:t>2.4.3供应商投诉应当有明确的请求和必要的证明材料。</w:t>
      </w:r>
    </w:p>
    <w:p>
      <w:pPr>
        <w:pStyle w:val="34"/>
        <w:pageBreakBefore w:val="0"/>
        <w:shd w:val="clear" w:color="auto" w:fill="FFFFFF"/>
        <w:kinsoku/>
        <w:wordWrap/>
        <w:overflowPunct/>
        <w:topLinePunct w:val="0"/>
        <w:bidi w:val="0"/>
        <w:adjustRightInd w:val="0"/>
        <w:snapToGrid w:val="0"/>
        <w:spacing w:after="0" w:afterAutospacing="0" w:line="360" w:lineRule="auto"/>
        <w:ind w:firstLine="480" w:firstLineChars="200"/>
        <w:contextualSpacing/>
        <w:textAlignment w:val="auto"/>
        <w:rPr>
          <w:rFonts w:cs="仿宋"/>
          <w:strike/>
        </w:rPr>
      </w:pPr>
      <w:r>
        <w:rPr>
          <w:rFonts w:hint="eastAsia"/>
        </w:rPr>
        <w:t>2.4.4以联合体形式参加采购活动的，其投诉应当由组成联合体的所有供应商共同提出。</w:t>
      </w:r>
    </w:p>
    <w:p>
      <w:pPr>
        <w:pStyle w:val="10"/>
        <w:pageBreakBefore w:val="0"/>
        <w:kinsoku/>
        <w:wordWrap/>
        <w:overflowPunct/>
        <w:topLinePunct w:val="0"/>
        <w:bidi w:val="0"/>
        <w:spacing w:after="0" w:afterAutospacing="0" w:line="360" w:lineRule="auto"/>
        <w:ind w:firstLine="480" w:firstLineChars="200"/>
        <w:textAlignment w:val="auto"/>
        <w:rPr>
          <w:rFonts w:hAnsi="宋体" w:cs="宋体"/>
          <w:sz w:val="24"/>
          <w:szCs w:val="24"/>
        </w:rPr>
      </w:pPr>
      <w:r>
        <w:rPr>
          <w:rFonts w:hint="eastAsia" w:hAnsi="宋体" w:cs="宋体"/>
          <w:sz w:val="24"/>
          <w:szCs w:val="24"/>
        </w:rPr>
        <w:t>投诉书范本及制作说明详见附件3。</w:t>
      </w:r>
    </w:p>
    <w:p>
      <w:pPr>
        <w:pageBreakBefore w:val="0"/>
        <w:kinsoku/>
        <w:wordWrap/>
        <w:overflowPunct/>
        <w:topLinePunct w:val="0"/>
        <w:bidi w:val="0"/>
        <w:adjustRightInd/>
        <w:spacing w:after="0" w:afterAutospacing="0" w:line="360" w:lineRule="auto"/>
        <w:jc w:val="center"/>
        <w:textAlignment w:val="auto"/>
        <w:outlineLvl w:val="0"/>
        <w:rPr>
          <w:rFonts w:ascii="宋体" w:hAnsi="宋体" w:cs="宋体"/>
          <w:b/>
          <w:sz w:val="32"/>
          <w:szCs w:val="20"/>
        </w:rPr>
      </w:pPr>
      <w:r>
        <w:rPr>
          <w:rFonts w:hint="eastAsia" w:ascii="宋体" w:hAnsi="宋体" w:cs="宋体"/>
          <w:b/>
          <w:sz w:val="32"/>
          <w:szCs w:val="20"/>
        </w:rPr>
        <w:t xml:space="preserve">      二、采购文件的构成、澄清、修改</w:t>
      </w:r>
    </w:p>
    <w:p>
      <w:pPr>
        <w:pStyle w:val="10"/>
        <w:pageBreakBefore w:val="0"/>
        <w:kinsoku/>
        <w:wordWrap/>
        <w:overflowPunct/>
        <w:topLinePunct w:val="0"/>
        <w:bidi w:val="0"/>
        <w:spacing w:after="0" w:afterAutospacing="0" w:line="360" w:lineRule="auto"/>
        <w:textAlignment w:val="auto"/>
        <w:rPr>
          <w:rFonts w:hAnsi="宋体" w:cs="宋体"/>
          <w:b/>
          <w:sz w:val="24"/>
          <w:szCs w:val="24"/>
        </w:rPr>
      </w:pPr>
      <w:r>
        <w:rPr>
          <w:rFonts w:hint="eastAsia" w:hAnsi="宋体" w:cs="宋体"/>
          <w:b/>
          <w:sz w:val="24"/>
          <w:szCs w:val="24"/>
        </w:rPr>
        <w:t>3．采购文件的构成</w:t>
      </w:r>
    </w:p>
    <w:p>
      <w:pPr>
        <w:pStyle w:val="10"/>
        <w:pageBreakBefore w:val="0"/>
        <w:kinsoku/>
        <w:wordWrap/>
        <w:overflowPunct/>
        <w:topLinePunct w:val="0"/>
        <w:bidi w:val="0"/>
        <w:spacing w:after="0" w:afterAutospacing="0" w:line="360" w:lineRule="auto"/>
        <w:ind w:firstLine="480" w:firstLineChars="200"/>
        <w:textAlignment w:val="auto"/>
        <w:rPr>
          <w:rFonts w:hAnsi="宋体" w:cs="宋体"/>
          <w:sz w:val="24"/>
          <w:szCs w:val="24"/>
        </w:rPr>
      </w:pPr>
      <w:r>
        <w:rPr>
          <w:rFonts w:hint="eastAsia" w:hAnsi="宋体" w:cs="宋体"/>
          <w:sz w:val="24"/>
          <w:szCs w:val="24"/>
        </w:rPr>
        <w:t>3.1 采购文件包括下列文件及附件：</w:t>
      </w:r>
    </w:p>
    <w:p>
      <w:pPr>
        <w:pStyle w:val="10"/>
        <w:pageBreakBefore w:val="0"/>
        <w:tabs>
          <w:tab w:val="left" w:pos="840"/>
        </w:tabs>
        <w:kinsoku/>
        <w:wordWrap/>
        <w:overflowPunct/>
        <w:topLinePunct w:val="0"/>
        <w:bidi w:val="0"/>
        <w:spacing w:after="0" w:afterAutospacing="0" w:line="360" w:lineRule="auto"/>
        <w:ind w:firstLine="960" w:firstLineChars="400"/>
        <w:textAlignment w:val="auto"/>
        <w:rPr>
          <w:rFonts w:hAnsi="宋体" w:cs="宋体"/>
          <w:sz w:val="24"/>
          <w:szCs w:val="24"/>
        </w:rPr>
      </w:pPr>
      <w:r>
        <w:rPr>
          <w:rFonts w:hint="eastAsia" w:hAnsi="宋体" w:cs="宋体"/>
          <w:sz w:val="24"/>
          <w:szCs w:val="24"/>
        </w:rPr>
        <w:t>3.1.1交易公告；</w:t>
      </w:r>
    </w:p>
    <w:p>
      <w:pPr>
        <w:pStyle w:val="10"/>
        <w:pageBreakBefore w:val="0"/>
        <w:tabs>
          <w:tab w:val="left" w:pos="840"/>
        </w:tabs>
        <w:kinsoku/>
        <w:wordWrap/>
        <w:overflowPunct/>
        <w:topLinePunct w:val="0"/>
        <w:bidi w:val="0"/>
        <w:spacing w:after="0" w:afterAutospacing="0" w:line="360" w:lineRule="auto"/>
        <w:ind w:firstLine="960" w:firstLineChars="400"/>
        <w:textAlignment w:val="auto"/>
        <w:rPr>
          <w:rFonts w:hAnsi="宋体" w:cs="宋体"/>
          <w:sz w:val="24"/>
          <w:szCs w:val="24"/>
        </w:rPr>
      </w:pPr>
      <w:r>
        <w:rPr>
          <w:rFonts w:hint="eastAsia" w:hAnsi="宋体" w:cs="宋体"/>
          <w:sz w:val="24"/>
          <w:szCs w:val="24"/>
        </w:rPr>
        <w:t>3.1.2供应商须知；</w:t>
      </w:r>
    </w:p>
    <w:p>
      <w:pPr>
        <w:pStyle w:val="10"/>
        <w:pageBreakBefore w:val="0"/>
        <w:tabs>
          <w:tab w:val="left" w:pos="840"/>
        </w:tabs>
        <w:kinsoku/>
        <w:wordWrap/>
        <w:overflowPunct/>
        <w:topLinePunct w:val="0"/>
        <w:bidi w:val="0"/>
        <w:spacing w:after="0" w:afterAutospacing="0" w:line="360" w:lineRule="auto"/>
        <w:ind w:firstLine="960" w:firstLineChars="400"/>
        <w:textAlignment w:val="auto"/>
        <w:rPr>
          <w:rFonts w:hAnsi="宋体" w:cs="宋体"/>
          <w:sz w:val="24"/>
          <w:szCs w:val="24"/>
        </w:rPr>
      </w:pPr>
      <w:r>
        <w:rPr>
          <w:rFonts w:hint="eastAsia" w:hAnsi="宋体" w:cs="宋体"/>
          <w:sz w:val="24"/>
          <w:szCs w:val="24"/>
        </w:rPr>
        <w:t>3.1.3采购需求；</w:t>
      </w:r>
    </w:p>
    <w:p>
      <w:pPr>
        <w:pStyle w:val="10"/>
        <w:pageBreakBefore w:val="0"/>
        <w:tabs>
          <w:tab w:val="left" w:pos="840"/>
        </w:tabs>
        <w:kinsoku/>
        <w:wordWrap/>
        <w:overflowPunct/>
        <w:topLinePunct w:val="0"/>
        <w:bidi w:val="0"/>
        <w:spacing w:after="0" w:afterAutospacing="0" w:line="360" w:lineRule="auto"/>
        <w:ind w:firstLine="960" w:firstLineChars="400"/>
        <w:textAlignment w:val="auto"/>
        <w:rPr>
          <w:rFonts w:hAnsi="宋体" w:cs="宋体"/>
          <w:sz w:val="24"/>
          <w:szCs w:val="24"/>
        </w:rPr>
      </w:pPr>
      <w:r>
        <w:rPr>
          <w:rFonts w:hint="eastAsia" w:hAnsi="宋体" w:cs="宋体"/>
          <w:sz w:val="24"/>
          <w:szCs w:val="24"/>
        </w:rPr>
        <w:t>3.1.4评审办法；</w:t>
      </w:r>
    </w:p>
    <w:p>
      <w:pPr>
        <w:pStyle w:val="10"/>
        <w:pageBreakBefore w:val="0"/>
        <w:tabs>
          <w:tab w:val="left" w:pos="840"/>
        </w:tabs>
        <w:kinsoku/>
        <w:wordWrap/>
        <w:overflowPunct/>
        <w:topLinePunct w:val="0"/>
        <w:bidi w:val="0"/>
        <w:spacing w:after="0" w:afterAutospacing="0" w:line="360" w:lineRule="auto"/>
        <w:ind w:firstLine="960" w:firstLineChars="400"/>
        <w:textAlignment w:val="auto"/>
        <w:rPr>
          <w:rFonts w:hAnsi="宋体" w:cs="宋体"/>
          <w:sz w:val="24"/>
          <w:szCs w:val="24"/>
        </w:rPr>
      </w:pPr>
      <w:r>
        <w:rPr>
          <w:rFonts w:hint="eastAsia" w:hAnsi="宋体" w:cs="宋体"/>
          <w:sz w:val="24"/>
          <w:szCs w:val="24"/>
        </w:rPr>
        <w:t>3.1.5拟签订的合同文本；</w:t>
      </w:r>
    </w:p>
    <w:p>
      <w:pPr>
        <w:pStyle w:val="10"/>
        <w:pageBreakBefore w:val="0"/>
        <w:tabs>
          <w:tab w:val="left" w:pos="840"/>
        </w:tabs>
        <w:kinsoku/>
        <w:wordWrap/>
        <w:overflowPunct/>
        <w:topLinePunct w:val="0"/>
        <w:bidi w:val="0"/>
        <w:spacing w:after="0" w:afterAutospacing="0" w:line="360" w:lineRule="auto"/>
        <w:ind w:firstLine="960" w:firstLineChars="400"/>
        <w:textAlignment w:val="auto"/>
        <w:rPr>
          <w:rFonts w:hAnsi="宋体" w:cs="宋体"/>
          <w:sz w:val="24"/>
          <w:szCs w:val="24"/>
        </w:rPr>
      </w:pPr>
      <w:r>
        <w:rPr>
          <w:rFonts w:hint="eastAsia" w:hAnsi="宋体" w:cs="宋体"/>
          <w:sz w:val="24"/>
        </w:rPr>
        <w:t>3.1.6</w:t>
      </w:r>
      <w:r>
        <w:rPr>
          <w:rFonts w:hint="eastAsia" w:hAnsi="宋体" w:cs="宋体"/>
          <w:sz w:val="24"/>
          <w:szCs w:val="24"/>
        </w:rPr>
        <w:t>应提交的有关格式范例。</w:t>
      </w:r>
    </w:p>
    <w:p>
      <w:pPr>
        <w:pageBreakBefore w:val="0"/>
        <w:kinsoku/>
        <w:wordWrap/>
        <w:overflowPunct/>
        <w:topLinePunct w:val="0"/>
        <w:bidi w:val="0"/>
        <w:spacing w:after="0" w:afterAutospacing="0" w:line="360" w:lineRule="auto"/>
        <w:ind w:firstLine="480" w:firstLineChars="200"/>
        <w:textAlignment w:val="auto"/>
        <w:rPr>
          <w:rFonts w:ascii="宋体" w:hAnsi="宋体" w:cs="宋体"/>
          <w:sz w:val="24"/>
        </w:rPr>
      </w:pPr>
      <w:r>
        <w:rPr>
          <w:rFonts w:hint="eastAsia" w:ascii="宋体" w:hAnsi="宋体" w:cs="宋体"/>
          <w:sz w:val="24"/>
        </w:rPr>
        <w:t>3.2与本项目有关的</w:t>
      </w:r>
      <w:r>
        <w:rPr>
          <w:rFonts w:hint="eastAsia" w:ascii="宋体" w:hAnsi="宋体" w:cs="宋体"/>
          <w:bCs/>
          <w:sz w:val="24"/>
        </w:rPr>
        <w:t>澄清或者修改的内容为采购文件的组成部分</w:t>
      </w:r>
      <w:r>
        <w:rPr>
          <w:rFonts w:hint="eastAsia" w:ascii="宋体" w:hAnsi="宋体" w:cs="宋体"/>
          <w:sz w:val="24"/>
        </w:rPr>
        <w:t>。</w:t>
      </w:r>
    </w:p>
    <w:p>
      <w:pPr>
        <w:pStyle w:val="10"/>
        <w:pageBreakBefore w:val="0"/>
        <w:kinsoku/>
        <w:wordWrap/>
        <w:overflowPunct/>
        <w:topLinePunct w:val="0"/>
        <w:bidi w:val="0"/>
        <w:spacing w:after="0" w:afterAutospacing="0" w:line="360" w:lineRule="auto"/>
        <w:textAlignment w:val="auto"/>
        <w:rPr>
          <w:rFonts w:hAnsi="宋体" w:cs="宋体"/>
          <w:b/>
          <w:sz w:val="24"/>
          <w:szCs w:val="24"/>
        </w:rPr>
      </w:pPr>
      <w:r>
        <w:rPr>
          <w:rFonts w:hint="eastAsia" w:hAnsi="宋体" w:cs="宋体"/>
          <w:b/>
          <w:sz w:val="24"/>
          <w:szCs w:val="24"/>
        </w:rPr>
        <w:t>4. 采购文件的澄清、修改</w:t>
      </w:r>
    </w:p>
    <w:p>
      <w:pPr>
        <w:pStyle w:val="31"/>
        <w:pageBreakBefore w:val="0"/>
        <w:kinsoku/>
        <w:wordWrap/>
        <w:overflowPunct/>
        <w:topLinePunct w:val="0"/>
        <w:bidi w:val="0"/>
        <w:snapToGrid w:val="0"/>
        <w:spacing w:before="0" w:after="0" w:afterAutospacing="0"/>
        <w:ind w:firstLine="480"/>
        <w:textAlignment w:val="auto"/>
        <w:rPr>
          <w:rFonts w:ascii="宋体" w:hAnsi="宋体" w:cs="宋体"/>
        </w:rPr>
      </w:pPr>
      <w:r>
        <w:rPr>
          <w:rFonts w:hint="eastAsia" w:ascii="宋体" w:hAnsi="宋体" w:cs="宋体"/>
        </w:rPr>
        <w:t>4.1已获取采购文件的潜在供应商，若有问题需要澄清，应于响应截止时间之前，以书面形式向采购代理机构提出。</w:t>
      </w:r>
    </w:p>
    <w:p>
      <w:pPr>
        <w:pStyle w:val="31"/>
        <w:pageBreakBefore w:val="0"/>
        <w:kinsoku/>
        <w:wordWrap/>
        <w:overflowPunct/>
        <w:topLinePunct w:val="0"/>
        <w:bidi w:val="0"/>
        <w:snapToGrid w:val="0"/>
        <w:spacing w:before="0" w:after="0" w:afterAutospacing="0"/>
        <w:ind w:firstLine="480"/>
        <w:textAlignment w:val="auto"/>
        <w:rPr>
          <w:rFonts w:hAnsi="宋体" w:cs="宋体"/>
          <w:sz w:val="18"/>
          <w:szCs w:val="18"/>
        </w:rPr>
      </w:pPr>
      <w:r>
        <w:rPr>
          <w:rFonts w:hint="eastAsia" w:ascii="宋体" w:hAnsi="宋体" w:cs="宋体"/>
        </w:rPr>
        <w:t>4.2 采购代理机构对采购文件进行澄清或修改的，将同时通过电子交易平台通知已获取采购文件的潜在供应商。依法应当公告的，将按规定公告，同时视情况延长响应截止时间和开标时间。该澄清或者修改的内容为采购文件的组成部分。</w:t>
      </w:r>
    </w:p>
    <w:p>
      <w:pPr>
        <w:pageBreakBefore w:val="0"/>
        <w:kinsoku/>
        <w:wordWrap/>
        <w:overflowPunct/>
        <w:topLinePunct w:val="0"/>
        <w:bidi w:val="0"/>
        <w:adjustRightInd/>
        <w:spacing w:after="0" w:afterAutospacing="0" w:line="360" w:lineRule="auto"/>
        <w:jc w:val="center"/>
        <w:textAlignment w:val="auto"/>
        <w:outlineLvl w:val="0"/>
        <w:rPr>
          <w:rFonts w:ascii="宋体" w:hAnsi="宋体" w:cs="宋体"/>
          <w:b/>
          <w:sz w:val="30"/>
          <w:szCs w:val="20"/>
        </w:rPr>
      </w:pPr>
      <w:r>
        <w:rPr>
          <w:rFonts w:hint="eastAsia" w:ascii="宋体" w:hAnsi="宋体" w:cs="宋体"/>
          <w:b/>
          <w:sz w:val="30"/>
          <w:szCs w:val="20"/>
        </w:rPr>
        <w:t>三、投标响应</w:t>
      </w:r>
    </w:p>
    <w:p>
      <w:pPr>
        <w:pStyle w:val="10"/>
        <w:pageBreakBefore w:val="0"/>
        <w:kinsoku/>
        <w:wordWrap/>
        <w:overflowPunct/>
        <w:topLinePunct w:val="0"/>
        <w:bidi w:val="0"/>
        <w:spacing w:after="0" w:afterAutospacing="0" w:line="360" w:lineRule="auto"/>
        <w:textAlignment w:val="auto"/>
        <w:rPr>
          <w:rFonts w:hAnsi="宋体" w:cs="宋体"/>
          <w:b/>
          <w:sz w:val="24"/>
          <w:szCs w:val="24"/>
        </w:rPr>
      </w:pPr>
      <w:r>
        <w:rPr>
          <w:rFonts w:hint="eastAsia" w:hAnsi="宋体" w:cs="宋体"/>
          <w:b/>
          <w:sz w:val="24"/>
          <w:szCs w:val="24"/>
        </w:rPr>
        <w:t>5. 采购文件的获取</w:t>
      </w:r>
    </w:p>
    <w:p>
      <w:pPr>
        <w:pageBreakBefore w:val="0"/>
        <w:kinsoku/>
        <w:wordWrap/>
        <w:overflowPunct/>
        <w:topLinePunct w:val="0"/>
        <w:bidi w:val="0"/>
        <w:spacing w:after="0" w:afterAutospacing="0" w:line="360" w:lineRule="auto"/>
        <w:ind w:firstLine="480" w:firstLineChars="200"/>
        <w:textAlignment w:val="auto"/>
        <w:rPr>
          <w:rFonts w:ascii="宋体" w:hAnsi="宋体" w:cs="宋体"/>
          <w:strike/>
          <w:snapToGrid w:val="0"/>
          <w:kern w:val="28"/>
          <w:sz w:val="24"/>
        </w:rPr>
      </w:pPr>
      <w:r>
        <w:rPr>
          <w:rFonts w:hint="eastAsia" w:ascii="宋体" w:hAnsi="宋体" w:cs="宋体"/>
          <w:snapToGrid w:val="0"/>
          <w:kern w:val="28"/>
          <w:sz w:val="24"/>
        </w:rPr>
        <w:t>详见采购公告中获取采购文件的时间期限、地点、方式。</w:t>
      </w:r>
    </w:p>
    <w:p>
      <w:pPr>
        <w:pStyle w:val="10"/>
        <w:pageBreakBefore w:val="0"/>
        <w:kinsoku/>
        <w:wordWrap/>
        <w:overflowPunct/>
        <w:topLinePunct w:val="0"/>
        <w:bidi w:val="0"/>
        <w:spacing w:after="0" w:afterAutospacing="0" w:line="360" w:lineRule="auto"/>
        <w:textAlignment w:val="auto"/>
        <w:rPr>
          <w:rFonts w:hAnsi="宋体" w:cs="宋体"/>
          <w:b/>
          <w:sz w:val="24"/>
          <w:szCs w:val="24"/>
        </w:rPr>
      </w:pPr>
      <w:r>
        <w:rPr>
          <w:rFonts w:hint="eastAsia" w:hAnsi="宋体" w:cs="宋体"/>
          <w:b/>
          <w:sz w:val="24"/>
          <w:szCs w:val="24"/>
        </w:rPr>
        <w:t>6.开标前答疑会或现场考察</w:t>
      </w:r>
    </w:p>
    <w:p>
      <w:pPr>
        <w:pStyle w:val="10"/>
        <w:pageBreakBefore w:val="0"/>
        <w:kinsoku/>
        <w:wordWrap/>
        <w:overflowPunct/>
        <w:topLinePunct w:val="0"/>
        <w:bidi w:val="0"/>
        <w:spacing w:after="0" w:afterAutospacing="0" w:line="360" w:lineRule="auto"/>
        <w:ind w:firstLine="480" w:firstLineChars="200"/>
        <w:textAlignment w:val="auto"/>
        <w:rPr>
          <w:rFonts w:hAnsi="宋体" w:cs="宋体"/>
          <w:sz w:val="24"/>
          <w:szCs w:val="24"/>
        </w:rPr>
      </w:pPr>
      <w:r>
        <w:rPr>
          <w:rFonts w:hint="eastAsia" w:hAnsi="宋体" w:cs="宋体"/>
          <w:sz w:val="24"/>
          <w:szCs w:val="24"/>
        </w:rPr>
        <w:t>采购人组织潜在供应商现场考察或者召开开标前答疑会的，潜在供应商按第二部分供应商须知前附表的规定参加现场考察或者开标前答疑会。</w:t>
      </w:r>
    </w:p>
    <w:p>
      <w:pPr>
        <w:pStyle w:val="10"/>
        <w:pageBreakBefore w:val="0"/>
        <w:kinsoku/>
        <w:wordWrap/>
        <w:overflowPunct/>
        <w:topLinePunct w:val="0"/>
        <w:bidi w:val="0"/>
        <w:spacing w:after="0" w:afterAutospacing="0" w:line="360" w:lineRule="auto"/>
        <w:textAlignment w:val="auto"/>
        <w:rPr>
          <w:rFonts w:hAnsi="宋体" w:cs="宋体"/>
          <w:b/>
          <w:szCs w:val="24"/>
        </w:rPr>
      </w:pPr>
      <w:r>
        <w:rPr>
          <w:rFonts w:hint="eastAsia" w:hAnsi="宋体" w:cs="宋体"/>
          <w:b/>
          <w:kern w:val="28"/>
          <w:sz w:val="24"/>
          <w:szCs w:val="24"/>
        </w:rPr>
        <w:t>7.响应保证金</w:t>
      </w:r>
    </w:p>
    <w:p>
      <w:pPr>
        <w:pStyle w:val="6"/>
        <w:pageBreakBefore w:val="0"/>
        <w:kinsoku/>
        <w:wordWrap/>
        <w:overflowPunct/>
        <w:topLinePunct w:val="0"/>
        <w:bidi w:val="0"/>
        <w:spacing w:after="0" w:afterAutospacing="0" w:line="360" w:lineRule="auto"/>
        <w:ind w:firstLine="470" w:firstLineChars="196"/>
        <w:textAlignment w:val="auto"/>
        <w:rPr>
          <w:rFonts w:hAnsi="宋体" w:cs="宋体"/>
          <w:color w:val="auto"/>
          <w:sz w:val="24"/>
        </w:rPr>
      </w:pPr>
      <w:r>
        <w:rPr>
          <w:rFonts w:hint="eastAsia" w:hAnsi="宋体" w:cs="宋体"/>
          <w:color w:val="auto"/>
          <w:sz w:val="24"/>
        </w:rPr>
        <w:t>本项目不需缴纳响应保证金。</w:t>
      </w:r>
    </w:p>
    <w:p>
      <w:pPr>
        <w:pStyle w:val="10"/>
        <w:pageBreakBefore w:val="0"/>
        <w:kinsoku/>
        <w:wordWrap/>
        <w:overflowPunct/>
        <w:topLinePunct w:val="0"/>
        <w:bidi w:val="0"/>
        <w:spacing w:after="0" w:afterAutospacing="0" w:line="360" w:lineRule="auto"/>
        <w:textAlignment w:val="auto"/>
        <w:rPr>
          <w:rFonts w:hAnsi="宋体" w:cs="宋体"/>
          <w:b/>
          <w:sz w:val="24"/>
          <w:szCs w:val="24"/>
        </w:rPr>
      </w:pPr>
      <w:r>
        <w:rPr>
          <w:rFonts w:hint="eastAsia" w:hAnsi="宋体" w:cs="宋体"/>
          <w:b/>
          <w:sz w:val="24"/>
          <w:szCs w:val="24"/>
        </w:rPr>
        <w:t>8. 响应文件的语言</w:t>
      </w:r>
    </w:p>
    <w:p>
      <w:pPr>
        <w:pageBreakBefore w:val="0"/>
        <w:kinsoku/>
        <w:wordWrap/>
        <w:overflowPunct/>
        <w:topLinePunct w:val="0"/>
        <w:autoSpaceDE w:val="0"/>
        <w:autoSpaceDN w:val="0"/>
        <w:bidi w:val="0"/>
        <w:spacing w:after="0" w:afterAutospacing="0" w:line="360" w:lineRule="auto"/>
        <w:ind w:firstLine="480" w:firstLineChars="200"/>
        <w:textAlignment w:val="auto"/>
        <w:rPr>
          <w:rFonts w:ascii="宋体" w:hAnsi="宋体" w:cs="宋体"/>
          <w:sz w:val="24"/>
          <w:lang w:val="zh-CN"/>
        </w:rPr>
      </w:pPr>
      <w:r>
        <w:rPr>
          <w:rFonts w:hint="eastAsia" w:ascii="宋体" w:hAnsi="宋体" w:cs="宋体"/>
          <w:sz w:val="24"/>
        </w:rPr>
        <w:t>响应文件及供应商与采购有关的来往通知、函件和文件均应使用中文。</w:t>
      </w:r>
    </w:p>
    <w:p>
      <w:pPr>
        <w:pStyle w:val="10"/>
        <w:pageBreakBefore w:val="0"/>
        <w:kinsoku/>
        <w:wordWrap/>
        <w:overflowPunct/>
        <w:topLinePunct w:val="0"/>
        <w:bidi w:val="0"/>
        <w:spacing w:after="0" w:afterAutospacing="0" w:line="360" w:lineRule="auto"/>
        <w:textAlignment w:val="auto"/>
        <w:rPr>
          <w:rFonts w:hAnsi="宋体" w:cs="宋体"/>
          <w:b/>
          <w:sz w:val="24"/>
          <w:szCs w:val="24"/>
        </w:rPr>
      </w:pPr>
      <w:r>
        <w:rPr>
          <w:rFonts w:hint="eastAsia" w:hAnsi="宋体" w:cs="宋体"/>
          <w:b/>
          <w:sz w:val="24"/>
          <w:szCs w:val="24"/>
        </w:rPr>
        <w:t>9. 响应文件的组成</w:t>
      </w:r>
    </w:p>
    <w:p>
      <w:pPr>
        <w:pageBreakBefore w:val="0"/>
        <w:kinsoku/>
        <w:wordWrap/>
        <w:overflowPunct/>
        <w:topLinePunct w:val="0"/>
        <w:bidi w:val="0"/>
        <w:snapToGrid w:val="0"/>
        <w:spacing w:after="0" w:afterAutospacing="0" w:line="360" w:lineRule="auto"/>
        <w:ind w:firstLine="480" w:firstLineChars="200"/>
        <w:textAlignment w:val="auto"/>
        <w:rPr>
          <w:rFonts w:ascii="宋体" w:hAnsi="宋体" w:cs="宋体"/>
          <w:sz w:val="24"/>
        </w:rPr>
      </w:pPr>
      <w:r>
        <w:rPr>
          <w:rFonts w:hint="eastAsia" w:ascii="宋体" w:hAnsi="宋体" w:cs="宋体"/>
          <w:sz w:val="24"/>
        </w:rPr>
        <w:t>9.1</w:t>
      </w:r>
      <w:r>
        <w:rPr>
          <w:rFonts w:hint="eastAsia" w:ascii="宋体" w:hAnsi="宋体" w:cs="宋体"/>
          <w:b/>
          <w:sz w:val="24"/>
        </w:rPr>
        <w:t>资格文件</w:t>
      </w:r>
      <w:r>
        <w:rPr>
          <w:rFonts w:hint="eastAsia" w:ascii="宋体" w:hAnsi="宋体" w:cs="宋体"/>
          <w:sz w:val="24"/>
        </w:rPr>
        <w:t>：</w:t>
      </w:r>
    </w:p>
    <w:p>
      <w:pPr>
        <w:pageBreakBefore w:val="0"/>
        <w:kinsoku/>
        <w:wordWrap/>
        <w:overflowPunct/>
        <w:topLinePunct w:val="0"/>
        <w:bidi w:val="0"/>
        <w:snapToGrid w:val="0"/>
        <w:spacing w:after="0" w:afterAutospacing="0" w:line="360" w:lineRule="auto"/>
        <w:ind w:firstLine="960" w:firstLineChars="400"/>
        <w:textAlignment w:val="auto"/>
        <w:rPr>
          <w:rFonts w:ascii="宋体" w:hAnsi="宋体" w:cs="宋体"/>
          <w:sz w:val="24"/>
        </w:rPr>
      </w:pPr>
      <w:r>
        <w:rPr>
          <w:rFonts w:hint="eastAsia" w:ascii="宋体" w:hAnsi="宋体" w:cs="宋体"/>
          <w:sz w:val="24"/>
        </w:rPr>
        <w:t>9.1.1符合参加采购活动应当具备的一般条件的承诺函；</w:t>
      </w:r>
    </w:p>
    <w:p>
      <w:pPr>
        <w:pageBreakBefore w:val="0"/>
        <w:kinsoku/>
        <w:wordWrap/>
        <w:overflowPunct/>
        <w:topLinePunct w:val="0"/>
        <w:bidi w:val="0"/>
        <w:snapToGrid w:val="0"/>
        <w:spacing w:after="0" w:afterAutospacing="0" w:line="360" w:lineRule="auto"/>
        <w:ind w:firstLine="960" w:firstLineChars="400"/>
        <w:textAlignment w:val="auto"/>
        <w:rPr>
          <w:rFonts w:ascii="宋体" w:hAnsi="宋体" w:cs="宋体"/>
          <w:sz w:val="24"/>
        </w:rPr>
      </w:pPr>
      <w:r>
        <w:rPr>
          <w:rFonts w:hint="eastAsia" w:ascii="宋体" w:hAnsi="宋体" w:cs="宋体"/>
          <w:sz w:val="24"/>
        </w:rPr>
        <w:t>9</w:t>
      </w:r>
      <w:r>
        <w:rPr>
          <w:rFonts w:ascii="宋体" w:hAnsi="宋体" w:cs="宋体"/>
          <w:sz w:val="24"/>
        </w:rPr>
        <w:t>.1.2</w:t>
      </w:r>
      <w:r>
        <w:rPr>
          <w:rFonts w:hint="eastAsia" w:ascii="宋体" w:hAnsi="宋体" w:cs="宋体"/>
          <w:snapToGrid w:val="0"/>
          <w:kern w:val="28"/>
          <w:sz w:val="24"/>
          <w:szCs w:val="20"/>
        </w:rPr>
        <w:t>联合协议（如果有)；</w:t>
      </w:r>
    </w:p>
    <w:p>
      <w:pPr>
        <w:pageBreakBefore w:val="0"/>
        <w:kinsoku/>
        <w:wordWrap/>
        <w:overflowPunct/>
        <w:topLinePunct w:val="0"/>
        <w:bidi w:val="0"/>
        <w:snapToGrid w:val="0"/>
        <w:spacing w:after="0" w:afterAutospacing="0" w:line="360" w:lineRule="auto"/>
        <w:ind w:firstLine="960" w:firstLineChars="400"/>
        <w:textAlignment w:val="auto"/>
        <w:rPr>
          <w:rFonts w:ascii="宋体" w:hAnsi="宋体" w:cs="宋体"/>
          <w:sz w:val="24"/>
        </w:rPr>
      </w:pPr>
      <w:r>
        <w:rPr>
          <w:rFonts w:hint="eastAsia" w:ascii="宋体" w:hAnsi="宋体" w:cs="宋体"/>
          <w:sz w:val="24"/>
        </w:rPr>
        <w:t>9.1.3本项目的特定资格要求</w:t>
      </w:r>
      <w:r>
        <w:rPr>
          <w:rFonts w:hint="eastAsia" w:ascii="宋体" w:hAnsi="宋体" w:cs="宋体"/>
          <w:snapToGrid w:val="0"/>
          <w:kern w:val="28"/>
          <w:sz w:val="24"/>
          <w:szCs w:val="20"/>
        </w:rPr>
        <w:t>（如果有)</w:t>
      </w:r>
      <w:r>
        <w:rPr>
          <w:rFonts w:hint="eastAsia" w:ascii="宋体" w:hAnsi="宋体" w:cs="宋体"/>
          <w:sz w:val="24"/>
        </w:rPr>
        <w:t>。</w:t>
      </w:r>
    </w:p>
    <w:p>
      <w:pPr>
        <w:pageBreakBefore w:val="0"/>
        <w:kinsoku/>
        <w:wordWrap/>
        <w:overflowPunct/>
        <w:topLinePunct w:val="0"/>
        <w:bidi w:val="0"/>
        <w:snapToGrid w:val="0"/>
        <w:spacing w:after="0" w:afterAutospacing="0" w:line="360" w:lineRule="auto"/>
        <w:ind w:firstLine="480" w:firstLineChars="200"/>
        <w:textAlignment w:val="auto"/>
        <w:rPr>
          <w:rFonts w:ascii="宋体" w:hAnsi="宋体" w:cs="宋体"/>
          <w:sz w:val="24"/>
          <w:lang w:val="zh-CN"/>
        </w:rPr>
      </w:pPr>
      <w:r>
        <w:rPr>
          <w:rFonts w:hint="eastAsia" w:ascii="宋体" w:hAnsi="宋体" w:cs="宋体"/>
          <w:sz w:val="24"/>
        </w:rPr>
        <w:t>9</w:t>
      </w:r>
      <w:r>
        <w:rPr>
          <w:rFonts w:hint="eastAsia" w:ascii="宋体" w:hAnsi="宋体" w:cs="宋体"/>
          <w:sz w:val="24"/>
          <w:lang w:val="zh-CN"/>
        </w:rPr>
        <w:t>.</w:t>
      </w:r>
      <w:r>
        <w:rPr>
          <w:rFonts w:hint="eastAsia" w:ascii="宋体" w:hAnsi="宋体" w:cs="宋体"/>
          <w:sz w:val="24"/>
        </w:rPr>
        <w:t>2</w:t>
      </w:r>
      <w:r>
        <w:rPr>
          <w:rFonts w:hint="eastAsia" w:ascii="宋体" w:hAnsi="宋体" w:cs="宋体"/>
          <w:b/>
          <w:sz w:val="24"/>
        </w:rPr>
        <w:t>商务技术</w:t>
      </w:r>
      <w:r>
        <w:rPr>
          <w:rFonts w:hint="eastAsia" w:ascii="宋体" w:hAnsi="宋体" w:cs="宋体"/>
          <w:b/>
          <w:sz w:val="24"/>
          <w:lang w:val="zh-CN"/>
        </w:rPr>
        <w:t>文件：</w:t>
      </w:r>
    </w:p>
    <w:p>
      <w:pPr>
        <w:pageBreakBefore w:val="0"/>
        <w:kinsoku/>
        <w:wordWrap/>
        <w:overflowPunct/>
        <w:topLinePunct w:val="0"/>
        <w:bidi w:val="0"/>
        <w:snapToGrid w:val="0"/>
        <w:spacing w:after="0" w:afterAutospacing="0" w:line="360" w:lineRule="auto"/>
        <w:ind w:firstLine="960" w:firstLineChars="400"/>
        <w:textAlignment w:val="auto"/>
        <w:rPr>
          <w:rFonts w:ascii="宋体" w:hAnsi="宋体" w:cs="宋体"/>
          <w:sz w:val="24"/>
        </w:rPr>
      </w:pPr>
      <w:r>
        <w:rPr>
          <w:rFonts w:hint="eastAsia" w:ascii="宋体" w:hAnsi="宋体" w:cs="宋体"/>
          <w:sz w:val="24"/>
        </w:rPr>
        <w:t>9.2.1响应函；</w:t>
      </w:r>
      <w:r>
        <w:rPr>
          <w:rFonts w:hint="eastAsia" w:ascii="宋体" w:hAnsi="宋体" w:cs="宋体"/>
          <w:sz w:val="24"/>
          <w:lang w:val="zh-CN"/>
        </w:rPr>
        <w:t xml:space="preserve"> </w:t>
      </w:r>
    </w:p>
    <w:p>
      <w:pPr>
        <w:pageBreakBefore w:val="0"/>
        <w:kinsoku/>
        <w:wordWrap/>
        <w:overflowPunct/>
        <w:topLinePunct w:val="0"/>
        <w:bidi w:val="0"/>
        <w:snapToGrid w:val="0"/>
        <w:spacing w:after="0" w:afterAutospacing="0" w:line="360" w:lineRule="auto"/>
        <w:ind w:firstLine="960" w:firstLineChars="400"/>
        <w:textAlignment w:val="auto"/>
        <w:rPr>
          <w:rFonts w:ascii="宋体" w:hAnsi="宋体" w:cs="宋体"/>
          <w:sz w:val="24"/>
        </w:rPr>
      </w:pPr>
      <w:r>
        <w:rPr>
          <w:rFonts w:hint="eastAsia" w:ascii="宋体" w:hAnsi="宋体" w:cs="宋体"/>
          <w:sz w:val="24"/>
        </w:rPr>
        <w:t>9.2.2授权委托书或法定代表人（单位负责人）身份证明；</w:t>
      </w:r>
    </w:p>
    <w:p>
      <w:pPr>
        <w:pageBreakBefore w:val="0"/>
        <w:kinsoku/>
        <w:wordWrap/>
        <w:overflowPunct/>
        <w:topLinePunct w:val="0"/>
        <w:bidi w:val="0"/>
        <w:snapToGrid w:val="0"/>
        <w:spacing w:after="0" w:afterAutospacing="0" w:line="360" w:lineRule="auto"/>
        <w:ind w:firstLine="960" w:firstLineChars="400"/>
        <w:textAlignment w:val="auto"/>
        <w:rPr>
          <w:rFonts w:ascii="宋体" w:hAnsi="宋体" w:cs="宋体"/>
          <w:sz w:val="24"/>
        </w:rPr>
      </w:pPr>
      <w:r>
        <w:rPr>
          <w:rFonts w:hint="eastAsia" w:ascii="宋体" w:hAnsi="宋体" w:cs="宋体"/>
          <w:sz w:val="24"/>
        </w:rPr>
        <w:t>9.2.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pPr>
        <w:pageBreakBefore w:val="0"/>
        <w:kinsoku/>
        <w:wordWrap/>
        <w:overflowPunct/>
        <w:topLinePunct w:val="0"/>
        <w:bidi w:val="0"/>
        <w:snapToGrid w:val="0"/>
        <w:spacing w:after="0" w:afterAutospacing="0" w:line="360" w:lineRule="auto"/>
        <w:ind w:firstLine="960" w:firstLineChars="400"/>
        <w:textAlignment w:val="auto"/>
        <w:rPr>
          <w:rFonts w:ascii="宋体" w:hAnsi="宋体" w:cs="宋体"/>
          <w:sz w:val="24"/>
        </w:rPr>
      </w:pPr>
      <w:r>
        <w:rPr>
          <w:rFonts w:hint="eastAsia" w:ascii="宋体" w:hAnsi="宋体" w:cs="宋体"/>
          <w:sz w:val="24"/>
        </w:rPr>
        <w:t>9.2.</w:t>
      </w:r>
      <w:r>
        <w:rPr>
          <w:rFonts w:ascii="宋体" w:hAnsi="宋体" w:cs="宋体"/>
          <w:sz w:val="24"/>
        </w:rPr>
        <w:t>4</w:t>
      </w:r>
      <w:r>
        <w:rPr>
          <w:rFonts w:hint="eastAsia" w:ascii="宋体" w:hAnsi="宋体" w:cs="宋体"/>
          <w:sz w:val="24"/>
        </w:rPr>
        <w:t>符合性审查资料；</w:t>
      </w:r>
    </w:p>
    <w:p>
      <w:pPr>
        <w:pageBreakBefore w:val="0"/>
        <w:kinsoku/>
        <w:wordWrap/>
        <w:overflowPunct/>
        <w:topLinePunct w:val="0"/>
        <w:bidi w:val="0"/>
        <w:snapToGrid w:val="0"/>
        <w:spacing w:after="0" w:afterAutospacing="0" w:line="360" w:lineRule="auto"/>
        <w:ind w:left="420" w:leftChars="200" w:firstLine="480" w:firstLineChars="200"/>
        <w:textAlignment w:val="auto"/>
        <w:rPr>
          <w:rFonts w:ascii="宋体" w:hAnsi="宋体" w:cs="宋体"/>
          <w:sz w:val="24"/>
        </w:rPr>
      </w:pPr>
      <w:r>
        <w:rPr>
          <w:rFonts w:hint="eastAsia" w:ascii="宋体" w:hAnsi="宋体" w:cs="宋体"/>
          <w:sz w:val="24"/>
        </w:rPr>
        <w:t>9.2.</w:t>
      </w:r>
      <w:r>
        <w:rPr>
          <w:rFonts w:ascii="宋体" w:hAnsi="宋体" w:cs="宋体"/>
          <w:sz w:val="24"/>
        </w:rPr>
        <w:t>5</w:t>
      </w:r>
      <w:r>
        <w:rPr>
          <w:rFonts w:hint="eastAsia" w:ascii="宋体" w:hAnsi="宋体" w:cs="宋体"/>
          <w:sz w:val="24"/>
        </w:rPr>
        <w:t>评审标准相应的商务技术资料；</w:t>
      </w:r>
    </w:p>
    <w:p>
      <w:pPr>
        <w:pageBreakBefore w:val="0"/>
        <w:kinsoku/>
        <w:wordWrap/>
        <w:overflowPunct/>
        <w:topLinePunct w:val="0"/>
        <w:bidi w:val="0"/>
        <w:snapToGrid w:val="0"/>
        <w:spacing w:after="0" w:afterAutospacing="0" w:line="360" w:lineRule="auto"/>
        <w:ind w:left="420" w:leftChars="200" w:firstLine="480" w:firstLineChars="200"/>
        <w:textAlignment w:val="auto"/>
        <w:rPr>
          <w:rFonts w:ascii="宋体" w:hAnsi="宋体" w:cs="宋体"/>
          <w:sz w:val="24"/>
        </w:rPr>
      </w:pPr>
      <w:r>
        <w:rPr>
          <w:rFonts w:hint="eastAsia" w:ascii="宋体" w:hAnsi="宋体" w:cs="宋体"/>
          <w:sz w:val="24"/>
        </w:rPr>
        <w:t>9.2.</w:t>
      </w:r>
      <w:r>
        <w:rPr>
          <w:rFonts w:ascii="宋体" w:hAnsi="宋体" w:cs="宋体"/>
          <w:sz w:val="24"/>
        </w:rPr>
        <w:t>6</w:t>
      </w:r>
      <w:r>
        <w:rPr>
          <w:rFonts w:hint="eastAsia" w:ascii="宋体" w:hAnsi="宋体" w:cs="宋体"/>
          <w:sz w:val="24"/>
        </w:rPr>
        <w:t>响应标的清单；</w:t>
      </w:r>
    </w:p>
    <w:p>
      <w:pPr>
        <w:pageBreakBefore w:val="0"/>
        <w:kinsoku/>
        <w:wordWrap/>
        <w:overflowPunct/>
        <w:topLinePunct w:val="0"/>
        <w:bidi w:val="0"/>
        <w:snapToGrid w:val="0"/>
        <w:spacing w:after="0" w:afterAutospacing="0" w:line="360" w:lineRule="auto"/>
        <w:ind w:firstLine="960" w:firstLineChars="400"/>
        <w:textAlignment w:val="auto"/>
        <w:rPr>
          <w:rFonts w:ascii="宋体" w:hAnsi="宋体" w:cs="宋体"/>
          <w:sz w:val="24"/>
        </w:rPr>
      </w:pPr>
      <w:r>
        <w:rPr>
          <w:rFonts w:hint="eastAsia" w:ascii="宋体" w:hAnsi="宋体" w:cs="宋体"/>
          <w:sz w:val="24"/>
        </w:rPr>
        <w:t>9.2.</w:t>
      </w:r>
      <w:r>
        <w:rPr>
          <w:rFonts w:ascii="宋体" w:hAnsi="宋体" w:cs="宋体"/>
          <w:sz w:val="24"/>
        </w:rPr>
        <w:t>7</w:t>
      </w:r>
      <w:r>
        <w:rPr>
          <w:rFonts w:hint="eastAsia" w:ascii="宋体" w:hAnsi="宋体" w:cs="宋体"/>
          <w:sz w:val="24"/>
        </w:rPr>
        <w:t>商务技术偏离表；</w:t>
      </w:r>
    </w:p>
    <w:p>
      <w:pPr>
        <w:pageBreakBefore w:val="0"/>
        <w:kinsoku/>
        <w:wordWrap/>
        <w:overflowPunct/>
        <w:topLinePunct w:val="0"/>
        <w:bidi w:val="0"/>
        <w:snapToGrid w:val="0"/>
        <w:spacing w:after="0" w:afterAutospacing="0" w:line="360" w:lineRule="auto"/>
        <w:ind w:firstLine="960" w:firstLineChars="400"/>
        <w:textAlignment w:val="auto"/>
        <w:rPr>
          <w:rFonts w:ascii="宋体" w:hAnsi="宋体" w:cs="宋体"/>
          <w:sz w:val="24"/>
          <w:lang w:val="zh-CN"/>
        </w:rPr>
      </w:pPr>
      <w:r>
        <w:rPr>
          <w:rFonts w:hint="eastAsia" w:ascii="宋体" w:hAnsi="宋体" w:cs="宋体"/>
          <w:sz w:val="24"/>
        </w:rPr>
        <w:t>9</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采购供应商廉洁自律承诺书；</w:t>
      </w:r>
    </w:p>
    <w:p>
      <w:pPr>
        <w:pageBreakBefore w:val="0"/>
        <w:kinsoku/>
        <w:wordWrap/>
        <w:overflowPunct/>
        <w:topLinePunct w:val="0"/>
        <w:bidi w:val="0"/>
        <w:snapToGrid w:val="0"/>
        <w:spacing w:after="0" w:afterAutospacing="0" w:line="360" w:lineRule="auto"/>
        <w:ind w:firstLine="480" w:firstLineChars="200"/>
        <w:textAlignment w:val="auto"/>
        <w:rPr>
          <w:rFonts w:ascii="宋体" w:hAnsi="宋体" w:cs="宋体"/>
          <w:sz w:val="24"/>
          <w:u w:val="single"/>
          <w:lang w:val="zh-CN"/>
        </w:rPr>
      </w:pPr>
      <w:r>
        <w:rPr>
          <w:rFonts w:hint="eastAsia" w:ascii="宋体" w:hAnsi="宋体" w:cs="宋体"/>
          <w:kern w:val="0"/>
          <w:sz w:val="24"/>
        </w:rPr>
        <w:t>9</w:t>
      </w:r>
      <w:r>
        <w:rPr>
          <w:rFonts w:hint="eastAsia" w:ascii="宋体" w:hAnsi="宋体" w:cs="宋体"/>
          <w:kern w:val="0"/>
          <w:sz w:val="24"/>
          <w:lang w:val="zh-CN"/>
        </w:rPr>
        <w:t>.</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pPr>
        <w:pageBreakBefore w:val="0"/>
        <w:kinsoku/>
        <w:wordWrap/>
        <w:overflowPunct/>
        <w:topLinePunct w:val="0"/>
        <w:bidi w:val="0"/>
        <w:snapToGrid w:val="0"/>
        <w:spacing w:after="0" w:afterAutospacing="0" w:line="360" w:lineRule="auto"/>
        <w:ind w:firstLine="960" w:firstLineChars="400"/>
        <w:textAlignment w:val="auto"/>
        <w:rPr>
          <w:rFonts w:ascii="宋体" w:hAnsi="宋体" w:cs="宋体"/>
          <w:sz w:val="24"/>
        </w:rPr>
      </w:pPr>
      <w:r>
        <w:rPr>
          <w:rFonts w:hint="eastAsia" w:ascii="宋体" w:hAnsi="宋体" w:cs="宋体"/>
          <w:sz w:val="24"/>
        </w:rPr>
        <w:t>9.3.1开标一览表（报价表）；</w:t>
      </w:r>
    </w:p>
    <w:p>
      <w:pPr>
        <w:pStyle w:val="4"/>
        <w:pageBreakBefore w:val="0"/>
        <w:kinsoku/>
        <w:wordWrap/>
        <w:overflowPunct/>
        <w:topLinePunct w:val="0"/>
        <w:bidi w:val="0"/>
        <w:adjustRightInd w:val="0"/>
        <w:spacing w:after="0" w:afterAutospacing="0"/>
        <w:ind w:left="0" w:firstLine="960" w:firstLineChars="400"/>
        <w:textAlignment w:val="auto"/>
      </w:pPr>
      <w:r>
        <w:rPr>
          <w:rFonts w:hint="eastAsia" w:ascii="宋体" w:hAnsi="宋体" w:eastAsia="宋体" w:cs="宋体"/>
          <w:b w:val="0"/>
          <w:bCs w:val="0"/>
          <w:sz w:val="24"/>
          <w:szCs w:val="24"/>
          <w:lang w:val="en-US"/>
        </w:rPr>
        <w:t>9.3.2 报价情况说明（如供应商报价低于最高限价）50%的，应当提交本文档，详细阐述不影响产品质量或者诚信履约的具体原因）；</w:t>
      </w:r>
    </w:p>
    <w:p>
      <w:pPr>
        <w:pageBreakBefore w:val="0"/>
        <w:kinsoku/>
        <w:wordWrap/>
        <w:overflowPunct/>
        <w:topLinePunct w:val="0"/>
        <w:bidi w:val="0"/>
        <w:spacing w:after="0" w:afterAutospacing="0" w:line="360" w:lineRule="auto"/>
        <w:ind w:firstLine="723" w:firstLineChars="300"/>
        <w:textAlignment w:val="auto"/>
        <w:rPr>
          <w:rFonts w:ascii="宋体" w:hAnsi="宋体" w:cs="宋体"/>
          <w:b/>
          <w:sz w:val="24"/>
        </w:rPr>
      </w:pPr>
      <w:r>
        <w:rPr>
          <w:rFonts w:hint="eastAsia" w:ascii="宋体" w:hAnsi="宋体" w:cs="宋体"/>
          <w:b/>
          <w:sz w:val="24"/>
        </w:rPr>
        <w:t>响应文件含有采购人不能接受的附加条件的，响应无效；</w:t>
      </w:r>
    </w:p>
    <w:p>
      <w:pPr>
        <w:pageBreakBefore w:val="0"/>
        <w:kinsoku/>
        <w:wordWrap/>
        <w:overflowPunct/>
        <w:topLinePunct w:val="0"/>
        <w:bidi w:val="0"/>
        <w:spacing w:after="0" w:afterAutospacing="0" w:line="360" w:lineRule="auto"/>
        <w:ind w:firstLine="723" w:firstLineChars="300"/>
        <w:textAlignment w:val="auto"/>
        <w:rPr>
          <w:rFonts w:ascii="宋体" w:hAnsi="宋体" w:cs="宋体"/>
          <w:b/>
          <w:sz w:val="24"/>
        </w:rPr>
      </w:pPr>
      <w:r>
        <w:rPr>
          <w:rFonts w:hint="eastAsia" w:ascii="宋体" w:hAnsi="宋体" w:cs="宋体"/>
          <w:b/>
          <w:sz w:val="24"/>
        </w:rPr>
        <w:t>供应商提供虚假材料响应的，响应无效。</w:t>
      </w:r>
    </w:p>
    <w:p>
      <w:pPr>
        <w:pageBreakBefore w:val="0"/>
        <w:kinsoku/>
        <w:wordWrap/>
        <w:overflowPunct/>
        <w:topLinePunct w:val="0"/>
        <w:bidi w:val="0"/>
        <w:spacing w:after="0" w:afterAutospacing="0" w:line="360" w:lineRule="auto"/>
        <w:ind w:firstLine="720" w:firstLineChars="300"/>
        <w:textAlignment w:val="auto"/>
      </w:pPr>
      <w:r>
        <w:rPr>
          <w:rFonts w:hint="eastAsia"/>
          <w:sz w:val="24"/>
          <w:shd w:val="clear" w:color="auto" w:fill="FFFFFF"/>
        </w:rPr>
        <w:t>供应商应对响应文件中材料的真实性、合法性负责。</w:t>
      </w:r>
    </w:p>
    <w:p>
      <w:pPr>
        <w:pStyle w:val="31"/>
        <w:pageBreakBefore w:val="0"/>
        <w:kinsoku/>
        <w:wordWrap/>
        <w:overflowPunct/>
        <w:topLinePunct w:val="0"/>
        <w:bidi w:val="0"/>
        <w:snapToGrid w:val="0"/>
        <w:spacing w:before="0" w:after="0" w:afterAutospacing="0"/>
        <w:ind w:firstLine="0" w:firstLineChars="0"/>
        <w:textAlignment w:val="auto"/>
        <w:outlineLvl w:val="0"/>
        <w:rPr>
          <w:rFonts w:ascii="宋体" w:hAnsi="宋体" w:cs="宋体"/>
          <w:b/>
          <w:szCs w:val="24"/>
        </w:rPr>
      </w:pPr>
      <w:r>
        <w:rPr>
          <w:rFonts w:hint="eastAsia" w:ascii="宋体" w:hAnsi="宋体" w:cs="宋体"/>
          <w:b/>
          <w:szCs w:val="24"/>
        </w:rPr>
        <w:t>10</w:t>
      </w:r>
      <w:r>
        <w:rPr>
          <w:rFonts w:hint="eastAsia" w:ascii="宋体" w:hAnsi="宋体" w:cs="宋体"/>
          <w:b/>
          <w:kern w:val="0"/>
          <w:szCs w:val="24"/>
          <w:lang w:val="zh-CN"/>
        </w:rPr>
        <w:t xml:space="preserve">. </w:t>
      </w:r>
      <w:r>
        <w:rPr>
          <w:rFonts w:hint="eastAsia" w:ascii="宋体" w:hAnsi="宋体" w:cs="宋体"/>
          <w:b/>
          <w:szCs w:val="24"/>
        </w:rPr>
        <w:t>响应文件的编制</w:t>
      </w:r>
    </w:p>
    <w:p>
      <w:pPr>
        <w:pageBreakBefore w:val="0"/>
        <w:kinsoku/>
        <w:wordWrap/>
        <w:overflowPunct/>
        <w:topLinePunct w:val="0"/>
        <w:bidi w:val="0"/>
        <w:spacing w:after="0" w:afterAutospacing="0" w:line="360" w:lineRule="auto"/>
        <w:ind w:firstLine="480" w:firstLineChars="200"/>
        <w:textAlignment w:val="auto"/>
        <w:rPr>
          <w:rFonts w:ascii="宋体" w:hAnsi="宋体" w:cs="宋体"/>
          <w:b/>
          <w:sz w:val="24"/>
        </w:rPr>
      </w:pPr>
      <w:r>
        <w:rPr>
          <w:rFonts w:hint="eastAsia" w:ascii="宋体" w:hAnsi="宋体" w:cs="宋体"/>
          <w:kern w:val="0"/>
          <w:sz w:val="24"/>
          <w:lang w:val="zh-CN"/>
        </w:rPr>
        <w:t>1</w:t>
      </w:r>
      <w:r>
        <w:rPr>
          <w:rFonts w:hint="eastAsia" w:ascii="宋体" w:hAnsi="宋体" w:cs="宋体"/>
          <w:kern w:val="0"/>
          <w:sz w:val="24"/>
        </w:rPr>
        <w:t>0</w:t>
      </w:r>
      <w:r>
        <w:rPr>
          <w:rFonts w:hint="eastAsia" w:ascii="宋体" w:hAnsi="宋体" w:cs="宋体"/>
          <w:kern w:val="0"/>
          <w:sz w:val="24"/>
          <w:lang w:val="zh-CN"/>
        </w:rPr>
        <w:t>.1响应文件分为资格文件、商务技术文件、报价文件三部分。各供应商在编制响应文件时请按照采购文件第六</w:t>
      </w:r>
      <w:r>
        <w:rPr>
          <w:rFonts w:hint="eastAsia" w:ascii="宋体" w:hAnsi="宋体" w:cs="宋体"/>
          <w:kern w:val="0"/>
          <w:sz w:val="24"/>
        </w:rPr>
        <w:t>章</w:t>
      </w:r>
      <w:r>
        <w:rPr>
          <w:rFonts w:hint="eastAsia" w:ascii="宋体" w:hAnsi="宋体" w:cs="宋体"/>
          <w:kern w:val="0"/>
          <w:sz w:val="24"/>
          <w:lang w:val="zh-CN"/>
        </w:rPr>
        <w:t>规定的格式进行，混乱的编排导致响应文件被误读或评审小组查找不到有效文件是供应商的风险。</w:t>
      </w:r>
    </w:p>
    <w:p>
      <w:pPr>
        <w:pageBreakBefore w:val="0"/>
        <w:kinsoku/>
        <w:wordWrap/>
        <w:overflowPunct/>
        <w:topLinePunct w:val="0"/>
        <w:bidi w:val="0"/>
        <w:spacing w:after="0" w:afterAutospacing="0" w:line="360" w:lineRule="auto"/>
        <w:ind w:firstLine="480" w:firstLineChars="200"/>
        <w:textAlignment w:val="auto"/>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0</w:t>
      </w:r>
      <w:r>
        <w:rPr>
          <w:rFonts w:hint="eastAsia" w:ascii="宋体" w:hAnsi="宋体" w:cs="宋体"/>
          <w:kern w:val="0"/>
          <w:sz w:val="24"/>
          <w:lang w:val="zh-CN"/>
        </w:rPr>
        <w:t>.2供应商进行电子响应应安装客户端软件—“乐采云电子交易客户端”，并按照采购文件和电子交易平台的要求编制并加密响应文件。供应商未按规定加密的响应文件，电子交易平台将拒收并提示。</w:t>
      </w:r>
    </w:p>
    <w:p>
      <w:pPr>
        <w:pageBreakBefore w:val="0"/>
        <w:kinsoku/>
        <w:wordWrap/>
        <w:overflowPunct/>
        <w:topLinePunct w:val="0"/>
        <w:bidi w:val="0"/>
        <w:spacing w:after="0" w:afterAutospacing="0" w:line="360" w:lineRule="auto"/>
        <w:ind w:firstLine="480" w:firstLineChars="200"/>
        <w:textAlignment w:val="auto"/>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0</w:t>
      </w:r>
      <w:r>
        <w:rPr>
          <w:rFonts w:hint="eastAsia" w:ascii="宋体" w:hAnsi="宋体" w:cs="宋体"/>
          <w:kern w:val="0"/>
          <w:sz w:val="24"/>
          <w:lang w:val="zh-CN"/>
        </w:rPr>
        <w:t>.3使用“乐采云电子交易客户端”需要提前申领CA数字证书，申领CA数字证书---申领流程详见“乐采云平台-帮助文档-申请CA证书（https://lecaiyun.com/helpcenter/document#/document/detail?siteCode=lecaiyun&amp;topicId=12851&amp;manualId=2185）”。</w:t>
      </w:r>
    </w:p>
    <w:p>
      <w:pPr>
        <w:pStyle w:val="31"/>
        <w:pageBreakBefore w:val="0"/>
        <w:kinsoku/>
        <w:wordWrap/>
        <w:overflowPunct/>
        <w:topLinePunct w:val="0"/>
        <w:bidi w:val="0"/>
        <w:spacing w:before="0" w:after="0" w:afterAutospacing="0"/>
        <w:ind w:firstLine="0" w:firstLineChars="0"/>
        <w:textAlignment w:val="auto"/>
        <w:rPr>
          <w:rFonts w:ascii="宋体" w:hAnsi="宋体" w:cs="宋体"/>
          <w:b/>
          <w:szCs w:val="24"/>
        </w:rPr>
      </w:pPr>
      <w:r>
        <w:rPr>
          <w:rFonts w:hint="eastAsia" w:ascii="宋体" w:hAnsi="宋体" w:cs="宋体"/>
          <w:b/>
          <w:szCs w:val="24"/>
        </w:rPr>
        <w:t>11.响应文件的签署、盖章</w:t>
      </w:r>
    </w:p>
    <w:p>
      <w:pPr>
        <w:pStyle w:val="31"/>
        <w:pageBreakBefore w:val="0"/>
        <w:kinsoku/>
        <w:wordWrap/>
        <w:overflowPunct/>
        <w:topLinePunct w:val="0"/>
        <w:bidi w:val="0"/>
        <w:snapToGrid w:val="0"/>
        <w:spacing w:before="0" w:after="0" w:afterAutospacing="0"/>
        <w:ind w:firstLine="480"/>
        <w:textAlignment w:val="auto"/>
        <w:rPr>
          <w:rFonts w:ascii="宋体" w:hAnsi="宋体" w:cs="宋体"/>
          <w:b/>
        </w:rPr>
      </w:pPr>
      <w:r>
        <w:rPr>
          <w:rFonts w:hint="eastAsia" w:ascii="宋体" w:hAnsi="宋体" w:cs="宋体"/>
          <w:szCs w:val="24"/>
        </w:rPr>
        <w:t>11.1响应文件按照采购文件第六部分格式要</w:t>
      </w:r>
      <w:r>
        <w:rPr>
          <w:rFonts w:hint="eastAsia" w:ascii="宋体" w:hAnsi="宋体" w:cs="宋体"/>
        </w:rPr>
        <w:t>求进行签署、盖章。</w:t>
      </w:r>
      <w:r>
        <w:rPr>
          <w:rFonts w:hint="eastAsia" w:ascii="宋体" w:hAnsi="宋体" w:cs="宋体"/>
          <w:b/>
        </w:rPr>
        <w:t>▲供应商的响应文件未按照采购文件要求签署、盖章的，其响应无效</w:t>
      </w:r>
      <w:r>
        <w:rPr>
          <w:rFonts w:hint="eastAsia" w:ascii="宋体" w:hAnsi="宋体" w:cs="宋体"/>
          <w:szCs w:val="24"/>
        </w:rPr>
        <w:t>。</w:t>
      </w:r>
    </w:p>
    <w:p>
      <w:pPr>
        <w:pStyle w:val="31"/>
        <w:pageBreakBefore w:val="0"/>
        <w:kinsoku/>
        <w:wordWrap/>
        <w:overflowPunct/>
        <w:topLinePunct w:val="0"/>
        <w:bidi w:val="0"/>
        <w:snapToGrid w:val="0"/>
        <w:spacing w:before="0" w:after="0" w:afterAutospacing="0"/>
        <w:ind w:firstLine="480"/>
        <w:textAlignment w:val="auto"/>
        <w:rPr>
          <w:rFonts w:ascii="宋体" w:hAnsi="宋体" w:cs="宋体"/>
        </w:rPr>
      </w:pPr>
      <w:r>
        <w:rPr>
          <w:rFonts w:hint="eastAsia" w:ascii="宋体" w:hAnsi="宋体" w:cs="宋体"/>
        </w:rPr>
        <w:t>11.2为确保网上操作合法、有效和安全，供应商应当在响应截止时间前完成在“乐采云平台”完成电子CA绑定，确保在电子响应过程中能够对相关数据电文进行加密和使用电子签名。</w:t>
      </w:r>
    </w:p>
    <w:p>
      <w:pPr>
        <w:pStyle w:val="31"/>
        <w:pageBreakBefore w:val="0"/>
        <w:kinsoku/>
        <w:wordWrap/>
        <w:overflowPunct/>
        <w:topLinePunct w:val="0"/>
        <w:bidi w:val="0"/>
        <w:snapToGrid w:val="0"/>
        <w:spacing w:before="0" w:after="0" w:afterAutospacing="0"/>
        <w:ind w:firstLine="480"/>
        <w:textAlignment w:val="auto"/>
        <w:rPr>
          <w:rFonts w:ascii="宋体" w:hAnsi="宋体" w:cs="宋体"/>
          <w:szCs w:val="24"/>
        </w:rPr>
      </w:pPr>
      <w:r>
        <w:rPr>
          <w:rFonts w:hint="eastAsia" w:ascii="宋体" w:hAnsi="宋体" w:cs="宋体"/>
        </w:rPr>
        <w:t>11.3采购文件对响应文件签署、盖章的要求适用于电子签名。</w:t>
      </w:r>
    </w:p>
    <w:p>
      <w:pPr>
        <w:pStyle w:val="31"/>
        <w:pageBreakBefore w:val="0"/>
        <w:kinsoku/>
        <w:wordWrap/>
        <w:overflowPunct/>
        <w:topLinePunct w:val="0"/>
        <w:bidi w:val="0"/>
        <w:spacing w:before="0" w:after="0" w:afterAutospacing="0"/>
        <w:ind w:firstLine="0" w:firstLineChars="0"/>
        <w:textAlignment w:val="auto"/>
        <w:rPr>
          <w:rFonts w:ascii="宋体" w:hAnsi="宋体" w:cs="宋体"/>
          <w:b/>
          <w:szCs w:val="24"/>
        </w:rPr>
      </w:pPr>
      <w:r>
        <w:rPr>
          <w:rFonts w:hint="eastAsia" w:ascii="宋体" w:hAnsi="宋体" w:cs="宋体"/>
          <w:b/>
          <w:szCs w:val="24"/>
        </w:rPr>
        <w:t>12. 响应文件的提交、补充、修改、撤回</w:t>
      </w:r>
    </w:p>
    <w:p>
      <w:pPr>
        <w:pStyle w:val="31"/>
        <w:pageBreakBefore w:val="0"/>
        <w:kinsoku/>
        <w:wordWrap/>
        <w:overflowPunct/>
        <w:topLinePunct w:val="0"/>
        <w:bidi w:val="0"/>
        <w:spacing w:after="0" w:afterAutospacing="0"/>
        <w:ind w:firstLine="480"/>
        <w:textAlignment w:val="auto"/>
        <w:rPr>
          <w:rFonts w:ascii="宋体" w:hAnsi="宋体" w:cs="宋体"/>
          <w:szCs w:val="24"/>
        </w:rPr>
      </w:pPr>
      <w:r>
        <w:rPr>
          <w:rFonts w:hint="eastAsia" w:ascii="宋体" w:hAnsi="宋体" w:cs="宋体"/>
          <w:szCs w:val="24"/>
        </w:rPr>
        <w:t>12.1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将拒收。</w:t>
      </w:r>
    </w:p>
    <w:p>
      <w:pPr>
        <w:pStyle w:val="31"/>
        <w:pageBreakBefore w:val="0"/>
        <w:kinsoku/>
        <w:wordWrap/>
        <w:overflowPunct/>
        <w:topLinePunct w:val="0"/>
        <w:bidi w:val="0"/>
        <w:spacing w:before="0" w:after="0" w:afterAutospacing="0"/>
        <w:ind w:firstLine="480"/>
        <w:textAlignment w:val="auto"/>
        <w:rPr>
          <w:rFonts w:ascii="宋体" w:hAnsi="宋体" w:cs="宋体"/>
          <w:szCs w:val="24"/>
        </w:rPr>
      </w:pPr>
      <w:r>
        <w:rPr>
          <w:rFonts w:hint="eastAsia" w:ascii="宋体" w:hAnsi="宋体" w:cs="宋体"/>
          <w:szCs w:val="24"/>
        </w:rPr>
        <w:t>12.2电子交易平台收到响应文件，将妥善保存并即时向供应商发出确认回执通知。在响应截止时间前，除供应商补充、修改或者撤回响应文件外，任何单位和个人不得解密或提取响应文件。</w:t>
      </w:r>
    </w:p>
    <w:p>
      <w:pPr>
        <w:pStyle w:val="31"/>
        <w:pageBreakBefore w:val="0"/>
        <w:kinsoku/>
        <w:wordWrap/>
        <w:overflowPunct/>
        <w:topLinePunct w:val="0"/>
        <w:bidi w:val="0"/>
        <w:spacing w:before="0" w:after="0" w:afterAutospacing="0"/>
        <w:ind w:firstLine="480"/>
        <w:textAlignment w:val="auto"/>
        <w:rPr>
          <w:rFonts w:ascii="宋体" w:hAnsi="宋体" w:cs="宋体"/>
          <w:szCs w:val="24"/>
        </w:rPr>
      </w:pPr>
      <w:r>
        <w:rPr>
          <w:rFonts w:hint="eastAsia" w:ascii="宋体" w:hAnsi="宋体" w:cs="宋体"/>
          <w:szCs w:val="24"/>
        </w:rPr>
        <w:t>12.3采购人、采购代理机构可以视情况延长响应文件提交的截止时间。在上述情况下，采购代理机构与供应商以前在响应截止期方面的全部权利、责任和义务，将适用于延长至新的响应截止期。</w:t>
      </w:r>
    </w:p>
    <w:p>
      <w:pPr>
        <w:pStyle w:val="31"/>
        <w:pageBreakBefore w:val="0"/>
        <w:kinsoku/>
        <w:wordWrap/>
        <w:overflowPunct/>
        <w:topLinePunct w:val="0"/>
        <w:bidi w:val="0"/>
        <w:spacing w:before="0" w:after="0" w:afterAutospacing="0"/>
        <w:ind w:firstLine="0" w:firstLineChars="0"/>
        <w:textAlignment w:val="auto"/>
        <w:rPr>
          <w:rFonts w:ascii="宋体" w:hAnsi="宋体" w:cs="宋体"/>
          <w:b/>
          <w:szCs w:val="24"/>
        </w:rPr>
      </w:pPr>
      <w:r>
        <w:rPr>
          <w:rFonts w:hint="eastAsia" w:ascii="宋体" w:hAnsi="宋体" w:cs="宋体"/>
          <w:b/>
          <w:szCs w:val="24"/>
        </w:rPr>
        <w:t>13.备份响应文件</w:t>
      </w:r>
    </w:p>
    <w:p>
      <w:pPr>
        <w:pStyle w:val="10"/>
        <w:pageBreakBefore w:val="0"/>
        <w:kinsoku/>
        <w:wordWrap/>
        <w:overflowPunct/>
        <w:topLinePunct w:val="0"/>
        <w:bidi w:val="0"/>
        <w:spacing w:after="0" w:afterAutospacing="0" w:line="360" w:lineRule="auto"/>
        <w:ind w:firstLine="360" w:firstLineChars="150"/>
        <w:textAlignment w:val="auto"/>
        <w:rPr>
          <w:rFonts w:hAnsi="宋体" w:cs="宋体"/>
          <w:b/>
          <w:sz w:val="24"/>
          <w:szCs w:val="24"/>
        </w:rPr>
      </w:pPr>
      <w:r>
        <w:rPr>
          <w:rFonts w:hint="eastAsia" w:hAnsi="宋体" w:cs="宋体"/>
          <w:sz w:val="24"/>
          <w:szCs w:val="24"/>
        </w:rPr>
        <w:t xml:space="preserve"> 13.1供应商在电子交易平台传输递交响应文件后，还可以在响应截止时间前直接提交或者以邮政快递方式递交备份响应文件1份，</w:t>
      </w:r>
      <w:r>
        <w:rPr>
          <w:rFonts w:hint="eastAsia" w:hAnsi="宋体" w:cs="宋体"/>
          <w:b/>
          <w:sz w:val="24"/>
          <w:szCs w:val="24"/>
        </w:rPr>
        <w:t>但采购人、采购代理机构不强制或变相强制供应商提交备份响应文件。</w:t>
      </w:r>
    </w:p>
    <w:p>
      <w:pPr>
        <w:pStyle w:val="10"/>
        <w:pageBreakBefore w:val="0"/>
        <w:kinsoku/>
        <w:wordWrap/>
        <w:overflowPunct/>
        <w:topLinePunct w:val="0"/>
        <w:bidi w:val="0"/>
        <w:spacing w:after="0" w:afterAutospacing="0" w:line="360" w:lineRule="auto"/>
        <w:ind w:firstLine="480" w:firstLineChars="200"/>
        <w:textAlignment w:val="auto"/>
        <w:rPr>
          <w:rFonts w:hAnsi="宋体" w:cs="宋体"/>
          <w:b/>
          <w:sz w:val="24"/>
          <w:szCs w:val="24"/>
        </w:rPr>
      </w:pPr>
      <w:r>
        <w:rPr>
          <w:rFonts w:hint="eastAsia" w:hAnsi="宋体" w:cs="宋体"/>
          <w:sz w:val="24"/>
          <w:szCs w:val="24"/>
        </w:rPr>
        <w:t>13.2备份响应文件须在“乐采云响应客户端”制作生成，并储存在DVD光盘等存储介质中。备份响应文件应当密封包装并在包装上加盖公章并注明响应项目名称，供应商名称(联合体响应的，包装物封面需注明联合体响应，并注明联合体成员各方的名称和联合协议中约定的牵头人的名称)。不符合上述制作、存储、密封规定的备份响应文件将被视为无效或者被拒绝接收。</w:t>
      </w:r>
    </w:p>
    <w:p>
      <w:pPr>
        <w:pStyle w:val="10"/>
        <w:pageBreakBefore w:val="0"/>
        <w:kinsoku/>
        <w:wordWrap/>
        <w:overflowPunct/>
        <w:topLinePunct w:val="0"/>
        <w:bidi w:val="0"/>
        <w:spacing w:after="0" w:afterAutospacing="0" w:line="360" w:lineRule="auto"/>
        <w:ind w:firstLine="480" w:firstLineChars="200"/>
        <w:textAlignment w:val="auto"/>
        <w:rPr>
          <w:rFonts w:hAnsi="宋体" w:cs="宋体"/>
          <w:sz w:val="24"/>
          <w:szCs w:val="24"/>
        </w:rPr>
      </w:pPr>
      <w:r>
        <w:rPr>
          <w:rFonts w:hint="eastAsia" w:hAnsi="宋体" w:cs="宋体"/>
          <w:sz w:val="24"/>
          <w:szCs w:val="24"/>
        </w:rPr>
        <w:t>13.3直接提交备份响应文件的，供应商应于响应截止时间前在交易公告中载明的开标地点将备份响应文件提交给采购代理机构，采购代理机构将拒绝接受逾期送达的备份响应文件。</w:t>
      </w:r>
    </w:p>
    <w:p>
      <w:pPr>
        <w:pStyle w:val="10"/>
        <w:pageBreakBefore w:val="0"/>
        <w:kinsoku/>
        <w:wordWrap/>
        <w:overflowPunct/>
        <w:topLinePunct w:val="0"/>
        <w:bidi w:val="0"/>
        <w:spacing w:after="0" w:afterAutospacing="0" w:line="360" w:lineRule="auto"/>
        <w:ind w:firstLine="480" w:firstLineChars="200"/>
        <w:textAlignment w:val="auto"/>
        <w:rPr>
          <w:rFonts w:hAnsi="宋体" w:cs="宋体"/>
          <w:sz w:val="24"/>
          <w:szCs w:val="24"/>
        </w:rPr>
      </w:pPr>
      <w:r>
        <w:rPr>
          <w:rFonts w:hint="eastAsia" w:hAnsi="宋体" w:cs="宋体"/>
          <w:sz w:val="24"/>
          <w:szCs w:val="24"/>
        </w:rPr>
        <w:t>13.4以邮政快递方式递交备份响应文件的，供应商应先将备份响应文件按要求密封和标记，再进行邮政快递包装后邮寄。备份响应文件须在响应截止时间之前送达</w:t>
      </w:r>
      <w:r>
        <w:rPr>
          <w:rFonts w:hint="eastAsia" w:hAnsi="宋体" w:cs="宋体"/>
          <w:snapToGrid/>
          <w:sz w:val="24"/>
          <w:szCs w:val="24"/>
        </w:rPr>
        <w:t>采购文件第二章供应商须知前附表规定的备份响应文件送达地点；</w:t>
      </w:r>
      <w:r>
        <w:rPr>
          <w:rFonts w:hint="eastAsia" w:hAnsi="宋体" w:cs="宋体"/>
          <w:sz w:val="24"/>
          <w:szCs w:val="24"/>
        </w:rPr>
        <w:t>送达时间以签收人签收时间为准。采购代理机构将拒绝接受逾期送达的备份响应文件。邮寄过程中，电子备份响应文件发生泄露、遗失、损坏或延期送达等情况的，由供应商自行负责。</w:t>
      </w:r>
    </w:p>
    <w:p>
      <w:pPr>
        <w:pStyle w:val="10"/>
        <w:pageBreakBefore w:val="0"/>
        <w:kinsoku/>
        <w:wordWrap/>
        <w:overflowPunct/>
        <w:topLinePunct w:val="0"/>
        <w:bidi w:val="0"/>
        <w:spacing w:after="0" w:afterAutospacing="0" w:line="360" w:lineRule="auto"/>
        <w:ind w:firstLine="479" w:firstLineChars="199"/>
        <w:textAlignment w:val="auto"/>
        <w:rPr>
          <w:rFonts w:hAnsi="宋体" w:cs="宋体"/>
          <w:b/>
          <w:sz w:val="24"/>
          <w:szCs w:val="24"/>
        </w:rPr>
      </w:pPr>
      <w:r>
        <w:rPr>
          <w:rFonts w:hint="eastAsia" w:hAnsi="宋体" w:cs="宋体"/>
          <w:b/>
          <w:sz w:val="24"/>
          <w:szCs w:val="24"/>
        </w:rPr>
        <w:t>13.5供应商仅提交备份响应文件，未在电子交易平台传输递交响应文件的，响应无效。</w:t>
      </w:r>
    </w:p>
    <w:p>
      <w:pPr>
        <w:pStyle w:val="31"/>
        <w:pageBreakBefore w:val="0"/>
        <w:kinsoku/>
        <w:wordWrap/>
        <w:overflowPunct/>
        <w:topLinePunct w:val="0"/>
        <w:bidi w:val="0"/>
        <w:spacing w:before="0" w:after="0" w:afterAutospacing="0"/>
        <w:ind w:firstLine="0" w:firstLineChars="0"/>
        <w:textAlignment w:val="auto"/>
        <w:rPr>
          <w:rFonts w:ascii="宋体" w:hAnsi="宋体" w:cs="宋体"/>
          <w:b/>
          <w:szCs w:val="24"/>
        </w:rPr>
      </w:pPr>
      <w:r>
        <w:rPr>
          <w:rFonts w:hint="eastAsia" w:ascii="宋体" w:hAnsi="宋体" w:cs="宋体"/>
          <w:b/>
          <w:szCs w:val="24"/>
        </w:rPr>
        <w:t>14.响应文件的无效处理</w:t>
      </w:r>
    </w:p>
    <w:p>
      <w:pPr>
        <w:pStyle w:val="9"/>
        <w:pageBreakBefore w:val="0"/>
        <w:kinsoku/>
        <w:wordWrap/>
        <w:overflowPunct/>
        <w:topLinePunct w:val="0"/>
        <w:bidi w:val="0"/>
        <w:spacing w:after="0" w:afterAutospacing="0" w:line="360" w:lineRule="auto"/>
        <w:ind w:firstLine="360" w:firstLineChars="150"/>
        <w:textAlignment w:val="auto"/>
        <w:rPr>
          <w:rFonts w:cs="宋体"/>
          <w:szCs w:val="21"/>
        </w:rPr>
      </w:pPr>
      <w:r>
        <w:rPr>
          <w:rFonts w:hint="eastAsia" w:cs="宋体"/>
          <w:szCs w:val="21"/>
        </w:rPr>
        <w:t>有采购文件第四章</w:t>
      </w:r>
      <w:r>
        <w:rPr>
          <w:rFonts w:cs="宋体"/>
          <w:szCs w:val="21"/>
        </w:rPr>
        <w:t>4.2规定</w:t>
      </w:r>
      <w:r>
        <w:rPr>
          <w:rFonts w:hint="eastAsia" w:cs="宋体"/>
          <w:szCs w:val="21"/>
        </w:rPr>
        <w:t>的情形之一的，响应无效：</w:t>
      </w:r>
    </w:p>
    <w:p>
      <w:pPr>
        <w:pStyle w:val="31"/>
        <w:pageBreakBefore w:val="0"/>
        <w:kinsoku/>
        <w:wordWrap/>
        <w:overflowPunct/>
        <w:topLinePunct w:val="0"/>
        <w:bidi w:val="0"/>
        <w:spacing w:before="0" w:after="0" w:afterAutospacing="0"/>
        <w:ind w:firstLine="0" w:firstLineChars="0"/>
        <w:textAlignment w:val="auto"/>
        <w:rPr>
          <w:rFonts w:ascii="宋体" w:hAnsi="宋体" w:cs="宋体"/>
          <w:b/>
          <w:szCs w:val="24"/>
        </w:rPr>
      </w:pPr>
      <w:r>
        <w:rPr>
          <w:rFonts w:hint="eastAsia" w:ascii="宋体" w:hAnsi="宋体" w:cs="宋体"/>
          <w:b/>
          <w:szCs w:val="24"/>
        </w:rPr>
        <w:t>15.响应有效期</w:t>
      </w:r>
    </w:p>
    <w:p>
      <w:pPr>
        <w:pageBreakBefore w:val="0"/>
        <w:kinsoku/>
        <w:wordWrap/>
        <w:overflowPunct/>
        <w:topLinePunct w:val="0"/>
        <w:bidi w:val="0"/>
        <w:spacing w:after="0" w:afterAutospacing="0" w:line="360" w:lineRule="auto"/>
        <w:ind w:firstLine="480" w:firstLineChars="200"/>
        <w:textAlignment w:val="auto"/>
        <w:rPr>
          <w:rFonts w:ascii="宋体" w:hAnsi="宋体" w:cs="宋体"/>
          <w:b/>
          <w:sz w:val="24"/>
          <w:szCs w:val="21"/>
        </w:rPr>
      </w:pPr>
      <w:r>
        <w:rPr>
          <w:rFonts w:hint="eastAsia" w:ascii="宋体" w:hAnsi="宋体" w:cs="宋体"/>
          <w:sz w:val="24"/>
          <w:szCs w:val="20"/>
        </w:rPr>
        <w:t>15.1响应有效期为从提交响应文件的截止之日起90天。▲</w:t>
      </w:r>
      <w:r>
        <w:rPr>
          <w:rFonts w:hint="eastAsia" w:ascii="宋体" w:hAnsi="宋体" w:cs="宋体"/>
          <w:b/>
          <w:sz w:val="24"/>
          <w:szCs w:val="20"/>
        </w:rPr>
        <w:t>供应商的响应文件中承</w:t>
      </w:r>
      <w:r>
        <w:rPr>
          <w:rFonts w:hint="eastAsia" w:ascii="宋体" w:hAnsi="宋体" w:cs="宋体"/>
          <w:b/>
          <w:sz w:val="24"/>
          <w:szCs w:val="21"/>
        </w:rPr>
        <w:t>诺的响应有效期少于采购文件中载明的响应有效期的，响应无效。</w:t>
      </w:r>
    </w:p>
    <w:p>
      <w:pPr>
        <w:pStyle w:val="31"/>
        <w:pageBreakBefore w:val="0"/>
        <w:kinsoku/>
        <w:wordWrap/>
        <w:overflowPunct/>
        <w:topLinePunct w:val="0"/>
        <w:bidi w:val="0"/>
        <w:spacing w:before="0" w:after="0" w:afterAutospacing="0"/>
        <w:ind w:firstLine="480"/>
        <w:textAlignment w:val="auto"/>
        <w:rPr>
          <w:rFonts w:ascii="宋体" w:hAnsi="宋体" w:cs="宋体"/>
        </w:rPr>
      </w:pPr>
      <w:r>
        <w:rPr>
          <w:rFonts w:hint="eastAsia" w:ascii="宋体" w:hAnsi="宋体" w:cs="宋体"/>
        </w:rPr>
        <w:t>15.2响应文件合格投递后，自响应截止日期起，在响应有效期内有效。</w:t>
      </w:r>
    </w:p>
    <w:p>
      <w:pPr>
        <w:pStyle w:val="31"/>
        <w:pageBreakBefore w:val="0"/>
        <w:kinsoku/>
        <w:wordWrap/>
        <w:overflowPunct/>
        <w:topLinePunct w:val="0"/>
        <w:bidi w:val="0"/>
        <w:spacing w:before="0" w:after="0" w:afterAutospacing="0"/>
        <w:ind w:firstLine="480"/>
        <w:textAlignment w:val="auto"/>
        <w:rPr>
          <w:rFonts w:ascii="宋体" w:hAnsi="宋体" w:cs="宋体"/>
          <w:b/>
          <w:sz w:val="32"/>
        </w:rPr>
      </w:pPr>
      <w:r>
        <w:rPr>
          <w:rFonts w:hint="eastAsia" w:ascii="宋体" w:hAnsi="宋体" w:cs="宋体"/>
        </w:rPr>
        <w:t>15.3在原定响应有效期满之前，如果出现特殊情况，采购代理机构可以以书面形式通知供应商延长响应有效期。供应商同意延长的，不得要求或被允许修改其响应文件，供应商拒绝延长的，其响应无效。</w:t>
      </w:r>
    </w:p>
    <w:p>
      <w:pPr>
        <w:pStyle w:val="31"/>
        <w:pageBreakBefore w:val="0"/>
        <w:kinsoku/>
        <w:wordWrap/>
        <w:overflowPunct/>
        <w:topLinePunct w:val="0"/>
        <w:bidi w:val="0"/>
        <w:spacing w:before="0" w:after="0" w:afterAutospacing="0"/>
        <w:ind w:firstLine="1928" w:firstLineChars="600"/>
        <w:textAlignment w:val="auto"/>
        <w:rPr>
          <w:rFonts w:ascii="宋体" w:hAnsi="宋体" w:cs="宋体"/>
          <w:b/>
          <w:sz w:val="32"/>
        </w:rPr>
      </w:pPr>
      <w:r>
        <w:rPr>
          <w:rFonts w:hint="eastAsia" w:ascii="宋体" w:hAnsi="宋体" w:cs="宋体"/>
          <w:b/>
          <w:sz w:val="32"/>
        </w:rPr>
        <w:t>四、开标、资格审查与信用信息查询</w:t>
      </w:r>
    </w:p>
    <w:p>
      <w:pPr>
        <w:pStyle w:val="31"/>
        <w:pageBreakBefore w:val="0"/>
        <w:kinsoku/>
        <w:wordWrap/>
        <w:overflowPunct/>
        <w:topLinePunct w:val="0"/>
        <w:bidi w:val="0"/>
        <w:spacing w:before="0" w:after="0" w:afterAutospacing="0"/>
        <w:ind w:firstLine="0" w:firstLineChars="0"/>
        <w:textAlignment w:val="auto"/>
        <w:rPr>
          <w:rFonts w:ascii="宋体" w:hAnsi="宋体" w:cs="宋体"/>
          <w:b/>
          <w:szCs w:val="24"/>
        </w:rPr>
      </w:pPr>
      <w:r>
        <w:rPr>
          <w:rFonts w:hint="eastAsia" w:ascii="宋体" w:hAnsi="宋体" w:cs="宋体"/>
          <w:b/>
          <w:szCs w:val="24"/>
        </w:rPr>
        <w:t xml:space="preserve">16.开标 </w:t>
      </w:r>
    </w:p>
    <w:p>
      <w:pPr>
        <w:pStyle w:val="35"/>
        <w:pageBreakBefore w:val="0"/>
        <w:kinsoku/>
        <w:wordWrap/>
        <w:overflowPunct/>
        <w:topLinePunct w:val="0"/>
        <w:bidi w:val="0"/>
        <w:spacing w:before="0" w:after="0" w:afterAutospacing="0" w:line="360" w:lineRule="auto"/>
        <w:ind w:left="0" w:firstLine="480" w:firstLineChars="200"/>
        <w:contextualSpacing/>
        <w:textAlignment w:val="auto"/>
        <w:rPr>
          <w:rFonts w:ascii="宋体" w:hAnsi="宋体" w:cs="宋体"/>
          <w:sz w:val="24"/>
        </w:rPr>
      </w:pPr>
      <w:r>
        <w:rPr>
          <w:rFonts w:hint="eastAsia" w:ascii="宋体" w:hAnsi="宋体" w:cs="宋体"/>
          <w:sz w:val="24"/>
        </w:rPr>
        <w:t>16.1采购代理机构按照采购文件规定的时间通过电子交易平台组织开标，所有供应商均应当准时在线参加。供应商不足3家的，不得开标。</w:t>
      </w:r>
    </w:p>
    <w:p>
      <w:pPr>
        <w:pStyle w:val="35"/>
        <w:pageBreakBefore w:val="0"/>
        <w:kinsoku/>
        <w:wordWrap/>
        <w:overflowPunct/>
        <w:topLinePunct w:val="0"/>
        <w:bidi w:val="0"/>
        <w:spacing w:before="0" w:after="0" w:afterAutospacing="0" w:line="360" w:lineRule="auto"/>
        <w:ind w:left="0" w:firstLine="240" w:firstLineChars="100"/>
        <w:contextualSpacing/>
        <w:textAlignment w:val="auto"/>
        <w:rPr>
          <w:rFonts w:ascii="宋体" w:hAnsi="宋体" w:cs="宋体"/>
          <w:sz w:val="24"/>
        </w:rPr>
      </w:pPr>
      <w:r>
        <w:rPr>
          <w:rFonts w:hint="eastAsia" w:ascii="宋体" w:hAnsi="宋体" w:cs="宋体"/>
          <w:sz w:val="24"/>
        </w:rPr>
        <w:t>　16.2开标时，电子交易平台按开标时间自动提取所有响应文件。采购代理机构依托电子交易平台发起开始解密指令，供应商按照平台提示和采购文件的规定在半小时内完成在线解密。</w:t>
      </w:r>
    </w:p>
    <w:p>
      <w:pPr>
        <w:pStyle w:val="35"/>
        <w:pageBreakBefore w:val="0"/>
        <w:kinsoku/>
        <w:wordWrap/>
        <w:overflowPunct/>
        <w:topLinePunct w:val="0"/>
        <w:bidi w:val="0"/>
        <w:spacing w:before="0" w:after="0" w:afterAutospacing="0" w:line="360" w:lineRule="auto"/>
        <w:ind w:left="0" w:firstLine="240" w:firstLineChars="100"/>
        <w:contextualSpacing/>
        <w:textAlignment w:val="auto"/>
        <w:rPr>
          <w:rFonts w:ascii="宋体" w:hAnsi="宋体" w:cs="宋体"/>
          <w:b/>
          <w:sz w:val="24"/>
        </w:rPr>
      </w:pPr>
      <w:r>
        <w:rPr>
          <w:rFonts w:hint="eastAsia" w:ascii="宋体" w:hAnsi="宋体" w:cs="宋体"/>
          <w:sz w:val="24"/>
        </w:rPr>
        <w:t>　16.3</w:t>
      </w:r>
      <w:r>
        <w:rPr>
          <w:rFonts w:hint="eastAsia" w:ascii="宋体" w:hAnsi="宋体" w:cs="宋体"/>
          <w:b/>
          <w:sz w:val="24"/>
        </w:rPr>
        <w:t>响应文件未按时解密，供应商提供了备份响应文件的，以备份响应文件作为依据，否则视为响应文件撤回。响应文件已按时解密的，备份响应文件自动失效。</w:t>
      </w:r>
    </w:p>
    <w:p>
      <w:pPr>
        <w:pStyle w:val="31"/>
        <w:pageBreakBefore w:val="0"/>
        <w:kinsoku/>
        <w:wordWrap/>
        <w:overflowPunct/>
        <w:topLinePunct w:val="0"/>
        <w:bidi w:val="0"/>
        <w:spacing w:before="0" w:after="0" w:afterAutospacing="0"/>
        <w:ind w:firstLine="0" w:firstLineChars="0"/>
        <w:textAlignment w:val="auto"/>
        <w:rPr>
          <w:rFonts w:ascii="宋体" w:hAnsi="宋体" w:cs="宋体"/>
          <w:b/>
          <w:szCs w:val="24"/>
        </w:rPr>
      </w:pPr>
      <w:r>
        <w:rPr>
          <w:rFonts w:hint="eastAsia" w:ascii="宋体" w:hAnsi="宋体" w:cs="宋体"/>
          <w:b/>
          <w:szCs w:val="24"/>
        </w:rPr>
        <w:t>　17、资格审查</w:t>
      </w:r>
    </w:p>
    <w:p>
      <w:pPr>
        <w:pageBreakBefore w:val="0"/>
        <w:kinsoku/>
        <w:wordWrap/>
        <w:overflowPunct/>
        <w:topLinePunct w:val="0"/>
        <w:bidi w:val="0"/>
        <w:snapToGrid w:val="0"/>
        <w:spacing w:after="0" w:afterAutospacing="0" w:line="360" w:lineRule="auto"/>
        <w:ind w:firstLine="480" w:firstLineChars="200"/>
        <w:textAlignment w:val="auto"/>
        <w:rPr>
          <w:rFonts w:ascii="宋体" w:hAnsi="宋体" w:cs="宋体"/>
          <w:sz w:val="24"/>
        </w:rPr>
      </w:pPr>
      <w:r>
        <w:rPr>
          <w:rFonts w:hint="eastAsia" w:ascii="宋体" w:hAnsi="宋体" w:cs="宋体"/>
          <w:kern w:val="0"/>
          <w:sz w:val="24"/>
        </w:rPr>
        <w:t>17.1</w:t>
      </w:r>
      <w:r>
        <w:rPr>
          <w:rFonts w:hint="eastAsia" w:ascii="宋体" w:hAnsi="宋体" w:cs="宋体"/>
          <w:sz w:val="24"/>
        </w:rPr>
        <w:t>评审小组依据法律法规和采购文件的规定，对供应商的资格进行审查。</w:t>
      </w:r>
    </w:p>
    <w:p>
      <w:pPr>
        <w:pStyle w:val="31"/>
        <w:pageBreakBefore w:val="0"/>
        <w:kinsoku/>
        <w:wordWrap/>
        <w:overflowPunct/>
        <w:topLinePunct w:val="0"/>
        <w:bidi w:val="0"/>
        <w:spacing w:before="0" w:after="0" w:afterAutospacing="0"/>
        <w:ind w:firstLine="480"/>
        <w:textAlignment w:val="auto"/>
        <w:rPr>
          <w:rFonts w:ascii="宋体" w:hAnsi="宋体" w:cs="宋体"/>
        </w:rPr>
      </w:pPr>
      <w:r>
        <w:rPr>
          <w:rFonts w:hint="eastAsia" w:ascii="宋体" w:hAnsi="宋体" w:cs="宋体"/>
          <w:kern w:val="0"/>
          <w:szCs w:val="24"/>
        </w:rPr>
        <w:t>17.2供应商未按照采购文件要求提供与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供应商不具备采购文件中规定的资格要求，其响应无效。</w:t>
      </w:r>
    </w:p>
    <w:p>
      <w:pPr>
        <w:pStyle w:val="31"/>
        <w:pageBreakBefore w:val="0"/>
        <w:kinsoku/>
        <w:wordWrap/>
        <w:overflowPunct/>
        <w:topLinePunct w:val="0"/>
        <w:bidi w:val="0"/>
        <w:spacing w:before="0" w:after="0" w:afterAutospacing="0"/>
        <w:ind w:firstLine="480"/>
        <w:textAlignment w:val="auto"/>
        <w:rPr>
          <w:rFonts w:ascii="宋体" w:hAnsi="宋体" w:cs="宋体"/>
        </w:rPr>
      </w:pPr>
      <w:r>
        <w:rPr>
          <w:rFonts w:hint="eastAsia" w:ascii="宋体" w:hAnsi="宋体" w:cs="宋体"/>
          <w:kern w:val="0"/>
          <w:szCs w:val="24"/>
        </w:rPr>
        <w:t>17.</w:t>
      </w:r>
      <w:r>
        <w:rPr>
          <w:rFonts w:hint="eastAsia" w:ascii="宋体" w:hAnsi="宋体" w:cs="宋体"/>
        </w:rPr>
        <w:t>3对未通过资格审查的供应商，否决前需进行质询确认。</w:t>
      </w:r>
    </w:p>
    <w:p>
      <w:pPr>
        <w:pStyle w:val="31"/>
        <w:pageBreakBefore w:val="0"/>
        <w:kinsoku/>
        <w:wordWrap/>
        <w:overflowPunct/>
        <w:topLinePunct w:val="0"/>
        <w:bidi w:val="0"/>
        <w:spacing w:before="0" w:after="0" w:afterAutospacing="0"/>
        <w:ind w:firstLine="480"/>
        <w:textAlignment w:val="auto"/>
        <w:rPr>
          <w:rFonts w:ascii="宋体" w:hAnsi="宋体" w:cs="宋体"/>
        </w:rPr>
      </w:pPr>
      <w:r>
        <w:rPr>
          <w:rFonts w:hint="eastAsia" w:ascii="宋体" w:hAnsi="宋体" w:cs="宋体"/>
        </w:rPr>
        <w:t>17.4合格供应商不足三家时，评审小组认为响应仍然具有竞争性，可以继续进行评审，否则，需重新组织采购。</w:t>
      </w:r>
    </w:p>
    <w:p>
      <w:pPr>
        <w:pStyle w:val="31"/>
        <w:pageBreakBefore w:val="0"/>
        <w:kinsoku/>
        <w:wordWrap/>
        <w:overflowPunct/>
        <w:topLinePunct w:val="0"/>
        <w:bidi w:val="0"/>
        <w:snapToGrid w:val="0"/>
        <w:spacing w:before="0" w:after="0" w:afterAutospacing="0"/>
        <w:ind w:firstLine="480"/>
        <w:textAlignment w:val="auto"/>
        <w:rPr>
          <w:rFonts w:ascii="宋体" w:hAnsi="宋体" w:cs="宋体"/>
        </w:rPr>
      </w:pPr>
      <w:r>
        <w:rPr>
          <w:rFonts w:hint="eastAsia" w:ascii="宋体" w:hAnsi="宋体" w:cs="宋体"/>
          <w:kern w:val="0"/>
          <w:szCs w:val="24"/>
        </w:rPr>
        <w:t>17.5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采购活动。</w:t>
      </w:r>
    </w:p>
    <w:p>
      <w:pPr>
        <w:pStyle w:val="31"/>
        <w:pageBreakBefore w:val="0"/>
        <w:kinsoku/>
        <w:wordWrap/>
        <w:overflowPunct/>
        <w:topLinePunct w:val="0"/>
        <w:bidi w:val="0"/>
        <w:spacing w:before="0" w:after="0" w:afterAutospacing="0"/>
        <w:ind w:firstLine="0" w:firstLineChars="0"/>
        <w:textAlignment w:val="auto"/>
        <w:rPr>
          <w:rFonts w:ascii="宋体" w:hAnsi="宋体" w:cs="宋体"/>
          <w:b/>
          <w:szCs w:val="24"/>
        </w:rPr>
      </w:pPr>
      <w:r>
        <w:rPr>
          <w:rFonts w:hint="eastAsia" w:ascii="宋体" w:hAnsi="宋体" w:cs="宋体"/>
          <w:b/>
          <w:szCs w:val="24"/>
        </w:rPr>
        <w:t>18、信用信息查询</w:t>
      </w:r>
    </w:p>
    <w:p>
      <w:pPr>
        <w:pStyle w:val="31"/>
        <w:pageBreakBefore w:val="0"/>
        <w:kinsoku/>
        <w:wordWrap/>
        <w:overflowPunct/>
        <w:topLinePunct w:val="0"/>
        <w:bidi w:val="0"/>
        <w:spacing w:before="0" w:after="0" w:afterAutospacing="0"/>
        <w:ind w:firstLine="495" w:firstLineChars="0"/>
        <w:textAlignment w:val="auto"/>
        <w:rPr>
          <w:rFonts w:ascii="宋体" w:hAnsi="宋体" w:cs="宋体"/>
          <w:kern w:val="0"/>
          <w:szCs w:val="24"/>
        </w:rPr>
      </w:pPr>
      <w:r>
        <w:rPr>
          <w:rFonts w:hint="eastAsia" w:ascii="宋体" w:hAnsi="宋体" w:cs="宋体"/>
          <w:kern w:val="0"/>
          <w:szCs w:val="24"/>
        </w:rPr>
        <w:t>18.1信用信息查询渠道及截止时间：采购代理机构将在资格审查时通过“信用中国”网站(www.creditchina.gov.cn)、中国政府采购网(www.ccgp.gov.cn)渠道查询供应商接受资格时的信用记录。</w:t>
      </w:r>
    </w:p>
    <w:p>
      <w:pPr>
        <w:pStyle w:val="31"/>
        <w:pageBreakBefore w:val="0"/>
        <w:kinsoku/>
        <w:wordWrap/>
        <w:overflowPunct/>
        <w:topLinePunct w:val="0"/>
        <w:bidi w:val="0"/>
        <w:spacing w:before="0" w:after="0" w:afterAutospacing="0"/>
        <w:ind w:firstLine="495" w:firstLineChars="0"/>
        <w:textAlignment w:val="auto"/>
        <w:rPr>
          <w:rFonts w:ascii="宋体" w:hAnsi="宋体" w:cs="宋体"/>
          <w:kern w:val="0"/>
          <w:szCs w:val="24"/>
        </w:rPr>
      </w:pPr>
      <w:r>
        <w:rPr>
          <w:rFonts w:hint="eastAsia" w:ascii="宋体" w:hAnsi="宋体" w:cs="宋体"/>
          <w:kern w:val="0"/>
          <w:szCs w:val="24"/>
        </w:rPr>
        <w:t>18.2信用信息查询记录和证据留存的具体方式：现场查询的供应商的信用记录、查询结果经确认后将与采购文件一起存档。</w:t>
      </w:r>
    </w:p>
    <w:p>
      <w:pPr>
        <w:pStyle w:val="31"/>
        <w:pageBreakBefore w:val="0"/>
        <w:kinsoku/>
        <w:wordWrap/>
        <w:overflowPunct/>
        <w:topLinePunct w:val="0"/>
        <w:bidi w:val="0"/>
        <w:spacing w:before="0" w:after="0" w:afterAutospacing="0"/>
        <w:ind w:firstLine="495" w:firstLineChars="0"/>
        <w:textAlignment w:val="auto"/>
        <w:rPr>
          <w:rFonts w:ascii="宋体" w:hAnsi="宋体" w:cs="宋体"/>
          <w:kern w:val="0"/>
          <w:szCs w:val="24"/>
        </w:rPr>
      </w:pPr>
      <w:r>
        <w:rPr>
          <w:rFonts w:hint="eastAsia" w:ascii="宋体" w:hAnsi="宋体" w:cs="宋体"/>
          <w:kern w:val="0"/>
          <w:szCs w:val="24"/>
        </w:rPr>
        <w:t>18.3信用信息的使用规则：经查询列入失信被执行人名单、重大税收违法案件当事人名单、政府采购严重违法失信行为记录名单的供应商将被拒绝参与本次采购活动。</w:t>
      </w:r>
    </w:p>
    <w:p>
      <w:pPr>
        <w:pStyle w:val="31"/>
        <w:pageBreakBefore w:val="0"/>
        <w:kinsoku/>
        <w:wordWrap/>
        <w:overflowPunct/>
        <w:topLinePunct w:val="0"/>
        <w:bidi w:val="0"/>
        <w:spacing w:before="0" w:after="0" w:afterAutospacing="0"/>
        <w:ind w:firstLine="480"/>
        <w:textAlignment w:val="auto"/>
        <w:rPr>
          <w:rFonts w:ascii="宋体" w:hAnsi="宋体" w:cs="宋体"/>
          <w:kern w:val="0"/>
          <w:szCs w:val="24"/>
        </w:rPr>
      </w:pPr>
      <w:r>
        <w:rPr>
          <w:rFonts w:hint="eastAsia" w:ascii="宋体" w:hAnsi="宋体" w:cs="宋体"/>
          <w:kern w:val="0"/>
          <w:szCs w:val="24"/>
        </w:rPr>
        <w:t>18.4联合体信用信息查询：两个以上的法人或者其他组织组成一个联合体，以一个供应商的身份共同参加采购活动的，应当对所有联合体成员进行信用记录查询，联合体成员存在不良信用记录的，视同联合体存在不良信用记录</w:t>
      </w:r>
      <w:r>
        <w:rPr>
          <w:rFonts w:hint="eastAsia" w:ascii="宋体" w:hAnsi="宋体" w:cs="宋体"/>
        </w:rPr>
        <w:t>。</w:t>
      </w:r>
    </w:p>
    <w:p>
      <w:pPr>
        <w:pageBreakBefore w:val="0"/>
        <w:kinsoku/>
        <w:wordWrap/>
        <w:overflowPunct/>
        <w:topLinePunct w:val="0"/>
        <w:bidi w:val="0"/>
        <w:snapToGrid w:val="0"/>
        <w:spacing w:after="0" w:afterAutospacing="0" w:line="360" w:lineRule="auto"/>
        <w:jc w:val="center"/>
        <w:textAlignment w:val="auto"/>
        <w:outlineLvl w:val="0"/>
        <w:rPr>
          <w:rFonts w:ascii="宋体" w:hAnsi="宋体" w:cs="宋体"/>
          <w:b/>
          <w:sz w:val="36"/>
          <w:szCs w:val="36"/>
        </w:rPr>
      </w:pPr>
      <w:r>
        <w:rPr>
          <w:rFonts w:hint="eastAsia" w:ascii="宋体" w:hAnsi="宋体" w:cs="宋体"/>
          <w:b/>
          <w:sz w:val="36"/>
          <w:szCs w:val="36"/>
        </w:rPr>
        <w:t>五、评审</w:t>
      </w:r>
    </w:p>
    <w:p>
      <w:pPr>
        <w:pageBreakBefore w:val="0"/>
        <w:kinsoku/>
        <w:wordWrap/>
        <w:overflowPunct/>
        <w:topLinePunct w:val="0"/>
        <w:bidi w:val="0"/>
        <w:spacing w:after="0" w:afterAutospacing="0" w:line="360" w:lineRule="auto"/>
        <w:textAlignment w:val="auto"/>
        <w:rPr>
          <w:rFonts w:ascii="宋体" w:hAnsi="宋体" w:cs="宋体"/>
          <w:b/>
          <w:sz w:val="24"/>
        </w:rPr>
      </w:pPr>
      <w:r>
        <w:rPr>
          <w:rFonts w:hint="eastAsia" w:ascii="宋体" w:hAnsi="宋体" w:cs="宋体"/>
          <w:b/>
          <w:sz w:val="24"/>
        </w:rPr>
        <w:t>19.</w:t>
      </w:r>
      <w:r>
        <w:rPr>
          <w:rFonts w:hint="eastAsia" w:ascii="宋体" w:hAnsi="宋体" w:cs="宋体"/>
        </w:rPr>
        <w:t xml:space="preserve"> </w:t>
      </w:r>
      <w:r>
        <w:rPr>
          <w:rFonts w:hint="eastAsia" w:ascii="宋体" w:hAnsi="宋体" w:cs="宋体"/>
          <w:sz w:val="24"/>
        </w:rPr>
        <w:t>评审小组将根据采购文件和有关规定，履行评审工作职责，并按照评审方法及评分标准，全面衡量各供应商对采购文件的响应情况。对实质上响应采购文件的供应商，按照评审因素的量化指标排出推荐成交供应商的先后顺序，并按顺序提出授标建议。</w:t>
      </w:r>
      <w:r>
        <w:rPr>
          <w:rFonts w:hint="eastAsia" w:ascii="宋体" w:hAnsi="宋体" w:cs="宋体"/>
          <w:b/>
          <w:sz w:val="24"/>
        </w:rPr>
        <w:t>详见采购文件第四章评审办法。</w:t>
      </w:r>
    </w:p>
    <w:p>
      <w:pPr>
        <w:pageBreakBefore w:val="0"/>
        <w:kinsoku/>
        <w:wordWrap/>
        <w:overflowPunct/>
        <w:topLinePunct w:val="0"/>
        <w:bidi w:val="0"/>
        <w:snapToGrid w:val="0"/>
        <w:spacing w:after="0" w:afterAutospacing="0" w:line="360" w:lineRule="auto"/>
        <w:jc w:val="center"/>
        <w:textAlignment w:val="auto"/>
        <w:outlineLvl w:val="0"/>
        <w:rPr>
          <w:rFonts w:ascii="宋体" w:hAnsi="宋体" w:cs="宋体"/>
          <w:b/>
          <w:sz w:val="36"/>
          <w:szCs w:val="36"/>
        </w:rPr>
      </w:pPr>
      <w:r>
        <w:rPr>
          <w:rFonts w:hint="eastAsia" w:ascii="宋体" w:hAnsi="宋体" w:cs="宋体"/>
          <w:b/>
          <w:sz w:val="36"/>
          <w:szCs w:val="36"/>
        </w:rPr>
        <w:t>六、定 标</w:t>
      </w:r>
    </w:p>
    <w:p>
      <w:pPr>
        <w:pStyle w:val="9"/>
        <w:pageBreakBefore w:val="0"/>
        <w:kinsoku/>
        <w:wordWrap/>
        <w:overflowPunct/>
        <w:topLinePunct w:val="0"/>
        <w:bidi w:val="0"/>
        <w:spacing w:after="0" w:afterAutospacing="0" w:line="360" w:lineRule="auto"/>
        <w:ind w:left="487" w:hanging="479" w:hangingChars="199"/>
        <w:textAlignment w:val="auto"/>
        <w:rPr>
          <w:rFonts w:cs="宋体"/>
          <w:b/>
        </w:rPr>
      </w:pPr>
      <w:r>
        <w:rPr>
          <w:rFonts w:hint="eastAsia" w:cs="宋体"/>
          <w:b/>
        </w:rPr>
        <w:t>20. 确定成交供应商</w:t>
      </w:r>
    </w:p>
    <w:p>
      <w:pPr>
        <w:pStyle w:val="31"/>
        <w:pageBreakBefore w:val="0"/>
        <w:kinsoku/>
        <w:wordWrap/>
        <w:overflowPunct/>
        <w:topLinePunct w:val="0"/>
        <w:bidi w:val="0"/>
        <w:snapToGrid w:val="0"/>
        <w:spacing w:before="0" w:after="0" w:afterAutospacing="0"/>
        <w:ind w:firstLine="480"/>
        <w:textAlignment w:val="auto"/>
        <w:rPr>
          <w:rFonts w:ascii="宋体" w:hAnsi="宋体" w:cs="宋体"/>
          <w:b/>
          <w:strike/>
          <w:szCs w:val="24"/>
        </w:rPr>
      </w:pPr>
      <w:r>
        <w:rPr>
          <w:rFonts w:hint="eastAsia" w:ascii="宋体" w:hAnsi="宋体" w:cs="宋体"/>
          <w:szCs w:val="24"/>
        </w:rPr>
        <w:t>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成交供应商，为提高采购效率，鼓励在收到评审报告当天在线确定成交供应商。</w:t>
      </w:r>
    </w:p>
    <w:p>
      <w:pPr>
        <w:pStyle w:val="31"/>
        <w:pageBreakBefore w:val="0"/>
        <w:widowControl/>
        <w:shd w:val="clear" w:color="auto" w:fill="FFFFFF"/>
        <w:kinsoku/>
        <w:wordWrap/>
        <w:overflowPunct/>
        <w:topLinePunct w:val="0"/>
        <w:bidi w:val="0"/>
        <w:snapToGrid w:val="0"/>
        <w:spacing w:after="0" w:afterAutospacing="0"/>
        <w:ind w:firstLine="489"/>
        <w:jc w:val="left"/>
        <w:textAlignment w:val="auto"/>
        <w:rPr>
          <w:rFonts w:ascii="宋体" w:hAnsi="宋体" w:cs="宋体"/>
        </w:rPr>
      </w:pPr>
      <w:r>
        <w:rPr>
          <w:rFonts w:hint="eastAsia" w:ascii="宋体" w:hAnsi="宋体" w:cs="宋体"/>
          <w:b/>
          <w:szCs w:val="24"/>
        </w:rPr>
        <w:t>21. 成交公示与成交确认书</w:t>
      </w:r>
    </w:p>
    <w:p>
      <w:pPr>
        <w:pageBreakBefore w:val="0"/>
        <w:widowControl/>
        <w:shd w:val="clear" w:color="auto" w:fill="FFFFFF"/>
        <w:kinsoku/>
        <w:wordWrap/>
        <w:overflowPunct/>
        <w:topLinePunct w:val="0"/>
        <w:bidi w:val="0"/>
        <w:spacing w:after="0" w:afterAutospacing="0" w:line="360" w:lineRule="auto"/>
        <w:ind w:firstLine="480"/>
        <w:jc w:val="left"/>
        <w:textAlignment w:val="auto"/>
        <w:rPr>
          <w:rFonts w:ascii="宋体" w:hAnsi="宋体" w:cs="宋体"/>
          <w:sz w:val="24"/>
        </w:rPr>
      </w:pPr>
      <w:r>
        <w:rPr>
          <w:rFonts w:hint="eastAsia" w:ascii="宋体" w:hAnsi="宋体" w:cs="宋体"/>
          <w:sz w:val="24"/>
        </w:rPr>
        <w:t>21.1自成交供应商确定之日起2个工作日内，采购代理机构通过电子交易平台编制发布成交公示。成交公示内容包括采购人及其委托的采购代理机构的名称、地址、联系方式，项目名称和项目编号，供应商名称、成交金额。公示期限为1个工作日。</w:t>
      </w:r>
    </w:p>
    <w:p>
      <w:pPr>
        <w:pageBreakBefore w:val="0"/>
        <w:widowControl/>
        <w:shd w:val="clear" w:color="auto" w:fill="FFFFFF"/>
        <w:kinsoku/>
        <w:wordWrap/>
        <w:overflowPunct/>
        <w:topLinePunct w:val="0"/>
        <w:bidi w:val="0"/>
        <w:spacing w:after="0" w:afterAutospacing="0" w:line="360" w:lineRule="auto"/>
        <w:ind w:firstLine="480"/>
        <w:jc w:val="left"/>
        <w:textAlignment w:val="auto"/>
        <w:rPr>
          <w:rFonts w:ascii="宋体" w:hAnsi="宋体" w:cs="宋体"/>
          <w:sz w:val="24"/>
        </w:rPr>
      </w:pPr>
      <w:r>
        <w:rPr>
          <w:rFonts w:hint="eastAsia" w:ascii="宋体" w:hAnsi="宋体" w:cs="宋体"/>
          <w:sz w:val="24"/>
        </w:rPr>
        <w:t>21.2 公示期满后采购代理机构通过电子交易平台，向成交供应商发出成交确认书，同时采购代理机构也可以以纸质形式进行成交确认书。</w:t>
      </w:r>
    </w:p>
    <w:p>
      <w:pPr>
        <w:pageBreakBefore w:val="0"/>
        <w:kinsoku/>
        <w:wordWrap/>
        <w:overflowPunct/>
        <w:topLinePunct w:val="0"/>
        <w:bidi w:val="0"/>
        <w:snapToGrid w:val="0"/>
        <w:spacing w:after="0" w:afterAutospacing="0" w:line="360" w:lineRule="auto"/>
        <w:ind w:left="120" w:leftChars="57" w:firstLine="482" w:firstLineChars="150"/>
        <w:jc w:val="center"/>
        <w:textAlignment w:val="auto"/>
        <w:rPr>
          <w:rFonts w:ascii="宋体" w:hAnsi="宋体" w:cs="宋体"/>
          <w:b/>
          <w:sz w:val="32"/>
        </w:rPr>
      </w:pPr>
      <w:r>
        <w:rPr>
          <w:rFonts w:hint="eastAsia" w:ascii="宋体" w:hAnsi="宋体" w:cs="宋体"/>
          <w:b/>
          <w:sz w:val="32"/>
        </w:rPr>
        <w:t>七、合同授予</w:t>
      </w:r>
    </w:p>
    <w:p>
      <w:pPr>
        <w:pStyle w:val="9"/>
        <w:pageBreakBefore w:val="0"/>
        <w:kinsoku/>
        <w:wordWrap/>
        <w:overflowPunct/>
        <w:topLinePunct w:val="0"/>
        <w:bidi w:val="0"/>
        <w:spacing w:after="0" w:afterAutospacing="0" w:line="360" w:lineRule="auto"/>
        <w:ind w:left="487" w:hanging="479" w:hangingChars="199"/>
        <w:textAlignment w:val="auto"/>
        <w:rPr>
          <w:rFonts w:cs="宋体"/>
          <w:b/>
        </w:rPr>
      </w:pPr>
      <w:r>
        <w:rPr>
          <w:rFonts w:hint="eastAsia" w:cs="宋体"/>
          <w:b/>
        </w:rPr>
        <w:t xml:space="preserve">22. </w:t>
      </w:r>
      <w:r>
        <w:rPr>
          <w:rFonts w:hint="eastAsia" w:cs="宋体"/>
        </w:rPr>
        <w:t>合同主要条款详见第五部分拟签订的合同文本。</w:t>
      </w:r>
    </w:p>
    <w:p>
      <w:pPr>
        <w:pStyle w:val="9"/>
        <w:pageBreakBefore w:val="0"/>
        <w:kinsoku/>
        <w:wordWrap/>
        <w:overflowPunct/>
        <w:topLinePunct w:val="0"/>
        <w:bidi w:val="0"/>
        <w:spacing w:after="0" w:afterAutospacing="0" w:line="360" w:lineRule="auto"/>
        <w:ind w:left="487" w:hanging="479" w:hangingChars="199"/>
        <w:textAlignment w:val="auto"/>
        <w:rPr>
          <w:rFonts w:cs="宋体"/>
          <w:b/>
        </w:rPr>
      </w:pPr>
      <w:r>
        <w:rPr>
          <w:rFonts w:hint="eastAsia" w:cs="宋体"/>
          <w:b/>
        </w:rPr>
        <w:t>23. 合同的签订</w:t>
      </w:r>
    </w:p>
    <w:p>
      <w:pPr>
        <w:pageBreakBefore w:val="0"/>
        <w:widowControl/>
        <w:shd w:val="clear" w:color="auto" w:fill="FFFFFF"/>
        <w:kinsoku/>
        <w:wordWrap/>
        <w:overflowPunct/>
        <w:topLinePunct w:val="0"/>
        <w:bidi w:val="0"/>
        <w:spacing w:after="0" w:afterAutospacing="0" w:line="360" w:lineRule="auto"/>
        <w:ind w:firstLine="480"/>
        <w:jc w:val="left"/>
        <w:textAlignment w:val="auto"/>
        <w:rPr>
          <w:rFonts w:ascii="宋体" w:hAnsi="宋体" w:cs="宋体"/>
          <w:strike/>
          <w:kern w:val="0"/>
          <w:sz w:val="24"/>
        </w:rPr>
      </w:pPr>
      <w:r>
        <w:rPr>
          <w:rFonts w:hint="eastAsia" w:ascii="宋体" w:hAnsi="宋体" w:cs="宋体"/>
          <w:sz w:val="24"/>
        </w:rPr>
        <w:t>23.1</w:t>
      </w:r>
      <w:r>
        <w:rPr>
          <w:rFonts w:hint="eastAsia" w:ascii="宋体" w:hAnsi="宋体" w:cs="宋体"/>
          <w:kern w:val="0"/>
          <w:sz w:val="24"/>
        </w:rPr>
        <w:t xml:space="preserve"> 采购人与成交供应商应当通过电子交易平台成交确认书发出之日起三十日内，按照采购文件确定的事项签订采购合同。</w:t>
      </w:r>
    </w:p>
    <w:p>
      <w:pPr>
        <w:pStyle w:val="31"/>
        <w:pageBreakBefore w:val="0"/>
        <w:kinsoku/>
        <w:wordWrap/>
        <w:overflowPunct/>
        <w:topLinePunct w:val="0"/>
        <w:bidi w:val="0"/>
        <w:snapToGrid w:val="0"/>
        <w:spacing w:before="0" w:after="0" w:afterAutospacing="0"/>
        <w:ind w:firstLine="480"/>
        <w:textAlignment w:val="auto"/>
        <w:rPr>
          <w:rFonts w:ascii="宋体" w:hAnsi="宋体" w:cs="宋体"/>
          <w:kern w:val="0"/>
        </w:rPr>
      </w:pPr>
      <w:r>
        <w:rPr>
          <w:rFonts w:hint="eastAsia" w:ascii="宋体" w:hAnsi="宋体" w:cs="宋体"/>
          <w:kern w:val="0"/>
          <w:lang w:val="zh-CN"/>
        </w:rPr>
        <w:t>2</w:t>
      </w:r>
      <w:r>
        <w:rPr>
          <w:rFonts w:hint="eastAsia" w:ascii="宋体" w:hAnsi="宋体" w:cs="宋体"/>
          <w:kern w:val="0"/>
        </w:rPr>
        <w:t>3</w:t>
      </w:r>
      <w:r>
        <w:rPr>
          <w:rFonts w:hint="eastAsia" w:ascii="宋体" w:hAnsi="宋体" w:cs="宋体"/>
          <w:kern w:val="0"/>
          <w:lang w:val="zh-CN"/>
        </w:rPr>
        <w:t>.2</w:t>
      </w:r>
      <w:r>
        <w:rPr>
          <w:rFonts w:hint="eastAsia" w:ascii="宋体" w:hAnsi="宋体" w:cs="宋体"/>
          <w:kern w:val="0"/>
        </w:rPr>
        <w:t>成交供应商</w:t>
      </w:r>
      <w:r>
        <w:rPr>
          <w:rFonts w:hint="eastAsia" w:ascii="宋体" w:hAnsi="宋体" w:cs="宋体"/>
          <w:kern w:val="0"/>
          <w:lang w:val="zh-CN"/>
        </w:rPr>
        <w:t>按规定的日期、时间、地点，由法定代表人或其授权代表与采购人代表签订合同。如</w:t>
      </w:r>
      <w:r>
        <w:rPr>
          <w:rFonts w:hint="eastAsia" w:ascii="宋体" w:hAnsi="宋体" w:cs="宋体"/>
          <w:kern w:val="0"/>
        </w:rPr>
        <w:t>成交供应商</w:t>
      </w:r>
      <w:r>
        <w:rPr>
          <w:rFonts w:hint="eastAsia" w:ascii="宋体" w:hAnsi="宋体" w:cs="宋体"/>
          <w:kern w:val="0"/>
          <w:lang w:val="zh-CN"/>
        </w:rPr>
        <w:t>为联合体的，由联合体成员各方法定代表人或其授权代表与采购人代表签订合同。</w:t>
      </w:r>
    </w:p>
    <w:p>
      <w:pPr>
        <w:pStyle w:val="31"/>
        <w:pageBreakBefore w:val="0"/>
        <w:kinsoku/>
        <w:wordWrap/>
        <w:overflowPunct/>
        <w:topLinePunct w:val="0"/>
        <w:bidi w:val="0"/>
        <w:snapToGrid w:val="0"/>
        <w:spacing w:before="0" w:after="0" w:afterAutospacing="0"/>
        <w:ind w:firstLine="480"/>
        <w:textAlignment w:val="auto"/>
        <w:rPr>
          <w:rFonts w:ascii="宋体" w:hAnsi="宋体" w:cs="宋体"/>
        </w:rPr>
      </w:pPr>
      <w:r>
        <w:rPr>
          <w:rFonts w:hint="eastAsia" w:ascii="宋体" w:hAnsi="宋体" w:cs="宋体"/>
        </w:rPr>
        <w:t>23.3如签订合同并生效后，供应商无故拒绝或延期，除按照合同条款处理外，列入不良行为记录一次，并给予通报。</w:t>
      </w:r>
    </w:p>
    <w:p>
      <w:pPr>
        <w:pStyle w:val="31"/>
        <w:pageBreakBefore w:val="0"/>
        <w:kinsoku/>
        <w:wordWrap/>
        <w:overflowPunct/>
        <w:topLinePunct w:val="0"/>
        <w:bidi w:val="0"/>
        <w:snapToGrid w:val="0"/>
        <w:spacing w:before="0" w:after="0" w:afterAutospacing="0"/>
        <w:ind w:firstLine="480"/>
        <w:textAlignment w:val="auto"/>
        <w:rPr>
          <w:rFonts w:ascii="宋体" w:hAnsi="宋体" w:cs="宋体"/>
        </w:rPr>
      </w:pPr>
      <w:r>
        <w:rPr>
          <w:rFonts w:hint="eastAsia" w:ascii="宋体" w:hAnsi="宋体" w:cs="宋体"/>
        </w:rPr>
        <w:t>23.4成交供应商拒绝与采购人签订合同的，采购人可以按照评审报告推荐成交候选人名单排序，确定下一候选人为成交供应商，也可以重新开展采购活动。</w:t>
      </w:r>
    </w:p>
    <w:p>
      <w:pPr>
        <w:pStyle w:val="31"/>
        <w:pageBreakBefore w:val="0"/>
        <w:kinsoku/>
        <w:wordWrap/>
        <w:overflowPunct/>
        <w:topLinePunct w:val="0"/>
        <w:bidi w:val="0"/>
        <w:snapToGrid w:val="0"/>
        <w:spacing w:before="0" w:after="0" w:afterAutospacing="0"/>
        <w:ind w:firstLine="480"/>
        <w:textAlignment w:val="auto"/>
        <w:rPr>
          <w:rFonts w:ascii="宋体" w:hAnsi="宋体" w:cs="宋体"/>
        </w:rPr>
      </w:pPr>
      <w:r>
        <w:rPr>
          <w:rFonts w:hint="eastAsia" w:ascii="宋体" w:hAnsi="宋体" w:cs="宋体"/>
        </w:rPr>
        <w:t>23.5采购合同由采购人与成交供应商根据采购文件、响应文件等内容通过采购电子交易平台在线签订，自动备案。</w:t>
      </w:r>
    </w:p>
    <w:p>
      <w:pPr>
        <w:pStyle w:val="9"/>
        <w:pageBreakBefore w:val="0"/>
        <w:kinsoku/>
        <w:wordWrap/>
        <w:overflowPunct/>
        <w:topLinePunct w:val="0"/>
        <w:bidi w:val="0"/>
        <w:spacing w:after="0" w:afterAutospacing="0" w:line="360" w:lineRule="auto"/>
        <w:ind w:left="487" w:hanging="479" w:hangingChars="199"/>
        <w:textAlignment w:val="auto"/>
        <w:rPr>
          <w:rFonts w:cs="宋体"/>
          <w:b/>
        </w:rPr>
      </w:pPr>
      <w:r>
        <w:rPr>
          <w:rFonts w:hint="eastAsia" w:cs="宋体"/>
          <w:b/>
        </w:rPr>
        <w:t>24. 履约保证金</w:t>
      </w:r>
    </w:p>
    <w:p>
      <w:pPr>
        <w:pageBreakBefore w:val="0"/>
        <w:tabs>
          <w:tab w:val="left" w:pos="0"/>
        </w:tabs>
        <w:kinsoku/>
        <w:wordWrap/>
        <w:overflowPunct/>
        <w:topLinePunct w:val="0"/>
        <w:bidi w:val="0"/>
        <w:spacing w:after="0" w:afterAutospacing="0" w:line="360" w:lineRule="auto"/>
        <w:ind w:firstLine="482"/>
        <w:textAlignment w:val="auto"/>
      </w:pPr>
      <w:r>
        <w:rPr>
          <w:rFonts w:hint="eastAsia" w:ascii="宋体" w:hAnsi="宋体" w:cs="宋体"/>
          <w:kern w:val="0"/>
          <w:sz w:val="24"/>
        </w:rPr>
        <w:t>拟签订的合同文本要求成交供应商提交履约保证金的，供应商应当以支票、汇票、本票或者金融机构、担保机构出具的保函等非现金形式提交</w:t>
      </w:r>
      <w:r>
        <w:rPr>
          <w:rFonts w:hint="eastAsia" w:ascii="宋体" w:hAnsi="宋体" w:cs="宋体"/>
          <w:sz w:val="24"/>
        </w:rPr>
        <w:t>。履约保证金的数额不得超过采购合同金额的</w:t>
      </w:r>
      <w:r>
        <w:rPr>
          <w:rFonts w:ascii="宋体" w:hAnsi="宋体" w:cs="宋体"/>
          <w:sz w:val="24"/>
        </w:rPr>
        <w:t>1</w:t>
      </w:r>
      <w:r>
        <w:rPr>
          <w:rFonts w:hint="eastAsia" w:ascii="宋体" w:hAnsi="宋体" w:cs="宋体"/>
          <w:sz w:val="24"/>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pPr>
        <w:pageBreakBefore w:val="0"/>
        <w:kinsoku/>
        <w:wordWrap/>
        <w:overflowPunct/>
        <w:topLinePunct w:val="0"/>
        <w:bidi w:val="0"/>
        <w:snapToGrid w:val="0"/>
        <w:spacing w:after="0" w:afterAutospacing="0" w:line="360" w:lineRule="auto"/>
        <w:ind w:firstLine="3357" w:firstLineChars="1045"/>
        <w:textAlignment w:val="auto"/>
        <w:rPr>
          <w:rFonts w:ascii="宋体" w:hAnsi="宋体" w:cs="宋体"/>
          <w:b/>
          <w:sz w:val="24"/>
        </w:rPr>
      </w:pPr>
      <w:r>
        <w:rPr>
          <w:rFonts w:hint="eastAsia" w:ascii="宋体" w:hAnsi="宋体" w:cs="宋体"/>
          <w:b/>
          <w:sz w:val="32"/>
        </w:rPr>
        <w:t>八、电子交易活动的中止</w:t>
      </w:r>
    </w:p>
    <w:p>
      <w:pPr>
        <w:pStyle w:val="31"/>
        <w:pageBreakBefore w:val="0"/>
        <w:kinsoku/>
        <w:wordWrap/>
        <w:overflowPunct/>
        <w:topLinePunct w:val="0"/>
        <w:bidi w:val="0"/>
        <w:snapToGrid w:val="0"/>
        <w:spacing w:before="0" w:after="0" w:afterAutospacing="0"/>
        <w:ind w:firstLine="0" w:firstLineChars="0"/>
        <w:textAlignment w:val="auto"/>
        <w:rPr>
          <w:rFonts w:ascii="宋体" w:hAnsi="宋体" w:cs="宋体"/>
        </w:rPr>
      </w:pPr>
      <w:r>
        <w:rPr>
          <w:rFonts w:ascii="宋体" w:hAnsi="宋体" w:cs="宋体"/>
          <w:b/>
          <w:bCs/>
        </w:rPr>
        <w:t>2</w:t>
      </w:r>
      <w:r>
        <w:rPr>
          <w:rFonts w:hint="eastAsia" w:ascii="宋体" w:hAnsi="宋体" w:cs="宋体"/>
          <w:b/>
          <w:bCs/>
          <w:szCs w:val="24"/>
        </w:rPr>
        <w:t>5</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pPr>
        <w:pStyle w:val="31"/>
        <w:pageBreakBefore w:val="0"/>
        <w:kinsoku/>
        <w:wordWrap/>
        <w:overflowPunct/>
        <w:topLinePunct w:val="0"/>
        <w:bidi w:val="0"/>
        <w:snapToGrid w:val="0"/>
        <w:spacing w:before="0" w:after="0" w:afterAutospacing="0"/>
        <w:ind w:firstLine="480"/>
        <w:textAlignment w:val="auto"/>
        <w:rPr>
          <w:rFonts w:ascii="宋体" w:hAnsi="宋体" w:cs="宋体"/>
        </w:rPr>
      </w:pPr>
      <w:r>
        <w:rPr>
          <w:rFonts w:hint="eastAsia" w:ascii="宋体" w:hAnsi="宋体" w:cs="宋体"/>
        </w:rPr>
        <w:t xml:space="preserve">25.1电子交易平台发生故障而无法登录访问的； </w:t>
      </w:r>
    </w:p>
    <w:p>
      <w:pPr>
        <w:pStyle w:val="31"/>
        <w:pageBreakBefore w:val="0"/>
        <w:kinsoku/>
        <w:wordWrap/>
        <w:overflowPunct/>
        <w:topLinePunct w:val="0"/>
        <w:bidi w:val="0"/>
        <w:snapToGrid w:val="0"/>
        <w:spacing w:before="0" w:after="0" w:afterAutospacing="0"/>
        <w:ind w:firstLine="480"/>
        <w:textAlignment w:val="auto"/>
        <w:rPr>
          <w:rFonts w:ascii="宋体" w:hAnsi="宋体" w:cs="宋体"/>
        </w:rPr>
      </w:pPr>
      <w:r>
        <w:rPr>
          <w:rFonts w:hint="eastAsia" w:ascii="宋体" w:hAnsi="宋体" w:cs="宋体"/>
        </w:rPr>
        <w:t>25.2电子交易平台应用或数据库出现错误，不能进行正常操作的；</w:t>
      </w:r>
    </w:p>
    <w:p>
      <w:pPr>
        <w:pStyle w:val="31"/>
        <w:pageBreakBefore w:val="0"/>
        <w:kinsoku/>
        <w:wordWrap/>
        <w:overflowPunct/>
        <w:topLinePunct w:val="0"/>
        <w:bidi w:val="0"/>
        <w:snapToGrid w:val="0"/>
        <w:spacing w:before="0" w:after="0" w:afterAutospacing="0"/>
        <w:ind w:firstLine="480"/>
        <w:textAlignment w:val="auto"/>
        <w:rPr>
          <w:rFonts w:ascii="宋体" w:hAnsi="宋体" w:cs="宋体"/>
        </w:rPr>
      </w:pPr>
      <w:r>
        <w:rPr>
          <w:rFonts w:hint="eastAsia" w:ascii="宋体" w:hAnsi="宋体" w:cs="宋体"/>
        </w:rPr>
        <w:t>25.3电子交易平台发现严重安全漏洞，有潜在泄密危险的；</w:t>
      </w:r>
    </w:p>
    <w:p>
      <w:pPr>
        <w:pStyle w:val="31"/>
        <w:pageBreakBefore w:val="0"/>
        <w:kinsoku/>
        <w:wordWrap/>
        <w:overflowPunct/>
        <w:topLinePunct w:val="0"/>
        <w:bidi w:val="0"/>
        <w:snapToGrid w:val="0"/>
        <w:spacing w:before="0" w:after="0" w:afterAutospacing="0"/>
        <w:ind w:firstLine="480"/>
        <w:textAlignment w:val="auto"/>
        <w:rPr>
          <w:rFonts w:ascii="宋体" w:hAnsi="宋体" w:cs="宋体"/>
        </w:rPr>
      </w:pPr>
      <w:r>
        <w:rPr>
          <w:rFonts w:hint="eastAsia" w:ascii="宋体" w:hAnsi="宋体" w:cs="宋体"/>
        </w:rPr>
        <w:t xml:space="preserve">25.4病毒发作导致不能进行正常操作的； </w:t>
      </w:r>
    </w:p>
    <w:p>
      <w:pPr>
        <w:pStyle w:val="31"/>
        <w:pageBreakBefore w:val="0"/>
        <w:kinsoku/>
        <w:wordWrap/>
        <w:overflowPunct/>
        <w:topLinePunct w:val="0"/>
        <w:bidi w:val="0"/>
        <w:snapToGrid w:val="0"/>
        <w:spacing w:before="0" w:after="0" w:afterAutospacing="0"/>
        <w:ind w:firstLine="480"/>
        <w:textAlignment w:val="auto"/>
        <w:rPr>
          <w:rFonts w:ascii="宋体" w:hAnsi="宋体" w:cs="宋体"/>
        </w:rPr>
      </w:pPr>
      <w:r>
        <w:rPr>
          <w:rFonts w:hint="eastAsia" w:ascii="宋体" w:hAnsi="宋体" w:cs="宋体"/>
        </w:rPr>
        <w:t>25.5其他无法保证电子交易的公平、公正和安全的情况。</w:t>
      </w:r>
    </w:p>
    <w:p>
      <w:pPr>
        <w:pStyle w:val="31"/>
        <w:pageBreakBefore w:val="0"/>
        <w:kinsoku/>
        <w:wordWrap/>
        <w:overflowPunct/>
        <w:topLinePunct w:val="0"/>
        <w:bidi w:val="0"/>
        <w:snapToGrid w:val="0"/>
        <w:spacing w:before="0" w:after="0" w:afterAutospacing="0"/>
        <w:ind w:firstLine="0" w:firstLineChars="0"/>
        <w:textAlignment w:val="auto"/>
        <w:rPr>
          <w:rFonts w:ascii="宋体" w:hAnsi="宋体" w:cs="宋体"/>
        </w:rPr>
      </w:pPr>
      <w:r>
        <w:rPr>
          <w:rFonts w:hint="eastAsia" w:ascii="宋体" w:hAnsi="宋体" w:cs="宋体"/>
        </w:rPr>
        <w:t xml:space="preserve"> 26.出现以上情形，不影响采购公平、公正性的，采购组织机构可以待上述情形消除后继续组织电子交易活动，也可以决定某些环节以纸质形式进行；影响或可能影响采购公平、公正性的，应当重新采购。</w:t>
      </w:r>
    </w:p>
    <w:p>
      <w:pPr>
        <w:pageBreakBefore w:val="0"/>
        <w:kinsoku/>
        <w:wordWrap/>
        <w:overflowPunct/>
        <w:topLinePunct w:val="0"/>
        <w:bidi w:val="0"/>
        <w:snapToGrid w:val="0"/>
        <w:spacing w:after="0" w:afterAutospacing="0" w:line="360" w:lineRule="auto"/>
        <w:ind w:left="120" w:leftChars="57" w:firstLine="482" w:firstLineChars="150"/>
        <w:jc w:val="center"/>
        <w:textAlignment w:val="auto"/>
        <w:rPr>
          <w:rFonts w:ascii="宋体" w:hAnsi="宋体" w:cs="宋体"/>
          <w:b/>
          <w:sz w:val="32"/>
        </w:rPr>
      </w:pPr>
      <w:r>
        <w:rPr>
          <w:rFonts w:hint="eastAsia" w:ascii="宋体" w:hAnsi="宋体" w:cs="宋体"/>
          <w:b/>
          <w:sz w:val="32"/>
        </w:rPr>
        <w:t>九、验收</w:t>
      </w:r>
    </w:p>
    <w:p>
      <w:pPr>
        <w:pStyle w:val="9"/>
        <w:pageBreakBefore w:val="0"/>
        <w:kinsoku/>
        <w:wordWrap/>
        <w:overflowPunct/>
        <w:topLinePunct w:val="0"/>
        <w:bidi w:val="0"/>
        <w:spacing w:after="0" w:afterAutospacing="0" w:line="360" w:lineRule="auto"/>
        <w:ind w:firstLine="0" w:firstLineChars="0"/>
        <w:textAlignment w:val="auto"/>
        <w:rPr>
          <w:rFonts w:cs="宋体"/>
          <w:b/>
        </w:rPr>
      </w:pPr>
      <w:r>
        <w:rPr>
          <w:rFonts w:hint="eastAsia" w:cs="宋体"/>
          <w:b/>
        </w:rPr>
        <w:t>27.验收</w:t>
      </w:r>
    </w:p>
    <w:p>
      <w:pPr>
        <w:pageBreakBefore w:val="0"/>
        <w:tabs>
          <w:tab w:val="left" w:pos="0"/>
        </w:tabs>
        <w:kinsoku/>
        <w:wordWrap/>
        <w:overflowPunct/>
        <w:topLinePunct w:val="0"/>
        <w:bidi w:val="0"/>
        <w:spacing w:after="0" w:afterAutospacing="0" w:line="360" w:lineRule="auto"/>
        <w:ind w:firstLine="480"/>
        <w:textAlignment w:val="auto"/>
        <w:rPr>
          <w:rFonts w:ascii="宋体" w:hAnsi="宋体" w:cs="宋体"/>
          <w:kern w:val="0"/>
          <w:sz w:val="24"/>
        </w:rPr>
      </w:pPr>
      <w:r>
        <w:rPr>
          <w:rFonts w:hint="eastAsia" w:ascii="宋体" w:hAnsi="宋体" w:cs="宋体"/>
          <w:kern w:val="0"/>
          <w:sz w:val="24"/>
        </w:rPr>
        <w:t>27.1采购人应当根据采购项目的具体情况，自行组织项目验收或者委托采购代理机构验收。大型或者复杂的采购项目，应当邀请国家认可的质量检测机构参加验收工作。验收方成员应当在验收书上签字，并承担相应的法律责任。如果发现与合同中要求不符，供应商须承担由此发生的一切损失和费用，并接受相应的处理。</w:t>
      </w:r>
    </w:p>
    <w:p>
      <w:pPr>
        <w:pageBreakBefore w:val="0"/>
        <w:tabs>
          <w:tab w:val="left" w:pos="0"/>
        </w:tabs>
        <w:kinsoku/>
        <w:wordWrap/>
        <w:overflowPunct/>
        <w:topLinePunct w:val="0"/>
        <w:bidi w:val="0"/>
        <w:spacing w:after="0" w:afterAutospacing="0" w:line="360" w:lineRule="auto"/>
        <w:ind w:firstLine="480"/>
        <w:textAlignment w:val="auto"/>
        <w:rPr>
          <w:rFonts w:ascii="宋体" w:hAnsi="宋体" w:cs="宋体"/>
          <w:kern w:val="0"/>
          <w:sz w:val="24"/>
        </w:rPr>
      </w:pPr>
      <w:r>
        <w:rPr>
          <w:rFonts w:hint="eastAsia" w:ascii="宋体" w:hAnsi="宋体" w:cs="宋体"/>
          <w:kern w:val="0"/>
          <w:sz w:val="24"/>
        </w:rPr>
        <w:t>27.2采购人可以邀请参加本项目的其他供应商或者第三方机构参与验收。参与验收的供应商或者第三方机构的意见作为验收书的参考资料一并存档。</w:t>
      </w:r>
    </w:p>
    <w:p>
      <w:pPr>
        <w:pageBreakBefore w:val="0"/>
        <w:tabs>
          <w:tab w:val="left" w:pos="0"/>
        </w:tabs>
        <w:kinsoku/>
        <w:wordWrap/>
        <w:overflowPunct/>
        <w:topLinePunct w:val="0"/>
        <w:bidi w:val="0"/>
        <w:spacing w:after="0" w:afterAutospacing="0" w:line="360" w:lineRule="auto"/>
        <w:ind w:firstLine="480"/>
        <w:textAlignment w:val="auto"/>
        <w:rPr>
          <w:rFonts w:ascii="宋体" w:hAnsi="宋体" w:cs="宋体"/>
          <w:kern w:val="0"/>
          <w:sz w:val="24"/>
        </w:rPr>
      </w:pPr>
      <w:r>
        <w:rPr>
          <w:rFonts w:hint="eastAsia" w:ascii="宋体" w:hAnsi="宋体" w:cs="宋体"/>
          <w:kern w:val="0"/>
          <w:sz w:val="24"/>
        </w:rPr>
        <w:t>27.3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pStyle w:val="4"/>
        <w:pageBreakBefore w:val="0"/>
        <w:kinsoku/>
        <w:wordWrap/>
        <w:overflowPunct/>
        <w:topLinePunct w:val="0"/>
        <w:bidi w:val="0"/>
        <w:adjustRightInd w:val="0"/>
        <w:snapToGrid w:val="0"/>
        <w:spacing w:after="0" w:afterAutospacing="0"/>
        <w:ind w:left="0" w:firstLine="480" w:firstLineChars="200"/>
        <w:textAlignment w:val="auto"/>
        <w:rPr>
          <w:rFonts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27.4验收合格的项目，采购人将根据采购合同的约定及时向供应商支付采购资金、退还履约保证金。验收不合格的项目，采购人将依法及时处理。采购合同的履行、违约责任和解决争议的方式等适用《中华人民共和国民法典》。</w:t>
      </w:r>
    </w:p>
    <w:p>
      <w:pPr>
        <w:rPr>
          <w:rFonts w:ascii="宋体" w:hAnsi="宋体" w:cs="宋体"/>
          <w:b/>
          <w:sz w:val="32"/>
          <w:szCs w:val="20"/>
        </w:rPr>
      </w:pPr>
      <w:r>
        <w:rPr>
          <w:rFonts w:hint="eastAsia" w:ascii="宋体" w:hAnsi="宋体" w:cs="宋体"/>
          <w:b/>
          <w:sz w:val="32"/>
          <w:szCs w:val="20"/>
        </w:rPr>
        <w:br w:type="page"/>
      </w:r>
    </w:p>
    <w:bookmarkEnd w:id="6"/>
    <w:bookmarkEnd w:id="7"/>
    <w:bookmarkEnd w:id="8"/>
    <w:bookmarkEnd w:id="9"/>
    <w:bookmarkEnd w:id="10"/>
    <w:p>
      <w:pPr>
        <w:pStyle w:val="3"/>
        <w:keepLines w:val="0"/>
        <w:pageBreakBefore w:val="0"/>
        <w:widowControl w:val="0"/>
        <w:kinsoku/>
        <w:wordWrap/>
        <w:overflowPunct/>
        <w:topLinePunct w:val="0"/>
        <w:autoSpaceDE/>
        <w:autoSpaceDN/>
        <w:bidi w:val="0"/>
        <w:snapToGrid/>
        <w:spacing w:after="0"/>
        <w:textAlignment w:val="auto"/>
        <w:rPr>
          <w:rFonts w:ascii="宋体" w:hAnsi="宋体" w:cs="宋体"/>
          <w:color w:val="auto"/>
        </w:rPr>
      </w:pPr>
      <w:bookmarkStart w:id="11" w:name="_Toc298767927"/>
      <w:bookmarkStart w:id="12" w:name="_Toc294012141"/>
      <w:bookmarkStart w:id="13" w:name="_Toc29944"/>
      <w:bookmarkStart w:id="14" w:name="_Toc13642"/>
      <w:r>
        <w:rPr>
          <w:rFonts w:hint="eastAsia" w:ascii="宋体" w:hAnsi="宋体" w:cs="宋体"/>
          <w:color w:val="auto"/>
        </w:rPr>
        <w:t xml:space="preserve">第三章  </w:t>
      </w:r>
      <w:bookmarkEnd w:id="11"/>
      <w:bookmarkEnd w:id="12"/>
      <w:r>
        <w:rPr>
          <w:rFonts w:hint="eastAsia" w:ascii="宋体" w:hAnsi="宋体" w:cs="宋体"/>
          <w:color w:val="auto"/>
        </w:rPr>
        <w:t>采购</w:t>
      </w:r>
      <w:bookmarkEnd w:id="13"/>
      <w:bookmarkEnd w:id="14"/>
      <w:r>
        <w:rPr>
          <w:rFonts w:hint="eastAsia" w:ascii="宋体" w:hAnsi="宋体" w:cs="宋体"/>
          <w:color w:val="auto"/>
        </w:rPr>
        <w:t>需求</w:t>
      </w:r>
    </w:p>
    <w:p>
      <w:pPr>
        <w:keepLines w:val="0"/>
        <w:pageBreakBefore w:val="0"/>
        <w:widowControl w:val="0"/>
        <w:kinsoku/>
        <w:wordWrap/>
        <w:overflowPunct/>
        <w:topLinePunct w:val="0"/>
        <w:autoSpaceDE/>
        <w:autoSpaceDN/>
        <w:bidi w:val="0"/>
        <w:adjustRightInd/>
        <w:snapToGrid/>
        <w:spacing w:after="0" w:line="240" w:lineRule="auto"/>
        <w:ind w:firstLine="480"/>
        <w:textAlignment w:val="auto"/>
        <w:rPr>
          <w:rFonts w:ascii="仿宋" w:hAnsi="仿宋" w:eastAsia="仿宋"/>
          <w:sz w:val="28"/>
          <w:szCs w:val="28"/>
        </w:rPr>
      </w:pPr>
      <w:bookmarkStart w:id="15" w:name="_Toc8116825"/>
      <w:r>
        <w:rPr>
          <w:rFonts w:hint="eastAsia" w:ascii="仿宋" w:hAnsi="仿宋" w:eastAsia="仿宋"/>
          <w:sz w:val="28"/>
          <w:szCs w:val="28"/>
        </w:rPr>
        <w:t>为确保辖区病媒生物监测工作的科学、规范、统一，监测数据的真实、可信、有效，根据《全国病媒生物监测方案》以及《浙江省病媒生物监测方案》，特制定本监测方案。</w:t>
      </w:r>
    </w:p>
    <w:p>
      <w:pPr>
        <w:keepLines w:val="0"/>
        <w:pageBreakBefore w:val="0"/>
        <w:widowControl w:val="0"/>
        <w:kinsoku/>
        <w:wordWrap/>
        <w:overflowPunct/>
        <w:topLinePunct w:val="0"/>
        <w:autoSpaceDE/>
        <w:autoSpaceDN/>
        <w:bidi w:val="0"/>
        <w:adjustRightInd/>
        <w:snapToGrid/>
        <w:spacing w:before="120" w:beforeLines="50" w:after="0" w:line="240" w:lineRule="auto"/>
        <w:textAlignment w:val="auto"/>
        <w:rPr>
          <w:rFonts w:ascii="仿宋" w:hAnsi="仿宋" w:eastAsia="仿宋" w:cs="仿宋"/>
          <w:b/>
          <w:sz w:val="28"/>
          <w:szCs w:val="28"/>
        </w:rPr>
      </w:pPr>
      <w:bookmarkStart w:id="16" w:name="_Toc88669990"/>
      <w:r>
        <w:rPr>
          <w:rFonts w:hint="eastAsia" w:ascii="仿宋" w:hAnsi="仿宋" w:eastAsia="仿宋" w:cs="仿宋"/>
          <w:b/>
          <w:sz w:val="28"/>
          <w:szCs w:val="28"/>
        </w:rPr>
        <w:t>一、背景</w:t>
      </w:r>
      <w:bookmarkEnd w:id="16"/>
    </w:p>
    <w:p>
      <w:pPr>
        <w:keepLines w:val="0"/>
        <w:pageBreakBefore w:val="0"/>
        <w:widowControl w:val="0"/>
        <w:kinsoku/>
        <w:wordWrap/>
        <w:overflowPunct/>
        <w:topLinePunct w:val="0"/>
        <w:autoSpaceDE/>
        <w:autoSpaceDN/>
        <w:bidi w:val="0"/>
        <w:adjustRightInd/>
        <w:snapToGrid/>
        <w:spacing w:after="0" w:line="240" w:lineRule="auto"/>
        <w:ind w:firstLine="480"/>
        <w:textAlignment w:val="auto"/>
        <w:rPr>
          <w:rFonts w:ascii="仿宋" w:hAnsi="仿宋" w:eastAsia="仿宋"/>
          <w:sz w:val="28"/>
          <w:szCs w:val="28"/>
        </w:rPr>
      </w:pPr>
      <w:r>
        <w:rPr>
          <w:rFonts w:hint="eastAsia" w:ascii="仿宋" w:hAnsi="仿宋" w:eastAsia="仿宋"/>
          <w:sz w:val="28"/>
          <w:szCs w:val="28"/>
        </w:rPr>
        <w:t>病媒生物是指能传播疾病的生物，一般指能传播人类疾病的生物。病媒生物包括脊椎动物和无脊椎动物，脊椎动物媒介主要是鼠类；无脊椎动物媒介主要是昆虫纲的蚊、蝇、蟑螂等和蛛形纲的蜱、螨等。病媒生物不仅可以直接通过叮咬和污染食物，影响或危害人类的正常生活，更可以通过多种途径传播一系列的重要传染病。</w:t>
      </w:r>
    </w:p>
    <w:p>
      <w:pPr>
        <w:keepLines w:val="0"/>
        <w:pageBreakBefore w:val="0"/>
        <w:widowControl w:val="0"/>
        <w:kinsoku/>
        <w:wordWrap/>
        <w:overflowPunct/>
        <w:topLinePunct w:val="0"/>
        <w:autoSpaceDE/>
        <w:autoSpaceDN/>
        <w:bidi w:val="0"/>
        <w:adjustRightInd/>
        <w:snapToGrid/>
        <w:spacing w:after="0" w:line="240" w:lineRule="auto"/>
        <w:ind w:firstLine="480"/>
        <w:textAlignment w:val="auto"/>
        <w:rPr>
          <w:rFonts w:ascii="仿宋" w:hAnsi="仿宋" w:eastAsia="仿宋"/>
          <w:sz w:val="28"/>
          <w:szCs w:val="28"/>
        </w:rPr>
      </w:pPr>
      <w:r>
        <w:rPr>
          <w:rFonts w:hint="eastAsia" w:ascii="仿宋" w:hAnsi="仿宋" w:eastAsia="仿宋"/>
          <w:sz w:val="28"/>
          <w:szCs w:val="28"/>
        </w:rPr>
        <w:t>在我国法定报告的传染病中有许多属于病媒生物性传染病，如鼠疫、流行性出血热、疟疾、登革热等；而一些消化道传染病则通过病媒生物的机械性传播在人群中扩散，如痢疾、伤寒等。通过对病媒生物的有效控制，可以减少它们对人群的骚扰和经济损失，更可以预防和控制病媒生物性传染病的发生和传播。</w:t>
      </w:r>
    </w:p>
    <w:p>
      <w:pPr>
        <w:keepLines w:val="0"/>
        <w:pageBreakBefore w:val="0"/>
        <w:widowControl w:val="0"/>
        <w:kinsoku/>
        <w:wordWrap/>
        <w:overflowPunct/>
        <w:topLinePunct w:val="0"/>
        <w:autoSpaceDE/>
        <w:autoSpaceDN/>
        <w:bidi w:val="0"/>
        <w:adjustRightInd/>
        <w:snapToGrid/>
        <w:spacing w:after="0" w:line="240" w:lineRule="auto"/>
        <w:ind w:firstLine="480"/>
        <w:textAlignment w:val="auto"/>
        <w:rPr>
          <w:rFonts w:ascii="仿宋" w:hAnsi="仿宋" w:eastAsia="仿宋"/>
          <w:sz w:val="28"/>
          <w:szCs w:val="28"/>
        </w:rPr>
      </w:pPr>
      <w:r>
        <w:rPr>
          <w:rFonts w:hint="eastAsia" w:ascii="仿宋" w:hAnsi="仿宋" w:eastAsia="仿宋"/>
          <w:sz w:val="28"/>
          <w:szCs w:val="28"/>
        </w:rPr>
        <w:t>系统地开展病媒生物监测不仅为制定病媒生物控制方案提供依据，而且为病媒生物性传染病的流行趋势提供预测预警信息。因此加强病媒生物监测工作已经成为疾病预防控制工作中的一个迫切任务。</w:t>
      </w:r>
    </w:p>
    <w:p>
      <w:pPr>
        <w:keepLines w:val="0"/>
        <w:pageBreakBefore w:val="0"/>
        <w:widowControl w:val="0"/>
        <w:kinsoku/>
        <w:wordWrap/>
        <w:overflowPunct/>
        <w:topLinePunct w:val="0"/>
        <w:autoSpaceDE/>
        <w:autoSpaceDN/>
        <w:bidi w:val="0"/>
        <w:adjustRightInd/>
        <w:snapToGrid/>
        <w:spacing w:before="120" w:beforeLines="50" w:after="0" w:line="240" w:lineRule="auto"/>
        <w:textAlignment w:val="auto"/>
        <w:rPr>
          <w:rFonts w:ascii="仿宋" w:hAnsi="仿宋" w:eastAsia="仿宋"/>
          <w:b/>
          <w:sz w:val="28"/>
          <w:szCs w:val="28"/>
        </w:rPr>
      </w:pPr>
      <w:r>
        <w:rPr>
          <w:rFonts w:hint="eastAsia" w:ascii="仿宋" w:hAnsi="仿宋" w:eastAsia="仿宋"/>
          <w:b/>
          <w:sz w:val="28"/>
          <w:szCs w:val="28"/>
        </w:rPr>
        <w:t>二、监测目的</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（一）掌握辖区主要病媒生物种类、密度和季节消长规律，分析病媒生物的长期变化趋势。</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（二）评估病媒生物侵扰状况，指导病媒生物科学防制。</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（三）开展病媒传播疾病风险评估和预测预警，为该类传染病的预防控制提供建议和决策依据。</w:t>
      </w:r>
    </w:p>
    <w:p>
      <w:pPr>
        <w:keepLines w:val="0"/>
        <w:pageBreakBefore w:val="0"/>
        <w:widowControl w:val="0"/>
        <w:kinsoku/>
        <w:wordWrap/>
        <w:overflowPunct/>
        <w:topLinePunct w:val="0"/>
        <w:autoSpaceDE/>
        <w:autoSpaceDN/>
        <w:bidi w:val="0"/>
        <w:adjustRightInd/>
        <w:snapToGrid/>
        <w:spacing w:after="0" w:line="240" w:lineRule="auto"/>
        <w:textAlignment w:val="auto"/>
        <w:rPr>
          <w:rFonts w:ascii="仿宋" w:hAnsi="仿宋" w:eastAsia="仿宋"/>
          <w:b/>
          <w:sz w:val="28"/>
          <w:szCs w:val="28"/>
        </w:rPr>
      </w:pPr>
      <w:bookmarkStart w:id="17" w:name="_Toc88669993"/>
      <w:r>
        <w:rPr>
          <w:rFonts w:hint="eastAsia" w:ascii="仿宋" w:hAnsi="仿宋" w:eastAsia="仿宋"/>
          <w:b/>
          <w:sz w:val="28"/>
          <w:szCs w:val="28"/>
        </w:rPr>
        <w:t>三、监测的组织、分工和职责</w:t>
      </w:r>
      <w:bookmarkEnd w:id="17"/>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(一) 区卫健局</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负责组织开展本辖区内的监测工作，建立健全监测队伍，协调落实监测工作经费，组织本地区督导考核。</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（二）区疾控中心（区卫生监督所）</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负责本辖区病媒生物监测方案的制定、技术指导。</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（三）第三方监测机构</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负责每月病媒生物密度的现场监测、种类鉴定、标本上送、数据汇总及突发疫情的应急监测。</w:t>
      </w:r>
    </w:p>
    <w:p>
      <w:pPr>
        <w:keepLines w:val="0"/>
        <w:pageBreakBefore w:val="0"/>
        <w:widowControl w:val="0"/>
        <w:kinsoku/>
        <w:wordWrap/>
        <w:overflowPunct/>
        <w:topLinePunct w:val="0"/>
        <w:autoSpaceDE/>
        <w:autoSpaceDN/>
        <w:bidi w:val="0"/>
        <w:adjustRightInd/>
        <w:snapToGrid/>
        <w:spacing w:before="120" w:beforeLines="50" w:after="0" w:line="240" w:lineRule="auto"/>
        <w:textAlignment w:val="auto"/>
        <w:rPr>
          <w:rFonts w:ascii="仿宋" w:hAnsi="仿宋" w:eastAsia="仿宋"/>
          <w:b/>
          <w:sz w:val="28"/>
          <w:szCs w:val="28"/>
        </w:rPr>
      </w:pPr>
      <w:r>
        <w:rPr>
          <w:rFonts w:hint="eastAsia" w:ascii="仿宋" w:hAnsi="仿宋" w:eastAsia="仿宋"/>
          <w:b/>
          <w:sz w:val="28"/>
          <w:szCs w:val="28"/>
        </w:rPr>
        <w:t>四、监测种类与方法</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拱墅区为国家级监测点，开展鼠、蚊、蝇、蟑螂、蜱类、臭虫的生态学监测，不同病媒生物监测方案详见附件1。</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监测点病媒生物采用监测方法如下：</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（一）鼠：夹（笼）夜法和粘鼠板法（居民区室内外环境）。</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（二）蟑螂：粘捕法和目测法。</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（三）蚊：成蚊采用诱蚊灯法和双层叠帐法；幼蚊采用勺捕法。</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（四）苍蝇：笼诱法。</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（五）蜱：寄生蜱采用体表检蜱法，游离蜱采用布旗法。</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（六）臭虫：粘捕法及目测法。</w:t>
      </w:r>
    </w:p>
    <w:p>
      <w:pPr>
        <w:keepLines w:val="0"/>
        <w:pageBreakBefore w:val="0"/>
        <w:widowControl w:val="0"/>
        <w:kinsoku/>
        <w:wordWrap/>
        <w:overflowPunct/>
        <w:topLinePunct w:val="0"/>
        <w:autoSpaceDE/>
        <w:autoSpaceDN/>
        <w:bidi w:val="0"/>
        <w:adjustRightInd/>
        <w:snapToGrid/>
        <w:spacing w:after="0" w:line="240" w:lineRule="auto"/>
        <w:textAlignment w:val="auto"/>
        <w:rPr>
          <w:rFonts w:ascii="仿宋" w:hAnsi="仿宋" w:eastAsia="仿宋"/>
          <w:b/>
          <w:sz w:val="28"/>
          <w:szCs w:val="28"/>
        </w:rPr>
      </w:pPr>
      <w:r>
        <w:rPr>
          <w:rFonts w:hint="eastAsia" w:ascii="仿宋" w:hAnsi="仿宋" w:eastAsia="仿宋"/>
          <w:b/>
          <w:sz w:val="28"/>
          <w:szCs w:val="28"/>
        </w:rPr>
        <w:t>五、数据收集、分析和反馈</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（一）数据收集与上报</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第三方监测机构应按照本方案组织开展辖区内的病媒生物监测工作，调查、收集和整理辖区内的病媒生物监测数据，填写原始记录表和汇总表并上报区疾控中心（区卫生监督所），原始纸质版监测记录至少保留5年。（二）数据分析与利用</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第三方监测机构监测结束应及时对监测数据进行分析，根据历年同期病媒生物监测结果和本地病媒传染病流行情况，开展病媒生物及传播疾病的风险评估，提出病媒生物防制工作建议，及时提交年度分析报告。发现未记录过的重要病媒生物种类，需及时报中心（所），并保留标本以便复核。</w:t>
      </w: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p>
    <w:p>
      <w:pPr>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ascii="仿宋" w:hAnsi="仿宋" w:eastAsia="仿宋"/>
          <w:sz w:val="28"/>
          <w:szCs w:val="28"/>
        </w:rPr>
      </w:pPr>
      <w:r>
        <w:rPr>
          <w:rFonts w:hint="eastAsia" w:ascii="仿宋" w:hAnsi="仿宋" w:eastAsia="仿宋"/>
          <w:sz w:val="28"/>
          <w:szCs w:val="28"/>
        </w:rPr>
        <w:t>附件1：杭州市拱墅区病媒生物监测实施方案</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ascii="仿宋" w:hAnsi="仿宋" w:eastAsia="仿宋"/>
          <w:sz w:val="24"/>
        </w:rPr>
        <w:br w:type="page"/>
      </w:r>
    </w:p>
    <w:p>
      <w:pPr>
        <w:keepNext w:val="0"/>
        <w:keepLines w:val="0"/>
        <w:pageBreakBefore w:val="0"/>
        <w:widowControl w:val="0"/>
        <w:kinsoku/>
        <w:wordWrap/>
        <w:overflowPunct/>
        <w:topLinePunct w:val="0"/>
        <w:autoSpaceDE/>
        <w:autoSpaceDN/>
        <w:bidi w:val="0"/>
        <w:spacing w:after="0"/>
        <w:ind w:right="560"/>
        <w:textAlignment w:val="auto"/>
        <w:rPr>
          <w:rFonts w:ascii="仿宋" w:hAnsi="仿宋" w:eastAsia="仿宋" w:cs="仿宋"/>
          <w:b/>
          <w:sz w:val="28"/>
          <w:szCs w:val="28"/>
        </w:rPr>
      </w:pPr>
      <w:r>
        <w:rPr>
          <w:rFonts w:hint="eastAsia" w:ascii="仿宋" w:hAnsi="仿宋" w:eastAsia="仿宋" w:cs="仿宋"/>
          <w:b/>
          <w:sz w:val="28"/>
          <w:szCs w:val="28"/>
        </w:rPr>
        <w:t>附件1</w:t>
      </w:r>
    </w:p>
    <w:p>
      <w:pPr>
        <w:keepNext w:val="0"/>
        <w:keepLines w:val="0"/>
        <w:pageBreakBefore w:val="0"/>
        <w:widowControl w:val="0"/>
        <w:kinsoku/>
        <w:wordWrap/>
        <w:overflowPunct/>
        <w:topLinePunct w:val="0"/>
        <w:autoSpaceDE/>
        <w:autoSpaceDN/>
        <w:bidi w:val="0"/>
        <w:spacing w:after="0"/>
        <w:ind w:right="560"/>
        <w:jc w:val="center"/>
        <w:textAlignment w:val="auto"/>
        <w:rPr>
          <w:rFonts w:ascii="仿宋" w:hAnsi="仿宋" w:eastAsia="仿宋" w:cs="仿宋"/>
          <w:b/>
          <w:sz w:val="30"/>
          <w:szCs w:val="30"/>
        </w:rPr>
      </w:pPr>
      <w:r>
        <w:rPr>
          <w:rFonts w:hint="eastAsia" w:ascii="仿宋" w:hAnsi="仿宋" w:eastAsia="仿宋" w:cs="仿宋"/>
          <w:b/>
          <w:sz w:val="32"/>
          <w:szCs w:val="32"/>
        </w:rPr>
        <w:t>杭州市拱墅区病媒生物监测实施方案</w:t>
      </w:r>
    </w:p>
    <w:p>
      <w:pPr>
        <w:keepNext w:val="0"/>
        <w:keepLines w:val="0"/>
        <w:pageBreakBefore w:val="0"/>
        <w:widowControl w:val="0"/>
        <w:kinsoku/>
        <w:wordWrap/>
        <w:overflowPunct/>
        <w:topLinePunct w:val="0"/>
        <w:autoSpaceDE/>
        <w:autoSpaceDN/>
        <w:bidi w:val="0"/>
        <w:spacing w:after="0" w:line="240" w:lineRule="auto"/>
        <w:ind w:right="560"/>
        <w:jc w:val="left"/>
        <w:textAlignment w:val="auto"/>
        <w:rPr>
          <w:rFonts w:ascii="仿宋" w:hAnsi="仿宋" w:eastAsia="仿宋" w:cs="仿宋"/>
          <w:b/>
          <w:sz w:val="28"/>
          <w:szCs w:val="28"/>
        </w:rPr>
      </w:pPr>
      <w:r>
        <w:rPr>
          <w:rFonts w:hint="eastAsia" w:ascii="仿宋" w:hAnsi="仿宋" w:eastAsia="仿宋" w:cs="仿宋"/>
          <w:sz w:val="28"/>
          <w:szCs w:val="28"/>
        </w:rPr>
        <w:t>（一）、鼠类监测</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1. 监测生境</w:t>
      </w:r>
    </w:p>
    <w:p>
      <w:pPr>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选择城镇居民区、重点行业（餐饮、食品制售、建筑工地、屠宰场、酿造厂等）、农村居民区3个类型的监测生境各1个，每月室内外一次性布放200有效夹夜。城镇居民区生境选择居住条件和环境卫生较差的城中村、城乡结合部等有适宜鼠类生存的地点，包括室内和室外。不同月份在监测点内的不同区域进行监测，以免连续监测对鼠密度造成影响。三个月内不得在同一区域实施监测，不同月份选取的监测区域之间距离大于250m。</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2. 监测时间及频次</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两个月监测1次，单月中旬监测。</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3. 监测方法</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夹(笼)夜法：统一选用质量可靠稳定的中型钢板夹和鼠笼，以便于获得的材料为诱饵长期使用，晚放晨收。室内按每15m</w:t>
      </w:r>
      <w:r>
        <w:rPr>
          <w:rFonts w:hint="eastAsia" w:ascii="仿宋" w:hAnsi="仿宋" w:eastAsia="仿宋" w:cs="仿宋"/>
          <w:sz w:val="28"/>
          <w:szCs w:val="28"/>
          <w:vertAlign w:val="superscript"/>
        </w:rPr>
        <w:t>2</w:t>
      </w:r>
      <w:r>
        <w:rPr>
          <w:rFonts w:hint="eastAsia" w:ascii="仿宋" w:hAnsi="仿宋" w:eastAsia="仿宋" w:cs="仿宋"/>
          <w:sz w:val="28"/>
          <w:szCs w:val="28"/>
        </w:rPr>
        <w:t>布夹（笼）1只，超过100m</w:t>
      </w:r>
      <w:r>
        <w:rPr>
          <w:rFonts w:hint="eastAsia" w:ascii="仿宋" w:hAnsi="仿宋" w:eastAsia="仿宋" w:cs="仿宋"/>
          <w:sz w:val="28"/>
          <w:szCs w:val="28"/>
          <w:vertAlign w:val="superscript"/>
        </w:rPr>
        <w:t>2</w:t>
      </w:r>
      <w:r>
        <w:rPr>
          <w:rFonts w:hint="eastAsia" w:ascii="仿宋" w:hAnsi="仿宋" w:eastAsia="仿宋" w:cs="仿宋"/>
          <w:sz w:val="28"/>
          <w:szCs w:val="28"/>
        </w:rPr>
        <w:t>的房间沿墙根每5m布夹（笼）1只。重点行业以室内环境为主，各种房间（厨房、库房）均应兼顾，农村居民区室内外均匀布放。室外布放在鼠类出没的地方。农田沿直线或田埂、沟渠等自然地形每5m布放1只，行间距不少于50m。每一监测生境每月布夹累计不少于200有效夹（笼）夜。捕获鼠类后，进行鼠种鉴定，并同时记录性别等信息，逐只鼠登记并顺序编号，每年监测的序号不得重复。鼠尸不完整而无法鉴定种类的，填入其它并在记录表中备注中注明。</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粘鼠板法：居民区室内外环境布放鼠夹有困难时，可以使用粘鼠板法。粘鼠板胶面15cm×20cm。布放时将粘鼠板展开，靠墙或鼠类经常活动、栖息的场所布放，不需要诱饵。应避免放置在阳光直射、淋水和地面潮湿的场所，并防止尘土等污物对粘鼠板的污染。民房室内每15m</w:t>
      </w:r>
      <w:r>
        <w:rPr>
          <w:rFonts w:hint="eastAsia" w:ascii="仿宋" w:hAnsi="仿宋" w:eastAsia="仿宋" w:cs="仿宋"/>
          <w:sz w:val="28"/>
          <w:szCs w:val="28"/>
          <w:vertAlign w:val="superscript"/>
        </w:rPr>
        <w:t>2</w:t>
      </w:r>
      <w:r>
        <w:rPr>
          <w:rFonts w:hint="eastAsia" w:ascii="仿宋" w:hAnsi="仿宋" w:eastAsia="仿宋" w:cs="仿宋"/>
          <w:sz w:val="28"/>
          <w:szCs w:val="28"/>
        </w:rPr>
        <w:t>放1张，每户布放不超过3张，监测居民区不少于35户。捕获鼠类后，计数捕鼠数量和鉴定鼠种，并尽量记录性别等特征信息，无法鉴别性别的在备注中注明。</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4. 统计与计算</w:t>
      </w:r>
    </w:p>
    <w:p>
      <w:pPr>
        <w:keepNext w:val="0"/>
        <w:keepLines w:val="0"/>
        <w:pageBreakBefore w:val="0"/>
        <w:widowControl w:val="0"/>
        <w:kinsoku/>
        <w:wordWrap/>
        <w:overflowPunct/>
        <w:topLinePunct w:val="0"/>
        <w:autoSpaceDE/>
        <w:autoSpaceDN/>
        <w:bidi w:val="0"/>
        <w:snapToGrid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4.1夹(笼)夜法鼠密度以每百只鼠夹（笼）捕获鼠数量，即捕获率表示，计算公式如下：</w:t>
      </w:r>
    </w:p>
    <w:p>
      <w:pPr>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ascii="仿宋" w:hAnsi="仿宋" w:eastAsia="仿宋" w:cs="仿宋"/>
          <w:sz w:val="28"/>
          <w:szCs w:val="28"/>
        </w:rPr>
      </w:pPr>
      <w:r>
        <w:rPr>
          <w:rFonts w:hint="eastAsia" w:ascii="仿宋" w:hAnsi="仿宋" w:eastAsia="仿宋" w:cs="仿宋"/>
          <w:position w:val="-28"/>
          <w:sz w:val="28"/>
          <w:szCs w:val="28"/>
        </w:rPr>
        <w:object>
          <v:shape id="_x0000_i1025" o:spt="75" type="#_x0000_t75" style="height:33.7pt;width:231.3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有效夹(笼)数=布夹(笼)总数-无效夹(笼)数</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无效夹(笼)是指丢失或不明原因击发的鼠夹(笼)。</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捕鼠总数是指鼠夹(笼)捕获鼠类的数量总和，鼠夹上夹有完整鼠或鼠头、鼠皮、鼠毛、鼠尾、鼠爪等部分肢体的定为捕到鼠，记入捕鼠总数。</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4.2粘鼠板法鼠密度以每百张粘鼠板捕获鼠数量，即捕鼠率表示，计算公式如下：</w:t>
      </w:r>
    </w:p>
    <w:p>
      <w:pPr>
        <w:keepNext w:val="0"/>
        <w:keepLines w:val="0"/>
        <w:pageBreakBefore w:val="0"/>
        <w:widowControl w:val="0"/>
        <w:kinsoku/>
        <w:wordWrap/>
        <w:overflowPunct/>
        <w:topLinePunct w:val="0"/>
        <w:autoSpaceDE/>
        <w:autoSpaceDN/>
        <w:bidi w:val="0"/>
        <w:snapToGrid w:val="0"/>
        <w:spacing w:after="0" w:line="24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object>
          <v:shape id="_x0000_i1026" o:spt="75" type="#_x0000_t75" style="height:33.7pt;width:206.8pt;" o:ole="t" filled="f" o:preferrelative="t" stroked="f" coordsize="21600,21600">
            <v:path/>
            <v:fill on="f" focussize="0,0"/>
            <v:stroke on="f" joinstyle="miter"/>
            <v:imagedata r:id="rId21" o:title=""/>
            <o:lock v:ext="edit" aspectratio="t"/>
            <w10:wrap type="none"/>
            <w10:anchorlock/>
          </v:shape>
          <o:OLEObject Type="Embed" ProgID="Equation.3" ShapeID="_x0000_i1026" DrawAspect="Content" ObjectID="_1468075726" r:id="rId20">
            <o:LockedField>false</o:LockedField>
          </o:OLEObject>
        </w:objec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捕获鼠数要求同夹（笼）夜法。</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有效板数=布放粘鼠板总数-无效粘鼠板数</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无效粘鼠板指丢失或水淋及尘土污染导致失效的粘鼠板。</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5. 注意事项</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夹（笼）夜法和粘鼠板法监测鼠密度时，容易和鼠类密切接触。为防止感染各种鼠传病原体，需要做好个人防护。流行性出血热疫区监测人员应该按免疫程序接种流行性出血热疫苗。收放鼠夹和鉴定鼠种时应戴手套及可防止气溶胶吸入的口罩。农田鼠类监测应穿防蚤袜并喷洒驱避剂。鉴定鼠类标本前需要将所有标本在密闭容器中用乙醚或氯仿进行麻醉熏蒸10min左右，防止鼠类体表各种寄生虫逃逸及叮咬。鼠尸体用消毒液消毒后深埋或焚烧。接触鼠尸物品经消毒后才可继续使用。</w:t>
      </w:r>
    </w:p>
    <w:p>
      <w:pPr>
        <w:keepNext w:val="0"/>
        <w:keepLines w:val="0"/>
        <w:pageBreakBefore w:val="0"/>
        <w:widowControl w:val="0"/>
        <w:numPr>
          <w:ilvl w:val="0"/>
          <w:numId w:val="1"/>
        </w:numPr>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数据报至</w:t>
      </w:r>
      <w:r>
        <w:rPr>
          <w:rFonts w:hint="eastAsia" w:ascii="仿宋" w:hAnsi="仿宋" w:eastAsia="仿宋"/>
          <w:sz w:val="28"/>
          <w:szCs w:val="28"/>
        </w:rPr>
        <w:t>区疾控中心（区卫生监督所）</w:t>
      </w:r>
      <w:r>
        <w:rPr>
          <w:rFonts w:hint="eastAsia" w:ascii="仿宋" w:hAnsi="仿宋" w:eastAsia="仿宋" w:cs="仿宋"/>
          <w:sz w:val="28"/>
          <w:szCs w:val="28"/>
        </w:rPr>
        <w:t>时间：当月20日前。</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(二) 蚊虫监测</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1. 监测生境</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监测生境选择要适合以下条件：蚊虫孳生的最佳生境；当地蚊媒传染病疫情高发区；监测工作方便执行。</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2.监测方法</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2.1成蚊监测</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2.1.1．诱蚊灯法</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（1）监测生境的选择：选择城镇居民区、公园(含街心公园)、医院各不少于2处、民房不少于4处，均在外环境中进行。</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2）操作方法：选择远离干扰光源和避风的场所作为挂灯点，每处监测生境放置诱蚊灯一台。诱蚊灯光源离地1.5m。日落前1h接通电源，开启诱蚊灯诱捕蚊虫，直至次日日出后1h。密闭收集器后，再关闭电源，将集蚊袋取出，乙醚麻醉或冰箱冷冻处死，鉴定种类、性别并计数。分别将每台灯每晚的监测结果填入数据记录表。</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 xml:space="preserve">（3）统计与计算：密度指数计算 </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napToGrid w:val="0"/>
          <w:kern w:val="0"/>
          <w:position w:val="-28"/>
          <w:sz w:val="28"/>
          <w:szCs w:val="28"/>
        </w:rPr>
        <w:object>
          <v:shape id="_x0000_i1027" o:spt="75" type="#_x0000_t75" style="height:33.7pt;width:291.05pt;" o:ole="t" filled="f" o:preferrelative="t" stroked="f" coordsize="21600,21600">
            <v:path/>
            <v:fill on="f" focussize="0,0"/>
            <v:stroke on="f" joinstyle="miter"/>
            <v:imagedata r:id="rId23" o:title=""/>
            <o:lock v:ext="edit" aspectratio="t"/>
            <w10:wrap type="none"/>
            <w10:anchorlock/>
          </v:shape>
          <o:OLEObject Type="Embed" ProgID="Equation.3" ShapeID="_x0000_i1027" DrawAspect="Content" ObjectID="_1468075727" r:id="rId22">
            <o:LockedField>false</o:LockedField>
          </o:OLEObject>
        </w:objec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（4）监测器具：诱蚊灯、手电筒、乙醚、搪瓷盘、口罩、手套、镊子、计数器、成蚊标本制作和保存工具、冻存管、冰箱。</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2.1.2．双层叠帐法</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1）监测生境的选择：选择8个监测点（2个为固定点、6个为流动点）开展监测。8个监测点至少包含居民区、公园/竹林、旧轮胎堆放地/废品站/工地等三类生境各1处，每处做2个帐次，两帐间隔100m以上。上下半月各监测一次，每月监测点应覆盖8个街道。</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2）操作方法：每处生境选择避风遮荫处放置蚊帐，在媒介伊蚊活动高峰时段（15:00-18:00），诱集者位于内部封闭蚊帐中暴露两条小腿，收集者利用电动吸蚊器在两层蚊帐之间收集停落在蚊帐上的伊蚊并持续30min，将捕获蚊虫用乙醚麻醉或冰箱冷冻处死，鉴定种类、性别并计数，填入记录表。</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（3）统计与计算</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密度指标：帐诱指数计算公式</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napToGrid w:val="0"/>
          <w:kern w:val="0"/>
          <w:position w:val="-28"/>
          <w:sz w:val="28"/>
          <w:szCs w:val="28"/>
        </w:rPr>
        <w:object>
          <v:shape id="_x0000_i1028" o:spt="75" type="#_x0000_t75" style="height:33.7pt;width:314.05pt;" o:ole="t" filled="f" o:preferrelative="t" stroked="f" coordsize="21600,21600">
            <v:path/>
            <v:fill on="f" focussize="0,0"/>
            <v:stroke on="f" joinstyle="miter"/>
            <v:imagedata r:id="rId25" o:title=""/>
            <o:lock v:ext="edit" aspectratio="t"/>
            <w10:wrap type="none"/>
            <w10:anchorlock/>
          </v:shape>
          <o:OLEObject Type="Embed" ProgID="Equation.3" ShapeID="_x0000_i1028" DrawAspect="Content" ObjectID="_1468075728" r:id="rId24">
            <o:LockedField>false</o:LockedField>
          </o:OLEObject>
        </w:objec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（4）个人防护：收集者着长衣长裤，必要时戴好防蚊帽，但监测过程中不使用蚊虫驱避剂。</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 xml:space="preserve">（5）监测器具：伞状双层叠帐、计数器、手电筒、电动吸蚊器等。 </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2.2幼蚊监测</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勺捕法</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1）监测生境的选择及方法：选取户外大中型水体共20处（如河流、池塘/水坑、湖泊、水渠等）进行调查，且当地主要水体类型每种不少于5处。调查时，沿着大中型水体岸边，每隔10m选择一个采样点，每个水体共捞10勺（水体面积确实不足捞10勺时，记录实际捞勺数，但不得少于5勺），用水勺在水体边缘或有水草缓流处迅速从水体中舀起一勺水，吸出幼蚊（蛹）并放入已编号的采样管中，进行种类鉴定并填写记录表。</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（2）统计与计算：</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密度指标：采用幼蚊（蛹）阳性勺指数，单位为阳性勺/100勺；勺舀指数（I），单位为条/勺。</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napToGrid w:val="0"/>
          <w:kern w:val="0"/>
          <w:position w:val="-28"/>
          <w:sz w:val="28"/>
          <w:szCs w:val="28"/>
        </w:rPr>
        <w:object>
          <v:shape id="_x0000_i1029" o:spt="75" type="#_x0000_t75" style="height:33.7pt;width:212.95pt;" o:ole="t" filled="f" o:preferrelative="t" stroked="f" coordsize="21600,21600">
            <v:path/>
            <v:fill on="f" focussize="0,0"/>
            <v:stroke on="f" joinstyle="miter"/>
            <v:imagedata r:id="rId27" o:title=""/>
            <o:lock v:ext="edit" aspectratio="t"/>
            <w10:wrap type="none"/>
            <w10:anchorlock/>
          </v:shape>
          <o:OLEObject Type="Embed" ProgID="Equation.3" ShapeID="_x0000_i1029" DrawAspect="Content" ObjectID="_1468075729" r:id="rId26">
            <o:LockedField>false</o:LockedField>
          </o:OLEObject>
        </w:objec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napToGrid w:val="0"/>
          <w:kern w:val="0"/>
          <w:position w:val="-28"/>
          <w:sz w:val="28"/>
          <w:szCs w:val="28"/>
        </w:rPr>
        <w:object>
          <v:shape id="_x0000_i1030" o:spt="75" type="#_x0000_t75" style="height:33.7pt;width:232.85pt;" o:ole="t" filled="f" o:preferrelative="t" stroked="f" coordsize="21600,21600">
            <v:path/>
            <v:fill on="f" focussize="0,0"/>
            <v:stroke on="f" joinstyle="miter"/>
            <v:imagedata r:id="rId29" o:title=""/>
            <o:lock v:ext="edit" aspectratio="t"/>
            <w10:wrap type="none"/>
            <w10:anchorlock/>
          </v:shape>
          <o:OLEObject Type="Embed" ProgID="Equation.3" ShapeID="_x0000_i1030" DrawAspect="Content" ObjectID="_1468075730" r:id="rId28">
            <o:LockedField>false</o:LockedField>
          </o:OLEObject>
        </w:objec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（3）监测器具：长吸管、小滴管、采样管、500ml标准水勺等。</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3. 监测时间及频次</w:t>
      </w:r>
    </w:p>
    <w:p>
      <w:pPr>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诱蚊灯法</w:t>
      </w:r>
      <w:r>
        <w:rPr>
          <w:rFonts w:ascii="仿宋" w:hAnsi="仿宋" w:eastAsia="仿宋" w:cs="仿宋"/>
          <w:sz w:val="28"/>
          <w:szCs w:val="28"/>
        </w:rPr>
        <w:t>、</w:t>
      </w:r>
      <w:r>
        <w:rPr>
          <w:rFonts w:hint="eastAsia" w:ascii="仿宋" w:hAnsi="仿宋" w:eastAsia="仿宋" w:cs="仿宋"/>
          <w:sz w:val="28"/>
          <w:szCs w:val="28"/>
        </w:rPr>
        <w:t>双层叠帐法2次/月；勺捕法1次/月，4-11月监测。</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4. 数据报至</w:t>
      </w:r>
      <w:r>
        <w:rPr>
          <w:rFonts w:hint="eastAsia" w:ascii="仿宋" w:hAnsi="仿宋" w:eastAsia="仿宋"/>
          <w:sz w:val="28"/>
          <w:szCs w:val="28"/>
        </w:rPr>
        <w:t>区疾控中心（区卫生监督所）</w:t>
      </w:r>
      <w:r>
        <w:rPr>
          <w:rFonts w:hint="eastAsia" w:ascii="仿宋" w:hAnsi="仿宋" w:eastAsia="仿宋" w:cs="仿宋"/>
          <w:sz w:val="28"/>
          <w:szCs w:val="28"/>
        </w:rPr>
        <w:t>时间：成蚊当月24日前；幼蚊当月20日前。</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(三) 蝇类监测</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1. 监测生境</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随机选择农贸市场、餐饮外环境、绿化带和居民区各不少于2处</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2. 监测时间及频次</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4-11月，每月1次，中旬监测。</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3. 监测方法</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笼诱法：每处放诱蝇笼1个，捕蝇笼着地放置。农贸市场监测环境内的捕蝇笼为避免农副产品对蝇类的引诱干扰，可将捕蝇笼设置在距离农贸集市50～100m的绿地内。基本诱饵为红糖、食醋（陈醋）饵（50g＋50g）＋50ml水。于第一天9:00前（各地可根据当地作息情况适当调整）布放，次日9:00左右收回。收笼后，用乙醚或氯仿杀死后分类，统计各蝇种的数量。记录监测当天的天气情况（气温、湿度、风力）。</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4. 成蝇密度计算:</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position w:val="-28"/>
          <w:sz w:val="28"/>
          <w:szCs w:val="28"/>
        </w:rPr>
        <w:object>
          <v:shape id="_x0000_i1031" o:spt="75" type="#_x0000_t75" style="height:32.95pt;width:163.9pt;" o:ole="t" filled="f" o:preferrelative="t" stroked="f" coordsize="21600,21600">
            <v:path/>
            <v:fill on="f" focussize="0,0"/>
            <v:stroke on="f" joinstyle="miter"/>
            <v:imagedata r:id="rId31" o:title=""/>
            <o:lock v:ext="edit" aspectratio="t"/>
            <w10:wrap type="none"/>
            <w10:anchorlock/>
          </v:shape>
          <o:OLEObject Type="Embed" ProgID="Equation.3" ShapeID="_x0000_i1031" DrawAspect="Content" ObjectID="_1468075731" r:id="rId30">
            <o:LockedField>false</o:LockedField>
          </o:OLEObject>
        </w:objec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5. 数据报至</w:t>
      </w:r>
      <w:r>
        <w:rPr>
          <w:rFonts w:hint="eastAsia" w:ascii="仿宋" w:hAnsi="仿宋" w:eastAsia="仿宋"/>
          <w:sz w:val="28"/>
          <w:szCs w:val="28"/>
        </w:rPr>
        <w:t>区疾控中心（区卫生监督所）</w:t>
      </w:r>
      <w:r>
        <w:rPr>
          <w:rFonts w:hint="eastAsia" w:ascii="仿宋" w:hAnsi="仿宋" w:eastAsia="仿宋" w:cs="仿宋"/>
          <w:sz w:val="28"/>
          <w:szCs w:val="28"/>
        </w:rPr>
        <w:t>时间：当月20日前。</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(四) 蟑螂密度监测</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1. 监测生境</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选择农贸市场、超市、宾馆、餐饮环境、医院、居民区各不少于2处。</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2. 监测时间及频次</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粘捕法两个月1次，单月监测；目测法，5、9月份监测。</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3. 监测方法</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粘捕法：统一用粘蟑纸（规格：170mm×100mm）调查，粘蟑纸中央放2克新鲜面包屑等作为诱饵，每处布放不少于10张粘蟑纸，晚放晨收，记录粘捕到的蟑螂种类，以及雌、雄成虫和若虫数，并记录有效粘蟑纸数；同时记录每个场所3min内观察到的蟑螂种类、数量、活卵鞘数和蟑迹（空卵鞘壳、死尸、残尸等）数。市场和超市布放在食品加工销售柜台，餐饮环境和宾馆布放在操作间及餐厅，医院布放在病房，居民区布放在厨房。每个标准间（房间数按15m</w:t>
      </w:r>
      <w:r>
        <w:rPr>
          <w:rFonts w:hint="eastAsia" w:ascii="仿宋" w:hAnsi="仿宋" w:eastAsia="仿宋" w:cs="仿宋"/>
          <w:sz w:val="28"/>
          <w:szCs w:val="28"/>
          <w:vertAlign w:val="superscript"/>
        </w:rPr>
        <w:t>2</w:t>
      </w:r>
      <w:r>
        <w:rPr>
          <w:rFonts w:hint="eastAsia" w:ascii="仿宋" w:hAnsi="仿宋" w:eastAsia="仿宋" w:cs="仿宋"/>
          <w:sz w:val="28"/>
          <w:szCs w:val="28"/>
        </w:rPr>
        <w:t>/间折算）放置1张，若监测点面积不足，须另加相同环境类型场所。不得选择一周内药物处理过的场所作监测点，每次监测时，粘蟑纸必须更新。</w:t>
      </w:r>
    </w:p>
    <w:p>
      <w:pPr>
        <w:keepNext w:val="0"/>
        <w:keepLines w:val="0"/>
        <w:pageBreakBefore w:val="0"/>
        <w:widowControl w:val="0"/>
        <w:kinsoku/>
        <w:wordWrap/>
        <w:overflowPunct/>
        <w:topLinePunct w:val="0"/>
        <w:autoSpaceDE/>
        <w:autoSpaceDN/>
        <w:bidi w:val="0"/>
        <w:spacing w:after="0" w:line="240" w:lineRule="auto"/>
        <w:ind w:firstLine="480"/>
        <w:textAlignment w:val="auto"/>
        <w:rPr>
          <w:rFonts w:ascii="仿宋" w:hAnsi="仿宋" w:eastAsia="仿宋" w:cs="仿宋"/>
          <w:sz w:val="28"/>
          <w:szCs w:val="28"/>
        </w:rPr>
      </w:pPr>
      <w:r>
        <w:rPr>
          <w:rFonts w:hint="eastAsia" w:ascii="仿宋" w:hAnsi="仿宋" w:eastAsia="仿宋" w:cs="仿宋"/>
          <w:sz w:val="28"/>
          <w:szCs w:val="28"/>
        </w:rPr>
        <w:t>目测法：在监测房间内选择蟑螂栖息活动的场所，用手电筒照明，检查并记录每个场所3min内观察到的蟑螂种类、数量、活卵鞘数和蟑迹（空卵鞘壳、死尸、残尸等）数。</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4. 统计和计算</w:t>
      </w:r>
    </w:p>
    <w:p>
      <w:pPr>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ascii="仿宋" w:hAnsi="仿宋" w:eastAsia="仿宋" w:cs="仿宋"/>
          <w:sz w:val="28"/>
          <w:szCs w:val="28"/>
        </w:rPr>
      </w:pPr>
      <w:r>
        <w:rPr>
          <w:rFonts w:hint="eastAsia" w:ascii="仿宋" w:hAnsi="仿宋" w:eastAsia="仿宋" w:cs="仿宋"/>
          <w:position w:val="-28"/>
          <w:sz w:val="28"/>
          <w:szCs w:val="28"/>
        </w:rPr>
        <w:object>
          <v:shape id="_x0000_i1032" o:spt="75" type="#_x0000_t75" style="height:32.95pt;width:248.95pt;" o:ole="t" filled="f" o:preferrelative="t" stroked="f" coordsize="21600,21600">
            <v:path/>
            <v:fill on="f" focussize="0,0"/>
            <v:stroke on="f" joinstyle="miter"/>
            <v:imagedata r:id="rId33" o:title=""/>
            <o:lock v:ext="edit" aspectratio="t"/>
            <w10:wrap type="none"/>
            <w10:anchorlock/>
          </v:shape>
          <o:OLEObject Type="Embed" ProgID="Equation.3" ShapeID="_x0000_i1032" DrawAspect="Content" ObjectID="_1468075732" r:id="rId32">
            <o:LockedField>false</o:LockedField>
          </o:OLEObject>
        </w:object>
      </w:r>
    </w:p>
    <w:p>
      <w:pPr>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ascii="仿宋" w:hAnsi="仿宋" w:eastAsia="仿宋" w:cs="仿宋"/>
          <w:sz w:val="28"/>
          <w:szCs w:val="28"/>
        </w:rPr>
      </w:pPr>
      <w:r>
        <w:rPr>
          <w:rFonts w:hint="eastAsia" w:ascii="仿宋" w:hAnsi="仿宋" w:eastAsia="仿宋" w:cs="仿宋"/>
          <w:position w:val="-28"/>
          <w:sz w:val="28"/>
          <w:szCs w:val="28"/>
        </w:rPr>
        <w:object>
          <v:shape id="_x0000_i1033" o:spt="75" type="#_x0000_t75" style="height:32.95pt;width:225.2pt;" o:ole="t" filled="f" o:preferrelative="t" stroked="f" coordsize="21600,21600">
            <v:path/>
            <v:fill on="f" focussize="0,0"/>
            <v:stroke on="f" joinstyle="miter"/>
            <v:imagedata r:id="rId35" o:title=""/>
            <o:lock v:ext="edit" aspectratio="t"/>
            <w10:wrap type="none"/>
            <w10:anchorlock/>
          </v:shape>
          <o:OLEObject Type="Embed" ProgID="Equation.3" ShapeID="_x0000_i1033" DrawAspect="Content" ObjectID="_1468075733" r:id="rId34">
            <o:LockedField>false</o:LockedField>
          </o:OLEObject>
        </w:object>
      </w:r>
    </w:p>
    <w:p>
      <w:pPr>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ascii="仿宋" w:hAnsi="仿宋" w:eastAsia="仿宋" w:cs="仿宋"/>
          <w:sz w:val="28"/>
          <w:szCs w:val="28"/>
        </w:rPr>
      </w:pPr>
      <w:r>
        <w:rPr>
          <w:rFonts w:hint="eastAsia" w:ascii="仿宋" w:hAnsi="仿宋" w:eastAsia="仿宋" w:cs="仿宋"/>
          <w:position w:val="-28"/>
          <w:sz w:val="28"/>
          <w:szCs w:val="28"/>
        </w:rPr>
        <w:object>
          <v:shape id="_x0000_i1034" o:spt="75" type="#_x0000_t75" style="height:33.7pt;width:219.05pt;" o:ole="t" filled="f" o:preferrelative="t" stroked="f" coordsize="21600,21600">
            <v:path/>
            <v:fill on="f" focussize="0,0"/>
            <v:stroke on="f" joinstyle="miter"/>
            <v:imagedata r:id="rId37" o:title=""/>
            <o:lock v:ext="edit" aspectratio="t"/>
            <w10:wrap type="none"/>
            <w10:anchorlock/>
          </v:shape>
          <o:OLEObject Type="Embed" ProgID="Equation.3" ShapeID="_x0000_i1034" DrawAspect="Content" ObjectID="_1468075734" r:id="rId36">
            <o:LockedField>false</o:LockedField>
          </o:OLEObject>
        </w:object>
      </w:r>
    </w:p>
    <w:p>
      <w:pPr>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ascii="仿宋" w:hAnsi="仿宋" w:eastAsia="仿宋" w:cs="仿宋"/>
          <w:position w:val="-28"/>
          <w:sz w:val="28"/>
          <w:szCs w:val="28"/>
        </w:rPr>
      </w:pPr>
      <w:r>
        <w:rPr>
          <w:rFonts w:hint="eastAsia" w:ascii="仿宋" w:hAnsi="仿宋" w:eastAsia="仿宋" w:cs="仿宋"/>
          <w:position w:val="-28"/>
          <w:sz w:val="28"/>
          <w:szCs w:val="28"/>
        </w:rPr>
        <w:object>
          <v:shape id="_x0000_i1035" o:spt="75" type="#_x0000_t75" style="height:33.7pt;width:291.05pt;" o:ole="t" filled="f" o:preferrelative="t" stroked="f" coordsize="21600,21600">
            <v:path/>
            <v:fill on="f" focussize="0,0"/>
            <v:stroke on="f" joinstyle="miter"/>
            <v:imagedata r:id="rId39" o:title=""/>
            <o:lock v:ext="edit" aspectratio="t"/>
            <w10:wrap type="none"/>
            <w10:anchorlock/>
          </v:shape>
          <o:OLEObject Type="Embed" ProgID="Equation.3" ShapeID="_x0000_i1035" DrawAspect="Content" ObjectID="_1468075735" r:id="rId38">
            <o:LockedField>false</o:LockedField>
          </o:OLEObject>
        </w:object>
      </w:r>
    </w:p>
    <w:p>
      <w:pPr>
        <w:keepNext w:val="0"/>
        <w:keepLines w:val="0"/>
        <w:pageBreakBefore w:val="0"/>
        <w:widowControl w:val="0"/>
        <w:kinsoku/>
        <w:wordWrap/>
        <w:overflowPunct/>
        <w:topLinePunct w:val="0"/>
        <w:autoSpaceDE/>
        <w:autoSpaceDN/>
        <w:bidi w:val="0"/>
        <w:spacing w:after="0" w:line="360" w:lineRule="auto"/>
        <w:ind w:firstLine="560" w:firstLineChars="200"/>
        <w:textAlignment w:val="auto"/>
        <w:rPr>
          <w:rFonts w:ascii="仿宋_GB2312" w:eastAsia="仿宋_GB2312"/>
          <w:sz w:val="32"/>
          <w:szCs w:val="32"/>
        </w:rPr>
      </w:pPr>
      <w:r>
        <w:rPr>
          <w:rFonts w:hint="eastAsia" w:ascii="仿宋" w:hAnsi="仿宋" w:eastAsia="仿宋" w:cs="仿宋"/>
          <w:position w:val="-28"/>
          <w:sz w:val="28"/>
          <w:szCs w:val="28"/>
        </w:rPr>
        <w:object>
          <v:shape id="_x0000_i1036" o:spt="75" type="#_x0000_t75" style="height:33.7pt;width:238.2pt;" o:ole="t" filled="f" o:preferrelative="t" stroked="f" coordsize="21600,21600">
            <v:path/>
            <v:fill on="f" focussize="0,0"/>
            <v:stroke on="f" joinstyle="miter"/>
            <v:imagedata r:id="rId41" o:title=""/>
            <o:lock v:ext="edit" aspectratio="t"/>
            <w10:wrap type="none"/>
            <w10:anchorlock/>
          </v:shape>
          <o:OLEObject Type="Embed" ProgID="Equation.3" ShapeID="_x0000_i1036" DrawAspect="Content" ObjectID="_1468075736" r:id="rId40">
            <o:LockedField>false</o:LockedField>
          </o:OLEObject>
        </w:object>
      </w:r>
    </w:p>
    <w:p>
      <w:pPr>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ascii="仿宋_GB2312" w:eastAsia="仿宋_GB2312"/>
          <w:sz w:val="32"/>
          <w:szCs w:val="32"/>
        </w:rPr>
      </w:pPr>
      <w:r>
        <w:rPr>
          <w:rFonts w:hint="eastAsia" w:ascii="仿宋" w:hAnsi="仿宋" w:eastAsia="仿宋" w:cs="仿宋"/>
          <w:position w:val="-28"/>
          <w:sz w:val="28"/>
          <w:szCs w:val="28"/>
        </w:rPr>
        <w:object>
          <v:shape id="_x0000_i1037" o:spt="75" type="#_x0000_t75" style="height:33.7pt;width:271.9pt;" o:ole="t" filled="f" o:preferrelative="t" stroked="f" coordsize="21600,21600">
            <v:path/>
            <v:fill on="f" focussize="0,0"/>
            <v:stroke on="f" joinstyle="miter"/>
            <v:imagedata r:id="rId43" o:title=""/>
            <o:lock v:ext="edit" aspectratio="t"/>
            <w10:wrap type="none"/>
            <w10:anchorlock/>
          </v:shape>
          <o:OLEObject Type="Embed" ProgID="Equation.3" ShapeID="_x0000_i1037" DrawAspect="Content" ObjectID="_1468075737" r:id="rId42">
            <o:LockedField>false</o:LockedField>
          </o:OLEObject>
        </w:object>
      </w:r>
    </w:p>
    <w:p>
      <w:pPr>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ascii="仿宋" w:hAnsi="仿宋" w:eastAsia="仿宋" w:cs="仿宋"/>
          <w:position w:val="-28"/>
          <w:sz w:val="28"/>
          <w:szCs w:val="28"/>
        </w:rPr>
      </w:pP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5.数据报至</w:t>
      </w:r>
      <w:r>
        <w:rPr>
          <w:rFonts w:hint="eastAsia" w:ascii="仿宋" w:hAnsi="仿宋" w:eastAsia="仿宋"/>
          <w:sz w:val="28"/>
          <w:szCs w:val="28"/>
        </w:rPr>
        <w:t>区疾控中心（区卫生监督所）</w:t>
      </w:r>
      <w:r>
        <w:rPr>
          <w:rFonts w:hint="eastAsia" w:ascii="仿宋" w:hAnsi="仿宋" w:eastAsia="仿宋" w:cs="仿宋"/>
          <w:sz w:val="28"/>
          <w:szCs w:val="28"/>
        </w:rPr>
        <w:t>时间：当月20日前。</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(五)蜱类监测</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1.监测生境</w:t>
      </w:r>
    </w:p>
    <w:p>
      <w:pPr>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设农村居民区、农村外环境（农田、荒坡、林地）、景区、城镇居民区四个类型的监测生境（对象）。四类生境中，景区≥2处，其他各≥1处。</w:t>
      </w:r>
    </w:p>
    <w:p>
      <w:pPr>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农村居民区：选择农村自然村开展寄生蜱监测，自然村农户户数少于20户时，可将监测范围扩大至生境相似的临近村庄。</w:t>
      </w:r>
    </w:p>
    <w:p>
      <w:pPr>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城镇居民区：选择居民区或宠物医院。</w:t>
      </w:r>
    </w:p>
    <w:p>
      <w:pPr>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农村外环境：每监测县（区）选择1个自然村，在自然村周边任选农田（包括茶园等经济作物田地）、荒坡草地或林地（小片的人工种植或自然生长的林地）生境至少1处。</w:t>
      </w:r>
    </w:p>
    <w:p>
      <w:pPr>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景区：包括城市公园、郊野公园、森林公园、荒漠、草原等人造或自然景观等，每县（区）至少选择其中2处。</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2.监测方法</w:t>
      </w:r>
    </w:p>
    <w:p>
      <w:pPr>
        <w:keepNext w:val="0"/>
        <w:keepLines w:val="0"/>
        <w:pageBreakBefore w:val="0"/>
        <w:widowControl w:val="0"/>
        <w:kinsoku/>
        <w:wordWrap/>
        <w:overflowPunct/>
        <w:topLinePunct w:val="0"/>
        <w:autoSpaceDE/>
        <w:autoSpaceDN/>
        <w:bidi w:val="0"/>
        <w:spacing w:after="0"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2.1寄生蜱：城镇居民区、农村居民区生境必须开展寄生蜱监测。农村居民区每村庄调查至少10头放养的家养动物（牛、羊、狗），城镇居民区每监测县（区）至少调查20只宠物，宠物种类以狗为主。</w:t>
      </w:r>
    </w:p>
    <w:p>
      <w:pPr>
        <w:keepNext w:val="0"/>
        <w:keepLines w:val="0"/>
        <w:pageBreakBefore w:val="0"/>
        <w:widowControl w:val="0"/>
        <w:kinsoku/>
        <w:wordWrap/>
        <w:overflowPunct/>
        <w:topLinePunct w:val="0"/>
        <w:autoSpaceDE/>
        <w:autoSpaceDN/>
        <w:bidi w:val="0"/>
        <w:spacing w:after="0" w:line="360" w:lineRule="auto"/>
        <w:textAlignment w:val="auto"/>
        <w:rPr>
          <w:rFonts w:ascii="仿宋" w:hAnsi="仿宋" w:eastAsia="仿宋" w:cs="仿宋"/>
          <w:sz w:val="28"/>
          <w:szCs w:val="28"/>
        </w:rPr>
      </w:pPr>
      <w:r>
        <w:rPr>
          <w:rFonts w:hint="eastAsia" w:ascii="仿宋" w:hAnsi="仿宋" w:eastAsia="仿宋" w:cs="仿宋"/>
          <w:sz w:val="28"/>
          <w:szCs w:val="28"/>
        </w:rPr>
        <w:t>景区和农村外环境可根据当地蜱传疾病流行情况选择性开展，捕捉啮齿类或其他小型哺乳类（如刺猬、野兔等）、鸟类开展监测。</w:t>
      </w:r>
    </w:p>
    <w:p>
      <w:pPr>
        <w:keepNext w:val="0"/>
        <w:keepLines w:val="0"/>
        <w:pageBreakBefore w:val="0"/>
        <w:widowControl w:val="0"/>
        <w:kinsoku/>
        <w:wordWrap/>
        <w:overflowPunct/>
        <w:topLinePunct w:val="0"/>
        <w:autoSpaceDE/>
        <w:autoSpaceDN/>
        <w:bidi w:val="0"/>
        <w:spacing w:after="0" w:line="360" w:lineRule="auto"/>
        <w:textAlignment w:val="auto"/>
        <w:rPr>
          <w:rFonts w:ascii="仿宋" w:hAnsi="仿宋" w:eastAsia="仿宋" w:cs="仿宋"/>
          <w:sz w:val="28"/>
          <w:szCs w:val="28"/>
        </w:rPr>
      </w:pPr>
      <w:r>
        <w:rPr>
          <w:rFonts w:hint="eastAsia" w:ascii="仿宋" w:hAnsi="仿宋" w:eastAsia="仿宋" w:cs="仿宋"/>
          <w:sz w:val="28"/>
          <w:szCs w:val="28"/>
        </w:rPr>
        <w:t>重点检查动物的耳朵、眼睛周围、口鼻周围、脖子、腋窝、胸脯、乳房、大腿根、阴囊、肛周、会阴、尾根等部位，毛较长的动物需用手触摸，收集和记录蜱的种类和数量（见记录表6-1，汇总表见表6-3），动物可适当固定。</w:t>
      </w:r>
    </w:p>
    <w:p>
      <w:pPr>
        <w:keepNext w:val="0"/>
        <w:keepLines w:val="0"/>
        <w:pageBreakBefore w:val="0"/>
        <w:widowControl w:val="0"/>
        <w:kinsoku/>
        <w:wordWrap/>
        <w:overflowPunct/>
        <w:topLinePunct w:val="0"/>
        <w:autoSpaceDE/>
        <w:autoSpaceDN/>
        <w:bidi w:val="0"/>
        <w:spacing w:after="0" w:line="360" w:lineRule="auto"/>
        <w:textAlignment w:val="auto"/>
        <w:rPr>
          <w:rFonts w:ascii="仿宋" w:hAnsi="仿宋" w:eastAsia="仿宋" w:cs="仿宋"/>
          <w:sz w:val="28"/>
          <w:szCs w:val="28"/>
        </w:rPr>
      </w:pPr>
      <w:r>
        <w:rPr>
          <w:rFonts w:hint="eastAsia" w:ascii="仿宋" w:hAnsi="仿宋" w:eastAsia="仿宋" w:cs="仿宋"/>
          <w:sz w:val="28"/>
          <w:szCs w:val="28"/>
        </w:rPr>
        <w:t>如需收集蜱，由于正在吸血的蜱类假头容易折断，应用小镊子夹紧假头先轻轻拉拽和左右晃动，使之能上下摇动，然后再果断拔除，必要时可连带部分动物皮毛。</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2.2游离蜱：在农村外环境、景区和居民区生境，采用布旗法开展监测。</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采用布旗法在选择的样地均匀的拖或挥旗，以每人每500m所捕获蜱数进行密度指数统计（单位只/布旗100m）。一般每一样地拖旗不能少于500m，时间不能少于30min，记录捕获蜱的种类和数量。</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拖（挥）旗方法：用90cm×60cm的白色或浅色布旗，窄的一边两端用绳子固定，将旗子平铺地面，拖拉绳子前进，每步行10m停下检视附着的蜱数，根据调查地段内植被情况选择不同的方法进行定距离拖蜱。如是较平整的草地，可拖拉布旗在草地上行走；如是灌木丛则手持木杆在灌木丛和杂草上来回挥动布旗。将附着在布旗上和拖蜱者身上的蜱用镊子捡起装入管内，立即旋紧管盖或塞紧塞子。每一场地的蜱放入同一管内或做一致编号，带回实验室进行相关的分类鉴定、计数和检测。</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农田：在选定自然村周边选择一种主要的农田形式，在农田周边用布旗拖蜱。</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荒坡草地：指较大面积的无耕种荒地、草地，在荒坡草地内拖蜱。</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林地：包括各种种植、野生的、面积较大的可能有动物包括鸟类出现的林地，在林地内、林中小路两侧进行调查。</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景区：在游人活动的小路两边调查。</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监测时做好环境数据采集：对调查点的经纬度、农田农作物、荒地、林地的植被类型、林地的类型（针叶、阔叶、混交林）和地形进行描述性记录。</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3、统计与计算</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3.1动物（家养动物）体表蜱：采用蜱指数统计，单位：无。</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position w:val="-28"/>
          <w:sz w:val="28"/>
          <w:szCs w:val="28"/>
        </w:rPr>
        <w:object>
          <v:shape id="_x0000_i1038" o:spt="75" type="#_x0000_t75" style="height:32.95pt;width:235.15pt;" o:ole="t" filled="f" o:preferrelative="t" stroked="f" coordsize="21600,21600">
            <v:path/>
            <v:fill on="f" focussize="0,0"/>
            <v:stroke on="f" joinstyle="miter"/>
            <v:imagedata r:id="rId45" o:title=""/>
            <o:lock v:ext="edit" aspectratio="t"/>
            <w10:wrap type="none"/>
            <w10:anchorlock/>
          </v:shape>
          <o:OLEObject Type="Embed" ProgID="Equation.3" ShapeID="_x0000_i1038" DrawAspect="Content" ObjectID="_1468075738" r:id="rId44">
            <o:LockedField>false</o:LockedField>
          </o:OLEObject>
        </w:objec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3.2游离蜱：以每人每100m每小时所捕获蜱数进行密度指数统计，单位：只/（布旗100ｍ•ｈ）。</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drawing>
          <wp:inline distT="0" distB="0" distL="114300" distR="114300">
            <wp:extent cx="3667125" cy="533400"/>
            <wp:effectExtent l="0" t="0" r="9525" b="0"/>
            <wp:docPr id="1"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3"/>
                    <pic:cNvPicPr>
                      <a:picLocks noChangeAspect="1"/>
                    </pic:cNvPicPr>
                  </pic:nvPicPr>
                  <pic:blipFill>
                    <a:blip r:embed="rId46">
                      <a:clrChange>
                        <a:clrFrom>
                          <a:srgbClr val="FFFFFF"/>
                        </a:clrFrom>
                        <a:clrTo>
                          <a:srgbClr val="FFFFFF">
                            <a:alpha val="0"/>
                          </a:srgbClr>
                        </a:clrTo>
                      </a:clrChange>
                    </a:blip>
                    <a:stretch>
                      <a:fillRect/>
                    </a:stretch>
                  </pic:blipFill>
                  <pic:spPr>
                    <a:xfrm>
                      <a:off x="0" y="0"/>
                      <a:ext cx="3667125" cy="533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注：s1，s2，…sn分别为各布旗拖蜱距离,单位：米（m）；t1，t2，…tn分别为各布旗相应拖蜱时间，单位：分钟（min）；x1，x2，…xn分别为各布旗采获蜱数，单位：只。</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4、标本保存：</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分类用标本可用70～80℃的热水将蜱烫死，然后放入70%的乙醇保存，注意保存容器的密封，定期检查添加乙醇。</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短期内（6～10天），可将采到的标本装入50ml离心管内，内塞入采集点附近的树叶或草叶保持湿度，旋紧管盖，每隔1天更换一次草叶或树叶，以活蜱形态带回实验室进行鉴定、计数及其他检测；如需长期保存，可将活蜱装入冻存管，置于液氮内或超低温冰箱保存，如暂时无液氮，可先置于-20℃保存，有条件时（不超过3个月）转入液氮内或超低温冰箱保存。在鉴定和计数后应将捕获的蜱标本送</w:t>
      </w:r>
      <w:r>
        <w:rPr>
          <w:rFonts w:hint="eastAsia" w:ascii="仿宋" w:hAnsi="仿宋" w:eastAsia="仿宋"/>
          <w:sz w:val="28"/>
          <w:szCs w:val="28"/>
        </w:rPr>
        <w:t>区疾控中心（区卫生监督所）</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5、个人防护及其他注意事项</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5.1如有可能，提前注射相关的疫苗；</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5.2最好穿白色连体防护服，特别是进入林区，如是不连脚防护服，需加穿防蚤袜，套于裤腿外，并扎紧收口。进入林区采蜱时务必戴好防护帽。操作时戴上乳胶手套；</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5.3裸露的皮肤涂抹驱避剂，如含有避蚊胺（DEET，N，N－二乙基间甲基苯甲酰胺）的市售驱避剂或花露水，可以持续保护几个小时；</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5.4每天的调查活动结束后，调查人员应仔细检查自己或相互检查对方的身体和衣物，看是否有蜱叮入或爬上，发现蜱后立即清除；</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5.5一旦发现有蜱已咬钻入皮肤，不要生拉硬拽，以免拽伤皮肤，还易将蜱的头部留在皮肤内，应尽快找专业医疗机构取出，然后做局部消毒处理，并随时观察身体状况，如出现发热、叮咬部位发炎破溃及红斑等症状，及时到相关部门诊断是否患上蜱传疾病，避免错过最佳治疗时机。</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5.6尽量不要接触蜱的体液，如不小心接触，及时做消毒处理。</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6、监测工具</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采集工具：白布旗（推荐用白色摇粒绒）、眼科镊子（弯头、直头）、离心管、防水记号笔。</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防护用品：驱避剂、白色光面连体防护服、防蚤袜、一次性手套、一次性口罩。</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标本储存工具：冰箱、超低温冰箱、冻存管、带盖玻璃小瓶。</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7. 监测时间及频次</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每年监测5次，4月上旬、5月上旬、7月上旬、9月上旬和10月上旬各开展一次。</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8.数据报至</w:t>
      </w:r>
      <w:r>
        <w:rPr>
          <w:rFonts w:hint="eastAsia" w:ascii="仿宋" w:hAnsi="仿宋" w:eastAsia="仿宋"/>
          <w:sz w:val="28"/>
          <w:szCs w:val="28"/>
        </w:rPr>
        <w:t>区疾控中心（区卫生监督所）</w:t>
      </w:r>
      <w:r>
        <w:rPr>
          <w:rFonts w:hint="eastAsia" w:ascii="仿宋" w:hAnsi="仿宋" w:eastAsia="仿宋" w:cs="仿宋"/>
          <w:sz w:val="28"/>
          <w:szCs w:val="28"/>
        </w:rPr>
        <w:t>时间：当月20日前。</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（六）臭虫监测</w:t>
      </w:r>
    </w:p>
    <w:p>
      <w:pPr>
        <w:keepNext w:val="0"/>
        <w:keepLines w:val="0"/>
        <w:pageBreakBefore w:val="0"/>
        <w:widowControl w:val="0"/>
        <w:kinsoku/>
        <w:wordWrap/>
        <w:overflowPunct/>
        <w:topLinePunct w:val="0"/>
        <w:autoSpaceDE/>
        <w:autoSpaceDN/>
        <w:bidi w:val="0"/>
        <w:spacing w:after="0" w:line="240" w:lineRule="auto"/>
        <w:textAlignment w:val="auto"/>
        <w:rPr>
          <w:rFonts w:ascii="仿宋" w:hAnsi="仿宋" w:eastAsia="仿宋" w:cs="仿宋"/>
          <w:sz w:val="28"/>
          <w:szCs w:val="28"/>
        </w:rPr>
      </w:pPr>
      <w:r>
        <w:rPr>
          <w:rFonts w:hint="eastAsia" w:ascii="仿宋" w:hAnsi="仿宋" w:eastAsia="仿宋" w:cs="仿宋"/>
          <w:sz w:val="28"/>
          <w:szCs w:val="28"/>
        </w:rPr>
        <w:t>臭虫监测分为抽样监测和重点监测。抽样监测是随机监测，调查臭虫在特定城市的发生率。重点监测是针对已知发生臭虫的场所的监测，可以了解臭虫的发生场所类型，采集臭虫样本。</w:t>
      </w:r>
    </w:p>
    <w:p>
      <w:pPr>
        <w:keepNext w:val="0"/>
        <w:keepLines w:val="0"/>
        <w:pageBreakBefore w:val="0"/>
        <w:widowControl w:val="0"/>
        <w:kinsoku/>
        <w:wordWrap/>
        <w:overflowPunct/>
        <w:topLinePunct w:val="0"/>
        <w:autoSpaceDE/>
        <w:autoSpaceDN/>
        <w:bidi w:val="0"/>
        <w:spacing w:after="0" w:line="360" w:lineRule="auto"/>
        <w:textAlignment w:val="auto"/>
        <w:rPr>
          <w:rFonts w:ascii="仿宋" w:hAnsi="仿宋" w:eastAsia="仿宋" w:cs="仿宋"/>
          <w:sz w:val="28"/>
          <w:szCs w:val="28"/>
        </w:rPr>
      </w:pPr>
      <w:r>
        <w:rPr>
          <w:rFonts w:hint="eastAsia" w:ascii="仿宋" w:hAnsi="仿宋" w:eastAsia="仿宋" w:cs="仿宋"/>
          <w:sz w:val="28"/>
          <w:szCs w:val="28"/>
        </w:rPr>
        <w:t>1、监测生境</w:t>
      </w:r>
    </w:p>
    <w:p>
      <w:pPr>
        <w:keepNext w:val="0"/>
        <w:keepLines w:val="0"/>
        <w:pageBreakBefore w:val="0"/>
        <w:widowControl w:val="0"/>
        <w:kinsoku/>
        <w:wordWrap/>
        <w:overflowPunct/>
        <w:topLinePunct w:val="0"/>
        <w:autoSpaceDE/>
        <w:autoSpaceDN/>
        <w:bidi w:val="0"/>
        <w:spacing w:after="0" w:line="360" w:lineRule="auto"/>
        <w:textAlignment w:val="auto"/>
        <w:rPr>
          <w:rFonts w:ascii="仿宋" w:hAnsi="仿宋" w:eastAsia="仿宋" w:cs="仿宋"/>
          <w:sz w:val="28"/>
          <w:szCs w:val="28"/>
        </w:rPr>
      </w:pPr>
      <w:r>
        <w:rPr>
          <w:rFonts w:hint="eastAsia" w:ascii="仿宋" w:hAnsi="仿宋" w:eastAsia="仿宋" w:cs="仿宋"/>
          <w:sz w:val="28"/>
          <w:szCs w:val="28"/>
        </w:rPr>
        <w:t>臭虫抽样监测的监测环境有两种，包括工地宿舍、居民区，如工地宿舍数量不足，可以工厂宿舍、学校宿舍代替。工地宿舍调查，每个区县每年调查不少于10处工地宿舍，每处不少于10个标准间（房间按15m2/间折算）；居民区调查，每个区县每年调查不少于10个村/居委会，每个村/居委会不少于10个家庭。</w:t>
      </w:r>
    </w:p>
    <w:p>
      <w:pPr>
        <w:keepNext w:val="0"/>
        <w:keepLines w:val="0"/>
        <w:pageBreakBefore w:val="0"/>
        <w:widowControl w:val="0"/>
        <w:kinsoku/>
        <w:wordWrap/>
        <w:overflowPunct/>
        <w:topLinePunct w:val="0"/>
        <w:autoSpaceDE/>
        <w:autoSpaceDN/>
        <w:bidi w:val="0"/>
        <w:spacing w:after="0" w:line="360" w:lineRule="auto"/>
        <w:textAlignment w:val="auto"/>
        <w:rPr>
          <w:rFonts w:ascii="仿宋" w:hAnsi="仿宋" w:eastAsia="仿宋" w:cs="仿宋"/>
          <w:sz w:val="28"/>
          <w:szCs w:val="28"/>
        </w:rPr>
      </w:pPr>
      <w:r>
        <w:rPr>
          <w:rFonts w:hint="eastAsia" w:ascii="仿宋" w:hAnsi="仿宋" w:eastAsia="仿宋" w:cs="仿宋"/>
          <w:sz w:val="28"/>
          <w:szCs w:val="28"/>
        </w:rPr>
        <w:t>二、监测方法</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1.臭虫抽样监测采用粘捕法。</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 xml:space="preserve">臭虫粘捕法采用的粘虫（蟑）纸规格：胶面规格为170 mm×100 mm。 </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 xml:space="preserve">监测时间段，监测房间内宜有人员正常居住，将臭虫粘纸放置于臭虫经常栖息活动的场所，如床、沙发、家具周围等处，床和沙发应在与地面接触的四个角均放置粘虫纸，每个房间粘虫纸的放置数量根据房间内的家具摆放具体选择。臭虫粘纸放置7天。记录捕获臭虫种类及数量，监测记录表格参见表7-1。 </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2 .臭虫重点监测采用目测法或粘捕法</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调查PCO公司是否发现过臭虫，如有发现，记录发生地点和场所。建议每个城市调查所有登记注册的PCO公司等专业机构，填写调查表7-2。根据调查结果，找出哪些地点和场所可以进行臭虫调查。</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确定现场调查的地点，派人到现场做臭虫调查，可以用目测法或粘捕法。若用目测法，发现有臭虫痕迹或活的臭虫，则每个建筑所有房间需要检查。如人力有限，至少已知臭虫发生房间的左、右、上、下房间需检查。如现场不能找到活体臭虫，也可使用粘捕法监测臭虫，可在粘虫纸上放置臭虫引诱剂提高臭虫监测的灵敏度。</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臭虫目测法：在监测房间内选择臭虫栖息活动的场所，如床板、床垫(包括其上的孔、洞、缝)、床架、床头、抽屉等缝隙和家具连接处、沙发以及沙发和床周围的家具、孔隙。用手电筒照明，借助放大镜、镊子、解剖针等工具，采取直接目测、敲击等检查方式，检查并记录每个场所捕获到的臭虫数量和查到的臭虫迹。检查区域不足15m²的单独房间按1间计算，大于15m²的房间按15m²为1间折算。监测记录表格参见附录表7-3。</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3. 统计与计算</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3.1 粘捕法臭虫的密度计算</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object>
          <v:shape id="_x0000_i1039" o:spt="75" type="#_x0000_t75" style="height:32.95pt;width:233.6pt;" o:ole="t" filled="f" o:preferrelative="t" stroked="f" coordsize="21600,21600">
            <v:path/>
            <v:fill on="f" focussize="0,0"/>
            <v:stroke on="f" joinstyle="miter"/>
            <v:imagedata r:id="rId48" o:title=""/>
            <o:lock v:ext="edit" aspectratio="t"/>
            <w10:wrap type="none"/>
            <w10:anchorlock/>
          </v:shape>
          <o:OLEObject Type="Embed" ProgID="Equation.3" ShapeID="_x0000_i1039" DrawAspect="Content" ObjectID="_1468075739" r:id="rId47">
            <o:LockedField>false</o:LockedField>
          </o:OLEObject>
        </w:objec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object>
          <v:shape id="_x0000_i1040" o:spt="75" type="#_x0000_t75" style="height:32.95pt;width:218.3pt;" o:ole="t" filled="f" o:preferrelative="t" stroked="f" coordsize="21600,21600">
            <v:path/>
            <v:fill on="f" focussize="0,0"/>
            <v:stroke on="f" joinstyle="miter"/>
            <v:imagedata r:id="rId50" o:title=""/>
            <o:lock v:ext="edit" aspectratio="t"/>
            <w10:wrap type="none"/>
            <w10:anchorlock/>
          </v:shape>
          <o:OLEObject Type="Embed" ProgID="Equation.3" ShapeID="_x0000_i1040" DrawAspect="Content" ObjectID="_1468075740" r:id="rId49">
            <o:LockedField>false</o:LockedField>
          </o:OLEObject>
        </w:objec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object>
          <v:shape id="_x0000_i1041" o:spt="75" type="#_x0000_t75" style="height:32.95pt;width:245.1pt;" o:ole="t" filled="f" o:preferrelative="t" stroked="f" coordsize="21600,21600">
            <v:path/>
            <v:fill on="f" focussize="0,0"/>
            <v:stroke on="f" joinstyle="miter"/>
            <v:imagedata r:id="rId52" o:title=""/>
            <o:lock v:ext="edit" aspectratio="t"/>
            <w10:wrap type="none"/>
            <w10:anchorlock/>
          </v:shape>
          <o:OLEObject Type="Embed" ProgID="Equation.3" ShapeID="_x0000_i1041" DrawAspect="Content" ObjectID="_1468075741" r:id="rId51">
            <o:LockedField>false</o:LockedField>
          </o:OLEObject>
        </w:objec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object>
          <v:shape id="_x0000_i1042" o:spt="75" type="#_x0000_t75" style="height:32.95pt;width:268.1pt;" o:ole="t" filled="f" o:preferrelative="t" stroked="f" coordsize="21600,21600">
            <v:path/>
            <v:fill on="f" focussize="0,0"/>
            <v:stroke on="f" joinstyle="miter"/>
            <v:imagedata r:id="rId54" o:title=""/>
            <o:lock v:ext="edit" aspectratio="t"/>
            <w10:wrap type="none"/>
            <w10:anchorlock/>
          </v:shape>
          <o:OLEObject Type="Embed" ProgID="Equation.3" ShapeID="_x0000_i1042" DrawAspect="Content" ObjectID="_1468075742" r:id="rId53">
            <o:LockedField>false</o:LockedField>
          </o:OLEObject>
        </w:objec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3.2 目测法臭虫的密度计算</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object>
          <v:shape id="_x0000_i1043" o:spt="75" type="#_x0000_t75" style="height:32.95pt;width:218.3pt;" o:ole="t" filled="f" o:preferrelative="t" stroked="f" coordsize="21600,21600">
            <v:path/>
            <v:fill on="f" focussize="0,0"/>
            <v:stroke on="f" joinstyle="miter"/>
            <v:imagedata r:id="rId50" o:title=""/>
            <o:lock v:ext="edit" aspectratio="t"/>
            <w10:wrap type="none"/>
            <w10:anchorlock/>
          </v:shape>
          <o:OLEObject Type="Embed" ProgID="Equation.3" ShapeID="_x0000_i1043" DrawAspect="Content" ObjectID="_1468075743" r:id="rId55">
            <o:LockedField>false</o:LockedField>
          </o:OLEObject>
        </w:objec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object>
          <v:shape id="_x0000_i1044" o:spt="75" type="#_x0000_t75" style="height:32.95pt;width:238.2pt;" o:ole="t" filled="f" o:preferrelative="t" stroked="f" coordsize="21600,21600">
            <v:path/>
            <v:fill on="f" focussize="0,0"/>
            <v:stroke on="f" joinstyle="miter"/>
            <v:imagedata r:id="rId57" o:title=""/>
            <o:lock v:ext="edit" aspectratio="t"/>
            <w10:wrap type="none"/>
            <w10:anchorlock/>
          </v:shape>
          <o:OLEObject Type="Embed" ProgID="Equation.3" ShapeID="_x0000_i1044" DrawAspect="Content" ObjectID="_1468075744" r:id="rId56">
            <o:LockedField>false</o:LockedField>
          </o:OLEObject>
        </w:objec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object>
          <v:shape id="_x0000_i1045" o:spt="75" type="#_x0000_t75" style="height:32.95pt;width:262.7pt;" o:ole="t" filled="f" o:preferrelative="t" stroked="f" coordsize="21600,21600">
            <v:path/>
            <v:fill on="f" focussize="0,0"/>
            <v:stroke on="f" joinstyle="miter"/>
            <v:imagedata r:id="rId59" o:title=""/>
            <o:lock v:ext="edit" aspectratio="t"/>
            <w10:wrap type="none"/>
            <w10:anchorlock/>
          </v:shape>
          <o:OLEObject Type="Embed" ProgID="Equation.3" ShapeID="_x0000_i1045" DrawAspect="Content" ObjectID="_1468075745" r:id="rId58">
            <o:LockedField>false</o:LockedField>
          </o:OLEObject>
        </w:objec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object>
          <v:shape id="_x0000_i1046" o:spt="75" type="#_x0000_t75" style="height:32.95pt;width:229.8pt;" o:ole="t" filled="f" o:preferrelative="t" stroked="f" coordsize="21600,21600">
            <v:path/>
            <v:fill on="f" focussize="0,0"/>
            <v:stroke on="f" joinstyle="miter"/>
            <v:imagedata r:id="rId61" o:title=""/>
            <o:lock v:ext="edit" aspectratio="t"/>
            <w10:wrap type="none"/>
            <w10:anchorlock/>
          </v:shape>
          <o:OLEObject Type="Embed" ProgID="Equation.3" ShapeID="_x0000_i1046" DrawAspect="Content" ObjectID="_1468075746" r:id="rId60">
            <o:LockedField>false</o:LockedField>
          </o:OLEObject>
        </w:objec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3.3 PCO公司调查臭虫的密度计算</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object>
          <v:shape id="_x0000_i1047" o:spt="75" type="#_x0000_t75" style="height:32.95pt;width:324pt;" o:ole="t" filled="f" o:preferrelative="t" stroked="f" coordsize="21600,21600">
            <v:path/>
            <v:fill on="f" focussize="0,0"/>
            <v:stroke on="f" joinstyle="miter"/>
            <v:imagedata r:id="rId63" o:title=""/>
            <o:lock v:ext="edit" aspectratio="t"/>
            <w10:wrap type="none"/>
            <w10:anchorlock/>
          </v:shape>
          <o:OLEObject Type="Embed" ProgID="Equation.3" ShapeID="_x0000_i1047" DrawAspect="Content" ObjectID="_1468075747" r:id="rId62">
            <o:LockedField>false</o:LockedField>
          </o:OLEObject>
        </w:objec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4. 标本收集和种类鉴定</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发现活体臭虫，可以使用毛笔、离心管、镊子等工具收集臭虫样本，用于种类鉴别和抗药性试验研究。监测采集的臭虫标本，可放入95%乙醇浸泡保存。</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前胸背板宽高比被认为是区分温带臭虫和热带臭虫的主要依据。前胸背板宽高比大于2.5定为温带臭虫，小于2.5则定为热带臭虫。采集的标本应进行种类鉴定，并提交标本给中国疾病预防控制中心鉴定复核。</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5. 监测时间及频次</w:t>
      </w:r>
    </w:p>
    <w:p>
      <w:pPr>
        <w:keepNext w:val="0"/>
        <w:keepLines w:val="0"/>
        <w:pageBreakBefore w:val="0"/>
        <w:widowControl w:val="0"/>
        <w:kinsoku/>
        <w:wordWrap/>
        <w:overflowPunct/>
        <w:topLinePunct w:val="0"/>
        <w:autoSpaceDE/>
        <w:autoSpaceDN/>
        <w:bidi w:val="0"/>
        <w:spacing w:after="0" w:line="360" w:lineRule="auto"/>
        <w:ind w:firstLine="420" w:firstLineChars="150"/>
        <w:textAlignment w:val="auto"/>
        <w:rPr>
          <w:rFonts w:ascii="仿宋_GB2312" w:hAnsi="宋体" w:eastAsia="仿宋_GB2312"/>
          <w:b/>
          <w:sz w:val="28"/>
          <w:szCs w:val="28"/>
        </w:rPr>
      </w:pPr>
      <w:r>
        <w:rPr>
          <w:rFonts w:hint="eastAsia" w:ascii="仿宋_GB2312" w:hAnsi="宋体" w:eastAsia="仿宋_GB2312"/>
          <w:sz w:val="28"/>
          <w:szCs w:val="28"/>
        </w:rPr>
        <w:t>抽样监测：9月底前完成监测；重点监测：根据PCO公司调查结果随时监测。</w:t>
      </w:r>
    </w:p>
    <w:p>
      <w:pPr>
        <w:keepNext w:val="0"/>
        <w:keepLines w:val="0"/>
        <w:pageBreakBefore w:val="0"/>
        <w:widowControl w:val="0"/>
        <w:kinsoku/>
        <w:wordWrap/>
        <w:overflowPunct/>
        <w:topLinePunct w:val="0"/>
        <w:autoSpaceDE/>
        <w:autoSpaceDN/>
        <w:bidi w:val="0"/>
        <w:spacing w:after="0" w:line="360" w:lineRule="auto"/>
        <w:textAlignment w:val="auto"/>
        <w:rPr>
          <w:rFonts w:ascii="仿宋_GB2312" w:hAnsi="宋体" w:eastAsia="仿宋_GB2312"/>
          <w:sz w:val="28"/>
          <w:szCs w:val="28"/>
        </w:rPr>
      </w:pPr>
      <w:r>
        <w:rPr>
          <w:rFonts w:hint="eastAsia" w:ascii="仿宋_GB2312" w:hAnsi="宋体" w:eastAsia="仿宋_GB2312"/>
          <w:sz w:val="28"/>
          <w:szCs w:val="28"/>
        </w:rPr>
        <w:t>6.数据报至</w:t>
      </w:r>
      <w:r>
        <w:rPr>
          <w:rFonts w:hint="eastAsia" w:ascii="仿宋" w:hAnsi="仿宋" w:eastAsia="仿宋"/>
          <w:sz w:val="28"/>
          <w:szCs w:val="28"/>
        </w:rPr>
        <w:t>区疾控中心（区卫生监督所）</w:t>
      </w:r>
      <w:r>
        <w:rPr>
          <w:rFonts w:hint="eastAsia" w:ascii="仿宋_GB2312" w:hAnsi="宋体" w:eastAsia="仿宋_GB2312"/>
          <w:sz w:val="28"/>
          <w:szCs w:val="28"/>
        </w:rPr>
        <w:t>时间：当年10月10日前。</w:t>
      </w:r>
    </w:p>
    <w:p>
      <w:pPr>
        <w:keepNext w:val="0"/>
        <w:keepLines w:val="0"/>
        <w:pageBreakBefore w:val="0"/>
        <w:widowControl w:val="0"/>
        <w:kinsoku/>
        <w:wordWrap/>
        <w:overflowPunct/>
        <w:topLinePunct w:val="0"/>
        <w:autoSpaceDE/>
        <w:autoSpaceDN/>
        <w:bidi w:val="0"/>
        <w:spacing w:after="0" w:line="360" w:lineRule="auto"/>
        <w:textAlignment w:val="auto"/>
        <w:rPr>
          <w:rFonts w:ascii="仿宋" w:hAnsi="仿宋" w:eastAsia="仿宋"/>
          <w:sz w:val="28"/>
          <w:szCs w:val="28"/>
        </w:rPr>
      </w:pPr>
      <w:r>
        <w:rPr>
          <w:rFonts w:hint="eastAsia" w:ascii="仿宋" w:hAnsi="仿宋" w:eastAsia="仿宋" w:cs="仿宋"/>
          <w:sz w:val="28"/>
          <w:szCs w:val="28"/>
        </w:rPr>
        <w:t>（七）</w:t>
      </w:r>
      <w:r>
        <w:rPr>
          <w:rFonts w:hint="eastAsia" w:ascii="仿宋" w:hAnsi="仿宋" w:eastAsia="仿宋"/>
          <w:sz w:val="28"/>
          <w:szCs w:val="28"/>
        </w:rPr>
        <w:t>上送生物样本及标本制作：</w:t>
      </w:r>
    </w:p>
    <w:p>
      <w:pPr>
        <w:keepNext w:val="0"/>
        <w:keepLines w:val="0"/>
        <w:pageBreakBefore w:val="0"/>
        <w:widowControl w:val="0"/>
        <w:kinsoku/>
        <w:wordWrap/>
        <w:overflowPunct/>
        <w:topLinePunct w:val="0"/>
        <w:autoSpaceDE/>
        <w:autoSpaceDN/>
        <w:bidi w:val="0"/>
        <w:spacing w:after="0" w:line="360" w:lineRule="auto"/>
        <w:textAlignment w:val="auto"/>
        <w:rPr>
          <w:rFonts w:ascii="仿宋" w:hAnsi="仿宋" w:eastAsia="仿宋"/>
          <w:sz w:val="28"/>
          <w:szCs w:val="28"/>
        </w:rPr>
      </w:pPr>
      <w:r>
        <w:rPr>
          <w:rFonts w:hint="eastAsia" w:ascii="仿宋" w:hAnsi="仿宋" w:eastAsia="仿宋"/>
          <w:sz w:val="28"/>
          <w:szCs w:val="28"/>
        </w:rPr>
        <w:t>1.捕获鼠类、帐诱捕获到的成蚊、诱蚊灯捕获的所有蚊虫、蜱、臭虫（每次捕获的样本放一管，备注好，-20℃保存），单月上送至杭州市疾病预防控制中心（杭州市卫生监督所）。</w:t>
      </w:r>
    </w:p>
    <w:p>
      <w:pPr>
        <w:keepNext w:val="0"/>
        <w:keepLines w:val="0"/>
        <w:pageBreakBefore w:val="0"/>
        <w:widowControl w:val="0"/>
        <w:kinsoku/>
        <w:wordWrap/>
        <w:overflowPunct/>
        <w:topLinePunct w:val="0"/>
        <w:autoSpaceDE/>
        <w:autoSpaceDN/>
        <w:bidi w:val="0"/>
        <w:spacing w:after="0" w:line="360" w:lineRule="auto"/>
        <w:textAlignment w:val="auto"/>
        <w:rPr>
          <w:rFonts w:ascii="仿宋" w:hAnsi="仿宋" w:eastAsia="仿宋"/>
          <w:sz w:val="28"/>
          <w:szCs w:val="28"/>
        </w:rPr>
      </w:pPr>
      <w:r>
        <w:rPr>
          <w:rFonts w:hint="eastAsia" w:ascii="仿宋" w:hAnsi="仿宋" w:eastAsia="仿宋"/>
          <w:sz w:val="28"/>
          <w:szCs w:val="28"/>
        </w:rPr>
        <w:t>2.5月底前上送存活的德国小蠊20只以上。</w:t>
      </w:r>
    </w:p>
    <w:p>
      <w:pPr>
        <w:keepNext w:val="0"/>
        <w:keepLines w:val="0"/>
        <w:pageBreakBefore w:val="0"/>
        <w:widowControl w:val="0"/>
        <w:kinsoku/>
        <w:wordWrap/>
        <w:overflowPunct/>
        <w:topLinePunct w:val="0"/>
        <w:autoSpaceDE/>
        <w:autoSpaceDN/>
        <w:bidi w:val="0"/>
        <w:spacing w:after="0" w:line="360" w:lineRule="auto"/>
        <w:textAlignment w:val="auto"/>
        <w:rPr>
          <w:rFonts w:ascii="仿宋" w:hAnsi="仿宋" w:eastAsia="仿宋"/>
          <w:sz w:val="28"/>
          <w:szCs w:val="28"/>
        </w:rPr>
      </w:pPr>
      <w:r>
        <w:rPr>
          <w:rFonts w:hint="eastAsia" w:ascii="仿宋" w:hAnsi="仿宋" w:eastAsia="仿宋"/>
          <w:sz w:val="28"/>
          <w:szCs w:val="28"/>
        </w:rPr>
        <w:t>3.5月底前上送白纹伊蚊、淡色库蚊成蚊各200只，共计400只。</w:t>
      </w:r>
    </w:p>
    <w:p>
      <w:pPr>
        <w:keepNext w:val="0"/>
        <w:keepLines w:val="0"/>
        <w:pageBreakBefore w:val="0"/>
        <w:widowControl w:val="0"/>
        <w:kinsoku/>
        <w:wordWrap/>
        <w:overflowPunct/>
        <w:topLinePunct w:val="0"/>
        <w:autoSpaceDE/>
        <w:autoSpaceDN/>
        <w:bidi w:val="0"/>
        <w:spacing w:after="0" w:line="360" w:lineRule="auto"/>
        <w:textAlignment w:val="auto"/>
        <w:rPr>
          <w:rFonts w:ascii="仿宋" w:hAnsi="仿宋" w:eastAsia="仿宋"/>
          <w:sz w:val="28"/>
          <w:szCs w:val="28"/>
        </w:rPr>
      </w:pPr>
      <w:r>
        <w:rPr>
          <w:rFonts w:hint="eastAsia" w:ascii="仿宋" w:hAnsi="仿宋" w:eastAsia="仿宋"/>
          <w:sz w:val="28"/>
          <w:szCs w:val="28"/>
        </w:rPr>
        <w:t>4.标本采集、上送、复核（每年至少上送三类五种针插标本不少于20只）。</w:t>
      </w:r>
    </w:p>
    <w:p>
      <w:pPr>
        <w:keepNext w:val="0"/>
        <w:keepLines w:val="0"/>
        <w:pageBreakBefore w:val="0"/>
        <w:widowControl w:val="0"/>
        <w:kinsoku/>
        <w:wordWrap/>
        <w:overflowPunct/>
        <w:topLinePunct w:val="0"/>
        <w:autoSpaceDE/>
        <w:autoSpaceDN/>
        <w:bidi w:val="0"/>
        <w:spacing w:after="0" w:line="360" w:lineRule="auto"/>
        <w:textAlignment w:val="auto"/>
        <w:rPr>
          <w:rFonts w:ascii="仿宋" w:hAnsi="仿宋" w:eastAsia="仿宋"/>
          <w:sz w:val="28"/>
          <w:szCs w:val="28"/>
        </w:rPr>
      </w:pPr>
      <w:r>
        <w:rPr>
          <w:rFonts w:hint="eastAsia" w:ascii="仿宋" w:hAnsi="仿宋" w:eastAsia="仿宋"/>
          <w:sz w:val="28"/>
          <w:szCs w:val="28"/>
        </w:rPr>
        <w:t>5.最终以省市疾控下发的方案为准。同时根据病例疫情，监测的重要性调整方案，内容有变的提前通知供应商。</w:t>
      </w:r>
    </w:p>
    <w:p>
      <w:pPr>
        <w:keepNext w:val="0"/>
        <w:keepLines w:val="0"/>
        <w:pageBreakBefore w:val="0"/>
        <w:widowControl w:val="0"/>
        <w:kinsoku/>
        <w:wordWrap/>
        <w:overflowPunct/>
        <w:topLinePunct w:val="0"/>
        <w:autoSpaceDE/>
        <w:autoSpaceDN/>
        <w:bidi w:val="0"/>
        <w:adjustRightInd/>
        <w:spacing w:after="0" w:line="240" w:lineRule="auto"/>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spacing w:after="0"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（八）</w:t>
      </w:r>
      <w:r>
        <w:rPr>
          <w:rFonts w:hint="eastAsia" w:ascii="仿宋" w:hAnsi="仿宋" w:eastAsia="仿宋" w:cs="仿宋"/>
          <w:sz w:val="28"/>
          <w:szCs w:val="28"/>
          <w:lang w:val="en-US" w:eastAsia="zh-CN"/>
        </w:rPr>
        <w:t>其他</w:t>
      </w:r>
    </w:p>
    <w:p>
      <w:pPr>
        <w:keepNext w:val="0"/>
        <w:keepLines w:val="0"/>
        <w:pageBreakBefore w:val="0"/>
        <w:widowControl w:val="0"/>
        <w:kinsoku/>
        <w:wordWrap/>
        <w:overflowPunct/>
        <w:topLinePunct w:val="0"/>
        <w:autoSpaceDE/>
        <w:autoSpaceDN/>
        <w:bidi w:val="0"/>
        <w:adjustRightInd/>
        <w:spacing w:after="0" w:line="240" w:lineRule="auto"/>
        <w:ind w:firstLine="560" w:firstLineChars="200"/>
        <w:textAlignment w:val="auto"/>
      </w:pPr>
      <w:r>
        <w:rPr>
          <w:rFonts w:hint="eastAsia" w:ascii="仿宋" w:hAnsi="仿宋" w:eastAsia="仿宋"/>
          <w:sz w:val="28"/>
          <w:szCs w:val="28"/>
        </w:rPr>
        <w:t>区疾控中心（区卫生监督所）</w:t>
      </w:r>
      <w:r>
        <w:rPr>
          <w:rFonts w:hint="eastAsia" w:ascii="仿宋" w:hAnsi="仿宋" w:eastAsia="仿宋" w:cs="仿宋"/>
          <w:sz w:val="28"/>
          <w:szCs w:val="28"/>
        </w:rPr>
        <w:t>不定期对监测过程及结果开展质控，对不符合情况第三方公司应及时整改。</w:t>
      </w:r>
      <w:bookmarkEnd w:id="15"/>
    </w:p>
    <w:p>
      <w:pPr>
        <w:keepNext w:val="0"/>
        <w:keepLines w:val="0"/>
        <w:pageBreakBefore w:val="0"/>
        <w:widowControl w:val="0"/>
        <w:kinsoku/>
        <w:wordWrap/>
        <w:overflowPunct/>
        <w:topLinePunct w:val="0"/>
        <w:autoSpaceDE/>
        <w:autoSpaceDN/>
        <w:bidi w:val="0"/>
        <w:snapToGrid w:val="0"/>
        <w:spacing w:after="0" w:line="360" w:lineRule="auto"/>
        <w:ind w:firstLine="420" w:firstLineChars="200"/>
        <w:textAlignment w:val="auto"/>
        <w:rPr>
          <w:rFonts w:ascii="宋体" w:hAnsi="宋体" w:cs="宋体"/>
        </w:rPr>
      </w:pPr>
      <w:r>
        <w:rPr>
          <w:rFonts w:hint="eastAsia" w:ascii="宋体" w:hAnsi="宋体" w:cs="宋体"/>
        </w:rPr>
        <w:br w:type="page"/>
      </w:r>
    </w:p>
    <w:p>
      <w:pPr>
        <w:pStyle w:val="3"/>
        <w:keepLines w:val="0"/>
        <w:pageBreakBefore w:val="0"/>
        <w:widowControl w:val="0"/>
        <w:kinsoku/>
        <w:wordWrap/>
        <w:overflowPunct/>
        <w:topLinePunct w:val="0"/>
        <w:autoSpaceDE/>
        <w:autoSpaceDN/>
        <w:bidi w:val="0"/>
        <w:adjustRightInd w:val="0"/>
        <w:spacing w:after="0"/>
        <w:ind w:firstLine="3213" w:firstLineChars="1000"/>
        <w:jc w:val="both"/>
        <w:textAlignment w:val="auto"/>
        <w:rPr>
          <w:rFonts w:ascii="宋体" w:hAnsi="宋体" w:cs="宋体"/>
          <w:color w:val="auto"/>
        </w:rPr>
      </w:pPr>
      <w:r>
        <w:rPr>
          <w:rFonts w:hint="eastAsia" w:ascii="宋体" w:hAnsi="宋体" w:cs="宋体"/>
          <w:color w:val="auto"/>
        </w:rPr>
        <w:t>第四章  评审办法</w:t>
      </w:r>
    </w:p>
    <w:p>
      <w:pPr>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ascii="宋体" w:hAnsi="宋体" w:cs="宋体"/>
          <w:b/>
          <w:sz w:val="32"/>
          <w:szCs w:val="20"/>
        </w:rPr>
      </w:pPr>
      <w:r>
        <w:rPr>
          <w:rFonts w:hint="eastAsia" w:ascii="宋体" w:hAnsi="宋体" w:cs="宋体"/>
          <w:b/>
          <w:sz w:val="32"/>
          <w:szCs w:val="20"/>
        </w:rPr>
        <w:t>评标办法前附表</w:t>
      </w:r>
    </w:p>
    <w:tbl>
      <w:tblPr>
        <w:tblStyle w:val="21"/>
        <w:tblW w:w="977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095"/>
        <w:gridCol w:w="5385"/>
        <w:gridCol w:w="645"/>
        <w:gridCol w:w="99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textAlignment w:val="auto"/>
              <w:rPr>
                <w:rFonts w:ascii="宋体" w:hAnsi="宋体" w:cs="Arial"/>
                <w:szCs w:val="21"/>
              </w:rPr>
            </w:pPr>
            <w:r>
              <w:rPr>
                <w:rFonts w:ascii="宋体" w:hAnsi="宋体" w:cs="Arial"/>
                <w:szCs w:val="21"/>
              </w:rPr>
              <w:t>序号</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ascii="宋体" w:hAnsi="宋体" w:cs="Arial"/>
                <w:szCs w:val="21"/>
              </w:rPr>
              <w:t>评分因素</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ascii="宋体" w:hAnsi="宋体" w:cs="Arial"/>
                <w:szCs w:val="21"/>
              </w:rPr>
              <w:t>评分细则</w:t>
            </w:r>
          </w:p>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ascii="宋体" w:hAnsi="宋体" w:cs="Arial"/>
              </w:rPr>
              <w:t>（投标文件中提供的证明材料（证书、合同等）应清晰可辨，如无法辨识，将不予给分。）</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ascii="宋体" w:hAnsi="宋体" w:cs="Arial"/>
                <w:szCs w:val="21"/>
              </w:rPr>
              <w:t>分值（</w:t>
            </w:r>
            <w:r>
              <w:rPr>
                <w:rFonts w:ascii="宋体" w:hAnsi="宋体" w:cs="Arial"/>
                <w:kern w:val="0"/>
                <w:szCs w:val="21"/>
              </w:rPr>
              <w:t>分</w:t>
            </w:r>
            <w:r>
              <w:rPr>
                <w:rFonts w:ascii="宋体" w:hAnsi="宋体" w:cs="Arial"/>
                <w:szCs w:val="21"/>
              </w:rPr>
              <w:t>）</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主观分</w:t>
            </w:r>
            <w:r>
              <w:rPr>
                <w:rFonts w:hint="eastAsia" w:ascii="宋体" w:hAnsi="宋体" w:cs="宋体"/>
                <w:bCs/>
                <w:color w:val="000000" w:themeColor="text1"/>
                <w:sz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宋体" w:hAnsi="宋体" w:cs="Arial"/>
                <w:szCs w:val="21"/>
              </w:rPr>
            </w:pPr>
            <w:r>
              <w:rPr>
                <w:rFonts w:hint="eastAsia" w:ascii="宋体" w:hAnsi="宋体" w:cs="宋体"/>
                <w:bCs/>
                <w:color w:val="000000" w:themeColor="text1"/>
                <w:sz w:val="24"/>
                <w14:textFill>
                  <w14:solidFill>
                    <w14:schemeClr w14:val="tx1"/>
                  </w14:solidFill>
                </w14:textFill>
              </w:rPr>
              <w:t>客观分属性</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宋体" w:hAnsi="宋体" w:cs="Arial"/>
                <w:szCs w:val="21"/>
              </w:rPr>
            </w:pPr>
            <w:r>
              <w:rPr>
                <w:rFonts w:hint="eastAsia" w:ascii="宋体" w:hAnsi="宋体" w:cs="宋体"/>
                <w:bCs/>
                <w:color w:val="000000" w:themeColor="text1"/>
                <w:sz w:val="24"/>
                <w14:textFill>
                  <w14:solidFill>
                    <w14:schemeClr w14:val="tx1"/>
                  </w14:solidFill>
                </w14:textFill>
              </w:rPr>
              <w:t>响应文件中评审标准相应的商务技术资料目录*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商务部分（30分）</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ascii="宋体" w:hAnsi="宋体" w:cs="Arial"/>
                <w:szCs w:val="21"/>
              </w:rPr>
              <w:t>投标人类似项目业绩</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ascii="宋体" w:hAnsi="宋体" w:cs="Arial"/>
                <w:szCs w:val="21"/>
              </w:rPr>
              <w:t>202</w:t>
            </w:r>
            <w:r>
              <w:rPr>
                <w:rFonts w:hint="eastAsia" w:ascii="宋体" w:hAnsi="宋体" w:cs="Arial"/>
                <w:szCs w:val="21"/>
              </w:rPr>
              <w:t>3</w:t>
            </w:r>
            <w:r>
              <w:rPr>
                <w:rFonts w:ascii="宋体" w:hAnsi="宋体" w:cs="Arial"/>
                <w:szCs w:val="21"/>
              </w:rPr>
              <w:t>年</w:t>
            </w:r>
            <w:r>
              <w:rPr>
                <w:rFonts w:hint="eastAsia" w:ascii="宋体" w:hAnsi="宋体" w:cs="Arial"/>
                <w:szCs w:val="21"/>
              </w:rPr>
              <w:t>1月1日</w:t>
            </w:r>
            <w:r>
              <w:rPr>
                <w:rFonts w:ascii="宋体" w:hAnsi="宋体" w:cs="Arial"/>
                <w:szCs w:val="21"/>
              </w:rPr>
              <w:t>至今（以合同签订时间为准）投标人承担过</w:t>
            </w:r>
            <w:r>
              <w:rPr>
                <w:rFonts w:hint="eastAsia" w:ascii="宋体" w:hAnsi="宋体" w:cs="Arial"/>
                <w:szCs w:val="21"/>
              </w:rPr>
              <w:t>类似项目业绩情况</w:t>
            </w:r>
            <w:r>
              <w:rPr>
                <w:rFonts w:ascii="宋体" w:hAnsi="宋体" w:cs="Arial"/>
                <w:szCs w:val="21"/>
              </w:rPr>
              <w:t>，每个业绩得</w:t>
            </w:r>
            <w:r>
              <w:rPr>
                <w:rFonts w:hint="eastAsia" w:ascii="宋体" w:hAnsi="宋体" w:cs="Arial"/>
                <w:szCs w:val="21"/>
              </w:rPr>
              <w:t>0.5</w:t>
            </w:r>
            <w:r>
              <w:rPr>
                <w:rFonts w:ascii="宋体" w:hAnsi="宋体" w:cs="Arial"/>
                <w:szCs w:val="21"/>
              </w:rPr>
              <w:t>分，最高得</w:t>
            </w:r>
            <w:r>
              <w:rPr>
                <w:rFonts w:hint="eastAsia" w:ascii="宋体" w:hAnsi="宋体" w:cs="Arial"/>
                <w:szCs w:val="21"/>
              </w:rPr>
              <w:t>1</w:t>
            </w:r>
            <w:r>
              <w:rPr>
                <w:rFonts w:ascii="宋体" w:hAnsi="宋体" w:cs="Arial"/>
                <w:szCs w:val="21"/>
              </w:rPr>
              <w:t>分。</w:t>
            </w:r>
          </w:p>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ascii="宋体" w:hAnsi="宋体" w:cs="Arial"/>
                <w:szCs w:val="21"/>
              </w:rPr>
              <w:t>说明：根据投标文件中提供的业绩合同进行评分，未提供或不符合以上条件不得分。</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1</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r>
              <w:rPr>
                <w:rFonts w:hint="eastAsia" w:ascii="宋体" w:hAnsi="宋体" w:cs="宋体"/>
                <w:color w:val="000000" w:themeColor="text1"/>
                <w:sz w:val="24"/>
                <w14:textFill>
                  <w14:solidFill>
                    <w14:schemeClr w14:val="tx1"/>
                  </w14:solidFill>
                </w14:textFill>
              </w:rPr>
              <w:t>客观分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体系认证</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hint="eastAsia" w:ascii="宋体" w:hAnsi="宋体" w:cs="Arial"/>
                <w:szCs w:val="21"/>
              </w:rPr>
              <w:t>投标公司具有质量管理体系认证、职业健康安全管理体系认证、环境管理体系认证的，每提供一项得1分，最多得3分。</w:t>
            </w:r>
          </w:p>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hint="eastAsia" w:ascii="宋体" w:hAnsi="宋体" w:cs="Arial"/>
                <w:szCs w:val="21"/>
              </w:rPr>
              <w:t>说明：需提供有效期内的体系认证证书扫描件</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3</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r>
              <w:rPr>
                <w:rFonts w:hint="eastAsia" w:ascii="宋体" w:hAnsi="宋体" w:cs="宋体"/>
                <w:color w:val="000000" w:themeColor="text1"/>
                <w:sz w:val="24"/>
                <w14:textFill>
                  <w14:solidFill>
                    <w14:schemeClr w14:val="tx1"/>
                  </w14:solidFill>
                </w14:textFill>
              </w:rPr>
              <w:t>客观分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信用等级</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hint="eastAsia" w:ascii="宋体" w:hAnsi="宋体" w:cs="Arial"/>
                <w:szCs w:val="21"/>
              </w:rPr>
              <w:t>投标人具有信用等级证书，A级的得1分，AA级的得2分，AAA级的得3分，没有不得分。</w:t>
            </w:r>
          </w:p>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hint="eastAsia" w:ascii="宋体" w:hAnsi="宋体" w:cs="Arial"/>
                <w:szCs w:val="21"/>
              </w:rPr>
              <w:t>说明：需提供相应等级证书扫描件</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3</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r>
              <w:rPr>
                <w:rFonts w:hint="eastAsia" w:ascii="宋体" w:hAnsi="宋体" w:cs="宋体"/>
                <w:color w:val="000000" w:themeColor="text1"/>
                <w:sz w:val="24"/>
                <w14:textFill>
                  <w14:solidFill>
                    <w14:schemeClr w14:val="tx1"/>
                  </w14:solidFill>
                </w14:textFill>
              </w:rPr>
              <w:t>客观分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标本验收</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hint="eastAsia" w:ascii="宋体" w:hAnsi="宋体" w:cs="Arial"/>
                <w:szCs w:val="21"/>
              </w:rPr>
              <w:t>投标人具有区级及以上疾控部门验收标本符合其制作相关规程证明的，得2分，没有不得分。</w:t>
            </w:r>
          </w:p>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hint="eastAsia" w:ascii="宋体" w:hAnsi="宋体" w:cs="Arial"/>
                <w:szCs w:val="21"/>
              </w:rPr>
              <w:t>说明：需要提供验收合格证明材料</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2</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r>
              <w:rPr>
                <w:rFonts w:hint="eastAsia" w:ascii="宋体" w:hAnsi="宋体" w:cs="宋体"/>
                <w:color w:val="000000" w:themeColor="text1"/>
                <w:sz w:val="24"/>
                <w14:textFill>
                  <w14:solidFill>
                    <w14:schemeClr w14:val="tx1"/>
                  </w14:solidFill>
                </w14:textFill>
              </w:rPr>
              <w:t>客观分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拟派团队人员数量</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hint="eastAsia" w:ascii="宋体" w:hAnsi="宋体" w:cs="Arial"/>
                <w:szCs w:val="21"/>
              </w:rPr>
              <w:t>拟派团队人员数量不少于9人，每增加一人得1分，本项最多得2分</w:t>
            </w:r>
          </w:p>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hint="eastAsia" w:ascii="宋体" w:hAnsi="宋体" w:cs="Arial"/>
                <w:szCs w:val="21"/>
              </w:rPr>
              <w:t>说明：需提供相关人员在本单位缴纳的社保证明复印件，不提供或材料提供不全则不得分</w:t>
            </w:r>
            <w:r>
              <w:rPr>
                <w:rFonts w:ascii="宋体" w:hAnsi="宋体" w:cs="Arial"/>
                <w:color w:val="000000"/>
                <w:kern w:val="0"/>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2</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r>
              <w:rPr>
                <w:rFonts w:hint="eastAsia" w:ascii="宋体" w:hAnsi="宋体" w:cs="宋体"/>
                <w:color w:val="000000" w:themeColor="text1"/>
                <w:sz w:val="24"/>
                <w14:textFill>
                  <w14:solidFill>
                    <w14:schemeClr w14:val="tx1"/>
                  </w14:solidFill>
                </w14:textFill>
              </w:rPr>
              <w:t>客观分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项目负责人</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bookmarkStart w:id="18" w:name="OLE_LINK2"/>
            <w:r>
              <w:rPr>
                <w:rFonts w:hint="eastAsia" w:ascii="宋体" w:hAnsi="宋体" w:cs="Arial"/>
                <w:szCs w:val="21"/>
              </w:rPr>
              <w:t>2023年1月1日至今拟派项目负责人完成过类似项目业绩的得2分。</w:t>
            </w:r>
          </w:p>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hint="eastAsia" w:ascii="宋体" w:hAnsi="宋体" w:cs="Arial"/>
                <w:szCs w:val="21"/>
              </w:rPr>
              <w:t>说明：需提供证书扫描件及相关人员在本单位缴纳的社保证明复印件，业绩合同扫描件，不提供或材料提供不全则不得分</w:t>
            </w:r>
            <w:bookmarkEnd w:id="18"/>
            <w:r>
              <w:rPr>
                <w:rFonts w:ascii="宋体" w:hAnsi="宋体" w:cs="Arial"/>
                <w:color w:val="000000"/>
                <w:kern w:val="0"/>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eastAsia="宋体" w:cs="Arial"/>
                <w:szCs w:val="21"/>
                <w:lang w:eastAsia="zh-CN"/>
              </w:rPr>
            </w:pPr>
            <w:r>
              <w:rPr>
                <w:rFonts w:hint="eastAsia" w:ascii="宋体" w:hAnsi="宋体" w:cs="Arial"/>
                <w:szCs w:val="21"/>
                <w:lang w:val="en-US" w:eastAsia="zh-CN"/>
              </w:rPr>
              <w:t>2</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lang w:val="en-US" w:eastAsia="zh-CN"/>
              </w:rPr>
            </w:pPr>
            <w:r>
              <w:rPr>
                <w:rFonts w:hint="eastAsia" w:ascii="宋体" w:hAnsi="宋体" w:cs="宋体"/>
                <w:color w:val="000000" w:themeColor="text1"/>
                <w:sz w:val="24"/>
                <w14:textFill>
                  <w14:solidFill>
                    <w14:schemeClr w14:val="tx1"/>
                  </w14:solidFill>
                </w14:textFill>
              </w:rPr>
              <w:t>客观分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ascii="宋体" w:hAnsi="宋体" w:cs="Arial"/>
                <w:szCs w:val="21"/>
              </w:rPr>
              <w:t>登革热应急监测经验</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color w:val="000000"/>
                <w:kern w:val="0"/>
                <w:szCs w:val="21"/>
              </w:rPr>
            </w:pPr>
            <w:r>
              <w:rPr>
                <w:rFonts w:hint="eastAsia" w:ascii="宋体" w:hAnsi="宋体" w:cs="Arial"/>
                <w:color w:val="000000"/>
                <w:kern w:val="0"/>
                <w:szCs w:val="21"/>
              </w:rPr>
              <w:t>投标人具有登革热应急监测经验的，每提供一项得1分，最多得3分。说明：需提供2023年1月1日以后的合同扫描件并加盖公章。</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3</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r>
              <w:rPr>
                <w:rFonts w:hint="eastAsia" w:ascii="宋体" w:hAnsi="宋体" w:cs="宋体"/>
                <w:color w:val="000000" w:themeColor="text1"/>
                <w:sz w:val="24"/>
                <w14:textFill>
                  <w14:solidFill>
                    <w14:schemeClr w14:val="tx1"/>
                  </w14:solidFill>
                </w14:textFill>
              </w:rPr>
              <w:t>客观分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病媒生物标本制作经验</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hint="eastAsia" w:ascii="宋体" w:hAnsi="宋体" w:cs="Arial"/>
                <w:szCs w:val="21"/>
              </w:rPr>
              <w:t>投标人具有区县级及以上疾控部门病媒生物标本制作服务或销售经验的，每提供1项得1分，最多得3分。</w:t>
            </w:r>
          </w:p>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hint="eastAsia" w:ascii="宋体" w:hAnsi="宋体" w:cs="Arial"/>
                <w:color w:val="000000"/>
                <w:kern w:val="0"/>
                <w:szCs w:val="21"/>
              </w:rPr>
              <w:t>说明：需提供2023年1月1日以后的病媒生物标本制作或销售专项合同扫描件并加盖公章。</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3</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r>
              <w:rPr>
                <w:rFonts w:hint="eastAsia" w:ascii="宋体" w:hAnsi="宋体" w:cs="宋体"/>
                <w:color w:val="000000" w:themeColor="text1"/>
                <w:sz w:val="24"/>
                <w14:textFill>
                  <w14:solidFill>
                    <w14:schemeClr w14:val="tx1"/>
                  </w14:solidFill>
                </w14:textFill>
              </w:rPr>
              <w:t>客观分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病媒生物或传染病媒介生物采样经验</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color w:val="000000"/>
                <w:kern w:val="0"/>
                <w:szCs w:val="21"/>
              </w:rPr>
            </w:pPr>
            <w:r>
              <w:rPr>
                <w:rFonts w:hint="eastAsia" w:ascii="宋体" w:hAnsi="宋体" w:cs="Arial"/>
                <w:color w:val="000000"/>
                <w:kern w:val="0"/>
                <w:szCs w:val="21"/>
              </w:rPr>
              <w:t>投标人具有区县级及以上疾病部门病媒生物或传染病媒介生物采样经验的，每提供1项得1分，最多得3分。</w:t>
            </w:r>
          </w:p>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color w:val="000000"/>
                <w:kern w:val="0"/>
                <w:szCs w:val="21"/>
              </w:rPr>
            </w:pPr>
            <w:r>
              <w:rPr>
                <w:rFonts w:hint="eastAsia" w:ascii="宋体" w:hAnsi="宋体" w:cs="Arial"/>
                <w:color w:val="000000"/>
                <w:kern w:val="0"/>
                <w:szCs w:val="21"/>
              </w:rPr>
              <w:t>说明：需提供2023年1月1日以后的专项合同扫描件并加盖公章。</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3</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r>
              <w:rPr>
                <w:rFonts w:hint="eastAsia" w:ascii="宋体" w:hAnsi="宋体" w:cs="宋体"/>
                <w:color w:val="000000" w:themeColor="text1"/>
                <w:sz w:val="24"/>
                <w14:textFill>
                  <w14:solidFill>
                    <w14:schemeClr w14:val="tx1"/>
                  </w14:solidFill>
                </w14:textFill>
              </w:rPr>
              <w:t>客观分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技术部分（60分）</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ascii="宋体" w:hAnsi="宋体" w:cs="Arial"/>
                <w:szCs w:val="21"/>
              </w:rPr>
              <w:t>项目分析</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eastAsia="zh-CN"/>
              </w:rPr>
            </w:pPr>
            <w:bookmarkStart w:id="19" w:name="OLE_LINK3"/>
            <w:r>
              <w:rPr>
                <w:rFonts w:hint="eastAsia" w:ascii="宋体" w:hAnsi="宋体" w:eastAsia="宋体" w:cs="Arial"/>
              </w:rPr>
              <w:t>根据投标人针对项目的背景和现状情况分析，对本项目的理解程度进行评分</w:t>
            </w:r>
            <w:r>
              <w:rPr>
                <w:rFonts w:ascii="宋体" w:hAnsi="宋体" w:eastAsia="宋体" w:cs="Arial"/>
              </w:rPr>
              <w:t>。</w:t>
            </w:r>
            <w:r>
              <w:rPr>
                <w:rFonts w:hint="eastAsia" w:ascii="宋体" w:hAnsi="宋体" w:eastAsia="宋体" w:cs="Arial"/>
                <w:lang w:eastAsia="zh-CN"/>
              </w:rPr>
              <w:t>（</w:t>
            </w:r>
            <w:r>
              <w:rPr>
                <w:rFonts w:hint="eastAsia" w:ascii="宋体" w:hAnsi="宋体" w:eastAsia="宋体" w:cs="Arial"/>
                <w:lang w:val="en-US" w:eastAsia="zh-CN"/>
              </w:rPr>
              <w:t>5分、3分、1分、0分</w:t>
            </w:r>
            <w:r>
              <w:rPr>
                <w:rFonts w:hint="eastAsia" w:ascii="宋体" w:hAnsi="宋体" w:eastAsia="宋体" w:cs="Arial"/>
                <w:lang w:eastAsia="zh-CN"/>
              </w:rPr>
              <w:t>）</w:t>
            </w:r>
          </w:p>
          <w:p>
            <w:pPr>
              <w:keepNext w:val="0"/>
              <w:keepLines w:val="0"/>
              <w:pageBreakBefore w:val="0"/>
              <w:widowControl w:val="0"/>
              <w:kinsoku/>
              <w:wordWrap/>
              <w:overflowPunct/>
              <w:topLinePunct w:val="0"/>
              <w:autoSpaceDE/>
              <w:autoSpaceDN/>
              <w:bidi w:val="0"/>
              <w:adjustRightInd/>
              <w:spacing w:after="0" w:line="300" w:lineRule="auto"/>
              <w:textAlignment w:val="auto"/>
              <w:rPr>
                <w:rFonts w:ascii="宋体" w:hAnsi="宋体" w:eastAsia="宋体" w:cs="Arial"/>
              </w:rPr>
            </w:pPr>
            <w:r>
              <w:rPr>
                <w:rFonts w:ascii="宋体" w:hAnsi="宋体" w:eastAsia="宋体" w:cs="Arial"/>
              </w:rPr>
              <w:t>投标人对项目背景、现状分析合理、完整、逻辑清晰；紧密结合本次采购需求，同时依托行业专业认知展开解读，内容完善、贴合项目实际业务场景与落地要求</w:t>
            </w:r>
            <w:r>
              <w:rPr>
                <w:rFonts w:hint="eastAsia" w:ascii="宋体" w:hAnsi="宋体" w:eastAsia="宋体" w:cs="Arial"/>
              </w:rPr>
              <w:t>，得5分；</w:t>
            </w:r>
            <w:r>
              <w:rPr>
                <w:rFonts w:ascii="宋体" w:hAnsi="宋体" w:eastAsia="宋体" w:cs="Arial"/>
              </w:rPr>
              <w:t>投标人对项目背景、现状及采购需求有较为完善的分析理解，整体逻辑通顺，但深度、完整性、行业结合度一般，无明显偏离</w:t>
            </w:r>
            <w:r>
              <w:rPr>
                <w:rFonts w:hint="eastAsia" w:ascii="宋体" w:hAnsi="宋体" w:eastAsia="宋体" w:cs="Arial"/>
              </w:rPr>
              <w:t>得3分；</w:t>
            </w:r>
            <w:r>
              <w:rPr>
                <w:rFonts w:ascii="宋体" w:hAnsi="宋体" w:eastAsia="宋体" w:cs="Arial"/>
              </w:rPr>
              <w:t>仅对项目做简单浅层理解与文字概述，分析内容简略、缺乏深度，未有效结合采购需求及行业实际</w:t>
            </w:r>
            <w:r>
              <w:rPr>
                <w:rFonts w:hint="eastAsia" w:ascii="宋体" w:hAnsi="宋体" w:eastAsia="宋体" w:cs="Arial"/>
                <w:lang w:eastAsia="zh-CN"/>
              </w:rPr>
              <w:t>，</w:t>
            </w:r>
            <w:r>
              <w:rPr>
                <w:rFonts w:hint="eastAsia" w:ascii="宋体" w:hAnsi="宋体" w:eastAsia="宋体" w:cs="Arial"/>
              </w:rPr>
              <w:t>得1分；未提供的不得分。</w:t>
            </w:r>
            <w:bookmarkEnd w:id="19"/>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szCs w:val="21"/>
              </w:rPr>
            </w:pPr>
            <w:r>
              <w:rPr>
                <w:rFonts w:hint="eastAsia" w:ascii="宋体" w:hAnsi="宋体" w:cs="Arial"/>
                <w:szCs w:val="21"/>
              </w:rPr>
              <w:t>5</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主观分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ascii="宋体" w:hAnsi="宋体" w:cs="Arial"/>
              </w:rPr>
            </w:pPr>
            <w:r>
              <w:rPr>
                <w:rFonts w:hint="eastAsia" w:ascii="宋体" w:hAnsi="宋体" w:cs="Arial"/>
              </w:rPr>
              <w:t>监测方案</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rPr>
            </w:pPr>
            <w:bookmarkStart w:id="20" w:name="OLE_LINK5"/>
            <w:r>
              <w:rPr>
                <w:rFonts w:hint="eastAsia" w:ascii="宋体" w:hAnsi="宋体" w:eastAsia="宋体" w:cs="Arial"/>
                <w:lang w:val="en-US" w:eastAsia="zh-CN"/>
              </w:rPr>
              <w:t>根据采购要求编制鼠类监测方案，方案须包含监测生境、监测时间及频次、监测方法、统计与计算、数据上报、防制措施六个必备组成部分。</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eastAsia="zh-CN"/>
              </w:rPr>
            </w:pPr>
            <w:r>
              <w:rPr>
                <w:rFonts w:hint="eastAsia" w:ascii="宋体" w:hAnsi="宋体" w:eastAsia="宋体" w:cs="Arial"/>
                <w:lang w:val="en-US" w:eastAsia="zh-CN"/>
              </w:rPr>
              <w:t>对监测方案</w:t>
            </w:r>
            <w:r>
              <w:rPr>
                <w:rFonts w:hint="eastAsia" w:ascii="宋体" w:hAnsi="宋体" w:eastAsia="宋体" w:cs="Arial"/>
              </w:rPr>
              <w:t>进行评分。</w:t>
            </w:r>
            <w:r>
              <w:rPr>
                <w:rFonts w:hint="eastAsia" w:ascii="宋体" w:hAnsi="宋体" w:eastAsia="宋体" w:cs="Arial"/>
                <w:lang w:eastAsia="zh-CN"/>
              </w:rPr>
              <w:t>（</w:t>
            </w:r>
            <w:r>
              <w:rPr>
                <w:rFonts w:hint="eastAsia" w:ascii="宋体" w:hAnsi="宋体" w:eastAsia="宋体" w:cs="Arial"/>
                <w:lang w:val="en-US" w:eastAsia="zh-CN"/>
              </w:rPr>
              <w:t>5分、3分、1分、0分</w:t>
            </w:r>
            <w:r>
              <w:rPr>
                <w:rFonts w:hint="eastAsia" w:ascii="宋体" w:hAnsi="宋体" w:eastAsia="宋体" w:cs="Arial"/>
                <w:lang w:eastAsia="zh-CN"/>
              </w:rPr>
              <w:t>）</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rPr>
            </w:pPr>
            <w:r>
              <w:rPr>
                <w:rFonts w:hint="eastAsia" w:ascii="宋体" w:hAnsi="宋体" w:eastAsia="宋体" w:cs="Arial"/>
              </w:rPr>
              <w:t>5分</w:t>
            </w:r>
            <w:r>
              <w:rPr>
                <w:rFonts w:hint="eastAsia" w:ascii="宋体" w:hAnsi="宋体" w:eastAsia="宋体" w:cs="Arial"/>
                <w:lang w:eastAsia="zh-CN"/>
              </w:rPr>
              <w:t>：</w:t>
            </w:r>
            <w:r>
              <w:rPr>
                <w:rFonts w:hint="eastAsia" w:ascii="宋体" w:hAnsi="宋体" w:eastAsia="宋体" w:cs="Arial"/>
                <w:lang w:val="en-US" w:eastAsia="zh-CN"/>
              </w:rPr>
              <w:t>六大组成部分全部齐全无缺项；各章节内容详细具体，贴合本项目现场环境；监测划分分级明确、监测流程规范；具备完整统计计算方式、数据上报流程清晰；防制措施分层分类、针对性强，技术逻辑通顺、落地执行条件充分，可实施性强。</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rPr>
            </w:pPr>
            <w:r>
              <w:rPr>
                <w:rFonts w:hint="eastAsia" w:ascii="宋体" w:hAnsi="宋体" w:eastAsia="宋体" w:cs="Arial"/>
              </w:rPr>
              <w:t>3分</w:t>
            </w:r>
            <w:r>
              <w:rPr>
                <w:rFonts w:hint="eastAsia" w:ascii="宋体" w:hAnsi="宋体" w:eastAsia="宋体" w:cs="Arial"/>
                <w:lang w:eastAsia="zh-CN"/>
              </w:rPr>
              <w:t>：</w:t>
            </w:r>
            <w:r>
              <w:rPr>
                <w:rFonts w:hint="eastAsia" w:ascii="宋体" w:hAnsi="宋体" w:eastAsia="宋体" w:cs="Arial"/>
                <w:lang w:val="en-US" w:eastAsia="zh-CN"/>
              </w:rPr>
              <w:t>六大组成部分全部齐全无缺项；各模块仅作常规简要描述，无细化分类、无专业计算标准、无差异化管控措施；方案无明显错误，满足基础工作要求，结构简单合理，具备基本可实施性，但专业深度不足、针对性一般。</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rPr>
            </w:pPr>
            <w:r>
              <w:rPr>
                <w:rFonts w:hint="eastAsia" w:ascii="宋体" w:hAnsi="宋体" w:eastAsia="宋体" w:cs="Arial"/>
              </w:rPr>
              <w:t>1分</w:t>
            </w:r>
            <w:r>
              <w:rPr>
                <w:rFonts w:hint="eastAsia" w:ascii="宋体" w:hAnsi="宋体" w:eastAsia="宋体" w:cs="Arial"/>
                <w:lang w:eastAsia="zh-CN"/>
              </w:rPr>
              <w:t>：</w:t>
            </w:r>
            <w:r>
              <w:rPr>
                <w:rFonts w:hint="eastAsia" w:ascii="宋体" w:hAnsi="宋体" w:eastAsia="宋体" w:cs="Arial"/>
                <w:lang w:val="en-US" w:eastAsia="zh-CN"/>
              </w:rPr>
              <w:t>存在以下任意一种情况：①六大组成部分缺少任意一项及以上；②内容空洞笼统，无具体实施步骤、无布设要求；③方案逻辑混乱，与项目实际适配度低，关键技术内容缺失，可实施性弱。</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rPr>
            </w:pPr>
            <w:r>
              <w:rPr>
                <w:rFonts w:hint="eastAsia" w:ascii="宋体" w:hAnsi="宋体" w:eastAsia="宋体" w:cs="Arial"/>
                <w:lang w:val="en-US" w:eastAsia="zh-CN"/>
              </w:rPr>
              <w:t>0分：未提供监测方案，或内容抄袭、无效、与本项目无关，本项不计分</w:t>
            </w:r>
            <w:r>
              <w:rPr>
                <w:rFonts w:hint="eastAsia" w:ascii="宋体" w:hAnsi="宋体" w:eastAsia="宋体" w:cs="Arial"/>
              </w:rPr>
              <w:t>。</w:t>
            </w:r>
            <w:bookmarkEnd w:id="20"/>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ascii="宋体" w:hAnsi="宋体" w:cs="Arial"/>
              </w:rPr>
            </w:pPr>
            <w:r>
              <w:rPr>
                <w:rFonts w:hint="eastAsia" w:ascii="宋体" w:hAnsi="宋体" w:cs="Arial"/>
              </w:rPr>
              <w:t>5</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rPr>
            </w:pPr>
            <w:r>
              <w:rPr>
                <w:rFonts w:hint="eastAsia" w:ascii="宋体" w:hAnsi="宋体" w:cs="Arial"/>
                <w:szCs w:val="21"/>
                <w:lang w:val="en-US" w:eastAsia="zh-CN"/>
              </w:rPr>
              <w:t>主观分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ascii="宋体" w:hAnsi="宋体" w:cs="Arial"/>
              </w:rPr>
            </w:pP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根据采购要求编制</w:t>
            </w:r>
            <w:r>
              <w:rPr>
                <w:rFonts w:hint="eastAsia" w:ascii="宋体" w:hAnsi="宋体" w:cs="宋体"/>
                <w:szCs w:val="21"/>
              </w:rPr>
              <w:t>蚊虫监测</w:t>
            </w:r>
            <w:r>
              <w:rPr>
                <w:rFonts w:ascii="宋体" w:hAnsi="宋体" w:cs="Arial"/>
              </w:rPr>
              <w:t>方案，</w:t>
            </w:r>
            <w:r>
              <w:rPr>
                <w:rFonts w:hint="eastAsia" w:ascii="宋体" w:hAnsi="宋体" w:cs="宋体"/>
                <w:szCs w:val="21"/>
              </w:rPr>
              <w:t>方案</w:t>
            </w:r>
            <w:r>
              <w:rPr>
                <w:rFonts w:hint="eastAsia" w:ascii="宋体" w:hAnsi="宋体" w:cs="宋体"/>
                <w:szCs w:val="21"/>
                <w:lang w:val="en-US" w:eastAsia="zh-CN"/>
              </w:rPr>
              <w:t>须</w:t>
            </w:r>
            <w:r>
              <w:rPr>
                <w:rFonts w:hint="eastAsia" w:ascii="宋体" w:hAnsi="宋体" w:cs="宋体"/>
                <w:szCs w:val="21"/>
              </w:rPr>
              <w:t>包括监测生境、监测时间及频次、监测方法、统计与计算、数据上报、防制措施等</w:t>
            </w:r>
            <w:r>
              <w:rPr>
                <w:rFonts w:hint="eastAsia" w:ascii="宋体" w:hAnsi="宋体" w:eastAsia="宋体" w:cs="Arial"/>
                <w:lang w:val="en-US" w:eastAsia="zh-CN"/>
              </w:rPr>
              <w:t>六个必备组成部分</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eastAsia="zh-CN"/>
              </w:rPr>
            </w:pPr>
            <w:r>
              <w:rPr>
                <w:rFonts w:hint="eastAsia" w:ascii="宋体" w:hAnsi="宋体" w:eastAsia="宋体" w:cs="Arial"/>
                <w:lang w:val="en-US" w:eastAsia="zh-CN"/>
              </w:rPr>
              <w:t>对监测方案</w:t>
            </w:r>
            <w:r>
              <w:rPr>
                <w:rFonts w:hint="eastAsia" w:ascii="宋体" w:hAnsi="宋体" w:eastAsia="宋体" w:cs="Arial"/>
              </w:rPr>
              <w:t>进行评分。</w:t>
            </w:r>
            <w:r>
              <w:rPr>
                <w:rFonts w:hint="eastAsia" w:ascii="宋体" w:hAnsi="宋体" w:eastAsia="宋体" w:cs="Arial"/>
                <w:lang w:eastAsia="zh-CN"/>
              </w:rPr>
              <w:t>（</w:t>
            </w:r>
            <w:r>
              <w:rPr>
                <w:rFonts w:hint="eastAsia" w:ascii="宋体" w:hAnsi="宋体" w:eastAsia="宋体" w:cs="Arial"/>
                <w:lang w:val="en-US" w:eastAsia="zh-CN"/>
              </w:rPr>
              <w:t>5分、3分、1分、0分</w:t>
            </w:r>
            <w:r>
              <w:rPr>
                <w:rFonts w:hint="eastAsia" w:ascii="宋体" w:hAnsi="宋体" w:eastAsia="宋体" w:cs="Arial"/>
                <w:lang w:eastAsia="zh-CN"/>
              </w:rPr>
              <w:t>）</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rPr>
            </w:pPr>
            <w:bookmarkStart w:id="21" w:name="OLE_LINK6"/>
            <w:r>
              <w:rPr>
                <w:rFonts w:hint="eastAsia" w:ascii="宋体" w:hAnsi="宋体" w:eastAsia="宋体" w:cs="Arial"/>
              </w:rPr>
              <w:t>5分</w:t>
            </w:r>
            <w:r>
              <w:rPr>
                <w:rFonts w:hint="eastAsia" w:ascii="宋体" w:hAnsi="宋体" w:eastAsia="宋体" w:cs="Arial"/>
                <w:lang w:eastAsia="zh-CN"/>
              </w:rPr>
              <w:t>：</w:t>
            </w:r>
            <w:r>
              <w:rPr>
                <w:rFonts w:hint="eastAsia" w:ascii="宋体" w:hAnsi="宋体" w:eastAsia="宋体" w:cs="Arial"/>
                <w:lang w:val="en-US" w:eastAsia="zh-CN"/>
              </w:rPr>
              <w:t>六大组成部分全部齐全无缺项；各章节内容详细具体，贴合本项目现场环境；监测划分分级明确、监测流程规范；具备完整统计计算方式、数据上报流程清晰；防制措施分层分类、针对性强，技术逻辑通顺、落地执行条件充分，可实施性强。</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rPr>
            </w:pPr>
            <w:r>
              <w:rPr>
                <w:rFonts w:hint="eastAsia" w:ascii="宋体" w:hAnsi="宋体" w:eastAsia="宋体" w:cs="Arial"/>
              </w:rPr>
              <w:t>3分</w:t>
            </w:r>
            <w:r>
              <w:rPr>
                <w:rFonts w:hint="eastAsia" w:ascii="宋体" w:hAnsi="宋体" w:eastAsia="宋体" w:cs="Arial"/>
                <w:lang w:eastAsia="zh-CN"/>
              </w:rPr>
              <w:t>：</w:t>
            </w:r>
            <w:r>
              <w:rPr>
                <w:rFonts w:hint="eastAsia" w:ascii="宋体" w:hAnsi="宋体" w:eastAsia="宋体" w:cs="Arial"/>
                <w:lang w:val="en-US" w:eastAsia="zh-CN"/>
              </w:rPr>
              <w:t>六大组成部分全部齐全无缺项；各模块仅作常规简要描述，无细化分类、无专业计算标准、无差异化管控措施；方案无明显错误，满足基础工作要求，结构简单合理，具备基本可实施性，但专业深度不足、针对性一般。</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rPr>
            </w:pPr>
            <w:r>
              <w:rPr>
                <w:rFonts w:hint="eastAsia" w:ascii="宋体" w:hAnsi="宋体" w:eastAsia="宋体" w:cs="Arial"/>
              </w:rPr>
              <w:t>1分</w:t>
            </w:r>
            <w:r>
              <w:rPr>
                <w:rFonts w:hint="eastAsia" w:ascii="宋体" w:hAnsi="宋体" w:eastAsia="宋体" w:cs="Arial"/>
                <w:lang w:eastAsia="zh-CN"/>
              </w:rPr>
              <w:t>：</w:t>
            </w:r>
            <w:r>
              <w:rPr>
                <w:rFonts w:hint="eastAsia" w:ascii="宋体" w:hAnsi="宋体" w:eastAsia="宋体" w:cs="Arial"/>
                <w:lang w:val="en-US" w:eastAsia="zh-CN"/>
              </w:rPr>
              <w:t>存在以下任意一种情况：①六大组成部分缺少任意一项及以上；②内容空洞笼统，无具体实施步骤、无布设要求；③方案逻辑混乱，与项目实际适配度低，关键技术内容缺失，可实施性弱。</w:t>
            </w:r>
          </w:p>
          <w:p>
            <w:pPr>
              <w:keepNext w:val="0"/>
              <w:keepLines w:val="0"/>
              <w:pageBreakBefore w:val="0"/>
              <w:widowControl w:val="0"/>
              <w:kinsoku/>
              <w:wordWrap/>
              <w:overflowPunct/>
              <w:topLinePunct w:val="0"/>
              <w:autoSpaceDE/>
              <w:autoSpaceDN/>
              <w:bidi w:val="0"/>
              <w:adjustRightInd/>
              <w:spacing w:after="0" w:line="300" w:lineRule="auto"/>
              <w:textAlignment w:val="auto"/>
              <w:rPr>
                <w:rFonts w:ascii="宋体" w:hAnsi="宋体" w:cs="Arial"/>
              </w:rPr>
            </w:pPr>
            <w:r>
              <w:rPr>
                <w:rFonts w:hint="eastAsia" w:ascii="宋体" w:hAnsi="宋体" w:eastAsia="宋体" w:cs="Arial"/>
                <w:lang w:val="en-US" w:eastAsia="zh-CN"/>
              </w:rPr>
              <w:t>0分：未提供监测方案，或内容抄袭、无效、与本项目无关，本项不计分</w:t>
            </w:r>
            <w:r>
              <w:rPr>
                <w:rFonts w:hint="eastAsia" w:ascii="宋体" w:hAnsi="宋体" w:eastAsia="宋体" w:cs="Arial"/>
              </w:rPr>
              <w:t>。</w:t>
            </w:r>
            <w:bookmarkEnd w:id="21"/>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ascii="宋体" w:hAnsi="宋体" w:cs="Arial"/>
              </w:rPr>
            </w:pPr>
            <w:r>
              <w:rPr>
                <w:rFonts w:hint="eastAsia" w:ascii="宋体" w:hAnsi="宋体" w:cs="Arial"/>
              </w:rPr>
              <w:t>5</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rPr>
            </w:pPr>
            <w:r>
              <w:rPr>
                <w:rFonts w:hint="eastAsia" w:ascii="宋体" w:hAnsi="宋体" w:cs="Arial"/>
                <w:szCs w:val="21"/>
                <w:lang w:val="en-US" w:eastAsia="zh-CN"/>
              </w:rPr>
              <w:t>主观分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ascii="宋体" w:hAnsi="宋体" w:cs="Arial"/>
                <w:szCs w:val="21"/>
              </w:rPr>
            </w:pP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bookmarkStart w:id="22" w:name="OLE_LINK7"/>
            <w:r>
              <w:rPr>
                <w:rFonts w:hint="eastAsia" w:ascii="宋体" w:hAnsi="宋体" w:eastAsia="宋体" w:cs="Arial"/>
                <w:lang w:val="en-US" w:eastAsia="zh-CN"/>
              </w:rPr>
              <w:t>根据采购要求编制</w:t>
            </w:r>
            <w:r>
              <w:rPr>
                <w:rFonts w:hint="eastAsia" w:ascii="宋体" w:hAnsi="宋体" w:cs="宋体"/>
                <w:szCs w:val="21"/>
              </w:rPr>
              <w:t>蝇类监测</w:t>
            </w:r>
            <w:r>
              <w:rPr>
                <w:rFonts w:ascii="宋体" w:hAnsi="宋体" w:cs="Arial"/>
              </w:rPr>
              <w:t>方案，</w:t>
            </w:r>
            <w:r>
              <w:rPr>
                <w:rFonts w:hint="eastAsia" w:ascii="宋体" w:hAnsi="宋体" w:cs="宋体"/>
                <w:szCs w:val="21"/>
              </w:rPr>
              <w:t>方案</w:t>
            </w:r>
            <w:r>
              <w:rPr>
                <w:rFonts w:hint="eastAsia" w:ascii="宋体" w:hAnsi="宋体" w:cs="宋体"/>
                <w:szCs w:val="21"/>
                <w:lang w:val="en-US" w:eastAsia="zh-CN"/>
              </w:rPr>
              <w:t>须</w:t>
            </w:r>
            <w:r>
              <w:rPr>
                <w:rFonts w:hint="eastAsia" w:ascii="宋体" w:hAnsi="宋体" w:cs="宋体"/>
                <w:szCs w:val="21"/>
              </w:rPr>
              <w:t>包括监测生境、监测时间及频次、监测方法、统计与计算、数据上报、防制措施等</w:t>
            </w:r>
            <w:r>
              <w:rPr>
                <w:rFonts w:hint="eastAsia" w:ascii="宋体" w:hAnsi="宋体" w:eastAsia="宋体" w:cs="Arial"/>
                <w:lang w:val="en-US" w:eastAsia="zh-CN"/>
              </w:rPr>
              <w:t>六个必备组成部分</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eastAsia="zh-CN"/>
              </w:rPr>
            </w:pPr>
            <w:r>
              <w:rPr>
                <w:rFonts w:hint="eastAsia" w:ascii="宋体" w:hAnsi="宋体" w:eastAsia="宋体" w:cs="Arial"/>
                <w:lang w:val="en-US" w:eastAsia="zh-CN"/>
              </w:rPr>
              <w:t>对监测方案</w:t>
            </w:r>
            <w:r>
              <w:rPr>
                <w:rFonts w:hint="eastAsia" w:ascii="宋体" w:hAnsi="宋体" w:eastAsia="宋体" w:cs="Arial"/>
              </w:rPr>
              <w:t>进行评分。</w:t>
            </w:r>
            <w:r>
              <w:rPr>
                <w:rFonts w:hint="eastAsia" w:ascii="宋体" w:hAnsi="宋体" w:eastAsia="宋体" w:cs="Arial"/>
                <w:lang w:eastAsia="zh-CN"/>
              </w:rPr>
              <w:t>（</w:t>
            </w:r>
            <w:r>
              <w:rPr>
                <w:rFonts w:hint="eastAsia" w:ascii="宋体" w:hAnsi="宋体" w:eastAsia="宋体" w:cs="Arial"/>
                <w:lang w:val="en-US" w:eastAsia="zh-CN"/>
              </w:rPr>
              <w:t>5分、3分、1分、0分</w:t>
            </w:r>
            <w:r>
              <w:rPr>
                <w:rFonts w:hint="eastAsia" w:ascii="宋体" w:hAnsi="宋体" w:eastAsia="宋体" w:cs="Arial"/>
                <w:lang w:eastAsia="zh-CN"/>
              </w:rPr>
              <w:t>）</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rPr>
            </w:pPr>
            <w:r>
              <w:rPr>
                <w:rFonts w:hint="eastAsia" w:ascii="宋体" w:hAnsi="宋体" w:eastAsia="宋体" w:cs="Arial"/>
              </w:rPr>
              <w:t>5分</w:t>
            </w:r>
            <w:r>
              <w:rPr>
                <w:rFonts w:hint="eastAsia" w:ascii="宋体" w:hAnsi="宋体" w:eastAsia="宋体" w:cs="Arial"/>
                <w:lang w:eastAsia="zh-CN"/>
              </w:rPr>
              <w:t>：</w:t>
            </w:r>
            <w:r>
              <w:rPr>
                <w:rFonts w:hint="eastAsia" w:ascii="宋体" w:hAnsi="宋体" w:eastAsia="宋体" w:cs="Arial"/>
                <w:lang w:val="en-US" w:eastAsia="zh-CN"/>
              </w:rPr>
              <w:t>六大组成部分全部齐全无缺项；各章节内容详细具体，贴合本项目现场环境；监测划分分级明确、监测流程规范；具备完整统计计算方式、数据上报流程清晰；防制措施分层分类、针对性强，技术逻辑通顺、落地执行条件充分，可实施性强。</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rPr>
            </w:pPr>
            <w:r>
              <w:rPr>
                <w:rFonts w:hint="eastAsia" w:ascii="宋体" w:hAnsi="宋体" w:eastAsia="宋体" w:cs="Arial"/>
              </w:rPr>
              <w:t>3分</w:t>
            </w:r>
            <w:r>
              <w:rPr>
                <w:rFonts w:hint="eastAsia" w:ascii="宋体" w:hAnsi="宋体" w:eastAsia="宋体" w:cs="Arial"/>
                <w:lang w:eastAsia="zh-CN"/>
              </w:rPr>
              <w:t>：</w:t>
            </w:r>
            <w:r>
              <w:rPr>
                <w:rFonts w:hint="eastAsia" w:ascii="宋体" w:hAnsi="宋体" w:eastAsia="宋体" w:cs="Arial"/>
                <w:lang w:val="en-US" w:eastAsia="zh-CN"/>
              </w:rPr>
              <w:t>六大组成部分全部齐全无缺项；各模块仅作常规简要描述，无细化分类、无专业计算标准、无差异化管控措施；方案无明显错误，满足基础工作要求，结构简单合理，具备基本可实施性，但专业深度不足、针对性一般。</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rPr>
            </w:pPr>
            <w:r>
              <w:rPr>
                <w:rFonts w:hint="eastAsia" w:ascii="宋体" w:hAnsi="宋体" w:eastAsia="宋体" w:cs="Arial"/>
              </w:rPr>
              <w:t>1分</w:t>
            </w:r>
            <w:r>
              <w:rPr>
                <w:rFonts w:hint="eastAsia" w:ascii="宋体" w:hAnsi="宋体" w:eastAsia="宋体" w:cs="Arial"/>
                <w:lang w:eastAsia="zh-CN"/>
              </w:rPr>
              <w:t>：</w:t>
            </w:r>
            <w:r>
              <w:rPr>
                <w:rFonts w:hint="eastAsia" w:ascii="宋体" w:hAnsi="宋体" w:eastAsia="宋体" w:cs="Arial"/>
                <w:lang w:val="en-US" w:eastAsia="zh-CN"/>
              </w:rPr>
              <w:t>存在以下任意一种情况：①六大组成部分缺少任意一项及以上；②内容空洞笼统，无具体实施步骤、无布设要求；③方案逻辑混乱，与项目实际适配度低，关键技术内容缺失，可实施性弱。</w:t>
            </w:r>
          </w:p>
          <w:p>
            <w:pPr>
              <w:keepNext w:val="0"/>
              <w:keepLines w:val="0"/>
              <w:pageBreakBefore w:val="0"/>
              <w:widowControl w:val="0"/>
              <w:kinsoku/>
              <w:wordWrap/>
              <w:overflowPunct/>
              <w:topLinePunct w:val="0"/>
              <w:autoSpaceDE/>
              <w:autoSpaceDN/>
              <w:bidi w:val="0"/>
              <w:adjustRightInd/>
              <w:spacing w:after="0" w:line="300" w:lineRule="auto"/>
              <w:textAlignment w:val="auto"/>
              <w:rPr>
                <w:rFonts w:ascii="宋体" w:hAnsi="宋体" w:cs="Arial"/>
                <w:szCs w:val="21"/>
              </w:rPr>
            </w:pPr>
            <w:r>
              <w:rPr>
                <w:rFonts w:hint="eastAsia" w:ascii="宋体" w:hAnsi="宋体" w:eastAsia="宋体" w:cs="Arial"/>
                <w:lang w:val="en-US" w:eastAsia="zh-CN"/>
              </w:rPr>
              <w:t>0分：未提供监测方案，或内容抄袭、无效、与本项目无关，本项不计分</w:t>
            </w:r>
            <w:r>
              <w:rPr>
                <w:rFonts w:hint="eastAsia" w:ascii="宋体" w:hAnsi="宋体" w:eastAsia="宋体" w:cs="Arial"/>
              </w:rPr>
              <w:t>。</w:t>
            </w:r>
            <w:bookmarkEnd w:id="22"/>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ascii="宋体" w:hAnsi="宋体" w:cs="Arial"/>
              </w:rPr>
            </w:pPr>
            <w:r>
              <w:rPr>
                <w:rFonts w:hint="eastAsia" w:ascii="宋体" w:hAnsi="宋体" w:cs="Arial"/>
              </w:rPr>
              <w:t>5</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rPr>
            </w:pPr>
            <w:r>
              <w:rPr>
                <w:rFonts w:hint="eastAsia" w:ascii="宋体" w:hAnsi="宋体" w:cs="Arial"/>
                <w:szCs w:val="21"/>
                <w:lang w:val="en-US" w:eastAsia="zh-CN"/>
              </w:rPr>
              <w:t>主观分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ascii="宋体" w:hAnsi="宋体" w:cs="Arial"/>
                <w:szCs w:val="21"/>
              </w:rPr>
            </w:pP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根据采购要求编制</w:t>
            </w:r>
            <w:r>
              <w:rPr>
                <w:rFonts w:hint="eastAsia" w:ascii="宋体" w:hAnsi="宋体" w:cs="宋体"/>
                <w:szCs w:val="21"/>
              </w:rPr>
              <w:t>蟑螂密度监测</w:t>
            </w:r>
            <w:r>
              <w:rPr>
                <w:rFonts w:ascii="宋体" w:hAnsi="宋体" w:cs="Arial"/>
              </w:rPr>
              <w:t>方案，</w:t>
            </w:r>
            <w:r>
              <w:rPr>
                <w:rFonts w:hint="eastAsia" w:ascii="宋体" w:hAnsi="宋体" w:cs="宋体"/>
                <w:szCs w:val="21"/>
              </w:rPr>
              <w:t>方案</w:t>
            </w:r>
            <w:r>
              <w:rPr>
                <w:rFonts w:hint="eastAsia" w:ascii="宋体" w:hAnsi="宋体" w:cs="宋体"/>
                <w:szCs w:val="21"/>
                <w:lang w:val="en-US" w:eastAsia="zh-CN"/>
              </w:rPr>
              <w:t>须</w:t>
            </w:r>
            <w:r>
              <w:rPr>
                <w:rFonts w:hint="eastAsia" w:ascii="宋体" w:hAnsi="宋体" w:cs="宋体"/>
                <w:szCs w:val="21"/>
              </w:rPr>
              <w:t>包括监测生境、监测时间及频次、监测方法、统计与计算、数据上报、防制措施等</w:t>
            </w:r>
            <w:r>
              <w:rPr>
                <w:rFonts w:hint="eastAsia" w:ascii="宋体" w:hAnsi="宋体" w:eastAsia="宋体" w:cs="Arial"/>
                <w:lang w:val="en-US" w:eastAsia="zh-CN"/>
              </w:rPr>
              <w:t>六个必备组成部分</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eastAsia="zh-CN"/>
              </w:rPr>
            </w:pPr>
            <w:r>
              <w:rPr>
                <w:rFonts w:hint="eastAsia" w:ascii="宋体" w:hAnsi="宋体" w:eastAsia="宋体" w:cs="Arial"/>
                <w:lang w:val="en-US" w:eastAsia="zh-CN"/>
              </w:rPr>
              <w:t>对监测方案</w:t>
            </w:r>
            <w:r>
              <w:rPr>
                <w:rFonts w:hint="eastAsia" w:ascii="宋体" w:hAnsi="宋体" w:eastAsia="宋体" w:cs="Arial"/>
              </w:rPr>
              <w:t>进行评分。</w:t>
            </w:r>
            <w:r>
              <w:rPr>
                <w:rFonts w:hint="eastAsia" w:ascii="宋体" w:hAnsi="宋体" w:eastAsia="宋体" w:cs="Arial"/>
                <w:lang w:eastAsia="zh-CN"/>
              </w:rPr>
              <w:t>（</w:t>
            </w:r>
            <w:r>
              <w:rPr>
                <w:rFonts w:hint="eastAsia" w:ascii="宋体" w:hAnsi="宋体" w:eastAsia="宋体" w:cs="Arial"/>
                <w:lang w:val="en-US" w:eastAsia="zh-CN"/>
              </w:rPr>
              <w:t>5分、3分、1分、0分</w:t>
            </w:r>
            <w:r>
              <w:rPr>
                <w:rFonts w:hint="eastAsia" w:ascii="宋体" w:hAnsi="宋体" w:eastAsia="宋体" w:cs="Arial"/>
                <w:lang w:eastAsia="zh-CN"/>
              </w:rPr>
              <w:t>）</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rPr>
            </w:pPr>
            <w:r>
              <w:rPr>
                <w:rFonts w:hint="eastAsia" w:ascii="宋体" w:hAnsi="宋体" w:eastAsia="宋体" w:cs="Arial"/>
              </w:rPr>
              <w:t>5分</w:t>
            </w:r>
            <w:r>
              <w:rPr>
                <w:rFonts w:hint="eastAsia" w:ascii="宋体" w:hAnsi="宋体" w:eastAsia="宋体" w:cs="Arial"/>
                <w:lang w:eastAsia="zh-CN"/>
              </w:rPr>
              <w:t>：</w:t>
            </w:r>
            <w:r>
              <w:rPr>
                <w:rFonts w:hint="eastAsia" w:ascii="宋体" w:hAnsi="宋体" w:eastAsia="宋体" w:cs="Arial"/>
                <w:lang w:val="en-US" w:eastAsia="zh-CN"/>
              </w:rPr>
              <w:t>六大组成部分全部齐全无缺项；各章节内容详细具体，贴合本项目现场环境；监测划分分级明确、监测流程</w:t>
            </w:r>
            <w:bookmarkStart w:id="23" w:name="OLE_LINK8"/>
            <w:r>
              <w:rPr>
                <w:rFonts w:hint="eastAsia" w:ascii="宋体" w:hAnsi="宋体" w:eastAsia="宋体" w:cs="Arial"/>
                <w:lang w:val="en-US" w:eastAsia="zh-CN"/>
              </w:rPr>
              <w:t>规范；具备完整统计计算方式、数据上报流程清晰；防制措施分层分类、针对性强，技术逻辑通顺、落地执行条件充分，可实施性强。</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rPr>
            </w:pPr>
            <w:r>
              <w:rPr>
                <w:rFonts w:hint="eastAsia" w:ascii="宋体" w:hAnsi="宋体" w:eastAsia="宋体" w:cs="Arial"/>
              </w:rPr>
              <w:t>3分</w:t>
            </w:r>
            <w:r>
              <w:rPr>
                <w:rFonts w:hint="eastAsia" w:ascii="宋体" w:hAnsi="宋体" w:eastAsia="宋体" w:cs="Arial"/>
                <w:lang w:eastAsia="zh-CN"/>
              </w:rPr>
              <w:t>：</w:t>
            </w:r>
            <w:r>
              <w:rPr>
                <w:rFonts w:hint="eastAsia" w:ascii="宋体" w:hAnsi="宋体" w:eastAsia="宋体" w:cs="Arial"/>
                <w:lang w:val="en-US" w:eastAsia="zh-CN"/>
              </w:rPr>
              <w:t>六大组成部分全部齐全无缺项；各模块仅作常规简要描述，无细化分类、无专业计算标准、无差异化管控措施；方案无明显错误，满足基础工作要求，结构简单合理，具备基本可实施性，但专业深度不足、针对性一般。</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rPr>
            </w:pPr>
            <w:r>
              <w:rPr>
                <w:rFonts w:hint="eastAsia" w:ascii="宋体" w:hAnsi="宋体" w:eastAsia="宋体" w:cs="Arial"/>
              </w:rPr>
              <w:t>1分</w:t>
            </w:r>
            <w:r>
              <w:rPr>
                <w:rFonts w:hint="eastAsia" w:ascii="宋体" w:hAnsi="宋体" w:eastAsia="宋体" w:cs="Arial"/>
                <w:lang w:eastAsia="zh-CN"/>
              </w:rPr>
              <w:t>：</w:t>
            </w:r>
            <w:r>
              <w:rPr>
                <w:rFonts w:hint="eastAsia" w:ascii="宋体" w:hAnsi="宋体" w:eastAsia="宋体" w:cs="Arial"/>
                <w:lang w:val="en-US" w:eastAsia="zh-CN"/>
              </w:rPr>
              <w:t>存在以下任意一种情况：①六大组成部分缺少任意一项及以上；②内容空洞笼统，无具体实施步骤、无布设要求；③方案逻辑混乱，与项目实际适配度低，关键技术内容缺失，可实施性弱。</w:t>
            </w:r>
          </w:p>
          <w:p>
            <w:pPr>
              <w:keepNext w:val="0"/>
              <w:keepLines w:val="0"/>
              <w:pageBreakBefore w:val="0"/>
              <w:widowControl w:val="0"/>
              <w:kinsoku/>
              <w:wordWrap/>
              <w:overflowPunct/>
              <w:topLinePunct w:val="0"/>
              <w:autoSpaceDE/>
              <w:autoSpaceDN/>
              <w:bidi w:val="0"/>
              <w:adjustRightInd/>
              <w:spacing w:after="0" w:line="300" w:lineRule="auto"/>
              <w:textAlignment w:val="auto"/>
              <w:rPr>
                <w:rFonts w:ascii="宋体" w:hAnsi="宋体" w:cs="Arial"/>
                <w:szCs w:val="21"/>
              </w:rPr>
            </w:pPr>
            <w:r>
              <w:rPr>
                <w:rFonts w:hint="eastAsia" w:ascii="宋体" w:hAnsi="宋体" w:eastAsia="宋体" w:cs="Arial"/>
                <w:lang w:val="en-US" w:eastAsia="zh-CN"/>
              </w:rPr>
              <w:t>0分：未提供监测方案，或内容抄袭、无效、与本项目无关，本项不计分</w:t>
            </w:r>
            <w:r>
              <w:rPr>
                <w:rFonts w:hint="eastAsia" w:ascii="宋体" w:hAnsi="宋体" w:eastAsia="宋体" w:cs="Arial"/>
              </w:rPr>
              <w:t>。</w:t>
            </w:r>
            <w:bookmarkEnd w:id="23"/>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ascii="宋体" w:hAnsi="宋体" w:cs="Arial"/>
              </w:rPr>
            </w:pPr>
            <w:r>
              <w:rPr>
                <w:rFonts w:hint="eastAsia" w:ascii="宋体" w:hAnsi="宋体" w:cs="Arial"/>
              </w:rPr>
              <w:t>5</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rPr>
            </w:pPr>
            <w:r>
              <w:rPr>
                <w:rFonts w:hint="eastAsia" w:ascii="宋体" w:hAnsi="宋体" w:cs="Arial"/>
                <w:szCs w:val="21"/>
                <w:lang w:val="en-US" w:eastAsia="zh-CN"/>
              </w:rPr>
              <w:t>主观分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ascii="宋体" w:hAnsi="宋体" w:cs="Arial"/>
                <w:szCs w:val="21"/>
              </w:rPr>
            </w:pP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bookmarkStart w:id="24" w:name="OLE_LINK9"/>
            <w:r>
              <w:rPr>
                <w:rFonts w:hint="eastAsia" w:ascii="宋体" w:hAnsi="宋体" w:eastAsia="宋体" w:cs="Arial"/>
                <w:lang w:val="en-US" w:eastAsia="zh-CN"/>
              </w:rPr>
              <w:t>根据采购要求编制蜱类监测方案，方案须包括监测生境、监测时间及频次、监测方法、统计与计算、数据上报、防制措施、标本保存等七个必备组成部分</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对监测方案进行评分。（5分、3分、1分、0分）</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5分：七大组成部分全部齐全无缺项；各章节内容详细具体，贴合本项目现场环境；监测划分分级明确、监测流程规范；具备完整统计计算方式、数据上报流程清晰；防制措施分层分类、针对性强，技术逻辑通顺、落地执行条件充分，可实施性强。</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3分：七大组成部分全部齐全无缺项；各模块仅作常规简要描述，无细化分类、无专业计算标准、无差异化管控措施；方案无明显错误，满足基础工作要求，结构简单合理，具备基本可实施性，但专业深度不足、针对性一般。</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1分：存在以下任意一种情况：①七大组成部分缺少任意一项及以上；②内容空洞笼统，无具体实施步骤、无布设要求；③方案逻辑混乱，与项目实际适配度低，关键技术内容缺失，可实施性弱。</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0分：未提供监测方案，或内容抄袭、无效、与本项目无关，本项不计分。</w:t>
            </w:r>
            <w:bookmarkEnd w:id="24"/>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ascii="宋体" w:hAnsi="宋体" w:cs="Arial"/>
              </w:rPr>
            </w:pPr>
            <w:r>
              <w:rPr>
                <w:rFonts w:hint="eastAsia" w:ascii="宋体" w:hAnsi="宋体" w:cs="Arial"/>
              </w:rPr>
              <w:t>5</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rPr>
            </w:pPr>
            <w:r>
              <w:rPr>
                <w:rFonts w:hint="eastAsia" w:ascii="宋体" w:hAnsi="宋体" w:cs="Arial"/>
                <w:szCs w:val="21"/>
                <w:lang w:val="en-US" w:eastAsia="zh-CN"/>
              </w:rPr>
              <w:t>主观分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ascii="宋体" w:hAnsi="宋体" w:cs="Arial"/>
                <w:szCs w:val="21"/>
              </w:rPr>
            </w:pP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根据采购要求编制臭虫监测方案，方案须包括监测生境、监测时间及频次、监测方法、统计与计算、数据上报、防制措施、标本保存等七个必备组成部分</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对监测方案进行评分。（5分、3分、1分、0分）</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5分：七大组成部分全部齐全无缺项；各章节内容详细具体，贴合本项目现场环境；监测划分分级明确、监测流程规范；具备完整统计计算方式、数据上报流程清晰；防制措施分层分类、针对性强，技术逻辑通顺、落地执行条件</w:t>
            </w:r>
            <w:bookmarkStart w:id="25" w:name="OLE_LINK10"/>
            <w:r>
              <w:rPr>
                <w:rFonts w:hint="eastAsia" w:ascii="宋体" w:hAnsi="宋体" w:eastAsia="宋体" w:cs="Arial"/>
                <w:lang w:val="en-US" w:eastAsia="zh-CN"/>
              </w:rPr>
              <w:t>充分，可实施性强。</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3分：七大组成部分全部齐全无缺项；各模块仅作常规简要描述，无细化分类、无专业计算标准、无差异化管控措施；方案无明显错误，满足基础工作要求，结构简单合理，具备基本可实施性，但专业深度不足、针对性一般。</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1分：存在以下任意一种情况：①七大组成部分缺少任意一项及以上；②内容空洞笼统，无具体实施步骤、无布设要求；③方案逻辑混乱，与项目实际适配度低，关键技术内容缺失，可实施性弱。</w:t>
            </w:r>
          </w:p>
          <w:p>
            <w:pPr>
              <w:keepNext w:val="0"/>
              <w:keepLines w:val="0"/>
              <w:pageBreakBefore w:val="0"/>
              <w:widowControl w:val="0"/>
              <w:kinsoku/>
              <w:wordWrap/>
              <w:overflowPunct/>
              <w:topLinePunct w:val="0"/>
              <w:autoSpaceDE/>
              <w:autoSpaceDN/>
              <w:bidi w:val="0"/>
              <w:adjustRightInd/>
              <w:spacing w:after="0" w:line="300" w:lineRule="auto"/>
              <w:textAlignment w:val="auto"/>
              <w:rPr>
                <w:rFonts w:ascii="宋体" w:hAnsi="宋体" w:cs="Arial"/>
                <w:szCs w:val="21"/>
              </w:rPr>
            </w:pPr>
            <w:r>
              <w:rPr>
                <w:rFonts w:hint="eastAsia" w:ascii="宋体" w:hAnsi="宋体" w:eastAsia="宋体" w:cs="Arial"/>
                <w:lang w:val="en-US" w:eastAsia="zh-CN"/>
              </w:rPr>
              <w:t>0分：未提供监测方案，或内容抄袭、无效、与本项目无关，本项不计分。</w:t>
            </w:r>
            <w:bookmarkEnd w:id="25"/>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ascii="宋体" w:hAnsi="宋体" w:cs="Arial"/>
              </w:rPr>
            </w:pPr>
            <w:r>
              <w:rPr>
                <w:rFonts w:hint="eastAsia" w:ascii="宋体" w:hAnsi="宋体" w:cs="Arial"/>
              </w:rPr>
              <w:t>5</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rPr>
            </w:pPr>
            <w:r>
              <w:rPr>
                <w:rFonts w:hint="eastAsia" w:ascii="宋体" w:hAnsi="宋体" w:cs="Arial"/>
                <w:szCs w:val="21"/>
                <w:lang w:val="en-US" w:eastAsia="zh-CN"/>
              </w:rPr>
              <w:t>主观分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ascii="宋体" w:hAnsi="宋体" w:cs="Arial"/>
                <w:szCs w:val="21"/>
              </w:rPr>
            </w:pPr>
            <w:r>
              <w:rPr>
                <w:rFonts w:hint="eastAsia" w:ascii="宋体" w:hAnsi="宋体" w:cs="Arial"/>
                <w:szCs w:val="21"/>
              </w:rPr>
              <w:t>项目实施</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bookmarkStart w:id="26" w:name="OLE_LINK11"/>
            <w:r>
              <w:rPr>
                <w:rFonts w:hint="eastAsia" w:ascii="宋体" w:hAnsi="宋体" w:eastAsia="宋体" w:cs="Arial"/>
                <w:lang w:val="en-US" w:eastAsia="zh-CN"/>
              </w:rPr>
              <w:t>项目总体实施的思路、原则、特点，根据对投标项目的理解程度、总体设计、组织实施等内容，包括方案的科学性、可靠性、可行性、合理性等进行综合评定打分。（5分、3分、1分、0分）</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5分：完整包含实施思路、实施原则、项目特点；对项目理解透彻、贴合项目实际需求；总体设计逻辑清晰、架构完整，组织实施流程完善、分工明确、管控闭环；方案科学性强、技术逻辑严谨、保障措施可靠，适配项目现场工况，落地执行条件充足，综合可实施性强。</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3分：包含实施思路、原则、特点全部核心内容；整体方案表述简略，无深度剖析，总体设计、组织实施仅做常规通用描述；无针对性管控措施、优化思路浅显；方案无原则性错误，基础逻辑合理，具备基本可行性，但专业性、针对性不足。</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1分：存在以下任意一种情况：①实施思路、原则、特点缺少任意一项及以上；②方案内容空洞、泛泛而谈，无具体实施流程、无组织保障措施；③总体设计逻辑混乱，与项目实际匹配度低，关键实施内容缺失，可实施性弱。</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0分：未提供项目总体实施方案，或内容抄袭、逻辑错乱、内容无效、与本项目无关，本项不计分。</w:t>
            </w:r>
            <w:bookmarkEnd w:id="26"/>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ascii="宋体" w:hAnsi="宋体" w:cs="Arial"/>
              </w:rPr>
            </w:pPr>
            <w:r>
              <w:rPr>
                <w:rFonts w:hint="eastAsia" w:ascii="宋体" w:hAnsi="宋体" w:cs="Arial"/>
              </w:rPr>
              <w:t>5</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rPr>
            </w:pPr>
            <w:r>
              <w:rPr>
                <w:rFonts w:hint="eastAsia" w:ascii="宋体" w:hAnsi="宋体" w:cs="Arial"/>
                <w:szCs w:val="21"/>
                <w:lang w:val="en-US" w:eastAsia="zh-CN"/>
              </w:rPr>
              <w:t>主观分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ascii="宋体" w:hAnsi="宋体" w:cs="Arial"/>
                <w:szCs w:val="21"/>
              </w:rPr>
            </w:pPr>
            <w:r>
              <w:rPr>
                <w:rFonts w:hint="eastAsia" w:ascii="宋体" w:hAnsi="宋体" w:cs="Arial"/>
                <w:szCs w:val="21"/>
              </w:rPr>
              <w:t>标本提供</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对标本提供服务方案，包括但不限于标本的采样、制作、鉴定、清晰标本图片方案，进行评分。（5分、3分、1分、0分）。</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5分：完整包含标本采样、制作、鉴定、清晰标本图片全套服务内容；方案体系完善，采样科学、采集流程规范，制作工艺标准、保存方式合理，鉴定依据合规、判定标准明确，图片拍摄规范、清晰度高；全过程管控措施完善，贴合项目工作要求，实操性强，服务保障能力充足。</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3分：包含标本采样、制作、鉴定、图片采集全部核心服</w:t>
            </w:r>
            <w:bookmarkStart w:id="27" w:name="OLE_LINK12"/>
            <w:r>
              <w:rPr>
                <w:rFonts w:hint="eastAsia" w:ascii="宋体" w:hAnsi="宋体" w:eastAsia="宋体" w:cs="Arial"/>
                <w:lang w:val="en-US" w:eastAsia="zh-CN"/>
              </w:rPr>
              <w:t>务内容；整体方案表述简略，流程描述通用简单，无细化操作标准，无专项质控、保存、校对措施；无针对性技术优化内容；方案无原则性错误，基础逻辑合理，具备基本实施条件，但专业性、细致度不足。</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1分：存在以下任意一种情况：①采样、制作、鉴定、图片采集缺少任意一项及以上；②方案内容空洞笼统，无具体操作流程、无技术标准；③工作逻辑混乱，不符合标本采集制作行业规范，关键技术环节缺失，可实施性弱。</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0分：未提供标本服务相关方案，或内容抄袭、逻辑错乱、内容无效、与本项目无关，本项不计分。</w:t>
            </w:r>
            <w:bookmarkEnd w:id="27"/>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eastAsia="宋体" w:cs="Arial"/>
                <w:lang w:eastAsia="zh-CN"/>
              </w:rPr>
            </w:pPr>
            <w:r>
              <w:rPr>
                <w:rFonts w:hint="eastAsia" w:ascii="宋体" w:hAnsi="宋体" w:cs="Arial"/>
                <w:lang w:val="en-US" w:eastAsia="zh-CN"/>
              </w:rPr>
              <w:t>5</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lang w:val="en-US" w:eastAsia="zh-CN"/>
              </w:rPr>
            </w:pPr>
            <w:r>
              <w:rPr>
                <w:rFonts w:hint="eastAsia" w:ascii="宋体" w:hAnsi="宋体" w:cs="Arial"/>
                <w:szCs w:val="21"/>
                <w:lang w:val="en-US" w:eastAsia="zh-CN"/>
              </w:rPr>
              <w:t>主观分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ascii="宋体" w:hAnsi="宋体" w:cs="Arial"/>
                <w:szCs w:val="21"/>
              </w:rPr>
            </w:pPr>
            <w:r>
              <w:rPr>
                <w:rFonts w:hint="eastAsia" w:ascii="宋体" w:hAnsi="宋体" w:cs="Arial"/>
                <w:szCs w:val="21"/>
              </w:rPr>
              <w:t>安全保证措施</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bookmarkStart w:id="28" w:name="OLE_LINK13"/>
            <w:r>
              <w:rPr>
                <w:rFonts w:hint="eastAsia" w:ascii="宋体" w:hAnsi="宋体" w:eastAsia="宋体" w:cs="Arial"/>
                <w:lang w:val="en-US" w:eastAsia="zh-CN"/>
              </w:rPr>
              <w:t>结合项目作业特点，编制安全管理专项方案，内容包含安全管理目标、安全保障措施、作业期间安全管控、文明施工作业措施等相关内容；依据方案完整性、合理性、安全性、可行性进行综合量化评审。（5分、3分、1分、0分）</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5分：完整包含安全管理目标、安全保障措施、作业安全管控、文明作业专项措施；安全目标明确、量化清晰，安全保障体系完整，人员、设备、现场、应急管控措施全面；作业安全防护、风险排查、隐患治理流程规范；文明施工管理、现场管控、环保管控、作业规范要求详实；贴合本项目作业场景，针对性强、逻辑严谨、可落地性强。</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3分：包含安全管理目标、安全保障措施、文明作业措施全部核心内容；方案表述简略，仅列明通用常规安全措施，无分级管控、无专项风险研判，缺少细化管控流程；文明作业内容简单笼统，无针对性现场管理要求；方案无原则性错误，基础逻辑合理，具备基本实施条件，但专业性、细致度不足。</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1分：存在以下任意一种情况：①安全管理目标、保障措施、安全作业、文明作业缺少任意一项及以上；②方案内容空洞笼统，无具体管控流程、无安全管控手段；③安全措施不符合行业作业规范，风险防控缺失，逻辑混乱，可实施性弱。</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0分：未提供安全管理及文明作业相关方案，或内容抄袭、逻辑错乱、内容无效、与本项目无关，本项不计分。</w:t>
            </w:r>
            <w:bookmarkEnd w:id="28"/>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eastAsia="宋体" w:cs="Arial"/>
                <w:szCs w:val="21"/>
                <w:lang w:eastAsia="zh-CN"/>
              </w:rPr>
            </w:pPr>
            <w:r>
              <w:rPr>
                <w:rFonts w:hint="eastAsia" w:ascii="宋体" w:hAnsi="宋体" w:cs="Arial"/>
                <w:szCs w:val="21"/>
                <w:lang w:val="en-US" w:eastAsia="zh-CN"/>
              </w:rPr>
              <w:t>5</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szCs w:val="21"/>
                <w:lang w:val="en-US" w:eastAsia="zh-CN"/>
              </w:rPr>
            </w:pPr>
            <w:r>
              <w:rPr>
                <w:rFonts w:hint="eastAsia" w:ascii="宋体" w:hAnsi="宋体" w:cs="Arial"/>
                <w:szCs w:val="21"/>
                <w:lang w:val="en-US" w:eastAsia="zh-CN"/>
              </w:rPr>
              <w:t>主观分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ascii="宋体" w:hAnsi="宋体" w:cs="Arial"/>
                <w:szCs w:val="21"/>
              </w:rPr>
            </w:pPr>
            <w:r>
              <w:rPr>
                <w:rFonts w:ascii="宋体" w:hAnsi="宋体" w:cs="Arial"/>
                <w:szCs w:val="21"/>
              </w:rPr>
              <w:t>突发疫情的应急监测</w:t>
            </w:r>
            <w:r>
              <w:rPr>
                <w:rFonts w:hint="eastAsia" w:ascii="宋体" w:hAnsi="宋体" w:cs="Arial"/>
                <w:szCs w:val="21"/>
              </w:rPr>
              <w:t>方案</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结合本项目病媒生物防治服务特点，编制突发病媒生物疫情应急监测专项方案，内容包含风险预警研判、应急监测布控、病媒溯源排查、应急消杀处置、人员安全防护、物资保障、事后评估复盘等相关内容；依据方案完整性、专业性、时效性、现场适配性、可行性进行综合量化评审。（5分、3分、1分、0分）</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bookmarkStart w:id="29" w:name="OLE_LINK14"/>
            <w:r>
              <w:rPr>
                <w:rFonts w:hint="eastAsia" w:ascii="宋体" w:hAnsi="宋体" w:eastAsia="宋体" w:cs="Arial"/>
                <w:lang w:val="en-US" w:eastAsia="zh-CN"/>
              </w:rPr>
              <w:t>5分：方案逻辑清晰、处置流程闭环，对病媒疫情风险分级研判精准，应急响应流程快速规范；贴合本项目作业场景，针对性强、防控严密、技术专业，可落地实施性强。</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3分：方案表述简略，监测及处置内容简单笼统，无项目专属管控要求；方案无原则性错误，基础逻辑合理，具备基本实施条件，但专业性、细致度不足。</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1分：方案内容空洞笼统，无病媒专项应急处置步骤、无现场监测管控手段；处置流程不符合病媒生物防控规范，应急逻辑混乱，风险处置缺失，可实施性弱。</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0分：未提供突发疫情应急监测相关方案，或内容抄袭、逻辑错乱、内容无效、与本项目无关，本项不计分。</w:t>
            </w:r>
            <w:bookmarkEnd w:id="29"/>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eastAsia="宋体" w:cs="Arial"/>
                <w:szCs w:val="21"/>
                <w:lang w:eastAsia="zh-CN"/>
              </w:rPr>
            </w:pPr>
            <w:r>
              <w:rPr>
                <w:rFonts w:hint="eastAsia" w:ascii="宋体" w:hAnsi="宋体" w:cs="Arial"/>
                <w:szCs w:val="21"/>
                <w:lang w:val="en-US" w:eastAsia="zh-CN"/>
              </w:rPr>
              <w:t>5</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szCs w:val="21"/>
                <w:lang w:val="en-US" w:eastAsia="zh-CN"/>
              </w:rPr>
            </w:pPr>
            <w:r>
              <w:rPr>
                <w:rFonts w:hint="eastAsia" w:ascii="宋体" w:hAnsi="宋体" w:cs="Arial"/>
                <w:szCs w:val="21"/>
                <w:lang w:val="en-US" w:eastAsia="zh-CN"/>
              </w:rPr>
              <w:t>主观分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ascii="宋体" w:hAnsi="宋体" w:cs="Arial"/>
                <w:szCs w:val="21"/>
              </w:rPr>
            </w:pPr>
            <w:r>
              <w:rPr>
                <w:rFonts w:ascii="宋体" w:hAnsi="宋体" w:cs="Arial"/>
                <w:szCs w:val="21"/>
              </w:rPr>
              <w:t>器械情况</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根据本项目监测服务要求，提供完整的服务器械清单，清单需明确器械名称、规格型号、配置数量；同时配套提供器械实物图片、购置发票复印件。依据器械匹配度、设备先进性、资料完整性进行综合量化评审。（4分、2分、1分、0分）</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4分：完整提供器械清单、实物图片、购置发票复印件，资料齐全无缺项；清单内器械名称准确、规格型号详实、配置数量合理；所有器械完全适配本项目病媒监测作业需求，设备技术参数先进、性能优良、便携耐用、专业性强；器械配置布局合理、匹配度高，可完全满足现场常态化监测及应急作业要求。</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2分：提供器械清单、实物图片、发票复印件等全部核心资料；清单内容简单列明器械基础信息，规格型号描述简略，无详细技术参数；器械为行业通用常规设备，设备先进性一般，器械配置基本满足项目常规作业要求，匹配度中等，无高端专业设备，整体专业性一般。</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1分：存在以下任意一种情况：①器械清单、实物图片、购置发票复印件缺少任意一项及以上；②清单信息不完善，规格型号模糊、数量标注不清晰；③器械种类偏少，设备老旧、适配性差，无法满足全部监测作业需求，配置不完善、可使用性弱。</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0分:未提供任何监测服务器械清单，或资料虚假、图片模糊、发票无效、内容与本项目无关，本项不计分。</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ascii="宋体" w:hAnsi="宋体" w:cs="Arial"/>
                <w:szCs w:val="21"/>
              </w:rPr>
            </w:pPr>
            <w:r>
              <w:rPr>
                <w:rFonts w:ascii="宋体" w:hAnsi="宋体" w:cs="Arial"/>
                <w:szCs w:val="21"/>
              </w:rPr>
              <w:t>4</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ascii="宋体" w:hAnsi="宋体" w:cs="Arial"/>
                <w:szCs w:val="21"/>
              </w:rPr>
            </w:pPr>
            <w:r>
              <w:rPr>
                <w:rFonts w:hint="eastAsia" w:ascii="宋体" w:hAnsi="宋体" w:cs="Arial"/>
                <w:szCs w:val="21"/>
                <w:lang w:val="en-US" w:eastAsia="zh-CN"/>
              </w:rPr>
              <w:t>主观分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r>
              <w:rPr>
                <w:rFonts w:hint="eastAsia" w:ascii="宋体" w:hAnsi="宋体" w:cs="Arial"/>
                <w:szCs w:val="21"/>
              </w:rPr>
              <w:t xml:space="preserve"> </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ascii="宋体" w:hAnsi="宋体" w:cs="Arial"/>
                <w:szCs w:val="21"/>
              </w:rPr>
            </w:pPr>
            <w:r>
              <w:rPr>
                <w:rFonts w:hint="eastAsia" w:ascii="宋体" w:hAnsi="宋体" w:cs="Arial"/>
                <w:szCs w:val="21"/>
              </w:rPr>
              <w:t>监测的组织、分工和职责</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bookmarkStart w:id="30" w:name="OLE_LINK15"/>
            <w:r>
              <w:rPr>
                <w:rFonts w:hint="eastAsia" w:ascii="宋体" w:hAnsi="宋体" w:eastAsia="宋体" w:cs="Arial"/>
                <w:lang w:val="en-US" w:eastAsia="zh-CN"/>
              </w:rPr>
              <w:t>结合本项目服务需求，明确提交服务组织架构、人员配置分工、岗位管理制度等内容；依据管理制度合理性、岗位分工清晰度、组织架构完整性、人员配置适配性进行综合量化评审。（4分、2分、1分、0分）</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4分：完整提供服务管理制度、人员岗位职责、人员分工表、组织架构图；管理制度科学合理、贴合本项目服务要求，条款完善、管控规范；人员岗位职责划分清晰、权责到人，分工层级明确；组织架构层级分明、逻辑清晰，人员配置充足，岗位衔接顺畅，完全满足项目全过程服务管控要求。</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2分：完整提供管理制度、岗位职责、人员分工、组织架构全部资料；管理制度内容常规通用，管控条款简单；人员岗位分工较为明确，无细化岗位职责说明；组织架构排版规范、结构合理，但层级简单、人员统筹管控措施一般，整体适配性中等，满足基础服务要求。</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1分：能够提供管理制度、岗位分工、组织架构相关资料，但存在以下任意缺陷：①架构层级混乱、岗位分工模糊不清；②管理制度条款缺失、内容简单笼统；③人员配置不合理、岗位重叠、人员衔接性差，整体存在明显缺陷，管控可实施性偏弱。</w:t>
            </w:r>
          </w:p>
          <w:p>
            <w:pPr>
              <w:keepNext w:val="0"/>
              <w:keepLines w:val="0"/>
              <w:pageBreakBefore w:val="0"/>
              <w:widowControl w:val="0"/>
              <w:kinsoku/>
              <w:wordWrap/>
              <w:overflowPunct/>
              <w:topLinePunct w:val="0"/>
              <w:autoSpaceDE/>
              <w:autoSpaceDN/>
              <w:bidi w:val="0"/>
              <w:adjustRightInd/>
              <w:spacing w:after="0" w:line="300" w:lineRule="auto"/>
              <w:textAlignment w:val="auto"/>
              <w:rPr>
                <w:rFonts w:hint="eastAsia" w:ascii="宋体" w:hAnsi="宋体" w:eastAsia="宋体" w:cs="Arial"/>
                <w:lang w:val="en-US" w:eastAsia="zh-CN"/>
              </w:rPr>
            </w:pPr>
            <w:r>
              <w:rPr>
                <w:rFonts w:hint="eastAsia" w:ascii="宋体" w:hAnsi="宋体" w:eastAsia="宋体" w:cs="Arial"/>
                <w:lang w:val="en-US" w:eastAsia="zh-CN"/>
              </w:rPr>
              <w:t>0分:未提供组织架构、人员分工、岗位职责相关资料，或内容虚假、逻辑混乱、与本项目无关，本项不计分。</w:t>
            </w:r>
            <w:bookmarkEnd w:id="30"/>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ascii="宋体" w:hAnsi="宋体" w:cs="Arial"/>
                <w:szCs w:val="21"/>
              </w:rPr>
            </w:pPr>
            <w:r>
              <w:rPr>
                <w:rFonts w:hint="eastAsia" w:ascii="宋体" w:hAnsi="宋体" w:cs="Arial"/>
                <w:szCs w:val="21"/>
              </w:rPr>
              <w:t>4</w:t>
            </w:r>
            <w:bookmarkStart w:id="35" w:name="_GoBack"/>
            <w:bookmarkEnd w:id="35"/>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szCs w:val="21"/>
              </w:rPr>
            </w:pPr>
            <w:r>
              <w:rPr>
                <w:rFonts w:hint="eastAsia" w:ascii="宋体" w:hAnsi="宋体" w:cs="Arial"/>
                <w:szCs w:val="21"/>
                <w:lang w:val="en-US" w:eastAsia="zh-CN"/>
              </w:rPr>
              <w:t>主观分</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300" w:lineRule="auto"/>
              <w:jc w:val="center"/>
              <w:textAlignment w:val="auto"/>
              <w:rPr>
                <w:rFonts w:hint="eastAsia"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ascii="宋体" w:hAnsi="宋体" w:cs="Arial"/>
              </w:rPr>
            </w:pPr>
            <w:r>
              <w:rPr>
                <w:rFonts w:hint="eastAsia" w:ascii="宋体" w:hAnsi="宋体" w:cs="Arial"/>
              </w:rPr>
              <w:t>报价部分（1</w:t>
            </w:r>
            <w:r>
              <w:rPr>
                <w:rFonts w:hint="eastAsia" w:ascii="宋体" w:hAnsi="宋体" w:cs="Arial"/>
                <w:lang w:val="en-US" w:eastAsia="zh-CN"/>
              </w:rPr>
              <w:t>5</w:t>
            </w:r>
            <w:r>
              <w:rPr>
                <w:rFonts w:hint="eastAsia" w:ascii="宋体" w:hAnsi="宋体" w:cs="Arial"/>
              </w:rPr>
              <w:t>分）</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rPr>
            </w:pP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after="0" w:line="300" w:lineRule="auto"/>
              <w:ind w:left="0" w:firstLine="0"/>
              <w:jc w:val="center"/>
              <w:textAlignment w:val="auto"/>
              <w:rPr>
                <w:rFonts w:ascii="宋体" w:hAnsi="宋体" w:cs="Arial"/>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left"/>
              <w:textAlignment w:val="auto"/>
              <w:rPr>
                <w:rFonts w:ascii="宋体" w:hAnsi="宋体" w:cs="Arial"/>
                <w:szCs w:val="21"/>
              </w:rPr>
            </w:pPr>
            <w:r>
              <w:rPr>
                <w:rFonts w:hint="eastAsia" w:ascii="宋体" w:hAnsi="宋体" w:cs="Arial"/>
                <w:szCs w:val="21"/>
              </w:rPr>
              <w:t>报价</w:t>
            </w:r>
          </w:p>
        </w:tc>
        <w:tc>
          <w:tcPr>
            <w:tcW w:w="5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300" w:lineRule="auto"/>
              <w:textAlignment w:val="auto"/>
              <w:rPr>
                <w:rFonts w:ascii="宋体" w:hAnsi="宋体" w:cs="Arial"/>
                <w:szCs w:val="21"/>
              </w:rPr>
            </w:pPr>
            <w:r>
              <w:rPr>
                <w:rFonts w:hint="eastAsia" w:ascii="宋体" w:hAnsi="宋体" w:cs="Arial"/>
                <w:szCs w:val="21"/>
              </w:rPr>
              <w:t>满足采购文件要求且投标报价的最低价作为评标基准价，其最低报价为满分；其他按［报价得分=（评标基准价/投标报价）*1</w:t>
            </w:r>
            <w:r>
              <w:rPr>
                <w:rFonts w:hint="eastAsia" w:ascii="宋体" w:hAnsi="宋体" w:cs="Arial"/>
                <w:szCs w:val="21"/>
                <w:lang w:val="en-US" w:eastAsia="zh-CN"/>
              </w:rPr>
              <w:t>5</w:t>
            </w:r>
            <w:r>
              <w:rPr>
                <w:rFonts w:hint="eastAsia" w:ascii="宋体" w:hAnsi="宋体" w:cs="Arial"/>
                <w:szCs w:val="21"/>
              </w:rPr>
              <w:t>］的计算公式计算。</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eastAsia="宋体" w:cs="Arial"/>
                <w:lang w:eastAsia="zh-CN"/>
              </w:rPr>
            </w:pPr>
            <w:r>
              <w:rPr>
                <w:rFonts w:hint="eastAsia" w:ascii="宋体" w:hAnsi="宋体" w:cs="Arial"/>
              </w:rPr>
              <w:t>1</w:t>
            </w:r>
            <w:r>
              <w:rPr>
                <w:rFonts w:hint="eastAsia" w:ascii="宋体" w:hAnsi="宋体" w:cs="Arial"/>
                <w:lang w:val="en-US" w:eastAsia="zh-CN"/>
              </w:rPr>
              <w:t>5</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rPr>
            </w:pP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0" w:lineRule="auto"/>
              <w:jc w:val="center"/>
              <w:textAlignment w:val="auto"/>
              <w:rPr>
                <w:rFonts w:hint="eastAsia" w:ascii="宋体" w:hAnsi="宋体" w:cs="Arial"/>
              </w:rPr>
            </w:pPr>
          </w:p>
        </w:tc>
      </w:tr>
    </w:tbl>
    <w:p/>
    <w:p>
      <w:pPr>
        <w:pageBreakBefore w:val="0"/>
        <w:kinsoku/>
        <w:wordWrap/>
        <w:overflowPunct/>
        <w:topLinePunct w:val="0"/>
        <w:autoSpaceDE/>
        <w:autoSpaceDN/>
        <w:bidi w:val="0"/>
        <w:snapToGrid w:val="0"/>
        <w:spacing w:after="0" w:line="360" w:lineRule="auto"/>
        <w:textAlignment w:val="auto"/>
        <w:rPr>
          <w:rFonts w:ascii="宋体" w:hAnsi="宋体" w:cs="宋体"/>
          <w:b/>
          <w:sz w:val="24"/>
        </w:rPr>
      </w:pPr>
      <w:r>
        <w:rPr>
          <w:rFonts w:hint="eastAsia" w:ascii="宋体" w:hAnsi="宋体" w:cs="宋体"/>
          <w:sz w:val="20"/>
          <w:szCs w:val="20"/>
          <w:shd w:val="clear" w:color="auto" w:fill="FFFFFF"/>
        </w:rPr>
        <w:t> *</w:t>
      </w:r>
      <w:r>
        <w:rPr>
          <w:rFonts w:hint="eastAsia" w:ascii="宋体" w:hAnsi="宋体" w:cs="宋体"/>
          <w:b/>
          <w:sz w:val="24"/>
        </w:rPr>
        <w:t>备注：</w:t>
      </w:r>
      <w:r>
        <w:rPr>
          <w:rFonts w:hint="eastAsia" w:ascii="宋体" w:hAnsi="宋体" w:cs="宋体"/>
          <w:sz w:val="24"/>
        </w:rPr>
        <w:t>供应商编制响应文件（商务技术文件部分）时，建议按此目录（序号和内容）提供评</w:t>
      </w:r>
      <w:r>
        <w:rPr>
          <w:rFonts w:hint="eastAsia" w:cs="仿宋_GB2312" w:asciiTheme="minorEastAsia" w:hAnsiTheme="minorEastAsia" w:eastAsiaTheme="minorEastAsia"/>
          <w:sz w:val="24"/>
        </w:rPr>
        <w:t>审</w:t>
      </w:r>
      <w:r>
        <w:rPr>
          <w:rFonts w:hint="eastAsia" w:ascii="宋体" w:hAnsi="宋体" w:cs="宋体"/>
          <w:sz w:val="24"/>
        </w:rPr>
        <w:t>标准相应的商务技术资料。 </w:t>
      </w:r>
    </w:p>
    <w:p>
      <w:pPr>
        <w:pageBreakBefore w:val="0"/>
        <w:kinsoku/>
        <w:wordWrap/>
        <w:overflowPunct/>
        <w:topLinePunct w:val="0"/>
        <w:autoSpaceDE/>
        <w:autoSpaceDN/>
        <w:bidi w:val="0"/>
        <w:snapToGrid w:val="0"/>
        <w:spacing w:after="0" w:line="360" w:lineRule="auto"/>
        <w:textAlignment w:val="auto"/>
        <w:rPr>
          <w:rFonts w:ascii="宋体" w:hAnsi="宋体" w:cs="宋体"/>
          <w:b/>
          <w:sz w:val="28"/>
          <w:szCs w:val="28"/>
        </w:rPr>
      </w:pPr>
      <w:r>
        <w:rPr>
          <w:rFonts w:hint="eastAsia" w:ascii="宋体" w:hAnsi="宋体" w:cs="宋体"/>
          <w:b/>
          <w:sz w:val="32"/>
        </w:rPr>
        <w:t>一、评审方法</w:t>
      </w:r>
    </w:p>
    <w:p>
      <w:pPr>
        <w:pageBreakBefore w:val="0"/>
        <w:kinsoku/>
        <w:wordWrap/>
        <w:overflowPunct/>
        <w:topLinePunct w:val="0"/>
        <w:autoSpaceDE/>
        <w:autoSpaceDN/>
        <w:bidi w:val="0"/>
        <w:adjustRightInd/>
        <w:spacing w:after="0" w:line="360" w:lineRule="auto"/>
        <w:ind w:firstLine="472" w:firstLineChars="196"/>
        <w:textAlignment w:val="auto"/>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综合评分法，是指响应文件满足采购文件全部实质性要求，且按照评审因素的量化指标评审得分最高的供应商为成交候选人的评</w:t>
      </w:r>
      <w:r>
        <w:rPr>
          <w:rFonts w:hint="eastAsia" w:cs="仿宋_GB2312" w:asciiTheme="minorEastAsia" w:hAnsiTheme="minorEastAsia" w:eastAsiaTheme="minorEastAsia"/>
          <w:sz w:val="24"/>
        </w:rPr>
        <w:t>审</w:t>
      </w:r>
      <w:r>
        <w:rPr>
          <w:rFonts w:hint="eastAsia" w:ascii="宋体" w:hAnsi="宋体" w:cs="宋体"/>
          <w:kern w:val="0"/>
          <w:sz w:val="24"/>
        </w:rPr>
        <w:t>方法。</w:t>
      </w:r>
    </w:p>
    <w:p>
      <w:pPr>
        <w:pageBreakBefore w:val="0"/>
        <w:kinsoku/>
        <w:wordWrap/>
        <w:overflowPunct/>
        <w:topLinePunct w:val="0"/>
        <w:autoSpaceDE/>
        <w:autoSpaceDN/>
        <w:bidi w:val="0"/>
        <w:adjustRightInd/>
        <w:spacing w:after="0" w:line="360" w:lineRule="auto"/>
        <w:textAlignment w:val="auto"/>
        <w:rPr>
          <w:rFonts w:ascii="宋体" w:hAnsi="宋体" w:cs="宋体"/>
          <w:kern w:val="0"/>
          <w:sz w:val="24"/>
        </w:rPr>
      </w:pPr>
      <w:r>
        <w:rPr>
          <w:rFonts w:hint="eastAsia" w:ascii="宋体" w:hAnsi="宋体" w:cs="宋体"/>
          <w:b/>
          <w:sz w:val="32"/>
        </w:rPr>
        <w:t>二、评审标准</w:t>
      </w:r>
    </w:p>
    <w:p>
      <w:pPr>
        <w:pageBreakBefore w:val="0"/>
        <w:kinsoku/>
        <w:wordWrap/>
        <w:overflowPunct/>
        <w:topLinePunct w:val="0"/>
        <w:autoSpaceDE/>
        <w:autoSpaceDN/>
        <w:bidi w:val="0"/>
        <w:spacing w:after="0" w:line="360" w:lineRule="auto"/>
        <w:ind w:firstLine="472" w:firstLineChars="196"/>
        <w:textAlignment w:val="auto"/>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评审标准：</w:t>
      </w:r>
      <w:r>
        <w:rPr>
          <w:rFonts w:hint="eastAsia" w:ascii="宋体" w:hAnsi="宋体" w:cs="宋体"/>
          <w:kern w:val="0"/>
          <w:sz w:val="24"/>
        </w:rPr>
        <w:t>见评</w:t>
      </w:r>
      <w:r>
        <w:rPr>
          <w:rFonts w:hint="eastAsia" w:cs="仿宋_GB2312" w:asciiTheme="minorEastAsia" w:hAnsiTheme="minorEastAsia" w:eastAsiaTheme="minorEastAsia"/>
          <w:sz w:val="24"/>
        </w:rPr>
        <w:t>审</w:t>
      </w:r>
      <w:r>
        <w:rPr>
          <w:rFonts w:hint="eastAsia" w:ascii="宋体" w:hAnsi="宋体" w:cs="宋体"/>
          <w:kern w:val="0"/>
          <w:sz w:val="24"/>
        </w:rPr>
        <w:t>办法前附表。</w:t>
      </w:r>
    </w:p>
    <w:p>
      <w:pPr>
        <w:pageBreakBefore w:val="0"/>
        <w:kinsoku/>
        <w:wordWrap/>
        <w:overflowPunct/>
        <w:topLinePunct w:val="0"/>
        <w:autoSpaceDE/>
        <w:autoSpaceDN/>
        <w:bidi w:val="0"/>
        <w:spacing w:after="0" w:line="360" w:lineRule="auto"/>
        <w:textAlignment w:val="auto"/>
        <w:outlineLvl w:val="0"/>
        <w:rPr>
          <w:rFonts w:ascii="宋体" w:hAnsi="宋体" w:cs="宋体"/>
          <w:b/>
          <w:sz w:val="36"/>
          <w:szCs w:val="36"/>
        </w:rPr>
      </w:pPr>
      <w:r>
        <w:rPr>
          <w:rFonts w:hint="eastAsia" w:ascii="宋体" w:hAnsi="宋体" w:cs="宋体"/>
          <w:b/>
          <w:sz w:val="36"/>
          <w:szCs w:val="36"/>
        </w:rPr>
        <w:t>三、评审程序</w:t>
      </w:r>
    </w:p>
    <w:p>
      <w:pPr>
        <w:pageBreakBefore w:val="0"/>
        <w:kinsoku/>
        <w:wordWrap/>
        <w:overflowPunct/>
        <w:topLinePunct w:val="0"/>
        <w:autoSpaceDE/>
        <w:autoSpaceDN/>
        <w:bidi w:val="0"/>
        <w:spacing w:after="0" w:line="360" w:lineRule="auto"/>
        <w:ind w:firstLine="472" w:firstLineChars="196"/>
        <w:textAlignment w:val="auto"/>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评审小组应当对符合资格的供应商的响应文件进行符合性审查，以确定其是否满足采购文件的实质性要求。不满足采购文件的实质性要求的，响应无效。</w:t>
      </w:r>
    </w:p>
    <w:p>
      <w:pPr>
        <w:pageBreakBefore w:val="0"/>
        <w:kinsoku/>
        <w:wordWrap/>
        <w:overflowPunct/>
        <w:topLinePunct w:val="0"/>
        <w:autoSpaceDE/>
        <w:autoSpaceDN/>
        <w:bidi w:val="0"/>
        <w:spacing w:after="0" w:line="360" w:lineRule="auto"/>
        <w:ind w:firstLine="472" w:firstLineChars="196"/>
        <w:textAlignment w:val="auto"/>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评审小组应当按照采购文件中规定的评</w:t>
      </w:r>
      <w:r>
        <w:rPr>
          <w:rFonts w:hint="eastAsia" w:cs="仿宋_GB2312" w:asciiTheme="minorEastAsia" w:hAnsiTheme="minorEastAsia" w:eastAsiaTheme="minorEastAsia"/>
          <w:sz w:val="24"/>
        </w:rPr>
        <w:t>审</w:t>
      </w:r>
      <w:r>
        <w:rPr>
          <w:rFonts w:hint="eastAsia" w:ascii="宋体" w:hAnsi="宋体" w:cs="宋体"/>
          <w:kern w:val="0"/>
          <w:sz w:val="24"/>
        </w:rPr>
        <w:t>方法和标准，对符合性审查合格的响应文件进行商务和技术评估，综合比较与评价。</w:t>
      </w:r>
    </w:p>
    <w:p>
      <w:pPr>
        <w:pageBreakBefore w:val="0"/>
        <w:kinsoku/>
        <w:wordWrap/>
        <w:overflowPunct/>
        <w:topLinePunct w:val="0"/>
        <w:autoSpaceDE/>
        <w:autoSpaceDN/>
        <w:bidi w:val="0"/>
        <w:spacing w:after="0" w:line="360" w:lineRule="auto"/>
        <w:ind w:firstLine="472" w:firstLineChars="196"/>
        <w:textAlignment w:val="auto"/>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评审小组各成员应当独立对每个供应商的商务和技术文件进行评价，并汇总商务技术得分情况。</w:t>
      </w:r>
    </w:p>
    <w:p>
      <w:pPr>
        <w:pageBreakBefore w:val="0"/>
        <w:kinsoku/>
        <w:wordWrap/>
        <w:overflowPunct/>
        <w:topLinePunct w:val="0"/>
        <w:autoSpaceDE/>
        <w:autoSpaceDN/>
        <w:bidi w:val="0"/>
        <w:spacing w:after="0" w:line="360" w:lineRule="auto"/>
        <w:ind w:firstLine="472" w:firstLineChars="196"/>
        <w:textAlignment w:val="auto"/>
        <w:rPr>
          <w:rFonts w:ascii="宋体" w:hAnsi="宋体" w:cs="宋体"/>
          <w:b/>
          <w:kern w:val="0"/>
          <w:sz w:val="24"/>
        </w:rPr>
      </w:pPr>
      <w:r>
        <w:rPr>
          <w:rFonts w:hint="eastAsia" w:ascii="宋体" w:hAnsi="宋体" w:cs="宋体"/>
          <w:b/>
          <w:kern w:val="0"/>
          <w:sz w:val="24"/>
        </w:rPr>
        <w:t>3.4报价评审。</w:t>
      </w:r>
    </w:p>
    <w:p>
      <w:pPr>
        <w:pStyle w:val="31"/>
        <w:pageBreakBefore w:val="0"/>
        <w:kinsoku/>
        <w:wordWrap/>
        <w:overflowPunct/>
        <w:topLinePunct w:val="0"/>
        <w:autoSpaceDE/>
        <w:autoSpaceDN/>
        <w:bidi w:val="0"/>
        <w:spacing w:before="0" w:after="0"/>
        <w:ind w:firstLine="508" w:firstLineChars="212"/>
        <w:textAlignment w:val="auto"/>
        <w:rPr>
          <w:rFonts w:ascii="宋体" w:hAnsi="宋体" w:cs="宋体"/>
          <w:kern w:val="0"/>
        </w:rPr>
      </w:pPr>
      <w:r>
        <w:rPr>
          <w:rFonts w:hint="eastAsia" w:ascii="宋体" w:hAnsi="宋体" w:cs="宋体"/>
          <w:kern w:val="0"/>
        </w:rPr>
        <w:t>3.4.1响应文件报价出现前后不一致的，按照下列规定修正：</w:t>
      </w:r>
    </w:p>
    <w:p>
      <w:pPr>
        <w:pStyle w:val="31"/>
        <w:pageBreakBefore w:val="0"/>
        <w:kinsoku/>
        <w:wordWrap/>
        <w:overflowPunct/>
        <w:topLinePunct w:val="0"/>
        <w:autoSpaceDE/>
        <w:autoSpaceDN/>
        <w:bidi w:val="0"/>
        <w:spacing w:before="0" w:after="0"/>
        <w:ind w:firstLine="480"/>
        <w:textAlignment w:val="auto"/>
        <w:rPr>
          <w:rFonts w:ascii="宋体" w:hAnsi="宋体" w:cs="宋体"/>
          <w:kern w:val="0"/>
          <w:szCs w:val="24"/>
        </w:rPr>
      </w:pPr>
      <w:r>
        <w:rPr>
          <w:rFonts w:hint="eastAsia" w:ascii="宋体" w:hAnsi="宋体" w:cs="宋体"/>
          <w:kern w:val="0"/>
          <w:szCs w:val="24"/>
        </w:rPr>
        <w:t>3.4.1.1响应文件中开标一览表(报价表)内容与响应文件中相应内容不一致的，以开标一览表(报价表)为准;</w:t>
      </w:r>
    </w:p>
    <w:p>
      <w:pPr>
        <w:pStyle w:val="31"/>
        <w:pageBreakBefore w:val="0"/>
        <w:kinsoku/>
        <w:wordWrap/>
        <w:overflowPunct/>
        <w:topLinePunct w:val="0"/>
        <w:autoSpaceDE/>
        <w:autoSpaceDN/>
        <w:bidi w:val="0"/>
        <w:spacing w:before="0" w:after="0"/>
        <w:ind w:firstLine="480"/>
        <w:textAlignment w:val="auto"/>
        <w:rPr>
          <w:rFonts w:ascii="宋体" w:hAnsi="宋体" w:cs="宋体"/>
          <w:kern w:val="0"/>
          <w:szCs w:val="24"/>
        </w:rPr>
      </w:pPr>
      <w:r>
        <w:rPr>
          <w:rFonts w:hint="eastAsia" w:ascii="宋体" w:hAnsi="宋体" w:cs="宋体"/>
          <w:kern w:val="0"/>
          <w:szCs w:val="24"/>
        </w:rPr>
        <w:t>3.4.1.2大写金额和小写金额不一致的，以大写金额为准;</w:t>
      </w:r>
    </w:p>
    <w:p>
      <w:pPr>
        <w:pStyle w:val="31"/>
        <w:pageBreakBefore w:val="0"/>
        <w:kinsoku/>
        <w:wordWrap/>
        <w:overflowPunct/>
        <w:topLinePunct w:val="0"/>
        <w:autoSpaceDE/>
        <w:autoSpaceDN/>
        <w:bidi w:val="0"/>
        <w:spacing w:before="0" w:after="0"/>
        <w:ind w:firstLine="480"/>
        <w:textAlignment w:val="auto"/>
        <w:rPr>
          <w:rFonts w:ascii="宋体" w:hAnsi="宋体" w:cs="宋体"/>
          <w:kern w:val="0"/>
          <w:szCs w:val="24"/>
        </w:rPr>
      </w:pPr>
      <w:r>
        <w:rPr>
          <w:rFonts w:hint="eastAsia" w:ascii="宋体" w:hAnsi="宋体" w:cs="宋体"/>
          <w:kern w:val="0"/>
          <w:szCs w:val="24"/>
        </w:rPr>
        <w:t>3.4.1.3单价金额小数点或者百分比有明显错位的，以开标一览表（报价表）的总价为准，并修改单价;</w:t>
      </w:r>
    </w:p>
    <w:p>
      <w:pPr>
        <w:pStyle w:val="31"/>
        <w:pageBreakBefore w:val="0"/>
        <w:kinsoku/>
        <w:wordWrap/>
        <w:overflowPunct/>
        <w:topLinePunct w:val="0"/>
        <w:autoSpaceDE/>
        <w:autoSpaceDN/>
        <w:bidi w:val="0"/>
        <w:spacing w:before="0" w:after="0"/>
        <w:ind w:firstLine="480"/>
        <w:textAlignment w:val="auto"/>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pPr>
        <w:pStyle w:val="31"/>
        <w:pageBreakBefore w:val="0"/>
        <w:kinsoku/>
        <w:wordWrap/>
        <w:overflowPunct/>
        <w:topLinePunct w:val="0"/>
        <w:autoSpaceDE/>
        <w:autoSpaceDN/>
        <w:bidi w:val="0"/>
        <w:spacing w:before="0" w:after="0"/>
        <w:ind w:firstLine="480"/>
        <w:textAlignment w:val="auto"/>
        <w:rPr>
          <w:rFonts w:ascii="宋体" w:hAnsi="宋体" w:cs="宋体"/>
          <w:kern w:val="0"/>
          <w:szCs w:val="24"/>
        </w:rPr>
      </w:pPr>
      <w:r>
        <w:rPr>
          <w:rFonts w:hint="eastAsia" w:ascii="宋体" w:hAnsi="宋体" w:cs="宋体"/>
          <w:kern w:val="0"/>
          <w:szCs w:val="24"/>
        </w:rPr>
        <w:t>3.4.1.5同时出现两种以上不一致的，按照3.4.1规定的顺序修正。修正后的报价经供应商确认后产生约束力。</w:t>
      </w:r>
    </w:p>
    <w:p>
      <w:pPr>
        <w:pageBreakBefore w:val="0"/>
        <w:kinsoku/>
        <w:wordWrap/>
        <w:overflowPunct/>
        <w:topLinePunct w:val="0"/>
        <w:autoSpaceDE/>
        <w:autoSpaceDN/>
        <w:bidi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3.4.2响应文件出现不是唯一的、有选择性响应报价的，响应无效。</w:t>
      </w:r>
    </w:p>
    <w:p>
      <w:pPr>
        <w:pageBreakBefore w:val="0"/>
        <w:kinsoku/>
        <w:wordWrap/>
        <w:overflowPunct/>
        <w:topLinePunct w:val="0"/>
        <w:autoSpaceDE/>
        <w:autoSpaceDN/>
        <w:bidi w:val="0"/>
        <w:snapToGrid w:val="0"/>
        <w:spacing w:after="0" w:line="360" w:lineRule="auto"/>
        <w:ind w:firstLine="480" w:firstLineChars="200"/>
        <w:jc w:val="left"/>
        <w:textAlignment w:val="auto"/>
        <w:rPr>
          <w:rFonts w:ascii="宋体" w:hAnsi="宋体" w:cs="宋体"/>
          <w:kern w:val="0"/>
          <w:sz w:val="24"/>
        </w:rPr>
      </w:pPr>
      <w:r>
        <w:rPr>
          <w:rFonts w:hint="eastAsia" w:ascii="宋体" w:hAnsi="宋体" w:cs="宋体"/>
          <w:kern w:val="0"/>
          <w:sz w:val="24"/>
        </w:rPr>
        <w:t>3.4.3响应报价超过采购文件中规定的预算金额或者最高限价的，响应无效。</w:t>
      </w:r>
    </w:p>
    <w:p>
      <w:pPr>
        <w:pStyle w:val="31"/>
        <w:pageBreakBefore w:val="0"/>
        <w:kinsoku/>
        <w:wordWrap/>
        <w:overflowPunct/>
        <w:topLinePunct w:val="0"/>
        <w:autoSpaceDE/>
        <w:autoSpaceDN/>
        <w:bidi w:val="0"/>
        <w:spacing w:before="0" w:after="0"/>
        <w:ind w:firstLine="480"/>
        <w:textAlignment w:val="auto"/>
        <w:rPr>
          <w:rFonts w:ascii="宋体" w:hAnsi="宋体" w:cs="宋体"/>
          <w:strike/>
          <w:kern w:val="0"/>
          <w:szCs w:val="24"/>
        </w:rPr>
      </w:pPr>
      <w:r>
        <w:rPr>
          <w:rFonts w:hint="eastAsia" w:ascii="宋体" w:hAnsi="宋体" w:cs="宋体"/>
          <w:kern w:val="0"/>
          <w:szCs w:val="24"/>
        </w:rPr>
        <w:t>3.4.4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pPr>
        <w:pageBreakBefore w:val="0"/>
        <w:kinsoku/>
        <w:wordWrap/>
        <w:overflowPunct/>
        <w:topLinePunct w:val="0"/>
        <w:autoSpaceDE/>
        <w:autoSpaceDN/>
        <w:bidi w:val="0"/>
        <w:spacing w:after="0" w:line="360" w:lineRule="auto"/>
        <w:ind w:firstLine="482" w:firstLineChars="200"/>
        <w:textAlignment w:val="auto"/>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w:t>
      </w:r>
      <w:r>
        <w:rPr>
          <w:rFonts w:hint="eastAsia" w:cs="仿宋_GB2312" w:asciiTheme="minorEastAsia" w:hAnsiTheme="minorEastAsia" w:eastAsiaTheme="minorEastAsia"/>
          <w:sz w:val="24"/>
        </w:rPr>
        <w:t>审</w:t>
      </w:r>
      <w:r>
        <w:rPr>
          <w:rFonts w:hint="eastAsia" w:ascii="宋体" w:hAnsi="宋体" w:cs="宋体"/>
          <w:kern w:val="0"/>
          <w:sz w:val="24"/>
        </w:rPr>
        <w:t>结果按评审后得分由高到低顺序排列。得分相同的，按响应报价由低到高顺序排列。得分且响应报价相同的并列。响应文件满足采购文件全部实质性要求，且按照评审因素的量化指标评审得分最高的响应人为排名第一的成交候选人。</w:t>
      </w:r>
    </w:p>
    <w:p>
      <w:pPr>
        <w:pageBreakBefore w:val="0"/>
        <w:kinsoku/>
        <w:wordWrap/>
        <w:overflowPunct/>
        <w:topLinePunct w:val="0"/>
        <w:autoSpaceDE/>
        <w:autoSpaceDN/>
        <w:bidi w:val="0"/>
        <w:spacing w:after="0" w:line="360" w:lineRule="auto"/>
        <w:ind w:firstLine="480" w:firstLineChars="200"/>
        <w:textAlignment w:val="auto"/>
        <w:rPr>
          <w:rFonts w:ascii="宋体" w:hAnsi="宋体" w:cs="宋体"/>
          <w:b/>
          <w:kern w:val="0"/>
          <w:sz w:val="24"/>
        </w:rPr>
      </w:pPr>
      <w:r>
        <w:rPr>
          <w:rFonts w:hint="eastAsia" w:ascii="宋体" w:hAnsi="宋体" w:cs="宋体"/>
          <w:kern w:val="0"/>
          <w:sz w:val="24"/>
        </w:rPr>
        <w:t>多家供应商提供相同品牌产品（单一产品采购项目中的该产品或者非单一产品采购项目的核心产品）且通过资格审查、符合性审查的不同供应商参加同一合同项下响应的，按一家供应商计算，评审后得分最高的同品牌供应商获得成交供应商推荐资格；评审得分相同的，采取随机抽取方式确定，其他同品牌供应商不作为成交候选人。</w:t>
      </w:r>
    </w:p>
    <w:p>
      <w:pPr>
        <w:pageBreakBefore w:val="0"/>
        <w:kinsoku/>
        <w:wordWrap/>
        <w:overflowPunct/>
        <w:topLinePunct w:val="0"/>
        <w:autoSpaceDE/>
        <w:autoSpaceDN/>
        <w:bidi w:val="0"/>
        <w:spacing w:after="0" w:line="360" w:lineRule="auto"/>
        <w:ind w:firstLine="472" w:firstLineChars="196"/>
        <w:textAlignment w:val="auto"/>
        <w:rPr>
          <w:rFonts w:ascii="宋体" w:hAnsi="宋体" w:cs="宋体"/>
          <w:kern w:val="0"/>
          <w:sz w:val="24"/>
        </w:rPr>
      </w:pPr>
      <w:r>
        <w:rPr>
          <w:rFonts w:hint="eastAsia" w:ascii="宋体" w:hAnsi="宋体" w:cs="宋体"/>
          <w:b/>
          <w:kern w:val="0"/>
          <w:sz w:val="24"/>
        </w:rPr>
        <w:t>3.6编写评审报告。</w:t>
      </w:r>
      <w:r>
        <w:rPr>
          <w:rFonts w:hint="eastAsia" w:ascii="宋体" w:hAnsi="宋体" w:cs="宋体"/>
          <w:kern w:val="0"/>
          <w:sz w:val="24"/>
        </w:rPr>
        <w:t>评审小组根据全体成员签字的原始评审记录和评审结果编写评审报告。评审小组成员对需要共同认定的事项存在争议的，应当按照少数服从多数的原则作出结论。持不同意见的评审小组成员应当在评审报告上签署不同意见及理由，否则视为同意评审报告。</w:t>
      </w:r>
    </w:p>
    <w:p>
      <w:pPr>
        <w:pageBreakBefore w:val="0"/>
        <w:widowControl/>
        <w:shd w:val="clear" w:color="auto" w:fill="FFFFFF"/>
        <w:kinsoku/>
        <w:wordWrap/>
        <w:overflowPunct/>
        <w:topLinePunct w:val="0"/>
        <w:autoSpaceDE/>
        <w:autoSpaceDN/>
        <w:bidi w:val="0"/>
        <w:adjustRightInd/>
        <w:spacing w:after="0" w:line="315" w:lineRule="atLeast"/>
        <w:jc w:val="left"/>
        <w:textAlignment w:val="auto"/>
        <w:rPr>
          <w:rFonts w:ascii="宋体" w:hAnsi="宋体" w:cs="宋体"/>
          <w:b/>
          <w:sz w:val="32"/>
        </w:rPr>
      </w:pPr>
      <w:r>
        <w:rPr>
          <w:rFonts w:hint="eastAsia" w:ascii="宋体" w:hAnsi="宋体" w:cs="宋体"/>
          <w:b/>
          <w:sz w:val="32"/>
        </w:rPr>
        <w:t>四、评审中的其他事项</w:t>
      </w:r>
    </w:p>
    <w:p>
      <w:pPr>
        <w:pStyle w:val="31"/>
        <w:pageBreakBefore w:val="0"/>
        <w:kinsoku/>
        <w:wordWrap/>
        <w:overflowPunct/>
        <w:topLinePunct w:val="0"/>
        <w:autoSpaceDE/>
        <w:autoSpaceDN/>
        <w:bidi w:val="0"/>
        <w:spacing w:before="0" w:after="0"/>
        <w:ind w:firstLine="472" w:firstLineChars="196"/>
        <w:textAlignment w:val="auto"/>
        <w:rPr>
          <w:rFonts w:ascii="宋体" w:hAnsi="宋体" w:cs="宋体"/>
          <w:kern w:val="0"/>
          <w:szCs w:val="24"/>
        </w:rPr>
      </w:pPr>
      <w:r>
        <w:rPr>
          <w:rFonts w:hint="eastAsia" w:ascii="宋体" w:hAnsi="宋体" w:cs="宋体"/>
          <w:b/>
          <w:kern w:val="0"/>
          <w:szCs w:val="24"/>
        </w:rPr>
        <w:t>4.1供应商澄清、说明或者补正。</w:t>
      </w:r>
      <w:r>
        <w:rPr>
          <w:rFonts w:hint="eastAsia" w:ascii="宋体" w:hAnsi="宋体" w:cs="宋体"/>
          <w:kern w:val="0"/>
          <w:szCs w:val="24"/>
        </w:rPr>
        <w:t>对于响应文件中含义不明确、同类问题表述不一致或者有明显文字和计算错误的内容需要供应商作出必要的澄清、说明或者补正的，评审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9"/>
        <w:pageBreakBefore w:val="0"/>
        <w:kinsoku/>
        <w:wordWrap/>
        <w:overflowPunct/>
        <w:topLinePunct w:val="0"/>
        <w:autoSpaceDE/>
        <w:autoSpaceDN/>
        <w:bidi w:val="0"/>
        <w:spacing w:after="0" w:line="360" w:lineRule="auto"/>
        <w:ind w:left="954" w:leftChars="226" w:hanging="479" w:firstLineChars="0"/>
        <w:textAlignment w:val="auto"/>
        <w:rPr>
          <w:rFonts w:cs="宋体"/>
          <w:szCs w:val="21"/>
        </w:rPr>
      </w:pPr>
      <w:r>
        <w:rPr>
          <w:rFonts w:hint="eastAsia" w:cs="宋体"/>
          <w:b/>
          <w:kern w:val="0"/>
        </w:rPr>
        <w:t>4.2响应无效。</w:t>
      </w:r>
      <w:r>
        <w:rPr>
          <w:rFonts w:hint="eastAsia" w:cs="宋体"/>
          <w:szCs w:val="21"/>
        </w:rPr>
        <w:t>有下列情形之一的，响应无效：</w:t>
      </w:r>
    </w:p>
    <w:p>
      <w:pPr>
        <w:pageBreakBefore w:val="0"/>
        <w:kinsoku/>
        <w:wordWrap/>
        <w:overflowPunct/>
        <w:topLinePunct w:val="0"/>
        <w:autoSpaceDE/>
        <w:autoSpaceDN/>
        <w:bidi w:val="0"/>
        <w:spacing w:after="0" w:line="360" w:lineRule="auto"/>
        <w:ind w:firstLine="480" w:firstLineChars="200"/>
        <w:textAlignment w:val="auto"/>
        <w:rPr>
          <w:rFonts w:ascii="宋体" w:hAnsi="宋体" w:cs="宋体"/>
          <w:kern w:val="0"/>
          <w:sz w:val="24"/>
        </w:rPr>
      </w:pPr>
      <w:r>
        <w:rPr>
          <w:rFonts w:hint="eastAsia" w:ascii="宋体" w:hAnsi="宋体" w:cs="宋体"/>
          <w:kern w:val="0"/>
          <w:sz w:val="24"/>
        </w:rPr>
        <w:t>4.2.1供应商不具备采购文件中规定的资格要求的（供应商未提供有效的资格文件的，视为供应商不具备采购文件中规定的资格要求）；</w:t>
      </w:r>
    </w:p>
    <w:p>
      <w:pPr>
        <w:pageBreakBefore w:val="0"/>
        <w:kinsoku/>
        <w:wordWrap/>
        <w:overflowPunct/>
        <w:topLinePunct w:val="0"/>
        <w:autoSpaceDE/>
        <w:autoSpaceDN/>
        <w:bidi w:val="0"/>
        <w:spacing w:after="0" w:line="360" w:lineRule="auto"/>
        <w:ind w:firstLine="480" w:firstLineChars="200"/>
        <w:textAlignment w:val="auto"/>
        <w:rPr>
          <w:rFonts w:ascii="宋体" w:hAnsi="宋体" w:cs="宋体"/>
          <w:kern w:val="0"/>
          <w:sz w:val="24"/>
        </w:rPr>
      </w:pPr>
      <w:r>
        <w:rPr>
          <w:rFonts w:hint="eastAsia" w:ascii="宋体" w:hAnsi="宋体" w:cs="宋体"/>
          <w:kern w:val="0"/>
          <w:sz w:val="24"/>
        </w:rPr>
        <w:t>4.2.2响应文件未按照采购文件要求签署、盖章的；</w:t>
      </w:r>
    </w:p>
    <w:p>
      <w:pPr>
        <w:pageBreakBefore w:val="0"/>
        <w:kinsoku/>
        <w:wordWrap/>
        <w:overflowPunct/>
        <w:topLinePunct w:val="0"/>
        <w:autoSpaceDE/>
        <w:autoSpaceDN/>
        <w:bidi w:val="0"/>
        <w:spacing w:after="0" w:line="360" w:lineRule="auto"/>
        <w:ind w:firstLine="480" w:firstLineChars="200"/>
        <w:textAlignment w:val="auto"/>
        <w:rPr>
          <w:rFonts w:ascii="宋体" w:hAnsi="宋体" w:cs="宋体"/>
          <w:kern w:val="0"/>
          <w:sz w:val="24"/>
        </w:rPr>
      </w:pPr>
      <w:r>
        <w:rPr>
          <w:rFonts w:hint="eastAsia" w:ascii="宋体" w:hAnsi="宋体" w:cs="宋体"/>
          <w:kern w:val="0"/>
          <w:sz w:val="24"/>
        </w:rPr>
        <w:t>4.2.3响应文件含有采购人不能接受的附加条件的；</w:t>
      </w:r>
    </w:p>
    <w:p>
      <w:pPr>
        <w:pageBreakBefore w:val="0"/>
        <w:kinsoku/>
        <w:wordWrap/>
        <w:overflowPunct/>
        <w:topLinePunct w:val="0"/>
        <w:autoSpaceDE/>
        <w:autoSpaceDN/>
        <w:bidi w:val="0"/>
        <w:spacing w:after="0" w:line="360" w:lineRule="auto"/>
        <w:ind w:firstLine="480" w:firstLineChars="200"/>
        <w:textAlignment w:val="auto"/>
        <w:rPr>
          <w:rFonts w:ascii="宋体" w:hAnsi="宋体" w:cs="宋体"/>
          <w:kern w:val="0"/>
          <w:sz w:val="24"/>
        </w:rPr>
      </w:pPr>
      <w:r>
        <w:rPr>
          <w:rFonts w:hint="eastAsia" w:ascii="宋体" w:hAnsi="宋体" w:cs="宋体"/>
          <w:kern w:val="0"/>
          <w:sz w:val="24"/>
        </w:rPr>
        <w:t>4.2.4响应文件中承诺的响应有效期少于采购文件中载明的响应有效期的；</w:t>
      </w:r>
    </w:p>
    <w:p>
      <w:pPr>
        <w:pageBreakBefore w:val="0"/>
        <w:kinsoku/>
        <w:wordWrap/>
        <w:overflowPunct/>
        <w:topLinePunct w:val="0"/>
        <w:autoSpaceDE/>
        <w:autoSpaceDN/>
        <w:bidi w:val="0"/>
        <w:snapToGrid w:val="0"/>
        <w:spacing w:after="0" w:line="360" w:lineRule="auto"/>
        <w:ind w:firstLine="120" w:firstLineChars="50"/>
        <w:jc w:val="left"/>
        <w:textAlignment w:val="auto"/>
        <w:rPr>
          <w:rFonts w:ascii="宋体" w:hAnsi="宋体" w:cs="宋体"/>
          <w:kern w:val="0"/>
          <w:sz w:val="24"/>
        </w:rPr>
      </w:pPr>
      <w:r>
        <w:rPr>
          <w:rFonts w:hint="eastAsia" w:ascii="宋体" w:hAnsi="宋体" w:cs="宋体"/>
          <w:kern w:val="0"/>
          <w:sz w:val="24"/>
        </w:rPr>
        <w:t xml:space="preserve">   4.2.5响应文件出现不是唯一的、有选择性响应报价的；</w:t>
      </w:r>
    </w:p>
    <w:p>
      <w:pPr>
        <w:pageBreakBefore w:val="0"/>
        <w:kinsoku/>
        <w:wordWrap/>
        <w:overflowPunct/>
        <w:topLinePunct w:val="0"/>
        <w:autoSpaceDE/>
        <w:autoSpaceDN/>
        <w:bidi w:val="0"/>
        <w:spacing w:after="0" w:line="360" w:lineRule="auto"/>
        <w:ind w:firstLine="480" w:firstLineChars="200"/>
        <w:textAlignment w:val="auto"/>
        <w:rPr>
          <w:rFonts w:ascii="宋体" w:hAnsi="宋体" w:cs="宋体"/>
          <w:kern w:val="0"/>
          <w:sz w:val="24"/>
        </w:rPr>
      </w:pPr>
      <w:r>
        <w:rPr>
          <w:rFonts w:hint="eastAsia" w:ascii="宋体" w:hAnsi="宋体" w:cs="宋体"/>
          <w:kern w:val="0"/>
          <w:sz w:val="24"/>
        </w:rPr>
        <w:t>4.2.6响应报价超过采购文件中规定的预算金额或者最高限价的；</w:t>
      </w:r>
    </w:p>
    <w:p>
      <w:pPr>
        <w:pageBreakBefore w:val="0"/>
        <w:kinsoku/>
        <w:wordWrap/>
        <w:overflowPunct/>
        <w:topLinePunct w:val="0"/>
        <w:autoSpaceDE/>
        <w:autoSpaceDN/>
        <w:bidi w:val="0"/>
        <w:spacing w:after="0" w:line="360" w:lineRule="auto"/>
        <w:ind w:firstLine="480" w:firstLineChars="200"/>
        <w:textAlignment w:val="auto"/>
        <w:rPr>
          <w:rFonts w:ascii="宋体" w:hAnsi="宋体" w:cs="宋体"/>
          <w:kern w:val="0"/>
          <w:sz w:val="24"/>
        </w:rPr>
      </w:pPr>
      <w:r>
        <w:rPr>
          <w:rFonts w:hint="eastAsia" w:ascii="宋体" w:hAnsi="宋体" w:cs="宋体"/>
          <w:kern w:val="0"/>
          <w:sz w:val="24"/>
        </w:rPr>
        <w:t>4.2.7报价明显低于其他通过符合性审查供应商的报价，有可能影响产品质量或者不能诚信履约的，未能按要求提供书面说明或者提交相关证明材料，不能证明其报价合理性的；</w:t>
      </w:r>
    </w:p>
    <w:p>
      <w:pPr>
        <w:pageBreakBefore w:val="0"/>
        <w:kinsoku/>
        <w:wordWrap/>
        <w:overflowPunct/>
        <w:topLinePunct w:val="0"/>
        <w:autoSpaceDE/>
        <w:autoSpaceDN/>
        <w:bidi w:val="0"/>
        <w:spacing w:after="0" w:line="360" w:lineRule="auto"/>
        <w:ind w:firstLine="480" w:firstLineChars="200"/>
        <w:textAlignment w:val="auto"/>
        <w:rPr>
          <w:rFonts w:ascii="宋体" w:hAnsi="宋体" w:cs="宋体"/>
          <w:kern w:val="0"/>
          <w:sz w:val="24"/>
        </w:rPr>
      </w:pPr>
      <w:r>
        <w:rPr>
          <w:rFonts w:hint="eastAsia" w:ascii="宋体" w:hAnsi="宋体" w:cs="宋体"/>
          <w:kern w:val="0"/>
          <w:sz w:val="24"/>
        </w:rPr>
        <w:t>4.2.8供应商对根据修正原则修正后的报价不确认的；</w:t>
      </w:r>
    </w:p>
    <w:p>
      <w:pPr>
        <w:pageBreakBefore w:val="0"/>
        <w:kinsoku/>
        <w:wordWrap/>
        <w:overflowPunct/>
        <w:topLinePunct w:val="0"/>
        <w:autoSpaceDE/>
        <w:autoSpaceDN/>
        <w:bidi w:val="0"/>
        <w:spacing w:after="0" w:line="360" w:lineRule="auto"/>
        <w:ind w:firstLine="480" w:firstLineChars="200"/>
        <w:textAlignment w:val="auto"/>
        <w:rPr>
          <w:rFonts w:ascii="宋体" w:hAnsi="宋体" w:cs="宋体"/>
          <w:kern w:val="0"/>
          <w:sz w:val="24"/>
        </w:rPr>
      </w:pPr>
      <w:r>
        <w:rPr>
          <w:rFonts w:hint="eastAsia" w:ascii="宋体" w:hAnsi="宋体" w:cs="宋体"/>
          <w:kern w:val="0"/>
          <w:sz w:val="24"/>
        </w:rPr>
        <w:t>4.2.9供应商提供虚假材料响应的；</w:t>
      </w:r>
    </w:p>
    <w:p>
      <w:pPr>
        <w:pageBreakBefore w:val="0"/>
        <w:kinsoku/>
        <w:wordWrap/>
        <w:overflowPunct/>
        <w:topLinePunct w:val="0"/>
        <w:autoSpaceDE/>
        <w:autoSpaceDN/>
        <w:bidi w:val="0"/>
        <w:spacing w:after="0" w:line="360" w:lineRule="auto"/>
        <w:ind w:firstLine="240" w:firstLineChars="100"/>
        <w:textAlignment w:val="auto"/>
        <w:rPr>
          <w:rFonts w:ascii="宋体" w:hAnsi="宋体" w:cs="宋体"/>
          <w:kern w:val="0"/>
          <w:sz w:val="24"/>
        </w:rPr>
      </w:pPr>
      <w:r>
        <w:rPr>
          <w:rFonts w:hint="eastAsia" w:ascii="宋体" w:hAnsi="宋体" w:cs="宋体"/>
          <w:kern w:val="0"/>
          <w:sz w:val="24"/>
        </w:rPr>
        <w:t xml:space="preserve">  4.2.10供应商有恶意串通、妨碍其他供应商的竞争行为、损害采购人或者其他供应商的合法权益情形的；</w:t>
      </w:r>
    </w:p>
    <w:p>
      <w:pPr>
        <w:pageBreakBefore w:val="0"/>
        <w:kinsoku/>
        <w:wordWrap/>
        <w:overflowPunct/>
        <w:topLinePunct w:val="0"/>
        <w:autoSpaceDE/>
        <w:autoSpaceDN/>
        <w:bidi w:val="0"/>
        <w:spacing w:after="0" w:line="360" w:lineRule="auto"/>
        <w:ind w:firstLine="480" w:firstLineChars="200"/>
        <w:textAlignment w:val="auto"/>
        <w:rPr>
          <w:rFonts w:ascii="宋体" w:hAnsi="宋体" w:cs="宋体"/>
          <w:kern w:val="0"/>
          <w:sz w:val="24"/>
        </w:rPr>
      </w:pPr>
      <w:r>
        <w:rPr>
          <w:rFonts w:hint="eastAsia" w:ascii="宋体" w:hAnsi="宋体" w:cs="宋体"/>
          <w:kern w:val="0"/>
          <w:sz w:val="24"/>
        </w:rPr>
        <w:t>4.2.11供应商仅提交备份响应文件，未在电子交易平台传输递交响应文件的，响应无效；</w:t>
      </w:r>
    </w:p>
    <w:p>
      <w:pPr>
        <w:pStyle w:val="4"/>
        <w:pageBreakBefore w:val="0"/>
        <w:kinsoku/>
        <w:wordWrap/>
        <w:overflowPunct/>
        <w:topLinePunct w:val="0"/>
        <w:autoSpaceDE/>
        <w:autoSpaceDN/>
        <w:bidi w:val="0"/>
        <w:spacing w:after="0"/>
        <w:ind w:left="862" w:leftChars="205"/>
        <w:textAlignment w:val="auto"/>
        <w:rPr>
          <w:rFonts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4.2.12 响应文件不满足采购文件的其它实质性要求的；</w:t>
      </w:r>
    </w:p>
    <w:p>
      <w:pPr>
        <w:pageBreakBefore w:val="0"/>
        <w:kinsoku/>
        <w:wordWrap/>
        <w:overflowPunct/>
        <w:topLinePunct w:val="0"/>
        <w:autoSpaceDE/>
        <w:autoSpaceDN/>
        <w:bidi w:val="0"/>
        <w:spacing w:after="0" w:line="360" w:lineRule="auto"/>
        <w:ind w:firstLine="480" w:firstLineChars="200"/>
        <w:textAlignment w:val="auto"/>
        <w:rPr>
          <w:rFonts w:ascii="宋体" w:hAnsi="宋体" w:cs="宋体"/>
          <w:kern w:val="0"/>
          <w:sz w:val="24"/>
        </w:rPr>
      </w:pPr>
      <w:r>
        <w:rPr>
          <w:rFonts w:hint="eastAsia" w:ascii="宋体" w:hAnsi="宋体" w:cs="宋体"/>
          <w:kern w:val="0"/>
          <w:sz w:val="24"/>
        </w:rPr>
        <w:t>4.2.13法律、法规、规章（适用本市的）及省级以上规范性文件（适用本市的）规定的其他无效情形。</w:t>
      </w:r>
    </w:p>
    <w:p>
      <w:pPr>
        <w:pStyle w:val="9"/>
        <w:pageBreakBefore w:val="0"/>
        <w:kinsoku/>
        <w:wordWrap/>
        <w:overflowPunct/>
        <w:topLinePunct w:val="0"/>
        <w:autoSpaceDE/>
        <w:autoSpaceDN/>
        <w:bidi w:val="0"/>
        <w:snapToGrid w:val="0"/>
        <w:spacing w:after="0" w:line="360" w:lineRule="auto"/>
        <w:ind w:firstLineChars="196"/>
        <w:textAlignment w:val="auto"/>
        <w:rPr>
          <w:rFonts w:cs="宋体"/>
        </w:rPr>
      </w:pPr>
      <w:r>
        <w:rPr>
          <w:rFonts w:hint="eastAsia" w:cs="宋体"/>
          <w:b/>
        </w:rPr>
        <w:t>5.废标。</w:t>
      </w:r>
      <w:r>
        <w:rPr>
          <w:rFonts w:hint="eastAsia" w:cs="宋体"/>
        </w:rPr>
        <w:t>在采购中，出现下列情形之一的，应予废标：</w:t>
      </w:r>
    </w:p>
    <w:p>
      <w:pPr>
        <w:pStyle w:val="9"/>
        <w:pageBreakBefore w:val="0"/>
        <w:kinsoku/>
        <w:wordWrap/>
        <w:overflowPunct/>
        <w:topLinePunct w:val="0"/>
        <w:autoSpaceDE/>
        <w:autoSpaceDN/>
        <w:bidi w:val="0"/>
        <w:snapToGrid w:val="0"/>
        <w:spacing w:after="0" w:line="360" w:lineRule="auto"/>
        <w:textAlignment w:val="auto"/>
        <w:rPr>
          <w:rFonts w:cs="宋体"/>
        </w:rPr>
      </w:pPr>
      <w:r>
        <w:rPr>
          <w:rFonts w:hint="eastAsia" w:cs="宋体"/>
        </w:rPr>
        <w:t>5.1符合专业条件的供应商或者对采购文件作实质响应的供应商不足3家的，且评审小组认为响应不具有竞争性的；</w:t>
      </w:r>
    </w:p>
    <w:p>
      <w:pPr>
        <w:pStyle w:val="9"/>
        <w:pageBreakBefore w:val="0"/>
        <w:kinsoku/>
        <w:wordWrap/>
        <w:overflowPunct/>
        <w:topLinePunct w:val="0"/>
        <w:autoSpaceDE/>
        <w:autoSpaceDN/>
        <w:bidi w:val="0"/>
        <w:snapToGrid w:val="0"/>
        <w:spacing w:after="0" w:line="360" w:lineRule="auto"/>
        <w:textAlignment w:val="auto"/>
        <w:rPr>
          <w:rFonts w:cs="宋体"/>
        </w:rPr>
      </w:pPr>
      <w:r>
        <w:rPr>
          <w:rFonts w:hint="eastAsia" w:cs="宋体"/>
        </w:rPr>
        <w:t>5.2出现影响采购公正的违法、违规行为的；</w:t>
      </w:r>
    </w:p>
    <w:p>
      <w:pPr>
        <w:pStyle w:val="9"/>
        <w:pageBreakBefore w:val="0"/>
        <w:kinsoku/>
        <w:wordWrap/>
        <w:overflowPunct/>
        <w:topLinePunct w:val="0"/>
        <w:autoSpaceDE/>
        <w:autoSpaceDN/>
        <w:bidi w:val="0"/>
        <w:snapToGrid w:val="0"/>
        <w:spacing w:after="0" w:line="360" w:lineRule="auto"/>
        <w:textAlignment w:val="auto"/>
        <w:rPr>
          <w:rFonts w:cs="宋体"/>
        </w:rPr>
      </w:pPr>
      <w:r>
        <w:rPr>
          <w:rFonts w:hint="eastAsia" w:cs="宋体"/>
        </w:rPr>
        <w:t>5.3供应商的报价均超过了采购预算，采购人不能支付的；</w:t>
      </w:r>
    </w:p>
    <w:p>
      <w:pPr>
        <w:pStyle w:val="9"/>
        <w:pageBreakBefore w:val="0"/>
        <w:kinsoku/>
        <w:wordWrap/>
        <w:overflowPunct/>
        <w:topLinePunct w:val="0"/>
        <w:autoSpaceDE/>
        <w:autoSpaceDN/>
        <w:bidi w:val="0"/>
        <w:snapToGrid w:val="0"/>
        <w:spacing w:after="0" w:line="360" w:lineRule="auto"/>
        <w:textAlignment w:val="auto"/>
        <w:rPr>
          <w:rFonts w:cs="宋体"/>
        </w:rPr>
      </w:pPr>
      <w:r>
        <w:rPr>
          <w:rFonts w:hint="eastAsia" w:cs="宋体"/>
        </w:rPr>
        <w:t>5.4因重大变故，采购任务取消的。</w:t>
      </w:r>
    </w:p>
    <w:p>
      <w:pPr>
        <w:pStyle w:val="9"/>
        <w:pageBreakBefore w:val="0"/>
        <w:kinsoku/>
        <w:wordWrap/>
        <w:overflowPunct/>
        <w:topLinePunct w:val="0"/>
        <w:autoSpaceDE/>
        <w:autoSpaceDN/>
        <w:bidi w:val="0"/>
        <w:snapToGrid w:val="0"/>
        <w:spacing w:after="0" w:line="360" w:lineRule="auto"/>
        <w:textAlignment w:val="auto"/>
        <w:rPr>
          <w:rFonts w:cs="宋体"/>
        </w:rPr>
      </w:pPr>
      <w:r>
        <w:rPr>
          <w:rFonts w:hint="eastAsia" w:cs="宋体"/>
        </w:rPr>
        <w:t>废标后，采购代理机构应当将废标理由通知所有供应商。</w:t>
      </w:r>
    </w:p>
    <w:p>
      <w:pPr>
        <w:pStyle w:val="9"/>
        <w:pageBreakBefore w:val="0"/>
        <w:kinsoku/>
        <w:wordWrap/>
        <w:overflowPunct/>
        <w:topLinePunct w:val="0"/>
        <w:autoSpaceDE/>
        <w:autoSpaceDN/>
        <w:bidi w:val="0"/>
        <w:snapToGrid w:val="0"/>
        <w:spacing w:after="0" w:line="360" w:lineRule="auto"/>
        <w:ind w:firstLine="590" w:firstLineChars="245"/>
        <w:textAlignment w:val="auto"/>
        <w:rPr>
          <w:rFonts w:cs="宋体"/>
        </w:rPr>
      </w:pPr>
      <w:r>
        <w:rPr>
          <w:rFonts w:hint="eastAsia" w:cs="宋体"/>
          <w:b/>
        </w:rPr>
        <w:t>6.修改采购文件，重新组织采购活动。</w:t>
      </w:r>
      <w:r>
        <w:rPr>
          <w:rFonts w:hint="eastAsia" w:cs="宋体"/>
        </w:rPr>
        <w:t>评审小组发现采购文件存在歧义、重大缺陷导致评</w:t>
      </w:r>
      <w:r>
        <w:rPr>
          <w:rFonts w:hint="eastAsia" w:cs="宋体"/>
          <w:kern w:val="0"/>
        </w:rPr>
        <w:t>审</w:t>
      </w:r>
      <w:r>
        <w:rPr>
          <w:rFonts w:hint="eastAsia" w:cs="宋体"/>
        </w:rPr>
        <w:t>工作无法进行，或者采购文件内容违反国家有关强制性规定的，将停止评</w:t>
      </w:r>
      <w:r>
        <w:rPr>
          <w:rFonts w:hint="eastAsia" w:cs="宋体"/>
          <w:kern w:val="0"/>
        </w:rPr>
        <w:t>审</w:t>
      </w:r>
      <w:r>
        <w:rPr>
          <w:rFonts w:hint="eastAsia" w:cs="宋体"/>
        </w:rPr>
        <w:t>工作，并与采购人、采购代理机构沟通并作书面记录。采购人、采购代理机构确认后，将修改采购文件，重新组织采购活动。</w:t>
      </w:r>
    </w:p>
    <w:p>
      <w:pPr>
        <w:pStyle w:val="9"/>
        <w:pageBreakBefore w:val="0"/>
        <w:kinsoku/>
        <w:wordWrap/>
        <w:overflowPunct/>
        <w:topLinePunct w:val="0"/>
        <w:autoSpaceDE/>
        <w:autoSpaceDN/>
        <w:bidi w:val="0"/>
        <w:snapToGrid w:val="0"/>
        <w:spacing w:after="0" w:line="360" w:lineRule="auto"/>
        <w:ind w:firstLine="489"/>
        <w:textAlignment w:val="auto"/>
        <w:rPr>
          <w:rFonts w:cs="宋体"/>
        </w:rPr>
      </w:pPr>
      <w:r>
        <w:rPr>
          <w:rFonts w:hint="eastAsia" w:cs="宋体"/>
          <w:b/>
          <w:kern w:val="0"/>
        </w:rPr>
        <w:t>7.其他。</w:t>
      </w:r>
      <w:r>
        <w:rPr>
          <w:rFonts w:hint="eastAsia" w:cs="宋体"/>
        </w:rPr>
        <w:t>其他影响或者可能影响成交结果的，依照下列规定处理：</w:t>
      </w:r>
    </w:p>
    <w:p>
      <w:pPr>
        <w:pStyle w:val="9"/>
        <w:pageBreakBefore w:val="0"/>
        <w:kinsoku/>
        <w:wordWrap/>
        <w:overflowPunct/>
        <w:topLinePunct w:val="0"/>
        <w:autoSpaceDE/>
        <w:autoSpaceDN/>
        <w:bidi w:val="0"/>
        <w:snapToGrid w:val="0"/>
        <w:spacing w:after="0" w:line="360" w:lineRule="auto"/>
        <w:textAlignment w:val="auto"/>
        <w:rPr>
          <w:rFonts w:cs="宋体"/>
        </w:rPr>
      </w:pPr>
      <w:r>
        <w:rPr>
          <w:rFonts w:hint="eastAsia" w:cs="宋体"/>
        </w:rPr>
        <w:t>7.1未确定成交供应商的，终止本次采购活动，重新开展采购活动。</w:t>
      </w:r>
    </w:p>
    <w:p>
      <w:pPr>
        <w:pStyle w:val="9"/>
        <w:pageBreakBefore w:val="0"/>
        <w:kinsoku/>
        <w:wordWrap/>
        <w:overflowPunct/>
        <w:topLinePunct w:val="0"/>
        <w:autoSpaceDE/>
        <w:autoSpaceDN/>
        <w:bidi w:val="0"/>
        <w:snapToGrid w:val="0"/>
        <w:spacing w:after="0" w:line="360" w:lineRule="auto"/>
        <w:textAlignment w:val="auto"/>
        <w:rPr>
          <w:rFonts w:cs="宋体"/>
        </w:rPr>
      </w:pPr>
      <w:r>
        <w:rPr>
          <w:rFonts w:hint="eastAsia" w:cs="宋体"/>
        </w:rPr>
        <w:t>7.2已确定成交供应商但尚未签订采购合同的，成交结果无效，从合格的成交候选人中另行确定成交供应商；没有合格的成交候选人的，重新开展采购活动。</w:t>
      </w:r>
    </w:p>
    <w:p>
      <w:pPr>
        <w:pStyle w:val="9"/>
        <w:pageBreakBefore w:val="0"/>
        <w:kinsoku/>
        <w:wordWrap/>
        <w:overflowPunct/>
        <w:topLinePunct w:val="0"/>
        <w:autoSpaceDE/>
        <w:autoSpaceDN/>
        <w:bidi w:val="0"/>
        <w:snapToGrid w:val="0"/>
        <w:spacing w:after="0" w:line="360" w:lineRule="auto"/>
        <w:textAlignment w:val="auto"/>
        <w:rPr>
          <w:rFonts w:cs="宋体"/>
        </w:rPr>
      </w:pPr>
      <w:r>
        <w:rPr>
          <w:rFonts w:hint="eastAsia" w:cs="宋体"/>
        </w:rPr>
        <w:t>7.3采购合同已签订但尚未履行的，撤销合同，从合格的成交候选人中另行确定成交供应商；没有合格的成交候选人的，重新开展采购活动。</w:t>
      </w:r>
    </w:p>
    <w:p>
      <w:pPr>
        <w:pStyle w:val="9"/>
        <w:pageBreakBefore w:val="0"/>
        <w:kinsoku/>
        <w:wordWrap/>
        <w:overflowPunct/>
        <w:topLinePunct w:val="0"/>
        <w:autoSpaceDE/>
        <w:autoSpaceDN/>
        <w:bidi w:val="0"/>
        <w:snapToGrid w:val="0"/>
        <w:spacing w:after="0" w:line="360" w:lineRule="auto"/>
        <w:textAlignment w:val="auto"/>
        <w:rPr>
          <w:rFonts w:cs="宋体"/>
        </w:rPr>
      </w:pPr>
      <w:r>
        <w:rPr>
          <w:rFonts w:hint="eastAsia" w:cs="宋体"/>
        </w:rPr>
        <w:t>7.4采购合同已经履行，给采购人、供应商造成损失的，由责任人承担赔偿责任。</w:t>
      </w:r>
    </w:p>
    <w:p>
      <w:pPr>
        <w:pStyle w:val="31"/>
        <w:pageBreakBefore w:val="0"/>
        <w:kinsoku/>
        <w:wordWrap/>
        <w:overflowPunct/>
        <w:topLinePunct w:val="0"/>
        <w:autoSpaceDE/>
        <w:autoSpaceDN/>
        <w:bidi w:val="0"/>
        <w:spacing w:before="0" w:after="0"/>
        <w:ind w:firstLine="508" w:firstLineChars="212"/>
        <w:textAlignment w:val="auto"/>
        <w:rPr>
          <w:rFonts w:ascii="宋体" w:hAnsi="宋体" w:cs="宋体"/>
          <w:kern w:val="0"/>
        </w:rPr>
      </w:pPr>
      <w:r>
        <w:rPr>
          <w:rFonts w:hint="eastAsia" w:ascii="宋体" w:hAnsi="宋体" w:cs="宋体"/>
          <w:kern w:val="0"/>
        </w:rPr>
        <w:br w:type="page"/>
      </w:r>
    </w:p>
    <w:p>
      <w:pPr>
        <w:pStyle w:val="3"/>
        <w:rPr>
          <w:rFonts w:ascii="宋体" w:hAnsi="宋体" w:cs="宋体"/>
          <w:color w:val="auto"/>
        </w:rPr>
      </w:pPr>
      <w:bookmarkStart w:id="31" w:name="_Toc24926"/>
      <w:r>
        <w:rPr>
          <w:rFonts w:hint="eastAsia" w:ascii="宋体" w:hAnsi="宋体" w:cs="宋体"/>
          <w:bCs/>
          <w:color w:val="auto"/>
        </w:rPr>
        <w:t xml:space="preserve">第五章  </w:t>
      </w:r>
      <w:bookmarkEnd w:id="31"/>
      <w:r>
        <w:rPr>
          <w:rFonts w:hint="eastAsia" w:ascii="宋体" w:hAnsi="宋体" w:cs="宋体"/>
          <w:color w:val="auto"/>
          <w:szCs w:val="32"/>
        </w:rPr>
        <w:t>拟签订的合同文本</w:t>
      </w:r>
    </w:p>
    <w:p>
      <w:pPr>
        <w:rPr>
          <w:rFonts w:ascii="宋体" w:hAnsi="宋体"/>
          <w:sz w:val="24"/>
          <w:u w:val="single"/>
        </w:rPr>
      </w:pPr>
      <w:r>
        <w:rPr>
          <w:rFonts w:hint="eastAsia" w:ascii="宋体" w:hAnsi="宋体"/>
          <w:sz w:val="24"/>
        </w:rPr>
        <w:t>合同编号：</w:t>
      </w:r>
    </w:p>
    <w:p>
      <w:pPr>
        <w:autoSpaceDE w:val="0"/>
        <w:autoSpaceDN w:val="0"/>
        <w:snapToGrid w:val="0"/>
        <w:spacing w:after="120" w:line="360" w:lineRule="auto"/>
        <w:rPr>
          <w:rFonts w:ascii="宋体" w:hAnsi="宋体"/>
          <w:sz w:val="24"/>
        </w:rPr>
      </w:pPr>
    </w:p>
    <w:p>
      <w:pPr>
        <w:autoSpaceDE w:val="0"/>
        <w:autoSpaceDN w:val="0"/>
        <w:snapToGrid w:val="0"/>
        <w:spacing w:after="120" w:line="360" w:lineRule="auto"/>
        <w:ind w:left="420" w:leftChars="200" w:firstLine="480" w:firstLineChars="200"/>
        <w:rPr>
          <w:rFonts w:ascii="宋体" w:hAnsi="宋体"/>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pPr>
        <w:spacing w:line="480" w:lineRule="auto"/>
        <w:ind w:firstLine="723"/>
        <w:jc w:val="center"/>
        <w:rPr>
          <w:rFonts w:ascii="宋体" w:hAnsi="宋体" w:cs="宋体"/>
          <w:b/>
          <w:sz w:val="36"/>
          <w:szCs w:val="36"/>
        </w:rPr>
      </w:pPr>
      <w:r>
        <w:rPr>
          <w:rFonts w:hint="eastAsia" w:ascii="宋体" w:hAnsi="宋体" w:cs="宋体"/>
          <w:b/>
          <w:sz w:val="36"/>
          <w:szCs w:val="36"/>
        </w:rPr>
        <w:t>（服务类）</w:t>
      </w:r>
    </w:p>
    <w:p>
      <w:pPr>
        <w:autoSpaceDE w:val="0"/>
        <w:autoSpaceDN w:val="0"/>
        <w:snapToGrid w:val="0"/>
        <w:spacing w:after="120" w:line="360" w:lineRule="auto"/>
        <w:ind w:left="420" w:leftChars="200" w:firstLine="2843" w:firstLineChars="1180"/>
        <w:rPr>
          <w:rFonts w:ascii="宋体" w:hAnsi="宋体"/>
          <w:b/>
          <w:sz w:val="24"/>
        </w:rPr>
      </w:pPr>
      <w:r>
        <w:rPr>
          <w:rFonts w:hint="eastAsia" w:ascii="宋体" w:hAnsi="宋体"/>
          <w:b/>
          <w:sz w:val="24"/>
        </w:rPr>
        <w:t>第一部分合同书</w:t>
      </w:r>
    </w:p>
    <w:p>
      <w:pPr>
        <w:autoSpaceDE w:val="0"/>
        <w:autoSpaceDN w:val="0"/>
        <w:snapToGrid w:val="0"/>
        <w:spacing w:after="120" w:line="360" w:lineRule="auto"/>
        <w:ind w:left="420" w:leftChars="200" w:firstLine="480" w:firstLineChars="200"/>
        <w:rPr>
          <w:rFonts w:ascii="宋体" w:hAnsi="宋体"/>
          <w:sz w:val="24"/>
        </w:rPr>
      </w:pPr>
    </w:p>
    <w:p>
      <w:pPr>
        <w:autoSpaceDE w:val="0"/>
        <w:autoSpaceDN w:val="0"/>
        <w:snapToGrid w:val="0"/>
        <w:spacing w:after="120" w:line="360" w:lineRule="auto"/>
        <w:ind w:left="420" w:leftChars="200" w:firstLine="480" w:firstLineChars="200"/>
        <w:rPr>
          <w:rFonts w:ascii="宋体" w:hAnsi="宋体"/>
          <w:sz w:val="24"/>
        </w:rPr>
      </w:pPr>
    </w:p>
    <w:p>
      <w:pPr>
        <w:spacing w:before="120" w:line="22" w:lineRule="atLeast"/>
        <w:rPr>
          <w:rFonts w:ascii="宋体" w:hAnsi="宋体"/>
          <w:sz w:val="24"/>
        </w:rPr>
      </w:pPr>
    </w:p>
    <w:p>
      <w:pPr>
        <w:spacing w:before="120" w:line="22" w:lineRule="atLeast"/>
        <w:ind w:left="960"/>
        <w:rPr>
          <w:rFonts w:ascii="宋体" w:hAnsi="宋体"/>
          <w:szCs w:val="21"/>
        </w:rPr>
      </w:pPr>
      <w:r>
        <w:rPr>
          <w:rFonts w:hint="eastAsia" w:ascii="宋体" w:hAnsi="宋体"/>
          <w:szCs w:val="21"/>
        </w:rPr>
        <w:t>项目名称：拱墅区2026年病媒生物监测服务项目</w:t>
      </w:r>
    </w:p>
    <w:p>
      <w:pPr>
        <w:adjustRightInd/>
        <w:spacing w:before="120" w:line="22" w:lineRule="atLeast"/>
        <w:rPr>
          <w:rFonts w:ascii="宋体" w:hAnsi="宋体"/>
          <w:szCs w:val="21"/>
        </w:rPr>
      </w:pPr>
    </w:p>
    <w:p>
      <w:pPr>
        <w:adjustRightInd/>
        <w:spacing w:before="120" w:line="22" w:lineRule="atLeast"/>
        <w:rPr>
          <w:rFonts w:ascii="宋体" w:hAnsi="宋体"/>
          <w:szCs w:val="21"/>
        </w:rPr>
      </w:pPr>
    </w:p>
    <w:p>
      <w:pPr>
        <w:rPr>
          <w:rFonts w:ascii="宋体" w:hAnsi="宋体"/>
          <w:szCs w:val="21"/>
        </w:rPr>
      </w:pPr>
    </w:p>
    <w:p>
      <w:pPr>
        <w:spacing w:before="120" w:line="22" w:lineRule="atLeast"/>
        <w:ind w:left="960"/>
        <w:rPr>
          <w:rFonts w:ascii="宋体" w:hAnsi="宋体"/>
          <w:szCs w:val="21"/>
          <w:u w:val="single"/>
        </w:rPr>
      </w:pPr>
      <w:r>
        <w:rPr>
          <w:rFonts w:hint="eastAsia" w:ascii="宋体" w:hAnsi="宋体"/>
          <w:szCs w:val="21"/>
        </w:rPr>
        <w:t>甲方：杭州市拱墅区疾病预防控制中心（杭州市拱墅区卫生监督所）</w:t>
      </w:r>
    </w:p>
    <w:p>
      <w:pPr>
        <w:spacing w:before="120" w:line="22" w:lineRule="atLeast"/>
        <w:rPr>
          <w:rFonts w:ascii="宋体" w:hAnsi="宋体"/>
          <w:szCs w:val="21"/>
        </w:rPr>
      </w:pPr>
    </w:p>
    <w:p>
      <w:pPr>
        <w:spacing w:before="120" w:line="22" w:lineRule="atLeast"/>
        <w:ind w:left="960"/>
        <w:rPr>
          <w:rFonts w:ascii="宋体" w:hAnsi="宋体"/>
          <w:szCs w:val="21"/>
          <w:u w:val="single"/>
        </w:rPr>
      </w:pPr>
      <w:r>
        <w:rPr>
          <w:rFonts w:hint="eastAsia" w:ascii="宋体" w:hAnsi="宋体"/>
          <w:szCs w:val="21"/>
        </w:rPr>
        <w:t>乙方：</w:t>
      </w:r>
    </w:p>
    <w:p>
      <w:pPr>
        <w:spacing w:before="120" w:line="22" w:lineRule="atLeast"/>
        <w:rPr>
          <w:rFonts w:ascii="宋体" w:hAnsi="宋体"/>
          <w:szCs w:val="21"/>
        </w:rPr>
      </w:pPr>
    </w:p>
    <w:p>
      <w:pPr>
        <w:spacing w:before="120" w:line="22" w:lineRule="atLeast"/>
        <w:ind w:firstLine="840" w:firstLineChars="400"/>
        <w:rPr>
          <w:rFonts w:ascii="宋体" w:hAnsi="宋体"/>
          <w:szCs w:val="21"/>
          <w:u w:val="single"/>
        </w:rPr>
      </w:pPr>
      <w:r>
        <w:rPr>
          <w:rFonts w:hint="eastAsia" w:ascii="宋体" w:hAnsi="宋体"/>
          <w:szCs w:val="21"/>
        </w:rPr>
        <w:t>签订地：杭州市</w:t>
      </w:r>
    </w:p>
    <w:p>
      <w:pPr>
        <w:spacing w:before="120" w:line="22" w:lineRule="atLeast"/>
        <w:rPr>
          <w:rFonts w:ascii="宋体" w:hAnsi="宋体"/>
          <w:szCs w:val="21"/>
        </w:rPr>
      </w:pPr>
    </w:p>
    <w:p>
      <w:pPr>
        <w:spacing w:before="120" w:line="22" w:lineRule="atLeast"/>
        <w:ind w:firstLine="840" w:firstLineChars="400"/>
        <w:rPr>
          <w:rFonts w:ascii="宋体" w:hAnsi="宋体"/>
          <w:szCs w:val="21"/>
          <w:u w:val="single"/>
        </w:rPr>
      </w:pPr>
      <w:r>
        <w:rPr>
          <w:rFonts w:hint="eastAsia" w:ascii="宋体" w:hAnsi="宋体"/>
          <w:szCs w:val="21"/>
        </w:rPr>
        <w:t>签订日期：</w:t>
      </w:r>
      <w:r>
        <w:rPr>
          <w:rFonts w:hint="eastAsia" w:ascii="宋体" w:hAnsi="宋体"/>
          <w:szCs w:val="21"/>
          <w:u w:val="single"/>
        </w:rPr>
        <w:t>2026</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宋体"/>
          <w:kern w:val="0"/>
          <w:szCs w:val="21"/>
        </w:rPr>
        <w:sectPr>
          <w:headerReference r:id="rId5" w:type="default"/>
          <w:footerReference r:id="rId6" w:type="default"/>
          <w:pgSz w:w="11907" w:h="16840"/>
          <w:pgMar w:top="1474" w:right="1417" w:bottom="1474" w:left="1417" w:header="57" w:footer="851" w:gutter="0"/>
          <w:cols w:space="720" w:num="1"/>
          <w:docGrid w:linePitch="286" w:charSpace="0"/>
        </w:sectPr>
      </w:pPr>
    </w:p>
    <w:p>
      <w:pPr>
        <w:keepNext w:val="0"/>
        <w:keepLines w:val="0"/>
        <w:pageBreakBefore w:val="0"/>
        <w:kinsoku/>
        <w:wordWrap/>
        <w:overflowPunct/>
        <w:topLinePunct w:val="0"/>
        <w:autoSpaceDE/>
        <w:autoSpaceDN/>
        <w:bidi w:val="0"/>
        <w:adjustRightInd/>
        <w:snapToGrid/>
        <w:spacing w:after="0" w:line="360" w:lineRule="auto"/>
        <w:jc w:val="center"/>
        <w:rPr>
          <w:rFonts w:ascii="宋体" w:hAnsi="宋体"/>
          <w:b/>
          <w:sz w:val="24"/>
        </w:rPr>
      </w:pPr>
      <w:r>
        <w:rPr>
          <w:rFonts w:hint="eastAsia" w:ascii="宋体" w:hAnsi="宋体"/>
          <w:b/>
          <w:sz w:val="28"/>
          <w:szCs w:val="28"/>
        </w:rPr>
        <w:t>拱墅区2026年病媒生物监测服务项目合同</w:t>
      </w:r>
    </w:p>
    <w:p>
      <w:pPr>
        <w:pStyle w:val="44"/>
        <w:keepNext w:val="0"/>
        <w:keepLines w:val="0"/>
        <w:pageBreakBefore w:val="0"/>
        <w:kinsoku/>
        <w:wordWrap/>
        <w:overflowPunct/>
        <w:topLinePunct w:val="0"/>
        <w:autoSpaceDE/>
        <w:autoSpaceDN/>
        <w:bidi w:val="0"/>
        <w:snapToGrid/>
        <w:spacing w:after="0" w:line="360" w:lineRule="auto"/>
        <w:ind w:left="-134" w:leftChars="-64" w:firstLine="482" w:firstLineChars="200"/>
        <w:rPr>
          <w:rFonts w:ascii="宋体" w:hAnsi="宋体" w:cs="仿宋_GB2312"/>
          <w:b/>
          <w:sz w:val="24"/>
          <w:szCs w:val="24"/>
          <w:lang w:eastAsia="zh-CN"/>
        </w:rPr>
      </w:pPr>
      <w:r>
        <w:rPr>
          <w:rFonts w:hint="eastAsia" w:ascii="宋体" w:hAnsi="宋体" w:cs="仿宋_GB2312"/>
          <w:b/>
          <w:sz w:val="24"/>
          <w:szCs w:val="24"/>
          <w:lang w:eastAsia="zh-CN"/>
        </w:rPr>
        <w:t xml:space="preserve">甲方（需方）：杭州市拱墅区疾病预防控制中心（杭州市拱墅区卫生监督所）  </w:t>
      </w:r>
    </w:p>
    <w:p>
      <w:pPr>
        <w:pStyle w:val="44"/>
        <w:keepNext w:val="0"/>
        <w:keepLines w:val="0"/>
        <w:pageBreakBefore w:val="0"/>
        <w:kinsoku/>
        <w:wordWrap/>
        <w:overflowPunct/>
        <w:topLinePunct w:val="0"/>
        <w:autoSpaceDE/>
        <w:autoSpaceDN/>
        <w:bidi w:val="0"/>
        <w:snapToGrid/>
        <w:spacing w:after="0" w:line="360" w:lineRule="auto"/>
        <w:ind w:left="-134" w:leftChars="-64" w:firstLine="482" w:firstLineChars="200"/>
        <w:rPr>
          <w:rFonts w:ascii="宋体" w:hAnsi="宋体" w:cs="仿宋_GB2312"/>
          <w:b/>
          <w:sz w:val="24"/>
          <w:szCs w:val="24"/>
          <w:lang w:eastAsia="zh-CN"/>
        </w:rPr>
      </w:pPr>
      <w:r>
        <w:rPr>
          <w:rFonts w:hint="eastAsia" w:ascii="宋体" w:hAnsi="宋体" w:cs="仿宋_GB2312"/>
          <w:b/>
          <w:sz w:val="24"/>
          <w:szCs w:val="24"/>
          <w:lang w:eastAsia="zh-CN"/>
        </w:rPr>
        <w:t>乙方（供方）：</w:t>
      </w:r>
    </w:p>
    <w:p>
      <w:pPr>
        <w:pStyle w:val="44"/>
        <w:keepNext w:val="0"/>
        <w:keepLines w:val="0"/>
        <w:pageBreakBefore w:val="0"/>
        <w:kinsoku/>
        <w:wordWrap/>
        <w:overflowPunct/>
        <w:topLinePunct w:val="0"/>
        <w:autoSpaceDE/>
        <w:autoSpaceDN/>
        <w:bidi w:val="0"/>
        <w:snapToGrid/>
        <w:spacing w:after="0" w:line="360" w:lineRule="auto"/>
        <w:ind w:left="-134" w:leftChars="-64" w:firstLine="480" w:firstLineChars="200"/>
        <w:rPr>
          <w:rFonts w:ascii="宋体" w:hAnsi="宋体" w:cs="仿宋_GB2312"/>
          <w:sz w:val="24"/>
          <w:szCs w:val="24"/>
          <w:lang w:eastAsia="zh-CN"/>
        </w:rPr>
      </w:pPr>
      <w:r>
        <w:rPr>
          <w:rFonts w:hint="eastAsia" w:ascii="宋体" w:hAnsi="宋体" w:cs="仿宋_GB2312"/>
          <w:sz w:val="24"/>
          <w:szCs w:val="24"/>
          <w:lang w:eastAsia="zh-CN"/>
        </w:rPr>
        <w:t>甲、乙双方根据</w:t>
      </w:r>
      <w:r>
        <w:rPr>
          <w:rFonts w:hint="eastAsia" w:ascii="宋体" w:hAnsi="宋体" w:cs="仿宋_GB2312"/>
          <w:bCs/>
          <w:sz w:val="24"/>
          <w:szCs w:val="24"/>
          <w:lang w:eastAsia="zh-CN"/>
        </w:rPr>
        <w:t>浙江蟠龙工程审计咨询有限公司</w:t>
      </w:r>
      <w:r>
        <w:rPr>
          <w:rFonts w:hint="eastAsia" w:ascii="宋体" w:hAnsi="宋体" w:cs="仿宋_GB2312"/>
          <w:sz w:val="24"/>
          <w:szCs w:val="24"/>
          <w:lang w:eastAsia="zh-CN"/>
        </w:rPr>
        <w:t>关于</w:t>
      </w:r>
      <w:r>
        <w:rPr>
          <w:rFonts w:hint="eastAsia" w:ascii="宋体" w:hAnsi="宋体" w:cs="宋体"/>
          <w:sz w:val="24"/>
          <w:szCs w:val="24"/>
          <w:lang w:eastAsia="zh-CN"/>
        </w:rPr>
        <w:t>拱墅区2026年病媒生物监测服务项目</w:t>
      </w:r>
      <w:r>
        <w:rPr>
          <w:rFonts w:hint="eastAsia" w:ascii="宋体" w:hAnsi="宋体" w:cs="仿宋_GB2312"/>
          <w:bCs/>
          <w:sz w:val="24"/>
          <w:szCs w:val="24"/>
          <w:lang w:eastAsia="zh-CN"/>
        </w:rPr>
        <w:t>招标</w:t>
      </w:r>
      <w:r>
        <w:rPr>
          <w:rFonts w:hint="eastAsia" w:ascii="宋体" w:hAnsi="宋体" w:cs="仿宋_GB2312"/>
          <w:sz w:val="24"/>
          <w:szCs w:val="24"/>
          <w:lang w:eastAsia="zh-CN"/>
        </w:rPr>
        <w:t>的结果，签署本合同。</w:t>
      </w:r>
    </w:p>
    <w:p>
      <w:pPr>
        <w:keepNext w:val="0"/>
        <w:keepLines w:val="0"/>
        <w:pageBreakBefore w:val="0"/>
        <w:kinsoku/>
        <w:wordWrap/>
        <w:overflowPunct/>
        <w:topLinePunct w:val="0"/>
        <w:autoSpaceDE/>
        <w:autoSpaceDN/>
        <w:bidi w:val="0"/>
        <w:snapToGrid/>
        <w:spacing w:after="0" w:line="360" w:lineRule="auto"/>
        <w:rPr>
          <w:rFonts w:ascii="宋体" w:hAnsi="宋体" w:cs="仿宋_GB2312"/>
          <w:b/>
          <w:sz w:val="24"/>
        </w:rPr>
      </w:pPr>
      <w:r>
        <w:rPr>
          <w:rFonts w:hint="eastAsia" w:ascii="宋体" w:hAnsi="宋体" w:cs="仿宋_GB2312"/>
          <w:b/>
          <w:sz w:val="24"/>
        </w:rPr>
        <w:t>1.项目名称：杭州市拱墅区2026年病媒生物监测服务项目</w:t>
      </w:r>
    </w:p>
    <w:p>
      <w:pPr>
        <w:keepNext w:val="0"/>
        <w:keepLines w:val="0"/>
        <w:pageBreakBefore w:val="0"/>
        <w:kinsoku/>
        <w:wordWrap/>
        <w:overflowPunct/>
        <w:topLinePunct w:val="0"/>
        <w:autoSpaceDE/>
        <w:autoSpaceDN/>
        <w:bidi w:val="0"/>
        <w:snapToGrid/>
        <w:spacing w:after="0" w:line="360" w:lineRule="auto"/>
        <w:rPr>
          <w:rFonts w:ascii="宋体" w:hAnsi="宋体"/>
          <w:sz w:val="24"/>
        </w:rPr>
      </w:pPr>
      <w:r>
        <w:rPr>
          <w:rFonts w:hint="eastAsia" w:ascii="宋体" w:hAnsi="宋体"/>
          <w:b/>
          <w:sz w:val="24"/>
        </w:rPr>
        <w:t>2.乙方</w:t>
      </w:r>
      <w:r>
        <w:rPr>
          <w:rFonts w:ascii="宋体" w:hAnsi="宋体"/>
          <w:b/>
          <w:sz w:val="24"/>
        </w:rPr>
        <w:t>服务内容：</w:t>
      </w:r>
    </w:p>
    <w:p>
      <w:pPr>
        <w:pStyle w:val="8"/>
        <w:keepNext w:val="0"/>
        <w:keepLines w:val="0"/>
        <w:pageBreakBefore w:val="0"/>
        <w:kinsoku/>
        <w:wordWrap/>
        <w:overflowPunct/>
        <w:topLinePunct w:val="0"/>
        <w:autoSpaceDE/>
        <w:autoSpaceDN/>
        <w:bidi w:val="0"/>
        <w:snapToGrid/>
        <w:spacing w:after="0"/>
        <w:ind w:firstLine="480" w:firstLineChars="200"/>
        <w:rPr>
          <w:rFonts w:ascii="宋体" w:hAnsi="宋体" w:eastAsia="宋体" w:cs="仿宋_GB2312"/>
          <w:sz w:val="24"/>
          <w:szCs w:val="24"/>
        </w:rPr>
      </w:pPr>
      <w:r>
        <w:rPr>
          <w:rFonts w:hint="eastAsia" w:ascii="宋体" w:hAnsi="宋体" w:eastAsia="宋体" w:cs="仿宋_GB2312"/>
          <w:sz w:val="24"/>
          <w:szCs w:val="24"/>
        </w:rPr>
        <w:t>按照</w:t>
      </w:r>
      <w:r>
        <w:rPr>
          <w:rFonts w:hint="eastAsia" w:ascii="宋体" w:hAnsi="宋体" w:eastAsia="宋体" w:cs="宋体"/>
          <w:sz w:val="24"/>
          <w:szCs w:val="24"/>
        </w:rPr>
        <w:t>《全国病媒生物监测方案》、《</w:t>
      </w:r>
      <w:r>
        <w:rPr>
          <w:rFonts w:hint="eastAsia" w:ascii="宋体" w:hAnsi="宋体" w:eastAsia="宋体" w:cs="仿宋_GB2312"/>
          <w:sz w:val="24"/>
          <w:szCs w:val="24"/>
        </w:rPr>
        <w:t>浙江省病媒生物监测方案》、《杭州市拱墅区病媒生物监测方案》要求，为掌握辖区主要病媒生物种类、密度和季节消长规律，分析病媒生物的长期变化趋势。20</w:t>
      </w:r>
      <w:r>
        <w:rPr>
          <w:rFonts w:hint="eastAsia" w:ascii="宋体" w:hAnsi="宋体" w:cs="仿宋_GB2312"/>
          <w:sz w:val="24"/>
          <w:szCs w:val="24"/>
        </w:rPr>
        <w:t>26</w:t>
      </w:r>
      <w:r>
        <w:rPr>
          <w:rFonts w:hint="eastAsia" w:ascii="宋体" w:hAnsi="宋体" w:eastAsia="宋体" w:cs="仿宋_GB2312"/>
          <w:sz w:val="24"/>
          <w:szCs w:val="24"/>
        </w:rPr>
        <w:t>年度继续开展病媒生物监测工作，甲方委托乙方进行相关生物的</w:t>
      </w:r>
      <w:r>
        <w:rPr>
          <w:rFonts w:ascii="宋体" w:hAnsi="宋体" w:eastAsia="宋体" w:cs="仿宋_GB2312"/>
          <w:sz w:val="24"/>
          <w:szCs w:val="24"/>
        </w:rPr>
        <w:t>监</w:t>
      </w:r>
      <w:r>
        <w:rPr>
          <w:rFonts w:hint="eastAsia" w:ascii="宋体" w:hAnsi="宋体" w:eastAsia="宋体" w:cs="仿宋_GB2312"/>
          <w:sz w:val="24"/>
          <w:szCs w:val="24"/>
        </w:rPr>
        <w:t>测、捕捉和标本制作，具体内容如下表。</w:t>
      </w:r>
    </w:p>
    <w:tbl>
      <w:tblPr>
        <w:tblStyle w:val="21"/>
        <w:tblW w:w="9163" w:type="dxa"/>
        <w:tblInd w:w="0" w:type="dxa"/>
        <w:tblLayout w:type="fixed"/>
        <w:tblCellMar>
          <w:top w:w="0" w:type="dxa"/>
          <w:left w:w="0" w:type="dxa"/>
          <w:bottom w:w="0" w:type="dxa"/>
          <w:right w:w="0" w:type="dxa"/>
        </w:tblCellMar>
      </w:tblPr>
      <w:tblGrid>
        <w:gridCol w:w="628"/>
        <w:gridCol w:w="2160"/>
        <w:gridCol w:w="2380"/>
        <w:gridCol w:w="3995"/>
      </w:tblGrid>
      <w:tr>
        <w:tblPrEx>
          <w:tblCellMar>
            <w:top w:w="0" w:type="dxa"/>
            <w:left w:w="0" w:type="dxa"/>
            <w:bottom w:w="0" w:type="dxa"/>
            <w:right w:w="0" w:type="dxa"/>
          </w:tblCellMar>
        </w:tblPrEx>
        <w:trPr>
          <w:trHeight w:val="520" w:hRule="atLeast"/>
        </w:trPr>
        <w:tc>
          <w:tcPr>
            <w:tcW w:w="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left"/>
              <w:textAlignment w:val="center"/>
              <w:rPr>
                <w:rFonts w:ascii="宋体" w:hAnsi="宋体" w:cs="宋体"/>
                <w:b/>
                <w:bCs/>
                <w:sz w:val="24"/>
              </w:rPr>
            </w:pPr>
            <w:r>
              <w:rPr>
                <w:rFonts w:hint="eastAsia" w:ascii="宋体" w:hAnsi="宋体" w:cs="宋体"/>
                <w:b/>
                <w:bCs/>
                <w:snapToGrid w:val="0"/>
                <w:kern w:val="0"/>
                <w:sz w:val="24"/>
                <w:lang w:bidi="ar"/>
              </w:rPr>
              <w:t>序号</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left"/>
              <w:textAlignment w:val="center"/>
              <w:rPr>
                <w:rFonts w:ascii="宋体" w:hAnsi="宋体" w:cs="宋体"/>
                <w:b/>
                <w:bCs/>
                <w:sz w:val="24"/>
              </w:rPr>
            </w:pPr>
            <w:r>
              <w:rPr>
                <w:rFonts w:hint="eastAsia" w:ascii="宋体" w:hAnsi="宋体" w:cs="宋体"/>
                <w:b/>
                <w:bCs/>
                <w:snapToGrid w:val="0"/>
                <w:kern w:val="0"/>
                <w:sz w:val="24"/>
                <w:lang w:bidi="ar"/>
              </w:rPr>
              <w:t>类别</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left"/>
              <w:textAlignment w:val="center"/>
              <w:rPr>
                <w:rFonts w:ascii="宋体" w:hAnsi="宋体" w:cs="宋体"/>
                <w:b/>
                <w:bCs/>
                <w:sz w:val="24"/>
              </w:rPr>
            </w:pPr>
            <w:r>
              <w:rPr>
                <w:rFonts w:hint="eastAsia" w:ascii="宋体" w:hAnsi="宋体" w:cs="宋体"/>
                <w:b/>
                <w:bCs/>
                <w:snapToGrid w:val="0"/>
                <w:kern w:val="0"/>
                <w:sz w:val="24"/>
                <w:lang w:bidi="ar"/>
              </w:rPr>
              <w:t>频次</w:t>
            </w:r>
          </w:p>
        </w:tc>
        <w:tc>
          <w:tcPr>
            <w:tcW w:w="3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left"/>
              <w:textAlignment w:val="center"/>
              <w:rPr>
                <w:rFonts w:ascii="宋体" w:hAnsi="宋体" w:cs="宋体"/>
                <w:b/>
                <w:bCs/>
                <w:sz w:val="24"/>
              </w:rPr>
            </w:pPr>
            <w:r>
              <w:rPr>
                <w:rFonts w:hint="eastAsia" w:ascii="宋体" w:hAnsi="宋体" w:cs="宋体"/>
                <w:b/>
                <w:bCs/>
                <w:snapToGrid w:val="0"/>
                <w:kern w:val="0"/>
                <w:sz w:val="24"/>
                <w:lang w:bidi="ar"/>
              </w:rPr>
              <w:t>内容</w:t>
            </w:r>
          </w:p>
        </w:tc>
      </w:tr>
      <w:tr>
        <w:tblPrEx>
          <w:tblCellMar>
            <w:top w:w="0" w:type="dxa"/>
            <w:left w:w="0" w:type="dxa"/>
            <w:bottom w:w="0" w:type="dxa"/>
            <w:right w:w="0" w:type="dxa"/>
          </w:tblCellMar>
        </w:tblPrEx>
        <w:trPr>
          <w:trHeight w:val="520" w:hRule="atLeast"/>
        </w:trPr>
        <w:tc>
          <w:tcPr>
            <w:tcW w:w="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z w:val="24"/>
              </w:rPr>
            </w:pPr>
            <w:r>
              <w:rPr>
                <w:rFonts w:hint="eastAsia" w:ascii="宋体" w:hAnsi="宋体" w:cs="宋体"/>
                <w:snapToGrid w:val="0"/>
                <w:kern w:val="0"/>
                <w:sz w:val="24"/>
                <w:lang w:bidi="ar"/>
              </w:rPr>
              <w:t>1</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鼠</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单月监测</w:t>
            </w:r>
          </w:p>
        </w:tc>
        <w:tc>
          <w:tcPr>
            <w:tcW w:w="3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放收600有效鼠夹+粘鼠板</w:t>
            </w:r>
          </w:p>
        </w:tc>
      </w:tr>
      <w:tr>
        <w:tblPrEx>
          <w:tblCellMar>
            <w:top w:w="0" w:type="dxa"/>
            <w:left w:w="0" w:type="dxa"/>
            <w:bottom w:w="0" w:type="dxa"/>
            <w:right w:w="0" w:type="dxa"/>
          </w:tblCellMar>
        </w:tblPrEx>
        <w:trPr>
          <w:trHeight w:val="520" w:hRule="atLeast"/>
        </w:trPr>
        <w:tc>
          <w:tcPr>
            <w:tcW w:w="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z w:val="24"/>
              </w:rPr>
            </w:pPr>
            <w:r>
              <w:rPr>
                <w:rFonts w:hint="eastAsia" w:ascii="宋体" w:hAnsi="宋体" w:cs="宋体"/>
                <w:snapToGrid w:val="0"/>
                <w:kern w:val="0"/>
                <w:sz w:val="24"/>
                <w:lang w:bidi="ar"/>
              </w:rPr>
              <w:t>2</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蚊（诱蚊灯法）</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4-11月，每月2次</w:t>
            </w:r>
          </w:p>
        </w:tc>
        <w:tc>
          <w:tcPr>
            <w:tcW w:w="3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放收10盏灭蚊灯</w:t>
            </w:r>
          </w:p>
        </w:tc>
      </w:tr>
      <w:tr>
        <w:tblPrEx>
          <w:tblCellMar>
            <w:top w:w="0" w:type="dxa"/>
            <w:left w:w="0" w:type="dxa"/>
            <w:bottom w:w="0" w:type="dxa"/>
            <w:right w:w="0" w:type="dxa"/>
          </w:tblCellMar>
        </w:tblPrEx>
        <w:trPr>
          <w:trHeight w:val="520" w:hRule="atLeast"/>
        </w:trPr>
        <w:tc>
          <w:tcPr>
            <w:tcW w:w="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z w:val="24"/>
              </w:rPr>
            </w:pPr>
            <w:r>
              <w:rPr>
                <w:rFonts w:hint="eastAsia" w:ascii="宋体" w:hAnsi="宋体" w:cs="宋体"/>
                <w:snapToGrid w:val="0"/>
                <w:kern w:val="0"/>
                <w:sz w:val="24"/>
                <w:lang w:bidi="ar"/>
              </w:rPr>
              <w:t>3</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蚊（勺捕法）</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4-11月，每月1次</w:t>
            </w:r>
          </w:p>
        </w:tc>
        <w:tc>
          <w:tcPr>
            <w:tcW w:w="3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10个水体每10米1勺，计200勺</w:t>
            </w:r>
          </w:p>
        </w:tc>
      </w:tr>
      <w:tr>
        <w:tblPrEx>
          <w:tblCellMar>
            <w:top w:w="0" w:type="dxa"/>
            <w:left w:w="0" w:type="dxa"/>
            <w:bottom w:w="0" w:type="dxa"/>
            <w:right w:w="0" w:type="dxa"/>
          </w:tblCellMar>
        </w:tblPrEx>
        <w:trPr>
          <w:trHeight w:val="520" w:hRule="atLeast"/>
        </w:trPr>
        <w:tc>
          <w:tcPr>
            <w:tcW w:w="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z w:val="24"/>
              </w:rPr>
            </w:pPr>
            <w:r>
              <w:rPr>
                <w:rFonts w:hint="eastAsia" w:ascii="宋体" w:hAnsi="宋体" w:cs="宋体"/>
                <w:snapToGrid w:val="0"/>
                <w:kern w:val="0"/>
                <w:sz w:val="24"/>
                <w:lang w:bidi="ar"/>
              </w:rPr>
              <w:t>4</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蝇（笼诱法）</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4-11月，每月1次</w:t>
            </w:r>
          </w:p>
        </w:tc>
        <w:tc>
          <w:tcPr>
            <w:tcW w:w="3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放收8只诱蝇笼</w:t>
            </w:r>
          </w:p>
        </w:tc>
      </w:tr>
      <w:tr>
        <w:tblPrEx>
          <w:tblCellMar>
            <w:top w:w="0" w:type="dxa"/>
            <w:left w:w="0" w:type="dxa"/>
            <w:bottom w:w="0" w:type="dxa"/>
            <w:right w:w="0" w:type="dxa"/>
          </w:tblCellMar>
        </w:tblPrEx>
        <w:trPr>
          <w:trHeight w:val="520" w:hRule="atLeast"/>
        </w:trPr>
        <w:tc>
          <w:tcPr>
            <w:tcW w:w="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z w:val="24"/>
              </w:rPr>
            </w:pPr>
            <w:r>
              <w:rPr>
                <w:rFonts w:hint="eastAsia" w:ascii="宋体" w:hAnsi="宋体" w:cs="宋体"/>
                <w:snapToGrid w:val="0"/>
                <w:kern w:val="0"/>
                <w:sz w:val="24"/>
                <w:lang w:bidi="ar"/>
              </w:rPr>
              <w:t>5</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蟑螂（目测法）</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5、9月，每月1次</w:t>
            </w:r>
          </w:p>
        </w:tc>
        <w:tc>
          <w:tcPr>
            <w:tcW w:w="3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12处</w:t>
            </w:r>
          </w:p>
        </w:tc>
      </w:tr>
      <w:tr>
        <w:tblPrEx>
          <w:tblCellMar>
            <w:top w:w="0" w:type="dxa"/>
            <w:left w:w="0" w:type="dxa"/>
            <w:bottom w:w="0" w:type="dxa"/>
            <w:right w:w="0" w:type="dxa"/>
          </w:tblCellMar>
        </w:tblPrEx>
        <w:trPr>
          <w:trHeight w:val="520" w:hRule="atLeast"/>
        </w:trPr>
        <w:tc>
          <w:tcPr>
            <w:tcW w:w="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z w:val="24"/>
              </w:rPr>
            </w:pPr>
            <w:r>
              <w:rPr>
                <w:rFonts w:hint="eastAsia" w:ascii="宋体" w:hAnsi="宋体" w:cs="宋体"/>
                <w:snapToGrid w:val="0"/>
                <w:kern w:val="0"/>
                <w:sz w:val="24"/>
                <w:lang w:bidi="ar"/>
              </w:rPr>
              <w:t>6</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蟑螂（粘捕法）</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单月监测</w:t>
            </w:r>
          </w:p>
        </w:tc>
        <w:tc>
          <w:tcPr>
            <w:tcW w:w="3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放收120张有效粘蟑板</w:t>
            </w:r>
          </w:p>
        </w:tc>
      </w:tr>
      <w:tr>
        <w:tblPrEx>
          <w:tblCellMar>
            <w:top w:w="0" w:type="dxa"/>
            <w:left w:w="0" w:type="dxa"/>
            <w:bottom w:w="0" w:type="dxa"/>
            <w:right w:w="0" w:type="dxa"/>
          </w:tblCellMar>
        </w:tblPrEx>
        <w:trPr>
          <w:trHeight w:val="520" w:hRule="atLeast"/>
        </w:trPr>
        <w:tc>
          <w:tcPr>
            <w:tcW w:w="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z w:val="24"/>
              </w:rPr>
            </w:pPr>
            <w:r>
              <w:rPr>
                <w:rFonts w:hint="eastAsia" w:ascii="宋体" w:hAnsi="宋体" w:cs="宋体"/>
                <w:snapToGrid w:val="0"/>
                <w:kern w:val="0"/>
                <w:sz w:val="24"/>
                <w:lang w:bidi="ar"/>
              </w:rPr>
              <w:t>7</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蜱虫（布旗法）</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4、5、7、9、10月</w:t>
            </w:r>
          </w:p>
        </w:tc>
        <w:tc>
          <w:tcPr>
            <w:tcW w:w="3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每次1500米</w:t>
            </w:r>
          </w:p>
        </w:tc>
      </w:tr>
      <w:tr>
        <w:tblPrEx>
          <w:tblCellMar>
            <w:top w:w="0" w:type="dxa"/>
            <w:left w:w="0" w:type="dxa"/>
            <w:bottom w:w="0" w:type="dxa"/>
            <w:right w:w="0" w:type="dxa"/>
          </w:tblCellMar>
        </w:tblPrEx>
        <w:trPr>
          <w:trHeight w:val="520" w:hRule="atLeast"/>
        </w:trPr>
        <w:tc>
          <w:tcPr>
            <w:tcW w:w="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z w:val="24"/>
              </w:rPr>
            </w:pPr>
            <w:r>
              <w:rPr>
                <w:rFonts w:hint="eastAsia" w:ascii="宋体" w:hAnsi="宋体" w:cs="宋体"/>
                <w:snapToGrid w:val="0"/>
                <w:kern w:val="0"/>
                <w:sz w:val="24"/>
                <w:lang w:bidi="ar"/>
              </w:rPr>
              <w:t>8</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蜱虫（体表捡蜱法）</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4、5、7、9、10月</w:t>
            </w:r>
          </w:p>
        </w:tc>
        <w:tc>
          <w:tcPr>
            <w:tcW w:w="3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30只动物</w:t>
            </w:r>
          </w:p>
        </w:tc>
      </w:tr>
      <w:tr>
        <w:tblPrEx>
          <w:tblCellMar>
            <w:top w:w="0" w:type="dxa"/>
            <w:left w:w="0" w:type="dxa"/>
            <w:bottom w:w="0" w:type="dxa"/>
            <w:right w:w="0" w:type="dxa"/>
          </w:tblCellMar>
        </w:tblPrEx>
        <w:trPr>
          <w:trHeight w:val="520" w:hRule="atLeast"/>
        </w:trPr>
        <w:tc>
          <w:tcPr>
            <w:tcW w:w="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z w:val="24"/>
              </w:rPr>
            </w:pPr>
            <w:r>
              <w:rPr>
                <w:rFonts w:hint="eastAsia" w:ascii="宋体" w:hAnsi="宋体" w:cs="宋体"/>
                <w:snapToGrid w:val="0"/>
                <w:kern w:val="0"/>
                <w:sz w:val="24"/>
                <w:lang w:bidi="ar"/>
              </w:rPr>
              <w:t>9</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臭虫（粘捕法）</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夏秋季监测</w:t>
            </w:r>
          </w:p>
        </w:tc>
        <w:tc>
          <w:tcPr>
            <w:tcW w:w="3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20家单位</w:t>
            </w:r>
          </w:p>
        </w:tc>
      </w:tr>
      <w:tr>
        <w:tblPrEx>
          <w:tblCellMar>
            <w:top w:w="0" w:type="dxa"/>
            <w:left w:w="0" w:type="dxa"/>
            <w:bottom w:w="0" w:type="dxa"/>
            <w:right w:w="0" w:type="dxa"/>
          </w:tblCellMar>
        </w:tblPrEx>
        <w:trPr>
          <w:trHeight w:val="520" w:hRule="atLeast"/>
        </w:trPr>
        <w:tc>
          <w:tcPr>
            <w:tcW w:w="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z w:val="24"/>
              </w:rPr>
            </w:pPr>
            <w:r>
              <w:rPr>
                <w:rFonts w:hint="eastAsia" w:ascii="宋体" w:hAnsi="宋体" w:cs="宋体"/>
                <w:snapToGrid w:val="0"/>
                <w:kern w:val="0"/>
                <w:sz w:val="24"/>
                <w:lang w:bidi="ar"/>
              </w:rPr>
              <w:t>10</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臭虫（重点监测）</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夏秋季监测</w:t>
            </w:r>
          </w:p>
        </w:tc>
        <w:tc>
          <w:tcPr>
            <w:tcW w:w="3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电话调查现场监测为主</w:t>
            </w:r>
          </w:p>
        </w:tc>
      </w:tr>
      <w:tr>
        <w:tblPrEx>
          <w:tblCellMar>
            <w:top w:w="0" w:type="dxa"/>
            <w:left w:w="0" w:type="dxa"/>
            <w:bottom w:w="0" w:type="dxa"/>
            <w:right w:w="0" w:type="dxa"/>
          </w:tblCellMar>
        </w:tblPrEx>
        <w:trPr>
          <w:trHeight w:val="520" w:hRule="atLeast"/>
        </w:trPr>
        <w:tc>
          <w:tcPr>
            <w:tcW w:w="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宋体" w:hAnsi="宋体" w:cs="宋体"/>
                <w:snapToGrid w:val="0"/>
                <w:kern w:val="0"/>
                <w:sz w:val="24"/>
                <w:lang w:bidi="ar"/>
              </w:rPr>
              <w:t>11</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蚊（双层叠帐法）</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4-11月，每月2次</w:t>
            </w:r>
          </w:p>
        </w:tc>
        <w:tc>
          <w:tcPr>
            <w:tcW w:w="3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279" w:lineRule="auto"/>
              <w:jc w:val="center"/>
              <w:textAlignment w:val="center"/>
              <w:rPr>
                <w:rFonts w:ascii="宋体" w:hAnsi="宋体" w:cs="宋体"/>
                <w:snapToGrid w:val="0"/>
                <w:kern w:val="0"/>
                <w:sz w:val="24"/>
                <w:lang w:bidi="ar"/>
              </w:rPr>
            </w:pPr>
            <w:r>
              <w:rPr>
                <w:rFonts w:hint="eastAsia" w:ascii="仿宋" w:hAnsi="仿宋" w:eastAsia="仿宋" w:cs="仿宋"/>
                <w:kern w:val="0"/>
                <w:szCs w:val="21"/>
                <w:lang w:bidi="ar"/>
              </w:rPr>
              <w:t>全年覆盖18个街道每月共计16个点</w:t>
            </w:r>
          </w:p>
        </w:tc>
      </w:tr>
    </w:tbl>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上送生物样本及标本制作：</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1.捕获鼠类、帐诱捕获到的成蚊、诱蚊灯捕获的所有蚊虫、蜱、臭虫（每次捕获的样本放一管，备注好，-20℃保存），单月上送至杭州市疾病预防控制中心（杭州市卫生监督所）。</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2.5月底前上送存活的德国小蠊20只以上。</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3.5月底前上送白纹伊蚊、淡色库蚊成蚊各200只，共计400只。</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4.标本采集、上送、复核（每年至少上送三类五种针插标本不少于20只）。</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5.最终以省市疾控下发的方案为准。同时根据病例疫情，监测的重要性调整方案，内容有变的提前通知供应商。</w:t>
      </w:r>
    </w:p>
    <w:p>
      <w:pPr>
        <w:keepNext w:val="0"/>
        <w:keepLines w:val="0"/>
        <w:pageBreakBefore w:val="0"/>
        <w:kinsoku/>
        <w:wordWrap/>
        <w:overflowPunct/>
        <w:topLinePunct w:val="0"/>
        <w:autoSpaceDE/>
        <w:autoSpaceDN/>
        <w:bidi w:val="0"/>
        <w:spacing w:after="0" w:line="360" w:lineRule="auto"/>
        <w:rPr>
          <w:rFonts w:ascii="宋体" w:hAnsi="宋体"/>
          <w:b/>
          <w:sz w:val="24"/>
        </w:rPr>
      </w:pPr>
      <w:r>
        <w:rPr>
          <w:rFonts w:hint="eastAsia" w:ascii="宋体" w:hAnsi="宋体"/>
          <w:b/>
          <w:sz w:val="24"/>
        </w:rPr>
        <w:t>3.</w:t>
      </w:r>
      <w:r>
        <w:rPr>
          <w:rFonts w:ascii="宋体" w:hAnsi="宋体"/>
          <w:b/>
          <w:sz w:val="24"/>
        </w:rPr>
        <w:t>服务期限：合同期限为1年</w:t>
      </w:r>
      <w:r>
        <w:rPr>
          <w:rFonts w:ascii="宋体" w:hAnsi="宋体"/>
          <w:sz w:val="24"/>
        </w:rPr>
        <w:t>，自 20</w:t>
      </w:r>
      <w:r>
        <w:rPr>
          <w:rFonts w:hint="eastAsia" w:ascii="宋体" w:hAnsi="宋体"/>
          <w:sz w:val="24"/>
        </w:rPr>
        <w:t>26</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日起至202</w:t>
      </w:r>
      <w:r>
        <w:rPr>
          <w:rFonts w:hint="eastAsia" w:ascii="宋体" w:hAnsi="宋体"/>
          <w:sz w:val="24"/>
        </w:rPr>
        <w:t>7</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日止。</w:t>
      </w:r>
    </w:p>
    <w:p>
      <w:pPr>
        <w:keepNext w:val="0"/>
        <w:keepLines w:val="0"/>
        <w:pageBreakBefore w:val="0"/>
        <w:tabs>
          <w:tab w:val="left" w:pos="567"/>
        </w:tabs>
        <w:kinsoku/>
        <w:wordWrap/>
        <w:overflowPunct/>
        <w:topLinePunct w:val="0"/>
        <w:autoSpaceDE/>
        <w:autoSpaceDN/>
        <w:bidi w:val="0"/>
        <w:spacing w:after="0" w:line="360" w:lineRule="auto"/>
        <w:rPr>
          <w:rFonts w:ascii="宋体" w:hAnsi="宋体"/>
          <w:b/>
          <w:sz w:val="24"/>
        </w:rPr>
      </w:pPr>
      <w:r>
        <w:rPr>
          <w:rFonts w:hint="eastAsia" w:ascii="宋体" w:hAnsi="宋体"/>
          <w:b/>
          <w:sz w:val="24"/>
        </w:rPr>
        <w:t>4.</w:t>
      </w:r>
      <w:r>
        <w:rPr>
          <w:rFonts w:ascii="宋体" w:hAnsi="宋体"/>
          <w:b/>
          <w:sz w:val="24"/>
        </w:rPr>
        <w:t>变更</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 xml:space="preserve">4.1 </w:t>
      </w:r>
      <w:r>
        <w:rPr>
          <w:rFonts w:ascii="宋体" w:hAnsi="宋体"/>
          <w:sz w:val="24"/>
        </w:rPr>
        <w:t>政府采购合同履行中，甲方需追加与合同标的相同的货物或者服务的，在不改变合同其他条款的前提下，可以与乙方协商签订补充合同，但所有补充合同的采购金额不得超过原合同采购金额的百分之十。</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 xml:space="preserve">4.2 </w:t>
      </w:r>
      <w:r>
        <w:rPr>
          <w:rFonts w:ascii="宋体" w:hAnsi="宋体"/>
          <w:sz w:val="24"/>
        </w:rPr>
        <w:t>当变更只是采购量增减时，按投标报价明细单中的单价</w:t>
      </w:r>
      <w:r>
        <w:rPr>
          <w:rFonts w:hint="eastAsia" w:ascii="宋体" w:hAnsi="宋体"/>
          <w:sz w:val="24"/>
        </w:rPr>
        <w:t>按实结算</w:t>
      </w:r>
      <w:r>
        <w:rPr>
          <w:rFonts w:ascii="宋体" w:hAnsi="宋体"/>
          <w:sz w:val="24"/>
        </w:rPr>
        <w:t>。</w:t>
      </w:r>
    </w:p>
    <w:p>
      <w:pPr>
        <w:keepNext w:val="0"/>
        <w:keepLines w:val="0"/>
        <w:pageBreakBefore w:val="0"/>
        <w:tabs>
          <w:tab w:val="left" w:pos="567"/>
        </w:tabs>
        <w:kinsoku/>
        <w:wordWrap/>
        <w:overflowPunct/>
        <w:topLinePunct w:val="0"/>
        <w:autoSpaceDE/>
        <w:autoSpaceDN/>
        <w:bidi w:val="0"/>
        <w:spacing w:after="0" w:line="360" w:lineRule="auto"/>
        <w:rPr>
          <w:rFonts w:ascii="宋体" w:hAnsi="宋体"/>
          <w:b/>
          <w:sz w:val="24"/>
        </w:rPr>
      </w:pPr>
      <w:r>
        <w:rPr>
          <w:rFonts w:hint="eastAsia" w:ascii="宋体" w:hAnsi="宋体"/>
          <w:b/>
          <w:sz w:val="24"/>
        </w:rPr>
        <w:t>5.</w:t>
      </w:r>
      <w:r>
        <w:rPr>
          <w:rFonts w:ascii="宋体" w:hAnsi="宋体"/>
          <w:b/>
          <w:sz w:val="24"/>
        </w:rPr>
        <w:t>验收</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5.1 乙方服务期满后提供项目总结（成果）报告，</w:t>
      </w:r>
      <w:r>
        <w:rPr>
          <w:rFonts w:ascii="宋体" w:hAnsi="宋体"/>
          <w:sz w:val="24"/>
        </w:rPr>
        <w:t>由甲方负责进行验收考核，乙方协助。</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 xml:space="preserve">5.2 </w:t>
      </w:r>
      <w:r>
        <w:rPr>
          <w:rFonts w:ascii="宋体" w:hAnsi="宋体"/>
          <w:sz w:val="24"/>
        </w:rPr>
        <w:t>甲方在乙方提供相关服务的过程中，不定期对服务内容和质量进行考核。不达要求者，乙方承担一切损失和费用。</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hint="eastAsia" w:ascii="宋体" w:hAnsi="宋体"/>
          <w:sz w:val="24"/>
        </w:rPr>
      </w:pPr>
      <w:r>
        <w:rPr>
          <w:rFonts w:hint="eastAsia" w:ascii="宋体" w:hAnsi="宋体"/>
          <w:sz w:val="24"/>
          <w:lang w:val="en-US" w:eastAsia="zh-CN"/>
        </w:rPr>
        <w:t xml:space="preserve">5.3 </w:t>
      </w:r>
      <w:r>
        <w:rPr>
          <w:rFonts w:hint="eastAsia" w:ascii="宋体" w:hAnsi="宋体"/>
          <w:sz w:val="24"/>
        </w:rPr>
        <w:t>具备标准等以招投标文件为准。</w:t>
      </w:r>
    </w:p>
    <w:p>
      <w:pPr>
        <w:keepNext w:val="0"/>
        <w:keepLines w:val="0"/>
        <w:pageBreakBefore w:val="0"/>
        <w:tabs>
          <w:tab w:val="left" w:pos="567"/>
        </w:tabs>
        <w:kinsoku/>
        <w:wordWrap/>
        <w:overflowPunct/>
        <w:topLinePunct w:val="0"/>
        <w:autoSpaceDE/>
        <w:autoSpaceDN/>
        <w:bidi w:val="0"/>
        <w:spacing w:after="0" w:line="360" w:lineRule="auto"/>
        <w:rPr>
          <w:rFonts w:ascii="宋体" w:hAnsi="宋体"/>
          <w:b/>
          <w:sz w:val="24"/>
        </w:rPr>
      </w:pPr>
      <w:r>
        <w:rPr>
          <w:rFonts w:hint="eastAsia" w:ascii="宋体" w:hAnsi="宋体"/>
          <w:b/>
          <w:sz w:val="24"/>
        </w:rPr>
        <w:t xml:space="preserve">6. </w:t>
      </w:r>
      <w:r>
        <w:rPr>
          <w:rFonts w:ascii="宋体" w:hAnsi="宋体"/>
          <w:b/>
          <w:sz w:val="24"/>
        </w:rPr>
        <w:t>结算原则</w:t>
      </w:r>
    </w:p>
    <w:p>
      <w:pPr>
        <w:pStyle w:val="31"/>
        <w:keepNext w:val="0"/>
        <w:keepLines w:val="0"/>
        <w:pageBreakBefore w:val="0"/>
        <w:kinsoku/>
        <w:wordWrap/>
        <w:overflowPunct/>
        <w:topLinePunct w:val="0"/>
        <w:autoSpaceDE/>
        <w:autoSpaceDN/>
        <w:bidi w:val="0"/>
        <w:spacing w:before="0" w:after="0"/>
        <w:ind w:firstLine="240" w:firstLineChars="100"/>
        <w:rPr>
          <w:rFonts w:ascii="宋体" w:hAnsi="宋体" w:cs="仿宋_GB2312"/>
          <w:kern w:val="0"/>
          <w:szCs w:val="24"/>
          <w:lang w:val="zh-CN"/>
        </w:rPr>
      </w:pPr>
      <w:r>
        <w:rPr>
          <w:rFonts w:ascii="宋体" w:hAnsi="宋体" w:cs="仿宋_GB2312"/>
          <w:kern w:val="0"/>
          <w:szCs w:val="24"/>
          <w:lang w:val="zh-CN"/>
        </w:rPr>
        <w:t>采购文件及其补充文件、投标文件、询标纪要、中标通知书、</w:t>
      </w:r>
      <w:r>
        <w:rPr>
          <w:rFonts w:hint="eastAsia" w:ascii="宋体" w:hAnsi="宋体" w:cs="仿宋_GB2312"/>
          <w:kern w:val="0"/>
          <w:szCs w:val="24"/>
          <w:lang w:val="zh-CN"/>
        </w:rPr>
        <w:t>服务</w:t>
      </w:r>
      <w:r>
        <w:rPr>
          <w:rFonts w:ascii="宋体" w:hAnsi="宋体" w:cs="仿宋_GB2312"/>
          <w:kern w:val="0"/>
          <w:szCs w:val="24"/>
          <w:lang w:val="zh-CN"/>
        </w:rPr>
        <w:t>合同等作为结算依据。</w:t>
      </w:r>
    </w:p>
    <w:p>
      <w:pPr>
        <w:keepNext w:val="0"/>
        <w:keepLines w:val="0"/>
        <w:pageBreakBefore w:val="0"/>
        <w:tabs>
          <w:tab w:val="left" w:pos="567"/>
        </w:tabs>
        <w:kinsoku/>
        <w:wordWrap/>
        <w:overflowPunct/>
        <w:topLinePunct w:val="0"/>
        <w:autoSpaceDE/>
        <w:autoSpaceDN/>
        <w:bidi w:val="0"/>
        <w:spacing w:after="0" w:line="360" w:lineRule="auto"/>
        <w:rPr>
          <w:rFonts w:ascii="宋体" w:hAnsi="宋体"/>
          <w:b/>
          <w:sz w:val="24"/>
        </w:rPr>
      </w:pPr>
      <w:r>
        <w:rPr>
          <w:rFonts w:hint="eastAsia" w:ascii="宋体" w:hAnsi="宋体"/>
          <w:b/>
          <w:sz w:val="24"/>
        </w:rPr>
        <w:t>7.合同金额及付款方式</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7.1 本次项目合同总价为大写人民币</w:t>
      </w:r>
      <w:r>
        <w:rPr>
          <w:rFonts w:hint="eastAsia" w:ascii="宋体" w:hAnsi="宋体"/>
          <w:sz w:val="24"/>
          <w:u w:val="single"/>
        </w:rPr>
        <w:t xml:space="preserve">    </w:t>
      </w:r>
      <w:r>
        <w:rPr>
          <w:rFonts w:hint="eastAsia" w:ascii="宋体" w:hAnsi="宋体"/>
          <w:sz w:val="24"/>
        </w:rPr>
        <w:t>万元整（</w:t>
      </w:r>
      <w:r>
        <w:rPr>
          <w:rFonts w:ascii="Arial" w:hAnsi="Arial" w:cs="Arial"/>
          <w:sz w:val="24"/>
        </w:rPr>
        <w:t>¥</w:t>
      </w:r>
      <w:r>
        <w:rPr>
          <w:rFonts w:hint="eastAsia" w:ascii="宋体" w:hAnsi="宋体"/>
          <w:sz w:val="24"/>
        </w:rPr>
        <w:t>）。</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bCs/>
          <w:sz w:val="24"/>
        </w:rPr>
      </w:pPr>
      <w:r>
        <w:rPr>
          <w:rFonts w:hint="eastAsia" w:ascii="宋体" w:hAnsi="宋体"/>
          <w:sz w:val="24"/>
        </w:rPr>
        <w:t>7.2 付款方式：</w:t>
      </w:r>
      <w:r>
        <w:rPr>
          <w:rFonts w:hint="eastAsia" w:ascii="宋体" w:hAnsi="宋体" w:cs="宋体"/>
          <w:sz w:val="24"/>
        </w:rPr>
        <w:t>项目合同签订后</w:t>
      </w:r>
      <w:r>
        <w:rPr>
          <w:rFonts w:hint="eastAsia" w:ascii="宋体" w:hAnsi="宋体" w:cs="宋体"/>
          <w:sz w:val="24"/>
          <w:lang w:val="en-US" w:eastAsia="zh-CN"/>
        </w:rPr>
        <w:t>7</w:t>
      </w:r>
      <w:r>
        <w:rPr>
          <w:rFonts w:hint="eastAsia" w:ascii="宋体" w:hAnsi="宋体" w:cs="宋体"/>
          <w:sz w:val="24"/>
        </w:rPr>
        <w:t>个工作日内支付合同金额的50%，即</w:t>
      </w:r>
      <w:r>
        <w:rPr>
          <w:rFonts w:hint="eastAsia" w:ascii="宋体" w:hAnsi="宋体" w:cs="宋体"/>
          <w:sz w:val="24"/>
          <w:u w:val="single"/>
        </w:rPr>
        <w:t xml:space="preserve">     </w:t>
      </w:r>
      <w:r>
        <w:rPr>
          <w:rFonts w:hint="eastAsia" w:ascii="宋体" w:hAnsi="宋体" w:cs="宋体"/>
          <w:sz w:val="24"/>
        </w:rPr>
        <w:t>元；</w:t>
      </w:r>
    </w:p>
    <w:p>
      <w:pPr>
        <w:pStyle w:val="8"/>
        <w:keepNext w:val="0"/>
        <w:keepLines w:val="0"/>
        <w:pageBreakBefore w:val="0"/>
        <w:kinsoku/>
        <w:wordWrap/>
        <w:overflowPunct/>
        <w:topLinePunct w:val="0"/>
        <w:autoSpaceDE/>
        <w:autoSpaceDN/>
        <w:bidi w:val="0"/>
        <w:spacing w:after="0"/>
        <w:ind w:firstLine="720" w:firstLineChars="3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2026年质量考核合格后按实际监测次数结算。2027年全部完成监测服务，质量考核合格后按实际监测次数结算。</w:t>
      </w:r>
    </w:p>
    <w:p>
      <w:pPr>
        <w:pStyle w:val="6"/>
        <w:keepNext w:val="0"/>
        <w:keepLines w:val="0"/>
        <w:pageBreakBefore w:val="0"/>
        <w:kinsoku/>
        <w:wordWrap/>
        <w:overflowPunct/>
        <w:topLinePunct w:val="0"/>
        <w:autoSpaceDE/>
        <w:autoSpaceDN/>
        <w:bidi w:val="0"/>
        <w:spacing w:after="0" w:line="360" w:lineRule="auto"/>
        <w:ind w:left="425" w:firstLine="0"/>
        <w:rPr>
          <w:rFonts w:hAnsi="宋体"/>
          <w:bCs/>
          <w:color w:val="auto"/>
          <w:sz w:val="24"/>
        </w:rPr>
      </w:pPr>
      <w:r>
        <w:rPr>
          <w:rFonts w:hint="eastAsia" w:hAnsi="宋体"/>
          <w:bCs/>
          <w:color w:val="auto"/>
          <w:sz w:val="24"/>
        </w:rPr>
        <w:t>甲方每次付款前，乙方需向甲方提供等额发票，否则甲方有权拒绝支付款项且不视</w:t>
      </w:r>
    </w:p>
    <w:p>
      <w:pPr>
        <w:pStyle w:val="6"/>
        <w:keepNext w:val="0"/>
        <w:keepLines w:val="0"/>
        <w:pageBreakBefore w:val="0"/>
        <w:kinsoku/>
        <w:wordWrap/>
        <w:overflowPunct/>
        <w:topLinePunct w:val="0"/>
        <w:autoSpaceDE/>
        <w:autoSpaceDN/>
        <w:bidi w:val="0"/>
        <w:spacing w:after="0" w:line="360" w:lineRule="auto"/>
        <w:ind w:firstLine="0"/>
        <w:rPr>
          <w:rFonts w:hAnsi="宋体"/>
          <w:bCs/>
          <w:color w:val="auto"/>
          <w:sz w:val="24"/>
        </w:rPr>
      </w:pPr>
      <w:r>
        <w:rPr>
          <w:rFonts w:hint="eastAsia" w:hAnsi="宋体"/>
          <w:bCs/>
          <w:color w:val="auto"/>
          <w:sz w:val="24"/>
        </w:rPr>
        <w:t>为违约。</w:t>
      </w:r>
    </w:p>
    <w:p>
      <w:pPr>
        <w:pStyle w:val="6"/>
        <w:keepNext w:val="0"/>
        <w:keepLines w:val="0"/>
        <w:pageBreakBefore w:val="0"/>
        <w:kinsoku/>
        <w:wordWrap/>
        <w:overflowPunct/>
        <w:topLinePunct w:val="0"/>
        <w:autoSpaceDE/>
        <w:autoSpaceDN/>
        <w:bidi w:val="0"/>
        <w:spacing w:after="0" w:line="360" w:lineRule="auto"/>
        <w:ind w:firstLine="240" w:firstLineChars="100"/>
        <w:rPr>
          <w:rFonts w:hAnsi="宋体"/>
          <w:bCs/>
          <w:color w:val="auto"/>
          <w:sz w:val="24"/>
        </w:rPr>
      </w:pPr>
      <w:r>
        <w:rPr>
          <w:rFonts w:hint="eastAsia" w:hAnsi="宋体"/>
          <w:bCs/>
          <w:color w:val="auto"/>
          <w:sz w:val="24"/>
        </w:rPr>
        <w:t>7.3 乙方确认收款账户信息为：</w:t>
      </w:r>
    </w:p>
    <w:p>
      <w:pPr>
        <w:pStyle w:val="6"/>
        <w:keepNext w:val="0"/>
        <w:keepLines w:val="0"/>
        <w:pageBreakBefore w:val="0"/>
        <w:kinsoku/>
        <w:wordWrap/>
        <w:overflowPunct/>
        <w:topLinePunct w:val="0"/>
        <w:autoSpaceDE/>
        <w:autoSpaceDN/>
        <w:bidi w:val="0"/>
        <w:spacing w:after="0" w:line="360" w:lineRule="auto"/>
        <w:ind w:left="275" w:leftChars="131" w:firstLine="0"/>
        <w:rPr>
          <w:rFonts w:hAnsi="宋体"/>
          <w:bCs/>
          <w:color w:val="auto"/>
          <w:sz w:val="24"/>
        </w:rPr>
      </w:pPr>
      <w:r>
        <w:rPr>
          <w:rFonts w:hint="eastAsia" w:hAnsi="宋体"/>
          <w:bCs/>
          <w:color w:val="auto"/>
          <w:sz w:val="24"/>
        </w:rPr>
        <w:t>户名：</w:t>
      </w:r>
    </w:p>
    <w:p>
      <w:pPr>
        <w:pStyle w:val="6"/>
        <w:keepNext w:val="0"/>
        <w:keepLines w:val="0"/>
        <w:pageBreakBefore w:val="0"/>
        <w:kinsoku/>
        <w:wordWrap/>
        <w:overflowPunct/>
        <w:topLinePunct w:val="0"/>
        <w:autoSpaceDE/>
        <w:autoSpaceDN/>
        <w:bidi w:val="0"/>
        <w:spacing w:after="0" w:line="360" w:lineRule="auto"/>
        <w:ind w:left="275" w:leftChars="131" w:firstLine="0"/>
        <w:rPr>
          <w:rFonts w:hAnsi="宋体"/>
          <w:bCs/>
          <w:color w:val="auto"/>
          <w:sz w:val="24"/>
        </w:rPr>
      </w:pPr>
      <w:r>
        <w:rPr>
          <w:rFonts w:hint="eastAsia" w:hAnsi="宋体"/>
          <w:bCs/>
          <w:color w:val="auto"/>
          <w:sz w:val="24"/>
        </w:rPr>
        <w:t>账号：</w:t>
      </w:r>
    </w:p>
    <w:p>
      <w:pPr>
        <w:pStyle w:val="6"/>
        <w:keepNext w:val="0"/>
        <w:keepLines w:val="0"/>
        <w:pageBreakBefore w:val="0"/>
        <w:kinsoku/>
        <w:wordWrap/>
        <w:overflowPunct/>
        <w:topLinePunct w:val="0"/>
        <w:autoSpaceDE/>
        <w:autoSpaceDN/>
        <w:bidi w:val="0"/>
        <w:spacing w:after="0" w:line="360" w:lineRule="auto"/>
        <w:ind w:left="275" w:leftChars="131" w:firstLine="0"/>
        <w:rPr>
          <w:rFonts w:hAnsi="宋体"/>
          <w:bCs/>
          <w:color w:val="auto"/>
          <w:sz w:val="24"/>
        </w:rPr>
      </w:pPr>
      <w:r>
        <w:rPr>
          <w:rFonts w:hint="eastAsia" w:hAnsi="宋体"/>
          <w:bCs/>
          <w:color w:val="auto"/>
          <w:sz w:val="24"/>
        </w:rPr>
        <w:t>开户行：</w:t>
      </w:r>
    </w:p>
    <w:p>
      <w:pPr>
        <w:pStyle w:val="6"/>
        <w:keepNext w:val="0"/>
        <w:keepLines w:val="0"/>
        <w:pageBreakBefore w:val="0"/>
        <w:kinsoku/>
        <w:wordWrap/>
        <w:overflowPunct/>
        <w:topLinePunct w:val="0"/>
        <w:autoSpaceDE/>
        <w:autoSpaceDN/>
        <w:bidi w:val="0"/>
        <w:spacing w:after="0" w:line="360" w:lineRule="auto"/>
        <w:ind w:left="275" w:leftChars="131" w:firstLine="0"/>
        <w:rPr>
          <w:rFonts w:hAnsi="宋体"/>
          <w:bCs/>
          <w:color w:val="auto"/>
          <w:sz w:val="24"/>
        </w:rPr>
      </w:pPr>
      <w:r>
        <w:rPr>
          <w:rFonts w:hint="eastAsia" w:hAnsi="宋体"/>
          <w:bCs/>
          <w:color w:val="auto"/>
          <w:sz w:val="24"/>
        </w:rPr>
        <w:t>上述账户信息发生变更的，乙方应在甲方付款前及时书面通知，否则甲方支付至上述账户的视为已履行本合同下付款义务，一切责任由乙方自行承担。</w:t>
      </w:r>
    </w:p>
    <w:p>
      <w:pPr>
        <w:keepNext w:val="0"/>
        <w:keepLines w:val="0"/>
        <w:pageBreakBefore w:val="0"/>
        <w:numPr>
          <w:ilvl w:val="0"/>
          <w:numId w:val="3"/>
        </w:numPr>
        <w:tabs>
          <w:tab w:val="left" w:pos="567"/>
        </w:tabs>
        <w:kinsoku/>
        <w:wordWrap/>
        <w:overflowPunct/>
        <w:topLinePunct w:val="0"/>
        <w:autoSpaceDE/>
        <w:autoSpaceDN/>
        <w:bidi w:val="0"/>
        <w:spacing w:after="0" w:line="360" w:lineRule="auto"/>
        <w:rPr>
          <w:rFonts w:ascii="宋体" w:hAnsi="宋体"/>
          <w:b/>
          <w:sz w:val="24"/>
        </w:rPr>
      </w:pPr>
      <w:r>
        <w:rPr>
          <w:rFonts w:hint="eastAsia" w:ascii="宋体" w:hAnsi="宋体"/>
          <w:b/>
          <w:sz w:val="24"/>
        </w:rPr>
        <w:t>税费：</w:t>
      </w:r>
      <w:r>
        <w:rPr>
          <w:rFonts w:hint="eastAsia" w:ascii="宋体" w:hAnsi="宋体"/>
          <w:bCs/>
          <w:sz w:val="24"/>
        </w:rPr>
        <w:t>本合同执行中相关的一切税费均由乙方承担。</w:t>
      </w:r>
    </w:p>
    <w:p>
      <w:pPr>
        <w:keepNext w:val="0"/>
        <w:keepLines w:val="0"/>
        <w:pageBreakBefore w:val="0"/>
        <w:tabs>
          <w:tab w:val="left" w:pos="567"/>
        </w:tabs>
        <w:kinsoku/>
        <w:wordWrap/>
        <w:overflowPunct/>
        <w:topLinePunct w:val="0"/>
        <w:autoSpaceDE/>
        <w:autoSpaceDN/>
        <w:bidi w:val="0"/>
        <w:spacing w:after="0" w:line="360" w:lineRule="auto"/>
        <w:rPr>
          <w:rFonts w:ascii="宋体" w:hAnsi="宋体"/>
          <w:b/>
          <w:sz w:val="24"/>
        </w:rPr>
      </w:pPr>
      <w:r>
        <w:rPr>
          <w:rFonts w:hint="eastAsia" w:ascii="宋体" w:hAnsi="宋体"/>
          <w:b/>
          <w:sz w:val="24"/>
        </w:rPr>
        <w:t xml:space="preserve">9. </w:t>
      </w:r>
      <w:r>
        <w:rPr>
          <w:rFonts w:ascii="宋体" w:hAnsi="宋体"/>
          <w:b/>
          <w:sz w:val="24"/>
        </w:rPr>
        <w:t>合同修改与解除</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9.1</w:t>
      </w:r>
      <w:r>
        <w:rPr>
          <w:rFonts w:ascii="宋体" w:hAnsi="宋体"/>
          <w:sz w:val="24"/>
        </w:rPr>
        <w:t>本合同供需双方的任何一方无权对合同内容进行修改，本合同如需修改，必须达成书面协议，并作为该合同的有效组成部分。</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9.2本</w:t>
      </w:r>
      <w:r>
        <w:rPr>
          <w:rFonts w:ascii="宋体" w:hAnsi="宋体"/>
          <w:sz w:val="24"/>
        </w:rPr>
        <w:t>合同可以经双方协商一致解除，或按照</w:t>
      </w:r>
      <w:r>
        <w:rPr>
          <w:rFonts w:hint="eastAsia" w:ascii="宋体" w:hAnsi="宋体"/>
          <w:sz w:val="24"/>
        </w:rPr>
        <w:t>《中华人民共和国民法典》</w:t>
      </w:r>
      <w:r>
        <w:rPr>
          <w:rFonts w:ascii="宋体" w:hAnsi="宋体"/>
          <w:sz w:val="24"/>
        </w:rPr>
        <w:t>的规定单方解除。</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b/>
          <w:sz w:val="24"/>
        </w:rPr>
      </w:pPr>
      <w:r>
        <w:rPr>
          <w:rFonts w:hint="eastAsia" w:ascii="宋体" w:hAnsi="宋体"/>
          <w:sz w:val="24"/>
        </w:rPr>
        <w:t>9.3</w:t>
      </w:r>
      <w:r>
        <w:rPr>
          <w:rFonts w:ascii="宋体" w:hAnsi="宋体"/>
          <w:sz w:val="24"/>
        </w:rPr>
        <w:t>合同经双方协商解除或因不可抗力解除的，乙方应返还甲方已支付的款项，并按照同期银行贷款利率支付利息。</w:t>
      </w:r>
    </w:p>
    <w:p>
      <w:pPr>
        <w:keepNext w:val="0"/>
        <w:keepLines w:val="0"/>
        <w:pageBreakBefore w:val="0"/>
        <w:tabs>
          <w:tab w:val="left" w:pos="567"/>
        </w:tabs>
        <w:kinsoku/>
        <w:wordWrap/>
        <w:overflowPunct/>
        <w:topLinePunct w:val="0"/>
        <w:autoSpaceDE/>
        <w:autoSpaceDN/>
        <w:bidi w:val="0"/>
        <w:spacing w:after="0" w:line="360" w:lineRule="auto"/>
        <w:rPr>
          <w:rFonts w:ascii="宋体" w:hAnsi="宋体"/>
          <w:b/>
          <w:sz w:val="24"/>
        </w:rPr>
      </w:pPr>
      <w:r>
        <w:rPr>
          <w:rFonts w:hint="eastAsia" w:ascii="宋体" w:hAnsi="宋体"/>
          <w:b/>
          <w:sz w:val="24"/>
        </w:rPr>
        <w:t>10.甲乙双方的权利与义务</w:t>
      </w:r>
    </w:p>
    <w:p>
      <w:pPr>
        <w:keepNext w:val="0"/>
        <w:keepLines w:val="0"/>
        <w:pageBreakBefore w:val="0"/>
        <w:tabs>
          <w:tab w:val="left" w:pos="540"/>
          <w:tab w:val="left" w:pos="747"/>
        </w:tabs>
        <w:kinsoku/>
        <w:wordWrap/>
        <w:overflowPunct/>
        <w:topLinePunct w:val="0"/>
        <w:autoSpaceDE/>
        <w:autoSpaceDN/>
        <w:bidi w:val="0"/>
        <w:spacing w:after="0" w:line="360" w:lineRule="auto"/>
        <w:ind w:firstLine="482" w:firstLineChars="200"/>
        <w:rPr>
          <w:rFonts w:ascii="宋体" w:hAnsi="宋体"/>
          <w:b/>
          <w:sz w:val="24"/>
        </w:rPr>
      </w:pPr>
      <w:r>
        <w:rPr>
          <w:rFonts w:hint="eastAsia" w:ascii="宋体" w:hAnsi="宋体"/>
          <w:b/>
          <w:sz w:val="24"/>
        </w:rPr>
        <w:t>10.1甲方权利与义务</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bCs/>
          <w:sz w:val="24"/>
        </w:rPr>
      </w:pPr>
      <w:r>
        <w:rPr>
          <w:rFonts w:hint="eastAsia" w:ascii="宋体" w:hAnsi="宋体"/>
          <w:bCs/>
          <w:sz w:val="24"/>
        </w:rPr>
        <w:t>（1）为乙方工作提供良好的外部条件，并按照合同约定支付款项；</w:t>
      </w:r>
    </w:p>
    <w:p>
      <w:pPr>
        <w:keepNext w:val="0"/>
        <w:keepLines w:val="0"/>
        <w:pageBreakBefore w:val="0"/>
        <w:tabs>
          <w:tab w:val="left" w:pos="567"/>
        </w:tabs>
        <w:kinsoku/>
        <w:wordWrap/>
        <w:overflowPunct/>
        <w:topLinePunct w:val="0"/>
        <w:autoSpaceDE/>
        <w:autoSpaceDN/>
        <w:bidi w:val="0"/>
        <w:spacing w:after="0" w:line="360" w:lineRule="auto"/>
        <w:ind w:left="420"/>
        <w:rPr>
          <w:rFonts w:ascii="宋体" w:hAnsi="宋体"/>
          <w:bCs/>
          <w:sz w:val="24"/>
        </w:rPr>
      </w:pPr>
      <w:r>
        <w:rPr>
          <w:rFonts w:hint="eastAsia" w:ascii="宋体" w:hAnsi="宋体"/>
          <w:bCs/>
          <w:sz w:val="24"/>
        </w:rPr>
        <w:t>（2）甲方按双方约定的内容和时间，向乙方提供与项目有关的可以提供的资料；</w:t>
      </w:r>
    </w:p>
    <w:p>
      <w:pPr>
        <w:keepNext w:val="0"/>
        <w:keepLines w:val="0"/>
        <w:pageBreakBefore w:val="0"/>
        <w:tabs>
          <w:tab w:val="left" w:pos="567"/>
        </w:tabs>
        <w:kinsoku/>
        <w:wordWrap/>
        <w:overflowPunct/>
        <w:topLinePunct w:val="0"/>
        <w:autoSpaceDE/>
        <w:autoSpaceDN/>
        <w:bidi w:val="0"/>
        <w:spacing w:after="0" w:line="360" w:lineRule="auto"/>
        <w:ind w:left="420"/>
        <w:rPr>
          <w:rFonts w:ascii="宋体" w:hAnsi="宋体"/>
          <w:bCs/>
          <w:sz w:val="24"/>
        </w:rPr>
      </w:pPr>
      <w:r>
        <w:rPr>
          <w:rFonts w:hint="eastAsia" w:ascii="宋体" w:hAnsi="宋体"/>
          <w:bCs/>
          <w:sz w:val="24"/>
        </w:rPr>
        <w:t>（3）甲方授权一名熟悉本项目情况的代表，负责与乙方联系，更换代表前将提前通知乙方；</w:t>
      </w:r>
    </w:p>
    <w:p>
      <w:pPr>
        <w:keepNext w:val="0"/>
        <w:keepLines w:val="0"/>
        <w:pageBreakBefore w:val="0"/>
        <w:tabs>
          <w:tab w:val="left" w:pos="567"/>
        </w:tabs>
        <w:kinsoku/>
        <w:wordWrap/>
        <w:overflowPunct/>
        <w:topLinePunct w:val="0"/>
        <w:autoSpaceDE/>
        <w:autoSpaceDN/>
        <w:bidi w:val="0"/>
        <w:spacing w:after="0" w:line="360" w:lineRule="auto"/>
        <w:ind w:left="420"/>
        <w:rPr>
          <w:rFonts w:ascii="宋体" w:hAnsi="宋体"/>
          <w:bCs/>
          <w:sz w:val="24"/>
        </w:rPr>
      </w:pPr>
      <w:r>
        <w:rPr>
          <w:rFonts w:hint="eastAsia" w:ascii="宋体" w:hAnsi="宋体"/>
          <w:bCs/>
          <w:sz w:val="24"/>
        </w:rPr>
        <w:t>（4）甲方对乙方提供的项目工作方案具有审定权、修改权，并有权要求乙方按甲方的要求修改方案,乙方不得以此为由要求增加任何费用。</w:t>
      </w:r>
    </w:p>
    <w:p>
      <w:pPr>
        <w:keepNext w:val="0"/>
        <w:keepLines w:val="0"/>
        <w:pageBreakBefore w:val="0"/>
        <w:tabs>
          <w:tab w:val="left" w:pos="567"/>
        </w:tabs>
        <w:kinsoku/>
        <w:wordWrap/>
        <w:overflowPunct/>
        <w:topLinePunct w:val="0"/>
        <w:autoSpaceDE/>
        <w:autoSpaceDN/>
        <w:bidi w:val="0"/>
        <w:spacing w:after="0" w:line="360" w:lineRule="auto"/>
        <w:ind w:left="420"/>
        <w:rPr>
          <w:rFonts w:ascii="宋体" w:hAnsi="宋体"/>
          <w:bCs/>
          <w:sz w:val="24"/>
        </w:rPr>
      </w:pPr>
      <w:r>
        <w:rPr>
          <w:rFonts w:hint="eastAsia" w:ascii="宋体" w:hAnsi="宋体"/>
          <w:bCs/>
          <w:sz w:val="24"/>
        </w:rPr>
        <w:t>（5）根据实际情况，甲方有权要求乙方对已经确认的方案进行修改、变通，乙方应当配合执行，以保证项目顺利进行。</w:t>
      </w:r>
    </w:p>
    <w:p>
      <w:pPr>
        <w:keepNext w:val="0"/>
        <w:keepLines w:val="0"/>
        <w:pageBreakBefore w:val="0"/>
        <w:tabs>
          <w:tab w:val="left" w:pos="540"/>
          <w:tab w:val="left" w:pos="747"/>
        </w:tabs>
        <w:kinsoku/>
        <w:wordWrap/>
        <w:overflowPunct/>
        <w:topLinePunct w:val="0"/>
        <w:autoSpaceDE/>
        <w:autoSpaceDN/>
        <w:bidi w:val="0"/>
        <w:spacing w:after="0" w:line="360" w:lineRule="auto"/>
        <w:ind w:left="275" w:leftChars="131" w:firstLine="241" w:firstLineChars="100"/>
        <w:rPr>
          <w:rFonts w:ascii="宋体" w:hAnsi="宋体"/>
          <w:b/>
          <w:sz w:val="24"/>
        </w:rPr>
      </w:pPr>
      <w:r>
        <w:rPr>
          <w:rFonts w:hint="eastAsia" w:ascii="宋体" w:hAnsi="宋体"/>
          <w:b/>
          <w:sz w:val="24"/>
        </w:rPr>
        <w:t>10.2乙方权利与义务</w:t>
      </w:r>
    </w:p>
    <w:p>
      <w:pPr>
        <w:keepNext w:val="0"/>
        <w:keepLines w:val="0"/>
        <w:pageBreakBefore w:val="0"/>
        <w:tabs>
          <w:tab w:val="left" w:pos="567"/>
        </w:tabs>
        <w:kinsoku/>
        <w:wordWrap/>
        <w:overflowPunct/>
        <w:topLinePunct w:val="0"/>
        <w:autoSpaceDE/>
        <w:autoSpaceDN/>
        <w:bidi w:val="0"/>
        <w:spacing w:after="0" w:line="360" w:lineRule="auto"/>
        <w:ind w:left="420"/>
        <w:rPr>
          <w:rFonts w:ascii="宋体" w:hAnsi="宋体"/>
          <w:bCs/>
          <w:sz w:val="24"/>
        </w:rPr>
      </w:pPr>
      <w:r>
        <w:rPr>
          <w:rFonts w:hint="eastAsia" w:ascii="宋体" w:hAnsi="宋体"/>
          <w:bCs/>
          <w:sz w:val="24"/>
        </w:rPr>
        <w:t>（1）根据投标文件的承诺，乙方向甲方委派项目组人员，人员应当固定。乙方更换人员必须经甲方书面同意，否则甲方有权解除本合同，乙方需退回甲方已支付全部费用并按合同总价款30%向甲方支付违约金，或甲方不解除合同，乙方需向甲方支付违约金2000元/人/次；</w:t>
      </w:r>
    </w:p>
    <w:p>
      <w:pPr>
        <w:keepNext w:val="0"/>
        <w:keepLines w:val="0"/>
        <w:pageBreakBefore w:val="0"/>
        <w:tabs>
          <w:tab w:val="left" w:pos="567"/>
        </w:tabs>
        <w:kinsoku/>
        <w:wordWrap/>
        <w:overflowPunct/>
        <w:topLinePunct w:val="0"/>
        <w:autoSpaceDE/>
        <w:autoSpaceDN/>
        <w:bidi w:val="0"/>
        <w:spacing w:after="0" w:line="360" w:lineRule="auto"/>
        <w:ind w:left="420"/>
        <w:rPr>
          <w:rFonts w:ascii="宋体" w:hAnsi="宋体"/>
          <w:bCs/>
          <w:sz w:val="24"/>
        </w:rPr>
      </w:pPr>
      <w:r>
        <w:rPr>
          <w:rFonts w:hint="eastAsia" w:ascii="宋体" w:hAnsi="宋体"/>
          <w:bCs/>
          <w:sz w:val="24"/>
        </w:rPr>
        <w:t>（2）乙方针对该项目出具的工作方案，均须事先经甲方书面确认后方可实施。乙方应当负责本项目的所有外部关系联系与协调；乙方擅自不按甲方确定的工作方案开展工作的，甲方有权通知乙方整改，乙方收到整改后拒不改正或改正后又发生擅自变更工作方案情形的，甲方有权单方解除合同，乙方需退回甲方已支付全部费用并按合同总价款30%向甲方支付违约金。</w:t>
      </w:r>
    </w:p>
    <w:p>
      <w:pPr>
        <w:keepNext w:val="0"/>
        <w:keepLines w:val="0"/>
        <w:pageBreakBefore w:val="0"/>
        <w:tabs>
          <w:tab w:val="left" w:pos="567"/>
        </w:tabs>
        <w:kinsoku/>
        <w:wordWrap/>
        <w:overflowPunct/>
        <w:topLinePunct w:val="0"/>
        <w:autoSpaceDE/>
        <w:autoSpaceDN/>
        <w:bidi w:val="0"/>
        <w:spacing w:after="0" w:line="360" w:lineRule="auto"/>
        <w:ind w:left="420"/>
        <w:rPr>
          <w:rFonts w:ascii="宋体" w:hAnsi="宋体"/>
          <w:bCs/>
          <w:sz w:val="24"/>
        </w:rPr>
      </w:pPr>
      <w:r>
        <w:rPr>
          <w:rFonts w:hint="eastAsia" w:ascii="宋体" w:hAnsi="宋体"/>
          <w:bCs/>
          <w:sz w:val="24"/>
        </w:rPr>
        <w:t>（3）乙方应指派一名授权项目代表，负责与甲方的联络。代表更换应至少提前两天通知甲方，且征得甲方同意后才能更换，否则应按10.2条1）的约定承担违约责任。乙方确认指定项目负责人：</w:t>
      </w:r>
      <w:r>
        <w:rPr>
          <w:rFonts w:hint="eastAsia" w:ascii="宋体" w:hAnsi="宋体"/>
          <w:bCs/>
          <w:sz w:val="24"/>
          <w:u w:val="single"/>
        </w:rPr>
        <w:t xml:space="preserve">      </w:t>
      </w:r>
      <w:r>
        <w:rPr>
          <w:rFonts w:hint="eastAsia" w:ascii="宋体" w:hAnsi="宋体"/>
          <w:bCs/>
          <w:sz w:val="24"/>
        </w:rPr>
        <w:t>；联系电话：</w:t>
      </w:r>
      <w:r>
        <w:rPr>
          <w:rFonts w:hint="eastAsia" w:ascii="宋体" w:hAnsi="宋体"/>
          <w:bCs/>
          <w:sz w:val="24"/>
          <w:u w:val="single"/>
        </w:rPr>
        <w:t xml:space="preserve">         </w:t>
      </w:r>
      <w:r>
        <w:rPr>
          <w:rFonts w:hint="eastAsia" w:ascii="宋体" w:hAnsi="宋体"/>
          <w:bCs/>
          <w:sz w:val="24"/>
        </w:rPr>
        <w:t>；邮箱：</w:t>
      </w:r>
      <w:r>
        <w:rPr>
          <w:rFonts w:hint="eastAsia" w:ascii="宋体" w:hAnsi="宋体"/>
          <w:bCs/>
          <w:sz w:val="24"/>
          <w:u w:val="single"/>
        </w:rPr>
        <w:t xml:space="preserve">            </w:t>
      </w:r>
      <w:r>
        <w:rPr>
          <w:rFonts w:hint="eastAsia" w:ascii="宋体" w:hAnsi="宋体"/>
          <w:bCs/>
          <w:sz w:val="24"/>
        </w:rPr>
        <w:t>。</w:t>
      </w:r>
    </w:p>
    <w:p>
      <w:pPr>
        <w:keepNext w:val="0"/>
        <w:keepLines w:val="0"/>
        <w:pageBreakBefore w:val="0"/>
        <w:tabs>
          <w:tab w:val="left" w:pos="567"/>
        </w:tabs>
        <w:kinsoku/>
        <w:wordWrap/>
        <w:overflowPunct/>
        <w:topLinePunct w:val="0"/>
        <w:autoSpaceDE/>
        <w:autoSpaceDN/>
        <w:bidi w:val="0"/>
        <w:spacing w:after="0" w:line="360" w:lineRule="auto"/>
        <w:ind w:left="420"/>
        <w:rPr>
          <w:rFonts w:ascii="宋体" w:hAnsi="宋体"/>
          <w:bCs/>
          <w:sz w:val="24"/>
        </w:rPr>
      </w:pPr>
      <w:r>
        <w:rPr>
          <w:rFonts w:hint="eastAsia" w:ascii="宋体" w:hAnsi="宋体"/>
          <w:bCs/>
          <w:sz w:val="24"/>
        </w:rPr>
        <w:t>（4）乙方承诺按照招标文件要求和投标文件承诺提供各项服务；</w:t>
      </w:r>
    </w:p>
    <w:p>
      <w:pPr>
        <w:keepNext w:val="0"/>
        <w:keepLines w:val="0"/>
        <w:pageBreakBefore w:val="0"/>
        <w:tabs>
          <w:tab w:val="left" w:pos="567"/>
        </w:tabs>
        <w:kinsoku/>
        <w:wordWrap/>
        <w:overflowPunct/>
        <w:topLinePunct w:val="0"/>
        <w:autoSpaceDE/>
        <w:autoSpaceDN/>
        <w:bidi w:val="0"/>
        <w:spacing w:after="0" w:line="360" w:lineRule="auto"/>
        <w:ind w:left="420"/>
        <w:rPr>
          <w:rFonts w:ascii="宋体" w:hAnsi="宋体"/>
          <w:sz w:val="24"/>
        </w:rPr>
      </w:pPr>
      <w:r>
        <w:rPr>
          <w:rFonts w:hint="eastAsia" w:ascii="宋体" w:hAnsi="宋体"/>
          <w:bCs/>
          <w:sz w:val="24"/>
        </w:rPr>
        <w:t>（5）乙方必须在规定期间内完成招标文件要求和投标文件承诺的服务内容，并通过甲方的验收，否则甲方有权终止合同，乙方需退回甲方全部支付的货款，赔偿延误的损失，并按合同总价款30%标准向甲方支付违约金。</w:t>
      </w:r>
    </w:p>
    <w:p>
      <w:pPr>
        <w:keepNext w:val="0"/>
        <w:keepLines w:val="0"/>
        <w:pageBreakBefore w:val="0"/>
        <w:tabs>
          <w:tab w:val="left" w:pos="567"/>
        </w:tabs>
        <w:kinsoku/>
        <w:wordWrap/>
        <w:overflowPunct/>
        <w:topLinePunct w:val="0"/>
        <w:autoSpaceDE/>
        <w:autoSpaceDN/>
        <w:bidi w:val="0"/>
        <w:spacing w:after="0" w:line="360" w:lineRule="auto"/>
        <w:rPr>
          <w:rFonts w:ascii="宋体" w:hAnsi="宋体"/>
          <w:b/>
          <w:sz w:val="24"/>
        </w:rPr>
      </w:pPr>
      <w:r>
        <w:rPr>
          <w:rFonts w:hint="eastAsia" w:ascii="宋体" w:hAnsi="宋体"/>
          <w:b/>
          <w:sz w:val="24"/>
        </w:rPr>
        <w:t>11.</w:t>
      </w:r>
      <w:r>
        <w:rPr>
          <w:rFonts w:ascii="宋体" w:hAnsi="宋体"/>
          <w:b/>
          <w:sz w:val="24"/>
        </w:rPr>
        <w:t>违约责任</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 xml:space="preserve">11.1 </w:t>
      </w:r>
      <w:r>
        <w:rPr>
          <w:rFonts w:ascii="宋体" w:hAnsi="宋体"/>
          <w:sz w:val="24"/>
          <w:lang w:val="zh-CN"/>
        </w:rPr>
        <w:t>乙方未能如期提供服务的，每日向甲方支付合同款项的</w:t>
      </w:r>
      <w:r>
        <w:rPr>
          <w:rFonts w:hint="eastAsia" w:ascii="宋体" w:hAnsi="宋体"/>
          <w:sz w:val="24"/>
          <w:lang w:val="zh-CN"/>
        </w:rPr>
        <w:t>0.6%</w:t>
      </w:r>
      <w:r>
        <w:rPr>
          <w:rFonts w:ascii="宋体" w:hAnsi="宋体"/>
          <w:sz w:val="24"/>
          <w:lang w:val="zh-CN"/>
        </w:rPr>
        <w:t>作为违约金。乙方超过约定日期10个工作日</w:t>
      </w:r>
      <w:r>
        <w:rPr>
          <w:rFonts w:hint="eastAsia" w:ascii="宋体" w:hAnsi="宋体"/>
          <w:sz w:val="24"/>
          <w:lang w:val="zh-CN"/>
        </w:rPr>
        <w:t>仍</w:t>
      </w:r>
      <w:r>
        <w:rPr>
          <w:rFonts w:ascii="宋体" w:hAnsi="宋体"/>
          <w:sz w:val="24"/>
          <w:lang w:val="zh-CN"/>
        </w:rPr>
        <w:t>不能提供服务的，甲方可</w:t>
      </w:r>
      <w:r>
        <w:rPr>
          <w:rFonts w:hint="eastAsia" w:ascii="宋体" w:hAnsi="宋体"/>
          <w:sz w:val="24"/>
          <w:lang w:val="zh-CN"/>
        </w:rPr>
        <w:t>单方</w:t>
      </w:r>
      <w:r>
        <w:rPr>
          <w:rFonts w:ascii="宋体" w:hAnsi="宋体"/>
          <w:sz w:val="24"/>
          <w:lang w:val="zh-CN"/>
        </w:rPr>
        <w:t>解除本合同</w:t>
      </w:r>
      <w:r>
        <w:rPr>
          <w:rFonts w:hint="eastAsia" w:ascii="宋体" w:hAnsi="宋体"/>
          <w:sz w:val="24"/>
          <w:lang w:val="zh-CN"/>
        </w:rPr>
        <w:t>，乙方承担合同总价款10%的违约金，并将已收全部合同款退还甲方</w:t>
      </w:r>
      <w:r>
        <w:rPr>
          <w:rFonts w:ascii="宋体" w:hAnsi="宋体"/>
          <w:sz w:val="24"/>
          <w:lang w:val="zh-CN"/>
        </w:rPr>
        <w:t>。如造成甲方</w:t>
      </w:r>
      <w:r>
        <w:rPr>
          <w:rFonts w:hint="eastAsia" w:ascii="宋体" w:hAnsi="宋体"/>
          <w:sz w:val="24"/>
          <w:lang w:val="zh-CN"/>
        </w:rPr>
        <w:t>损失</w:t>
      </w:r>
      <w:r>
        <w:rPr>
          <w:rFonts w:ascii="宋体" w:hAnsi="宋体"/>
          <w:sz w:val="24"/>
          <w:lang w:val="zh-CN"/>
        </w:rPr>
        <w:t>超过违约金的，超出部分由乙方继续承担赔偿责任。</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lang w:val="zh-CN"/>
        </w:rPr>
      </w:pPr>
      <w:r>
        <w:rPr>
          <w:rFonts w:hint="eastAsia" w:ascii="宋体" w:hAnsi="宋体"/>
          <w:sz w:val="24"/>
        </w:rPr>
        <w:t>11.2乙方必须在规定期间内完成招标文件要求和投标文件承诺的服务内容，并通过甲方的验收，否则甲方有权终止合同，并索回全部支付的合同款，乙方还需支付合同总价款20%的违约金。</w:t>
      </w:r>
      <w:r>
        <w:rPr>
          <w:rFonts w:ascii="宋体" w:hAnsi="宋体"/>
          <w:sz w:val="24"/>
        </w:rPr>
        <w:t>如造成甲方</w:t>
      </w:r>
      <w:r>
        <w:rPr>
          <w:rFonts w:hint="eastAsia" w:ascii="宋体" w:hAnsi="宋体"/>
          <w:sz w:val="24"/>
        </w:rPr>
        <w:t>损失</w:t>
      </w:r>
      <w:r>
        <w:rPr>
          <w:rFonts w:ascii="宋体" w:hAnsi="宋体"/>
          <w:sz w:val="24"/>
        </w:rPr>
        <w:t>超过违约金的，超出部分由乙方继续承担赔偿责任。</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lang w:val="zh-CN"/>
        </w:rPr>
      </w:pPr>
      <w:r>
        <w:rPr>
          <w:rFonts w:hint="eastAsia" w:ascii="宋体" w:hAnsi="宋体"/>
          <w:sz w:val="24"/>
        </w:rPr>
        <w:t>11.3 乙方违约需承担甲方为维权而支付的诉讼费、律师费、差旅费、公证费、鉴定费、保全费等费用。</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lang w:val="zh-CN"/>
        </w:rPr>
      </w:pPr>
      <w:r>
        <w:rPr>
          <w:rFonts w:hint="eastAsia" w:ascii="宋体" w:hAnsi="宋体"/>
          <w:sz w:val="24"/>
        </w:rPr>
        <w:t>11.4因乙方违约须向甲方支付违约金、赔偿金的，乙方同意甲方有权直接在应支付给乙方的合同费用中扣除，并有权就不足部分继续向乙方追偿。</w:t>
      </w:r>
    </w:p>
    <w:p>
      <w:pPr>
        <w:keepNext w:val="0"/>
        <w:keepLines w:val="0"/>
        <w:pageBreakBefore w:val="0"/>
        <w:tabs>
          <w:tab w:val="left" w:pos="567"/>
        </w:tabs>
        <w:kinsoku/>
        <w:wordWrap/>
        <w:overflowPunct/>
        <w:topLinePunct w:val="0"/>
        <w:autoSpaceDE/>
        <w:autoSpaceDN/>
        <w:bidi w:val="0"/>
        <w:spacing w:after="0" w:line="360" w:lineRule="auto"/>
        <w:rPr>
          <w:rFonts w:ascii="宋体" w:hAnsi="宋体"/>
          <w:b/>
          <w:sz w:val="24"/>
        </w:rPr>
      </w:pPr>
      <w:r>
        <w:rPr>
          <w:rFonts w:hint="eastAsia" w:ascii="宋体" w:hAnsi="宋体"/>
          <w:b/>
          <w:sz w:val="24"/>
        </w:rPr>
        <w:t>12.</w:t>
      </w:r>
      <w:r>
        <w:rPr>
          <w:rFonts w:ascii="宋体" w:hAnsi="宋体"/>
          <w:b/>
          <w:sz w:val="24"/>
        </w:rPr>
        <w:t>争议处理</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b/>
          <w:sz w:val="24"/>
          <w:lang w:val="zh-CN"/>
        </w:rPr>
      </w:pPr>
      <w:r>
        <w:rPr>
          <w:rFonts w:hint="eastAsia" w:ascii="宋体" w:hAnsi="宋体"/>
          <w:sz w:val="24"/>
        </w:rPr>
        <w:t>12.1双方因履行本合同发生争议的</w:t>
      </w:r>
      <w:r>
        <w:rPr>
          <w:rFonts w:ascii="宋体" w:hAnsi="宋体"/>
          <w:sz w:val="24"/>
          <w:lang w:val="zh-CN"/>
        </w:rPr>
        <w:t>，甲方与乙方及时协商解决。协商不成时，</w:t>
      </w:r>
      <w:r>
        <w:rPr>
          <w:rFonts w:hint="eastAsia" w:ascii="宋体" w:hAnsi="宋体"/>
          <w:sz w:val="24"/>
        </w:rPr>
        <w:t>提交甲方所在地人民法院提起诉讼。</w:t>
      </w:r>
    </w:p>
    <w:p>
      <w:pPr>
        <w:keepNext w:val="0"/>
        <w:keepLines w:val="0"/>
        <w:pageBreakBefore w:val="0"/>
        <w:kinsoku/>
        <w:wordWrap/>
        <w:overflowPunct/>
        <w:topLinePunct w:val="0"/>
        <w:autoSpaceDE/>
        <w:autoSpaceDN/>
        <w:bidi w:val="0"/>
        <w:spacing w:after="0" w:line="360" w:lineRule="auto"/>
        <w:rPr>
          <w:rFonts w:ascii="宋体" w:hAnsi="宋体"/>
          <w:b/>
          <w:sz w:val="24"/>
        </w:rPr>
      </w:pPr>
      <w:r>
        <w:rPr>
          <w:rFonts w:hint="eastAsia" w:ascii="宋体" w:hAnsi="宋体"/>
          <w:b/>
          <w:sz w:val="24"/>
        </w:rPr>
        <w:t>13.</w:t>
      </w:r>
      <w:r>
        <w:rPr>
          <w:rFonts w:ascii="宋体" w:hAnsi="宋体"/>
          <w:b/>
          <w:sz w:val="24"/>
        </w:rPr>
        <w:t>不可抗力</w:t>
      </w:r>
    </w:p>
    <w:p>
      <w:pPr>
        <w:keepNext w:val="0"/>
        <w:keepLines w:val="0"/>
        <w:pageBreakBefore w:val="0"/>
        <w:kinsoku/>
        <w:wordWrap/>
        <w:overflowPunct/>
        <w:topLinePunct w:val="0"/>
        <w:autoSpaceDE/>
        <w:autoSpaceDN/>
        <w:bidi w:val="0"/>
        <w:spacing w:after="0" w:line="360" w:lineRule="auto"/>
        <w:ind w:firstLine="480" w:firstLineChars="200"/>
        <w:rPr>
          <w:rFonts w:ascii="宋体" w:hAnsi="宋体"/>
          <w:sz w:val="24"/>
        </w:rPr>
      </w:pPr>
      <w:r>
        <w:rPr>
          <w:rFonts w:ascii="宋体" w:hAnsi="宋体"/>
          <w:sz w:val="24"/>
        </w:rPr>
        <w:t>不可抗力是指《中华人民共和国民法典》所列举的不可抗力。不可抗力一旦发生，证明文件由法律规定部门签署，并由甲、乙双方协商合同逾期履行和继续履行的方法，在此情况下，任何一方不能要求损失赔偿。</w:t>
      </w:r>
    </w:p>
    <w:p>
      <w:pPr>
        <w:keepNext w:val="0"/>
        <w:keepLines w:val="0"/>
        <w:pageBreakBefore w:val="0"/>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受影响的一方应在不可抗力的事故发生后尽快以书面形式通知另一方，并在事故发生后</w:t>
      </w:r>
      <w:r>
        <w:rPr>
          <w:rFonts w:ascii="宋体" w:hAnsi="宋体"/>
          <w:sz w:val="24"/>
        </w:rPr>
        <w:t>14</w:t>
      </w:r>
      <w:r>
        <w:rPr>
          <w:rFonts w:hint="eastAsia" w:ascii="宋体" w:hAnsi="宋体"/>
          <w:sz w:val="24"/>
        </w:rPr>
        <w:t>天内，将有关部门出具的证明文件送给另一方。如果不可抗力的持续影响超过</w:t>
      </w:r>
      <w:r>
        <w:rPr>
          <w:rFonts w:ascii="宋体" w:hAnsi="宋体"/>
          <w:sz w:val="24"/>
        </w:rPr>
        <w:t>10</w:t>
      </w:r>
      <w:r>
        <w:rPr>
          <w:rFonts w:hint="eastAsia" w:ascii="宋体" w:hAnsi="宋体"/>
          <w:sz w:val="24"/>
        </w:rPr>
        <w:t>周，被影响的一方应通知另一方解决问题。如果另一方未能及时作出回应或在收到前者通知后</w:t>
      </w:r>
      <w:r>
        <w:rPr>
          <w:rFonts w:ascii="宋体" w:hAnsi="宋体"/>
          <w:sz w:val="24"/>
        </w:rPr>
        <w:t>1</w:t>
      </w:r>
      <w:r>
        <w:rPr>
          <w:rFonts w:hint="eastAsia" w:ascii="宋体" w:hAnsi="宋体"/>
          <w:sz w:val="24"/>
        </w:rPr>
        <w:t>个月内双方未能达成一致意见，被影响的一方有权取消部分或全部的合同。解除合同后，乙方应返还未完成合同部分的费用（基本服务、培训按月平均计算，其他按实计算）。</w:t>
      </w:r>
    </w:p>
    <w:p>
      <w:pPr>
        <w:keepNext w:val="0"/>
        <w:keepLines w:val="0"/>
        <w:pageBreakBefore w:val="0"/>
        <w:kinsoku/>
        <w:wordWrap/>
        <w:overflowPunct/>
        <w:topLinePunct w:val="0"/>
        <w:autoSpaceDE/>
        <w:autoSpaceDN/>
        <w:bidi w:val="0"/>
        <w:spacing w:after="0" w:line="360" w:lineRule="auto"/>
        <w:rPr>
          <w:rFonts w:ascii="宋体" w:hAnsi="宋体"/>
          <w:b/>
          <w:sz w:val="24"/>
        </w:rPr>
      </w:pPr>
      <w:r>
        <w:rPr>
          <w:rFonts w:hint="eastAsia" w:ascii="宋体" w:hAnsi="宋体"/>
          <w:b/>
          <w:sz w:val="24"/>
        </w:rPr>
        <w:t>14.</w:t>
      </w:r>
      <w:r>
        <w:rPr>
          <w:rFonts w:ascii="宋体" w:hAnsi="宋体"/>
          <w:b/>
          <w:sz w:val="24"/>
        </w:rPr>
        <w:t>合同的生效、变更与终止</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14.1</w:t>
      </w:r>
      <w:r>
        <w:rPr>
          <w:rFonts w:ascii="宋体" w:hAnsi="宋体"/>
          <w:sz w:val="24"/>
        </w:rPr>
        <w:t>合同履行期内甲乙双方均不得随意变更或解除合同。合同若有未尽事宜，经双方</w:t>
      </w:r>
      <w:r>
        <w:rPr>
          <w:rFonts w:hint="eastAsia" w:ascii="宋体" w:hAnsi="宋体"/>
          <w:sz w:val="24"/>
        </w:rPr>
        <w:t>协商</w:t>
      </w:r>
      <w:r>
        <w:rPr>
          <w:rFonts w:ascii="宋体" w:hAnsi="宋体"/>
          <w:sz w:val="24"/>
        </w:rPr>
        <w:t>，</w:t>
      </w:r>
      <w:r>
        <w:rPr>
          <w:rFonts w:hint="eastAsia" w:ascii="宋体" w:hAnsi="宋体"/>
          <w:sz w:val="24"/>
        </w:rPr>
        <w:t>可以</w:t>
      </w:r>
      <w:r>
        <w:rPr>
          <w:rFonts w:ascii="宋体" w:hAnsi="宋体"/>
          <w:sz w:val="24"/>
        </w:rPr>
        <w:t>订立补充协议</w:t>
      </w:r>
      <w:r>
        <w:rPr>
          <w:rFonts w:hint="eastAsia" w:ascii="宋体" w:hAnsi="宋体"/>
          <w:sz w:val="24"/>
        </w:rPr>
        <w:t>，补充协议与本协议具有同等法律效力</w:t>
      </w:r>
      <w:r>
        <w:rPr>
          <w:rFonts w:ascii="宋体" w:hAnsi="宋体"/>
          <w:sz w:val="24"/>
        </w:rPr>
        <w:t>。</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 xml:space="preserve">14.2 </w:t>
      </w:r>
      <w:r>
        <w:rPr>
          <w:rFonts w:ascii="宋体" w:hAnsi="宋体"/>
          <w:sz w:val="24"/>
        </w:rPr>
        <w:t>乙方履行义务不符合国家有关规定或者合同约定</w:t>
      </w:r>
      <w:r>
        <w:rPr>
          <w:rFonts w:hint="eastAsia" w:ascii="宋体" w:hAnsi="宋体"/>
          <w:sz w:val="24"/>
        </w:rPr>
        <w:t>及招投标文件的</w:t>
      </w:r>
      <w:r>
        <w:rPr>
          <w:rFonts w:ascii="宋体" w:hAnsi="宋体"/>
          <w:sz w:val="24"/>
        </w:rPr>
        <w:t>，甲方可随时以书面形式通知乙方解除合同，并不免除乙方赔偿损失</w:t>
      </w:r>
      <w:r>
        <w:rPr>
          <w:rFonts w:hint="eastAsia" w:ascii="宋体" w:hAnsi="宋体"/>
          <w:sz w:val="24"/>
        </w:rPr>
        <w:t>、承担违约责任</w:t>
      </w:r>
      <w:r>
        <w:rPr>
          <w:rFonts w:ascii="宋体" w:hAnsi="宋体"/>
          <w:sz w:val="24"/>
        </w:rPr>
        <w:t>的责任。</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14.3</w:t>
      </w:r>
      <w:r>
        <w:rPr>
          <w:rFonts w:ascii="宋体" w:hAnsi="宋体"/>
          <w:sz w:val="24"/>
        </w:rPr>
        <w:t>招标文件、投标文件及评标过程中形成的文字资料、询标纪要均作为本合同的</w:t>
      </w:r>
      <w:r>
        <w:rPr>
          <w:rFonts w:hint="eastAsia" w:ascii="宋体" w:hAnsi="宋体"/>
          <w:sz w:val="24"/>
        </w:rPr>
        <w:t>附件</w:t>
      </w:r>
      <w:r>
        <w:rPr>
          <w:rFonts w:ascii="宋体" w:hAnsi="宋体"/>
          <w:sz w:val="24"/>
        </w:rPr>
        <w:t>。</w:t>
      </w:r>
    </w:p>
    <w:p>
      <w:pPr>
        <w:keepNext w:val="0"/>
        <w:keepLines w:val="0"/>
        <w:pageBreakBefore w:val="0"/>
        <w:tabs>
          <w:tab w:val="left" w:pos="540"/>
          <w:tab w:val="left" w:pos="747"/>
        </w:tabs>
        <w:kinsoku/>
        <w:wordWrap/>
        <w:overflowPunct/>
        <w:topLinePunct w:val="0"/>
        <w:autoSpaceDE/>
        <w:autoSpaceDN/>
        <w:bidi w:val="0"/>
        <w:spacing w:after="0" w:line="360" w:lineRule="auto"/>
        <w:ind w:firstLine="480" w:firstLineChars="200"/>
        <w:rPr>
          <w:rFonts w:ascii="宋体" w:hAnsi="宋体"/>
          <w:sz w:val="24"/>
        </w:rPr>
      </w:pPr>
      <w:r>
        <w:rPr>
          <w:rFonts w:hint="eastAsia" w:ascii="宋体" w:hAnsi="宋体"/>
          <w:sz w:val="24"/>
        </w:rPr>
        <w:t>14.4</w:t>
      </w:r>
      <w:r>
        <w:rPr>
          <w:rFonts w:ascii="宋体" w:hAnsi="宋体"/>
          <w:sz w:val="24"/>
        </w:rPr>
        <w:t>乙方在本合同外通过书面形式或大众媒体方式公开做出的服务承诺，自动成为本合同的组成部分，但其中为用户设定的义务，未经甲方同意的，不成为本合同的组成部分。</w:t>
      </w:r>
    </w:p>
    <w:p>
      <w:pPr>
        <w:keepNext w:val="0"/>
        <w:keepLines w:val="0"/>
        <w:pageBreakBefore w:val="0"/>
        <w:tabs>
          <w:tab w:val="left" w:pos="540"/>
          <w:tab w:val="left" w:pos="747"/>
        </w:tabs>
        <w:kinsoku/>
        <w:wordWrap/>
        <w:overflowPunct/>
        <w:topLinePunct w:val="0"/>
        <w:autoSpaceDE/>
        <w:autoSpaceDN/>
        <w:bidi w:val="0"/>
        <w:adjustRightInd/>
        <w:spacing w:after="0" w:line="360" w:lineRule="auto"/>
        <w:ind w:firstLine="480" w:firstLineChars="200"/>
        <w:rPr>
          <w:rFonts w:ascii="宋体" w:hAnsi="宋体"/>
          <w:sz w:val="24"/>
        </w:rPr>
      </w:pPr>
      <w:r>
        <w:rPr>
          <w:rFonts w:hint="eastAsia" w:ascii="宋体" w:hAnsi="宋体"/>
          <w:sz w:val="24"/>
        </w:rPr>
        <w:t>14.5</w:t>
      </w:r>
      <w:r>
        <w:rPr>
          <w:rFonts w:ascii="宋体" w:hAnsi="宋体"/>
          <w:sz w:val="24"/>
        </w:rPr>
        <w:t>本合同一式</w:t>
      </w:r>
      <w:r>
        <w:rPr>
          <w:rFonts w:hint="eastAsia" w:ascii="宋体" w:hAnsi="宋体"/>
          <w:sz w:val="24"/>
        </w:rPr>
        <w:t>肆</w:t>
      </w:r>
      <w:r>
        <w:rPr>
          <w:rFonts w:ascii="宋体" w:hAnsi="宋体"/>
          <w:sz w:val="24"/>
        </w:rPr>
        <w:t>份，甲方、乙方</w:t>
      </w:r>
      <w:r>
        <w:rPr>
          <w:rFonts w:hint="eastAsia" w:ascii="宋体" w:hAnsi="宋体"/>
          <w:sz w:val="24"/>
        </w:rPr>
        <w:t>各</w:t>
      </w:r>
      <w:r>
        <w:rPr>
          <w:rFonts w:ascii="宋体" w:hAnsi="宋体"/>
          <w:sz w:val="24"/>
        </w:rPr>
        <w:t>执</w:t>
      </w:r>
      <w:r>
        <w:rPr>
          <w:rFonts w:hint="eastAsia" w:ascii="宋体" w:hAnsi="宋体"/>
          <w:sz w:val="24"/>
        </w:rPr>
        <w:t>贰</w:t>
      </w:r>
      <w:r>
        <w:rPr>
          <w:rFonts w:ascii="宋体" w:hAnsi="宋体"/>
          <w:sz w:val="24"/>
        </w:rPr>
        <w:t>份。</w:t>
      </w:r>
    </w:p>
    <w:p>
      <w:pPr>
        <w:keepNext w:val="0"/>
        <w:keepLines w:val="0"/>
        <w:pageBreakBefore w:val="0"/>
        <w:tabs>
          <w:tab w:val="left" w:pos="540"/>
          <w:tab w:val="left" w:pos="747"/>
        </w:tabs>
        <w:kinsoku/>
        <w:wordWrap/>
        <w:overflowPunct/>
        <w:topLinePunct w:val="0"/>
        <w:autoSpaceDE/>
        <w:autoSpaceDN/>
        <w:bidi w:val="0"/>
        <w:adjustRightInd/>
        <w:spacing w:after="0" w:line="360" w:lineRule="auto"/>
        <w:ind w:firstLine="480" w:firstLineChars="200"/>
        <w:rPr>
          <w:rFonts w:ascii="宋体" w:hAnsi="宋体"/>
          <w:sz w:val="24"/>
        </w:rPr>
      </w:pPr>
      <w:r>
        <w:rPr>
          <w:rFonts w:hint="eastAsia" w:ascii="宋体" w:hAnsi="宋体"/>
          <w:sz w:val="24"/>
        </w:rPr>
        <w:t>14.6本合同自甲乙双方签字盖章后生效。</w:t>
      </w:r>
    </w:p>
    <w:p>
      <w:pPr>
        <w:keepNext w:val="0"/>
        <w:keepLines w:val="0"/>
        <w:pageBreakBefore w:val="0"/>
        <w:tabs>
          <w:tab w:val="left" w:pos="540"/>
          <w:tab w:val="left" w:pos="747"/>
        </w:tabs>
        <w:kinsoku/>
        <w:wordWrap/>
        <w:overflowPunct/>
        <w:topLinePunct w:val="0"/>
        <w:autoSpaceDE/>
        <w:autoSpaceDN/>
        <w:bidi w:val="0"/>
        <w:adjustRightInd/>
        <w:spacing w:after="0" w:line="360" w:lineRule="auto"/>
        <w:ind w:firstLine="480" w:firstLineChars="200"/>
        <w:rPr>
          <w:rFonts w:ascii="宋体" w:hAnsi="宋体"/>
          <w:sz w:val="24"/>
        </w:rPr>
      </w:pPr>
      <w:r>
        <w:rPr>
          <w:rFonts w:hint="eastAsia" w:ascii="宋体" w:hAnsi="宋体"/>
          <w:sz w:val="24"/>
        </w:rPr>
        <w:t>14.7</w:t>
      </w:r>
      <w:r>
        <w:rPr>
          <w:rFonts w:ascii="宋体" w:hAnsi="宋体"/>
          <w:sz w:val="24"/>
        </w:rPr>
        <w:t>本合同应按照中华人民共和国的法律进行解释。</w:t>
      </w:r>
    </w:p>
    <w:p>
      <w:pPr>
        <w:keepNext w:val="0"/>
        <w:keepLines w:val="0"/>
        <w:pageBreakBefore w:val="0"/>
        <w:tabs>
          <w:tab w:val="left" w:pos="540"/>
          <w:tab w:val="left" w:pos="747"/>
        </w:tabs>
        <w:kinsoku/>
        <w:wordWrap/>
        <w:overflowPunct/>
        <w:topLinePunct w:val="0"/>
        <w:autoSpaceDE/>
        <w:autoSpaceDN/>
        <w:bidi w:val="0"/>
        <w:adjustRightInd/>
        <w:spacing w:after="0" w:line="360" w:lineRule="auto"/>
        <w:ind w:firstLine="480" w:firstLineChars="200"/>
        <w:rPr>
          <w:rFonts w:ascii="宋体" w:hAnsi="宋体"/>
          <w:sz w:val="24"/>
        </w:rPr>
      </w:pPr>
      <w:r>
        <w:rPr>
          <w:rFonts w:hint="eastAsia" w:ascii="宋体" w:hAnsi="宋体"/>
          <w:sz w:val="24"/>
        </w:rPr>
        <w:t>14.8本协议签署页记载地址系双方确认的送达地址，双方该送达地址适用范围包括双方非诉时各类通知、协议等文件以及就协议发生纠纷时相关文件和法律文书的送达，同时包括在争议进入仲裁、民事诉讼程序后的一审、二审、再审和执行程序。送达地址变更需提前书面通知对方。</w:t>
      </w:r>
    </w:p>
    <w:p>
      <w:pPr>
        <w:keepNext w:val="0"/>
        <w:keepLines w:val="0"/>
        <w:pageBreakBefore w:val="0"/>
        <w:tabs>
          <w:tab w:val="left" w:pos="540"/>
          <w:tab w:val="left" w:pos="747"/>
        </w:tabs>
        <w:kinsoku/>
        <w:wordWrap/>
        <w:overflowPunct/>
        <w:topLinePunct w:val="0"/>
        <w:autoSpaceDE/>
        <w:autoSpaceDN/>
        <w:bidi w:val="0"/>
        <w:adjustRightInd/>
        <w:spacing w:after="0" w:line="360" w:lineRule="auto"/>
        <w:ind w:left="275" w:leftChars="131"/>
        <w:rPr>
          <w:rFonts w:ascii="宋体" w:hAnsi="宋体"/>
          <w:sz w:val="24"/>
        </w:rPr>
      </w:pPr>
      <w:r>
        <w:rPr>
          <w:rFonts w:hint="eastAsia" w:ascii="宋体" w:hAnsi="宋体"/>
          <w:sz w:val="24"/>
        </w:rPr>
        <w:t>（以下无正文）</w:t>
      </w:r>
    </w:p>
    <w:p>
      <w:pPr>
        <w:rPr>
          <w:rFonts w:hint="eastAsia" w:ascii="宋体" w:hAnsi="宋体"/>
          <w:sz w:val="24"/>
        </w:rPr>
      </w:pPr>
      <w:r>
        <w:rPr>
          <w:rFonts w:hint="eastAsia" w:ascii="宋体" w:hAnsi="宋体"/>
          <w:sz w:val="24"/>
        </w:rPr>
        <w:br w:type="page"/>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hint="eastAsia" w:ascii="宋体" w:hAnsi="宋体"/>
          <w:sz w:val="24"/>
        </w:rPr>
      </w:pPr>
      <w:r>
        <w:rPr>
          <w:rFonts w:hint="eastAsia" w:ascii="宋体" w:hAnsi="宋体"/>
          <w:sz w:val="24"/>
        </w:rPr>
        <w:t>甲方（盖章）：杭州市拱墅区疾病预防控制中心</w:t>
      </w:r>
      <w:r>
        <w:rPr>
          <w:rFonts w:hint="eastAsia" w:ascii="宋体" w:hAnsi="宋体"/>
          <w:sz w:val="24"/>
          <w:lang w:val="en-US" w:eastAsia="zh-CN"/>
        </w:rPr>
        <w:t xml:space="preserve">  </w:t>
      </w:r>
      <w:r>
        <w:rPr>
          <w:rFonts w:hint="eastAsia" w:ascii="宋体" w:hAnsi="宋体"/>
          <w:sz w:val="24"/>
        </w:rPr>
        <w:t>乙方（盖章）：</w:t>
      </w:r>
    </w:p>
    <w:p>
      <w:pPr>
        <w:keepNext w:val="0"/>
        <w:keepLines w:val="0"/>
        <w:pageBreakBefore w:val="0"/>
        <w:widowControl w:val="0"/>
        <w:kinsoku/>
        <w:wordWrap/>
        <w:overflowPunct/>
        <w:topLinePunct w:val="0"/>
        <w:autoSpaceDE/>
        <w:autoSpaceDN/>
        <w:bidi w:val="0"/>
        <w:adjustRightInd w:val="0"/>
        <w:snapToGrid/>
        <w:spacing w:after="0" w:line="360" w:lineRule="auto"/>
        <w:ind w:firstLine="1440" w:firstLineChars="600"/>
        <w:textAlignment w:val="auto"/>
        <w:rPr>
          <w:rFonts w:ascii="宋体" w:hAnsi="宋体"/>
          <w:sz w:val="24"/>
        </w:rPr>
      </w:pPr>
      <w:r>
        <w:rPr>
          <w:rFonts w:hint="eastAsia" w:ascii="宋体" w:hAnsi="宋体"/>
          <w:sz w:val="24"/>
        </w:rPr>
        <w:t xml:space="preserve">（杭州市拱墅区卫生监督所）  </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sz w:val="24"/>
        </w:rPr>
      </w:pPr>
      <w:r>
        <w:rPr>
          <w:rFonts w:hint="eastAsia" w:ascii="宋体" w:hAnsi="宋体"/>
          <w:sz w:val="24"/>
        </w:rPr>
        <w:t>法定代表人或受委托人（签字）：              法定代表人或受委托人（签字）：</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sz w:val="24"/>
        </w:rPr>
      </w:pPr>
      <w:r>
        <w:rPr>
          <w:rFonts w:hint="eastAsia" w:ascii="宋体" w:hAnsi="宋体"/>
          <w:sz w:val="24"/>
        </w:rPr>
        <w:t>联系人：                                    联系人：</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sz w:val="24"/>
        </w:rPr>
      </w:pPr>
      <w:r>
        <w:rPr>
          <w:rFonts w:hint="eastAsia" w:ascii="宋体" w:hAnsi="宋体"/>
          <w:sz w:val="24"/>
        </w:rPr>
        <w:t xml:space="preserve">地址： 杭州市半山街道园河弄51号            地址： </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sz w:val="24"/>
        </w:rPr>
      </w:pPr>
      <w:r>
        <w:rPr>
          <w:rFonts w:hint="eastAsia" w:ascii="宋体" w:hAnsi="宋体"/>
          <w:sz w:val="24"/>
        </w:rPr>
        <w:t xml:space="preserve">电话： </w:t>
      </w:r>
      <w:r>
        <w:rPr>
          <w:rFonts w:hint="eastAsia" w:ascii="宋体" w:hAnsi="宋体" w:cs="宋体"/>
          <w:sz w:val="24"/>
        </w:rPr>
        <w:t>0571-88129112</w:t>
      </w:r>
      <w:r>
        <w:rPr>
          <w:rFonts w:hint="eastAsia" w:ascii="宋体" w:hAnsi="宋体"/>
          <w:sz w:val="24"/>
        </w:rPr>
        <w:t xml:space="preserve">                        电话：</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sz w:val="24"/>
        </w:rPr>
      </w:pPr>
      <w:r>
        <w:rPr>
          <w:rFonts w:hint="eastAsia" w:ascii="宋体" w:hAnsi="宋体"/>
          <w:sz w:val="24"/>
        </w:rPr>
        <w:t>传真：/                                     传真：/</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sz w:val="24"/>
        </w:rPr>
      </w:pPr>
      <w:r>
        <w:rPr>
          <w:rFonts w:hint="eastAsia" w:ascii="宋体" w:hAnsi="宋体"/>
          <w:sz w:val="24"/>
        </w:rPr>
        <w:t xml:space="preserve">开户银行：/                                 开户银行： </w:t>
      </w:r>
    </w:p>
    <w:p>
      <w:pPr>
        <w:keepNext w:val="0"/>
        <w:keepLines w:val="0"/>
        <w:pageBreakBefore w:val="0"/>
        <w:widowControl w:val="0"/>
        <w:kinsoku/>
        <w:wordWrap/>
        <w:overflowPunct/>
        <w:topLinePunct w:val="0"/>
        <w:autoSpaceDE/>
        <w:autoSpaceDN/>
        <w:bidi w:val="0"/>
        <w:adjustRightInd w:val="0"/>
        <w:snapToGrid/>
        <w:spacing w:after="0" w:line="360" w:lineRule="auto"/>
        <w:textAlignment w:val="auto"/>
        <w:rPr>
          <w:rFonts w:ascii="宋体" w:hAnsi="宋体"/>
          <w:sz w:val="24"/>
        </w:rPr>
      </w:pPr>
      <w:r>
        <w:rPr>
          <w:rFonts w:hint="eastAsia" w:ascii="宋体" w:hAnsi="宋体"/>
          <w:sz w:val="24"/>
        </w:rPr>
        <w:t>帐号：/                                     帐号：</w:t>
      </w:r>
    </w:p>
    <w:p>
      <w:pPr>
        <w:keepNext w:val="0"/>
        <w:keepLines w:val="0"/>
        <w:pageBreakBefore w:val="0"/>
        <w:widowControl w:val="0"/>
        <w:kinsoku/>
        <w:wordWrap/>
        <w:overflowPunct/>
        <w:topLinePunct w:val="0"/>
        <w:autoSpaceDE/>
        <w:autoSpaceDN/>
        <w:bidi w:val="0"/>
        <w:adjustRightInd w:val="0"/>
        <w:snapToGrid/>
        <w:spacing w:after="0"/>
        <w:jc w:val="center"/>
        <w:textAlignment w:val="auto"/>
        <w:rPr>
          <w:rFonts w:ascii="宋体" w:hAnsi="宋体" w:cs="宋体"/>
          <w:sz w:val="32"/>
          <w:szCs w:val="32"/>
        </w:rPr>
      </w:pPr>
      <w:r>
        <w:rPr>
          <w:rFonts w:hint="eastAsia" w:ascii="宋体" w:hAnsi="宋体" w:cs="宋体"/>
          <w:sz w:val="24"/>
        </w:rPr>
        <w:t>签订日期：                                  签订日期：</w:t>
      </w:r>
      <w:r>
        <w:rPr>
          <w:rFonts w:hint="eastAsia" w:ascii="宋体" w:hAnsi="宋体" w:cs="宋体"/>
          <w:sz w:val="32"/>
          <w:szCs w:val="32"/>
        </w:rPr>
        <w:br w:type="page"/>
      </w:r>
    </w:p>
    <w:p>
      <w:pPr>
        <w:spacing w:line="360" w:lineRule="auto"/>
        <w:ind w:left="720" w:firstLine="723" w:firstLineChars="200"/>
        <w:outlineLvl w:val="0"/>
        <w:rPr>
          <w:rFonts w:ascii="宋体" w:hAnsi="宋体" w:cs="宋体"/>
          <w:b/>
          <w:sz w:val="36"/>
          <w:szCs w:val="20"/>
        </w:rPr>
      </w:pPr>
      <w:r>
        <w:rPr>
          <w:rFonts w:hint="eastAsia" w:ascii="宋体" w:hAnsi="宋体" w:cs="宋体"/>
          <w:b/>
          <w:sz w:val="36"/>
          <w:szCs w:val="20"/>
        </w:rPr>
        <w:t>第六章 应提交的有关格式范例</w:t>
      </w:r>
    </w:p>
    <w:p>
      <w:pPr>
        <w:spacing w:line="360" w:lineRule="auto"/>
        <w:jc w:val="center"/>
        <w:outlineLvl w:val="0"/>
        <w:rPr>
          <w:rFonts w:ascii="宋体" w:hAnsi="宋体" w:cs="宋体"/>
          <w:b/>
          <w:kern w:val="0"/>
          <w:sz w:val="36"/>
          <w:szCs w:val="36"/>
        </w:rPr>
      </w:pP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pPr>
        <w:spacing w:line="360" w:lineRule="auto"/>
        <w:jc w:val="center"/>
        <w:outlineLvl w:val="0"/>
        <w:rPr>
          <w:rFonts w:ascii="宋体" w:hAnsi="宋体" w:cs="宋体"/>
          <w:b/>
          <w:kern w:val="0"/>
          <w:sz w:val="36"/>
          <w:szCs w:val="36"/>
        </w:rPr>
      </w:pPr>
    </w:p>
    <w:p>
      <w:pPr>
        <w:snapToGrid w:val="0"/>
        <w:spacing w:line="360" w:lineRule="auto"/>
        <w:rPr>
          <w:rFonts w:ascii="宋体" w:hAnsi="宋体" w:cs="宋体"/>
          <w:sz w:val="24"/>
        </w:rPr>
      </w:pPr>
      <w:r>
        <w:rPr>
          <w:rFonts w:hint="eastAsia" w:ascii="宋体" w:hAnsi="宋体" w:cs="宋体"/>
          <w:sz w:val="24"/>
        </w:rPr>
        <w:t>（1）符合参加采购活动应当具备的一般条件的承诺函……………（页码）</w:t>
      </w:r>
    </w:p>
    <w:p>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pPr>
        <w:snapToGrid w:val="0"/>
        <w:spacing w:line="360" w:lineRule="auto"/>
        <w:rPr>
          <w:rFonts w:ascii="宋体" w:hAnsi="宋体" w:cs="宋体"/>
          <w:sz w:val="24"/>
        </w:rPr>
      </w:pPr>
      <w:r>
        <w:rPr>
          <w:rFonts w:hint="eastAsia" w:ascii="宋体" w:hAnsi="宋体" w:cs="宋体"/>
          <w:sz w:val="24"/>
        </w:rPr>
        <w:t>（3）本项目的特定资格要求………………………………………………（页码）</w:t>
      </w:r>
    </w:p>
    <w:p>
      <w:pPr>
        <w:snapToGrid w:val="0"/>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符合参加采购活动应当具备的一般条件的承诺函</w:t>
      </w:r>
    </w:p>
    <w:p>
      <w:pPr>
        <w:snapToGrid w:val="0"/>
        <w:spacing w:line="360" w:lineRule="auto"/>
        <w:rPr>
          <w:rFonts w:ascii="宋体" w:hAnsi="宋体" w:cs="宋体"/>
          <w:sz w:val="24"/>
        </w:rPr>
      </w:pPr>
      <w:r>
        <w:rPr>
          <w:rFonts w:hint="eastAsia" w:ascii="宋体" w:hAnsi="宋体" w:cs="宋体"/>
          <w:sz w:val="24"/>
        </w:rPr>
        <w:t>（采购人）、（采购代理机构）：</w:t>
      </w:r>
    </w:p>
    <w:p>
      <w:pPr>
        <w:snapToGrid w:val="0"/>
        <w:spacing w:line="360" w:lineRule="auto"/>
        <w:ind w:firstLine="480" w:firstLineChars="200"/>
        <w:rPr>
          <w:rFonts w:ascii="宋体" w:hAnsi="宋体" w:cs="宋体"/>
          <w:sz w:val="24"/>
        </w:rPr>
      </w:pPr>
      <w:r>
        <w:rPr>
          <w:rFonts w:hint="eastAsia" w:ascii="宋体" w:hAnsi="宋体" w:cs="宋体"/>
          <w:sz w:val="24"/>
        </w:rPr>
        <w:t>我方参与（项目名称）【采购编号：（采购编号）】采购活动，郑重承诺：</w:t>
      </w:r>
    </w:p>
    <w:p>
      <w:pPr>
        <w:snapToGrid w:val="0"/>
        <w:spacing w:line="360" w:lineRule="auto"/>
        <w:ind w:firstLine="360" w:firstLineChars="150"/>
        <w:rPr>
          <w:rFonts w:ascii="宋体" w:hAnsi="宋体" w:cs="宋体"/>
          <w:sz w:val="24"/>
        </w:rPr>
      </w:pPr>
      <w:r>
        <w:rPr>
          <w:rFonts w:hint="eastAsia" w:ascii="宋体" w:hAnsi="宋体" w:cs="宋体"/>
          <w:sz w:val="24"/>
        </w:rPr>
        <w:t>（一）具备以下条件：</w:t>
      </w:r>
    </w:p>
    <w:p>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pPr>
        <w:snapToGrid w:val="0"/>
        <w:spacing w:line="360" w:lineRule="auto"/>
        <w:ind w:firstLine="480" w:firstLineChars="200"/>
        <w:rPr>
          <w:rFonts w:ascii="宋体" w:hAnsi="宋体" w:cs="宋体"/>
          <w:sz w:val="24"/>
        </w:rPr>
      </w:pPr>
      <w:r>
        <w:rPr>
          <w:rFonts w:hint="eastAsia" w:ascii="宋体" w:hAnsi="宋体" w:cs="宋体"/>
          <w:sz w:val="24"/>
        </w:rPr>
        <w:t>5、具有法律、行政法规规定的其他条件。</w:t>
      </w:r>
    </w:p>
    <w:p>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1、单位负责人为同一人或者存在直接控股、管理关系的不同供应商参加同一合同项下的采购活动的；</w:t>
      </w:r>
    </w:p>
    <w:p>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供应商名称(电子签名)：</w:t>
      </w:r>
    </w:p>
    <w:p>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rPr>
          <w:rFonts w:ascii="宋体" w:hAnsi="宋体" w:cs="宋体"/>
        </w:rPr>
      </w:pPr>
    </w:p>
    <w:p>
      <w:pPr>
        <w:widowControl/>
        <w:spacing w:line="360" w:lineRule="auto"/>
        <w:ind w:firstLine="643" w:firstLineChars="200"/>
        <w:jc w:val="center"/>
        <w:rPr>
          <w:rFonts w:ascii="宋体" w:hAnsi="宋体" w:cs="宋体"/>
          <w:b/>
          <w:kern w:val="0"/>
          <w:sz w:val="32"/>
          <w:szCs w:val="32"/>
        </w:rPr>
      </w:pPr>
    </w:p>
    <w:p>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[以联合体形式响应的，提供联合协议（附件5）；本项目不接受联合体响应或者供应商不以联合体形式响应的，则不需要提供]</w:t>
      </w: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三、本项目的特定资格要求</w:t>
      </w:r>
    </w:p>
    <w:p>
      <w:pPr>
        <w:spacing w:line="360" w:lineRule="auto"/>
        <w:jc w:val="center"/>
        <w:rPr>
          <w:rFonts w:ascii="宋体" w:hAnsi="宋体" w:cs="宋体"/>
          <w:sz w:val="24"/>
        </w:rPr>
      </w:pPr>
      <w:r>
        <w:rPr>
          <w:rFonts w:hint="eastAsia" w:ascii="宋体" w:hAnsi="宋体" w:cs="宋体"/>
          <w:sz w:val="24"/>
        </w:rPr>
        <w:t>（根据交易公告本项目的特定资格要求提供相应的材料；未要求的，无需提供）</w:t>
      </w:r>
    </w:p>
    <w:p>
      <w:pPr>
        <w:rPr>
          <w:rFonts w:ascii="宋体" w:hAnsi="宋体" w:cs="宋体"/>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pPr>
        <w:snapToGrid w:val="0"/>
        <w:spacing w:line="360" w:lineRule="auto"/>
        <w:ind w:left="479" w:leftChars="228"/>
        <w:rPr>
          <w:rFonts w:ascii="宋体" w:hAnsi="宋体" w:cs="宋体"/>
        </w:rPr>
      </w:pPr>
      <w:r>
        <w:rPr>
          <w:rFonts w:hint="eastAsia" w:ascii="宋体" w:hAnsi="宋体" w:cs="宋体"/>
          <w:sz w:val="24"/>
        </w:rPr>
        <w:t>（1）响应函</w:t>
      </w:r>
      <w:r>
        <w:rPr>
          <w:rFonts w:hint="eastAsia" w:ascii="宋体" w:hAnsi="宋体" w:cs="宋体"/>
        </w:rPr>
        <w:t>…………………………………………………………………………………（页码）</w:t>
      </w:r>
      <w:r>
        <w:rPr>
          <w:rFonts w:hint="eastAsia" w:ascii="宋体" w:hAnsi="宋体" w:cs="宋体"/>
          <w:sz w:val="24"/>
        </w:rPr>
        <w:t>（2）授权委托书或法定代表人（单位负责人）身份证明…</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）评审标准相应的商务技术资料</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）响应标的清单</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）采购供应商廉洁自律承诺书</w:t>
      </w:r>
      <w:r>
        <w:rPr>
          <w:rFonts w:hint="eastAsia" w:ascii="宋体" w:hAnsi="宋体" w:cs="宋体"/>
        </w:rPr>
        <w:t>…………………………………………………（页码）</w:t>
      </w: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outlineLvl w:val="0"/>
        <w:rPr>
          <w:rFonts w:ascii="宋体" w:hAnsi="宋体" w:cs="宋体"/>
          <w:b/>
          <w:kern w:val="0"/>
          <w:sz w:val="32"/>
          <w:szCs w:val="32"/>
        </w:rPr>
      </w:pPr>
    </w:p>
    <w:p>
      <w:pPr>
        <w:snapToGrid w:val="0"/>
        <w:spacing w:line="360" w:lineRule="auto"/>
        <w:jc w:val="center"/>
        <w:outlineLvl w:val="0"/>
        <w:rPr>
          <w:rFonts w:ascii="宋体" w:hAnsi="宋体" w:cs="宋体"/>
          <w:b/>
          <w:kern w:val="0"/>
          <w:sz w:val="32"/>
          <w:szCs w:val="32"/>
        </w:rPr>
      </w:pPr>
    </w:p>
    <w:p>
      <w:pPr>
        <w:rPr>
          <w:rFonts w:ascii="宋体" w:hAnsi="宋体" w:cs="宋体"/>
        </w:rPr>
      </w:pPr>
    </w:p>
    <w:p>
      <w:pPr>
        <w:snapToGrid w:val="0"/>
        <w:spacing w:line="360" w:lineRule="auto"/>
        <w:jc w:val="center"/>
        <w:outlineLvl w:val="0"/>
        <w:rPr>
          <w:rFonts w:ascii="宋体" w:hAnsi="宋体" w:cs="宋体"/>
          <w:b/>
          <w:kern w:val="0"/>
          <w:sz w:val="32"/>
          <w:szCs w:val="32"/>
        </w:rPr>
      </w:pPr>
    </w:p>
    <w:p>
      <w:pPr>
        <w:snapToGrid w:val="0"/>
        <w:spacing w:line="360" w:lineRule="auto"/>
        <w:jc w:val="center"/>
        <w:outlineLvl w:val="0"/>
        <w:rPr>
          <w:rFonts w:ascii="宋体" w:hAnsi="宋体" w:cs="宋体"/>
          <w:b/>
          <w:kern w:val="0"/>
          <w:sz w:val="32"/>
          <w:szCs w:val="32"/>
        </w:rPr>
      </w:pPr>
    </w:p>
    <w:p>
      <w:pPr>
        <w:snapToGrid w:val="0"/>
        <w:spacing w:line="360" w:lineRule="auto"/>
        <w:ind w:firstLine="3855" w:firstLineChars="1200"/>
        <w:outlineLvl w:val="0"/>
        <w:rPr>
          <w:rFonts w:ascii="宋体" w:hAnsi="宋体" w:cs="宋体"/>
          <w:b/>
          <w:sz w:val="32"/>
          <w:szCs w:val="32"/>
        </w:rPr>
      </w:pPr>
      <w:r>
        <w:rPr>
          <w:rFonts w:hint="eastAsia" w:ascii="宋体" w:hAnsi="宋体" w:cs="宋体"/>
          <w:b/>
          <w:kern w:val="0"/>
          <w:sz w:val="32"/>
          <w:szCs w:val="32"/>
        </w:rPr>
        <w:t>一、响应</w:t>
      </w:r>
      <w:r>
        <w:rPr>
          <w:rFonts w:hint="eastAsia" w:ascii="宋体" w:hAnsi="宋体" w:cs="宋体"/>
          <w:b/>
          <w:sz w:val="32"/>
          <w:szCs w:val="32"/>
        </w:rPr>
        <w:t>函</w:t>
      </w:r>
    </w:p>
    <w:p>
      <w:pPr>
        <w:snapToGrid w:val="0"/>
        <w:spacing w:line="360" w:lineRule="auto"/>
        <w:rPr>
          <w:rFonts w:ascii="宋体" w:hAnsi="宋体" w:cs="宋体"/>
          <w:sz w:val="24"/>
        </w:rPr>
      </w:pPr>
      <w:r>
        <w:rPr>
          <w:rFonts w:hint="eastAsia" w:ascii="宋体" w:hAnsi="宋体" w:cs="宋体"/>
          <w:sz w:val="24"/>
        </w:rPr>
        <w:t>（采购人）、（采购代理机构）：</w:t>
      </w:r>
    </w:p>
    <w:p>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我方参加你方组织的（项目名称）【采购编号：（采购编号）】采购的有关活动，并对此项目进行响应。为此：</w:t>
      </w:r>
    </w:p>
    <w:p>
      <w:pPr>
        <w:snapToGrid w:val="0"/>
        <w:spacing w:line="360" w:lineRule="auto"/>
        <w:ind w:firstLine="480" w:firstLineChars="200"/>
        <w:rPr>
          <w:rFonts w:ascii="宋体" w:hAnsi="宋体" w:cs="宋体"/>
          <w:sz w:val="24"/>
        </w:rPr>
      </w:pPr>
      <w:r>
        <w:rPr>
          <w:rFonts w:hint="eastAsia" w:ascii="宋体" w:hAnsi="宋体" w:cs="宋体"/>
          <w:sz w:val="24"/>
        </w:rPr>
        <w:t>1、我方承诺响应有效期从提交响应文件的截止之日起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本响应文件在响应有效期满之前均具有约束力。</w:t>
      </w:r>
    </w:p>
    <w:p>
      <w:pPr>
        <w:snapToGrid w:val="0"/>
        <w:spacing w:line="360" w:lineRule="auto"/>
        <w:ind w:firstLine="480" w:firstLineChars="200"/>
        <w:rPr>
          <w:rFonts w:ascii="宋体" w:hAnsi="宋体" w:cs="宋体"/>
          <w:sz w:val="24"/>
        </w:rPr>
      </w:pPr>
      <w:r>
        <w:rPr>
          <w:rFonts w:hint="eastAsia" w:ascii="宋体" w:hAnsi="宋体" w:cs="宋体"/>
          <w:sz w:val="24"/>
        </w:rPr>
        <w:t>2、我方的响应文件包括以下内容：</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2.1.3本项目的特定资格要求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2.2.1响应函；</w:t>
      </w:r>
      <w:r>
        <w:rPr>
          <w:rFonts w:hint="eastAsia" w:ascii="宋体" w:hAnsi="宋体" w:cs="宋体"/>
          <w:sz w:val="24"/>
          <w:lang w:val="zh-CN"/>
        </w:rPr>
        <w:t xml:space="preserve"> </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评审标准相应的商务技术资料；</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响应标的清单；</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采购供应商廉洁自律承诺书；</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pPr>
        <w:snapToGrid w:val="0"/>
        <w:spacing w:line="360" w:lineRule="auto"/>
        <w:ind w:left="420" w:leftChars="200" w:firstLine="480" w:firstLineChars="200"/>
        <w:rPr>
          <w:rFonts w:eastAsia="仿宋_GB2312"/>
        </w:rPr>
      </w:pPr>
      <w:r>
        <w:rPr>
          <w:rFonts w:hint="eastAsia" w:ascii="宋体" w:hAnsi="宋体" w:cs="宋体"/>
          <w:sz w:val="24"/>
        </w:rPr>
        <w:t>2.3.2 报价情况说明（如果有）；</w:t>
      </w:r>
    </w:p>
    <w:p>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3、我方承诺除商务技术偏离表列出的偏离外，我方响应采购文件的全部要求。对响应文件中材料的真实性、合法性负责。</w:t>
      </w:r>
    </w:p>
    <w:p>
      <w:pPr>
        <w:snapToGrid w:val="0"/>
        <w:spacing w:line="360" w:lineRule="auto"/>
        <w:ind w:firstLine="480" w:firstLineChars="200"/>
        <w:rPr>
          <w:rFonts w:ascii="宋体" w:hAnsi="宋体" w:cs="宋体"/>
          <w:sz w:val="24"/>
        </w:rPr>
      </w:pPr>
      <w:r>
        <w:rPr>
          <w:rFonts w:hint="eastAsia" w:ascii="宋体" w:hAnsi="宋体" w:cs="宋体"/>
          <w:sz w:val="24"/>
        </w:rPr>
        <w:t>4、如我方成为成交供应商，我方承诺：</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4.1在收到成交确认通知书后，在通知书规定的期限内与你方签订合同；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4.3按照采购文件要求提交履约保证金；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pPr>
        <w:spacing w:line="360" w:lineRule="auto"/>
        <w:ind w:firstLine="3600" w:firstLineChars="1500"/>
        <w:rPr>
          <w:rFonts w:ascii="宋体" w:hAnsi="宋体" w:cs="宋体"/>
          <w:sz w:val="24"/>
        </w:rPr>
      </w:pPr>
      <w:r>
        <w:rPr>
          <w:rFonts w:hint="eastAsia" w:ascii="宋体" w:hAnsi="宋体" w:cs="宋体"/>
          <w:sz w:val="24"/>
        </w:rPr>
        <w:t xml:space="preserve">供应商名称（电子签名）：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left="420" w:leftChars="200" w:firstLine="4200" w:firstLineChars="1750"/>
        <w:rPr>
          <w:rFonts w:ascii="宋体" w:hAnsi="宋体" w:cs="宋体"/>
          <w:kern w:val="0"/>
          <w:sz w:val="24"/>
          <w:u w:val="single"/>
        </w:rPr>
      </w:pPr>
    </w:p>
    <w:p>
      <w:pPr>
        <w:spacing w:line="360" w:lineRule="auto"/>
        <w:ind w:right="420"/>
        <w:rPr>
          <w:rFonts w:ascii="宋体" w:hAnsi="宋体" w:cs="宋体"/>
          <w:sz w:val="24"/>
        </w:rPr>
      </w:pPr>
      <w:r>
        <w:rPr>
          <w:rFonts w:hint="eastAsia" w:ascii="宋体" w:hAnsi="宋体" w:cs="宋体"/>
          <w:sz w:val="24"/>
        </w:rPr>
        <w:t>注：按本格式和要求提供。</w:t>
      </w:r>
    </w:p>
    <w:p>
      <w:pPr>
        <w:snapToGrid w:val="0"/>
        <w:spacing w:line="360" w:lineRule="auto"/>
        <w:jc w:val="center"/>
        <w:rPr>
          <w:rFonts w:ascii="宋体" w:hAnsi="宋体" w:cs="宋体"/>
          <w:b/>
          <w:kern w:val="0"/>
          <w:sz w:val="32"/>
          <w:szCs w:val="32"/>
        </w:rPr>
      </w:pPr>
    </w:p>
    <w:p>
      <w:pPr>
        <w:snapToGrid w:val="0"/>
        <w:spacing w:line="360" w:lineRule="auto"/>
        <w:rPr>
          <w:rFonts w:ascii="宋体" w:hAnsi="宋体" w:cs="宋体"/>
          <w:sz w:val="24"/>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二、授权委托书或法定代表人（单位负责人）身份证明</w:t>
      </w:r>
    </w:p>
    <w:p>
      <w:pPr>
        <w:snapToGrid w:val="0"/>
        <w:spacing w:line="360" w:lineRule="auto"/>
        <w:rPr>
          <w:rFonts w:ascii="宋体" w:hAnsi="宋体" w:cs="宋体"/>
          <w:sz w:val="24"/>
        </w:rPr>
      </w:pPr>
      <w:r>
        <w:rPr>
          <w:rFonts w:hint="eastAsia" w:ascii="宋体" w:hAnsi="宋体" w:cs="宋体"/>
          <w:sz w:val="24"/>
        </w:rPr>
        <w:t xml:space="preserve">                                </w:t>
      </w:r>
    </w:p>
    <w:p>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授权委托书（适用于非联合体响应）</w:t>
      </w:r>
      <w:r>
        <w:rPr>
          <w:rFonts w:hint="eastAsia" w:ascii="宋体" w:hAnsi="宋体" w:cs="宋体"/>
        </w:rPr>
        <w:t xml:space="preserve">                               </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（项目名称）【采购编号：（采购编号）】</w:t>
      </w:r>
      <w:r>
        <w:rPr>
          <w:rFonts w:hint="eastAsia" w:ascii="宋体" w:hAnsi="宋体" w:cs="宋体"/>
          <w:kern w:val="0"/>
          <w:sz w:val="24"/>
        </w:rPr>
        <w:t>项目</w:t>
      </w:r>
      <w:r>
        <w:rPr>
          <w:rFonts w:hint="eastAsia" w:ascii="宋体" w:hAnsi="宋体" w:cs="宋体"/>
          <w:kern w:val="0"/>
          <w:sz w:val="24"/>
          <w:lang w:val="zh-CN"/>
        </w:rPr>
        <w:t>采购响应的一切事项，其法律后果由我方承担。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snapToGrid w:val="0"/>
        <w:spacing w:line="360" w:lineRule="auto"/>
        <w:rPr>
          <w:rFonts w:ascii="宋体" w:hAnsi="宋体" w:cs="宋体"/>
          <w:kern w:val="0"/>
          <w:sz w:val="24"/>
        </w:rPr>
      </w:pPr>
      <w:r>
        <w:rPr>
          <w:rFonts w:hint="eastAsia" w:ascii="宋体" w:hAnsi="宋体" w:cs="宋体"/>
          <w:kern w:val="0"/>
          <w:sz w:val="24"/>
          <w:lang w:val="zh-CN"/>
        </w:rPr>
        <w:t xml:space="preserve">                                                 供应商名称(电子签名)：</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pPr>
        <w:jc w:val="center"/>
        <w:rPr>
          <w:rFonts w:ascii="宋体" w:hAnsi="宋体" w:cs="宋体"/>
          <w:b/>
          <w:kern w:val="0"/>
          <w:sz w:val="32"/>
          <w:szCs w:val="32"/>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授权委托书（适用于联合体响应）</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（项目名称）【采购编号：（采购编号）】</w:t>
      </w:r>
      <w:r>
        <w:rPr>
          <w:rFonts w:hint="eastAsia" w:ascii="宋体" w:hAnsi="宋体" w:cs="宋体"/>
          <w:kern w:val="0"/>
          <w:sz w:val="24"/>
        </w:rPr>
        <w:t>项目</w:t>
      </w:r>
      <w:r>
        <w:rPr>
          <w:rFonts w:hint="eastAsia" w:ascii="宋体" w:hAnsi="宋体" w:cs="宋体"/>
          <w:kern w:val="0"/>
          <w:sz w:val="24"/>
          <w:lang w:val="zh-CN"/>
        </w:rPr>
        <w:t>采购响应的一切事项，其法律后果由我方承担。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rPr>
          <w:rFonts w:ascii="宋体" w:hAnsi="宋体" w:cs="宋体"/>
        </w:rPr>
      </w:pP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pPr>
        <w:snapToGrid w:val="0"/>
        <w:spacing w:line="360" w:lineRule="auto"/>
        <w:ind w:firstLine="5760" w:firstLineChars="2400"/>
        <w:rPr>
          <w:rFonts w:ascii="宋体" w:hAnsi="宋体" w:cs="宋体"/>
        </w:rPr>
      </w:pPr>
      <w:r>
        <w:rPr>
          <w:rFonts w:hint="eastAsia" w:ascii="宋体" w:hAnsi="宋体" w:cs="宋体"/>
          <w:kern w:val="0"/>
          <w:sz w:val="24"/>
          <w:lang w:val="zh-CN"/>
        </w:rPr>
        <w:t>……</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pPr>
        <w:autoSpaceDE w:val="0"/>
        <w:autoSpaceDN w:val="0"/>
        <w:spacing w:line="360" w:lineRule="auto"/>
        <w:jc w:val="center"/>
        <w:rPr>
          <w:rFonts w:ascii="宋体" w:hAnsi="宋体" w:cs="宋体"/>
          <w:b/>
          <w:kern w:val="0"/>
          <w:sz w:val="32"/>
          <w:szCs w:val="32"/>
          <w:lang w:val="zh-CN"/>
        </w:rPr>
      </w:pPr>
    </w:p>
    <w:p>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w:t>
      </w:r>
      <w:r>
        <w:rPr>
          <w:rFonts w:hint="eastAsia" w:ascii="宋体" w:hAnsi="宋体" w:cs="宋体"/>
          <w:b/>
          <w:sz w:val="30"/>
          <w:szCs w:val="30"/>
        </w:rPr>
        <w:t>身份证明（适用于法定代表人、单位负责人代表供应商参加）</w:t>
      </w:r>
    </w:p>
    <w:p>
      <w:pPr>
        <w:pStyle w:val="36"/>
        <w:spacing w:line="360" w:lineRule="auto"/>
        <w:rPr>
          <w:rFonts w:hAnsi="宋体" w:cs="宋体"/>
          <w:bCs/>
          <w:sz w:val="24"/>
        </w:rPr>
      </w:pPr>
      <w:r>
        <w:rPr>
          <w:rFonts w:hint="eastAsia" w:hAnsi="宋体" w:cs="宋体"/>
          <w:bCs/>
          <w:sz w:val="24"/>
        </w:rPr>
        <w:t>身份证件扫描件：</w:t>
      </w:r>
    </w:p>
    <w:tbl>
      <w:tblPr>
        <w:tblStyle w:val="2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36"/>
              <w:adjustRightInd w:val="0"/>
              <w:spacing w:line="360" w:lineRule="auto"/>
              <w:rPr>
                <w:rFonts w:hAnsi="宋体" w:cs="宋体"/>
                <w:bCs/>
                <w:sz w:val="24"/>
              </w:rPr>
            </w:pPr>
            <w:r>
              <w:rPr>
                <w:rFonts w:hint="eastAsia" w:hAnsi="宋体" w:cs="宋体"/>
                <w:bCs/>
                <w:sz w:val="24"/>
              </w:rPr>
              <w:t>正面：                                 反面：</w:t>
            </w:r>
          </w:p>
          <w:p>
            <w:pPr>
              <w:pStyle w:val="36"/>
              <w:adjustRightInd w:val="0"/>
              <w:spacing w:line="360" w:lineRule="auto"/>
              <w:rPr>
                <w:rFonts w:hAnsi="宋体" w:cs="宋体"/>
                <w:bCs/>
                <w:sz w:val="24"/>
              </w:rPr>
            </w:pPr>
          </w:p>
        </w:tc>
      </w:tr>
    </w:tbl>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供应商名称(电子签名)：                              </w:t>
      </w:r>
    </w:p>
    <w:p>
      <w:pPr>
        <w:spacing w:line="360" w:lineRule="auto"/>
        <w:jc w:val="center"/>
        <w:rPr>
          <w:rFonts w:ascii="宋体" w:hAnsi="宋体" w:cs="宋体"/>
          <w:b/>
          <w:kern w:val="0"/>
          <w:sz w:val="32"/>
          <w:szCs w:val="32"/>
        </w:rPr>
      </w:pPr>
      <w:r>
        <w:rPr>
          <w:rFonts w:hint="eastAsia" w:ascii="宋体" w:hAnsi="宋体" w:cs="宋体"/>
          <w:kern w:val="0"/>
          <w:sz w:val="24"/>
          <w:lang w:val="zh-CN"/>
        </w:rPr>
        <w:t xml:space="preserve">                   日期：  年  月  日</w:t>
      </w:r>
    </w:p>
    <w:p>
      <w:pPr>
        <w:jc w:val="center"/>
        <w:rPr>
          <w:rFonts w:ascii="宋体" w:hAnsi="宋体" w:cs="宋体"/>
          <w:b/>
          <w:kern w:val="0"/>
          <w:sz w:val="32"/>
          <w:szCs w:val="32"/>
        </w:rPr>
      </w:pPr>
    </w:p>
    <w:p>
      <w:pPr>
        <w:jc w:val="center"/>
        <w:rPr>
          <w:rFonts w:ascii="宋体" w:hAnsi="宋体" w:cs="宋体"/>
          <w:b/>
          <w:kern w:val="0"/>
          <w:sz w:val="32"/>
          <w:szCs w:val="32"/>
        </w:rPr>
      </w:pPr>
    </w:p>
    <w:p>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pPr>
        <w:widowControl/>
        <w:spacing w:line="360" w:lineRule="auto"/>
        <w:ind w:firstLine="120" w:firstLineChars="50"/>
        <w:jc w:val="left"/>
        <w:rPr>
          <w:rFonts w:ascii="宋体" w:hAnsi="宋体" w:cs="宋体"/>
          <w:sz w:val="24"/>
        </w:rPr>
      </w:pPr>
      <w:bookmarkStart w:id="32" w:name="_Hlk101169080"/>
      <w:r>
        <w:rPr>
          <w:rFonts w:hint="eastAsia" w:ascii="宋体" w:hAnsi="宋体" w:cs="宋体"/>
          <w:sz w:val="24"/>
        </w:rPr>
        <w:t>[</w:t>
      </w:r>
      <w:r>
        <w:rPr>
          <w:rFonts w:hint="eastAsia" w:ascii="宋体" w:hAnsi="宋体" w:cs="宋体"/>
          <w:b/>
          <w:sz w:val="24"/>
        </w:rPr>
        <w:t>成交后以分包方式履行合同的，提供分包意向协议(附件6</w:t>
      </w:r>
      <w:r>
        <w:rPr>
          <w:rFonts w:ascii="宋体" w:hAnsi="宋体" w:cs="宋体"/>
          <w:b/>
          <w:sz w:val="24"/>
        </w:rPr>
        <w:t>)</w:t>
      </w:r>
      <w:r>
        <w:rPr>
          <w:rFonts w:hint="eastAsia" w:ascii="宋体" w:hAnsi="宋体" w:cs="宋体"/>
          <w:b/>
          <w:sz w:val="24"/>
        </w:rPr>
        <w:t>；采购人不同意分包或者供应商成交后不以分包方式履行合同的，则不需要提供]</w:t>
      </w:r>
    </w:p>
    <w:bookmarkEnd w:id="32"/>
    <w:p>
      <w:pPr>
        <w:snapToGrid w:val="0"/>
        <w:spacing w:line="360" w:lineRule="auto"/>
        <w:rPr>
          <w:rFonts w:ascii="宋体" w:hAnsi="宋体" w:cs="宋体"/>
          <w:kern w:val="0"/>
          <w:sz w:val="24"/>
        </w:rPr>
      </w:pPr>
    </w:p>
    <w:p>
      <w:pPr>
        <w:jc w:val="center"/>
        <w:rPr>
          <w:rFonts w:ascii="宋体" w:hAnsi="宋体" w:cs="宋体"/>
          <w:b/>
          <w:kern w:val="0"/>
          <w:sz w:val="32"/>
          <w:szCs w:val="32"/>
        </w:rPr>
      </w:pPr>
    </w:p>
    <w:p/>
    <w:p>
      <w:pPr>
        <w:pStyle w:val="4"/>
        <w:rPr>
          <w:lang w:val="en-US"/>
        </w:rPr>
      </w:pPr>
    </w:p>
    <w:p>
      <w:pPr>
        <w:jc w:val="center"/>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四、符合性审查资料</w:t>
      </w:r>
    </w:p>
    <w:p>
      <w:pPr>
        <w:jc w:val="center"/>
        <w:rPr>
          <w:rFonts w:ascii="宋体" w:hAnsi="宋体" w:cs="宋体"/>
          <w:b/>
          <w:kern w:val="0"/>
          <w:sz w:val="32"/>
          <w:szCs w:val="32"/>
        </w:rPr>
      </w:pPr>
    </w:p>
    <w:tbl>
      <w:tblPr>
        <w:tblStyle w:val="2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pPr>
              <w:snapToGrid w:val="0"/>
              <w:spacing w:line="240" w:lineRule="atLeast"/>
              <w:jc w:val="center"/>
              <w:rPr>
                <w:rFonts w:ascii="宋体" w:hAnsi="宋体" w:cs="宋体"/>
                <w:b/>
                <w:sz w:val="24"/>
              </w:rPr>
            </w:pPr>
            <w:r>
              <w:rPr>
                <w:rFonts w:hint="eastAsia" w:ascii="宋体" w:hAnsi="宋体" w:cs="宋体"/>
                <w:b/>
                <w:sz w:val="24"/>
              </w:rPr>
              <w:t>响应文件中的</w:t>
            </w:r>
          </w:p>
          <w:p>
            <w:pPr>
              <w:snapToGrid w:val="0"/>
              <w:spacing w:line="240" w:lineRule="atLeast"/>
              <w:jc w:val="center"/>
              <w:rPr>
                <w:rFonts w:ascii="宋体" w:hAnsi="宋体" w:cs="宋体"/>
                <w:b/>
                <w:sz w:val="24"/>
              </w:rPr>
            </w:pPr>
            <w:r>
              <w:rPr>
                <w:rFonts w:hint="eastAsia" w:ascii="宋体" w:hAnsi="宋体" w:cs="宋体"/>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rPr>
            </w:pPr>
            <w:r>
              <w:rPr>
                <w:rFonts w:hint="eastAsia" w:ascii="宋体" w:hAnsi="宋体" w:cs="宋体"/>
                <w:sz w:val="24"/>
              </w:rPr>
              <w:t>1</w:t>
            </w:r>
          </w:p>
        </w:tc>
        <w:tc>
          <w:tcPr>
            <w:tcW w:w="4991" w:type="dxa"/>
          </w:tcPr>
          <w:p>
            <w:pPr>
              <w:spacing w:line="360" w:lineRule="auto"/>
              <w:rPr>
                <w:rFonts w:ascii="宋体" w:hAnsi="宋体" w:cs="宋体"/>
                <w:sz w:val="24"/>
              </w:rPr>
            </w:pPr>
            <w:r>
              <w:rPr>
                <w:rFonts w:hint="eastAsia" w:ascii="宋体" w:hAnsi="宋体" w:cs="宋体"/>
                <w:sz w:val="24"/>
              </w:rPr>
              <w:t>响应文件按照采购文件要求签署、盖章。</w:t>
            </w:r>
          </w:p>
        </w:tc>
        <w:tc>
          <w:tcPr>
            <w:tcW w:w="2551" w:type="dxa"/>
            <w:vAlign w:val="center"/>
          </w:tcPr>
          <w:p>
            <w:pPr>
              <w:rPr>
                <w:rFonts w:ascii="宋体" w:hAnsi="宋体" w:cs="宋体"/>
                <w:sz w:val="24"/>
              </w:rPr>
            </w:pPr>
            <w:r>
              <w:rPr>
                <w:rFonts w:hint="eastAsia" w:ascii="宋体" w:hAnsi="宋体" w:cs="宋体"/>
                <w:sz w:val="24"/>
              </w:rPr>
              <w:t>需要使用电子签名或者签字盖章的响应文件的组成部分</w:t>
            </w:r>
          </w:p>
        </w:tc>
        <w:tc>
          <w:tcPr>
            <w:tcW w:w="1418" w:type="dxa"/>
          </w:tcPr>
          <w:p>
            <w:pPr>
              <w:rPr>
                <w:rFonts w:ascii="宋体" w:hAnsi="宋体" w:cs="宋体"/>
                <w:sz w:val="24"/>
              </w:rPr>
            </w:pPr>
          </w:p>
          <w:p>
            <w:pPr>
              <w:rPr>
                <w:rFonts w:ascii="宋体" w:hAnsi="宋体" w:cs="宋体"/>
                <w:sz w:val="24"/>
              </w:rPr>
            </w:pPr>
            <w:r>
              <w:rPr>
                <w:rFonts w:hint="eastAsia" w:ascii="宋体" w:hAnsi="宋体" w:cs="宋体"/>
                <w:sz w:val="24"/>
              </w:rPr>
              <w:t>见响应文件</w:t>
            </w:r>
          </w:p>
          <w:p>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rPr>
            </w:pPr>
            <w:r>
              <w:rPr>
                <w:rFonts w:hint="eastAsia" w:ascii="宋体" w:hAnsi="宋体" w:cs="宋体"/>
                <w:sz w:val="24"/>
              </w:rPr>
              <w:t>2</w:t>
            </w:r>
          </w:p>
        </w:tc>
        <w:tc>
          <w:tcPr>
            <w:tcW w:w="4991" w:type="dxa"/>
          </w:tcPr>
          <w:p>
            <w:pPr>
              <w:spacing w:line="360" w:lineRule="auto"/>
              <w:rPr>
                <w:rFonts w:ascii="宋体" w:hAnsi="宋体" w:cs="宋体"/>
                <w:sz w:val="24"/>
              </w:rPr>
            </w:pPr>
            <w:r>
              <w:rPr>
                <w:rFonts w:hint="eastAsia" w:ascii="宋体" w:hAnsi="宋体" w:cs="宋体"/>
                <w:sz w:val="24"/>
              </w:rPr>
              <w:t>响应文件中承诺的响应有效期不少于采购文件中载明的响应有效期。</w:t>
            </w:r>
          </w:p>
        </w:tc>
        <w:tc>
          <w:tcPr>
            <w:tcW w:w="2551" w:type="dxa"/>
            <w:vAlign w:val="center"/>
          </w:tcPr>
          <w:p>
            <w:pPr>
              <w:rPr>
                <w:rFonts w:ascii="宋体" w:hAnsi="宋体" w:cs="宋体"/>
                <w:sz w:val="24"/>
              </w:rPr>
            </w:pPr>
            <w:r>
              <w:rPr>
                <w:rFonts w:hint="eastAsia" w:ascii="宋体" w:hAnsi="宋体" w:cs="宋体"/>
                <w:sz w:val="24"/>
              </w:rPr>
              <w:t>响应函</w:t>
            </w:r>
          </w:p>
        </w:tc>
        <w:tc>
          <w:tcPr>
            <w:tcW w:w="1418" w:type="dxa"/>
          </w:tcPr>
          <w:p>
            <w:pPr>
              <w:rPr>
                <w:rFonts w:ascii="宋体" w:hAnsi="宋体" w:cs="宋体"/>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rPr>
            </w:pPr>
            <w:r>
              <w:rPr>
                <w:rFonts w:hint="eastAsia" w:ascii="宋体" w:hAnsi="宋体" w:cs="宋体"/>
                <w:sz w:val="24"/>
              </w:rPr>
              <w:t>3</w:t>
            </w:r>
          </w:p>
        </w:tc>
        <w:tc>
          <w:tcPr>
            <w:tcW w:w="4991" w:type="dxa"/>
          </w:tcPr>
          <w:p>
            <w:pPr>
              <w:spacing w:line="360" w:lineRule="auto"/>
              <w:rPr>
                <w:rFonts w:ascii="宋体" w:hAnsi="宋体" w:cs="宋体"/>
                <w:sz w:val="24"/>
              </w:rPr>
            </w:pPr>
            <w:r>
              <w:rPr>
                <w:rFonts w:hint="eastAsia" w:ascii="宋体" w:hAnsi="宋体" w:cs="宋体"/>
                <w:sz w:val="24"/>
              </w:rPr>
              <w:t>响应文件满足采购文件的其它实质性要求。</w:t>
            </w:r>
          </w:p>
        </w:tc>
        <w:tc>
          <w:tcPr>
            <w:tcW w:w="2551" w:type="dxa"/>
            <w:vAlign w:val="center"/>
          </w:tcPr>
          <w:p>
            <w:pPr>
              <w:rPr>
                <w:rFonts w:ascii="宋体" w:hAnsi="宋体" w:cs="宋体"/>
                <w:sz w:val="24"/>
              </w:rPr>
            </w:pPr>
            <w:r>
              <w:rPr>
                <w:rFonts w:hint="eastAsia" w:ascii="宋体" w:hAnsi="宋体" w:cs="宋体"/>
                <w:kern w:val="0"/>
                <w:sz w:val="24"/>
              </w:rPr>
              <w:t>采购文件其它实质性要求相应的材料（“▲” 系指实质性要求条款，采购文件无其它实质性要求的，无需提供）</w:t>
            </w:r>
          </w:p>
        </w:tc>
        <w:tc>
          <w:tcPr>
            <w:tcW w:w="1418" w:type="dxa"/>
          </w:tcPr>
          <w:p>
            <w:pPr>
              <w:rPr>
                <w:rFonts w:ascii="宋体" w:hAnsi="宋体" w:cs="宋体"/>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bl>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rPr>
      </w:pPr>
      <w:r>
        <w:rPr>
          <w:rFonts w:hint="eastAsia" w:ascii="宋体" w:hAnsi="宋体" w:cs="宋体"/>
          <w:b/>
          <w:kern w:val="0"/>
          <w:sz w:val="32"/>
          <w:szCs w:val="32"/>
        </w:rPr>
        <w:t>五、评审标准相应的商务技术资料</w:t>
      </w:r>
    </w:p>
    <w:p>
      <w:pPr>
        <w:snapToGrid w:val="0"/>
        <w:spacing w:line="360" w:lineRule="auto"/>
        <w:jc w:val="left"/>
        <w:rPr>
          <w:rFonts w:ascii="宋体" w:hAnsi="宋体" w:cs="宋体"/>
          <w:b/>
          <w:sz w:val="24"/>
        </w:rPr>
      </w:pPr>
      <w:r>
        <w:rPr>
          <w:rFonts w:hint="eastAsia" w:ascii="宋体" w:hAnsi="宋体" w:cs="宋体"/>
          <w:b/>
          <w:sz w:val="24"/>
        </w:rPr>
        <w:t>（按采购文件第四部分评审办法前附表中“响应文件中评审标准相应的商务技术资料目录”提供资料。）</w:t>
      </w:r>
    </w:p>
    <w:p>
      <w:pPr>
        <w:jc w:val="center"/>
        <w:rPr>
          <w:rFonts w:ascii="宋体" w:hAnsi="宋体" w:cs="宋体"/>
          <w:b/>
          <w:kern w:val="0"/>
          <w:sz w:val="32"/>
          <w:szCs w:val="32"/>
        </w:rPr>
      </w:pPr>
    </w:p>
    <w:p>
      <w:pPr>
        <w:ind w:firstLine="2891" w:firstLineChars="900"/>
        <w:rPr>
          <w:rFonts w:ascii="宋体" w:hAnsi="宋体" w:cs="宋体"/>
          <w:b/>
          <w:kern w:val="0"/>
          <w:sz w:val="32"/>
          <w:szCs w:val="32"/>
        </w:rPr>
      </w:pPr>
      <w:r>
        <w:rPr>
          <w:rFonts w:hint="eastAsia" w:ascii="宋体" w:hAnsi="宋体" w:cs="宋体"/>
          <w:b/>
          <w:kern w:val="0"/>
          <w:sz w:val="32"/>
          <w:szCs w:val="32"/>
        </w:rPr>
        <w:t>六、响应标的清单</w:t>
      </w:r>
    </w:p>
    <w:tbl>
      <w:tblPr>
        <w:tblStyle w:val="2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bl>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2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ascii="宋体" w:hAnsi="宋体" w:cs="宋体"/>
                <w:b/>
                <w:bCs/>
                <w:sz w:val="24"/>
              </w:rPr>
            </w:pPr>
            <w:r>
              <w:rPr>
                <w:rFonts w:hint="eastAsia" w:ascii="宋体" w:hAnsi="宋体" w:cs="宋体"/>
                <w:b/>
                <w:bCs/>
                <w:sz w:val="24"/>
              </w:rPr>
              <w:t>序号</w:t>
            </w:r>
          </w:p>
        </w:tc>
        <w:tc>
          <w:tcPr>
            <w:tcW w:w="3683" w:type="dxa"/>
          </w:tcPr>
          <w:p>
            <w:pPr>
              <w:jc w:val="center"/>
              <w:rPr>
                <w:rFonts w:ascii="宋体" w:hAnsi="宋体" w:cs="宋体"/>
                <w:b/>
                <w:bCs/>
                <w:sz w:val="24"/>
              </w:rPr>
            </w:pPr>
            <w:r>
              <w:rPr>
                <w:rFonts w:hint="eastAsia" w:ascii="宋体" w:hAnsi="宋体" w:cs="宋体"/>
                <w:b/>
                <w:bCs/>
                <w:sz w:val="24"/>
              </w:rPr>
              <w:t>采购文件章节及具体内容</w:t>
            </w:r>
          </w:p>
        </w:tc>
        <w:tc>
          <w:tcPr>
            <w:tcW w:w="3546" w:type="dxa"/>
          </w:tcPr>
          <w:p>
            <w:pPr>
              <w:jc w:val="center"/>
              <w:rPr>
                <w:rFonts w:ascii="宋体" w:hAnsi="宋体" w:cs="宋体"/>
                <w:b/>
                <w:bCs/>
                <w:sz w:val="24"/>
              </w:rPr>
            </w:pPr>
            <w:r>
              <w:rPr>
                <w:rFonts w:hint="eastAsia" w:ascii="宋体" w:hAnsi="宋体" w:cs="宋体"/>
                <w:b/>
                <w:bCs/>
                <w:sz w:val="24"/>
              </w:rPr>
              <w:t>响应文件章节及具体内容</w:t>
            </w:r>
          </w:p>
        </w:tc>
        <w:tc>
          <w:tcPr>
            <w:tcW w:w="1276" w:type="dxa"/>
          </w:tcPr>
          <w:p>
            <w:pPr>
              <w:jc w:val="center"/>
              <w:rPr>
                <w:rFonts w:ascii="宋体" w:hAnsi="宋体" w:cs="宋体"/>
                <w:b/>
                <w:bCs/>
                <w:sz w:val="24"/>
              </w:rPr>
            </w:pPr>
            <w:r>
              <w:rPr>
                <w:rFonts w:hint="eastAsia" w:ascii="宋体" w:hAnsi="宋体"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1</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2</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bl>
    <w:p>
      <w:pPr>
        <w:jc w:val="left"/>
        <w:rPr>
          <w:rFonts w:ascii="宋体" w:hAnsi="宋体" w:cs="宋体"/>
          <w:kern w:val="0"/>
          <w:sz w:val="24"/>
        </w:rPr>
      </w:pPr>
      <w:r>
        <w:rPr>
          <w:rFonts w:hint="eastAsia" w:ascii="宋体" w:hAnsi="宋体" w:cs="宋体"/>
          <w:kern w:val="0"/>
          <w:sz w:val="24"/>
        </w:rPr>
        <w:t>供应商保证：除商务技术偏离表列出的偏离外，供应商响应采购文件的全部要求</w:t>
      </w:r>
    </w:p>
    <w:p>
      <w:pPr>
        <w:jc w:val="center"/>
        <w:rPr>
          <w:rFonts w:ascii="宋体" w:hAnsi="宋体" w:cs="宋体"/>
          <w:b/>
          <w:kern w:val="0"/>
          <w:sz w:val="32"/>
          <w:szCs w:val="32"/>
        </w:rPr>
      </w:pPr>
    </w:p>
    <w:p>
      <w:pPr>
        <w:spacing w:line="360" w:lineRule="auto"/>
        <w:ind w:right="420"/>
        <w:rPr>
          <w:rFonts w:ascii="宋体" w:hAnsi="宋体" w:cs="宋体"/>
          <w:sz w:val="24"/>
        </w:rPr>
      </w:pPr>
      <w:r>
        <w:rPr>
          <w:rFonts w:hint="eastAsia" w:ascii="宋体" w:hAnsi="宋体" w:cs="宋体"/>
          <w:sz w:val="24"/>
        </w:rPr>
        <w:t>注：按本格式和要求提供。</w:t>
      </w:r>
    </w:p>
    <w:p>
      <w:pPr>
        <w:widowControl/>
        <w:adjustRightInd/>
        <w:jc w:val="center"/>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采购供应商廉洁自律承诺书</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（采购人）、（采购代理机构）</w:t>
      </w:r>
      <w:r>
        <w:rPr>
          <w:rFonts w:hint="eastAsia" w:ascii="宋体" w:hAnsi="宋体" w:cs="宋体"/>
          <w:sz w:val="24"/>
          <w:lang w:val="zh-CN"/>
        </w:rPr>
        <w:t>：</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项目采购要求。在这次响应过程中和</w:t>
      </w:r>
      <w:r>
        <w:rPr>
          <w:rFonts w:hint="eastAsia" w:ascii="宋体" w:hAnsi="宋体" w:cs="宋体"/>
          <w:kern w:val="0"/>
          <w:sz w:val="24"/>
        </w:rPr>
        <w:t>成交</w:t>
      </w:r>
      <w:r>
        <w:rPr>
          <w:rFonts w:hint="eastAsia" w:ascii="宋体" w:hAnsi="宋体" w:cs="宋体"/>
          <w:kern w:val="0"/>
          <w:sz w:val="24"/>
          <w:lang w:val="zh-CN"/>
        </w:rPr>
        <w:t>后，我们将严格遵守国家法律法规要求，并郑重承诺：</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有权立即取消我单位响应、</w:t>
      </w:r>
      <w:r>
        <w:rPr>
          <w:rFonts w:hint="eastAsia" w:ascii="宋体" w:hAnsi="宋体" w:cs="宋体"/>
          <w:kern w:val="0"/>
          <w:sz w:val="24"/>
        </w:rPr>
        <w:t>成交</w:t>
      </w:r>
      <w:r>
        <w:rPr>
          <w:rFonts w:hint="eastAsia" w:ascii="宋体" w:hAnsi="宋体" w:cs="宋体"/>
          <w:kern w:val="0"/>
          <w:sz w:val="24"/>
          <w:lang w:val="zh-CN"/>
        </w:rPr>
        <w:t>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供应商名称（</w:t>
      </w:r>
      <w:r>
        <w:rPr>
          <w:rFonts w:hint="eastAsia" w:ascii="宋体" w:hAnsi="宋体" w:cs="宋体"/>
          <w:sz w:val="24"/>
        </w:rPr>
        <w:t>电子签名</w:t>
      </w:r>
      <w:r>
        <w:rPr>
          <w:rFonts w:hint="eastAsia" w:ascii="宋体" w:hAnsi="宋体" w:cs="宋体"/>
          <w:kern w:val="0"/>
          <w:sz w:val="24"/>
          <w:lang w:val="zh-CN"/>
        </w:rPr>
        <w:t xml:space="preserve">）：                                                                                                                                                                                                               </w:t>
      </w:r>
    </w:p>
    <w:p>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spacing w:line="360" w:lineRule="auto"/>
        <w:jc w:val="center"/>
        <w:rPr>
          <w:rFonts w:ascii="宋体" w:hAnsi="宋体" w:cs="宋体"/>
          <w:b/>
          <w:bCs/>
          <w:sz w:val="24"/>
        </w:rPr>
        <w:sectPr>
          <w:headerReference r:id="rId8" w:type="first"/>
          <w:footerReference r:id="rId10" w:type="first"/>
          <w:headerReference r:id="rId7" w:type="default"/>
          <w:footerReference r:id="rId9" w:type="default"/>
          <w:pgSz w:w="11906" w:h="16838"/>
          <w:pgMar w:top="1276" w:right="1418" w:bottom="1247" w:left="1418" w:header="851" w:footer="992" w:gutter="0"/>
          <w:cols w:space="720" w:num="1"/>
          <w:titlePg/>
          <w:docGrid w:linePitch="312" w:charSpace="0"/>
        </w:sectPr>
      </w:pP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pPr>
        <w:spacing w:line="360" w:lineRule="auto"/>
        <w:jc w:val="center"/>
        <w:outlineLvl w:val="0"/>
        <w:rPr>
          <w:rFonts w:ascii="宋体" w:hAnsi="宋体" w:cs="宋体"/>
          <w:b/>
          <w:kern w:val="0"/>
          <w:sz w:val="36"/>
          <w:szCs w:val="36"/>
        </w:rPr>
      </w:pPr>
    </w:p>
    <w:p>
      <w:pPr>
        <w:numPr>
          <w:ilvl w:val="0"/>
          <w:numId w:val="4"/>
        </w:numPr>
        <w:snapToGrid w:val="0"/>
        <w:spacing w:line="360" w:lineRule="auto"/>
        <w:rPr>
          <w:rFonts w:ascii="宋体" w:hAnsi="宋体" w:cs="宋体"/>
          <w:sz w:val="24"/>
        </w:rPr>
      </w:pPr>
      <w:r>
        <w:rPr>
          <w:rFonts w:hint="eastAsia" w:ascii="宋体" w:hAnsi="宋体" w:cs="宋体"/>
          <w:sz w:val="24"/>
        </w:rPr>
        <w:t>开标一览表（报价表）………………………………………………………（页码）</w:t>
      </w:r>
    </w:p>
    <w:p>
      <w:pPr>
        <w:snapToGrid w:val="0"/>
        <w:spacing w:line="360" w:lineRule="auto"/>
      </w:pPr>
      <w:r>
        <w:rPr>
          <w:rFonts w:hint="eastAsia" w:ascii="宋体" w:hAnsi="宋体" w:cs="宋体"/>
          <w:sz w:val="24"/>
        </w:rPr>
        <w:t>（2）</w:t>
      </w:r>
      <w:r>
        <w:rPr>
          <w:rFonts w:hint="eastAsia" w:hAnsi="仿宋_GB2312" w:cs="仿宋_GB2312"/>
          <w:bCs/>
          <w:snapToGrid w:val="0"/>
          <w:sz w:val="24"/>
        </w:rPr>
        <w:t>报价情况说明</w:t>
      </w:r>
      <w:r>
        <w:rPr>
          <w:rFonts w:hint="eastAsia" w:ascii="宋体" w:hAnsi="宋体" w:cs="宋体"/>
          <w:sz w:val="24"/>
        </w:rPr>
        <w:t>…………………………………………………………………（页码）</w:t>
      </w:r>
    </w:p>
    <w:p>
      <w:pPr>
        <w:pStyle w:val="29"/>
        <w:rPr>
          <w:strike/>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pStyle w:val="38"/>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12" w:type="first"/>
          <w:footerReference r:id="rId14" w:type="first"/>
          <w:headerReference r:id="rId11" w:type="default"/>
          <w:footerReference r:id="rId13" w:type="default"/>
          <w:pgSz w:w="11906" w:h="16838"/>
          <w:pgMar w:top="1276" w:right="1418" w:bottom="1247" w:left="1418" w:header="851" w:footer="992" w:gutter="0"/>
          <w:cols w:space="720" w:num="1"/>
          <w:titlePg/>
          <w:docGrid w:linePitch="312" w:charSpace="0"/>
        </w:sectPr>
      </w:pPr>
    </w:p>
    <w:p>
      <w:pPr>
        <w:pStyle w:val="38"/>
        <w:keepNext w:val="0"/>
        <w:pageBreakBefore w:val="0"/>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一、开标一览表（报价表）</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21"/>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36"/>
        <w:gridCol w:w="2250"/>
        <w:gridCol w:w="1858"/>
        <w:gridCol w:w="2388"/>
        <w:gridCol w:w="205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7" w:type="dxa"/>
            <w:vAlign w:val="center"/>
          </w:tcPr>
          <w:p>
            <w:pPr>
              <w:spacing w:line="360" w:lineRule="auto"/>
              <w:rPr>
                <w:rFonts w:ascii="宋体" w:hAnsi="宋体" w:cs="宋体"/>
                <w:b/>
                <w:sz w:val="24"/>
              </w:rPr>
            </w:pPr>
            <w:r>
              <w:rPr>
                <w:rFonts w:hint="eastAsia" w:ascii="宋体" w:hAnsi="宋体" w:cs="宋体"/>
                <w:b/>
                <w:sz w:val="24"/>
              </w:rPr>
              <w:t>序号</w:t>
            </w:r>
          </w:p>
        </w:tc>
        <w:tc>
          <w:tcPr>
            <w:tcW w:w="3636" w:type="dxa"/>
            <w:vAlign w:val="center"/>
          </w:tcPr>
          <w:p>
            <w:pPr>
              <w:spacing w:line="360" w:lineRule="auto"/>
              <w:jc w:val="center"/>
              <w:rPr>
                <w:rFonts w:ascii="宋体" w:hAnsi="宋体" w:cs="宋体"/>
                <w:b/>
                <w:sz w:val="24"/>
              </w:rPr>
            </w:pPr>
            <w:r>
              <w:rPr>
                <w:rFonts w:hint="eastAsia" w:ascii="宋体" w:hAnsi="宋体" w:cs="宋体"/>
                <w:b/>
                <w:sz w:val="24"/>
              </w:rPr>
              <w:t>名称</w:t>
            </w:r>
          </w:p>
        </w:tc>
        <w:tc>
          <w:tcPr>
            <w:tcW w:w="2250" w:type="dxa"/>
            <w:vAlign w:val="center"/>
          </w:tcPr>
          <w:p>
            <w:pPr>
              <w:spacing w:line="360" w:lineRule="auto"/>
              <w:ind w:firstLine="482" w:firstLineChars="200"/>
              <w:rPr>
                <w:rFonts w:ascii="宋体" w:hAnsi="宋体" w:cs="宋体"/>
                <w:b/>
                <w:sz w:val="24"/>
              </w:rPr>
            </w:pPr>
            <w:r>
              <w:rPr>
                <w:rFonts w:hint="eastAsia" w:ascii="宋体" w:hAnsi="宋体" w:cs="宋体"/>
                <w:b/>
                <w:sz w:val="24"/>
              </w:rPr>
              <w:t>服务范围</w:t>
            </w:r>
          </w:p>
        </w:tc>
        <w:tc>
          <w:tcPr>
            <w:tcW w:w="1858" w:type="dxa"/>
            <w:vAlign w:val="center"/>
          </w:tcPr>
          <w:p>
            <w:pPr>
              <w:spacing w:line="360" w:lineRule="auto"/>
              <w:jc w:val="center"/>
              <w:rPr>
                <w:rFonts w:ascii="宋体" w:hAnsi="宋体" w:cs="宋体"/>
                <w:b/>
                <w:sz w:val="24"/>
              </w:rPr>
            </w:pPr>
            <w:r>
              <w:rPr>
                <w:rFonts w:hint="eastAsia" w:ascii="宋体" w:hAnsi="宋体" w:cs="宋体"/>
                <w:b/>
                <w:sz w:val="24"/>
              </w:rPr>
              <w:t>服务要求</w:t>
            </w:r>
          </w:p>
        </w:tc>
        <w:tc>
          <w:tcPr>
            <w:tcW w:w="2388" w:type="dxa"/>
            <w:vAlign w:val="center"/>
          </w:tcPr>
          <w:p>
            <w:pPr>
              <w:spacing w:line="360" w:lineRule="auto"/>
              <w:jc w:val="center"/>
              <w:rPr>
                <w:rFonts w:ascii="宋体" w:hAnsi="宋体" w:cs="宋体"/>
                <w:b/>
                <w:sz w:val="24"/>
              </w:rPr>
            </w:pPr>
            <w:r>
              <w:rPr>
                <w:rFonts w:hint="eastAsia" w:ascii="宋体" w:hAnsi="宋体" w:cs="宋体"/>
                <w:b/>
                <w:sz w:val="24"/>
              </w:rPr>
              <w:t>服务时间</w:t>
            </w:r>
          </w:p>
        </w:tc>
        <w:tc>
          <w:tcPr>
            <w:tcW w:w="2059" w:type="dxa"/>
            <w:vAlign w:val="center"/>
          </w:tcPr>
          <w:p>
            <w:pPr>
              <w:spacing w:line="360" w:lineRule="auto"/>
              <w:rPr>
                <w:rFonts w:ascii="宋体" w:hAnsi="宋体" w:cs="宋体"/>
                <w:b/>
                <w:sz w:val="24"/>
              </w:rPr>
            </w:pPr>
            <w:r>
              <w:rPr>
                <w:rFonts w:hint="eastAsia" w:ascii="宋体" w:hAnsi="宋体" w:cs="宋体"/>
                <w:b/>
                <w:sz w:val="24"/>
              </w:rPr>
              <w:t>项目负责人</w:t>
            </w:r>
          </w:p>
        </w:tc>
        <w:tc>
          <w:tcPr>
            <w:tcW w:w="2126" w:type="dxa"/>
            <w:vAlign w:val="center"/>
          </w:tcPr>
          <w:p>
            <w:pPr>
              <w:spacing w:line="360" w:lineRule="auto"/>
              <w:rPr>
                <w:rFonts w:ascii="宋体" w:hAnsi="宋体" w:cs="宋体"/>
                <w:b/>
                <w:sz w:val="24"/>
              </w:rPr>
            </w:pPr>
            <w:r>
              <w:rPr>
                <w:rFonts w:hint="eastAsia" w:ascii="宋体" w:hAnsi="宋体" w:cs="宋体"/>
                <w:b/>
                <w:sz w:val="24"/>
              </w:rPr>
              <w:t>备注（如果有）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vAlign w:val="center"/>
          </w:tcPr>
          <w:p>
            <w:pPr>
              <w:spacing w:line="360" w:lineRule="auto"/>
              <w:jc w:val="center"/>
              <w:rPr>
                <w:rFonts w:ascii="宋体" w:hAnsi="宋体" w:cs="宋体"/>
                <w:szCs w:val="21"/>
              </w:rPr>
            </w:pPr>
            <w:r>
              <w:rPr>
                <w:rFonts w:hint="eastAsia" w:ascii="宋体" w:hAnsi="宋体" w:cs="宋体"/>
                <w:szCs w:val="21"/>
              </w:rPr>
              <w:t>1</w:t>
            </w:r>
          </w:p>
        </w:tc>
        <w:tc>
          <w:tcPr>
            <w:tcW w:w="3636" w:type="dxa"/>
            <w:vAlign w:val="center"/>
          </w:tcPr>
          <w:p>
            <w:pPr>
              <w:snapToGrid w:val="0"/>
              <w:jc w:val="center"/>
              <w:rPr>
                <w:rFonts w:ascii="宋体" w:hAnsi="宋体" w:cs="宋体"/>
                <w:szCs w:val="21"/>
              </w:rPr>
            </w:pPr>
            <w:r>
              <w:rPr>
                <w:rFonts w:hint="eastAsia" w:ascii="宋体" w:hAnsi="宋体" w:cs="宋体"/>
                <w:szCs w:val="21"/>
              </w:rPr>
              <w:t>拱墅区2025年病媒生物监测服务项目</w:t>
            </w:r>
          </w:p>
        </w:tc>
        <w:tc>
          <w:tcPr>
            <w:tcW w:w="2250" w:type="dxa"/>
            <w:vAlign w:val="center"/>
          </w:tcPr>
          <w:p>
            <w:pPr>
              <w:snapToGrid w:val="0"/>
              <w:spacing w:line="360" w:lineRule="auto"/>
              <w:jc w:val="center"/>
              <w:rPr>
                <w:rFonts w:ascii="宋体" w:hAnsi="宋体" w:cs="宋体"/>
                <w:szCs w:val="21"/>
              </w:rPr>
            </w:pPr>
            <w:r>
              <w:rPr>
                <w:rFonts w:hint="eastAsia" w:ascii="宋体" w:hAnsi="宋体" w:cs="宋体"/>
                <w:szCs w:val="21"/>
              </w:rPr>
              <w:t>按招标文件要求</w:t>
            </w:r>
          </w:p>
        </w:tc>
        <w:tc>
          <w:tcPr>
            <w:tcW w:w="1858" w:type="dxa"/>
            <w:vAlign w:val="center"/>
          </w:tcPr>
          <w:p>
            <w:pPr>
              <w:snapToGrid w:val="0"/>
              <w:spacing w:line="360" w:lineRule="auto"/>
              <w:jc w:val="center"/>
              <w:rPr>
                <w:rFonts w:ascii="宋体" w:hAnsi="宋体" w:cs="宋体"/>
                <w:szCs w:val="21"/>
              </w:rPr>
            </w:pPr>
            <w:r>
              <w:rPr>
                <w:rFonts w:hint="eastAsia" w:ascii="宋体" w:hAnsi="宋体" w:cs="宋体"/>
                <w:szCs w:val="21"/>
              </w:rPr>
              <w:t>按招标文件要求</w:t>
            </w:r>
          </w:p>
        </w:tc>
        <w:tc>
          <w:tcPr>
            <w:tcW w:w="2388" w:type="dxa"/>
            <w:vAlign w:val="center"/>
          </w:tcPr>
          <w:p>
            <w:pPr>
              <w:snapToGrid w:val="0"/>
              <w:spacing w:line="360" w:lineRule="auto"/>
              <w:jc w:val="center"/>
              <w:rPr>
                <w:rFonts w:ascii="宋体" w:hAnsi="宋体" w:cs="宋体"/>
                <w:szCs w:val="21"/>
              </w:rPr>
            </w:pPr>
            <w:r>
              <w:rPr>
                <w:rFonts w:hint="eastAsia" w:ascii="宋体" w:hAnsi="宋体" w:cs="宋体"/>
                <w:szCs w:val="21"/>
              </w:rPr>
              <w:t>1年</w:t>
            </w:r>
          </w:p>
        </w:tc>
        <w:tc>
          <w:tcPr>
            <w:tcW w:w="2059" w:type="dxa"/>
            <w:vAlign w:val="center"/>
          </w:tcPr>
          <w:p>
            <w:pPr>
              <w:spacing w:line="360" w:lineRule="auto"/>
              <w:jc w:val="center"/>
              <w:rPr>
                <w:rFonts w:ascii="宋体" w:hAnsi="宋体" w:cs="宋体"/>
                <w:szCs w:val="21"/>
              </w:rPr>
            </w:pPr>
          </w:p>
        </w:tc>
        <w:tc>
          <w:tcPr>
            <w:tcW w:w="2126"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sz w:val="24"/>
              </w:rPr>
            </w:pPr>
          </w:p>
        </w:tc>
        <w:tc>
          <w:tcPr>
            <w:tcW w:w="3636" w:type="dxa"/>
            <w:vAlign w:val="center"/>
          </w:tcPr>
          <w:p>
            <w:pPr>
              <w:snapToGrid w:val="0"/>
              <w:spacing w:line="360" w:lineRule="auto"/>
              <w:jc w:val="center"/>
              <w:rPr>
                <w:rFonts w:ascii="宋体" w:hAnsi="宋体" w:cs="宋体"/>
                <w:sz w:val="24"/>
              </w:rPr>
            </w:pPr>
          </w:p>
        </w:tc>
        <w:tc>
          <w:tcPr>
            <w:tcW w:w="2250" w:type="dxa"/>
            <w:vAlign w:val="center"/>
          </w:tcPr>
          <w:p>
            <w:pPr>
              <w:snapToGrid w:val="0"/>
              <w:spacing w:line="360" w:lineRule="auto"/>
              <w:jc w:val="center"/>
              <w:rPr>
                <w:rFonts w:ascii="宋体" w:hAnsi="宋体" w:cs="宋体"/>
                <w:sz w:val="24"/>
              </w:rPr>
            </w:pPr>
          </w:p>
        </w:tc>
        <w:tc>
          <w:tcPr>
            <w:tcW w:w="1858" w:type="dxa"/>
            <w:vAlign w:val="center"/>
          </w:tcPr>
          <w:p>
            <w:pPr>
              <w:snapToGrid w:val="0"/>
              <w:spacing w:line="360" w:lineRule="auto"/>
              <w:jc w:val="center"/>
              <w:rPr>
                <w:rFonts w:ascii="宋体" w:hAnsi="宋体" w:cs="宋体"/>
                <w:sz w:val="24"/>
              </w:rPr>
            </w:pPr>
          </w:p>
        </w:tc>
        <w:tc>
          <w:tcPr>
            <w:tcW w:w="2388" w:type="dxa"/>
            <w:vAlign w:val="center"/>
          </w:tcPr>
          <w:p>
            <w:pPr>
              <w:snapToGrid w:val="0"/>
              <w:spacing w:line="360" w:lineRule="auto"/>
              <w:jc w:val="center"/>
              <w:rPr>
                <w:rFonts w:ascii="宋体" w:hAnsi="宋体" w:cs="宋体"/>
                <w:sz w:val="24"/>
              </w:rPr>
            </w:pPr>
          </w:p>
        </w:tc>
        <w:tc>
          <w:tcPr>
            <w:tcW w:w="2059" w:type="dxa"/>
            <w:vAlign w:val="center"/>
          </w:tcPr>
          <w:p>
            <w:pPr>
              <w:spacing w:line="360" w:lineRule="auto"/>
              <w:jc w:val="center"/>
              <w:rPr>
                <w:rFonts w:ascii="宋体" w:hAnsi="宋体" w:cs="宋体"/>
                <w:sz w:val="24"/>
              </w:rPr>
            </w:pPr>
          </w:p>
        </w:tc>
        <w:tc>
          <w:tcPr>
            <w:tcW w:w="212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sz w:val="24"/>
              </w:rPr>
            </w:pPr>
          </w:p>
        </w:tc>
        <w:tc>
          <w:tcPr>
            <w:tcW w:w="3636" w:type="dxa"/>
            <w:vAlign w:val="center"/>
          </w:tcPr>
          <w:p>
            <w:pPr>
              <w:snapToGrid w:val="0"/>
              <w:spacing w:line="360" w:lineRule="auto"/>
              <w:jc w:val="center"/>
              <w:rPr>
                <w:rFonts w:ascii="宋体" w:hAnsi="宋体" w:cs="宋体"/>
                <w:sz w:val="24"/>
              </w:rPr>
            </w:pPr>
          </w:p>
        </w:tc>
        <w:tc>
          <w:tcPr>
            <w:tcW w:w="2250" w:type="dxa"/>
            <w:vAlign w:val="center"/>
          </w:tcPr>
          <w:p>
            <w:pPr>
              <w:snapToGrid w:val="0"/>
              <w:spacing w:line="360" w:lineRule="auto"/>
              <w:jc w:val="center"/>
              <w:rPr>
                <w:rFonts w:ascii="宋体" w:hAnsi="宋体" w:cs="宋体"/>
                <w:sz w:val="24"/>
              </w:rPr>
            </w:pPr>
          </w:p>
        </w:tc>
        <w:tc>
          <w:tcPr>
            <w:tcW w:w="1858" w:type="dxa"/>
            <w:vAlign w:val="center"/>
          </w:tcPr>
          <w:p>
            <w:pPr>
              <w:snapToGrid w:val="0"/>
              <w:spacing w:line="360" w:lineRule="auto"/>
              <w:jc w:val="center"/>
              <w:rPr>
                <w:rFonts w:ascii="宋体" w:hAnsi="宋体" w:cs="宋体"/>
                <w:sz w:val="24"/>
              </w:rPr>
            </w:pPr>
          </w:p>
        </w:tc>
        <w:tc>
          <w:tcPr>
            <w:tcW w:w="2388" w:type="dxa"/>
            <w:vAlign w:val="center"/>
          </w:tcPr>
          <w:p>
            <w:pPr>
              <w:snapToGrid w:val="0"/>
              <w:spacing w:line="360" w:lineRule="auto"/>
              <w:jc w:val="center"/>
              <w:rPr>
                <w:rFonts w:ascii="宋体" w:hAnsi="宋体" w:cs="宋体"/>
                <w:sz w:val="24"/>
              </w:rPr>
            </w:pPr>
          </w:p>
        </w:tc>
        <w:tc>
          <w:tcPr>
            <w:tcW w:w="2059" w:type="dxa"/>
            <w:vAlign w:val="center"/>
          </w:tcPr>
          <w:p>
            <w:pPr>
              <w:spacing w:line="360" w:lineRule="auto"/>
              <w:jc w:val="center"/>
              <w:rPr>
                <w:rFonts w:ascii="宋体" w:hAnsi="宋体" w:cs="宋体"/>
                <w:sz w:val="24"/>
              </w:rPr>
            </w:pPr>
          </w:p>
        </w:tc>
        <w:tc>
          <w:tcPr>
            <w:tcW w:w="212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61" w:type="dxa"/>
            <w:gridSpan w:val="4"/>
            <w:vAlign w:val="center"/>
          </w:tcPr>
          <w:p>
            <w:pPr>
              <w:spacing w:line="360" w:lineRule="auto"/>
              <w:jc w:val="center"/>
              <w:rPr>
                <w:rFonts w:ascii="宋体" w:hAnsi="宋体" w:cs="宋体"/>
                <w:b/>
                <w:sz w:val="24"/>
              </w:rPr>
            </w:pPr>
            <w:r>
              <w:rPr>
                <w:rFonts w:hint="eastAsia" w:ascii="宋体" w:hAnsi="宋体" w:cs="宋体"/>
                <w:b/>
                <w:sz w:val="24"/>
              </w:rPr>
              <w:t>投标报价（小写）</w:t>
            </w:r>
          </w:p>
        </w:tc>
        <w:tc>
          <w:tcPr>
            <w:tcW w:w="6573" w:type="dxa"/>
            <w:gridSpan w:val="3"/>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61" w:type="dxa"/>
            <w:gridSpan w:val="4"/>
            <w:vAlign w:val="center"/>
          </w:tcPr>
          <w:p>
            <w:pPr>
              <w:spacing w:line="360" w:lineRule="auto"/>
              <w:jc w:val="center"/>
              <w:rPr>
                <w:rFonts w:ascii="宋体" w:hAnsi="宋体" w:cs="宋体"/>
                <w:b/>
                <w:sz w:val="24"/>
              </w:rPr>
            </w:pPr>
            <w:r>
              <w:rPr>
                <w:rFonts w:hint="eastAsia" w:ascii="宋体" w:hAnsi="宋体" w:cs="宋体"/>
                <w:b/>
                <w:sz w:val="24"/>
              </w:rPr>
              <w:t>投标报价（大写）</w:t>
            </w:r>
          </w:p>
        </w:tc>
        <w:tc>
          <w:tcPr>
            <w:tcW w:w="6573" w:type="dxa"/>
            <w:gridSpan w:val="3"/>
          </w:tcPr>
          <w:p>
            <w:pPr>
              <w:spacing w:line="360" w:lineRule="auto"/>
              <w:jc w:val="center"/>
              <w:rPr>
                <w:rFonts w:ascii="宋体" w:hAnsi="宋体" w:cs="宋体"/>
                <w:sz w:val="24"/>
              </w:rPr>
            </w:pPr>
          </w:p>
        </w:tc>
      </w:tr>
    </w:tbl>
    <w:p>
      <w:pPr>
        <w:keepNext w:val="0"/>
        <w:keepLines w:val="0"/>
        <w:pageBreakBefore w:val="0"/>
        <w:widowControl w:val="0"/>
        <w:kinsoku/>
        <w:wordWrap/>
        <w:overflowPunct/>
        <w:topLinePunct w:val="0"/>
        <w:autoSpaceDE/>
        <w:autoSpaceDN/>
        <w:bidi w:val="0"/>
        <w:adjustRightInd w:val="0"/>
        <w:snapToGrid/>
        <w:spacing w:after="0" w:line="240" w:lineRule="auto"/>
        <w:ind w:left="-2" w:leftChars="-1" w:firstLine="482" w:firstLineChars="200"/>
        <w:textAlignment w:val="auto"/>
        <w:rPr>
          <w:rFonts w:ascii="宋体" w:hAnsi="宋体" w:cs="宋体"/>
          <w:kern w:val="0"/>
          <w:sz w:val="24"/>
          <w:lang w:val="zh-CN"/>
        </w:rPr>
      </w:pPr>
      <w:r>
        <w:rPr>
          <w:rFonts w:hint="eastAsia" w:ascii="宋体" w:hAnsi="宋体" w:cs="宋体"/>
          <w:b/>
          <w:kern w:val="0"/>
          <w:sz w:val="24"/>
          <w:lang w:val="zh-CN"/>
        </w:rPr>
        <w:t>注：</w:t>
      </w: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p>
    <w:p>
      <w:pPr>
        <w:keepNext w:val="0"/>
        <w:keepLines w:val="0"/>
        <w:pageBreakBefore w:val="0"/>
        <w:widowControl w:val="0"/>
        <w:kinsoku/>
        <w:wordWrap/>
        <w:overflowPunct/>
        <w:topLinePunct w:val="0"/>
        <w:autoSpaceDE/>
        <w:autoSpaceDN/>
        <w:bidi w:val="0"/>
        <w:adjustRightInd w:val="0"/>
        <w:snapToGrid/>
        <w:spacing w:after="0" w:line="240" w:lineRule="auto"/>
        <w:ind w:firstLine="480" w:firstLineChars="200"/>
        <w:textAlignment w:val="auto"/>
        <w:rPr>
          <w:rFonts w:ascii="宋体" w:hAnsi="宋体" w:cs="宋体"/>
          <w:kern w:val="0"/>
          <w:sz w:val="24"/>
          <w:lang w:val="zh-CN"/>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pPr>
        <w:pStyle w:val="38"/>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pPr>
        <w:rPr>
          <w:rFonts w:ascii="宋体" w:hAnsi="宋体" w:cs="宋体"/>
          <w:sz w:val="32"/>
          <w:szCs w:val="32"/>
        </w:rPr>
      </w:pPr>
      <w:r>
        <w:rPr>
          <w:rFonts w:hint="eastAsia" w:ascii="宋体" w:hAnsi="宋体" w:cs="宋体"/>
          <w:sz w:val="32"/>
          <w:szCs w:val="32"/>
        </w:rPr>
        <w:t>附：报价明细表</w:t>
      </w:r>
    </w:p>
    <w:p>
      <w:pPr>
        <w:snapToGrid w:val="0"/>
        <w:spacing w:line="360" w:lineRule="auto"/>
        <w:rPr>
          <w:rFonts w:ascii="宋体" w:hAnsi="宋体" w:cs="宋体"/>
          <w:kern w:val="0"/>
          <w:sz w:val="24"/>
        </w:rPr>
      </w:pPr>
      <w:r>
        <w:rPr>
          <w:rFonts w:hint="eastAsia" w:ascii="宋体" w:hAnsi="宋体" w:cs="宋体"/>
          <w:sz w:val="24"/>
          <w:u w:val="single"/>
        </w:rPr>
        <w:t>（采购人）、（采购代理机构）</w:t>
      </w:r>
      <w:r>
        <w:rPr>
          <w:rFonts w:hint="eastAsia" w:ascii="宋体" w:hAnsi="宋体" w:cs="宋体"/>
          <w:kern w:val="0"/>
          <w:sz w:val="24"/>
          <w:lang w:val="zh-CN"/>
        </w:rPr>
        <w:t>：</w:t>
      </w:r>
    </w:p>
    <w:p>
      <w:pPr>
        <w:snapToGrid w:val="0"/>
        <w:spacing w:line="360" w:lineRule="auto"/>
        <w:ind w:firstLine="480" w:firstLineChars="200"/>
        <w:rPr>
          <w:rFonts w:ascii="宋体" w:hAnsi="宋体" w:cs="宋体"/>
          <w:sz w:val="24"/>
        </w:rPr>
      </w:pPr>
      <w:r>
        <w:rPr>
          <w:rFonts w:hint="eastAsia" w:ascii="宋体" w:hAnsi="宋体" w:cs="宋体"/>
          <w:sz w:val="24"/>
        </w:rPr>
        <w:t>按你方招标文件要求，我们，本投标文件签字方，谨此向你方发出要约如下：如你方接受本投标，我方承诺按照如下报价明细表的价格完成（项目名称）【招标编号：（采购编号）】的实施。</w:t>
      </w:r>
    </w:p>
    <w:p>
      <w:pPr>
        <w:snapToGrid w:val="0"/>
        <w:spacing w:line="360" w:lineRule="auto"/>
        <w:jc w:val="center"/>
        <w:rPr>
          <w:rFonts w:ascii="宋体" w:hAnsi="宋体" w:cs="宋体"/>
          <w:bCs/>
          <w:sz w:val="24"/>
        </w:rPr>
      </w:pPr>
      <w:r>
        <w:rPr>
          <w:rFonts w:hint="eastAsia" w:ascii="宋体" w:hAnsi="宋体" w:cs="宋体"/>
          <w:b/>
          <w:sz w:val="24"/>
        </w:rPr>
        <w:t>拱墅区2026年病媒生物监测服务项目报价明细表</w:t>
      </w:r>
    </w:p>
    <w:tbl>
      <w:tblPr>
        <w:tblStyle w:val="21"/>
        <w:tblW w:w="8886" w:type="dxa"/>
        <w:jc w:val="center"/>
        <w:tblLayout w:type="fixed"/>
        <w:tblCellMar>
          <w:top w:w="0" w:type="dxa"/>
          <w:left w:w="108" w:type="dxa"/>
          <w:bottom w:w="0" w:type="dxa"/>
          <w:right w:w="108" w:type="dxa"/>
        </w:tblCellMar>
      </w:tblPr>
      <w:tblGrid>
        <w:gridCol w:w="498"/>
        <w:gridCol w:w="1779"/>
        <w:gridCol w:w="1418"/>
        <w:gridCol w:w="2610"/>
        <w:gridCol w:w="928"/>
        <w:gridCol w:w="715"/>
        <w:gridCol w:w="938"/>
      </w:tblGrid>
      <w:tr>
        <w:tblPrEx>
          <w:tblCellMar>
            <w:top w:w="0" w:type="dxa"/>
            <w:left w:w="108" w:type="dxa"/>
            <w:bottom w:w="0" w:type="dxa"/>
            <w:right w:w="108" w:type="dxa"/>
          </w:tblCellMar>
        </w:tblPrEx>
        <w:trPr>
          <w:trHeight w:val="933" w:hRule="atLeast"/>
          <w:jc w:val="center"/>
        </w:trPr>
        <w:tc>
          <w:tcPr>
            <w:tcW w:w="49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77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类别</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频次</w:t>
            </w:r>
          </w:p>
        </w:tc>
        <w:tc>
          <w:tcPr>
            <w:tcW w:w="26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内容/次</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单价（元）</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次数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小计（元）</w:t>
            </w:r>
          </w:p>
        </w:tc>
      </w:tr>
      <w:tr>
        <w:tblPrEx>
          <w:tblCellMar>
            <w:top w:w="0" w:type="dxa"/>
            <w:left w:w="108" w:type="dxa"/>
            <w:bottom w:w="0" w:type="dxa"/>
            <w:right w:w="108" w:type="dxa"/>
          </w:tblCellMar>
        </w:tblPrEx>
        <w:trPr>
          <w:trHeight w:val="1149" w:hRule="atLeast"/>
          <w:jc w:val="center"/>
        </w:trPr>
        <w:tc>
          <w:tcPr>
            <w:tcW w:w="498" w:type="dxa"/>
            <w:tcBorders>
              <w:top w:val="single" w:color="000000" w:sz="8" w:space="0"/>
              <w:left w:val="single" w:color="000000" w:sz="8" w:space="0"/>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79" w:type="dxa"/>
            <w:tcBorders>
              <w:top w:val="single" w:color="000000" w:sz="8" w:space="0"/>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鼠</w:t>
            </w:r>
          </w:p>
        </w:tc>
        <w:tc>
          <w:tcPr>
            <w:tcW w:w="1418" w:type="dxa"/>
            <w:tcBorders>
              <w:top w:val="single" w:color="000000" w:sz="8" w:space="0"/>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单月监测</w:t>
            </w:r>
          </w:p>
        </w:tc>
        <w:tc>
          <w:tcPr>
            <w:tcW w:w="2610" w:type="dxa"/>
            <w:tcBorders>
              <w:top w:val="single" w:color="000000" w:sz="8" w:space="0"/>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在居民区、重点行业等3个点放收600有效鼠夹+粘鼠板（每点布放200夹/板）</w:t>
            </w:r>
          </w:p>
        </w:tc>
        <w:tc>
          <w:tcPr>
            <w:tcW w:w="928" w:type="dxa"/>
            <w:tcBorders>
              <w:top w:val="single" w:color="000000" w:sz="8" w:space="0"/>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c>
          <w:tcPr>
            <w:tcW w:w="715" w:type="dxa"/>
            <w:tcBorders>
              <w:top w:val="single" w:color="000000" w:sz="8" w:space="0"/>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938" w:type="dxa"/>
            <w:tcBorders>
              <w:top w:val="single" w:color="000000" w:sz="8" w:space="0"/>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1149" w:hRule="atLeast"/>
          <w:jc w:val="center"/>
        </w:trPr>
        <w:tc>
          <w:tcPr>
            <w:tcW w:w="498" w:type="dxa"/>
            <w:tcBorders>
              <w:top w:val="nil"/>
              <w:left w:val="single" w:color="000000" w:sz="8" w:space="0"/>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779"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蚊（诱蚊灯法）</w:t>
            </w:r>
          </w:p>
        </w:tc>
        <w:tc>
          <w:tcPr>
            <w:tcW w:w="141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4-11月，每月2次</w:t>
            </w:r>
          </w:p>
        </w:tc>
        <w:tc>
          <w:tcPr>
            <w:tcW w:w="2610" w:type="dxa"/>
            <w:tcBorders>
              <w:top w:val="nil"/>
              <w:left w:val="nil"/>
              <w:bottom w:val="single" w:color="000000" w:sz="8" w:space="0"/>
              <w:right w:val="single" w:color="000000" w:sz="8" w:space="0"/>
            </w:tcBorders>
            <w:noWrap/>
            <w:vAlign w:val="center"/>
          </w:tcPr>
          <w:p>
            <w:pPr>
              <w:snapToGrid w:val="0"/>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在居民区、公园、医院各2处、民房4处放收10盏灭蚊灯</w:t>
            </w:r>
          </w:p>
        </w:tc>
        <w:tc>
          <w:tcPr>
            <w:tcW w:w="92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C00000"/>
                <w:kern w:val="0"/>
                <w:sz w:val="24"/>
                <w:lang w:bidi="ar"/>
              </w:rPr>
            </w:pPr>
          </w:p>
        </w:tc>
        <w:tc>
          <w:tcPr>
            <w:tcW w:w="715"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C00000"/>
                <w:kern w:val="0"/>
                <w:sz w:val="24"/>
                <w:lang w:bidi="ar"/>
              </w:rPr>
            </w:pPr>
            <w:r>
              <w:rPr>
                <w:rFonts w:hint="eastAsia" w:ascii="宋体" w:hAnsi="宋体" w:cs="宋体"/>
                <w:color w:val="000000"/>
                <w:kern w:val="0"/>
                <w:sz w:val="24"/>
                <w:lang w:bidi="ar"/>
              </w:rPr>
              <w:t>16</w:t>
            </w:r>
          </w:p>
        </w:tc>
        <w:tc>
          <w:tcPr>
            <w:tcW w:w="93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C00000"/>
                <w:kern w:val="0"/>
                <w:sz w:val="24"/>
                <w:lang w:bidi="ar"/>
              </w:rPr>
            </w:pPr>
          </w:p>
        </w:tc>
      </w:tr>
      <w:tr>
        <w:tblPrEx>
          <w:tblCellMar>
            <w:top w:w="0" w:type="dxa"/>
            <w:left w:w="108" w:type="dxa"/>
            <w:bottom w:w="0" w:type="dxa"/>
            <w:right w:w="108" w:type="dxa"/>
          </w:tblCellMar>
        </w:tblPrEx>
        <w:trPr>
          <w:trHeight w:val="892" w:hRule="atLeast"/>
          <w:jc w:val="center"/>
        </w:trPr>
        <w:tc>
          <w:tcPr>
            <w:tcW w:w="498" w:type="dxa"/>
            <w:tcBorders>
              <w:top w:val="nil"/>
              <w:left w:val="single" w:color="000000" w:sz="8" w:space="0"/>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779"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蚊（勺捕法）</w:t>
            </w:r>
          </w:p>
        </w:tc>
        <w:tc>
          <w:tcPr>
            <w:tcW w:w="141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4-11月，每月1次</w:t>
            </w:r>
          </w:p>
        </w:tc>
        <w:tc>
          <w:tcPr>
            <w:tcW w:w="2610" w:type="dxa"/>
            <w:tcBorders>
              <w:top w:val="nil"/>
              <w:left w:val="nil"/>
              <w:bottom w:val="single" w:color="000000" w:sz="8" w:space="0"/>
              <w:right w:val="single" w:color="000000" w:sz="8" w:space="0"/>
            </w:tcBorders>
            <w:noWrap/>
            <w:vAlign w:val="center"/>
          </w:tcPr>
          <w:p>
            <w:pPr>
              <w:widowControl/>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10个水体每10米1勺，计200勺</w:t>
            </w:r>
          </w:p>
        </w:tc>
        <w:tc>
          <w:tcPr>
            <w:tcW w:w="92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C00000"/>
                <w:kern w:val="0"/>
                <w:sz w:val="24"/>
                <w:lang w:bidi="ar"/>
              </w:rPr>
            </w:pPr>
          </w:p>
        </w:tc>
        <w:tc>
          <w:tcPr>
            <w:tcW w:w="715"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C00000"/>
                <w:kern w:val="0"/>
                <w:sz w:val="24"/>
                <w:lang w:bidi="ar"/>
              </w:rPr>
            </w:pPr>
            <w:r>
              <w:rPr>
                <w:rFonts w:hint="eastAsia" w:ascii="宋体" w:hAnsi="宋体" w:cs="宋体"/>
                <w:color w:val="000000"/>
                <w:kern w:val="0"/>
                <w:sz w:val="24"/>
                <w:lang w:bidi="ar"/>
              </w:rPr>
              <w:t>8</w:t>
            </w:r>
          </w:p>
        </w:tc>
        <w:tc>
          <w:tcPr>
            <w:tcW w:w="93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C00000"/>
                <w:kern w:val="0"/>
                <w:sz w:val="24"/>
                <w:lang w:bidi="ar"/>
              </w:rPr>
            </w:pPr>
          </w:p>
        </w:tc>
      </w:tr>
      <w:tr>
        <w:tblPrEx>
          <w:tblCellMar>
            <w:top w:w="0" w:type="dxa"/>
            <w:left w:w="108" w:type="dxa"/>
            <w:bottom w:w="0" w:type="dxa"/>
            <w:right w:w="108" w:type="dxa"/>
          </w:tblCellMar>
        </w:tblPrEx>
        <w:trPr>
          <w:trHeight w:val="1149" w:hRule="atLeast"/>
          <w:jc w:val="center"/>
        </w:trPr>
        <w:tc>
          <w:tcPr>
            <w:tcW w:w="498" w:type="dxa"/>
            <w:tcBorders>
              <w:top w:val="nil"/>
              <w:left w:val="single" w:color="000000" w:sz="8" w:space="0"/>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779"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蝇（笼诱法）</w:t>
            </w:r>
          </w:p>
        </w:tc>
        <w:tc>
          <w:tcPr>
            <w:tcW w:w="141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4-11月，每月1次</w:t>
            </w:r>
          </w:p>
        </w:tc>
        <w:tc>
          <w:tcPr>
            <w:tcW w:w="2610" w:type="dxa"/>
            <w:tcBorders>
              <w:top w:val="nil"/>
              <w:left w:val="nil"/>
              <w:bottom w:val="single" w:color="000000" w:sz="8" w:space="0"/>
              <w:right w:val="single" w:color="000000" w:sz="8" w:space="0"/>
            </w:tcBorders>
            <w:noWrap/>
            <w:vAlign w:val="center"/>
          </w:tcPr>
          <w:p>
            <w:pPr>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农贸市场、餐饮外环境、绿化带和居民区各2处放收8只诱蝇笼</w:t>
            </w:r>
          </w:p>
        </w:tc>
        <w:tc>
          <w:tcPr>
            <w:tcW w:w="92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c>
          <w:tcPr>
            <w:tcW w:w="715"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93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1149" w:hRule="atLeast"/>
          <w:jc w:val="center"/>
        </w:trPr>
        <w:tc>
          <w:tcPr>
            <w:tcW w:w="498" w:type="dxa"/>
            <w:tcBorders>
              <w:top w:val="nil"/>
              <w:left w:val="single" w:color="000000" w:sz="8" w:space="0"/>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779"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蟑螂（目测法）</w:t>
            </w:r>
          </w:p>
        </w:tc>
        <w:tc>
          <w:tcPr>
            <w:tcW w:w="141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5、9月，每月1次</w:t>
            </w:r>
          </w:p>
        </w:tc>
        <w:tc>
          <w:tcPr>
            <w:tcW w:w="2610" w:type="dxa"/>
            <w:tcBorders>
              <w:top w:val="nil"/>
              <w:left w:val="nil"/>
              <w:bottom w:val="single" w:color="000000" w:sz="8" w:space="0"/>
              <w:right w:val="single" w:color="000000" w:sz="8" w:space="0"/>
            </w:tcBorders>
            <w:noWrap/>
            <w:vAlign w:val="center"/>
          </w:tcPr>
          <w:p>
            <w:pPr>
              <w:snapToGrid w:val="0"/>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12处（以农贸市场、超市、宾馆、餐饮环境、医院、居民区各2处为主）</w:t>
            </w:r>
          </w:p>
        </w:tc>
        <w:tc>
          <w:tcPr>
            <w:tcW w:w="92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c>
          <w:tcPr>
            <w:tcW w:w="715"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93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850" w:hRule="atLeast"/>
          <w:jc w:val="center"/>
        </w:trPr>
        <w:tc>
          <w:tcPr>
            <w:tcW w:w="498" w:type="dxa"/>
            <w:tcBorders>
              <w:top w:val="nil"/>
              <w:left w:val="single" w:color="000000" w:sz="8" w:space="0"/>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779"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蟑螂（粘捕法）</w:t>
            </w:r>
          </w:p>
        </w:tc>
        <w:tc>
          <w:tcPr>
            <w:tcW w:w="141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单月监测</w:t>
            </w:r>
          </w:p>
        </w:tc>
        <w:tc>
          <w:tcPr>
            <w:tcW w:w="2610"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放收120张有效粘蟑板</w:t>
            </w:r>
          </w:p>
        </w:tc>
        <w:tc>
          <w:tcPr>
            <w:tcW w:w="92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c>
          <w:tcPr>
            <w:tcW w:w="715"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93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802" w:hRule="atLeast"/>
          <w:jc w:val="center"/>
        </w:trPr>
        <w:tc>
          <w:tcPr>
            <w:tcW w:w="498" w:type="dxa"/>
            <w:tcBorders>
              <w:top w:val="nil"/>
              <w:left w:val="single" w:color="000000" w:sz="8" w:space="0"/>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779"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蜱虫（布旗法）</w:t>
            </w:r>
          </w:p>
        </w:tc>
        <w:tc>
          <w:tcPr>
            <w:tcW w:w="141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4、5、7、9、10月</w:t>
            </w:r>
          </w:p>
        </w:tc>
        <w:tc>
          <w:tcPr>
            <w:tcW w:w="2610"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每次1500米</w:t>
            </w:r>
          </w:p>
        </w:tc>
        <w:tc>
          <w:tcPr>
            <w:tcW w:w="92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c>
          <w:tcPr>
            <w:tcW w:w="715"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93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817" w:hRule="atLeast"/>
          <w:jc w:val="center"/>
        </w:trPr>
        <w:tc>
          <w:tcPr>
            <w:tcW w:w="498" w:type="dxa"/>
            <w:tcBorders>
              <w:top w:val="nil"/>
              <w:left w:val="single" w:color="000000" w:sz="8" w:space="0"/>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779"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蜱虫（体表捡蜱法）</w:t>
            </w:r>
          </w:p>
        </w:tc>
        <w:tc>
          <w:tcPr>
            <w:tcW w:w="141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4、5、7、9、10月</w:t>
            </w:r>
          </w:p>
        </w:tc>
        <w:tc>
          <w:tcPr>
            <w:tcW w:w="2610"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30只动物（以宠物狗为主）</w:t>
            </w:r>
          </w:p>
        </w:tc>
        <w:tc>
          <w:tcPr>
            <w:tcW w:w="92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c>
          <w:tcPr>
            <w:tcW w:w="715"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93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745" w:hRule="atLeast"/>
          <w:jc w:val="center"/>
        </w:trPr>
        <w:tc>
          <w:tcPr>
            <w:tcW w:w="498" w:type="dxa"/>
            <w:tcBorders>
              <w:top w:val="nil"/>
              <w:left w:val="single" w:color="000000" w:sz="8" w:space="0"/>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779"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臭虫（粘捕法）</w:t>
            </w:r>
          </w:p>
        </w:tc>
        <w:tc>
          <w:tcPr>
            <w:tcW w:w="141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夏秋季监测</w:t>
            </w:r>
          </w:p>
        </w:tc>
        <w:tc>
          <w:tcPr>
            <w:tcW w:w="2610"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20家单位（以宾馆为主）</w:t>
            </w:r>
          </w:p>
        </w:tc>
        <w:tc>
          <w:tcPr>
            <w:tcW w:w="92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c>
          <w:tcPr>
            <w:tcW w:w="715"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93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712" w:hRule="atLeast"/>
          <w:jc w:val="center"/>
        </w:trPr>
        <w:tc>
          <w:tcPr>
            <w:tcW w:w="498" w:type="dxa"/>
            <w:tcBorders>
              <w:top w:val="nil"/>
              <w:left w:val="single" w:color="000000" w:sz="8" w:space="0"/>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779"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臭虫（重点监测）</w:t>
            </w:r>
          </w:p>
        </w:tc>
        <w:tc>
          <w:tcPr>
            <w:tcW w:w="141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夏秋季监测</w:t>
            </w:r>
          </w:p>
        </w:tc>
        <w:tc>
          <w:tcPr>
            <w:tcW w:w="2610"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电话调查+现场监测</w:t>
            </w:r>
          </w:p>
        </w:tc>
        <w:tc>
          <w:tcPr>
            <w:tcW w:w="92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c>
          <w:tcPr>
            <w:tcW w:w="715"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93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997" w:hRule="atLeast"/>
          <w:jc w:val="center"/>
        </w:trPr>
        <w:tc>
          <w:tcPr>
            <w:tcW w:w="498" w:type="dxa"/>
            <w:tcBorders>
              <w:top w:val="nil"/>
              <w:left w:val="single" w:color="000000" w:sz="8" w:space="0"/>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1779"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蚊（双层叠帐法）</w:t>
            </w:r>
          </w:p>
        </w:tc>
        <w:tc>
          <w:tcPr>
            <w:tcW w:w="141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4-11月，每月2次</w:t>
            </w:r>
          </w:p>
        </w:tc>
        <w:tc>
          <w:tcPr>
            <w:tcW w:w="2610"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全年覆盖18个街道每次4个点，每个点2顶</w:t>
            </w:r>
          </w:p>
        </w:tc>
        <w:tc>
          <w:tcPr>
            <w:tcW w:w="92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C00000"/>
                <w:kern w:val="0"/>
                <w:sz w:val="24"/>
                <w:lang w:bidi="ar"/>
              </w:rPr>
            </w:pPr>
          </w:p>
        </w:tc>
        <w:tc>
          <w:tcPr>
            <w:tcW w:w="715"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C00000"/>
                <w:kern w:val="0"/>
                <w:sz w:val="24"/>
                <w:lang w:bidi="ar"/>
              </w:rPr>
            </w:pPr>
            <w:r>
              <w:rPr>
                <w:rFonts w:hint="eastAsia" w:ascii="宋体" w:hAnsi="宋体" w:cs="宋体"/>
                <w:color w:val="000000"/>
                <w:kern w:val="0"/>
                <w:sz w:val="24"/>
                <w:lang w:bidi="ar"/>
              </w:rPr>
              <w:t>16</w:t>
            </w:r>
          </w:p>
        </w:tc>
        <w:tc>
          <w:tcPr>
            <w:tcW w:w="93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C00000"/>
                <w:kern w:val="0"/>
                <w:sz w:val="24"/>
                <w:lang w:bidi="ar"/>
              </w:rPr>
            </w:pPr>
          </w:p>
        </w:tc>
      </w:tr>
      <w:tr>
        <w:tblPrEx>
          <w:tblCellMar>
            <w:top w:w="0" w:type="dxa"/>
            <w:left w:w="108" w:type="dxa"/>
            <w:bottom w:w="0" w:type="dxa"/>
            <w:right w:w="108" w:type="dxa"/>
          </w:tblCellMar>
        </w:tblPrEx>
        <w:trPr>
          <w:trHeight w:val="601" w:hRule="atLeast"/>
          <w:jc w:val="center"/>
        </w:trPr>
        <w:tc>
          <w:tcPr>
            <w:tcW w:w="6305" w:type="dxa"/>
            <w:gridSpan w:val="4"/>
            <w:tcBorders>
              <w:top w:val="nil"/>
              <w:left w:val="single" w:color="000000" w:sz="8" w:space="0"/>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92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715"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938" w:type="dxa"/>
            <w:tcBorders>
              <w:top w:val="nil"/>
              <w:left w:val="nil"/>
              <w:bottom w:val="single" w:color="000000" w:sz="8" w:space="0"/>
              <w:right w:val="single" w:color="000000" w:sz="8" w:space="0"/>
            </w:tcBorders>
            <w:noWrap/>
            <w:vAlign w:val="center"/>
          </w:tcPr>
          <w:p>
            <w:pPr>
              <w:widowControl/>
              <w:snapToGrid w:val="0"/>
              <w:spacing w:line="360" w:lineRule="auto"/>
              <w:jc w:val="center"/>
              <w:textAlignment w:val="center"/>
              <w:rPr>
                <w:rFonts w:ascii="宋体" w:hAnsi="宋体" w:cs="宋体"/>
                <w:color w:val="000000"/>
                <w:kern w:val="0"/>
                <w:sz w:val="24"/>
                <w:lang w:bidi="ar"/>
              </w:rPr>
            </w:pPr>
          </w:p>
        </w:tc>
      </w:tr>
    </w:tbl>
    <w:p>
      <w:pPr>
        <w:autoSpaceDE w:val="0"/>
        <w:autoSpaceDN w:val="0"/>
        <w:snapToGrid w:val="0"/>
        <w:spacing w:line="360" w:lineRule="auto"/>
        <w:ind w:right="1120"/>
        <w:jc w:val="right"/>
        <w:rPr>
          <w:rFonts w:ascii="宋体" w:hAnsi="宋体" w:cs="宋体"/>
          <w:kern w:val="0"/>
          <w:sz w:val="24"/>
          <w:lang w:val="zh-CN"/>
        </w:rPr>
      </w:pPr>
      <w:r>
        <w:rPr>
          <w:rFonts w:hint="eastAsia" w:ascii="宋体" w:hAnsi="宋体" w:cs="宋体"/>
          <w:kern w:val="0"/>
          <w:sz w:val="24"/>
          <w:lang w:val="zh-CN"/>
        </w:rPr>
        <w:t>供应商名称（</w:t>
      </w:r>
      <w:r>
        <w:rPr>
          <w:rFonts w:hint="eastAsia" w:ascii="宋体" w:hAnsi="宋体" w:cs="宋体"/>
          <w:sz w:val="24"/>
        </w:rPr>
        <w:t>电子签名</w:t>
      </w:r>
      <w:r>
        <w:rPr>
          <w:rFonts w:hint="eastAsia" w:ascii="宋体" w:hAnsi="宋体" w:cs="宋体"/>
          <w:kern w:val="0"/>
          <w:sz w:val="24"/>
          <w:lang w:val="zh-CN"/>
        </w:rPr>
        <w:t xml:space="preserve">）：                                                                                                                                                                                                               </w:t>
      </w:r>
    </w:p>
    <w:p>
      <w:pPr>
        <w:snapToGrid w:val="0"/>
        <w:spacing w:line="360" w:lineRule="auto"/>
        <w:jc w:val="right"/>
        <w:rPr>
          <w:rFonts w:ascii="宋体" w:hAnsi="宋体" w:cs="宋体"/>
          <w:sz w:val="32"/>
          <w:szCs w:val="32"/>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pPr>
        <w:rPr>
          <w:rFonts w:ascii="宋体" w:hAnsi="宋体" w:cs="宋体"/>
          <w:sz w:val="32"/>
          <w:szCs w:val="32"/>
        </w:rPr>
      </w:pPr>
      <w:r>
        <w:rPr>
          <w:rFonts w:hint="eastAsia" w:ascii="宋体" w:hAnsi="宋体" w:cs="宋体"/>
          <w:sz w:val="32"/>
          <w:szCs w:val="32"/>
        </w:rPr>
        <w:br w:type="page"/>
      </w:r>
    </w:p>
    <w:p>
      <w:pPr>
        <w:pStyle w:val="38"/>
        <w:keepNext w:val="0"/>
        <w:pageBreakBefore w:val="0"/>
        <w:numPr>
          <w:ilvl w:val="0"/>
          <w:numId w:val="5"/>
        </w:numPr>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报价情况说明（如果有）</w:t>
      </w:r>
    </w:p>
    <w:p>
      <w:pPr>
        <w:pStyle w:val="4"/>
        <w:keepNext w:val="0"/>
        <w:numPr>
          <w:ilvl w:val="255"/>
          <w:numId w:val="0"/>
        </w:numPr>
        <w:tabs>
          <w:tab w:val="clear" w:pos="432"/>
        </w:tabs>
        <w:snapToGrid w:val="0"/>
        <w:spacing w:before="120" w:after="120"/>
        <w:rPr>
          <w:rFonts w:ascii="宋体" w:hAnsi="宋体" w:eastAsia="宋体" w:cs="宋体"/>
          <w:lang w:val="en-US"/>
        </w:rPr>
      </w:pPr>
      <w:r>
        <w:rPr>
          <w:rFonts w:hint="eastAsia" w:ascii="宋体" w:hAnsi="宋体" w:eastAsia="宋体" w:cs="宋体"/>
          <w:b w:val="0"/>
          <w:bCs w:val="0"/>
          <w:sz w:val="24"/>
          <w:szCs w:val="24"/>
          <w:lang w:val="en-US"/>
        </w:rPr>
        <w:t>（如供应商报价低于项目预算50%的，应当提交本文档，详细阐述不影响产品质量或者诚信履约的具体原因。）</w:t>
      </w:r>
    </w:p>
    <w:p>
      <w:pPr>
        <w:pStyle w:val="38"/>
        <w:keepNext w:val="0"/>
        <w:pageBreakBefore w:val="0"/>
        <w:tabs>
          <w:tab w:val="clear" w:pos="720"/>
        </w:tabs>
        <w:snapToGrid w:val="0"/>
        <w:spacing w:before="120" w:after="120"/>
        <w:ind w:firstLine="643"/>
        <w:outlineLvl w:val="9"/>
        <w:rPr>
          <w:rFonts w:ascii="宋体" w:hAnsi="宋体" w:eastAsia="宋体" w:cs="宋体"/>
          <w:kern w:val="2"/>
          <w:sz w:val="32"/>
          <w:szCs w:val="32"/>
        </w:rPr>
      </w:pPr>
    </w:p>
    <w:p>
      <w:pPr>
        <w:pStyle w:val="38"/>
        <w:keepNext w:val="0"/>
        <w:pageBreakBefore w:val="0"/>
        <w:tabs>
          <w:tab w:val="clear" w:pos="720"/>
        </w:tabs>
        <w:snapToGrid w:val="0"/>
        <w:spacing w:before="120" w:after="120"/>
        <w:ind w:firstLine="643"/>
        <w:outlineLvl w:val="9"/>
        <w:rPr>
          <w:rFonts w:ascii="宋体" w:hAnsi="宋体" w:eastAsia="宋体" w:cs="宋体"/>
          <w:kern w:val="2"/>
          <w:sz w:val="32"/>
          <w:szCs w:val="32"/>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pStyle w:val="3"/>
        <w:keepNext w:val="0"/>
        <w:widowControl/>
        <w:tabs>
          <w:tab w:val="left" w:pos="432"/>
        </w:tabs>
        <w:spacing w:before="100" w:beforeAutospacing="1" w:after="100" w:afterAutospacing="1"/>
        <w:ind w:left="1290" w:firstLine="2249" w:firstLineChars="700"/>
        <w:jc w:val="both"/>
        <w:rPr>
          <w:rFonts w:ascii="宋体" w:hAnsi="宋体" w:cs="宋体"/>
          <w:color w:val="auto"/>
        </w:rPr>
      </w:pPr>
      <w:bookmarkStart w:id="33" w:name="_Toc465665161"/>
    </w:p>
    <w:p>
      <w:pPr>
        <w:pStyle w:val="3"/>
        <w:keepNext w:val="0"/>
        <w:widowControl/>
        <w:tabs>
          <w:tab w:val="left" w:pos="432"/>
        </w:tabs>
        <w:spacing w:before="100" w:beforeAutospacing="1" w:after="100" w:afterAutospacing="1"/>
        <w:ind w:left="1290" w:firstLine="2249" w:firstLineChars="700"/>
        <w:jc w:val="both"/>
        <w:rPr>
          <w:rFonts w:ascii="宋体" w:hAnsi="宋体" w:cs="宋体"/>
          <w:color w:val="auto"/>
        </w:rPr>
      </w:pPr>
    </w:p>
    <w:p>
      <w:pPr>
        <w:pStyle w:val="3"/>
        <w:keepNext w:val="0"/>
        <w:widowControl/>
        <w:tabs>
          <w:tab w:val="left" w:pos="432"/>
        </w:tabs>
        <w:spacing w:before="100" w:beforeAutospacing="1" w:after="100" w:afterAutospacing="1"/>
        <w:ind w:left="1290" w:firstLine="2249" w:firstLineChars="700"/>
        <w:jc w:val="both"/>
        <w:rPr>
          <w:rFonts w:ascii="宋体" w:hAnsi="宋体" w:cs="宋体"/>
          <w:color w:val="auto"/>
        </w:rPr>
      </w:pPr>
    </w:p>
    <w:p>
      <w:pPr>
        <w:pStyle w:val="3"/>
        <w:keepNext w:val="0"/>
        <w:widowControl/>
        <w:tabs>
          <w:tab w:val="left" w:pos="432"/>
        </w:tabs>
        <w:spacing w:before="100" w:beforeAutospacing="1" w:after="100" w:afterAutospacing="1"/>
        <w:ind w:left="1290" w:firstLine="2249" w:firstLineChars="700"/>
        <w:jc w:val="both"/>
        <w:rPr>
          <w:rFonts w:ascii="宋体" w:hAnsi="宋体" w:cs="宋体"/>
          <w:color w:val="auto"/>
        </w:rPr>
      </w:pPr>
      <w:r>
        <w:rPr>
          <w:rFonts w:hint="eastAsia" w:ascii="宋体" w:hAnsi="宋体" w:cs="宋体"/>
          <w:color w:val="auto"/>
        </w:rPr>
        <w:t>附件</w:t>
      </w:r>
      <w:bookmarkEnd w:id="33"/>
    </w:p>
    <w:p>
      <w:pPr>
        <w:spacing w:line="360" w:lineRule="auto"/>
        <w:jc w:val="left"/>
        <w:rPr>
          <w:rFonts w:ascii="宋体" w:hAnsi="宋体" w:cs="宋体"/>
          <w:b/>
          <w:spacing w:val="6"/>
          <w:sz w:val="32"/>
          <w:szCs w:val="32"/>
        </w:rPr>
      </w:pPr>
      <w:r>
        <w:rPr>
          <w:rFonts w:hint="eastAsia" w:ascii="宋体" w:hAnsi="宋体" w:cs="宋体"/>
          <w:b/>
          <w:spacing w:val="6"/>
          <w:sz w:val="32"/>
          <w:szCs w:val="32"/>
        </w:rPr>
        <w:t>附件1：质疑函范本及制作说明</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trike/>
          <w:sz w:val="24"/>
        </w:rPr>
        <w:t>事实</w:t>
      </w:r>
      <w:r>
        <w:rPr>
          <w:rFonts w:hint="eastAsia" w:ascii="宋体" w:hAnsi="宋体" w:cs="宋体"/>
          <w:sz w:val="24"/>
        </w:rPr>
        <w:t>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left"/>
        <w:rPr>
          <w:rFonts w:ascii="宋体" w:hAnsi="宋体" w:cs="宋体"/>
          <w:b/>
          <w:spacing w:val="6"/>
          <w:sz w:val="32"/>
          <w:szCs w:val="32"/>
        </w:rPr>
      </w:pPr>
    </w:p>
    <w:p>
      <w:pPr>
        <w:spacing w:line="360" w:lineRule="auto"/>
        <w:jc w:val="left"/>
        <w:rPr>
          <w:rFonts w:ascii="宋体" w:hAnsi="宋体" w:cs="宋体"/>
          <w:b/>
          <w:spacing w:val="6"/>
          <w:sz w:val="32"/>
          <w:szCs w:val="32"/>
        </w:rPr>
      </w:pPr>
      <w:r>
        <w:rPr>
          <w:rFonts w:hint="eastAsia" w:ascii="宋体" w:hAnsi="宋体" w:cs="宋体"/>
          <w:b/>
          <w:spacing w:val="6"/>
          <w:sz w:val="32"/>
          <w:szCs w:val="32"/>
        </w:rPr>
        <w:t>附件2：投诉书范本及制作说明</w:t>
      </w:r>
    </w:p>
    <w:p>
      <w:pPr>
        <w:spacing w:line="360" w:lineRule="auto"/>
        <w:jc w:val="center"/>
        <w:rPr>
          <w:rFonts w:ascii="宋体" w:hAnsi="宋体" w:cs="宋体"/>
          <w:b/>
          <w:sz w:val="24"/>
        </w:rPr>
      </w:pPr>
    </w:p>
    <w:p>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pPr>
        <w:spacing w:line="360" w:lineRule="auto"/>
        <w:rPr>
          <w:rFonts w:ascii="宋体" w:hAnsi="宋体" w:cs="宋体"/>
          <w:sz w:val="24"/>
        </w:rPr>
      </w:pPr>
      <w:r>
        <w:rPr>
          <w:rFonts w:hint="eastAsia" w:ascii="宋体" w:hAnsi="宋体" w:cs="宋体"/>
          <w:sz w:val="24"/>
        </w:rPr>
        <w:t>一、投诉相关主体基本情况</w:t>
      </w:r>
    </w:p>
    <w:p>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被投诉人2</w:t>
      </w:r>
    </w:p>
    <w:p>
      <w:pPr>
        <w:spacing w:line="360" w:lineRule="auto"/>
        <w:rPr>
          <w:rFonts w:ascii="宋体" w:hAnsi="宋体" w:cs="宋体"/>
          <w:sz w:val="24"/>
          <w:u w:val="dotted"/>
        </w:rPr>
      </w:pPr>
      <w:r>
        <w:rPr>
          <w:rFonts w:hint="eastAsia" w:ascii="宋体" w:hAnsi="宋体" w:cs="宋体"/>
          <w:sz w:val="24"/>
        </w:rPr>
        <w:t>……</w:t>
      </w:r>
    </w:p>
    <w:p>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二、投诉项目基本情况</w:t>
      </w:r>
    </w:p>
    <w:p>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三、质疑基本情况</w:t>
      </w:r>
    </w:p>
    <w:p>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日,就质疑事项作出了答复/没有在期限内作出答复。</w:t>
      </w:r>
    </w:p>
    <w:p>
      <w:pPr>
        <w:spacing w:line="360" w:lineRule="auto"/>
        <w:rPr>
          <w:rFonts w:ascii="宋体" w:hAnsi="宋体" w:cs="宋体"/>
          <w:sz w:val="24"/>
        </w:rPr>
      </w:pPr>
      <w:r>
        <w:rPr>
          <w:rFonts w:hint="eastAsia" w:ascii="宋体" w:hAnsi="宋体" w:cs="宋体"/>
          <w:sz w:val="24"/>
        </w:rPr>
        <w:t>四、投诉事项具体内容</w:t>
      </w:r>
    </w:p>
    <w:p>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trike/>
          <w:sz w:val="24"/>
        </w:rPr>
        <w:t>事实</w:t>
      </w:r>
      <w:r>
        <w:rPr>
          <w:rFonts w:hint="eastAsia" w:ascii="宋体" w:hAnsi="宋体" w:cs="宋体"/>
          <w:sz w:val="24"/>
        </w:rPr>
        <w:t>依据：</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投诉事项2</w:t>
      </w:r>
    </w:p>
    <w:p>
      <w:pPr>
        <w:spacing w:line="360" w:lineRule="auto"/>
        <w:rPr>
          <w:rFonts w:ascii="宋体" w:hAnsi="宋体" w:cs="宋体"/>
          <w:sz w:val="24"/>
          <w:u w:val="dotted"/>
        </w:rPr>
      </w:pP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五、与投诉事项相关的投诉请求</w:t>
      </w:r>
    </w:p>
    <w:p>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投诉书制作说明：</w:t>
      </w:r>
    </w:p>
    <w:p>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pPr>
        <w:widowControl/>
        <w:spacing w:line="360" w:lineRule="auto"/>
        <w:ind w:firstLine="480" w:firstLineChars="200"/>
        <w:jc w:val="left"/>
        <w:rPr>
          <w:rFonts w:ascii="宋体" w:hAnsi="宋体" w:cs="宋体"/>
          <w:kern w:val="0"/>
          <w:sz w:val="24"/>
        </w:rPr>
      </w:pPr>
      <w:r>
        <w:rPr>
          <w:rFonts w:hint="eastAsia" w:ascii="宋体" w:hAnsi="宋体" w:cs="宋体"/>
          <w:sz w:val="24"/>
        </w:rPr>
        <w:t>7.投诉书应当由法定代表人、主要负责人，或者其授权代表签字或者盖章，并加盖公章。</w:t>
      </w:r>
    </w:p>
    <w:p>
      <w:pPr>
        <w:autoSpaceDE w:val="0"/>
        <w:autoSpaceDN w:val="0"/>
        <w:jc w:val="center"/>
        <w:rPr>
          <w:rFonts w:ascii="宋体" w:hAnsi="宋体" w:cs="宋体"/>
          <w:b/>
          <w:spacing w:val="6"/>
          <w:sz w:val="32"/>
          <w:szCs w:val="32"/>
        </w:rPr>
      </w:pPr>
    </w:p>
    <w:p>
      <w:pPr>
        <w:rPr>
          <w:rFonts w:ascii="宋体" w:hAnsi="宋体" w:cs="宋体"/>
          <w:b/>
          <w:spacing w:val="6"/>
          <w:sz w:val="32"/>
          <w:szCs w:val="32"/>
        </w:rPr>
      </w:pPr>
      <w:r>
        <w:rPr>
          <w:rFonts w:ascii="宋体" w:hAnsi="宋体" w:cs="宋体"/>
          <w:b/>
          <w:spacing w:val="6"/>
          <w:sz w:val="32"/>
          <w:szCs w:val="32"/>
        </w:rPr>
        <w:br w:type="page"/>
      </w:r>
    </w:p>
    <w:p>
      <w:pPr>
        <w:autoSpaceDE w:val="0"/>
        <w:autoSpaceDN w:val="0"/>
        <w:jc w:val="center"/>
        <w:rPr>
          <w:rFonts w:ascii="宋体" w:hAnsi="宋体" w:cs="宋体"/>
          <w:b/>
          <w:bCs/>
          <w:sz w:val="32"/>
          <w:szCs w:val="32"/>
        </w:rPr>
      </w:pPr>
      <w:r>
        <w:rPr>
          <w:rFonts w:hint="eastAsia" w:ascii="宋体" w:hAnsi="宋体" w:cs="宋体"/>
          <w:b/>
          <w:spacing w:val="6"/>
          <w:sz w:val="32"/>
          <w:szCs w:val="32"/>
        </w:rPr>
        <w:t>附件3：</w:t>
      </w:r>
      <w:r>
        <w:rPr>
          <w:rFonts w:hint="eastAsia" w:ascii="宋体" w:hAnsi="宋体" w:cs="宋体"/>
          <w:b/>
          <w:bCs/>
          <w:sz w:val="32"/>
          <w:szCs w:val="32"/>
        </w:rPr>
        <w:t>业务专用章使用说明函</w:t>
      </w:r>
    </w:p>
    <w:p>
      <w:pPr>
        <w:spacing w:line="360" w:lineRule="auto"/>
        <w:rPr>
          <w:rFonts w:ascii="宋体" w:hAnsi="宋体" w:cs="宋体"/>
          <w:sz w:val="24"/>
          <w:u w:val="single"/>
        </w:rPr>
      </w:pPr>
    </w:p>
    <w:p>
      <w:pPr>
        <w:spacing w:line="360" w:lineRule="auto"/>
        <w:rPr>
          <w:rFonts w:ascii="宋体" w:hAnsi="宋体" w:cs="宋体"/>
          <w:sz w:val="24"/>
        </w:rPr>
      </w:pPr>
      <w:r>
        <w:rPr>
          <w:rFonts w:hint="eastAsia" w:ascii="宋体" w:hAnsi="宋体" w:cs="宋体"/>
          <w:sz w:val="24"/>
          <w:u w:val="single"/>
        </w:rPr>
        <w:t>（采购人）、（采购代理机构）：</w:t>
      </w:r>
    </w:p>
    <w:p>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(供应商全称)是中华人民共和国依法登记注册的合法企业，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你方组织的（项目名称）【采购编号：（采购编号）】</w:t>
      </w:r>
      <w:r>
        <w:rPr>
          <w:rFonts w:hint="eastAsia" w:ascii="宋体" w:hAnsi="宋体" w:cs="宋体"/>
          <w:bCs/>
          <w:sz w:val="24"/>
        </w:rPr>
        <w:t>采购活动中作如下说明：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sz w:val="24"/>
        </w:rPr>
      </w:pPr>
      <w:r>
        <w:rPr>
          <w:rFonts w:hint="eastAsia" w:ascii="宋体" w:hAnsi="宋体" w:cs="宋体"/>
          <w:sz w:val="24"/>
        </w:rPr>
        <w:t>特此说明。</w:t>
      </w:r>
    </w:p>
    <w:p>
      <w:pPr>
        <w:spacing w:line="360" w:lineRule="auto"/>
        <w:ind w:firstLine="494"/>
        <w:rPr>
          <w:rFonts w:ascii="宋体" w:hAnsi="宋体" w:cs="宋体"/>
          <w:sz w:val="24"/>
        </w:rPr>
      </w:pPr>
    </w:p>
    <w:p>
      <w:pPr>
        <w:spacing w:line="360" w:lineRule="auto"/>
        <w:ind w:firstLine="494"/>
        <w:rPr>
          <w:rFonts w:ascii="宋体" w:hAnsi="宋体" w:cs="宋体"/>
          <w:sz w:val="24"/>
        </w:rPr>
      </w:pPr>
    </w:p>
    <w:p>
      <w:pPr>
        <w:spacing w:line="360" w:lineRule="auto"/>
        <w:ind w:firstLine="494"/>
        <w:rPr>
          <w:rFonts w:ascii="宋体" w:hAnsi="宋体" w:cs="宋体"/>
          <w:sz w:val="24"/>
        </w:rPr>
      </w:pPr>
    </w:p>
    <w:p>
      <w:pPr>
        <w:spacing w:line="360" w:lineRule="auto"/>
        <w:ind w:right="480" w:firstLine="4080" w:firstLineChars="1700"/>
        <w:rPr>
          <w:rFonts w:ascii="宋体" w:hAnsi="宋体" w:cs="宋体"/>
          <w:sz w:val="24"/>
        </w:rPr>
      </w:pPr>
      <w:r>
        <w:rPr>
          <w:rFonts w:hint="eastAsia" w:ascii="宋体" w:hAnsi="宋体" w:cs="宋体"/>
          <w:sz w:val="24"/>
        </w:rPr>
        <w:t>供应商单位（法定名称章）：</w:t>
      </w:r>
    </w:p>
    <w:p>
      <w:pPr>
        <w:ind w:right="1440" w:firstLine="494"/>
        <w:jc w:val="center"/>
        <w:rPr>
          <w:rFonts w:ascii="宋体" w:hAnsi="宋体" w:cs="宋体"/>
          <w:sz w:val="24"/>
        </w:rPr>
      </w:pPr>
      <w:r>
        <w:rPr>
          <w:rFonts w:hint="eastAsia" w:ascii="宋体" w:hAnsi="宋体" w:cs="宋体"/>
          <w:sz w:val="24"/>
        </w:rPr>
        <w:t xml:space="preserve">                              日期：       年     月     日</w:t>
      </w:r>
    </w:p>
    <w:p>
      <w:pPr>
        <w:rPr>
          <w:rFonts w:ascii="宋体" w:hAnsi="宋体" w:cs="宋体"/>
          <w:sz w:val="24"/>
        </w:rPr>
      </w:pPr>
      <w:r>
        <w:rPr>
          <w:rFonts w:hint="eastAsia" w:ascii="宋体" w:hAnsi="宋体" w:cs="宋体"/>
          <w:b/>
          <w:bCs/>
          <w:sz w:val="24"/>
        </w:rPr>
        <w:t>附：</w:t>
      </w:r>
    </w:p>
    <w:p>
      <w:pPr>
        <w:spacing w:line="360" w:lineRule="auto"/>
        <w:rPr>
          <w:rFonts w:ascii="宋体" w:hAnsi="宋体" w:cs="宋体"/>
          <w:sz w:val="24"/>
        </w:rPr>
      </w:pPr>
      <w:r>
        <w:rPr>
          <w:rFonts w:ascii="宋体" w:hAnsi="宋体" w:cs="宋体"/>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供应商法定名称章（印模）                供应商“XX专用章”（印模）</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snapToGrid w:val="0"/>
        <w:spacing w:line="360" w:lineRule="auto"/>
        <w:jc w:val="center"/>
        <w:outlineLvl w:val="0"/>
        <w:rPr>
          <w:rFonts w:ascii="宋体" w:hAnsi="宋体" w:cs="宋体"/>
          <w:b/>
          <w:kern w:val="0"/>
          <w:sz w:val="32"/>
          <w:szCs w:val="32"/>
        </w:rPr>
      </w:pPr>
    </w:p>
    <w:p>
      <w:pPr>
        <w:snapToGrid w:val="0"/>
        <w:spacing w:line="360" w:lineRule="auto"/>
        <w:jc w:val="center"/>
        <w:outlineLvl w:val="0"/>
        <w:rPr>
          <w:rFonts w:ascii="宋体" w:hAnsi="宋体" w:cs="宋体"/>
          <w:b/>
          <w:kern w:val="0"/>
          <w:sz w:val="32"/>
          <w:szCs w:val="32"/>
        </w:rPr>
      </w:pPr>
    </w:p>
    <w:p>
      <w:pPr>
        <w:snapToGrid w:val="0"/>
        <w:spacing w:line="360" w:lineRule="auto"/>
        <w:jc w:val="center"/>
        <w:outlineLvl w:val="0"/>
        <w:rPr>
          <w:rFonts w:ascii="宋体" w:hAnsi="宋体" w:cs="宋体"/>
          <w:b/>
          <w:kern w:val="0"/>
          <w:sz w:val="32"/>
          <w:szCs w:val="32"/>
        </w:rPr>
      </w:pPr>
    </w:p>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0"/>
        <w:rPr>
          <w:rFonts w:ascii="宋体" w:hAnsi="宋体" w:cs="宋体"/>
          <w:b/>
          <w:kern w:val="0"/>
          <w:sz w:val="32"/>
          <w:szCs w:val="32"/>
        </w:rPr>
      </w:pPr>
      <w:r>
        <w:rPr>
          <w:rFonts w:hint="eastAsia" w:ascii="宋体" w:hAnsi="宋体" w:cs="宋体"/>
          <w:b/>
          <w:kern w:val="0"/>
          <w:sz w:val="32"/>
          <w:szCs w:val="32"/>
        </w:rPr>
        <w:t>附件4：联合协议</w:t>
      </w:r>
    </w:p>
    <w:p>
      <w:pPr>
        <w:keepNext w:val="0"/>
        <w:keepLines w:val="0"/>
        <w:pageBreakBefore w:val="0"/>
        <w:widowControl/>
        <w:kinsoku/>
        <w:wordWrap/>
        <w:overflowPunct/>
        <w:topLinePunct w:val="0"/>
        <w:autoSpaceDE/>
        <w:autoSpaceDN/>
        <w:bidi w:val="0"/>
        <w:adjustRightInd w:val="0"/>
        <w:spacing w:line="240" w:lineRule="auto"/>
        <w:ind w:firstLine="482" w:firstLineChars="200"/>
        <w:jc w:val="left"/>
        <w:textAlignment w:val="auto"/>
        <w:rPr>
          <w:rFonts w:ascii="宋体" w:hAnsi="宋体" w:cs="宋体"/>
          <w:b/>
          <w:sz w:val="24"/>
        </w:rPr>
      </w:pPr>
      <w:r>
        <w:rPr>
          <w:rFonts w:hint="eastAsia" w:ascii="宋体" w:hAnsi="宋体" w:cs="宋体"/>
          <w:b/>
          <w:sz w:val="24"/>
        </w:rPr>
        <w:t>（以联合体形式参与本项目的，提供联合协议；本项目不接受联合体或者供应商不以联合体形式的，则不需要提供）</w:t>
      </w:r>
    </w:p>
    <w:p>
      <w:pPr>
        <w:keepNext w:val="0"/>
        <w:keepLines w:val="0"/>
        <w:pageBreakBefore w:val="0"/>
        <w:kinsoku/>
        <w:wordWrap/>
        <w:overflowPunct/>
        <w:topLinePunct w:val="0"/>
        <w:autoSpaceDE/>
        <w:autoSpaceDN/>
        <w:bidi w:val="0"/>
        <w:adjustRightInd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组成一个联合体，以一个供应商的身份</w:t>
      </w:r>
      <w:r>
        <w:rPr>
          <w:rFonts w:hint="eastAsia" w:ascii="宋体" w:hAnsi="宋体" w:cs="宋体"/>
          <w:kern w:val="0"/>
          <w:sz w:val="24"/>
        </w:rPr>
        <w:t>参加</w:t>
      </w:r>
      <w:r>
        <w:rPr>
          <w:rFonts w:hint="eastAsia" w:ascii="宋体" w:hAnsi="宋体" w:cs="宋体"/>
          <w:sz w:val="24"/>
        </w:rPr>
        <w:t>（项目名称）【采购编号：（采购编号）】</w:t>
      </w:r>
      <w:r>
        <w:rPr>
          <w:rFonts w:hint="eastAsia" w:ascii="宋体" w:hAnsi="宋体" w:cs="宋体"/>
          <w:kern w:val="0"/>
          <w:sz w:val="24"/>
          <w:lang w:val="zh-CN"/>
        </w:rPr>
        <w:t xml:space="preserve">。 </w:t>
      </w:r>
    </w:p>
    <w:p>
      <w:pPr>
        <w:keepNext w:val="0"/>
        <w:keepLines w:val="0"/>
        <w:pageBreakBefore w:val="0"/>
        <w:kinsoku/>
        <w:wordWrap/>
        <w:overflowPunct/>
        <w:topLinePunct w:val="0"/>
        <w:autoSpaceDE/>
        <w:autoSpaceDN/>
        <w:bidi w:val="0"/>
        <w:adjustRightInd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，代表所有联合体成员负责供应商和合同实施阶段的主办、协调工作</w:t>
      </w:r>
      <w:r>
        <w:rPr>
          <w:rFonts w:hint="eastAsia" w:ascii="宋体" w:hAnsi="宋体" w:cs="宋体"/>
          <w:kern w:val="0"/>
          <w:sz w:val="24"/>
          <w:lang w:val="zh-CN"/>
        </w:rPr>
        <w:t>。</w:t>
      </w:r>
    </w:p>
    <w:p>
      <w:pPr>
        <w:keepNext w:val="0"/>
        <w:keepLines w:val="0"/>
        <w:pageBreakBefore w:val="0"/>
        <w:kinsoku/>
        <w:wordWrap/>
        <w:overflowPunct/>
        <w:topLinePunct w:val="0"/>
        <w:autoSpaceDE/>
        <w:autoSpaceDN/>
        <w:bidi w:val="0"/>
        <w:adjustRightInd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w:t>
      </w:r>
      <w:r>
        <w:rPr>
          <w:rFonts w:hint="eastAsia" w:ascii="宋体" w:hAnsi="宋体" w:cs="宋体"/>
          <w:kern w:val="0"/>
          <w:sz w:val="24"/>
        </w:rPr>
        <w:t>采购</w:t>
      </w:r>
      <w:r>
        <w:rPr>
          <w:rFonts w:hint="eastAsia" w:ascii="宋体" w:hAnsi="宋体" w:cs="宋体"/>
          <w:kern w:val="0"/>
          <w:sz w:val="24"/>
          <w:lang w:val="zh-CN"/>
        </w:rPr>
        <w:t>文件规定及</w:t>
      </w:r>
      <w:r>
        <w:rPr>
          <w:rFonts w:hint="eastAsia" w:ascii="宋体" w:hAnsi="宋体" w:cs="宋体"/>
          <w:kern w:val="0"/>
          <w:sz w:val="24"/>
        </w:rPr>
        <w:t>响应</w:t>
      </w:r>
      <w:r>
        <w:rPr>
          <w:rFonts w:hint="eastAsia" w:ascii="宋体" w:hAnsi="宋体" w:cs="宋体"/>
          <w:kern w:val="0"/>
          <w:sz w:val="24"/>
          <w:lang w:val="zh-CN"/>
        </w:rPr>
        <w:t>内容而对采购人、采购代理机构所作的任何合法承诺，包括书面澄清及相应</w:t>
      </w:r>
      <w:r>
        <w:rPr>
          <w:rFonts w:hint="eastAsia" w:ascii="宋体" w:hAnsi="宋体" w:cs="宋体"/>
          <w:kern w:val="0"/>
          <w:sz w:val="24"/>
        </w:rPr>
        <w:t>声明</w:t>
      </w:r>
      <w:r>
        <w:rPr>
          <w:rFonts w:hint="eastAsia" w:ascii="宋体" w:hAnsi="宋体" w:cs="宋体"/>
          <w:kern w:val="0"/>
          <w:sz w:val="24"/>
          <w:lang w:val="zh-CN"/>
        </w:rPr>
        <w:t>等均对联合</w:t>
      </w:r>
      <w:r>
        <w:rPr>
          <w:rFonts w:hint="eastAsia" w:ascii="宋体" w:hAnsi="宋体" w:cs="宋体"/>
          <w:kern w:val="0"/>
          <w:sz w:val="24"/>
        </w:rPr>
        <w:t>参与</w:t>
      </w:r>
      <w:r>
        <w:rPr>
          <w:rFonts w:hint="eastAsia" w:ascii="宋体" w:hAnsi="宋体" w:cs="宋体"/>
          <w:kern w:val="0"/>
          <w:sz w:val="24"/>
          <w:lang w:val="zh-CN"/>
        </w:rPr>
        <w:t>各方产生约束力。</w:t>
      </w:r>
    </w:p>
    <w:p>
      <w:pPr>
        <w:keepNext w:val="0"/>
        <w:keepLines w:val="0"/>
        <w:pageBreakBefore w:val="0"/>
        <w:kinsoku/>
        <w:wordWrap/>
        <w:overflowPunct/>
        <w:topLinePunct w:val="0"/>
        <w:autoSpaceDE/>
        <w:autoSpaceDN/>
        <w:bidi w:val="0"/>
        <w:adjustRightInd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lang w:val="zh-CN"/>
        </w:rPr>
        <w:t>三、本次联合</w:t>
      </w:r>
      <w:r>
        <w:rPr>
          <w:rFonts w:hint="eastAsia" w:ascii="宋体" w:hAnsi="宋体" w:cs="宋体"/>
          <w:kern w:val="0"/>
          <w:sz w:val="24"/>
        </w:rPr>
        <w:t>响应</w:t>
      </w:r>
      <w:r>
        <w:rPr>
          <w:rFonts w:hint="eastAsia" w:ascii="宋体" w:hAnsi="宋体" w:cs="宋体"/>
          <w:kern w:val="0"/>
          <w:sz w:val="24"/>
          <w:lang w:val="zh-CN"/>
        </w:rPr>
        <w:t>中，分工如下：</w:t>
      </w:r>
    </w:p>
    <w:p>
      <w:pPr>
        <w:keepNext w:val="0"/>
        <w:keepLines w:val="0"/>
        <w:pageBreakBefore w:val="0"/>
        <w:kinsoku/>
        <w:wordWrap/>
        <w:overflowPunct/>
        <w:topLinePunct w:val="0"/>
        <w:autoSpaceDE/>
        <w:autoSpaceDN/>
        <w:bidi w:val="0"/>
        <w:adjustRightInd w:val="0"/>
        <w:snapToGrid w:val="0"/>
        <w:spacing w:line="240" w:lineRule="auto"/>
        <w:ind w:firstLine="576"/>
        <w:textAlignment w:val="auto"/>
        <w:rPr>
          <w:rFonts w:ascii="宋体" w:hAnsi="宋体" w:cs="宋体"/>
          <w:kern w:val="0"/>
          <w:sz w:val="24"/>
          <w:lang w:val="zh-CN"/>
        </w:rPr>
      </w:pPr>
      <w:bookmarkStart w:id="34"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pPr>
        <w:keepNext w:val="0"/>
        <w:keepLines w:val="0"/>
        <w:pageBreakBefore w:val="0"/>
        <w:kinsoku/>
        <w:wordWrap/>
        <w:overflowPunct/>
        <w:topLinePunct w:val="0"/>
        <w:autoSpaceDE/>
        <w:autoSpaceDN/>
        <w:bidi w:val="0"/>
        <w:adjustRightInd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bookmarkEnd w:id="34"/>
    <w:p>
      <w:pPr>
        <w:keepNext w:val="0"/>
        <w:keepLines w:val="0"/>
        <w:pageBreakBefore w:val="0"/>
        <w:kinsoku/>
        <w:wordWrap/>
        <w:overflowPunct/>
        <w:topLinePunct w:val="0"/>
        <w:autoSpaceDE/>
        <w:autoSpaceDN/>
        <w:bidi w:val="0"/>
        <w:adjustRightInd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lang w:val="zh-CN"/>
        </w:rPr>
        <w:t>四、联合体成员中小企业合同份额。</w:t>
      </w:r>
    </w:p>
    <w:p>
      <w:pPr>
        <w:keepNext w:val="0"/>
        <w:keepLines w:val="0"/>
        <w:pageBreakBefore w:val="0"/>
        <w:kinsoku/>
        <w:wordWrap/>
        <w:overflowPunct/>
        <w:topLinePunct w:val="0"/>
        <w:autoSpaceDE/>
        <w:autoSpaceDN/>
        <w:bidi w:val="0"/>
        <w:adjustRightInd w:val="0"/>
        <w:snapToGrid w:val="0"/>
        <w:spacing w:line="240" w:lineRule="auto"/>
        <w:ind w:firstLine="576"/>
        <w:textAlignment w:val="auto"/>
        <w:rPr>
          <w:rFonts w:ascii="宋体" w:hAnsi="宋体" w:cs="宋体"/>
          <w:strike/>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提供的全部货物由小微企业制造，其合同份额占到合同总金额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p>
    <w:p>
      <w:pPr>
        <w:keepNext w:val="0"/>
        <w:keepLines w:val="0"/>
        <w:pageBreakBefore w:val="0"/>
        <w:kinsoku/>
        <w:wordWrap/>
        <w:overflowPunct/>
        <w:topLinePunct w:val="0"/>
        <w:autoSpaceDE/>
        <w:autoSpaceDN/>
        <w:bidi w:val="0"/>
        <w:adjustRightInd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lang w:val="zh-CN"/>
        </w:rPr>
        <w:t>五、</w:t>
      </w:r>
      <w:r>
        <w:rPr>
          <w:rFonts w:hint="eastAsia" w:ascii="宋体" w:hAnsi="宋体" w:cs="宋体"/>
          <w:sz w:val="24"/>
        </w:rPr>
        <w:t>联合体各成员方共同与采购人签订合同，并就采购合同约定的事项对采购人承担连带责任。</w:t>
      </w:r>
    </w:p>
    <w:p>
      <w:pPr>
        <w:keepNext w:val="0"/>
        <w:keepLines w:val="0"/>
        <w:pageBreakBefore w:val="0"/>
        <w:kinsoku/>
        <w:wordWrap/>
        <w:overflowPunct/>
        <w:topLinePunct w:val="0"/>
        <w:autoSpaceDE/>
        <w:autoSpaceDN/>
        <w:bidi w:val="0"/>
        <w:adjustRightInd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lang w:val="zh-CN"/>
        </w:rPr>
        <w:t>六、有关本次联合</w:t>
      </w:r>
      <w:r>
        <w:rPr>
          <w:rFonts w:hint="eastAsia" w:ascii="宋体" w:hAnsi="宋体" w:cs="宋体"/>
          <w:kern w:val="0"/>
          <w:sz w:val="24"/>
        </w:rPr>
        <w:t>响应</w:t>
      </w:r>
      <w:r>
        <w:rPr>
          <w:rFonts w:hint="eastAsia" w:ascii="宋体" w:hAnsi="宋体" w:cs="宋体"/>
          <w:kern w:val="0"/>
          <w:sz w:val="24"/>
          <w:lang w:val="zh-CN"/>
        </w:rPr>
        <w:t>的其他事宜：</w:t>
      </w:r>
    </w:p>
    <w:p>
      <w:pPr>
        <w:keepNext w:val="0"/>
        <w:keepLines w:val="0"/>
        <w:pageBreakBefore w:val="0"/>
        <w:kinsoku/>
        <w:wordWrap/>
        <w:overflowPunct/>
        <w:topLinePunct w:val="0"/>
        <w:autoSpaceDE/>
        <w:autoSpaceDN/>
        <w:bidi w:val="0"/>
        <w:adjustRightInd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1、联合体各方不再单独参加或者与其他供应商另外组成联合体参加同一合同项下的采购活动。</w:t>
      </w:r>
    </w:p>
    <w:p>
      <w:pPr>
        <w:keepNext w:val="0"/>
        <w:keepLines w:val="0"/>
        <w:pageBreakBefore w:val="0"/>
        <w:kinsoku/>
        <w:wordWrap/>
        <w:overflowPunct/>
        <w:topLinePunct w:val="0"/>
        <w:autoSpaceDE/>
        <w:autoSpaceDN/>
        <w:bidi w:val="0"/>
        <w:adjustRightInd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pPr>
        <w:keepNext w:val="0"/>
        <w:keepLines w:val="0"/>
        <w:pageBreakBefore w:val="0"/>
        <w:kinsoku/>
        <w:wordWrap/>
        <w:overflowPunct/>
        <w:topLinePunct w:val="0"/>
        <w:autoSpaceDE/>
        <w:autoSpaceDN/>
        <w:bidi w:val="0"/>
        <w:adjustRightInd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pPr>
        <w:keepNext w:val="0"/>
        <w:keepLines w:val="0"/>
        <w:pageBreakBefore w:val="0"/>
        <w:kinsoku/>
        <w:wordWrap/>
        <w:overflowPunct/>
        <w:topLinePunct w:val="0"/>
        <w:autoSpaceDE/>
        <w:autoSpaceDN/>
        <w:bidi w:val="0"/>
        <w:adjustRightInd w:val="0"/>
        <w:snapToGrid w:val="0"/>
        <w:spacing w:line="240" w:lineRule="auto"/>
        <w:ind w:firstLine="3360" w:firstLineChars="1400"/>
        <w:textAlignment w:val="auto"/>
        <w:rPr>
          <w:rFonts w:ascii="宋体" w:hAnsi="宋体" w:cs="宋体"/>
          <w:kern w:val="0"/>
          <w:sz w:val="24"/>
          <w:lang w:val="zh-CN"/>
        </w:rPr>
      </w:pPr>
      <w:r>
        <w:rPr>
          <w:rFonts w:hint="eastAsia" w:ascii="宋体" w:hAnsi="宋体" w:cs="宋体"/>
          <w:kern w:val="0"/>
          <w:sz w:val="24"/>
          <w:lang w:val="zh-CN"/>
        </w:rPr>
        <w:t>联合体成员名称(电子签名/公章)：</w:t>
      </w:r>
    </w:p>
    <w:p>
      <w:pPr>
        <w:keepNext w:val="0"/>
        <w:keepLines w:val="0"/>
        <w:pageBreakBefore w:val="0"/>
        <w:kinsoku/>
        <w:wordWrap/>
        <w:overflowPunct/>
        <w:topLinePunct w:val="0"/>
        <w:autoSpaceDE/>
        <w:autoSpaceDN/>
        <w:bidi w:val="0"/>
        <w:adjustRightInd w:val="0"/>
        <w:snapToGrid w:val="0"/>
        <w:spacing w:line="240" w:lineRule="auto"/>
        <w:ind w:firstLine="3360" w:firstLineChars="1400"/>
        <w:textAlignment w:val="auto"/>
        <w:rPr>
          <w:rFonts w:ascii="宋体" w:hAnsi="宋体" w:cs="宋体"/>
          <w:kern w:val="0"/>
          <w:sz w:val="24"/>
          <w:lang w:val="zh-CN"/>
        </w:rPr>
      </w:pPr>
      <w:r>
        <w:rPr>
          <w:rFonts w:hint="eastAsia" w:ascii="宋体" w:hAnsi="宋体" w:cs="宋体"/>
          <w:kern w:val="0"/>
          <w:sz w:val="24"/>
          <w:lang w:val="zh-CN"/>
        </w:rPr>
        <w:t>联合体成员名称(电子签名/公章)：</w:t>
      </w:r>
    </w:p>
    <w:p>
      <w:pPr>
        <w:keepNext w:val="0"/>
        <w:keepLines w:val="0"/>
        <w:pageBreakBefore w:val="0"/>
        <w:kinsoku/>
        <w:wordWrap/>
        <w:overflowPunct/>
        <w:topLinePunct w:val="0"/>
        <w:autoSpaceDE/>
        <w:autoSpaceDN/>
        <w:bidi w:val="0"/>
        <w:adjustRightInd w:val="0"/>
        <w:snapToGrid w:val="0"/>
        <w:spacing w:line="240" w:lineRule="auto"/>
        <w:jc w:val="right"/>
        <w:textAlignment w:val="auto"/>
        <w:rPr>
          <w:rFonts w:ascii="宋体" w:hAnsi="宋体" w:cs="宋体"/>
          <w:kern w:val="0"/>
          <w:sz w:val="24"/>
          <w:lang w:val="zh-CN"/>
        </w:rPr>
      </w:pPr>
      <w:r>
        <w:rPr>
          <w:rFonts w:hint="eastAsia" w:ascii="宋体" w:hAnsi="宋体" w:cs="宋体"/>
          <w:kern w:val="0"/>
          <w:sz w:val="24"/>
          <w:lang w:val="zh-CN"/>
        </w:rPr>
        <w:t>日期：  年  月   日</w:t>
      </w:r>
    </w:p>
    <w:p>
      <w:pPr>
        <w:keepNext w:val="0"/>
        <w:keepLines w:val="0"/>
        <w:pageBreakBefore w:val="0"/>
        <w:kinsoku/>
        <w:wordWrap/>
        <w:overflowPunct/>
        <w:topLinePunct w:val="0"/>
        <w:autoSpaceDE/>
        <w:autoSpaceDN/>
        <w:bidi w:val="0"/>
        <w:adjustRightInd w:val="0"/>
        <w:spacing w:line="240" w:lineRule="auto"/>
        <w:ind w:right="420"/>
        <w:textAlignment w:val="auto"/>
        <w:rPr>
          <w:rFonts w:ascii="宋体" w:hAnsi="宋体" w:cs="宋体"/>
          <w:b/>
          <w:kern w:val="0"/>
          <w:sz w:val="32"/>
          <w:szCs w:val="32"/>
        </w:rPr>
      </w:pPr>
      <w:r>
        <w:rPr>
          <w:rFonts w:hint="eastAsia" w:ascii="宋体" w:hAnsi="宋体" w:cs="宋体"/>
          <w:sz w:val="24"/>
        </w:rPr>
        <w:t>注：按本格式和要求提供。</w:t>
      </w:r>
    </w:p>
    <w:p>
      <w:pPr>
        <w:rPr>
          <w:rFonts w:hint="eastAsia" w:ascii="宋体" w:hAnsi="宋体" w:cs="宋体"/>
          <w:b/>
          <w:kern w:val="0"/>
          <w:sz w:val="32"/>
          <w:szCs w:val="32"/>
        </w:rPr>
      </w:pPr>
      <w:r>
        <w:rPr>
          <w:rFonts w:hint="eastAsia" w:ascii="宋体" w:hAnsi="宋体" w:cs="宋体"/>
          <w:b/>
          <w:kern w:val="0"/>
          <w:sz w:val="32"/>
          <w:szCs w:val="32"/>
        </w:rPr>
        <w:br w:type="page"/>
      </w:r>
    </w:p>
    <w:p>
      <w:pPr>
        <w:pageBreakBefore w:val="0"/>
        <w:kinsoku/>
        <w:wordWrap/>
        <w:overflowPunct/>
        <w:topLinePunct w:val="0"/>
        <w:autoSpaceDE/>
        <w:autoSpaceDN/>
        <w:bidi w:val="0"/>
        <w:snapToGrid w:val="0"/>
        <w:spacing w:line="240" w:lineRule="auto"/>
        <w:jc w:val="center"/>
        <w:textAlignment w:val="auto"/>
        <w:outlineLvl w:val="0"/>
        <w:rPr>
          <w:rFonts w:ascii="宋体" w:hAnsi="宋体" w:cs="宋体"/>
          <w:b/>
          <w:kern w:val="0"/>
          <w:sz w:val="32"/>
          <w:szCs w:val="32"/>
        </w:rPr>
      </w:pPr>
      <w:r>
        <w:rPr>
          <w:rFonts w:hint="eastAsia" w:ascii="宋体" w:hAnsi="宋体" w:cs="宋体"/>
          <w:b/>
          <w:kern w:val="0"/>
          <w:sz w:val="32"/>
          <w:szCs w:val="32"/>
        </w:rPr>
        <w:t>附件5：分包意向协议</w:t>
      </w:r>
    </w:p>
    <w:p>
      <w:pPr>
        <w:pageBreakBefore w:val="0"/>
        <w:widowControl/>
        <w:kinsoku/>
        <w:wordWrap/>
        <w:overflowPunct/>
        <w:topLinePunct w:val="0"/>
        <w:autoSpaceDE/>
        <w:autoSpaceDN/>
        <w:bidi w:val="0"/>
        <w:spacing w:line="240" w:lineRule="auto"/>
        <w:ind w:firstLine="120" w:firstLineChars="50"/>
        <w:jc w:val="left"/>
        <w:textAlignment w:val="auto"/>
        <w:rPr>
          <w:rFonts w:ascii="宋体" w:hAnsi="宋体" w:cs="宋体"/>
          <w:sz w:val="24"/>
        </w:rPr>
      </w:pPr>
      <w:r>
        <w:rPr>
          <w:rFonts w:hint="eastAsia" w:ascii="宋体" w:hAnsi="宋体" w:cs="宋体"/>
          <w:sz w:val="24"/>
        </w:rPr>
        <w:t>（</w:t>
      </w:r>
      <w:r>
        <w:rPr>
          <w:rFonts w:hint="eastAsia" w:ascii="宋体" w:hAnsi="宋体" w:cs="宋体"/>
          <w:b/>
          <w:sz w:val="24"/>
        </w:rPr>
        <w:t>成交后以分包方式履行合同的，提供分包意向协议；采购人不同意分包或者供应商成交后不以分包方式履行合同的，则不需要提供。</w:t>
      </w:r>
      <w:r>
        <w:rPr>
          <w:rFonts w:hint="eastAsia" w:ascii="宋体" w:hAnsi="宋体" w:cs="宋体"/>
          <w:sz w:val="24"/>
        </w:rPr>
        <w:t>）</w:t>
      </w:r>
    </w:p>
    <w:p>
      <w:pPr>
        <w:pageBreakBefore w:val="0"/>
        <w:kinsoku/>
        <w:wordWrap/>
        <w:overflowPunct/>
        <w:topLinePunct w:val="0"/>
        <w:autoSpaceDE/>
        <w:autoSpaceDN/>
        <w:bidi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u w:val="single"/>
        </w:rPr>
        <w:t>（供应商名称）</w:t>
      </w:r>
      <w:r>
        <w:rPr>
          <w:rFonts w:hint="eastAsia" w:ascii="宋体" w:hAnsi="宋体" w:cs="宋体"/>
          <w:kern w:val="0"/>
          <w:sz w:val="24"/>
          <w:lang w:val="zh-CN"/>
        </w:rPr>
        <w:t>若成为</w:t>
      </w:r>
      <w:r>
        <w:rPr>
          <w:rFonts w:hint="eastAsia" w:ascii="宋体" w:hAnsi="宋体" w:cs="宋体"/>
          <w:sz w:val="24"/>
        </w:rPr>
        <w:t>（项目名称）【采购编号：（采购编号）】</w:t>
      </w:r>
      <w:r>
        <w:rPr>
          <w:rFonts w:hint="eastAsia" w:ascii="宋体" w:hAnsi="宋体" w:cs="宋体"/>
          <w:kern w:val="0"/>
          <w:sz w:val="24"/>
          <w:lang w:val="zh-CN"/>
        </w:rPr>
        <w:t>的成交供应商，将依法采取分包方式履行合同。</w:t>
      </w:r>
      <w:r>
        <w:rPr>
          <w:rFonts w:hint="eastAsia" w:ascii="宋体" w:hAnsi="宋体" w:cs="宋体"/>
          <w:kern w:val="0"/>
          <w:sz w:val="24"/>
          <w:u w:val="single"/>
        </w:rPr>
        <w:t>（供应商名称）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pPr>
        <w:pageBreakBefore w:val="0"/>
        <w:kinsoku/>
        <w:wordWrap/>
        <w:overflowPunct/>
        <w:topLinePunct w:val="0"/>
        <w:autoSpaceDE/>
        <w:autoSpaceDN/>
        <w:bidi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lang w:val="zh-CN"/>
        </w:rPr>
        <w:t>一、分包标的及数量</w:t>
      </w:r>
    </w:p>
    <w:p>
      <w:pPr>
        <w:pageBreakBefore w:val="0"/>
        <w:kinsoku/>
        <w:wordWrap/>
        <w:overflowPunct/>
        <w:topLinePunct w:val="0"/>
        <w:autoSpaceDE/>
        <w:autoSpaceDN/>
        <w:bidi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u w:val="single"/>
        </w:rPr>
        <w:t>（供应商名称）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pPr>
        <w:pStyle w:val="4"/>
        <w:pageBreakBefore w:val="0"/>
        <w:kinsoku/>
        <w:wordWrap/>
        <w:overflowPunct/>
        <w:topLinePunct w:val="0"/>
        <w:autoSpaceDE/>
        <w:autoSpaceDN/>
        <w:bidi w:val="0"/>
        <w:spacing w:line="240" w:lineRule="auto"/>
        <w:ind w:left="664" w:leftChars="316" w:firstLine="229" w:firstLineChars="95"/>
        <w:textAlignment w:val="auto"/>
        <w:rPr>
          <w:rFonts w:ascii="宋体" w:hAnsi="宋体" w:eastAsia="宋体" w:cs="宋体"/>
          <w:kern w:val="0"/>
          <w:sz w:val="24"/>
          <w:szCs w:val="24"/>
        </w:rPr>
      </w:pPr>
      <w:r>
        <w:rPr>
          <w:rFonts w:hint="eastAsia" w:ascii="宋体" w:hAnsi="宋体" w:eastAsia="宋体" w:cs="宋体"/>
          <w:kern w:val="0"/>
          <w:sz w:val="24"/>
          <w:szCs w:val="24"/>
        </w:rPr>
        <w:t>……</w:t>
      </w:r>
    </w:p>
    <w:p>
      <w:pPr>
        <w:pageBreakBefore w:val="0"/>
        <w:kinsoku/>
        <w:wordWrap/>
        <w:overflowPunct/>
        <w:topLinePunct w:val="0"/>
        <w:autoSpaceDE/>
        <w:autoSpaceDN/>
        <w:bidi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rPr>
        <w:t>二</w:t>
      </w:r>
      <w:r>
        <w:rPr>
          <w:rFonts w:hint="eastAsia" w:ascii="宋体" w:hAnsi="宋体" w:cs="宋体"/>
          <w:kern w:val="0"/>
          <w:sz w:val="24"/>
          <w:lang w:val="zh-CN"/>
        </w:rPr>
        <w:t>、分包工作履行期限、地点、方式</w:t>
      </w:r>
    </w:p>
    <w:p>
      <w:pPr>
        <w:pageBreakBefore w:val="0"/>
        <w:kinsoku/>
        <w:wordWrap/>
        <w:overflowPunct/>
        <w:topLinePunct w:val="0"/>
        <w:autoSpaceDE/>
        <w:autoSpaceDN/>
        <w:bidi w:val="0"/>
        <w:snapToGrid w:val="0"/>
        <w:spacing w:line="240" w:lineRule="auto"/>
        <w:ind w:firstLine="576"/>
        <w:textAlignment w:val="auto"/>
        <w:rPr>
          <w:rFonts w:ascii="宋体" w:hAnsi="宋体" w:cs="宋体"/>
          <w:u w:val="single"/>
        </w:rPr>
      </w:pPr>
      <w:r>
        <w:rPr>
          <w:rFonts w:hint="eastAsia" w:ascii="宋体" w:hAnsi="宋体" w:cs="宋体"/>
          <w:u w:val="single"/>
        </w:rPr>
        <w:t xml:space="preserve">                                                                                  </w:t>
      </w:r>
    </w:p>
    <w:p>
      <w:pPr>
        <w:pageBreakBefore w:val="0"/>
        <w:kinsoku/>
        <w:wordWrap/>
        <w:overflowPunct/>
        <w:topLinePunct w:val="0"/>
        <w:autoSpaceDE/>
        <w:autoSpaceDN/>
        <w:bidi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rPr>
        <w:t>三</w:t>
      </w:r>
      <w:r>
        <w:rPr>
          <w:rFonts w:hint="eastAsia" w:ascii="宋体" w:hAnsi="宋体" w:cs="宋体"/>
          <w:kern w:val="0"/>
          <w:sz w:val="24"/>
          <w:lang w:val="zh-CN"/>
        </w:rPr>
        <w:t>、质量</w:t>
      </w:r>
    </w:p>
    <w:p>
      <w:pPr>
        <w:pageBreakBefore w:val="0"/>
        <w:kinsoku/>
        <w:wordWrap/>
        <w:overflowPunct/>
        <w:topLinePunct w:val="0"/>
        <w:autoSpaceDE/>
        <w:autoSpaceDN/>
        <w:bidi w:val="0"/>
        <w:snapToGrid w:val="0"/>
        <w:spacing w:line="240" w:lineRule="auto"/>
        <w:ind w:firstLine="576"/>
        <w:textAlignment w:val="auto"/>
        <w:rPr>
          <w:rFonts w:ascii="宋体" w:hAnsi="宋体" w:cs="宋体"/>
          <w:kern w:val="0"/>
          <w:sz w:val="24"/>
          <w:lang w:val="zh-CN"/>
        </w:rPr>
      </w:pPr>
      <w:r>
        <w:rPr>
          <w:rFonts w:hint="eastAsia" w:ascii="宋体" w:hAnsi="宋体" w:cs="宋体"/>
          <w:u w:val="single"/>
        </w:rPr>
        <w:t xml:space="preserve">                                                                                       </w:t>
      </w:r>
    </w:p>
    <w:p>
      <w:pPr>
        <w:pageBreakBefore w:val="0"/>
        <w:kinsoku/>
        <w:wordWrap/>
        <w:overflowPunct/>
        <w:topLinePunct w:val="0"/>
        <w:autoSpaceDE/>
        <w:autoSpaceDN/>
        <w:bidi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rPr>
        <w:t>四</w:t>
      </w:r>
      <w:r>
        <w:rPr>
          <w:rFonts w:hint="eastAsia" w:ascii="宋体" w:hAnsi="宋体" w:cs="宋体"/>
          <w:kern w:val="0"/>
          <w:sz w:val="24"/>
          <w:lang w:val="zh-CN"/>
        </w:rPr>
        <w:t>、价款或者报酬</w:t>
      </w:r>
    </w:p>
    <w:p>
      <w:pPr>
        <w:pageBreakBefore w:val="0"/>
        <w:kinsoku/>
        <w:wordWrap/>
        <w:overflowPunct/>
        <w:topLinePunct w:val="0"/>
        <w:autoSpaceDE/>
        <w:autoSpaceDN/>
        <w:bidi w:val="0"/>
        <w:snapToGrid w:val="0"/>
        <w:spacing w:line="240" w:lineRule="auto"/>
        <w:ind w:left="573" w:leftChars="273"/>
        <w:textAlignment w:val="auto"/>
        <w:rPr>
          <w:rFonts w:ascii="宋体" w:hAnsi="宋体" w:cs="宋体"/>
          <w:kern w:val="0"/>
          <w:sz w:val="24"/>
          <w:lang w:val="zh-CN"/>
        </w:rPr>
      </w:pPr>
      <w:r>
        <w:rPr>
          <w:rFonts w:hint="eastAsia" w:ascii="宋体" w:hAnsi="宋体" w:cs="宋体"/>
          <w:u w:val="single"/>
        </w:rPr>
        <w:t xml:space="preserve">                                                                                     </w:t>
      </w:r>
    </w:p>
    <w:p>
      <w:pPr>
        <w:pageBreakBefore w:val="0"/>
        <w:kinsoku/>
        <w:wordWrap/>
        <w:overflowPunct/>
        <w:topLinePunct w:val="0"/>
        <w:autoSpaceDE/>
        <w:autoSpaceDN/>
        <w:bidi w:val="0"/>
        <w:snapToGrid w:val="0"/>
        <w:spacing w:line="240" w:lineRule="auto"/>
        <w:ind w:left="573" w:leftChars="273"/>
        <w:textAlignment w:val="auto"/>
        <w:rPr>
          <w:rFonts w:ascii="宋体" w:hAnsi="宋体" w:cs="宋体"/>
          <w:kern w:val="0"/>
          <w:sz w:val="24"/>
          <w:lang w:val="zh-CN"/>
        </w:rPr>
      </w:pPr>
      <w:r>
        <w:rPr>
          <w:rFonts w:hint="eastAsia" w:ascii="宋体" w:hAnsi="宋体" w:cs="宋体"/>
          <w:kern w:val="0"/>
          <w:sz w:val="24"/>
        </w:rPr>
        <w:t>五</w:t>
      </w:r>
      <w:r>
        <w:rPr>
          <w:rFonts w:hint="eastAsia" w:ascii="宋体" w:hAnsi="宋体" w:cs="宋体"/>
          <w:kern w:val="0"/>
          <w:sz w:val="24"/>
          <w:lang w:val="zh-CN"/>
        </w:rPr>
        <w:t>、违约责任</w:t>
      </w:r>
    </w:p>
    <w:p>
      <w:pPr>
        <w:pageBreakBefore w:val="0"/>
        <w:kinsoku/>
        <w:wordWrap/>
        <w:overflowPunct/>
        <w:topLinePunct w:val="0"/>
        <w:autoSpaceDE/>
        <w:autoSpaceDN/>
        <w:bidi w:val="0"/>
        <w:snapToGrid w:val="0"/>
        <w:spacing w:line="240" w:lineRule="auto"/>
        <w:ind w:firstLine="576"/>
        <w:textAlignment w:val="auto"/>
        <w:rPr>
          <w:rFonts w:ascii="宋体" w:hAnsi="宋体" w:cs="宋体"/>
          <w:kern w:val="0"/>
          <w:sz w:val="24"/>
          <w:lang w:val="zh-CN"/>
        </w:rPr>
      </w:pPr>
      <w:r>
        <w:rPr>
          <w:rFonts w:hint="eastAsia" w:ascii="宋体" w:hAnsi="宋体" w:cs="宋体"/>
          <w:u w:val="single"/>
        </w:rPr>
        <w:t xml:space="preserve">                                                                                     </w:t>
      </w:r>
    </w:p>
    <w:p>
      <w:pPr>
        <w:pageBreakBefore w:val="0"/>
        <w:kinsoku/>
        <w:wordWrap/>
        <w:overflowPunct/>
        <w:topLinePunct w:val="0"/>
        <w:autoSpaceDE/>
        <w:autoSpaceDN/>
        <w:bidi w:val="0"/>
        <w:snapToGrid w:val="0"/>
        <w:spacing w:line="240" w:lineRule="auto"/>
        <w:ind w:firstLine="576"/>
        <w:textAlignment w:val="auto"/>
        <w:rPr>
          <w:rFonts w:ascii="宋体" w:hAnsi="宋体" w:cs="宋体"/>
          <w:kern w:val="0"/>
          <w:sz w:val="24"/>
          <w:lang w:val="zh-CN"/>
        </w:rPr>
      </w:pPr>
      <w:r>
        <w:rPr>
          <w:rFonts w:hint="eastAsia" w:ascii="宋体" w:hAnsi="宋体" w:cs="宋体"/>
          <w:kern w:val="0"/>
          <w:sz w:val="24"/>
        </w:rPr>
        <w:t>六</w:t>
      </w:r>
      <w:r>
        <w:rPr>
          <w:rFonts w:hint="eastAsia" w:ascii="宋体" w:hAnsi="宋体" w:cs="宋体"/>
          <w:kern w:val="0"/>
          <w:sz w:val="24"/>
          <w:lang w:val="zh-CN"/>
        </w:rPr>
        <w:t>、争议解决的办法</w:t>
      </w:r>
    </w:p>
    <w:p>
      <w:pPr>
        <w:pageBreakBefore w:val="0"/>
        <w:kinsoku/>
        <w:wordWrap/>
        <w:overflowPunct/>
        <w:topLinePunct w:val="0"/>
        <w:autoSpaceDE/>
        <w:autoSpaceDN/>
        <w:bidi w:val="0"/>
        <w:snapToGrid w:val="0"/>
        <w:spacing w:line="240" w:lineRule="auto"/>
        <w:ind w:firstLine="576"/>
        <w:textAlignment w:val="auto"/>
        <w:rPr>
          <w:rFonts w:ascii="宋体" w:hAnsi="宋体" w:cs="宋体"/>
          <w:kern w:val="0"/>
          <w:sz w:val="24"/>
          <w:lang w:val="zh-CN"/>
        </w:rPr>
      </w:pPr>
      <w:r>
        <w:rPr>
          <w:rFonts w:hint="eastAsia" w:ascii="宋体" w:hAnsi="宋体" w:cs="宋体"/>
          <w:u w:val="single"/>
        </w:rPr>
        <w:t xml:space="preserve"> 因乙方服务不达标引发的争议，应向甲方所在地法院提起诉讼。           </w:t>
      </w:r>
    </w:p>
    <w:p>
      <w:pPr>
        <w:pageBreakBefore w:val="0"/>
        <w:kinsoku/>
        <w:wordWrap/>
        <w:overflowPunct/>
        <w:topLinePunct w:val="0"/>
        <w:autoSpaceDE/>
        <w:autoSpaceDN/>
        <w:bidi w:val="0"/>
        <w:snapToGrid w:val="0"/>
        <w:spacing w:line="240" w:lineRule="auto"/>
        <w:ind w:left="5758" w:leftChars="342" w:hanging="5040" w:hangingChars="2100"/>
        <w:textAlignment w:val="auto"/>
        <w:rPr>
          <w:rFonts w:ascii="宋体" w:hAnsi="宋体" w:cs="宋体"/>
          <w:kern w:val="0"/>
          <w:sz w:val="24"/>
          <w:lang w:val="zh-CN"/>
        </w:rPr>
      </w:pPr>
      <w:r>
        <w:rPr>
          <w:rFonts w:hint="eastAsia" w:ascii="宋体" w:hAnsi="宋体" w:cs="宋体"/>
          <w:kern w:val="0"/>
          <w:sz w:val="24"/>
          <w:lang w:val="zh-CN"/>
        </w:rPr>
        <w:t xml:space="preserve">                                          供应商名称(电子签名)：</w:t>
      </w:r>
    </w:p>
    <w:p>
      <w:pPr>
        <w:pageBreakBefore w:val="0"/>
        <w:kinsoku/>
        <w:wordWrap/>
        <w:overflowPunct/>
        <w:topLinePunct w:val="0"/>
        <w:autoSpaceDE/>
        <w:autoSpaceDN/>
        <w:bidi w:val="0"/>
        <w:snapToGrid w:val="0"/>
        <w:spacing w:line="240" w:lineRule="auto"/>
        <w:jc w:val="right"/>
        <w:textAlignment w:val="auto"/>
        <w:rPr>
          <w:rFonts w:ascii="宋体" w:hAnsi="宋体" w:cs="宋体"/>
          <w:kern w:val="0"/>
          <w:sz w:val="24"/>
          <w:lang w:val="zh-CN"/>
        </w:rPr>
      </w:pPr>
      <w:r>
        <w:rPr>
          <w:rFonts w:hint="eastAsia" w:ascii="宋体" w:hAnsi="宋体" w:cs="宋体"/>
          <w:kern w:val="0"/>
          <w:sz w:val="24"/>
          <w:lang w:val="zh-CN"/>
        </w:rPr>
        <w:t>分包供应商名称(电子签名/公章)：</w:t>
      </w:r>
    </w:p>
    <w:p>
      <w:pPr>
        <w:pageBreakBefore w:val="0"/>
        <w:kinsoku/>
        <w:wordWrap/>
        <w:overflowPunct/>
        <w:topLinePunct w:val="0"/>
        <w:autoSpaceDE/>
        <w:autoSpaceDN/>
        <w:bidi w:val="0"/>
        <w:snapToGrid w:val="0"/>
        <w:spacing w:line="240" w:lineRule="auto"/>
        <w:ind w:firstLine="5760" w:firstLineChars="2400"/>
        <w:textAlignment w:val="auto"/>
        <w:rPr>
          <w:rFonts w:ascii="宋体" w:hAnsi="宋体" w:cs="宋体"/>
        </w:rPr>
      </w:pPr>
      <w:r>
        <w:rPr>
          <w:rFonts w:hint="eastAsia" w:ascii="宋体" w:hAnsi="宋体" w:cs="宋体"/>
          <w:kern w:val="0"/>
          <w:sz w:val="24"/>
          <w:lang w:val="zh-CN"/>
        </w:rPr>
        <w:t>……</w:t>
      </w:r>
    </w:p>
    <w:p>
      <w:pPr>
        <w:pageBreakBefore w:val="0"/>
        <w:kinsoku/>
        <w:wordWrap/>
        <w:overflowPunct/>
        <w:topLinePunct w:val="0"/>
        <w:autoSpaceDE/>
        <w:autoSpaceDN/>
        <w:bidi w:val="0"/>
        <w:spacing w:line="240" w:lineRule="auto"/>
        <w:jc w:val="center"/>
        <w:textAlignment w:val="auto"/>
        <w:rPr>
          <w:rFonts w:ascii="宋体" w:hAnsi="宋体" w:cs="宋体"/>
          <w:kern w:val="0"/>
          <w:sz w:val="24"/>
          <w:lang w:val="zh-CN"/>
        </w:rPr>
      </w:pPr>
      <w:r>
        <w:rPr>
          <w:rFonts w:hint="eastAsia" w:ascii="宋体" w:hAnsi="宋体" w:cs="宋体"/>
          <w:kern w:val="0"/>
          <w:sz w:val="24"/>
          <w:lang w:val="zh-CN"/>
        </w:rPr>
        <w:t xml:space="preserve">                                        日期：  年  月   日</w:t>
      </w:r>
    </w:p>
    <w:p>
      <w:pPr>
        <w:pageBreakBefore w:val="0"/>
        <w:kinsoku/>
        <w:wordWrap/>
        <w:overflowPunct/>
        <w:topLinePunct w:val="0"/>
        <w:autoSpaceDE/>
        <w:autoSpaceDN/>
        <w:bidi w:val="0"/>
        <w:spacing w:line="240" w:lineRule="auto"/>
        <w:ind w:right="420"/>
        <w:textAlignment w:val="auto"/>
        <w:rPr>
          <w:rFonts w:ascii="宋体" w:hAnsi="宋体" w:cs="宋体"/>
          <w:sz w:val="24"/>
        </w:rPr>
      </w:pPr>
      <w:r>
        <w:rPr>
          <w:rFonts w:hint="eastAsia" w:ascii="宋体" w:hAnsi="宋体" w:cs="宋体"/>
          <w:sz w:val="24"/>
        </w:rPr>
        <w:t>注：按本格式和要求提供。</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pStyle w:val="31"/>
        <w:spacing w:before="0"/>
        <w:ind w:firstLine="0" w:firstLineChars="0"/>
        <w:rPr>
          <w:rFonts w:ascii="宋体" w:hAnsi="宋体" w:cs="宋体"/>
          <w:kern w:val="0"/>
        </w:rPr>
      </w:pPr>
    </w:p>
    <w:sectPr>
      <w:headerReference r:id="rId15" w:type="default"/>
      <w:footerReference r:id="rId1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9901"/>
      </w:tabs>
      <w:ind w:right="105"/>
      <w:jc w:val="center"/>
      <w:rPr>
        <w:sz w:val="21"/>
      </w:rPr>
    </w:pPr>
    <w:r>
      <w:fldChar w:fldCharType="begin"/>
    </w:r>
    <w:r>
      <w:rPr>
        <w:rStyle w:val="25"/>
      </w:rPr>
      <w:instrText xml:space="preserve"> PAGE </w:instrText>
    </w:r>
    <w:r>
      <w:fldChar w:fldCharType="separate"/>
    </w:r>
    <w:r>
      <w:rPr>
        <w:rStyle w:val="25"/>
      </w:rPr>
      <w:t>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s>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仿宋_GB2312" w:eastAsia="仿宋_GB2312"/>
        <w:b/>
        <w:i/>
        <w:u w:val="single"/>
      </w:rPr>
    </w:pPr>
    <w:r>
      <w:t></w:t>
    </w:r>
    <w:r>
      <w:rPr>
        <w:rFonts w:hint="eastAsia"/>
      </w:rPr>
      <w:t xml:space="preserve">                                                </w:t>
    </w:r>
  </w:p>
  <w:p>
    <w:pP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_GB2312" w:eastAsia="仿宋_GB2312"/>
        <w:b/>
        <w:i/>
        <w:u w:val="single"/>
      </w:rPr>
    </w:pPr>
    <w:r>
      <w:rPr>
        <w:rFonts w:hint="eastAsia"/>
      </w:rPr>
      <w:t xml:space="preserve">                                 </w:t>
    </w:r>
  </w:p>
  <w:p>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2"/>
      </w:pBdr>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65132"/>
    <w:multiLevelType w:val="singleLevel"/>
    <w:tmpl w:val="9AE65132"/>
    <w:lvl w:ilvl="0" w:tentative="0">
      <w:start w:val="1"/>
      <w:numFmt w:val="decimal"/>
      <w:lvlText w:val="%1."/>
      <w:lvlJc w:val="left"/>
      <w:pPr>
        <w:ind w:left="635" w:hanging="425"/>
      </w:pPr>
      <w:rPr>
        <w:rFonts w:hint="default"/>
      </w:rPr>
    </w:lvl>
  </w:abstractNum>
  <w:abstractNum w:abstractNumId="1">
    <w:nsid w:val="CF13A496"/>
    <w:multiLevelType w:val="singleLevel"/>
    <w:tmpl w:val="CF13A496"/>
    <w:lvl w:ilvl="0" w:tentative="0">
      <w:start w:val="1"/>
      <w:numFmt w:val="decimal"/>
      <w:suff w:val="nothing"/>
      <w:lvlText w:val="（%1）"/>
      <w:lvlJc w:val="left"/>
    </w:lvl>
  </w:abstractNum>
  <w:abstractNum w:abstractNumId="2">
    <w:nsid w:val="DC94E0E6"/>
    <w:multiLevelType w:val="singleLevel"/>
    <w:tmpl w:val="DC94E0E6"/>
    <w:lvl w:ilvl="0" w:tentative="0">
      <w:start w:val="6"/>
      <w:numFmt w:val="decimal"/>
      <w:suff w:val="space"/>
      <w:lvlText w:val="%1."/>
      <w:lvlJc w:val="left"/>
    </w:lvl>
  </w:abstractNum>
  <w:abstractNum w:abstractNumId="3">
    <w:nsid w:val="35D71722"/>
    <w:multiLevelType w:val="singleLevel"/>
    <w:tmpl w:val="35D71722"/>
    <w:lvl w:ilvl="0" w:tentative="0">
      <w:start w:val="2"/>
      <w:numFmt w:val="chineseCounting"/>
      <w:suff w:val="nothing"/>
      <w:lvlText w:val="%1、"/>
      <w:lvlJc w:val="left"/>
      <w:rPr>
        <w:rFonts w:hint="eastAsia"/>
      </w:rPr>
    </w:lvl>
  </w:abstractNum>
  <w:abstractNum w:abstractNumId="4">
    <w:nsid w:val="5D3F6421"/>
    <w:multiLevelType w:val="singleLevel"/>
    <w:tmpl w:val="5D3F6421"/>
    <w:lvl w:ilvl="0" w:tentative="0">
      <w:start w:val="8"/>
      <w:numFmt w:val="decimal"/>
      <w:suff w:val="space"/>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MjM5ZThiYzFiYmQ1ZTZmYjA3ZjRiNDZjYzUxYzQifQ=="/>
  </w:docVars>
  <w:rsids>
    <w:rsidRoot w:val="3FD97E20"/>
    <w:rsid w:val="000D17AD"/>
    <w:rsid w:val="0046251C"/>
    <w:rsid w:val="00582269"/>
    <w:rsid w:val="005E66D4"/>
    <w:rsid w:val="006C018F"/>
    <w:rsid w:val="00705954"/>
    <w:rsid w:val="0080625A"/>
    <w:rsid w:val="008533A7"/>
    <w:rsid w:val="008903FA"/>
    <w:rsid w:val="00B1092F"/>
    <w:rsid w:val="00B642F3"/>
    <w:rsid w:val="00CF690F"/>
    <w:rsid w:val="00EF280A"/>
    <w:rsid w:val="010827C0"/>
    <w:rsid w:val="011E0236"/>
    <w:rsid w:val="013C690E"/>
    <w:rsid w:val="014D0B1B"/>
    <w:rsid w:val="0178104E"/>
    <w:rsid w:val="02B66382"/>
    <w:rsid w:val="032A4C70"/>
    <w:rsid w:val="044D6A0F"/>
    <w:rsid w:val="044E2BE0"/>
    <w:rsid w:val="0491488E"/>
    <w:rsid w:val="04FE63B4"/>
    <w:rsid w:val="056F2E0E"/>
    <w:rsid w:val="05DB4947"/>
    <w:rsid w:val="05E05ABA"/>
    <w:rsid w:val="066B5CCB"/>
    <w:rsid w:val="06D67170"/>
    <w:rsid w:val="071F356F"/>
    <w:rsid w:val="0735526A"/>
    <w:rsid w:val="076F41AF"/>
    <w:rsid w:val="08876B0D"/>
    <w:rsid w:val="09150170"/>
    <w:rsid w:val="0A067AB9"/>
    <w:rsid w:val="0A2B0C6B"/>
    <w:rsid w:val="0A374116"/>
    <w:rsid w:val="0A6842D0"/>
    <w:rsid w:val="0A6E312A"/>
    <w:rsid w:val="0ADF4592"/>
    <w:rsid w:val="0B1A381C"/>
    <w:rsid w:val="0B3D2741"/>
    <w:rsid w:val="0B61769D"/>
    <w:rsid w:val="0B7E73A0"/>
    <w:rsid w:val="0BB91287"/>
    <w:rsid w:val="0BCD6AE0"/>
    <w:rsid w:val="0BDF223C"/>
    <w:rsid w:val="0C152235"/>
    <w:rsid w:val="0C210BDA"/>
    <w:rsid w:val="0E785533"/>
    <w:rsid w:val="0ECA5559"/>
    <w:rsid w:val="0EE16A41"/>
    <w:rsid w:val="0F3D2D0C"/>
    <w:rsid w:val="0FE268D2"/>
    <w:rsid w:val="102A2753"/>
    <w:rsid w:val="102E1B18"/>
    <w:rsid w:val="10A02A15"/>
    <w:rsid w:val="10F25DE4"/>
    <w:rsid w:val="12CF75E2"/>
    <w:rsid w:val="12F17558"/>
    <w:rsid w:val="13196AAF"/>
    <w:rsid w:val="132E13C6"/>
    <w:rsid w:val="14522278"/>
    <w:rsid w:val="14C774FC"/>
    <w:rsid w:val="151614F8"/>
    <w:rsid w:val="1537146E"/>
    <w:rsid w:val="156A35F2"/>
    <w:rsid w:val="159B73B3"/>
    <w:rsid w:val="167F6C1E"/>
    <w:rsid w:val="16B74615"/>
    <w:rsid w:val="17410382"/>
    <w:rsid w:val="17D725CB"/>
    <w:rsid w:val="17E53404"/>
    <w:rsid w:val="181635BD"/>
    <w:rsid w:val="183050AF"/>
    <w:rsid w:val="18636FD5"/>
    <w:rsid w:val="189A5F9C"/>
    <w:rsid w:val="18BC5F12"/>
    <w:rsid w:val="191A0E8B"/>
    <w:rsid w:val="192A17B1"/>
    <w:rsid w:val="19614D0C"/>
    <w:rsid w:val="1A11228E"/>
    <w:rsid w:val="1A4C776A"/>
    <w:rsid w:val="1ABA20B1"/>
    <w:rsid w:val="1B283D33"/>
    <w:rsid w:val="1B944F25"/>
    <w:rsid w:val="1BD5598D"/>
    <w:rsid w:val="1BD87507"/>
    <w:rsid w:val="1C146065"/>
    <w:rsid w:val="1CC25AC1"/>
    <w:rsid w:val="1D243B06"/>
    <w:rsid w:val="1D8D60CF"/>
    <w:rsid w:val="1DD27F86"/>
    <w:rsid w:val="1E3824DF"/>
    <w:rsid w:val="1F511FD2"/>
    <w:rsid w:val="1F585DA5"/>
    <w:rsid w:val="1F8B2AE2"/>
    <w:rsid w:val="204213F3"/>
    <w:rsid w:val="210E7527"/>
    <w:rsid w:val="21BC51D5"/>
    <w:rsid w:val="21F52495"/>
    <w:rsid w:val="227D2BB6"/>
    <w:rsid w:val="23E23B1D"/>
    <w:rsid w:val="24B93C4E"/>
    <w:rsid w:val="24BC2FFA"/>
    <w:rsid w:val="24CD1C23"/>
    <w:rsid w:val="24E76A0D"/>
    <w:rsid w:val="250678C9"/>
    <w:rsid w:val="253C79F5"/>
    <w:rsid w:val="25714529"/>
    <w:rsid w:val="26541E80"/>
    <w:rsid w:val="26731922"/>
    <w:rsid w:val="269840E0"/>
    <w:rsid w:val="26B7240F"/>
    <w:rsid w:val="291B2CEB"/>
    <w:rsid w:val="295E4DC4"/>
    <w:rsid w:val="297B7724"/>
    <w:rsid w:val="298E7457"/>
    <w:rsid w:val="2A9F38E6"/>
    <w:rsid w:val="2AA95E6E"/>
    <w:rsid w:val="2ACC6008"/>
    <w:rsid w:val="2AE9690F"/>
    <w:rsid w:val="2AF71745"/>
    <w:rsid w:val="2BB138D1"/>
    <w:rsid w:val="2C0E6875"/>
    <w:rsid w:val="2CF9108B"/>
    <w:rsid w:val="2D087520"/>
    <w:rsid w:val="2D9E1C33"/>
    <w:rsid w:val="2D9E60D7"/>
    <w:rsid w:val="2E163EBF"/>
    <w:rsid w:val="2F4720CA"/>
    <w:rsid w:val="2F51443A"/>
    <w:rsid w:val="2FB90FA6"/>
    <w:rsid w:val="2FE13898"/>
    <w:rsid w:val="30087837"/>
    <w:rsid w:val="30984FC0"/>
    <w:rsid w:val="31E22A36"/>
    <w:rsid w:val="31EA18EB"/>
    <w:rsid w:val="32270449"/>
    <w:rsid w:val="326D1B5F"/>
    <w:rsid w:val="32BD3FEC"/>
    <w:rsid w:val="34157186"/>
    <w:rsid w:val="34967B08"/>
    <w:rsid w:val="354C01C6"/>
    <w:rsid w:val="3664623F"/>
    <w:rsid w:val="36C41867"/>
    <w:rsid w:val="36D73048"/>
    <w:rsid w:val="36FD404A"/>
    <w:rsid w:val="371371EE"/>
    <w:rsid w:val="37A91900"/>
    <w:rsid w:val="3921753B"/>
    <w:rsid w:val="3A105C66"/>
    <w:rsid w:val="3AA765CB"/>
    <w:rsid w:val="3B8A7F7B"/>
    <w:rsid w:val="3C032939"/>
    <w:rsid w:val="3C5F4C83"/>
    <w:rsid w:val="3D5F6DC0"/>
    <w:rsid w:val="3E3068D7"/>
    <w:rsid w:val="3EFB0C93"/>
    <w:rsid w:val="3FD97E20"/>
    <w:rsid w:val="401738F5"/>
    <w:rsid w:val="42784CF1"/>
    <w:rsid w:val="43207B94"/>
    <w:rsid w:val="43672D9B"/>
    <w:rsid w:val="43AC2EA4"/>
    <w:rsid w:val="43CA6FD3"/>
    <w:rsid w:val="43CD6976"/>
    <w:rsid w:val="44351749"/>
    <w:rsid w:val="44602812"/>
    <w:rsid w:val="447D214A"/>
    <w:rsid w:val="44A658DB"/>
    <w:rsid w:val="44D75CFE"/>
    <w:rsid w:val="451E1B7F"/>
    <w:rsid w:val="45A55DFD"/>
    <w:rsid w:val="461C7016"/>
    <w:rsid w:val="464A2500"/>
    <w:rsid w:val="488550DC"/>
    <w:rsid w:val="48BB2867"/>
    <w:rsid w:val="48BB76E5"/>
    <w:rsid w:val="48C4659A"/>
    <w:rsid w:val="48E31637"/>
    <w:rsid w:val="490D0507"/>
    <w:rsid w:val="49156DF5"/>
    <w:rsid w:val="497A30FC"/>
    <w:rsid w:val="498D0D1A"/>
    <w:rsid w:val="4A36326D"/>
    <w:rsid w:val="4A79544E"/>
    <w:rsid w:val="4AC705C3"/>
    <w:rsid w:val="4AD63DBA"/>
    <w:rsid w:val="4B2652EA"/>
    <w:rsid w:val="4BE96317"/>
    <w:rsid w:val="4BEB02E1"/>
    <w:rsid w:val="4C206446"/>
    <w:rsid w:val="4CA26BF2"/>
    <w:rsid w:val="4D007584"/>
    <w:rsid w:val="4D407471"/>
    <w:rsid w:val="4E106587"/>
    <w:rsid w:val="4E14206A"/>
    <w:rsid w:val="4E8A500F"/>
    <w:rsid w:val="4F027E1C"/>
    <w:rsid w:val="4F8855BC"/>
    <w:rsid w:val="4F934F18"/>
    <w:rsid w:val="4FCB46B2"/>
    <w:rsid w:val="4FF13B9F"/>
    <w:rsid w:val="507F724A"/>
    <w:rsid w:val="50AF7B2F"/>
    <w:rsid w:val="5100038B"/>
    <w:rsid w:val="51A01AED"/>
    <w:rsid w:val="5245699D"/>
    <w:rsid w:val="52F061DD"/>
    <w:rsid w:val="532077E7"/>
    <w:rsid w:val="53652089"/>
    <w:rsid w:val="54AD082A"/>
    <w:rsid w:val="54CA7B94"/>
    <w:rsid w:val="555A5F30"/>
    <w:rsid w:val="55F31A18"/>
    <w:rsid w:val="56242D6E"/>
    <w:rsid w:val="565F7902"/>
    <w:rsid w:val="56666EE2"/>
    <w:rsid w:val="57633422"/>
    <w:rsid w:val="584E3778"/>
    <w:rsid w:val="58A0262C"/>
    <w:rsid w:val="598558D1"/>
    <w:rsid w:val="59DD7800"/>
    <w:rsid w:val="5A274BDA"/>
    <w:rsid w:val="5A2A0227"/>
    <w:rsid w:val="5AC266B1"/>
    <w:rsid w:val="5ACD39D4"/>
    <w:rsid w:val="5B8A128B"/>
    <w:rsid w:val="5CC523F0"/>
    <w:rsid w:val="5D281E2F"/>
    <w:rsid w:val="5D9616E8"/>
    <w:rsid w:val="5DD76917"/>
    <w:rsid w:val="5DE36BD8"/>
    <w:rsid w:val="5E0A0D31"/>
    <w:rsid w:val="5E2751A9"/>
    <w:rsid w:val="60997EB4"/>
    <w:rsid w:val="610619ED"/>
    <w:rsid w:val="61B0655F"/>
    <w:rsid w:val="6243457B"/>
    <w:rsid w:val="626A7D5A"/>
    <w:rsid w:val="62711AE2"/>
    <w:rsid w:val="6349250B"/>
    <w:rsid w:val="63676048"/>
    <w:rsid w:val="639915FA"/>
    <w:rsid w:val="64F06FF0"/>
    <w:rsid w:val="652266CA"/>
    <w:rsid w:val="652B70A8"/>
    <w:rsid w:val="654246EF"/>
    <w:rsid w:val="65B2406E"/>
    <w:rsid w:val="65F01217"/>
    <w:rsid w:val="66546D57"/>
    <w:rsid w:val="66AA6710"/>
    <w:rsid w:val="67185FD7"/>
    <w:rsid w:val="67242BD3"/>
    <w:rsid w:val="67B95712"/>
    <w:rsid w:val="67C021CA"/>
    <w:rsid w:val="67FD2D63"/>
    <w:rsid w:val="682C160E"/>
    <w:rsid w:val="69A04A1A"/>
    <w:rsid w:val="6A2B4D51"/>
    <w:rsid w:val="6A640C4D"/>
    <w:rsid w:val="6AC975E8"/>
    <w:rsid w:val="6B792DBC"/>
    <w:rsid w:val="6BEE7306"/>
    <w:rsid w:val="6C272818"/>
    <w:rsid w:val="6C3D30A4"/>
    <w:rsid w:val="6C450EF0"/>
    <w:rsid w:val="6C6121CE"/>
    <w:rsid w:val="6E2A2C3F"/>
    <w:rsid w:val="6E3F209B"/>
    <w:rsid w:val="6F321C00"/>
    <w:rsid w:val="70A96D4F"/>
    <w:rsid w:val="717C3606"/>
    <w:rsid w:val="71E04050"/>
    <w:rsid w:val="722A13CC"/>
    <w:rsid w:val="72CC4119"/>
    <w:rsid w:val="7395275D"/>
    <w:rsid w:val="745925A1"/>
    <w:rsid w:val="753F0BD2"/>
    <w:rsid w:val="75A82C1C"/>
    <w:rsid w:val="75B0387E"/>
    <w:rsid w:val="777072D8"/>
    <w:rsid w:val="78882890"/>
    <w:rsid w:val="788C2381"/>
    <w:rsid w:val="79062AB4"/>
    <w:rsid w:val="7942777D"/>
    <w:rsid w:val="79610ED9"/>
    <w:rsid w:val="797572B9"/>
    <w:rsid w:val="799314ED"/>
    <w:rsid w:val="79EB757B"/>
    <w:rsid w:val="7A524ADA"/>
    <w:rsid w:val="7AEC7106"/>
    <w:rsid w:val="7B130B37"/>
    <w:rsid w:val="7BD81675"/>
    <w:rsid w:val="7D3134F6"/>
    <w:rsid w:val="7D5B2791"/>
    <w:rsid w:val="7DEF34E2"/>
    <w:rsid w:val="7E2117BD"/>
    <w:rsid w:val="7E3977A2"/>
    <w:rsid w:val="7E9755DB"/>
    <w:rsid w:val="7FB34697"/>
    <w:rsid w:val="7FCF6FF7"/>
    <w:rsid w:val="ED7B51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spacing w:line="360" w:lineRule="auto"/>
      <w:jc w:val="center"/>
      <w:outlineLvl w:val="0"/>
    </w:pPr>
    <w:rPr>
      <w:b/>
      <w:color w:val="000000"/>
      <w:sz w:val="32"/>
    </w:rPr>
  </w:style>
  <w:style w:type="paragraph" w:styleId="4">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Normal Indent"/>
    <w:basedOn w:val="1"/>
    <w:autoRedefine/>
    <w:qFormat/>
    <w:uiPriority w:val="0"/>
    <w:pPr>
      <w:widowControl/>
      <w:snapToGrid w:val="0"/>
      <w:spacing w:line="480" w:lineRule="exact"/>
      <w:ind w:firstLine="567"/>
    </w:pPr>
    <w:rPr>
      <w:rFonts w:ascii="宋体"/>
      <w:snapToGrid w:val="0"/>
      <w:color w:val="000000"/>
      <w:kern w:val="28"/>
      <w:sz w:val="28"/>
      <w:szCs w:val="20"/>
    </w:rPr>
  </w:style>
  <w:style w:type="paragraph" w:styleId="7">
    <w:name w:val="annotation text"/>
    <w:basedOn w:val="1"/>
    <w:link w:val="41"/>
    <w:autoRedefine/>
    <w:qFormat/>
    <w:uiPriority w:val="0"/>
    <w:pPr>
      <w:jc w:val="left"/>
    </w:pPr>
  </w:style>
  <w:style w:type="paragraph" w:styleId="8">
    <w:name w:val="Body Text"/>
    <w:basedOn w:val="1"/>
    <w:qFormat/>
    <w:uiPriority w:val="0"/>
    <w:pPr>
      <w:spacing w:line="315" w:lineRule="atLeast"/>
      <w:jc w:val="left"/>
      <w:textAlignment w:val="baseline"/>
    </w:pPr>
    <w:rPr>
      <w:rFonts w:ascii="仿宋_GB2312" w:eastAsia="仿宋_GB2312"/>
      <w:kern w:val="0"/>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cs="Arial"/>
      <w:snapToGrid w:val="0"/>
      <w:szCs w:val="21"/>
    </w:rPr>
  </w:style>
  <w:style w:type="paragraph" w:styleId="11">
    <w:name w:val="Body Text Indent 2"/>
    <w:basedOn w:val="1"/>
    <w:autoRedefine/>
    <w:qFormat/>
    <w:uiPriority w:val="0"/>
    <w:pPr>
      <w:widowControl/>
      <w:spacing w:line="480" w:lineRule="atLeast"/>
      <w:ind w:firstLine="480"/>
    </w:pPr>
    <w:rPr>
      <w:rFonts w:ascii="宋体"/>
      <w:kern w:val="0"/>
      <w:sz w:val="24"/>
      <w:szCs w:val="20"/>
    </w:rPr>
  </w:style>
  <w:style w:type="paragraph" w:styleId="12">
    <w:name w:val="footer"/>
    <w:basedOn w:val="1"/>
    <w:autoRedefine/>
    <w:qFormat/>
    <w:uiPriority w:val="99"/>
    <w:pPr>
      <w:tabs>
        <w:tab w:val="center" w:pos="4153"/>
        <w:tab w:val="right" w:pos="8306"/>
      </w:tabs>
      <w:snapToGrid w:val="0"/>
      <w:jc w:val="left"/>
    </w:pPr>
    <w:rPr>
      <w:rFonts w:asciiTheme="minorHAnsi" w:hAnsiTheme="minorHAnsi" w:cstheme="minorBidi"/>
      <w:sz w:val="18"/>
      <w:szCs w:val="18"/>
    </w:rPr>
  </w:style>
  <w:style w:type="paragraph" w:styleId="13">
    <w:name w:val="header"/>
    <w:basedOn w:val="1"/>
    <w:autoRedefine/>
    <w:qFormat/>
    <w:uiPriority w:val="0"/>
    <w:pPr>
      <w:tabs>
        <w:tab w:val="center" w:pos="4153"/>
        <w:tab w:val="right" w:pos="8306"/>
      </w:tabs>
      <w:snapToGrid w:val="0"/>
      <w:jc w:val="center"/>
    </w:pPr>
    <w:rPr>
      <w:rFonts w:asciiTheme="minorHAnsi" w:hAnsiTheme="minorHAnsi" w:cstheme="minorBidi"/>
      <w:sz w:val="18"/>
      <w:szCs w:val="18"/>
    </w:rPr>
  </w:style>
  <w:style w:type="paragraph" w:styleId="14">
    <w:name w:val="toc 1"/>
    <w:basedOn w:val="1"/>
    <w:next w:val="1"/>
    <w:autoRedefine/>
    <w:qFormat/>
    <w:uiPriority w:val="39"/>
    <w:pPr>
      <w:tabs>
        <w:tab w:val="right" w:leader="dot" w:pos="9403"/>
      </w:tabs>
      <w:snapToGrid w:val="0"/>
      <w:spacing w:line="360" w:lineRule="auto"/>
    </w:pPr>
    <w:rPr>
      <w:b/>
      <w:bCs/>
      <w:caps/>
    </w:rPr>
  </w:style>
  <w:style w:type="paragraph" w:styleId="15">
    <w:name w:val="toc 6"/>
    <w:basedOn w:val="1"/>
    <w:next w:val="1"/>
    <w:autoRedefine/>
    <w:qFormat/>
    <w:uiPriority w:val="39"/>
    <w:pPr>
      <w:ind w:left="840"/>
      <w:jc w:val="left"/>
    </w:pPr>
    <w:rPr>
      <w:sz w:val="20"/>
      <w:szCs w:val="20"/>
    </w:rPr>
  </w:style>
  <w:style w:type="paragraph" w:styleId="16">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17">
    <w:name w:val="toc 2"/>
    <w:basedOn w:val="1"/>
    <w:next w:val="1"/>
    <w:autoRedefine/>
    <w:qFormat/>
    <w:uiPriority w:val="39"/>
    <w:pPr>
      <w:tabs>
        <w:tab w:val="right" w:leader="dot" w:pos="9403"/>
      </w:tabs>
      <w:snapToGrid w:val="0"/>
      <w:spacing w:line="360" w:lineRule="auto"/>
      <w:ind w:firstLine="200" w:firstLineChars="200"/>
    </w:pPr>
    <w:rPr>
      <w:smallCaps/>
    </w:rPr>
  </w:style>
  <w:style w:type="paragraph" w:styleId="18">
    <w:name w:val="Title"/>
    <w:basedOn w:val="1"/>
    <w:autoRedefine/>
    <w:qFormat/>
    <w:uiPriority w:val="10"/>
    <w:pPr>
      <w:widowControl/>
      <w:overflowPunct w:val="0"/>
      <w:autoSpaceDE w:val="0"/>
      <w:autoSpaceDN w:val="0"/>
      <w:jc w:val="center"/>
      <w:textAlignment w:val="baseline"/>
    </w:pPr>
    <w:rPr>
      <w:b/>
      <w:kern w:val="0"/>
      <w:sz w:val="24"/>
      <w:szCs w:val="20"/>
      <w:lang w:val="en-GB"/>
    </w:rPr>
  </w:style>
  <w:style w:type="paragraph" w:styleId="19">
    <w:name w:val="annotation subject"/>
    <w:basedOn w:val="7"/>
    <w:next w:val="7"/>
    <w:link w:val="42"/>
    <w:qFormat/>
    <w:uiPriority w:val="0"/>
    <w:rPr>
      <w:b/>
      <w:bCs/>
    </w:rPr>
  </w:style>
  <w:style w:type="paragraph" w:styleId="20">
    <w:name w:val="Body Text First Indent"/>
    <w:basedOn w:val="8"/>
    <w:next w:val="1"/>
    <w:autoRedefine/>
    <w:unhideWhenUsed/>
    <w:qFormat/>
    <w:uiPriority w:val="99"/>
    <w:pPr>
      <w:ind w:firstLine="420" w:firstLineChars="1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page number"/>
    <w:basedOn w:val="23"/>
    <w:autoRedefine/>
    <w:qFormat/>
    <w:uiPriority w:val="0"/>
    <w:rPr>
      <w:rFonts w:eastAsia="Arial"/>
    </w:rPr>
  </w:style>
  <w:style w:type="character" w:styleId="26">
    <w:name w:val="Hyperlink"/>
    <w:autoRedefine/>
    <w:qFormat/>
    <w:uiPriority w:val="99"/>
    <w:rPr>
      <w:rFonts w:ascii="Arial" w:hAnsi="Arial" w:eastAsia="黑体" w:cs="Arial"/>
      <w:snapToGrid w:val="0"/>
      <w:color w:val="000000"/>
      <w:kern w:val="0"/>
      <w:sz w:val="18"/>
      <w:szCs w:val="18"/>
      <w:u w:val="none"/>
    </w:rPr>
  </w:style>
  <w:style w:type="character" w:styleId="27">
    <w:name w:val="annotation reference"/>
    <w:basedOn w:val="23"/>
    <w:autoRedefine/>
    <w:qFormat/>
    <w:uiPriority w:val="99"/>
    <w:rPr>
      <w:sz w:val="21"/>
      <w:szCs w:val="21"/>
    </w:rPr>
  </w:style>
  <w:style w:type="paragraph" w:customStyle="1" w:styleId="28">
    <w:name w:val="Default"/>
    <w:autoRedefine/>
    <w:qFormat/>
    <w:uiPriority w:val="0"/>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9">
    <w:name w:val="正文空2字"/>
    <w:basedOn w:val="30"/>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30">
    <w:name w:val="左对齐正文"/>
    <w:autoRedefine/>
    <w:qFormat/>
    <w:uiPriority w:val="99"/>
    <w:pPr>
      <w:spacing w:after="160" w:line="278" w:lineRule="auto"/>
    </w:pPr>
    <w:rPr>
      <w:rFonts w:ascii="Calibri" w:hAnsi="Calibri" w:eastAsia="仿宋_GB2312" w:cs="Calibri"/>
      <w:kern w:val="2"/>
      <w:sz w:val="32"/>
      <w:szCs w:val="32"/>
      <w:lang w:val="en-US" w:eastAsia="zh-CN" w:bidi="ar-SA"/>
    </w:rPr>
  </w:style>
  <w:style w:type="paragraph" w:customStyle="1" w:styleId="31">
    <w:name w:val="正文2"/>
    <w:basedOn w:val="1"/>
    <w:qFormat/>
    <w:uiPriority w:val="0"/>
    <w:pPr>
      <w:spacing w:before="156" w:line="360" w:lineRule="auto"/>
      <w:ind w:firstLine="510" w:firstLineChars="200"/>
    </w:pPr>
    <w:rPr>
      <w:sz w:val="24"/>
      <w:szCs w:val="20"/>
    </w:rPr>
  </w:style>
  <w:style w:type="paragraph" w:customStyle="1" w:styleId="32">
    <w:name w:val="样式1"/>
    <w:basedOn w:val="1"/>
    <w:autoRedefine/>
    <w:qFormat/>
    <w:uiPriority w:val="0"/>
    <w:pPr>
      <w:spacing w:line="360" w:lineRule="exact"/>
      <w:ind w:firstLine="200" w:firstLineChars="200"/>
    </w:pPr>
    <w:rPr>
      <w:rFonts w:ascii="Arial" w:hAnsi="Arial" w:cstheme="minorBidi"/>
    </w:rPr>
  </w:style>
  <w:style w:type="character" w:customStyle="1" w:styleId="33">
    <w:name w:val="font41"/>
    <w:qFormat/>
    <w:uiPriority w:val="0"/>
    <w:rPr>
      <w:rFonts w:hint="eastAsia" w:ascii="宋体" w:hAnsi="宋体" w:eastAsia="宋体" w:cs="宋体"/>
      <w:color w:val="000000"/>
      <w:sz w:val="24"/>
      <w:szCs w:val="24"/>
      <w:u w:val="none"/>
    </w:rPr>
  </w:style>
  <w:style w:type="paragraph" w:customStyle="1" w:styleId="34">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5">
    <w:name w:val="af17cgridlangnp1033langf"/>
    <w:qFormat/>
    <w:uiPriority w:val="0"/>
    <w:pPr>
      <w:widowControl w:val="0"/>
      <w:autoSpaceDE w:val="0"/>
      <w:autoSpaceDN w:val="0"/>
      <w:adjustRightInd w:val="0"/>
      <w:spacing w:before="156" w:after="160" w:line="360" w:lineRule="atLeast"/>
      <w:ind w:left="567" w:firstLine="510"/>
      <w:jc w:val="both"/>
    </w:pPr>
    <w:rPr>
      <w:rFonts w:ascii="Times New Roman" w:hAnsi="Times New Roman" w:eastAsia="宋体" w:cs="Times New Roman"/>
      <w:lang w:val="en-US" w:eastAsia="zh-CN" w:bidi="ar-SA"/>
    </w:rPr>
  </w:style>
  <w:style w:type="paragraph" w:customStyle="1" w:styleId="36">
    <w:name w:val="纯文本_0_0"/>
    <w:basedOn w:val="37"/>
    <w:autoRedefine/>
    <w:qFormat/>
    <w:uiPriority w:val="0"/>
    <w:rPr>
      <w:rFonts w:ascii="宋体" w:hAnsi="Courier New"/>
      <w:szCs w:val="21"/>
    </w:rPr>
  </w:style>
  <w:style w:type="paragraph" w:customStyle="1" w:styleId="37">
    <w:name w:val="正文_1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9">
    <w:name w:val="Table Paragraph"/>
    <w:basedOn w:val="1"/>
    <w:qFormat/>
    <w:uiPriority w:val="1"/>
    <w:pPr>
      <w:autoSpaceDE w:val="0"/>
      <w:autoSpaceDN w:val="0"/>
      <w:jc w:val="left"/>
    </w:pPr>
    <w:rPr>
      <w:kern w:val="0"/>
      <w:sz w:val="24"/>
    </w:rPr>
  </w:style>
  <w:style w:type="paragraph" w:customStyle="1" w:styleId="40">
    <w:name w:val="修订1"/>
    <w:autoRedefine/>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41">
    <w:name w:val="批注文字 字符"/>
    <w:basedOn w:val="23"/>
    <w:link w:val="7"/>
    <w:autoRedefine/>
    <w:qFormat/>
    <w:uiPriority w:val="0"/>
    <w:rPr>
      <w:rFonts w:ascii="Times New Roman" w:hAnsi="Times New Roman" w:eastAsia="宋体" w:cs="Times New Roman"/>
      <w:kern w:val="2"/>
      <w:sz w:val="21"/>
      <w:szCs w:val="24"/>
    </w:rPr>
  </w:style>
  <w:style w:type="character" w:customStyle="1" w:styleId="42">
    <w:name w:val="批注主题 字符"/>
    <w:basedOn w:val="41"/>
    <w:link w:val="19"/>
    <w:autoRedefine/>
    <w:qFormat/>
    <w:uiPriority w:val="0"/>
    <w:rPr>
      <w:rFonts w:ascii="Times New Roman" w:hAnsi="Times New Roman" w:eastAsia="宋体" w:cs="Times New Roman"/>
      <w:b/>
      <w:bCs/>
      <w:kern w:val="2"/>
      <w:sz w:val="21"/>
      <w:szCs w:val="24"/>
    </w:rPr>
  </w:style>
  <w:style w:type="paragraph" w:customStyle="1" w:styleId="43">
    <w:name w:val="正文缩进1"/>
    <w:basedOn w:val="1"/>
    <w:next w:val="9"/>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44">
    <w:name w:val="无间隔2"/>
    <w:autoRedefine/>
    <w:qFormat/>
    <w:uiPriority w:val="0"/>
    <w:pPr>
      <w:spacing w:after="160" w:line="278" w:lineRule="auto"/>
    </w:pPr>
    <w:rPr>
      <w:rFonts w:ascii="Times New Roman" w:hAnsi="Times New Roman" w:eastAsia="宋体" w:cs="Times New Roman"/>
      <w:sz w:val="22"/>
      <w:szCs w:val="22"/>
      <w:lang w:val="en-US" w:eastAsia="en-US" w:bidi="ar-SA"/>
    </w:rPr>
  </w:style>
  <w:style w:type="paragraph" w:customStyle="1" w:styleId="45">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image" Target="media/image23.wmf"/><Relationship Id="rId62" Type="http://schemas.openxmlformats.org/officeDocument/2006/relationships/oleObject" Target="embeddings/oleObject23.bin"/><Relationship Id="rId61" Type="http://schemas.openxmlformats.org/officeDocument/2006/relationships/image" Target="media/image22.wmf"/><Relationship Id="rId60" Type="http://schemas.openxmlformats.org/officeDocument/2006/relationships/oleObject" Target="embeddings/oleObject22.bin"/><Relationship Id="rId6" Type="http://schemas.openxmlformats.org/officeDocument/2006/relationships/footer" Target="footer1.xml"/><Relationship Id="rId59" Type="http://schemas.openxmlformats.org/officeDocument/2006/relationships/image" Target="media/image21.wmf"/><Relationship Id="rId58" Type="http://schemas.openxmlformats.org/officeDocument/2006/relationships/oleObject" Target="embeddings/oleObject21.bin"/><Relationship Id="rId57" Type="http://schemas.openxmlformats.org/officeDocument/2006/relationships/image" Target="media/image20.wmf"/><Relationship Id="rId56" Type="http://schemas.openxmlformats.org/officeDocument/2006/relationships/oleObject" Target="embeddings/oleObject20.bin"/><Relationship Id="rId55" Type="http://schemas.openxmlformats.org/officeDocument/2006/relationships/oleObject" Target="embeddings/oleObject19.bin"/><Relationship Id="rId54" Type="http://schemas.openxmlformats.org/officeDocument/2006/relationships/image" Target="media/image19.wmf"/><Relationship Id="rId53" Type="http://schemas.openxmlformats.org/officeDocument/2006/relationships/oleObject" Target="embeddings/oleObject18.bin"/><Relationship Id="rId52" Type="http://schemas.openxmlformats.org/officeDocument/2006/relationships/image" Target="media/image18.wmf"/><Relationship Id="rId51" Type="http://schemas.openxmlformats.org/officeDocument/2006/relationships/oleObject" Target="embeddings/oleObject17.bin"/><Relationship Id="rId50" Type="http://schemas.openxmlformats.org/officeDocument/2006/relationships/image" Target="media/image17.wmf"/><Relationship Id="rId5" Type="http://schemas.openxmlformats.org/officeDocument/2006/relationships/header" Target="header1.xml"/><Relationship Id="rId49" Type="http://schemas.openxmlformats.org/officeDocument/2006/relationships/oleObject" Target="embeddings/oleObject16.bin"/><Relationship Id="rId48" Type="http://schemas.openxmlformats.org/officeDocument/2006/relationships/image" Target="media/image16.wmf"/><Relationship Id="rId47" Type="http://schemas.openxmlformats.org/officeDocument/2006/relationships/oleObject" Target="embeddings/oleObject15.bin"/><Relationship Id="rId46" Type="http://schemas.openxmlformats.org/officeDocument/2006/relationships/image" Target="media/image15.png"/><Relationship Id="rId45" Type="http://schemas.openxmlformats.org/officeDocument/2006/relationships/image" Target="media/image14.wmf"/><Relationship Id="rId44" Type="http://schemas.openxmlformats.org/officeDocument/2006/relationships/oleObject" Target="embeddings/oleObject14.bin"/><Relationship Id="rId43" Type="http://schemas.openxmlformats.org/officeDocument/2006/relationships/image" Target="media/image13.wmf"/><Relationship Id="rId42" Type="http://schemas.openxmlformats.org/officeDocument/2006/relationships/oleObject" Target="embeddings/oleObject13.bin"/><Relationship Id="rId41" Type="http://schemas.openxmlformats.org/officeDocument/2006/relationships/image" Target="media/image12.wmf"/><Relationship Id="rId40" Type="http://schemas.openxmlformats.org/officeDocument/2006/relationships/oleObject" Target="embeddings/oleObject12.bin"/><Relationship Id="rId4" Type="http://schemas.openxmlformats.org/officeDocument/2006/relationships/endnotes" Target="endnotes.xml"/><Relationship Id="rId39" Type="http://schemas.openxmlformats.org/officeDocument/2006/relationships/image" Target="media/image11.wmf"/><Relationship Id="rId38" Type="http://schemas.openxmlformats.org/officeDocument/2006/relationships/oleObject" Target="embeddings/oleObject11.bin"/><Relationship Id="rId37" Type="http://schemas.openxmlformats.org/officeDocument/2006/relationships/image" Target="media/image10.wmf"/><Relationship Id="rId36" Type="http://schemas.openxmlformats.org/officeDocument/2006/relationships/oleObject" Target="embeddings/oleObject10.bin"/><Relationship Id="rId35" Type="http://schemas.openxmlformats.org/officeDocument/2006/relationships/image" Target="media/image9.wmf"/><Relationship Id="rId34" Type="http://schemas.openxmlformats.org/officeDocument/2006/relationships/oleObject" Target="embeddings/oleObject9.bin"/><Relationship Id="rId33" Type="http://schemas.openxmlformats.org/officeDocument/2006/relationships/image" Target="media/image8.wmf"/><Relationship Id="rId32" Type="http://schemas.openxmlformats.org/officeDocument/2006/relationships/oleObject" Target="embeddings/oleObject8.bin"/><Relationship Id="rId31" Type="http://schemas.openxmlformats.org/officeDocument/2006/relationships/image" Target="media/image7.wmf"/><Relationship Id="rId30" Type="http://schemas.openxmlformats.org/officeDocument/2006/relationships/oleObject" Target="embeddings/oleObject7.bin"/><Relationship Id="rId3" Type="http://schemas.openxmlformats.org/officeDocument/2006/relationships/footnotes" Target="footnotes.xml"/><Relationship Id="rId29" Type="http://schemas.openxmlformats.org/officeDocument/2006/relationships/image" Target="media/image6.wmf"/><Relationship Id="rId28" Type="http://schemas.openxmlformats.org/officeDocument/2006/relationships/oleObject" Target="embeddings/oleObject6.bin"/><Relationship Id="rId27" Type="http://schemas.openxmlformats.org/officeDocument/2006/relationships/image" Target="media/image5.wmf"/><Relationship Id="rId26" Type="http://schemas.openxmlformats.org/officeDocument/2006/relationships/oleObject" Target="embeddings/oleObject5.bin"/><Relationship Id="rId25" Type="http://schemas.openxmlformats.org/officeDocument/2006/relationships/image" Target="media/image4.wmf"/><Relationship Id="rId24" Type="http://schemas.openxmlformats.org/officeDocument/2006/relationships/oleObject" Target="embeddings/oleObject4.bin"/><Relationship Id="rId23" Type="http://schemas.openxmlformats.org/officeDocument/2006/relationships/image" Target="media/image3.wmf"/><Relationship Id="rId22" Type="http://schemas.openxmlformats.org/officeDocument/2006/relationships/oleObject" Target="embeddings/oleObject3.bin"/><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19077</Words>
  <Characters>20673</Characters>
  <Lines>292</Lines>
  <Paragraphs>82</Paragraphs>
  <TotalTime>48</TotalTime>
  <ScaleCrop>false</ScaleCrop>
  <LinksUpToDate>false</LinksUpToDate>
  <CharactersWithSpaces>21009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2024-12-12T18:57:00Z</dcterms:created>
  <dc:creator>administer</dc:creator>
  <cp:lastModifiedBy>sdyfcgvj</cp:lastModifiedBy>
  <dcterms:modified xsi:type="dcterms:W3CDTF">2026-05-14T11:58:09Z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18F1447963EC4277BFF38E0C2A8AE109_13</vt:lpwstr>
  </property>
  <property fmtid="{D5CDD505-2E9C-101B-9397-08002B2CF9AE}" pid="4" name="KSOTemplateDocerSaveRecord">
    <vt:lpwstr>eyJoZGlkIjoiNmM5Nzg2NzRjMGJiNjUwOTAzOGEyNDMxYWI0NzU4MTQiLCJ1c2VySWQiOiIxMTUyMzE3OTU5In0=</vt:lpwstr>
  </property>
</Properties>
</file>