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B3B959">
      <w:pPr>
        <w:numPr>
          <w:ilvl w:val="0"/>
          <w:numId w:val="1"/>
        </w:numPr>
        <w:spacing w:line="440" w:lineRule="exact"/>
        <w:rPr>
          <w:rFonts w:ascii="宋体" w:hAnsi="宋体" w:eastAsia="宋体"/>
          <w:color w:val="FF0000"/>
          <w:sz w:val="24"/>
          <w:szCs w:val="24"/>
        </w:rPr>
      </w:pPr>
      <w:r>
        <w:rPr>
          <w:rFonts w:hint="eastAsia" w:ascii="宋体" w:hAnsi="宋体" w:eastAsia="宋体"/>
          <w:bCs/>
          <w:iCs/>
          <w:color w:val="FF0000"/>
          <w:sz w:val="24"/>
          <w:szCs w:val="24"/>
          <w:lang w:eastAsia="zh-CN"/>
        </w:rPr>
        <w:t>。</w:t>
      </w:r>
    </w:p>
    <w:p w14:paraId="3AB06F30">
      <w:pPr>
        <w:ind w:left="5040" w:leftChars="2100"/>
        <w:rPr>
          <w:rFonts w:hint="eastAsia" w:ascii="宋体" w:hAnsi="宋体"/>
          <w:szCs w:val="28"/>
        </w:rPr>
      </w:pPr>
    </w:p>
    <w:p w14:paraId="31184564">
      <w:pPr>
        <w:ind w:left="5040" w:leftChars="2100"/>
        <w:rPr>
          <w:rFonts w:hint="eastAsia" w:ascii="宋体" w:hAnsi="宋体"/>
          <w:szCs w:val="28"/>
        </w:rPr>
      </w:pPr>
    </w:p>
    <w:p w14:paraId="4D25C1C8">
      <w:pPr>
        <w:ind w:left="5040" w:leftChars="2100"/>
        <w:rPr>
          <w:rFonts w:hint="eastAsia" w:ascii="宋体" w:hAnsi="宋体"/>
          <w:szCs w:val="28"/>
          <w:u w:val="single"/>
        </w:rPr>
      </w:pPr>
      <w:r>
        <w:rPr>
          <w:rFonts w:hint="eastAsia" w:ascii="宋体" w:hAnsi="宋体"/>
          <w:szCs w:val="28"/>
        </w:rPr>
        <w:t>采购项目编号：</w:t>
      </w:r>
      <w:r>
        <w:rPr>
          <w:rFonts w:hint="eastAsia" w:ascii="宋体" w:hAnsi="宋体"/>
          <w:szCs w:val="28"/>
          <w:u w:val="single"/>
        </w:rPr>
        <w:t>河北采购-CGWJ260500003</w:t>
      </w:r>
    </w:p>
    <w:p w14:paraId="0752E8D9">
      <w:pPr>
        <w:spacing w:before="312" w:beforeLines="100" w:after="312" w:afterLines="100"/>
        <w:jc w:val="center"/>
        <w:rPr>
          <w:rFonts w:ascii="宋体" w:hAnsi="宋体"/>
          <w:sz w:val="28"/>
          <w:szCs w:val="28"/>
        </w:rPr>
      </w:pPr>
      <w:bookmarkStart w:id="28" w:name="_GoBack"/>
      <w:bookmarkEnd w:id="28"/>
    </w:p>
    <w:p w14:paraId="6ECEF22A">
      <w:pPr>
        <w:spacing w:before="624" w:beforeLines="200" w:after="624" w:afterLines="200"/>
        <w:jc w:val="center"/>
        <w:rPr>
          <w:rFonts w:ascii="宋体" w:hAnsi="宋体"/>
          <w:b/>
          <w:bCs/>
          <w:color w:val="0000FF"/>
          <w:sz w:val="40"/>
          <w:szCs w:val="40"/>
        </w:rPr>
      </w:pPr>
      <w:r>
        <w:rPr>
          <w:rFonts w:hint="eastAsia" w:ascii="宋体" w:hAnsi="宋体"/>
          <w:b/>
          <w:bCs/>
          <w:sz w:val="40"/>
          <w:szCs w:val="40"/>
        </w:rPr>
        <w:t>【</w:t>
      </w:r>
      <w:r>
        <w:rPr>
          <w:rFonts w:hint="eastAsia" w:ascii="宋体" w:hAnsi="宋体"/>
          <w:b/>
          <w:bCs/>
          <w:color w:val="0000FF"/>
          <w:sz w:val="40"/>
          <w:szCs w:val="40"/>
        </w:rPr>
        <w:t>河北工厂有害生物防治服务项目</w:t>
      </w:r>
      <w:r>
        <w:rPr>
          <w:rFonts w:hint="eastAsia" w:ascii="宋体" w:hAnsi="宋体"/>
          <w:b/>
          <w:bCs/>
          <w:sz w:val="40"/>
          <w:szCs w:val="40"/>
        </w:rPr>
        <w:t>】</w:t>
      </w:r>
    </w:p>
    <w:p w14:paraId="0D63D091">
      <w:pPr>
        <w:spacing w:before="624" w:beforeLines="200" w:after="624" w:afterLines="200"/>
        <w:jc w:val="center"/>
        <w:rPr>
          <w:rFonts w:ascii="宋体" w:hAnsi="宋体"/>
          <w:b/>
          <w:bCs/>
          <w:sz w:val="96"/>
          <w:szCs w:val="96"/>
        </w:rPr>
      </w:pPr>
      <w:r>
        <w:rPr>
          <w:rFonts w:hint="eastAsia" w:ascii="宋体" w:hAnsi="宋体"/>
          <w:b/>
          <w:bCs/>
          <w:sz w:val="96"/>
          <w:szCs w:val="96"/>
        </w:rPr>
        <w:t>采购文件</w:t>
      </w:r>
    </w:p>
    <w:p w14:paraId="47A40D80">
      <w:pPr>
        <w:spacing w:before="312" w:beforeLines="100" w:after="312" w:afterLines="100"/>
        <w:jc w:val="center"/>
        <w:rPr>
          <w:rFonts w:ascii="宋体" w:hAnsi="宋体"/>
          <w:sz w:val="28"/>
          <w:szCs w:val="28"/>
        </w:rPr>
      </w:pPr>
    </w:p>
    <w:p w14:paraId="2D3B3800">
      <w:pPr>
        <w:spacing w:before="312" w:beforeLines="100" w:after="312" w:afterLines="100"/>
        <w:rPr>
          <w:rFonts w:ascii="宋体" w:hAnsi="宋体"/>
          <w:sz w:val="28"/>
          <w:szCs w:val="28"/>
        </w:rPr>
      </w:pPr>
    </w:p>
    <w:p w14:paraId="713DB2B3">
      <w:pPr>
        <w:spacing w:before="312" w:beforeLines="100" w:after="312" w:afterLines="100"/>
        <w:rPr>
          <w:rFonts w:ascii="宋体" w:hAnsi="宋体"/>
          <w:sz w:val="28"/>
          <w:szCs w:val="28"/>
        </w:rPr>
      </w:pPr>
    </w:p>
    <w:p w14:paraId="413A021A">
      <w:pPr>
        <w:spacing w:before="312" w:beforeLines="100" w:after="312" w:afterLines="100"/>
        <w:rPr>
          <w:rFonts w:ascii="宋体" w:hAnsi="宋体"/>
          <w:sz w:val="28"/>
          <w:szCs w:val="28"/>
        </w:rPr>
      </w:pPr>
    </w:p>
    <w:p w14:paraId="20248D80">
      <w:pPr>
        <w:spacing w:before="312" w:beforeLines="100" w:after="312" w:afterLines="100"/>
        <w:rPr>
          <w:rFonts w:ascii="宋体" w:hAnsi="宋体"/>
          <w:sz w:val="28"/>
          <w:szCs w:val="28"/>
        </w:rPr>
      </w:pPr>
    </w:p>
    <w:p w14:paraId="5DB7BC89">
      <w:pPr>
        <w:spacing w:line="440" w:lineRule="exact"/>
        <w:ind w:left="1440" w:leftChars="600"/>
        <w:jc w:val="left"/>
        <w:rPr>
          <w:rFonts w:hint="default" w:ascii="宋体" w:hAnsi="宋体" w:eastAsia="宋体"/>
          <w:lang w:val="en-US" w:eastAsia="zh-CN"/>
        </w:rPr>
      </w:pPr>
      <w:r>
        <w:rPr>
          <w:rFonts w:hint="eastAsia" w:ascii="宋体" w:hAnsi="宋体"/>
        </w:rPr>
        <w:t xml:space="preserve">采 </w:t>
      </w:r>
      <w:r>
        <w:rPr>
          <w:rFonts w:ascii="宋体" w:hAnsi="宋体"/>
        </w:rPr>
        <w:t xml:space="preserve">  </w:t>
      </w:r>
      <w:r>
        <w:rPr>
          <w:rFonts w:hint="eastAsia" w:ascii="宋体" w:hAnsi="宋体"/>
        </w:rPr>
        <w:t xml:space="preserve">购  </w:t>
      </w:r>
      <w:r>
        <w:rPr>
          <w:rFonts w:ascii="宋体" w:hAnsi="宋体"/>
        </w:rPr>
        <w:t xml:space="preserve"> </w:t>
      </w:r>
      <w:r>
        <w:rPr>
          <w:rFonts w:hint="eastAsia" w:ascii="宋体" w:hAnsi="宋体"/>
        </w:rPr>
        <w:t>人：</w:t>
      </w:r>
      <w:r>
        <w:rPr>
          <w:rFonts w:hint="eastAsia" w:ascii="宋体" w:hAnsi="宋体"/>
          <w:color w:val="0000FF"/>
          <w:lang w:val="en-US" w:eastAsia="zh-CN"/>
        </w:rPr>
        <w:t>华润雪花啤酒（河北）有限公司</w:t>
      </w:r>
    </w:p>
    <w:p w14:paraId="53A5FE3D">
      <w:pPr>
        <w:spacing w:line="440" w:lineRule="exact"/>
        <w:ind w:left="1440" w:leftChars="600"/>
        <w:rPr>
          <w:rFonts w:ascii="宋体" w:hAnsi="宋体"/>
        </w:rPr>
      </w:pPr>
      <w:r>
        <w:rPr>
          <w:rFonts w:hint="eastAsia" w:ascii="宋体" w:hAnsi="宋体"/>
        </w:rPr>
        <w:t>电子采购平台：华润集团守正电子招标采购平台</w:t>
      </w:r>
    </w:p>
    <w:p w14:paraId="1302E2BC">
      <w:pPr>
        <w:spacing w:line="440" w:lineRule="exact"/>
        <w:jc w:val="center"/>
        <w:rPr>
          <w:rFonts w:ascii="宋体" w:hAnsi="宋体"/>
          <w:sz w:val="28"/>
          <w:szCs w:val="28"/>
        </w:rPr>
      </w:pPr>
      <w:r>
        <w:rPr>
          <w:rFonts w:hint="eastAsia" w:ascii="宋体" w:hAnsi="宋体"/>
          <w:color w:val="0000FF"/>
          <w:lang w:val="en-US" w:eastAsia="zh-CN"/>
        </w:rPr>
        <w:t>2026</w:t>
      </w:r>
      <w:r>
        <w:rPr>
          <w:rFonts w:hint="eastAsia" w:ascii="宋体" w:hAnsi="宋体"/>
        </w:rPr>
        <w:t>年</w:t>
      </w:r>
      <w:r>
        <w:rPr>
          <w:rFonts w:hint="eastAsia" w:ascii="宋体" w:hAnsi="宋体"/>
          <w:color w:val="0000FF"/>
          <w:lang w:val="en-US" w:eastAsia="zh-CN"/>
        </w:rPr>
        <w:t>05</w:t>
      </w:r>
      <w:r>
        <w:rPr>
          <w:rFonts w:hint="eastAsia" w:ascii="宋体" w:hAnsi="宋体"/>
        </w:rPr>
        <w:t>月</w:t>
      </w:r>
      <w:r>
        <w:rPr>
          <w:rFonts w:hint="eastAsia" w:ascii="宋体" w:hAnsi="宋体"/>
          <w:lang w:val="en-US" w:eastAsia="zh-CN"/>
        </w:rPr>
        <w:t>11</w:t>
      </w:r>
      <w:r>
        <w:rPr>
          <w:rFonts w:hint="eastAsia" w:ascii="宋体" w:hAnsi="宋体"/>
        </w:rPr>
        <w:t>日</w:t>
      </w:r>
      <w:r>
        <w:rPr>
          <w:rFonts w:ascii="宋体" w:hAnsi="宋体"/>
          <w:sz w:val="28"/>
          <w:szCs w:val="28"/>
        </w:rPr>
        <w:br w:type="page"/>
      </w:r>
    </w:p>
    <w:p w14:paraId="33CC2D5E">
      <w:pPr>
        <w:spacing w:line="440" w:lineRule="exact"/>
        <w:jc w:val="center"/>
        <w:rPr>
          <w:rFonts w:ascii="宋体" w:hAnsi="宋体"/>
          <w:b/>
          <w:bCs/>
          <w:szCs w:val="24"/>
        </w:rPr>
      </w:pPr>
    </w:p>
    <w:p w14:paraId="05351E7F">
      <w:pPr>
        <w:spacing w:line="440" w:lineRule="exact"/>
        <w:jc w:val="center"/>
        <w:rPr>
          <w:rFonts w:ascii="宋体" w:hAnsi="宋体"/>
          <w:b/>
          <w:bCs/>
          <w:sz w:val="32"/>
          <w:szCs w:val="24"/>
        </w:rPr>
      </w:pPr>
      <w:r>
        <w:rPr>
          <w:rFonts w:hint="eastAsia" w:ascii="宋体" w:hAnsi="宋体"/>
          <w:b/>
          <w:bCs/>
          <w:sz w:val="32"/>
          <w:szCs w:val="24"/>
        </w:rPr>
        <w:t xml:space="preserve">目 </w:t>
      </w:r>
      <w:r>
        <w:rPr>
          <w:rFonts w:ascii="宋体" w:hAnsi="宋体"/>
          <w:b/>
          <w:bCs/>
          <w:sz w:val="32"/>
          <w:szCs w:val="24"/>
        </w:rPr>
        <w:t xml:space="preserve"> </w:t>
      </w:r>
      <w:r>
        <w:rPr>
          <w:rFonts w:hint="eastAsia" w:ascii="宋体" w:hAnsi="宋体"/>
          <w:b/>
          <w:bCs/>
          <w:sz w:val="32"/>
          <w:szCs w:val="24"/>
        </w:rPr>
        <w:t>录</w:t>
      </w:r>
    </w:p>
    <w:p w14:paraId="602AE632">
      <w:pPr>
        <w:spacing w:line="440" w:lineRule="exact"/>
        <w:jc w:val="center"/>
        <w:rPr>
          <w:rFonts w:ascii="宋体" w:hAnsi="宋体"/>
          <w:szCs w:val="24"/>
        </w:rPr>
      </w:pPr>
    </w:p>
    <w:p w14:paraId="48E9A6D5">
      <w:pPr>
        <w:spacing w:before="156" w:beforeLines="50" w:after="156" w:afterLines="50" w:line="440" w:lineRule="exact"/>
        <w:ind w:left="2640" w:leftChars="1100"/>
        <w:rPr>
          <w:rFonts w:ascii="宋体" w:hAnsi="宋体"/>
          <w:szCs w:val="24"/>
        </w:rPr>
      </w:pPr>
      <w:r>
        <w:rPr>
          <w:rFonts w:hint="eastAsia" w:ascii="宋体" w:hAnsi="宋体"/>
          <w:szCs w:val="24"/>
        </w:rPr>
        <w:t xml:space="preserve">第一卷 </w:t>
      </w:r>
      <w:r>
        <w:rPr>
          <w:rFonts w:ascii="宋体" w:hAnsi="宋体"/>
          <w:szCs w:val="24"/>
        </w:rPr>
        <w:t xml:space="preserve">  </w:t>
      </w:r>
      <w:r>
        <w:rPr>
          <w:rFonts w:hint="eastAsia" w:ascii="宋体" w:hAnsi="宋体"/>
          <w:szCs w:val="24"/>
        </w:rPr>
        <w:t>供应商须知</w:t>
      </w:r>
    </w:p>
    <w:p w14:paraId="1EC1DD87">
      <w:pPr>
        <w:spacing w:before="156" w:beforeLines="50" w:after="156" w:afterLines="50" w:line="440" w:lineRule="exact"/>
        <w:ind w:left="2640" w:leftChars="1100"/>
        <w:rPr>
          <w:rFonts w:ascii="宋体" w:hAnsi="宋体"/>
          <w:szCs w:val="24"/>
        </w:rPr>
      </w:pPr>
      <w:r>
        <w:rPr>
          <w:rFonts w:hint="eastAsia" w:ascii="宋体" w:hAnsi="宋体"/>
          <w:szCs w:val="24"/>
        </w:rPr>
        <w:t xml:space="preserve">第二卷 </w:t>
      </w:r>
      <w:r>
        <w:rPr>
          <w:rFonts w:ascii="宋体" w:hAnsi="宋体"/>
          <w:szCs w:val="24"/>
        </w:rPr>
        <w:t xml:space="preserve"> </w:t>
      </w:r>
      <w:r>
        <w:rPr>
          <w:rFonts w:hint="eastAsia" w:ascii="宋体" w:hAnsi="宋体"/>
          <w:szCs w:val="24"/>
        </w:rPr>
        <w:t xml:space="preserve"> 响应文件格式</w:t>
      </w:r>
    </w:p>
    <w:p w14:paraId="24E3F9DB">
      <w:pPr>
        <w:spacing w:before="156" w:beforeLines="50" w:after="156" w:afterLines="50" w:line="440" w:lineRule="exact"/>
        <w:ind w:left="2640" w:leftChars="1100"/>
        <w:rPr>
          <w:rFonts w:ascii="宋体" w:hAnsi="宋体"/>
          <w:szCs w:val="24"/>
        </w:rPr>
      </w:pPr>
      <w:r>
        <w:rPr>
          <w:rFonts w:hint="eastAsia" w:ascii="宋体" w:hAnsi="宋体"/>
          <w:szCs w:val="24"/>
        </w:rPr>
        <w:t xml:space="preserve">第三卷 </w:t>
      </w:r>
      <w:r>
        <w:rPr>
          <w:rFonts w:ascii="宋体" w:hAnsi="宋体"/>
          <w:szCs w:val="24"/>
        </w:rPr>
        <w:t xml:space="preserve">  </w:t>
      </w:r>
      <w:r>
        <w:rPr>
          <w:rFonts w:hint="eastAsia" w:ascii="宋体" w:hAnsi="宋体"/>
          <w:szCs w:val="24"/>
        </w:rPr>
        <w:t>评审方法</w:t>
      </w:r>
    </w:p>
    <w:p w14:paraId="15835473">
      <w:pPr>
        <w:spacing w:before="156" w:beforeLines="50" w:after="156" w:afterLines="50" w:line="440" w:lineRule="exact"/>
        <w:ind w:left="2640" w:leftChars="1100"/>
        <w:rPr>
          <w:rFonts w:ascii="宋体" w:hAnsi="宋体"/>
          <w:szCs w:val="24"/>
        </w:rPr>
      </w:pPr>
      <w:r>
        <w:rPr>
          <w:rFonts w:hint="eastAsia" w:ascii="宋体" w:hAnsi="宋体"/>
          <w:szCs w:val="24"/>
        </w:rPr>
        <w:t xml:space="preserve">第四卷 </w:t>
      </w:r>
      <w:r>
        <w:rPr>
          <w:rFonts w:ascii="宋体" w:hAnsi="宋体"/>
          <w:szCs w:val="24"/>
        </w:rPr>
        <w:t xml:space="preserve">  </w:t>
      </w:r>
      <w:r>
        <w:rPr>
          <w:rFonts w:hint="eastAsia" w:ascii="宋体" w:hAnsi="宋体"/>
          <w:szCs w:val="24"/>
        </w:rPr>
        <w:t>合同条款及格式</w:t>
      </w:r>
    </w:p>
    <w:p w14:paraId="291B6AAC">
      <w:pPr>
        <w:spacing w:before="156" w:beforeLines="50" w:after="156" w:afterLines="50" w:line="440" w:lineRule="exact"/>
        <w:ind w:left="2640" w:leftChars="1100"/>
        <w:rPr>
          <w:rFonts w:ascii="宋体" w:hAnsi="宋体"/>
          <w:szCs w:val="24"/>
        </w:rPr>
      </w:pPr>
      <w:r>
        <w:rPr>
          <w:rFonts w:hint="eastAsia" w:ascii="宋体" w:hAnsi="宋体"/>
          <w:szCs w:val="24"/>
        </w:rPr>
        <w:t xml:space="preserve">第五卷 </w:t>
      </w:r>
      <w:r>
        <w:rPr>
          <w:rFonts w:ascii="宋体" w:hAnsi="宋体"/>
          <w:szCs w:val="24"/>
        </w:rPr>
        <w:t xml:space="preserve">  </w:t>
      </w:r>
      <w:r>
        <w:rPr>
          <w:rFonts w:hint="eastAsia" w:ascii="宋体" w:hAnsi="宋体"/>
          <w:szCs w:val="24"/>
        </w:rPr>
        <w:t>采购需求</w:t>
      </w:r>
    </w:p>
    <w:p w14:paraId="6F91068D">
      <w:pPr>
        <w:spacing w:line="440" w:lineRule="exact"/>
        <w:ind w:left="3120" w:leftChars="1300"/>
        <w:rPr>
          <w:rFonts w:ascii="宋体" w:hAnsi="宋体"/>
          <w:szCs w:val="24"/>
        </w:rPr>
      </w:pPr>
    </w:p>
    <w:p w14:paraId="13259C0F">
      <w:pPr>
        <w:spacing w:after="312" w:afterLines="100" w:line="440" w:lineRule="exact"/>
        <w:jc w:val="center"/>
        <w:outlineLvl w:val="0"/>
        <w:rPr>
          <w:rFonts w:ascii="宋体" w:hAnsi="宋体"/>
          <w:b/>
          <w:bCs/>
          <w:sz w:val="32"/>
          <w:szCs w:val="24"/>
        </w:rPr>
      </w:pPr>
      <w:r>
        <w:rPr>
          <w:rFonts w:ascii="宋体" w:hAnsi="宋体"/>
          <w:szCs w:val="24"/>
        </w:rPr>
        <w:br w:type="page"/>
      </w:r>
      <w:r>
        <w:rPr>
          <w:rFonts w:hint="eastAsia" w:ascii="宋体" w:hAnsi="宋体"/>
          <w:b/>
          <w:bCs/>
          <w:sz w:val="32"/>
          <w:szCs w:val="24"/>
        </w:rPr>
        <w:t>第一卷 供应商须知</w:t>
      </w:r>
    </w:p>
    <w:tbl>
      <w:tblPr>
        <w:tblStyle w:val="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6"/>
        <w:gridCol w:w="1975"/>
        <w:gridCol w:w="5475"/>
      </w:tblGrid>
      <w:tr w14:paraId="573D99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846" w:type="dxa"/>
            <w:vAlign w:val="center"/>
          </w:tcPr>
          <w:p w14:paraId="6C966E11">
            <w:pPr>
              <w:spacing w:line="440" w:lineRule="exact"/>
              <w:jc w:val="center"/>
              <w:rPr>
                <w:rFonts w:ascii="宋体" w:hAnsi="宋体"/>
                <w:b/>
                <w:bCs/>
                <w:szCs w:val="24"/>
              </w:rPr>
            </w:pPr>
            <w:r>
              <w:rPr>
                <w:rFonts w:hint="eastAsia" w:ascii="宋体" w:hAnsi="宋体"/>
                <w:b/>
                <w:bCs/>
                <w:szCs w:val="24"/>
              </w:rPr>
              <w:t>序号</w:t>
            </w:r>
          </w:p>
        </w:tc>
        <w:tc>
          <w:tcPr>
            <w:tcW w:w="1975" w:type="dxa"/>
            <w:vAlign w:val="center"/>
          </w:tcPr>
          <w:p w14:paraId="45FDF106">
            <w:pPr>
              <w:spacing w:line="440" w:lineRule="exact"/>
              <w:jc w:val="center"/>
              <w:rPr>
                <w:rFonts w:ascii="宋体" w:hAnsi="宋体"/>
                <w:b/>
                <w:bCs/>
                <w:szCs w:val="24"/>
              </w:rPr>
            </w:pPr>
            <w:r>
              <w:rPr>
                <w:rFonts w:hint="eastAsia" w:ascii="宋体" w:hAnsi="宋体"/>
                <w:b/>
                <w:bCs/>
                <w:szCs w:val="24"/>
              </w:rPr>
              <w:t>名称</w:t>
            </w:r>
          </w:p>
        </w:tc>
        <w:tc>
          <w:tcPr>
            <w:tcW w:w="5475" w:type="dxa"/>
            <w:vAlign w:val="center"/>
          </w:tcPr>
          <w:p w14:paraId="55F2B1C7">
            <w:pPr>
              <w:spacing w:line="440" w:lineRule="exact"/>
              <w:jc w:val="center"/>
              <w:rPr>
                <w:rFonts w:ascii="宋体" w:hAnsi="宋体"/>
                <w:b/>
                <w:bCs/>
                <w:szCs w:val="24"/>
              </w:rPr>
            </w:pPr>
            <w:r>
              <w:rPr>
                <w:rFonts w:hint="eastAsia" w:ascii="宋体" w:hAnsi="宋体"/>
                <w:b/>
                <w:bCs/>
                <w:szCs w:val="24"/>
              </w:rPr>
              <w:t>内容</w:t>
            </w:r>
          </w:p>
        </w:tc>
      </w:tr>
      <w:tr w14:paraId="3D1D3E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4137E022">
            <w:pPr>
              <w:pStyle w:val="10"/>
              <w:numPr>
                <w:ilvl w:val="0"/>
                <w:numId w:val="2"/>
              </w:numPr>
              <w:spacing w:line="440" w:lineRule="exact"/>
              <w:ind w:firstLineChars="0"/>
              <w:jc w:val="center"/>
              <w:rPr>
                <w:rFonts w:ascii="宋体" w:hAnsi="宋体"/>
                <w:szCs w:val="24"/>
              </w:rPr>
            </w:pPr>
          </w:p>
        </w:tc>
        <w:tc>
          <w:tcPr>
            <w:tcW w:w="1975" w:type="dxa"/>
            <w:vAlign w:val="center"/>
          </w:tcPr>
          <w:p w14:paraId="4BFEAE5E">
            <w:pPr>
              <w:spacing w:line="440" w:lineRule="exact"/>
              <w:jc w:val="center"/>
              <w:rPr>
                <w:rFonts w:ascii="宋体" w:hAnsi="宋体"/>
                <w:szCs w:val="24"/>
              </w:rPr>
            </w:pPr>
            <w:r>
              <w:rPr>
                <w:rFonts w:hint="eastAsia" w:ascii="宋体" w:hAnsi="宋体"/>
                <w:szCs w:val="24"/>
              </w:rPr>
              <w:t>采购人</w:t>
            </w:r>
          </w:p>
        </w:tc>
        <w:tc>
          <w:tcPr>
            <w:tcW w:w="5475" w:type="dxa"/>
            <w:vAlign w:val="center"/>
          </w:tcPr>
          <w:p w14:paraId="735F7F05">
            <w:pPr>
              <w:spacing w:line="440" w:lineRule="exact"/>
              <w:rPr>
                <w:rFonts w:hint="default" w:ascii="宋体" w:hAnsi="宋体" w:eastAsia="宋体"/>
                <w:szCs w:val="24"/>
                <w:lang w:val="en-US" w:eastAsia="zh-CN"/>
              </w:rPr>
            </w:pPr>
            <w:r>
              <w:rPr>
                <w:rFonts w:hint="eastAsia" w:ascii="宋体" w:hAnsi="宋体"/>
                <w:szCs w:val="24"/>
              </w:rPr>
              <w:t>名称：</w:t>
            </w:r>
            <w:r>
              <w:rPr>
                <w:rFonts w:hint="eastAsia" w:ascii="宋体" w:hAnsi="宋体"/>
                <w:color w:val="0000FF"/>
                <w:lang w:val="en-US" w:eastAsia="zh-CN"/>
              </w:rPr>
              <w:t>华润雪花啤酒（河北）有限公司</w:t>
            </w:r>
          </w:p>
          <w:p w14:paraId="28AB15D9">
            <w:pPr>
              <w:spacing w:line="440" w:lineRule="exact"/>
              <w:rPr>
                <w:rFonts w:hint="default" w:ascii="宋体" w:hAnsi="宋体" w:eastAsia="宋体"/>
                <w:szCs w:val="24"/>
                <w:lang w:val="en-US" w:eastAsia="zh-CN"/>
              </w:rPr>
            </w:pPr>
            <w:r>
              <w:rPr>
                <w:rFonts w:hint="eastAsia" w:ascii="宋体" w:hAnsi="宋体"/>
                <w:szCs w:val="24"/>
              </w:rPr>
              <w:t>地址：</w:t>
            </w:r>
            <w:r>
              <w:rPr>
                <w:rFonts w:hint="eastAsia" w:ascii="宋体" w:hAnsi="宋体"/>
                <w:color w:val="0000FF"/>
                <w:szCs w:val="24"/>
                <w:lang w:val="en-US" w:eastAsia="zh-CN"/>
              </w:rPr>
              <w:t>河北省廊坊市三河市燕郊开发区福成路96号</w:t>
            </w:r>
          </w:p>
          <w:p w14:paraId="23536089">
            <w:pPr>
              <w:spacing w:line="440" w:lineRule="exact"/>
              <w:rPr>
                <w:rFonts w:hint="eastAsia" w:ascii="宋体" w:hAnsi="宋体" w:eastAsia="宋体"/>
                <w:szCs w:val="24"/>
                <w:lang w:eastAsia="zh-CN"/>
              </w:rPr>
            </w:pPr>
            <w:r>
              <w:rPr>
                <w:rFonts w:hint="eastAsia" w:ascii="宋体" w:hAnsi="宋体"/>
                <w:szCs w:val="24"/>
              </w:rPr>
              <w:t>联系人：</w:t>
            </w:r>
            <w:r>
              <w:rPr>
                <w:rFonts w:hint="eastAsia" w:ascii="宋体" w:hAnsi="宋体"/>
                <w:color w:val="0000FF"/>
                <w:szCs w:val="24"/>
                <w:lang w:val="en-US" w:eastAsia="zh-CN"/>
              </w:rPr>
              <w:t>李岳</w:t>
            </w:r>
          </w:p>
          <w:p w14:paraId="189CA9A4">
            <w:pPr>
              <w:spacing w:line="440" w:lineRule="exact"/>
              <w:rPr>
                <w:rFonts w:hint="eastAsia" w:ascii="宋体" w:hAnsi="宋体"/>
                <w:color w:val="0000FF"/>
                <w:szCs w:val="24"/>
                <w:lang w:val="en-US" w:eastAsia="zh-CN"/>
              </w:rPr>
            </w:pPr>
            <w:r>
              <w:rPr>
                <w:rFonts w:hint="eastAsia" w:ascii="宋体" w:hAnsi="宋体"/>
                <w:szCs w:val="24"/>
              </w:rPr>
              <w:t>电话：</w:t>
            </w:r>
            <w:r>
              <w:rPr>
                <w:rFonts w:hint="eastAsia" w:ascii="宋体" w:hAnsi="宋体"/>
                <w:color w:val="0000FF"/>
                <w:szCs w:val="24"/>
                <w:lang w:val="en-US" w:eastAsia="zh-CN"/>
              </w:rPr>
              <w:t>17503168129</w:t>
            </w:r>
          </w:p>
          <w:p w14:paraId="4E1CE715">
            <w:pPr>
              <w:pStyle w:val="15"/>
              <w:keepNext w:val="0"/>
              <w:keepLines w:val="0"/>
              <w:pageBreakBefore w:val="0"/>
              <w:widowControl w:val="0"/>
              <w:numPr>
                <w:numId w:val="0"/>
              </w:numPr>
              <w:kinsoku/>
              <w:wordWrap/>
              <w:overflowPunct/>
              <w:topLinePunct w:val="0"/>
              <w:autoSpaceDE/>
              <w:autoSpaceDN/>
              <w:bidi w:val="0"/>
              <w:adjustRightInd w:val="0"/>
              <w:snapToGrid/>
              <w:spacing w:line="480" w:lineRule="atLeast"/>
              <w:textAlignment w:val="baseline"/>
              <w:rPr>
                <w:rFonts w:hint="eastAsia" w:ascii="宋体" w:hAnsi="宋体"/>
                <w:color w:val="auto"/>
                <w:sz w:val="24"/>
                <w:lang w:val="en-US" w:eastAsia="zh-CN"/>
              </w:rPr>
            </w:pPr>
            <w:r>
              <w:rPr>
                <w:rFonts w:hint="eastAsia" w:ascii="宋体" w:hAnsi="宋体"/>
                <w:color w:val="auto"/>
                <w:sz w:val="24"/>
                <w:lang w:val="en-US" w:eastAsia="zh-CN"/>
              </w:rPr>
              <w:t>需求对接人：辛一惠，18733667992</w:t>
            </w:r>
          </w:p>
          <w:p w14:paraId="1B7CCAF2">
            <w:pPr>
              <w:spacing w:line="440" w:lineRule="exact"/>
              <w:rPr>
                <w:rFonts w:hint="default" w:ascii="宋体" w:hAnsi="宋体" w:eastAsia="宋体"/>
                <w:szCs w:val="24"/>
                <w:lang w:val="en-US" w:eastAsia="zh-CN"/>
              </w:rPr>
            </w:pPr>
            <w:r>
              <w:rPr>
                <w:rFonts w:hint="eastAsia" w:ascii="宋体" w:hAnsi="宋体"/>
                <w:szCs w:val="24"/>
              </w:rPr>
              <w:t>邮箱：</w:t>
            </w:r>
            <w:r>
              <w:rPr>
                <w:rFonts w:hint="eastAsia" w:ascii="宋体" w:hAnsi="宋体"/>
                <w:color w:val="0000FF"/>
                <w:szCs w:val="24"/>
                <w:lang w:val="en-US" w:eastAsia="zh-CN"/>
              </w:rPr>
              <w:t>liyue389@crb.cn</w:t>
            </w:r>
          </w:p>
        </w:tc>
      </w:tr>
      <w:tr w14:paraId="1B58AD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73A65D00">
            <w:pPr>
              <w:pStyle w:val="10"/>
              <w:numPr>
                <w:ilvl w:val="0"/>
                <w:numId w:val="2"/>
              </w:numPr>
              <w:spacing w:line="440" w:lineRule="exact"/>
              <w:ind w:firstLineChars="0"/>
              <w:jc w:val="center"/>
              <w:rPr>
                <w:rFonts w:ascii="宋体" w:hAnsi="宋体"/>
                <w:szCs w:val="24"/>
              </w:rPr>
            </w:pPr>
          </w:p>
        </w:tc>
        <w:tc>
          <w:tcPr>
            <w:tcW w:w="1975" w:type="dxa"/>
            <w:shd w:val="clear" w:color="auto" w:fill="auto"/>
            <w:vAlign w:val="center"/>
          </w:tcPr>
          <w:p w14:paraId="37954CCF">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szCs w:val="24"/>
              </w:rPr>
              <w:t>采购范围</w:t>
            </w:r>
          </w:p>
        </w:tc>
        <w:tc>
          <w:tcPr>
            <w:tcW w:w="5475" w:type="dxa"/>
            <w:shd w:val="clear" w:color="auto" w:fill="auto"/>
            <w:vAlign w:val="center"/>
          </w:tcPr>
          <w:p w14:paraId="1DE82571">
            <w:pPr>
              <w:spacing w:line="440" w:lineRule="exact"/>
              <w:rPr>
                <w:rFonts w:hint="eastAsia" w:ascii="宋体" w:hAnsi="宋体" w:eastAsia="宋体" w:cs="Times New Roman"/>
                <w:kern w:val="2"/>
                <w:sz w:val="24"/>
                <w:szCs w:val="24"/>
                <w:lang w:val="en-US" w:eastAsia="zh-CN" w:bidi="ar-SA"/>
              </w:rPr>
            </w:pPr>
            <w:r>
              <w:rPr>
                <w:rFonts w:hint="eastAsia" w:ascii="宋体" w:hAnsi="宋体"/>
                <w:szCs w:val="24"/>
              </w:rPr>
              <w:t>详见第五卷采购需求</w:t>
            </w:r>
          </w:p>
        </w:tc>
      </w:tr>
      <w:tr w14:paraId="3164C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AEB3B57">
            <w:pPr>
              <w:pStyle w:val="10"/>
              <w:numPr>
                <w:ilvl w:val="0"/>
                <w:numId w:val="2"/>
              </w:numPr>
              <w:spacing w:line="440" w:lineRule="exact"/>
              <w:ind w:firstLineChars="0"/>
              <w:jc w:val="center"/>
              <w:rPr>
                <w:rFonts w:ascii="宋体" w:hAnsi="宋体"/>
                <w:szCs w:val="24"/>
              </w:rPr>
            </w:pPr>
          </w:p>
        </w:tc>
        <w:tc>
          <w:tcPr>
            <w:tcW w:w="1975" w:type="dxa"/>
            <w:vAlign w:val="center"/>
          </w:tcPr>
          <w:p w14:paraId="3FA685F8">
            <w:pPr>
              <w:spacing w:line="440" w:lineRule="exact"/>
              <w:jc w:val="center"/>
              <w:rPr>
                <w:rFonts w:ascii="宋体" w:hAnsi="宋体"/>
                <w:szCs w:val="24"/>
              </w:rPr>
            </w:pPr>
            <w:r>
              <w:rPr>
                <w:rFonts w:hint="eastAsia" w:ascii="宋体" w:hAnsi="宋体"/>
                <w:szCs w:val="24"/>
              </w:rPr>
              <w:t>采购方式</w:t>
            </w:r>
          </w:p>
        </w:tc>
        <w:tc>
          <w:tcPr>
            <w:tcW w:w="5475" w:type="dxa"/>
            <w:vAlign w:val="center"/>
          </w:tcPr>
          <w:p w14:paraId="2E7DDC94">
            <w:pPr>
              <w:rPr>
                <w:rFonts w:eastAsia="MS Song"/>
                <w:kern w:val="0"/>
                <w:sz w:val="22"/>
                <w:szCs w:val="22"/>
              </w:rPr>
            </w:pPr>
            <w:sdt>
              <w:sdtPr>
                <w:rPr>
                  <w:rFonts w:hint="eastAsia" w:ascii="宋体" w:hAnsi="宋体"/>
                  <w:szCs w:val="24"/>
                </w:rPr>
                <w:id w:val="1312294660"/>
                <w14:checkbox>
                  <w14:checked w14:val="1"/>
                  <w14:checkedState w14:val="25A0" w14:font="等线"/>
                  <w14:uncheckedState w14:val="2610" w14:font="MS Gothic"/>
                </w14:checkbox>
              </w:sdtPr>
              <w:sdtEndPr>
                <w:rPr>
                  <w:rFonts w:hint="eastAsia" w:ascii="宋体" w:hAnsi="宋体"/>
                  <w:szCs w:val="24"/>
                </w:rPr>
              </w:sdtEndPr>
              <w:sdtContent>
                <w:r>
                  <w:rPr>
                    <w:rFonts w:hint="eastAsia" w:ascii="等线" w:hAnsi="等线" w:eastAsia="MS Gothic" w:cs="Times New Roman"/>
                    <w:kern w:val="2"/>
                    <w:sz w:val="24"/>
                    <w:szCs w:val="24"/>
                    <w:lang w:val="en-US" w:eastAsia="zh-CN" w:bidi="ar-SA"/>
                  </w:rPr>
                  <w:t>■</w:t>
                </w:r>
              </w:sdtContent>
            </w:sdt>
            <w:r>
              <w:rPr>
                <w:rFonts w:hint="eastAsia" w:ascii="宋体" w:hAnsi="宋体"/>
                <w:szCs w:val="24"/>
                <w:lang w:val="en-US" w:eastAsia="zh-CN"/>
              </w:rPr>
              <w:t>公开询比</w:t>
            </w:r>
            <w:r>
              <w:rPr>
                <w:rFonts w:hint="eastAsia" w:ascii="宋体" w:hAnsi="宋体"/>
                <w:szCs w:val="24"/>
                <w:lang w:eastAsia="zh-CN"/>
              </w:rPr>
              <w:t>；</w:t>
            </w:r>
          </w:p>
        </w:tc>
      </w:tr>
      <w:tr w14:paraId="2305F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A5F7435">
            <w:pPr>
              <w:pStyle w:val="10"/>
              <w:numPr>
                <w:ilvl w:val="0"/>
                <w:numId w:val="2"/>
              </w:numPr>
              <w:spacing w:line="440" w:lineRule="exact"/>
              <w:ind w:firstLineChars="0"/>
              <w:jc w:val="center"/>
              <w:rPr>
                <w:rFonts w:ascii="宋体" w:hAnsi="宋体"/>
                <w:szCs w:val="24"/>
              </w:rPr>
            </w:pPr>
          </w:p>
        </w:tc>
        <w:tc>
          <w:tcPr>
            <w:tcW w:w="1975" w:type="dxa"/>
            <w:vAlign w:val="center"/>
          </w:tcPr>
          <w:p w14:paraId="5A1DAEFC">
            <w:pPr>
              <w:spacing w:line="440" w:lineRule="exact"/>
              <w:jc w:val="center"/>
              <w:rPr>
                <w:rFonts w:ascii="宋体" w:hAnsi="宋体"/>
                <w:szCs w:val="24"/>
              </w:rPr>
            </w:pPr>
            <w:r>
              <w:rPr>
                <w:rFonts w:hint="eastAsia" w:ascii="宋体" w:hAnsi="宋体"/>
                <w:szCs w:val="24"/>
              </w:rPr>
              <w:t>评审办法</w:t>
            </w:r>
          </w:p>
        </w:tc>
        <w:tc>
          <w:tcPr>
            <w:tcW w:w="5475" w:type="dxa"/>
            <w:vAlign w:val="center"/>
          </w:tcPr>
          <w:p w14:paraId="2FBEA09F">
            <w:pPr>
              <w:spacing w:line="440" w:lineRule="exact"/>
              <w:rPr>
                <w:rFonts w:hint="default" w:ascii="宋体" w:hAnsi="宋体" w:eastAsia="宋体"/>
                <w:szCs w:val="24"/>
                <w:lang w:val="en-US" w:eastAsia="zh-CN"/>
              </w:rPr>
            </w:pPr>
            <w:sdt>
              <w:sdtPr>
                <w:rPr>
                  <w:rFonts w:hint="eastAsia" w:ascii="宋体" w:hAnsi="宋体"/>
                  <w:bCs/>
                  <w:iCs/>
                  <w:color w:val="auto"/>
                  <w:sz w:val="24"/>
                  <w:szCs w:val="24"/>
                </w:rPr>
                <w:id w:val="147463280"/>
                <w14:checkbox>
                  <w14:checked w14:val="1"/>
                  <w14:checkedState w14:val="25A0" w14:font="等线"/>
                  <w14:uncheckedState w14:val="2610" w14:font="MS Gothic"/>
                </w14:checkbox>
              </w:sdtPr>
              <w:sdtEndPr>
                <w:rPr>
                  <w:rFonts w:hint="eastAsia" w:ascii="宋体" w:hAnsi="宋体"/>
                  <w:bCs/>
                  <w:iCs/>
                  <w:color w:val="auto"/>
                  <w:sz w:val="24"/>
                  <w:szCs w:val="24"/>
                </w:rPr>
              </w:sdtEndPr>
              <w:sdtContent>
                <w:r>
                  <w:rPr>
                    <w:rFonts w:hint="eastAsia" w:ascii="等线" w:hAnsi="等线" w:eastAsia="等线" w:cs="Times New Roman"/>
                    <w:bCs/>
                    <w:iCs/>
                    <w:color w:val="auto"/>
                    <w:kern w:val="2"/>
                    <w:sz w:val="24"/>
                    <w:szCs w:val="24"/>
                    <w:lang w:val="en-US" w:eastAsia="zh-CN" w:bidi="ar-SA"/>
                  </w:rPr>
                  <w:t>■</w:t>
                </w:r>
              </w:sdtContent>
            </w:sdt>
            <w:r>
              <w:rPr>
                <w:rFonts w:hint="eastAsia" w:ascii="宋体" w:hAnsi="宋体"/>
                <w:szCs w:val="24"/>
              </w:rPr>
              <w:t>最低价评审法</w:t>
            </w:r>
            <w:r>
              <w:rPr>
                <w:rFonts w:hint="eastAsia" w:ascii="宋体" w:hAnsi="宋体"/>
                <w:szCs w:val="24"/>
                <w:lang w:eastAsia="zh-CN"/>
              </w:rPr>
              <w:t>；</w:t>
            </w:r>
          </w:p>
        </w:tc>
      </w:tr>
      <w:tr w14:paraId="5CB3AE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814CF11">
            <w:pPr>
              <w:pStyle w:val="10"/>
              <w:numPr>
                <w:ilvl w:val="0"/>
                <w:numId w:val="2"/>
              </w:numPr>
              <w:spacing w:line="440" w:lineRule="exact"/>
              <w:ind w:firstLineChars="0"/>
              <w:jc w:val="center"/>
              <w:rPr>
                <w:rFonts w:ascii="宋体" w:hAnsi="宋体"/>
                <w:szCs w:val="24"/>
              </w:rPr>
            </w:pPr>
          </w:p>
        </w:tc>
        <w:tc>
          <w:tcPr>
            <w:tcW w:w="1975" w:type="dxa"/>
            <w:vAlign w:val="center"/>
          </w:tcPr>
          <w:p w14:paraId="30A82AAD">
            <w:pPr>
              <w:spacing w:line="440" w:lineRule="exact"/>
              <w:jc w:val="center"/>
              <w:rPr>
                <w:rFonts w:ascii="宋体" w:hAnsi="宋体"/>
                <w:szCs w:val="24"/>
              </w:rPr>
            </w:pPr>
            <w:r>
              <w:rPr>
                <w:rFonts w:hint="eastAsia" w:ascii="宋体" w:hAnsi="宋体"/>
                <w:szCs w:val="24"/>
              </w:rPr>
              <w:t>服务期限</w:t>
            </w:r>
          </w:p>
        </w:tc>
        <w:tc>
          <w:tcPr>
            <w:tcW w:w="5475" w:type="dxa"/>
            <w:vAlign w:val="center"/>
          </w:tcPr>
          <w:p w14:paraId="61ED46F7">
            <w:pPr>
              <w:pStyle w:val="15"/>
              <w:keepNext w:val="0"/>
              <w:keepLines w:val="0"/>
              <w:pageBreakBefore w:val="0"/>
              <w:widowControl w:val="0"/>
              <w:numPr>
                <w:numId w:val="0"/>
              </w:numPr>
              <w:kinsoku/>
              <w:wordWrap/>
              <w:overflowPunct/>
              <w:topLinePunct w:val="0"/>
              <w:autoSpaceDE/>
              <w:autoSpaceDN/>
              <w:bidi w:val="0"/>
              <w:adjustRightInd w:val="0"/>
              <w:snapToGrid/>
              <w:spacing w:line="480" w:lineRule="atLeast"/>
              <w:jc w:val="left"/>
              <w:textAlignment w:val="baseline"/>
              <w:rPr>
                <w:rFonts w:ascii="宋体" w:hAnsi="宋体"/>
                <w:szCs w:val="24"/>
              </w:rPr>
            </w:pPr>
            <w:r>
              <w:rPr>
                <w:rFonts w:hint="eastAsia" w:asciiTheme="minorEastAsia" w:hAnsiTheme="minorEastAsia" w:eastAsiaTheme="minorEastAsia" w:cstheme="minorEastAsia"/>
                <w:color w:val="333333"/>
                <w:sz w:val="24"/>
                <w:szCs w:val="24"/>
                <w:shd w:val="clear" w:color="auto" w:fill="FFFFFF"/>
              </w:rPr>
              <w:t>自签订之日起</w:t>
            </w:r>
            <w:r>
              <w:rPr>
                <w:rFonts w:hint="eastAsia" w:asciiTheme="minorEastAsia" w:hAnsiTheme="minorEastAsia" w:eastAsiaTheme="minorEastAsia" w:cstheme="minorEastAsia"/>
                <w:color w:val="333333"/>
                <w:sz w:val="24"/>
                <w:szCs w:val="24"/>
                <w:shd w:val="clear" w:color="auto" w:fill="FFFFFF"/>
                <w:lang w:val="en-US" w:eastAsia="zh-CN"/>
              </w:rPr>
              <w:t>至2027年5月15日止</w:t>
            </w:r>
          </w:p>
        </w:tc>
      </w:tr>
      <w:tr w14:paraId="1247EB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2689733">
            <w:pPr>
              <w:pStyle w:val="10"/>
              <w:numPr>
                <w:ilvl w:val="0"/>
                <w:numId w:val="2"/>
              </w:numPr>
              <w:spacing w:line="440" w:lineRule="exact"/>
              <w:ind w:firstLineChars="0"/>
              <w:jc w:val="center"/>
              <w:rPr>
                <w:rFonts w:ascii="宋体" w:hAnsi="宋体"/>
                <w:szCs w:val="24"/>
              </w:rPr>
            </w:pPr>
          </w:p>
        </w:tc>
        <w:tc>
          <w:tcPr>
            <w:tcW w:w="1975" w:type="dxa"/>
            <w:vAlign w:val="center"/>
          </w:tcPr>
          <w:p w14:paraId="5A491B36">
            <w:pPr>
              <w:spacing w:line="440" w:lineRule="exact"/>
              <w:jc w:val="center"/>
              <w:rPr>
                <w:rFonts w:ascii="宋体" w:hAnsi="宋体"/>
                <w:szCs w:val="24"/>
              </w:rPr>
            </w:pPr>
            <w:r>
              <w:rPr>
                <w:rFonts w:hint="eastAsia" w:ascii="宋体" w:hAnsi="宋体"/>
                <w:szCs w:val="24"/>
              </w:rPr>
              <w:t>计价模式</w:t>
            </w:r>
          </w:p>
        </w:tc>
        <w:tc>
          <w:tcPr>
            <w:tcW w:w="5475" w:type="dxa"/>
            <w:vAlign w:val="center"/>
          </w:tcPr>
          <w:p w14:paraId="2E47630F">
            <w:pPr>
              <w:spacing w:line="440" w:lineRule="exact"/>
              <w:rPr>
                <w:rFonts w:hint="default" w:ascii="宋体" w:hAnsi="宋体" w:eastAsia="宋体"/>
                <w:szCs w:val="24"/>
                <w:lang w:val="en-US" w:eastAsia="zh-CN"/>
              </w:rPr>
            </w:pPr>
            <w:sdt>
              <w:sdtPr>
                <w:rPr>
                  <w:rFonts w:hint="eastAsia" w:ascii="宋体" w:hAnsi="宋体"/>
                  <w:bCs/>
                  <w:iCs/>
                  <w:color w:val="auto"/>
                  <w:sz w:val="24"/>
                  <w:szCs w:val="24"/>
                </w:rPr>
                <w:id w:val="147462691"/>
                <w14:checkbox>
                  <w14:checked w14:val="1"/>
                  <w14:checkedState w14:val="25A0" w14:font="等线"/>
                  <w14:uncheckedState w14:val="2610" w14:font="MS Gothic"/>
                </w14:checkbox>
              </w:sdtPr>
              <w:sdtEndPr>
                <w:rPr>
                  <w:rFonts w:hint="eastAsia" w:ascii="宋体" w:hAnsi="宋体"/>
                  <w:bCs/>
                  <w:iCs/>
                  <w:color w:val="auto"/>
                  <w:sz w:val="24"/>
                  <w:szCs w:val="24"/>
                </w:rPr>
              </w:sdtEndPr>
              <w:sdtContent>
                <w:r>
                  <w:rPr>
                    <w:rFonts w:hint="eastAsia" w:ascii="等线" w:hAnsi="等线" w:eastAsia="等线" w:cs="Times New Roman"/>
                    <w:bCs/>
                    <w:iCs/>
                    <w:color w:val="auto"/>
                    <w:kern w:val="2"/>
                    <w:sz w:val="24"/>
                    <w:szCs w:val="24"/>
                    <w:lang w:val="en-US" w:eastAsia="zh-CN" w:bidi="ar-SA"/>
                  </w:rPr>
                  <w:t>■</w:t>
                </w:r>
              </w:sdtContent>
            </w:sdt>
            <w:r>
              <w:rPr>
                <w:rFonts w:hint="eastAsia" w:ascii="宋体" w:hAnsi="宋体"/>
                <w:bCs/>
                <w:iCs/>
                <w:color w:val="auto"/>
                <w:sz w:val="24"/>
                <w:szCs w:val="24"/>
                <w:lang w:val="en-US" w:eastAsia="zh-CN"/>
              </w:rPr>
              <w:t>总价模式</w:t>
            </w:r>
          </w:p>
        </w:tc>
      </w:tr>
      <w:tr w14:paraId="0D867D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B7C10DF">
            <w:pPr>
              <w:pStyle w:val="10"/>
              <w:numPr>
                <w:ilvl w:val="0"/>
                <w:numId w:val="2"/>
              </w:numPr>
              <w:spacing w:line="440" w:lineRule="exact"/>
              <w:ind w:firstLineChars="0"/>
              <w:jc w:val="center"/>
              <w:rPr>
                <w:rFonts w:ascii="宋体" w:hAnsi="宋体"/>
                <w:szCs w:val="24"/>
              </w:rPr>
            </w:pPr>
          </w:p>
        </w:tc>
        <w:tc>
          <w:tcPr>
            <w:tcW w:w="1975" w:type="dxa"/>
            <w:vAlign w:val="center"/>
          </w:tcPr>
          <w:p w14:paraId="159EC517">
            <w:pPr>
              <w:spacing w:line="440" w:lineRule="exact"/>
              <w:jc w:val="center"/>
              <w:rPr>
                <w:rFonts w:ascii="宋体" w:hAnsi="宋体"/>
                <w:szCs w:val="24"/>
              </w:rPr>
            </w:pPr>
            <w:r>
              <w:rPr>
                <w:rFonts w:hint="eastAsia" w:ascii="宋体" w:hAnsi="宋体"/>
                <w:szCs w:val="24"/>
              </w:rPr>
              <w:t>付款办法</w:t>
            </w:r>
          </w:p>
        </w:tc>
        <w:tc>
          <w:tcPr>
            <w:tcW w:w="5475" w:type="dxa"/>
            <w:vAlign w:val="center"/>
          </w:tcPr>
          <w:p w14:paraId="2C0F5560">
            <w:pPr>
              <w:pStyle w:val="15"/>
              <w:keepNext w:val="0"/>
              <w:keepLines w:val="0"/>
              <w:pageBreakBefore w:val="0"/>
              <w:widowControl w:val="0"/>
              <w:numPr>
                <w:ilvl w:val="0"/>
                <w:numId w:val="3"/>
              </w:numPr>
              <w:kinsoku/>
              <w:wordWrap/>
              <w:overflowPunct/>
              <w:topLinePunct w:val="0"/>
              <w:autoSpaceDE/>
              <w:autoSpaceDN/>
              <w:bidi w:val="0"/>
              <w:adjustRightInd w:val="0"/>
              <w:snapToGrid/>
              <w:spacing w:line="480" w:lineRule="atLeast"/>
              <w:ind w:left="0" w:firstLine="480" w:firstLineChars="200"/>
              <w:jc w:val="left"/>
              <w:textAlignment w:val="baseline"/>
              <w:rPr>
                <w:rFonts w:hint="default" w:ascii="宋体" w:hAnsi="宋体"/>
                <w:szCs w:val="24"/>
                <w:lang w:val="en-US"/>
              </w:rPr>
            </w:pPr>
            <w:r>
              <w:rPr>
                <w:rFonts w:hint="eastAsia" w:asciiTheme="minorEastAsia" w:hAnsiTheme="minorEastAsia" w:eastAsiaTheme="minorEastAsia" w:cstheme="minorEastAsia"/>
                <w:sz w:val="24"/>
                <w:szCs w:val="24"/>
                <w:highlight w:val="none"/>
                <w:lang w:val="en-US" w:eastAsia="zh-CN"/>
              </w:rPr>
              <w:t>服务费以转账形式分两次支付（每六个月一次），服务方完成作业服务后，向公司提供增值税专用发票，公司在收到发票确定无误后，30 个工作日内向乙方支付上半年（六个实际月）价款。若遇支付日为法定节假日或财务结账日（每月 1-3 日），则顺延至下一工作日支付。</w:t>
            </w:r>
          </w:p>
          <w:p w14:paraId="36225285">
            <w:pPr>
              <w:pStyle w:val="15"/>
              <w:keepNext w:val="0"/>
              <w:keepLines w:val="0"/>
              <w:pageBreakBefore w:val="0"/>
              <w:widowControl w:val="0"/>
              <w:numPr>
                <w:ilvl w:val="0"/>
                <w:numId w:val="3"/>
              </w:numPr>
              <w:kinsoku/>
              <w:wordWrap/>
              <w:overflowPunct/>
              <w:topLinePunct w:val="0"/>
              <w:autoSpaceDE/>
              <w:autoSpaceDN/>
              <w:bidi w:val="0"/>
              <w:adjustRightInd w:val="0"/>
              <w:snapToGrid/>
              <w:spacing w:line="480" w:lineRule="atLeast"/>
              <w:ind w:left="0" w:firstLine="480" w:firstLineChars="200"/>
              <w:jc w:val="left"/>
              <w:textAlignment w:val="baseline"/>
              <w:rPr>
                <w:rFonts w:hint="default" w:ascii="宋体" w:hAnsi="宋体"/>
                <w:szCs w:val="24"/>
                <w:lang w:val="en-US"/>
              </w:rPr>
            </w:pPr>
            <w:r>
              <w:rPr>
                <w:rFonts w:hint="eastAsia" w:asciiTheme="minorEastAsia" w:hAnsiTheme="minorEastAsia" w:eastAsiaTheme="minorEastAsia" w:cstheme="minorEastAsia"/>
                <w:bCs/>
                <w:sz w:val="24"/>
                <w:szCs w:val="24"/>
              </w:rPr>
              <w:t>发票如遇国家税率调整，不含税金额不变，含税金额按新税率计算相应调整。</w:t>
            </w:r>
          </w:p>
        </w:tc>
      </w:tr>
      <w:tr w14:paraId="7E9B95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83764DC">
            <w:pPr>
              <w:pStyle w:val="10"/>
              <w:numPr>
                <w:ilvl w:val="0"/>
                <w:numId w:val="2"/>
              </w:numPr>
              <w:spacing w:line="440" w:lineRule="exact"/>
              <w:ind w:firstLineChars="0"/>
              <w:jc w:val="center"/>
              <w:rPr>
                <w:rFonts w:ascii="宋体" w:hAnsi="宋体"/>
                <w:szCs w:val="24"/>
              </w:rPr>
            </w:pPr>
          </w:p>
        </w:tc>
        <w:tc>
          <w:tcPr>
            <w:tcW w:w="1975" w:type="dxa"/>
            <w:vAlign w:val="center"/>
          </w:tcPr>
          <w:p w14:paraId="3561E0E2">
            <w:pPr>
              <w:spacing w:line="440" w:lineRule="exact"/>
              <w:jc w:val="center"/>
              <w:rPr>
                <w:rFonts w:ascii="宋体" w:hAnsi="宋体"/>
                <w:szCs w:val="24"/>
              </w:rPr>
            </w:pPr>
            <w:r>
              <w:rPr>
                <w:rFonts w:hint="eastAsia" w:ascii="宋体" w:hAnsi="宋体"/>
                <w:szCs w:val="24"/>
              </w:rPr>
              <w:t>供应商资格要求</w:t>
            </w:r>
          </w:p>
        </w:tc>
        <w:tc>
          <w:tcPr>
            <w:tcW w:w="5475" w:type="dxa"/>
            <w:vAlign w:val="center"/>
          </w:tcPr>
          <w:p w14:paraId="7E5CE155">
            <w:pPr>
              <w:pStyle w:val="10"/>
              <w:numPr>
                <w:ilvl w:val="0"/>
                <w:numId w:val="0"/>
              </w:numPr>
              <w:tabs>
                <w:tab w:val="left" w:pos="993"/>
                <w:tab w:val="left" w:pos="1418"/>
              </w:tabs>
              <w:spacing w:line="440" w:lineRule="exact"/>
              <w:ind w:left="0" w:leftChars="0" w:firstLine="420" w:firstLineChars="0"/>
              <w:rPr>
                <w:rFonts w:hint="eastAsia" w:asciiTheme="minorEastAsia" w:hAnsiTheme="minorEastAsia" w:eastAsiaTheme="minorEastAsia" w:cstheme="minorEastAsia"/>
                <w:b w:val="0"/>
                <w:bCs w:val="0"/>
                <w:sz w:val="24"/>
                <w:szCs w:val="24"/>
              </w:rPr>
            </w:pPr>
            <w:r>
              <w:rPr>
                <w:rFonts w:hint="eastAsia" w:ascii="Times New Roman" w:hAnsi="Times New Roman" w:cs="Times New Roman" w:eastAsiaTheme="minorEastAsia"/>
                <w:b w:val="0"/>
                <w:bCs w:val="0"/>
                <w:kern w:val="2"/>
                <w:sz w:val="24"/>
                <w:szCs w:val="24"/>
                <w:lang w:val="en-US" w:eastAsia="zh-CN" w:bidi="ar-SA"/>
              </w:rPr>
              <w:t>（一）</w:t>
            </w:r>
            <w:r>
              <w:rPr>
                <w:rFonts w:hint="eastAsia" w:asciiTheme="minorEastAsia" w:hAnsiTheme="minorEastAsia" w:eastAsiaTheme="minorEastAsia" w:cstheme="minorEastAsia"/>
                <w:b w:val="0"/>
                <w:bCs w:val="0"/>
                <w:sz w:val="24"/>
                <w:szCs w:val="24"/>
                <w:lang w:val="en-US" w:eastAsia="zh-CN"/>
              </w:rPr>
              <w:t>具</w:t>
            </w:r>
            <w:r>
              <w:rPr>
                <w:rFonts w:hint="eastAsia" w:asciiTheme="minorEastAsia" w:hAnsiTheme="minorEastAsia" w:eastAsiaTheme="minorEastAsia" w:cstheme="minorEastAsia"/>
                <w:b w:val="0"/>
                <w:bCs w:val="0"/>
                <w:sz w:val="24"/>
                <w:szCs w:val="24"/>
              </w:rPr>
              <w:t>备独立法人资格或经总公司授权的分公司，需提供营业执照</w:t>
            </w:r>
            <w:r>
              <w:rPr>
                <w:rFonts w:hint="eastAsia" w:asciiTheme="minorEastAsia" w:hAnsiTheme="minorEastAsia" w:eastAsiaTheme="minorEastAsia" w:cstheme="minorEastAsia"/>
                <w:b w:val="0"/>
                <w:bCs w:val="0"/>
                <w:sz w:val="24"/>
                <w:szCs w:val="24"/>
                <w:lang w:val="en-US" w:eastAsia="zh-CN"/>
              </w:rPr>
              <w:t>及授权书（如需）</w:t>
            </w:r>
            <w:r>
              <w:rPr>
                <w:rFonts w:hint="eastAsia" w:asciiTheme="minorEastAsia" w:hAnsiTheme="minorEastAsia" w:eastAsiaTheme="minorEastAsia" w:cstheme="minorEastAsia"/>
                <w:b w:val="0"/>
                <w:bCs w:val="0"/>
                <w:sz w:val="24"/>
                <w:szCs w:val="24"/>
              </w:rPr>
              <w:t>。</w:t>
            </w:r>
          </w:p>
          <w:p w14:paraId="465C334A">
            <w:pPr>
              <w:spacing w:line="440" w:lineRule="exact"/>
              <w:ind w:firstLine="480" w:firstLineChars="200"/>
              <w:rPr>
                <w:rFonts w:hint="eastAsia" w:asciiTheme="minorEastAsia" w:hAnsiTheme="minorEastAsia" w:eastAsiaTheme="minorEastAsia" w:cstheme="minorEastAsia"/>
                <w:b w:val="0"/>
                <w:bCs w:val="0"/>
                <w:color w:val="auto"/>
                <w:sz w:val="24"/>
                <w:szCs w:val="24"/>
              </w:rPr>
            </w:pPr>
            <w:r>
              <w:rPr>
                <w:rFonts w:hint="eastAsia" w:ascii="Times New Roman" w:hAnsi="Times New Roman" w:cs="Times New Roman" w:eastAsiaTheme="minorEastAsia"/>
                <w:b w:val="0"/>
                <w:bCs w:val="0"/>
                <w:color w:val="auto"/>
                <w:kern w:val="2"/>
                <w:sz w:val="24"/>
                <w:szCs w:val="24"/>
                <w:lang w:val="en-US" w:eastAsia="zh-CN" w:bidi="ar-SA"/>
              </w:rPr>
              <w:t>（二）</w:t>
            </w:r>
            <w:r>
              <w:rPr>
                <w:rFonts w:hint="eastAsia" w:asciiTheme="minorEastAsia" w:hAnsiTheme="minorEastAsia" w:eastAsiaTheme="minorEastAsia" w:cstheme="minorEastAsia"/>
                <w:b w:val="0"/>
                <w:bCs w:val="0"/>
                <w:sz w:val="24"/>
                <w:szCs w:val="24"/>
                <w:highlight w:val="none"/>
              </w:rPr>
              <w:t>供应商未在全国企业信用信息公示系统中列入严重违法失信企业名单（黑名单），不属于在“信用中国”网站（http://www.creditchina.gov.cn/）列入失信被执行人名单</w:t>
            </w:r>
            <w:r>
              <w:rPr>
                <w:rFonts w:hint="eastAsia" w:asciiTheme="minorEastAsia" w:hAnsiTheme="minorEastAsia" w:eastAsiaTheme="minorEastAsia" w:cstheme="minorEastAsia"/>
                <w:b w:val="0"/>
                <w:bCs w:val="0"/>
                <w:color w:val="auto"/>
                <w:sz w:val="24"/>
                <w:szCs w:val="24"/>
              </w:rPr>
              <w:t>。</w:t>
            </w:r>
          </w:p>
          <w:p w14:paraId="62D530D3">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textAlignment w:val="auto"/>
              <w:rPr>
                <w:rFonts w:ascii="宋体" w:hAnsi="宋体" w:cs="宋体"/>
                <w:szCs w:val="24"/>
              </w:rPr>
            </w:pPr>
          </w:p>
        </w:tc>
      </w:tr>
      <w:tr w14:paraId="24B48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635342E">
            <w:pPr>
              <w:pStyle w:val="10"/>
              <w:numPr>
                <w:ilvl w:val="0"/>
                <w:numId w:val="2"/>
              </w:numPr>
              <w:spacing w:line="440" w:lineRule="exact"/>
              <w:ind w:firstLineChars="0"/>
              <w:jc w:val="center"/>
              <w:rPr>
                <w:rFonts w:ascii="宋体" w:hAnsi="宋体"/>
                <w:szCs w:val="24"/>
              </w:rPr>
            </w:pPr>
          </w:p>
        </w:tc>
        <w:tc>
          <w:tcPr>
            <w:tcW w:w="1975" w:type="dxa"/>
            <w:vAlign w:val="center"/>
          </w:tcPr>
          <w:p w14:paraId="727803EF">
            <w:pPr>
              <w:spacing w:line="440" w:lineRule="exact"/>
              <w:jc w:val="center"/>
              <w:rPr>
                <w:rFonts w:hint="default" w:ascii="宋体" w:hAnsi="宋体" w:eastAsia="宋体"/>
                <w:szCs w:val="24"/>
                <w:lang w:val="en-US" w:eastAsia="zh-CN"/>
              </w:rPr>
            </w:pPr>
            <w:r>
              <w:rPr>
                <w:rFonts w:hint="eastAsia" w:ascii="宋体" w:hAnsi="宋体"/>
                <w:szCs w:val="24"/>
                <w:lang w:val="en-US" w:eastAsia="zh-CN"/>
              </w:rPr>
              <w:t>最高限价</w:t>
            </w:r>
          </w:p>
        </w:tc>
        <w:tc>
          <w:tcPr>
            <w:tcW w:w="5475" w:type="dxa"/>
            <w:vAlign w:val="center"/>
          </w:tcPr>
          <w:p w14:paraId="30180AA0">
            <w:pPr>
              <w:spacing w:line="440" w:lineRule="exact"/>
              <w:rPr>
                <w:rFonts w:hint="eastAsia" w:ascii="宋体" w:hAnsi="宋体" w:eastAsia="宋体" w:cs="宋体"/>
                <w:szCs w:val="24"/>
                <w:lang w:eastAsia="zh-CN"/>
              </w:rPr>
            </w:pPr>
            <w:r>
              <w:rPr>
                <w:rFonts w:hint="eastAsia" w:ascii="宋体" w:hAnsi="宋体"/>
                <w:iCs/>
                <w:color w:val="FF0000"/>
                <w:sz w:val="24"/>
                <w:szCs w:val="24"/>
                <w:lang w:val="en-US" w:eastAsia="zh-CN"/>
              </w:rPr>
              <w:t>无</w:t>
            </w:r>
          </w:p>
        </w:tc>
      </w:tr>
      <w:tr w14:paraId="0DCD64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56A790A1">
            <w:pPr>
              <w:pStyle w:val="10"/>
              <w:numPr>
                <w:ilvl w:val="0"/>
                <w:numId w:val="2"/>
              </w:numPr>
              <w:spacing w:line="440" w:lineRule="exact"/>
              <w:ind w:firstLineChars="0"/>
              <w:jc w:val="center"/>
              <w:rPr>
                <w:rFonts w:ascii="宋体" w:hAnsi="宋体"/>
                <w:szCs w:val="24"/>
              </w:rPr>
            </w:pPr>
          </w:p>
        </w:tc>
        <w:tc>
          <w:tcPr>
            <w:tcW w:w="1975" w:type="dxa"/>
            <w:vAlign w:val="center"/>
          </w:tcPr>
          <w:p w14:paraId="0A68E7AC">
            <w:pPr>
              <w:spacing w:line="440" w:lineRule="exact"/>
              <w:jc w:val="center"/>
              <w:rPr>
                <w:rFonts w:ascii="宋体" w:hAnsi="宋体"/>
                <w:szCs w:val="24"/>
              </w:rPr>
            </w:pPr>
            <w:r>
              <w:rPr>
                <w:rFonts w:hint="eastAsia" w:ascii="宋体" w:hAnsi="宋体"/>
                <w:szCs w:val="24"/>
              </w:rPr>
              <w:t>响应有效期</w:t>
            </w:r>
          </w:p>
        </w:tc>
        <w:tc>
          <w:tcPr>
            <w:tcW w:w="5475" w:type="dxa"/>
            <w:vAlign w:val="center"/>
          </w:tcPr>
          <w:p w14:paraId="406E1FAD">
            <w:pPr>
              <w:spacing w:line="440" w:lineRule="exact"/>
              <w:rPr>
                <w:rFonts w:ascii="宋体" w:hAnsi="宋体"/>
                <w:szCs w:val="24"/>
              </w:rPr>
            </w:pPr>
            <w:r>
              <w:rPr>
                <w:rFonts w:hint="eastAsia" w:ascii="宋体" w:hAnsi="宋体"/>
                <w:szCs w:val="24"/>
              </w:rPr>
              <w:t>自提交响应文件截止之日起</w:t>
            </w:r>
            <w:r>
              <w:rPr>
                <w:rFonts w:hint="eastAsia" w:ascii="宋体" w:hAnsi="宋体"/>
                <w:szCs w:val="24"/>
                <w:u w:val="single"/>
              </w:rPr>
              <w:t xml:space="preserve"> </w:t>
            </w:r>
            <w:r>
              <w:rPr>
                <w:rFonts w:ascii="宋体" w:hAnsi="宋体"/>
                <w:color w:val="0000FF"/>
                <w:szCs w:val="24"/>
                <w:u w:val="single"/>
              </w:rPr>
              <w:t>60</w:t>
            </w:r>
            <w:r>
              <w:rPr>
                <w:rFonts w:ascii="宋体" w:hAnsi="宋体"/>
                <w:szCs w:val="24"/>
                <w:u w:val="single"/>
              </w:rPr>
              <w:t xml:space="preserve"> </w:t>
            </w:r>
            <w:r>
              <w:rPr>
                <w:rFonts w:hint="eastAsia" w:ascii="宋体" w:hAnsi="宋体"/>
                <w:szCs w:val="24"/>
              </w:rPr>
              <w:t>日历天</w:t>
            </w:r>
          </w:p>
        </w:tc>
      </w:tr>
      <w:tr w14:paraId="20DF73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000407AB">
            <w:pPr>
              <w:pStyle w:val="10"/>
              <w:numPr>
                <w:ilvl w:val="0"/>
                <w:numId w:val="2"/>
              </w:numPr>
              <w:spacing w:line="440" w:lineRule="exact"/>
              <w:ind w:firstLineChars="0"/>
              <w:jc w:val="center"/>
              <w:rPr>
                <w:rFonts w:ascii="宋体" w:hAnsi="宋体"/>
                <w:szCs w:val="24"/>
              </w:rPr>
            </w:pPr>
          </w:p>
        </w:tc>
        <w:tc>
          <w:tcPr>
            <w:tcW w:w="1975" w:type="dxa"/>
            <w:vAlign w:val="center"/>
          </w:tcPr>
          <w:p w14:paraId="58ADD7C4">
            <w:pPr>
              <w:spacing w:line="440" w:lineRule="exact"/>
              <w:jc w:val="center"/>
              <w:rPr>
                <w:rFonts w:ascii="宋体" w:hAnsi="宋体"/>
                <w:szCs w:val="24"/>
              </w:rPr>
            </w:pPr>
            <w:r>
              <w:rPr>
                <w:rFonts w:hint="eastAsia" w:ascii="宋体" w:hAnsi="宋体"/>
                <w:szCs w:val="24"/>
              </w:rPr>
              <w:t>提交响应文件的方式和截止时间</w:t>
            </w:r>
          </w:p>
        </w:tc>
        <w:tc>
          <w:tcPr>
            <w:tcW w:w="5475" w:type="dxa"/>
            <w:vAlign w:val="center"/>
          </w:tcPr>
          <w:p w14:paraId="7B281BA4">
            <w:pPr>
              <w:spacing w:line="440" w:lineRule="exact"/>
              <w:rPr>
                <w:rFonts w:ascii="宋体" w:hAnsi="宋体"/>
                <w:szCs w:val="24"/>
              </w:rPr>
            </w:pPr>
            <w:r>
              <w:rPr>
                <w:rFonts w:hint="eastAsia" w:ascii="宋体" w:hAnsi="宋体"/>
                <w:szCs w:val="24"/>
              </w:rPr>
              <w:t>见采购公告/邀请书</w:t>
            </w:r>
          </w:p>
        </w:tc>
      </w:tr>
      <w:tr w14:paraId="4A7A84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6020710A">
            <w:pPr>
              <w:pStyle w:val="10"/>
              <w:numPr>
                <w:ilvl w:val="0"/>
                <w:numId w:val="2"/>
              </w:numPr>
              <w:spacing w:line="440" w:lineRule="exact"/>
              <w:ind w:firstLineChars="0"/>
              <w:jc w:val="center"/>
              <w:rPr>
                <w:rFonts w:ascii="宋体" w:hAnsi="宋体"/>
                <w:szCs w:val="24"/>
              </w:rPr>
            </w:pPr>
          </w:p>
        </w:tc>
        <w:tc>
          <w:tcPr>
            <w:tcW w:w="1975" w:type="dxa"/>
            <w:vAlign w:val="center"/>
          </w:tcPr>
          <w:p w14:paraId="3716FF90">
            <w:pPr>
              <w:spacing w:line="440" w:lineRule="exact"/>
              <w:jc w:val="center"/>
              <w:rPr>
                <w:rFonts w:hint="eastAsia" w:ascii="宋体" w:hAnsi="宋体"/>
                <w:szCs w:val="24"/>
              </w:rPr>
            </w:pPr>
            <w:r>
              <w:rPr>
                <w:rFonts w:hint="eastAsia" w:ascii="宋体" w:hAnsi="宋体" w:eastAsia="宋体"/>
                <w:sz w:val="24"/>
                <w:szCs w:val="24"/>
              </w:rPr>
              <w:t>响应保证金</w:t>
            </w:r>
          </w:p>
        </w:tc>
        <w:tc>
          <w:tcPr>
            <w:tcW w:w="5475" w:type="dxa"/>
            <w:vAlign w:val="center"/>
          </w:tcPr>
          <w:p w14:paraId="6D87F3BB">
            <w:pPr>
              <w:spacing w:line="440" w:lineRule="exact"/>
              <w:rPr>
                <w:rFonts w:hint="eastAsia" w:ascii="宋体" w:hAnsi="宋体" w:eastAsia="宋体"/>
                <w:szCs w:val="24"/>
                <w:lang w:val="en-US" w:eastAsia="zh-CN"/>
              </w:rPr>
            </w:pPr>
            <w:r>
              <w:rPr>
                <w:rFonts w:hint="eastAsia" w:ascii="宋体" w:hAnsi="宋体" w:eastAsia="宋体"/>
                <w:iCs/>
                <w:sz w:val="24"/>
                <w:szCs w:val="24"/>
              </w:rPr>
              <w:t>响应保证金金额：</w:t>
            </w:r>
            <w:r>
              <w:rPr>
                <w:rFonts w:hint="eastAsia" w:ascii="宋体" w:hAnsi="宋体"/>
                <w:iCs/>
                <w:sz w:val="24"/>
                <w:szCs w:val="24"/>
                <w:lang w:val="en-US" w:eastAsia="zh-CN"/>
              </w:rPr>
              <w:t>无</w:t>
            </w:r>
          </w:p>
        </w:tc>
      </w:tr>
      <w:tr w14:paraId="638299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2011BEEA">
            <w:pPr>
              <w:pStyle w:val="10"/>
              <w:numPr>
                <w:ilvl w:val="0"/>
                <w:numId w:val="2"/>
              </w:numPr>
              <w:spacing w:line="440" w:lineRule="exact"/>
              <w:ind w:firstLineChars="0"/>
              <w:jc w:val="center"/>
              <w:rPr>
                <w:rFonts w:ascii="宋体" w:hAnsi="宋体"/>
                <w:szCs w:val="24"/>
              </w:rPr>
            </w:pPr>
          </w:p>
        </w:tc>
        <w:tc>
          <w:tcPr>
            <w:tcW w:w="1975" w:type="dxa"/>
            <w:shd w:val="clear" w:color="auto" w:fill="auto"/>
            <w:vAlign w:val="center"/>
          </w:tcPr>
          <w:p w14:paraId="51425B35">
            <w:pPr>
              <w:spacing w:line="440" w:lineRule="exact"/>
              <w:jc w:val="center"/>
              <w:rPr>
                <w:rFonts w:hint="eastAsia" w:ascii="宋体" w:hAnsi="宋体" w:eastAsia="宋体" w:cs="Times New Roman"/>
                <w:kern w:val="2"/>
                <w:sz w:val="24"/>
                <w:szCs w:val="24"/>
                <w:lang w:val="en-US" w:eastAsia="zh-CN" w:bidi="ar-SA"/>
              </w:rPr>
            </w:pPr>
            <w:r>
              <w:rPr>
                <w:rFonts w:hint="eastAsia" w:ascii="宋体" w:hAnsi="宋体" w:eastAsia="宋体"/>
                <w:sz w:val="24"/>
                <w:szCs w:val="24"/>
              </w:rPr>
              <w:t>履约保证金</w:t>
            </w:r>
          </w:p>
        </w:tc>
        <w:tc>
          <w:tcPr>
            <w:tcW w:w="5475" w:type="dxa"/>
            <w:shd w:val="clear" w:color="auto" w:fill="auto"/>
            <w:vAlign w:val="center"/>
          </w:tcPr>
          <w:p w14:paraId="69E57567">
            <w:pPr>
              <w:spacing w:line="440" w:lineRule="exact"/>
              <w:rPr>
                <w:rFonts w:hint="eastAsia" w:ascii="宋体" w:hAnsi="宋体" w:eastAsia="宋体"/>
                <w:iCs/>
                <w:color w:val="FF0000"/>
                <w:sz w:val="24"/>
                <w:szCs w:val="24"/>
                <w:lang w:val="en-US" w:eastAsia="zh-CN"/>
              </w:rPr>
            </w:pPr>
            <w:r>
              <w:rPr>
                <w:rFonts w:hint="eastAsia" w:ascii="宋体" w:hAnsi="宋体" w:eastAsia="宋体"/>
                <w:sz w:val="24"/>
                <w:szCs w:val="24"/>
              </w:rPr>
              <w:t>履约保证金的金额：</w:t>
            </w:r>
            <w:r>
              <w:rPr>
                <w:rFonts w:hint="eastAsia" w:ascii="宋体" w:hAnsi="宋体"/>
                <w:sz w:val="24"/>
                <w:szCs w:val="24"/>
                <w:lang w:val="en-US" w:eastAsia="zh-CN"/>
              </w:rPr>
              <w:t>无</w:t>
            </w:r>
          </w:p>
        </w:tc>
      </w:tr>
      <w:tr w14:paraId="4824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6" w:type="dxa"/>
            <w:vAlign w:val="center"/>
          </w:tcPr>
          <w:p w14:paraId="32F9EE2B">
            <w:pPr>
              <w:pStyle w:val="10"/>
              <w:numPr>
                <w:ilvl w:val="0"/>
                <w:numId w:val="2"/>
              </w:numPr>
              <w:spacing w:line="440" w:lineRule="exact"/>
              <w:ind w:firstLineChars="0"/>
              <w:jc w:val="center"/>
              <w:rPr>
                <w:rFonts w:ascii="宋体" w:hAnsi="宋体"/>
                <w:szCs w:val="24"/>
              </w:rPr>
            </w:pPr>
          </w:p>
        </w:tc>
        <w:tc>
          <w:tcPr>
            <w:tcW w:w="1975" w:type="dxa"/>
            <w:vAlign w:val="center"/>
          </w:tcPr>
          <w:p w14:paraId="02D19FA1">
            <w:pPr>
              <w:spacing w:line="440" w:lineRule="exact"/>
              <w:jc w:val="center"/>
              <w:rPr>
                <w:rFonts w:ascii="宋体" w:hAnsi="宋体"/>
                <w:szCs w:val="24"/>
              </w:rPr>
            </w:pPr>
            <w:r>
              <w:rPr>
                <w:rFonts w:hint="eastAsia" w:ascii="宋体" w:hAnsi="宋体"/>
                <w:szCs w:val="24"/>
              </w:rPr>
              <w:t>其他事项</w:t>
            </w:r>
          </w:p>
        </w:tc>
        <w:tc>
          <w:tcPr>
            <w:tcW w:w="5475" w:type="dxa"/>
            <w:vAlign w:val="center"/>
          </w:tcPr>
          <w:p w14:paraId="300155CB">
            <w:pPr>
              <w:pStyle w:val="10"/>
              <w:numPr>
                <w:ilvl w:val="0"/>
                <w:numId w:val="4"/>
              </w:numPr>
              <w:spacing w:line="440" w:lineRule="exact"/>
              <w:ind w:left="0" w:firstLine="0" w:firstLineChars="0"/>
              <w:rPr>
                <w:rFonts w:ascii="宋体" w:hAnsi="宋体" w:eastAsia="宋体"/>
                <w:sz w:val="24"/>
                <w:szCs w:val="24"/>
              </w:rPr>
            </w:pPr>
            <w:r>
              <w:rPr>
                <w:rFonts w:hint="eastAsia" w:ascii="宋体" w:hAnsi="宋体" w:eastAsia="宋体"/>
                <w:sz w:val="24"/>
                <w:szCs w:val="24"/>
              </w:rPr>
              <w:t>供应商应当遵守附件“廉洁合规承诺书”的规定。</w:t>
            </w:r>
          </w:p>
          <w:p w14:paraId="3808591D">
            <w:pPr>
              <w:pStyle w:val="10"/>
              <w:numPr>
                <w:ilvl w:val="0"/>
                <w:numId w:val="4"/>
              </w:numPr>
              <w:spacing w:line="440" w:lineRule="exact"/>
              <w:ind w:left="0" w:firstLine="0" w:firstLineChars="0"/>
              <w:rPr>
                <w:rFonts w:ascii="宋体" w:hAnsi="宋体" w:eastAsia="宋体"/>
                <w:sz w:val="24"/>
                <w:szCs w:val="24"/>
              </w:rPr>
            </w:pPr>
            <w:r>
              <w:rPr>
                <w:rFonts w:ascii="宋体" w:hAnsi="宋体" w:eastAsia="宋体"/>
                <w:sz w:val="24"/>
                <w:szCs w:val="24"/>
              </w:rPr>
              <w:t>本项目采购通过</w:t>
            </w:r>
            <w:r>
              <w:rPr>
                <w:rFonts w:hint="eastAsia" w:ascii="宋体" w:hAnsi="宋体" w:eastAsia="宋体"/>
                <w:sz w:val="24"/>
                <w:szCs w:val="24"/>
              </w:rPr>
              <w:t>华润集团守正电子招标采购平台（简称平台）</w:t>
            </w:r>
            <w:r>
              <w:rPr>
                <w:rFonts w:ascii="宋体" w:hAnsi="宋体" w:eastAsia="宋体"/>
                <w:sz w:val="24"/>
                <w:szCs w:val="24"/>
              </w:rPr>
              <w:t>线上进行，供应商需</w:t>
            </w:r>
            <w:r>
              <w:rPr>
                <w:rFonts w:hint="eastAsia" w:ascii="宋体" w:hAnsi="宋体" w:eastAsia="宋体"/>
                <w:sz w:val="24"/>
                <w:szCs w:val="24"/>
              </w:rPr>
              <w:t>在</w:t>
            </w:r>
            <w:r>
              <w:rPr>
                <w:rFonts w:ascii="宋体" w:hAnsi="宋体" w:eastAsia="宋体"/>
                <w:sz w:val="24"/>
                <w:szCs w:val="24"/>
              </w:rPr>
              <w:t>平台注册，通过平台递交响应文件</w:t>
            </w:r>
            <w:r>
              <w:rPr>
                <w:rFonts w:hint="eastAsia" w:ascii="宋体" w:hAnsi="宋体" w:eastAsia="宋体"/>
                <w:sz w:val="24"/>
                <w:szCs w:val="24"/>
              </w:rPr>
              <w:t>和</w:t>
            </w:r>
            <w:r>
              <w:rPr>
                <w:rFonts w:ascii="宋体" w:hAnsi="宋体" w:eastAsia="宋体"/>
                <w:sz w:val="24"/>
                <w:szCs w:val="24"/>
              </w:rPr>
              <w:t>报价</w:t>
            </w:r>
            <w:r>
              <w:rPr>
                <w:rFonts w:hint="eastAsia" w:ascii="宋体" w:hAnsi="宋体" w:eastAsia="宋体"/>
                <w:sz w:val="24"/>
                <w:szCs w:val="24"/>
              </w:rPr>
              <w:t>。</w:t>
            </w:r>
            <w:r>
              <w:rPr>
                <w:rFonts w:ascii="宋体" w:hAnsi="宋体" w:eastAsia="宋体"/>
                <w:sz w:val="24"/>
                <w:szCs w:val="24"/>
              </w:rPr>
              <w:t>具体操作步骤可查阅</w:t>
            </w:r>
            <w:r>
              <w:rPr>
                <w:rFonts w:hint="eastAsia" w:ascii="宋体" w:hAnsi="宋体" w:eastAsia="宋体"/>
                <w:sz w:val="24"/>
                <w:szCs w:val="24"/>
              </w:rPr>
              <w:t>平台</w:t>
            </w:r>
            <w:r>
              <w:rPr>
                <w:rFonts w:ascii="宋体" w:hAnsi="宋体" w:eastAsia="宋体"/>
                <w:sz w:val="24"/>
                <w:szCs w:val="24"/>
              </w:rPr>
              <w:t>网站首页帮助中心的操作手册，也可联系守正客服。</w:t>
            </w:r>
          </w:p>
          <w:p w14:paraId="325DADD8">
            <w:pPr>
              <w:pStyle w:val="10"/>
              <w:numPr>
                <w:ilvl w:val="0"/>
                <w:numId w:val="4"/>
              </w:numPr>
              <w:spacing w:line="440" w:lineRule="exact"/>
              <w:ind w:left="0" w:firstLine="0" w:firstLineChars="0"/>
              <w:rPr>
                <w:rFonts w:ascii="宋体" w:hAnsi="宋体" w:eastAsia="宋体"/>
                <w:sz w:val="24"/>
                <w:szCs w:val="24"/>
              </w:rPr>
            </w:pPr>
            <w:r>
              <w:rPr>
                <w:rFonts w:hint="eastAsia" w:ascii="宋体" w:hAnsi="宋体" w:eastAsia="宋体"/>
                <w:sz w:val="24"/>
                <w:szCs w:val="24"/>
              </w:rPr>
              <w:t>标前</w:t>
            </w:r>
            <w:r>
              <w:rPr>
                <w:rFonts w:ascii="宋体" w:hAnsi="宋体" w:eastAsia="宋体"/>
                <w:sz w:val="24"/>
                <w:szCs w:val="24"/>
              </w:rPr>
              <w:t>答疑澄清</w:t>
            </w:r>
            <w:r>
              <w:rPr>
                <w:rFonts w:hint="eastAsia" w:ascii="宋体" w:hAnsi="宋体" w:eastAsia="宋体"/>
                <w:sz w:val="24"/>
                <w:szCs w:val="24"/>
              </w:rPr>
              <w:t>文件、评审澄清文件、成交通知书、成交结果通知、成交结果公告</w:t>
            </w:r>
            <w:r>
              <w:rPr>
                <w:rFonts w:ascii="宋体" w:hAnsi="宋体" w:eastAsia="宋体"/>
                <w:sz w:val="24"/>
                <w:szCs w:val="24"/>
              </w:rPr>
              <w:t>等文件一经平台</w:t>
            </w:r>
            <w:r>
              <w:rPr>
                <w:rFonts w:hint="eastAsia" w:ascii="宋体" w:hAnsi="宋体" w:eastAsia="宋体"/>
                <w:sz w:val="24"/>
                <w:szCs w:val="24"/>
              </w:rPr>
              <w:t>发送/</w:t>
            </w:r>
            <w:r>
              <w:rPr>
                <w:rFonts w:ascii="宋体" w:hAnsi="宋体" w:eastAsia="宋体"/>
                <w:sz w:val="24"/>
                <w:szCs w:val="24"/>
              </w:rPr>
              <w:t>发布，视为已</w:t>
            </w:r>
            <w:r>
              <w:rPr>
                <w:rFonts w:hint="eastAsia" w:ascii="宋体" w:hAnsi="宋体" w:eastAsia="宋体"/>
                <w:sz w:val="24"/>
                <w:szCs w:val="24"/>
              </w:rPr>
              <w:t>送达</w:t>
            </w:r>
            <w:r>
              <w:rPr>
                <w:rFonts w:ascii="宋体" w:hAnsi="宋体" w:eastAsia="宋体"/>
                <w:sz w:val="24"/>
                <w:szCs w:val="24"/>
              </w:rPr>
              <w:t>给相应供应商，请</w:t>
            </w:r>
            <w:r>
              <w:rPr>
                <w:rFonts w:hint="eastAsia" w:ascii="宋体" w:hAnsi="宋体" w:eastAsia="宋体"/>
                <w:sz w:val="24"/>
                <w:szCs w:val="24"/>
              </w:rPr>
              <w:t>供应商</w:t>
            </w:r>
            <w:r>
              <w:rPr>
                <w:rFonts w:ascii="宋体" w:hAnsi="宋体" w:eastAsia="宋体"/>
                <w:sz w:val="24"/>
                <w:szCs w:val="24"/>
              </w:rPr>
              <w:t>随时关注平台发布的相关信息，并及时查阅和处理。</w:t>
            </w:r>
          </w:p>
          <w:p w14:paraId="47E2347C">
            <w:pPr>
              <w:pStyle w:val="10"/>
              <w:numPr>
                <w:ilvl w:val="0"/>
                <w:numId w:val="4"/>
              </w:numPr>
              <w:spacing w:line="440" w:lineRule="exact"/>
              <w:ind w:left="0" w:firstLine="0" w:firstLineChars="0"/>
              <w:rPr>
                <w:rFonts w:ascii="宋体" w:hAnsi="宋体" w:eastAsia="宋体"/>
                <w:sz w:val="24"/>
                <w:szCs w:val="24"/>
              </w:rPr>
            </w:pPr>
            <w:r>
              <w:rPr>
                <w:rFonts w:hint="eastAsia" w:ascii="宋体" w:hAnsi="宋体" w:eastAsia="宋体"/>
                <w:sz w:val="24"/>
                <w:szCs w:val="24"/>
              </w:rPr>
              <w:t>供应商应在规定的报价截止时间前，按照规定的方式提交响应文件和报价。供应商未在规定的截止时间前完成响应文件和报价提交，将被视为放弃参与。</w:t>
            </w:r>
          </w:p>
          <w:p w14:paraId="5D591133">
            <w:pPr>
              <w:pStyle w:val="10"/>
              <w:numPr>
                <w:ilvl w:val="0"/>
                <w:numId w:val="4"/>
              </w:numPr>
              <w:spacing w:line="440" w:lineRule="exact"/>
              <w:ind w:left="0" w:firstLine="0" w:firstLineChars="0"/>
              <w:rPr>
                <w:rFonts w:ascii="宋体" w:hAnsi="宋体" w:eastAsia="宋体"/>
                <w:sz w:val="24"/>
                <w:szCs w:val="24"/>
              </w:rPr>
            </w:pPr>
            <w:r>
              <w:rPr>
                <w:rFonts w:hint="eastAsia" w:ascii="宋体" w:hAnsi="宋体" w:eastAsia="宋体"/>
                <w:sz w:val="24"/>
                <w:szCs w:val="24"/>
              </w:rPr>
              <w:t>若供应商出现</w:t>
            </w:r>
            <w:r>
              <w:rPr>
                <w:rFonts w:ascii="宋体" w:hAnsi="宋体" w:eastAsia="宋体"/>
                <w:sz w:val="24"/>
                <w:szCs w:val="24"/>
              </w:rPr>
              <w:t>串通报价、弄虚作假、行贿、以他人名义参与采购活动等不诚信行为</w:t>
            </w:r>
            <w:r>
              <w:rPr>
                <w:rFonts w:hint="eastAsia" w:ascii="宋体" w:hAnsi="宋体" w:eastAsia="宋体"/>
                <w:sz w:val="24"/>
                <w:szCs w:val="24"/>
              </w:rPr>
              <w:t>，或者成交后无正当理由放弃成交或不签约，或者在签订合同时提出采购人不能接受的附加条件，或者不按照采购文件要求提交履约保证金等情况，采购人有权</w:t>
            </w:r>
            <w:r>
              <w:rPr>
                <w:rFonts w:hint="eastAsia" w:ascii="宋体" w:hAnsi="宋体" w:eastAsia="宋体"/>
                <w:sz w:val="24"/>
                <w:szCs w:val="24"/>
                <w:lang w:val="en-US" w:eastAsia="zh-CN"/>
              </w:rPr>
              <w:t>取消其成交资格，并</w:t>
            </w:r>
            <w:r>
              <w:rPr>
                <w:rFonts w:hint="eastAsia" w:ascii="宋体" w:hAnsi="宋体" w:eastAsia="宋体"/>
                <w:sz w:val="24"/>
                <w:szCs w:val="24"/>
              </w:rPr>
              <w:t>将其列入供应商黑名单。</w:t>
            </w:r>
          </w:p>
          <w:p w14:paraId="3290A466">
            <w:pPr>
              <w:pStyle w:val="10"/>
              <w:numPr>
                <w:ilvl w:val="0"/>
                <w:numId w:val="4"/>
              </w:numPr>
              <w:spacing w:line="440" w:lineRule="exact"/>
              <w:ind w:left="0" w:firstLine="0" w:firstLineChars="0"/>
              <w:rPr>
                <w:rFonts w:ascii="宋体" w:hAnsi="宋体" w:eastAsia="宋体"/>
                <w:sz w:val="24"/>
                <w:szCs w:val="24"/>
              </w:rPr>
            </w:pPr>
            <w:r>
              <w:rPr>
                <w:rFonts w:hint="eastAsia" w:ascii="宋体" w:hAnsi="宋体" w:eastAsia="宋体"/>
                <w:sz w:val="24"/>
                <w:szCs w:val="24"/>
                <w:lang w:val="en-US" w:eastAsia="zh-CN"/>
              </w:rPr>
              <w:t>若联合体、代理商、贸易商、</w:t>
            </w:r>
            <w:r>
              <w:rPr>
                <w:rFonts w:ascii="宋体" w:hAnsi="宋体" w:eastAsia="宋体"/>
                <w:sz w:val="24"/>
                <w:szCs w:val="24"/>
                <w:lang w:val="en-US" w:eastAsia="zh-CN"/>
              </w:rPr>
              <w:t>非利用/处置单位</w:t>
            </w:r>
            <w:r>
              <w:rPr>
                <w:rFonts w:hint="eastAsia" w:ascii="宋体" w:hAnsi="宋体" w:eastAsia="宋体"/>
                <w:sz w:val="24"/>
                <w:szCs w:val="24"/>
                <w:lang w:val="en-US" w:eastAsia="zh-CN"/>
              </w:rPr>
              <w:t>等供应商</w:t>
            </w:r>
            <w:r>
              <w:rPr>
                <w:rFonts w:ascii="宋体" w:hAnsi="宋体" w:eastAsia="宋体"/>
                <w:sz w:val="24"/>
                <w:szCs w:val="24"/>
                <w:lang w:val="en-US" w:eastAsia="zh-CN"/>
              </w:rPr>
              <w:t>参与报价</w:t>
            </w:r>
            <w:r>
              <w:rPr>
                <w:rFonts w:hint="eastAsia" w:ascii="宋体" w:hAnsi="宋体" w:eastAsia="宋体"/>
                <w:sz w:val="24"/>
                <w:szCs w:val="24"/>
                <w:lang w:val="en-US" w:eastAsia="zh-CN"/>
              </w:rPr>
              <w:t>（若采购文件允许其参与）</w:t>
            </w:r>
            <w:r>
              <w:rPr>
                <w:rFonts w:ascii="宋体" w:hAnsi="宋体" w:eastAsia="宋体"/>
                <w:sz w:val="24"/>
                <w:szCs w:val="24"/>
                <w:lang w:val="en-US" w:eastAsia="zh-CN"/>
              </w:rPr>
              <w:t>，应</w:t>
            </w:r>
            <w:r>
              <w:rPr>
                <w:rFonts w:hint="eastAsia" w:ascii="宋体" w:hAnsi="宋体" w:eastAsia="宋体"/>
                <w:sz w:val="24"/>
                <w:szCs w:val="24"/>
                <w:lang w:val="en-US" w:eastAsia="zh-CN"/>
              </w:rPr>
              <w:t>对其所提供联合体成员、生产厂家、</w:t>
            </w:r>
            <w:r>
              <w:rPr>
                <w:rFonts w:ascii="宋体" w:hAnsi="宋体" w:eastAsia="宋体"/>
                <w:sz w:val="24"/>
                <w:szCs w:val="24"/>
                <w:lang w:val="en-US" w:eastAsia="zh-CN"/>
              </w:rPr>
              <w:t>利用/处置单位</w:t>
            </w:r>
            <w:r>
              <w:rPr>
                <w:rFonts w:hint="eastAsia" w:ascii="宋体" w:hAnsi="宋体" w:eastAsia="宋体"/>
                <w:sz w:val="24"/>
                <w:szCs w:val="24"/>
                <w:lang w:val="en-US" w:eastAsia="zh-CN"/>
              </w:rPr>
              <w:t>的资质证书、检验报告、奖项或业绩等资料文件，</w:t>
            </w:r>
            <w:r>
              <w:rPr>
                <w:rFonts w:ascii="宋体" w:hAnsi="宋体" w:eastAsia="宋体"/>
                <w:sz w:val="24"/>
                <w:szCs w:val="24"/>
                <w:lang w:val="en-US" w:eastAsia="zh-CN"/>
              </w:rPr>
              <w:t>承担审核义务，</w:t>
            </w:r>
            <w:r>
              <w:rPr>
                <w:rFonts w:hint="eastAsia" w:ascii="宋体" w:hAnsi="宋体" w:eastAsia="宋体"/>
                <w:sz w:val="24"/>
                <w:szCs w:val="24"/>
                <w:lang w:val="en-US" w:eastAsia="zh-CN"/>
              </w:rPr>
              <w:t>出现上述资料文件造假的</w:t>
            </w:r>
            <w:r>
              <w:rPr>
                <w:rFonts w:ascii="宋体" w:hAnsi="宋体" w:eastAsia="宋体"/>
                <w:sz w:val="24"/>
                <w:szCs w:val="24"/>
                <w:lang w:val="en-US" w:eastAsia="zh-CN"/>
              </w:rPr>
              <w:t>，视为</w:t>
            </w:r>
            <w:r>
              <w:rPr>
                <w:rFonts w:hint="eastAsia" w:ascii="宋体" w:hAnsi="宋体" w:eastAsia="宋体"/>
                <w:sz w:val="24"/>
                <w:szCs w:val="24"/>
                <w:lang w:val="en-US" w:eastAsia="zh-CN"/>
              </w:rPr>
              <w:t>参与报价的该供应商</w:t>
            </w:r>
            <w:r>
              <w:rPr>
                <w:rFonts w:ascii="宋体" w:hAnsi="宋体" w:eastAsia="宋体"/>
                <w:sz w:val="24"/>
                <w:szCs w:val="24"/>
                <w:lang w:val="en-US" w:eastAsia="zh-CN"/>
              </w:rPr>
              <w:t>弄虚作假</w:t>
            </w:r>
            <w:r>
              <w:rPr>
                <w:rFonts w:hint="eastAsia" w:ascii="宋体" w:hAnsi="宋体" w:eastAsia="宋体"/>
                <w:sz w:val="24"/>
                <w:szCs w:val="24"/>
                <w:lang w:val="en-US" w:eastAsia="zh-CN"/>
              </w:rPr>
              <w:t>，该供应商将承担相关罚则。</w:t>
            </w:r>
          </w:p>
          <w:p w14:paraId="3F9CEA9D">
            <w:pPr>
              <w:pStyle w:val="10"/>
              <w:numPr>
                <w:ilvl w:val="0"/>
                <w:numId w:val="4"/>
              </w:numPr>
              <w:spacing w:line="440" w:lineRule="exact"/>
              <w:ind w:left="0" w:firstLine="0" w:firstLineChars="0"/>
              <w:rPr>
                <w:rFonts w:ascii="宋体" w:hAnsi="宋体" w:eastAsia="宋体"/>
                <w:iCs/>
                <w:color w:val="000000" w:themeColor="text1"/>
                <w:sz w:val="24"/>
                <w:szCs w:val="24"/>
                <w14:textFill>
                  <w14:solidFill>
                    <w14:schemeClr w14:val="tx1"/>
                  </w14:solidFill>
                </w14:textFill>
              </w:rPr>
            </w:pPr>
            <w:r>
              <w:rPr>
                <w:rFonts w:hint="eastAsia" w:ascii="宋体" w:hAnsi="宋体" w:eastAsia="宋体"/>
                <w:b/>
                <w:sz w:val="24"/>
                <w:szCs w:val="24"/>
              </w:rPr>
              <w:t>供应商需要在响应文件中明确开具的发票是增值税专用发票，还是增值税普通发票。</w:t>
            </w:r>
          </w:p>
          <w:p w14:paraId="3CA8C457">
            <w:pPr>
              <w:pStyle w:val="10"/>
              <w:numPr>
                <w:ilvl w:val="1"/>
                <w:numId w:val="4"/>
              </w:numPr>
              <w:spacing w:line="440" w:lineRule="exact"/>
              <w:ind w:firstLineChars="0"/>
              <w:rPr>
                <w:rFonts w:ascii="宋体" w:hAnsi="宋体" w:eastAsia="宋体"/>
                <w:iCs/>
                <w:color w:val="000000" w:themeColor="text1"/>
                <w:sz w:val="24"/>
                <w:szCs w:val="24"/>
                <w14:textFill>
                  <w14:solidFill>
                    <w14:schemeClr w14:val="tx1"/>
                  </w14:solidFill>
                </w14:textFill>
              </w:rPr>
            </w:pPr>
            <w:r>
              <w:rPr>
                <w:rFonts w:hint="eastAsia" w:ascii="宋体" w:hAnsi="宋体" w:eastAsia="宋体"/>
                <w:sz w:val="24"/>
                <w:szCs w:val="24"/>
              </w:rPr>
              <w:t>若供应商开具增值税专用发票，则以扣除税金的价格作为评审价格，即 评审价格=含税价</w:t>
            </w:r>
            <w:r>
              <w:rPr>
                <w:rFonts w:ascii="宋体" w:hAnsi="宋体" w:eastAsia="宋体"/>
                <w:sz w:val="24"/>
                <w:szCs w:val="24"/>
              </w:rPr>
              <w:t>÷</w:t>
            </w:r>
            <w:r>
              <w:rPr>
                <w:rFonts w:hint="eastAsia" w:ascii="宋体" w:hAnsi="宋体" w:eastAsia="宋体"/>
                <w:sz w:val="24"/>
                <w:szCs w:val="24"/>
              </w:rPr>
              <w:t>（1</w:t>
            </w:r>
            <w:r>
              <w:rPr>
                <w:rFonts w:ascii="宋体" w:hAnsi="宋体" w:eastAsia="宋体"/>
                <w:sz w:val="24"/>
                <w:szCs w:val="24"/>
              </w:rPr>
              <w:t>+</w:t>
            </w:r>
            <w:r>
              <w:rPr>
                <w:rFonts w:hint="eastAsia" w:ascii="宋体" w:hAnsi="宋体" w:eastAsia="宋体"/>
                <w:sz w:val="24"/>
                <w:szCs w:val="24"/>
              </w:rPr>
              <w:t>税率）。</w:t>
            </w:r>
          </w:p>
          <w:p w14:paraId="6D64B444">
            <w:pPr>
              <w:pStyle w:val="10"/>
              <w:spacing w:line="440" w:lineRule="exact"/>
              <w:ind w:firstLine="0" w:firstLineChars="0"/>
              <w:rPr>
                <w:rFonts w:ascii="宋体" w:hAnsi="宋体"/>
                <w:iCs/>
                <w:color w:val="000000"/>
                <w:szCs w:val="24"/>
              </w:rPr>
            </w:pPr>
            <w:r>
              <w:rPr>
                <w:rFonts w:hint="eastAsia" w:ascii="宋体" w:hAnsi="宋体" w:eastAsia="宋体"/>
                <w:sz w:val="24"/>
                <w:szCs w:val="24"/>
              </w:rPr>
              <w:t>若供应商开具增值税普通发票，则以含税价作为评审价格。</w:t>
            </w:r>
          </w:p>
        </w:tc>
      </w:tr>
    </w:tbl>
    <w:p w14:paraId="0665B4FC">
      <w:pPr>
        <w:spacing w:line="440" w:lineRule="exact"/>
        <w:rPr>
          <w:rFonts w:ascii="宋体" w:hAnsi="宋体"/>
          <w:szCs w:val="24"/>
        </w:rPr>
      </w:pPr>
      <w:r>
        <w:rPr>
          <w:rFonts w:ascii="宋体" w:hAnsi="宋体"/>
          <w:szCs w:val="24"/>
        </w:rPr>
        <w:br w:type="page"/>
      </w:r>
    </w:p>
    <w:p w14:paraId="17660292">
      <w:pPr>
        <w:spacing w:after="312" w:afterLines="100" w:line="440" w:lineRule="exact"/>
        <w:jc w:val="center"/>
        <w:outlineLvl w:val="0"/>
        <w:rPr>
          <w:rFonts w:ascii="宋体" w:hAnsi="宋体"/>
          <w:b/>
          <w:bCs/>
          <w:sz w:val="32"/>
          <w:szCs w:val="24"/>
        </w:rPr>
      </w:pPr>
      <w:r>
        <w:rPr>
          <w:rFonts w:hint="eastAsia" w:ascii="宋体" w:hAnsi="宋体"/>
          <w:b/>
          <w:bCs/>
          <w:sz w:val="32"/>
          <w:szCs w:val="24"/>
        </w:rPr>
        <w:t>第二卷 响应文件格式</w:t>
      </w:r>
    </w:p>
    <w:p w14:paraId="66342BF4">
      <w:pPr>
        <w:pStyle w:val="10"/>
        <w:numPr>
          <w:ilvl w:val="0"/>
          <w:numId w:val="5"/>
        </w:numPr>
        <w:spacing w:line="440" w:lineRule="exact"/>
        <w:ind w:left="0" w:firstLine="482"/>
        <w:rPr>
          <w:rFonts w:hint="eastAsia" w:ascii="宋体" w:hAnsi="宋体"/>
          <w:bCs/>
        </w:rPr>
      </w:pPr>
      <w:r>
        <w:rPr>
          <w:rFonts w:hint="eastAsia" w:ascii="宋体" w:hAnsi="宋体"/>
          <w:b/>
          <w:iCs/>
          <w:szCs w:val="24"/>
        </w:rPr>
        <w:t>报价表</w:t>
      </w:r>
      <w:bookmarkStart w:id="0" w:name="_Toc296686970"/>
      <w:r>
        <w:rPr>
          <w:rFonts w:ascii="宋体" w:hAnsi="宋体"/>
          <w:bCs/>
        </w:rPr>
        <w:t xml:space="preserve">             </w:t>
      </w:r>
      <w:bookmarkEnd w:id="0"/>
      <w:r>
        <w:rPr>
          <w:rFonts w:hint="eastAsia" w:ascii="宋体" w:hAnsi="宋体"/>
          <w:szCs w:val="21"/>
        </w:rPr>
        <w:t xml:space="preserve">    </w:t>
      </w:r>
      <w:r>
        <w:rPr>
          <w:rFonts w:ascii="宋体" w:hAnsi="宋体"/>
          <w:szCs w:val="21"/>
        </w:rPr>
        <w:t xml:space="preserve"> </w:t>
      </w:r>
      <w:r>
        <w:rPr>
          <w:rFonts w:hint="eastAsia" w:ascii="宋体" w:hAnsi="宋体"/>
          <w:szCs w:val="21"/>
        </w:rPr>
        <w:t xml:space="preserve">   </w:t>
      </w:r>
    </w:p>
    <w:p w14:paraId="66302930">
      <w:pPr>
        <w:pStyle w:val="10"/>
        <w:tabs>
          <w:tab w:val="left" w:pos="993"/>
        </w:tabs>
        <w:spacing w:line="440" w:lineRule="exact"/>
        <w:ind w:left="0" w:leftChars="0" w:firstLine="0" w:firstLineChars="0"/>
        <w:rPr>
          <w:rFonts w:hint="eastAsia" w:ascii="宋体" w:hAnsi="宋体" w:eastAsia="宋体" w:cs="宋体"/>
          <w:color w:val="FF0000"/>
          <w:kern w:val="0"/>
          <w:sz w:val="24"/>
          <w:szCs w:val="24"/>
        </w:rPr>
      </w:pPr>
    </w:p>
    <w:tbl>
      <w:tblPr>
        <w:tblStyle w:val="6"/>
        <w:tblW w:w="9854" w:type="dxa"/>
        <w:jc w:val="center"/>
        <w:tblBorders>
          <w:top w:val="none" w:color="auto" w:sz="4" w:space="0"/>
          <w:left w:val="none" w:color="auto" w:sz="4" w:space="0"/>
          <w:bottom w:val="none" w:color="auto" w:sz="4" w:space="0"/>
          <w:right w:val="none" w:color="auto" w:sz="4" w:space="0"/>
          <w:insideH w:val="none" w:color="auto" w:sz="4" w:space="0"/>
          <w:insideV w:val="none" w:color="auto" w:sz="4" w:space="0"/>
        </w:tblBorders>
        <w:tblLayout w:type="autofit"/>
        <w:tblCellMar>
          <w:top w:w="0" w:type="dxa"/>
          <w:left w:w="108" w:type="dxa"/>
          <w:bottom w:w="0" w:type="dxa"/>
          <w:right w:w="108" w:type="dxa"/>
        </w:tblCellMar>
      </w:tblPr>
      <w:tblGrid>
        <w:gridCol w:w="503"/>
        <w:gridCol w:w="1480"/>
        <w:gridCol w:w="2502"/>
        <w:gridCol w:w="2251"/>
        <w:gridCol w:w="516"/>
        <w:gridCol w:w="516"/>
        <w:gridCol w:w="1116"/>
        <w:gridCol w:w="970"/>
      </w:tblGrid>
      <w:tr w14:paraId="637A165B">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tblHeader/>
          <w:jc w:val="center"/>
        </w:trPr>
        <w:tc>
          <w:tcPr>
            <w:tcW w:w="0" w:type="auto"/>
            <w:tcBorders>
              <w:top w:val="single" w:color="auto" w:sz="12" w:space="0"/>
              <w:left w:val="single" w:color="auto" w:sz="12" w:space="0"/>
              <w:bottom w:val="nil"/>
              <w:right w:val="nil"/>
            </w:tcBorders>
            <w:shd w:val="clear" w:color="auto" w:fill="auto"/>
            <w:noWrap w:val="0"/>
            <w:tcMar>
              <w:top w:w="-1" w:type="dxa"/>
              <w:left w:w="-1" w:type="dxa"/>
              <w:bottom w:w="-1" w:type="dxa"/>
              <w:right w:w="-1" w:type="dxa"/>
            </w:tcMar>
            <w:vAlign w:val="center"/>
          </w:tcPr>
          <w:p w14:paraId="2A66A937">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序号</w:t>
            </w:r>
          </w:p>
        </w:tc>
        <w:tc>
          <w:tcPr>
            <w:tcW w:w="0" w:type="auto"/>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7D95494E">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0"/>
                <w:sz w:val="24"/>
                <w:szCs w:val="24"/>
                <w:u w:val="none"/>
                <w:lang w:val="en-US" w:eastAsia="zh-CN" w:bidi="ar"/>
              </w:rPr>
              <w:t>项目描述</w:t>
            </w:r>
          </w:p>
        </w:tc>
        <w:tc>
          <w:tcPr>
            <w:tcW w:w="2502" w:type="dxa"/>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379FDD09">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sz w:val="24"/>
                <w:szCs w:val="24"/>
                <w:u w:val="none"/>
                <w:lang w:val="en-US" w:eastAsia="zh-CN"/>
              </w:rPr>
              <w:t>规格要求描述</w:t>
            </w:r>
          </w:p>
        </w:tc>
        <w:tc>
          <w:tcPr>
            <w:tcW w:w="2251" w:type="dxa"/>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6096E125">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2"/>
                <w:sz w:val="24"/>
                <w:szCs w:val="24"/>
                <w:u w:val="none"/>
                <w:lang w:val="en-US" w:eastAsia="zh-CN" w:bidi="ar-SA"/>
              </w:rPr>
            </w:pPr>
            <w:r>
              <w:rPr>
                <w:rFonts w:hint="eastAsia" w:asciiTheme="minorEastAsia" w:hAnsiTheme="minorEastAsia" w:eastAsiaTheme="minorEastAsia" w:cstheme="minorEastAsia"/>
                <w:b/>
                <w:bCs/>
                <w:i w:val="0"/>
                <w:iCs w:val="0"/>
                <w:color w:val="000000"/>
                <w:kern w:val="2"/>
                <w:sz w:val="24"/>
                <w:szCs w:val="24"/>
                <w:u w:val="none"/>
                <w:lang w:val="en-US" w:eastAsia="zh-CN" w:bidi="ar-SA"/>
              </w:rPr>
              <w:t>作业要求</w:t>
            </w:r>
          </w:p>
        </w:tc>
        <w:tc>
          <w:tcPr>
            <w:tcW w:w="0" w:type="auto"/>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78436824">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数量</w:t>
            </w:r>
          </w:p>
        </w:tc>
        <w:tc>
          <w:tcPr>
            <w:tcW w:w="0" w:type="auto"/>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0B877B00">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eastAsiaTheme="minorEastAsia" w:cstheme="minorEastAsia"/>
                <w:b/>
                <w:bCs/>
                <w:i w:val="0"/>
                <w:iCs w:val="0"/>
                <w:color w:val="000000"/>
                <w:kern w:val="0"/>
                <w:sz w:val="24"/>
                <w:szCs w:val="24"/>
                <w:u w:val="none"/>
                <w:lang w:val="en-US" w:eastAsia="zh-CN" w:bidi="ar"/>
              </w:rPr>
              <w:t>单位</w:t>
            </w:r>
          </w:p>
        </w:tc>
        <w:tc>
          <w:tcPr>
            <w:tcW w:w="0" w:type="auto"/>
            <w:tcBorders>
              <w:top w:val="single" w:color="auto" w:sz="12" w:space="0"/>
              <w:left w:val="single" w:color="auto" w:sz="4" w:space="0"/>
              <w:bottom w:val="nil"/>
              <w:right w:val="nil"/>
            </w:tcBorders>
            <w:shd w:val="clear" w:color="auto" w:fill="auto"/>
            <w:noWrap w:val="0"/>
            <w:tcMar>
              <w:top w:w="-1" w:type="dxa"/>
              <w:left w:w="-1" w:type="dxa"/>
              <w:bottom w:w="-1" w:type="dxa"/>
              <w:right w:w="-1" w:type="dxa"/>
            </w:tcMar>
            <w:vAlign w:val="center"/>
          </w:tcPr>
          <w:p w14:paraId="2F112976">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含税单项金额</w:t>
            </w:r>
          </w:p>
        </w:tc>
        <w:tc>
          <w:tcPr>
            <w:tcW w:w="970" w:type="dxa"/>
            <w:tcBorders>
              <w:top w:val="single" w:color="auto" w:sz="12" w:space="0"/>
              <w:left w:val="single" w:color="auto" w:sz="4" w:space="0"/>
              <w:bottom w:val="nil"/>
              <w:right w:val="single" w:color="auto" w:sz="12" w:space="0"/>
            </w:tcBorders>
            <w:shd w:val="clear" w:color="auto" w:fill="auto"/>
            <w:noWrap w:val="0"/>
            <w:tcMar>
              <w:top w:w="-1" w:type="dxa"/>
              <w:left w:w="-1" w:type="dxa"/>
              <w:bottom w:w="-1" w:type="dxa"/>
              <w:right w:w="-1" w:type="dxa"/>
            </w:tcMar>
            <w:vAlign w:val="center"/>
          </w:tcPr>
          <w:p w14:paraId="5179D95B">
            <w:pPr>
              <w:keepNext w:val="0"/>
              <w:keepLines w:val="0"/>
              <w:widowControl/>
              <w:suppressLineNumbers w:val="0"/>
              <w:snapToGrid w:val="0"/>
              <w:ind w:left="0" w:leftChars="0" w:right="0" w:rightChars="0" w:firstLine="0" w:firstLineChars="0"/>
              <w:jc w:val="center"/>
              <w:textAlignment w:val="center"/>
              <w:rPr>
                <w:rFonts w:hint="eastAsia" w:asciiTheme="minorEastAsia" w:hAnsi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税率</w:t>
            </w:r>
          </w:p>
          <w:p w14:paraId="46F68C0C">
            <w:pPr>
              <w:keepNext w:val="0"/>
              <w:keepLines w:val="0"/>
              <w:widowControl/>
              <w:suppressLineNumbers w:val="0"/>
              <w:snapToGrid w:val="0"/>
              <w:ind w:left="0" w:leftChars="0" w:right="0" w:rightChars="0" w:firstLine="0" w:firstLineChars="0"/>
              <w:jc w:val="center"/>
              <w:textAlignment w:val="center"/>
              <w:rPr>
                <w:rFonts w:hint="default" w:asciiTheme="minorEastAsia" w:hAnsiTheme="minorEastAsia" w:eastAsiaTheme="minorEastAsia" w:cstheme="minorEastAsia"/>
                <w:b/>
                <w:bCs/>
                <w:i w:val="0"/>
                <w:iCs w:val="0"/>
                <w:color w:val="000000"/>
                <w:kern w:val="0"/>
                <w:sz w:val="24"/>
                <w:szCs w:val="24"/>
                <w:u w:val="none"/>
                <w:lang w:val="en-US" w:eastAsia="zh-CN" w:bidi="ar"/>
              </w:rPr>
            </w:pPr>
            <w:r>
              <w:rPr>
                <w:rFonts w:hint="eastAsia" w:asciiTheme="minorEastAsia" w:hAnsiTheme="minorEastAsia" w:cstheme="minorEastAsia"/>
                <w:b/>
                <w:bCs/>
                <w:i w:val="0"/>
                <w:iCs w:val="0"/>
                <w:color w:val="000000"/>
                <w:kern w:val="0"/>
                <w:sz w:val="24"/>
                <w:szCs w:val="24"/>
                <w:u w:val="none"/>
                <w:lang w:val="en-US" w:eastAsia="zh-CN" w:bidi="ar"/>
              </w:rPr>
              <w:t>（3%或6%）</w:t>
            </w:r>
          </w:p>
        </w:tc>
      </w:tr>
      <w:tr w14:paraId="4E3BAFC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02B67B66">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380C042">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室内非生产区环境、厂区外环境区域；</w:t>
            </w:r>
          </w:p>
        </w:tc>
        <w:tc>
          <w:tcPr>
            <w:tcW w:w="250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0803A3">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进行专项消杀服务（预防性药物喷洒，粘鼠板、毒饵盒 消杀物资检查和更换）</w:t>
            </w:r>
          </w:p>
        </w:tc>
        <w:tc>
          <w:tcPr>
            <w:tcW w:w="22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0A3501">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每月作业2次，每次间隔时间最长不多于15天，包括拆除、更换全部人工及物料</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5B72FC45">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0CA2E8C5">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项</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FF5D5BE">
            <w:pPr>
              <w:numPr>
                <w:ilvl w:val="0"/>
                <w:numId w:val="0"/>
              </w:numPr>
              <w:snapToGrid w:val="0"/>
              <w:spacing w:line="240" w:lineRule="auto"/>
              <w:ind w:left="0" w:leftChars="0" w:right="0" w:rightChars="0" w:firstLine="0" w:firstLineChars="0"/>
              <w:jc w:val="left"/>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****元</w:t>
            </w:r>
          </w:p>
        </w:tc>
        <w:tc>
          <w:tcPr>
            <w:tcW w:w="97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497DCA83">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p>
        </w:tc>
      </w:tr>
      <w:tr w14:paraId="4753E917">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666A4039">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2</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783D33B">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室内生产环境区域；</w:t>
            </w:r>
          </w:p>
        </w:tc>
        <w:tc>
          <w:tcPr>
            <w:tcW w:w="250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B184246">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进行专项消杀服务（粘鼠板、防爆灭蝇灯、灭蝇灯纸、灯管、毒饵盒 消杀物资检查和更换）</w:t>
            </w:r>
          </w:p>
        </w:tc>
        <w:tc>
          <w:tcPr>
            <w:tcW w:w="22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314108E4">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每月作业4次，每次间隔时间最长不多于8天，包括拆除、更换全部人工及物料</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42BE93C">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6363E0">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项</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185D6D78">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****元</w:t>
            </w:r>
          </w:p>
        </w:tc>
        <w:tc>
          <w:tcPr>
            <w:tcW w:w="97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1E55C2D1">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p>
        </w:tc>
      </w:tr>
      <w:tr w14:paraId="5C57ABFF">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79949CCC">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3</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25B2C2C6">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全厂区域</w:t>
            </w:r>
          </w:p>
        </w:tc>
        <w:tc>
          <w:tcPr>
            <w:tcW w:w="2502"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2C26295A">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进行专项消杀服务（杀蟑胶饵的更换、新蟑螂栖息地的排查）</w:t>
            </w:r>
          </w:p>
        </w:tc>
        <w:tc>
          <w:tcPr>
            <w:tcW w:w="2251" w:type="dxa"/>
            <w:tcBorders>
              <w:top w:val="single" w:color="auto" w:sz="4" w:space="0"/>
              <w:left w:val="single" w:color="auto" w:sz="4" w:space="0"/>
              <w:bottom w:val="nil"/>
              <w:right w:val="nil"/>
            </w:tcBorders>
            <w:noWrap w:val="0"/>
            <w:tcMar>
              <w:top w:w="-1" w:type="dxa"/>
              <w:left w:w="-1" w:type="dxa"/>
              <w:bottom w:w="-1" w:type="dxa"/>
              <w:right w:w="-1" w:type="dxa"/>
            </w:tcMar>
            <w:vAlign w:val="center"/>
          </w:tcPr>
          <w:p w14:paraId="56347BEF">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每月作业1次，包括拆除、更换全部人工及物料</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D341630">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1</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4ADB8F3B">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b w:val="0"/>
                <w:bCs/>
                <w:sz w:val="24"/>
                <w:szCs w:val="24"/>
                <w:vertAlign w:val="baseline"/>
                <w:lang w:val="en-US" w:eastAsia="zh-CN"/>
              </w:rPr>
              <w:t>项</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9FAC7F5">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****元</w:t>
            </w:r>
          </w:p>
        </w:tc>
        <w:tc>
          <w:tcPr>
            <w:tcW w:w="97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206077CF">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p>
        </w:tc>
      </w:tr>
      <w:tr w14:paraId="58B21E50">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0" w:type="auto"/>
            <w:tcBorders>
              <w:top w:val="single" w:color="auto" w:sz="4" w:space="0"/>
              <w:left w:val="single" w:color="auto" w:sz="12" w:space="0"/>
              <w:bottom w:val="nil"/>
              <w:right w:val="nil"/>
            </w:tcBorders>
            <w:noWrap w:val="0"/>
            <w:tcMar>
              <w:top w:w="-1" w:type="dxa"/>
              <w:left w:w="-1" w:type="dxa"/>
              <w:bottom w:w="-1" w:type="dxa"/>
              <w:right w:w="-1" w:type="dxa"/>
            </w:tcMar>
            <w:vAlign w:val="center"/>
          </w:tcPr>
          <w:p w14:paraId="21FDD2AF">
            <w:pPr>
              <w:numPr>
                <w:ilvl w:val="0"/>
                <w:numId w:val="0"/>
              </w:numPr>
              <w:snapToGrid w:val="0"/>
              <w:spacing w:line="240" w:lineRule="auto"/>
              <w:ind w:left="0" w:leftChars="0" w:right="0" w:rightChars="0" w:firstLine="0" w:firstLineChars="0"/>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4</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6F998ABE">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rPr>
              <w:t>药品器械费</w:t>
            </w:r>
          </w:p>
        </w:tc>
        <w:tc>
          <w:tcPr>
            <w:tcW w:w="5785" w:type="dxa"/>
            <w:gridSpan w:val="4"/>
            <w:tcBorders>
              <w:top w:val="single" w:color="auto" w:sz="4" w:space="0"/>
              <w:left w:val="single" w:color="auto" w:sz="4" w:space="0"/>
              <w:bottom w:val="nil"/>
              <w:right w:val="nil"/>
            </w:tcBorders>
            <w:noWrap w:val="0"/>
            <w:tcMar>
              <w:top w:w="-1" w:type="dxa"/>
              <w:left w:w="-1" w:type="dxa"/>
              <w:bottom w:w="-1" w:type="dxa"/>
              <w:right w:w="-1" w:type="dxa"/>
            </w:tcMar>
            <w:vAlign w:val="center"/>
          </w:tcPr>
          <w:p w14:paraId="193768F0">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lang w:val="en-US" w:eastAsia="zh-CN"/>
              </w:rPr>
              <w:t>费用包含人工管理作业</w:t>
            </w:r>
          </w:p>
        </w:tc>
        <w:tc>
          <w:tcPr>
            <w:tcW w:w="0" w:type="auto"/>
            <w:tcBorders>
              <w:top w:val="single" w:color="auto" w:sz="4" w:space="0"/>
              <w:left w:val="single" w:color="auto" w:sz="4" w:space="0"/>
              <w:bottom w:val="nil"/>
              <w:right w:val="nil"/>
            </w:tcBorders>
            <w:noWrap w:val="0"/>
            <w:tcMar>
              <w:top w:w="-1" w:type="dxa"/>
              <w:left w:w="-1" w:type="dxa"/>
              <w:bottom w:w="-1" w:type="dxa"/>
              <w:right w:w="-1" w:type="dxa"/>
            </w:tcMar>
            <w:vAlign w:val="center"/>
          </w:tcPr>
          <w:p w14:paraId="3496FE1A">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sz w:val="24"/>
                <w:szCs w:val="24"/>
                <w:vertAlign w:val="baseline"/>
                <w:lang w:val="en-US" w:eastAsia="zh-CN"/>
              </w:rPr>
              <w:t>****元</w:t>
            </w:r>
          </w:p>
        </w:tc>
        <w:tc>
          <w:tcPr>
            <w:tcW w:w="970" w:type="dxa"/>
            <w:tcBorders>
              <w:top w:val="single" w:color="auto" w:sz="4" w:space="0"/>
              <w:left w:val="single" w:color="auto" w:sz="4" w:space="0"/>
              <w:bottom w:val="nil"/>
              <w:right w:val="single" w:color="auto" w:sz="12" w:space="0"/>
            </w:tcBorders>
            <w:noWrap w:val="0"/>
            <w:tcMar>
              <w:top w:w="-1" w:type="dxa"/>
              <w:left w:w="-1" w:type="dxa"/>
              <w:bottom w:w="-1" w:type="dxa"/>
              <w:right w:w="-1" w:type="dxa"/>
            </w:tcMar>
            <w:vAlign w:val="center"/>
          </w:tcPr>
          <w:p w14:paraId="6F63308E">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p>
        </w:tc>
      </w:tr>
      <w:tr w14:paraId="1289DB0A">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503" w:type="dxa"/>
            <w:tcBorders>
              <w:top w:val="single" w:color="auto" w:sz="4" w:space="0"/>
              <w:left w:val="single" w:color="auto" w:sz="12" w:space="0"/>
              <w:bottom w:val="single" w:color="auto" w:sz="4" w:space="0"/>
              <w:right w:val="nil"/>
            </w:tcBorders>
            <w:noWrap w:val="0"/>
            <w:tcMar>
              <w:top w:w="-1" w:type="dxa"/>
              <w:left w:w="-1" w:type="dxa"/>
              <w:bottom w:w="-1" w:type="dxa"/>
              <w:right w:w="-1" w:type="dxa"/>
            </w:tcMar>
            <w:vAlign w:val="center"/>
          </w:tcPr>
          <w:p w14:paraId="3FC10E22">
            <w:pPr>
              <w:numPr>
                <w:ilvl w:val="0"/>
                <w:numId w:val="0"/>
              </w:numPr>
              <w:snapToGrid w:val="0"/>
              <w:spacing w:line="240" w:lineRule="auto"/>
              <w:ind w:left="0" w:leftChars="0" w:right="0" w:rightChars="0" w:firstLine="0" w:firstLineChars="0"/>
              <w:jc w:val="center"/>
              <w:rPr>
                <w:rFonts w:hint="default"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cstheme="minorEastAsia"/>
                <w:b w:val="0"/>
                <w:bCs/>
                <w:sz w:val="24"/>
                <w:szCs w:val="24"/>
                <w:vertAlign w:val="baseline"/>
                <w:lang w:val="en-US" w:eastAsia="zh-CN"/>
              </w:rPr>
              <w:t>5</w:t>
            </w:r>
          </w:p>
        </w:tc>
        <w:tc>
          <w:tcPr>
            <w:tcW w:w="1480"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1E431FAA">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rPr>
              <w:t>灭虫设备</w:t>
            </w:r>
          </w:p>
        </w:tc>
        <w:tc>
          <w:tcPr>
            <w:tcW w:w="5785" w:type="dxa"/>
            <w:gridSpan w:val="4"/>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4F45C18E">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b w:val="0"/>
                <w:bCs/>
                <w:sz w:val="24"/>
                <w:szCs w:val="24"/>
                <w:vertAlign w:val="baseline"/>
                <w:lang w:val="en-US" w:eastAsia="zh-CN"/>
              </w:rPr>
            </w:pPr>
            <w:r>
              <w:rPr>
                <w:rFonts w:hint="eastAsia" w:asciiTheme="minorEastAsia" w:hAnsiTheme="minorEastAsia" w:eastAsiaTheme="minorEastAsia" w:cstheme="minorEastAsia"/>
                <w:sz w:val="24"/>
                <w:szCs w:val="24"/>
                <w:lang w:val="en-US" w:eastAsia="zh-CN"/>
              </w:rPr>
              <w:t>费用包含人工管理作业</w:t>
            </w:r>
          </w:p>
        </w:tc>
        <w:tc>
          <w:tcPr>
            <w:tcW w:w="1116" w:type="dxa"/>
            <w:tcBorders>
              <w:top w:val="single" w:color="auto" w:sz="4" w:space="0"/>
              <w:left w:val="single" w:color="auto" w:sz="4" w:space="0"/>
              <w:bottom w:val="single" w:color="auto" w:sz="4" w:space="0"/>
              <w:right w:val="nil"/>
            </w:tcBorders>
            <w:noWrap w:val="0"/>
            <w:tcMar>
              <w:top w:w="-1" w:type="dxa"/>
              <w:left w:w="-1" w:type="dxa"/>
              <w:bottom w:w="-1" w:type="dxa"/>
              <w:right w:w="-1" w:type="dxa"/>
            </w:tcMar>
            <w:vAlign w:val="center"/>
          </w:tcPr>
          <w:p w14:paraId="032D28FE">
            <w:pPr>
              <w:numPr>
                <w:ilvl w:val="0"/>
                <w:numId w:val="0"/>
              </w:numPr>
              <w:snapToGrid w:val="0"/>
              <w:spacing w:line="240" w:lineRule="auto"/>
              <w:ind w:left="0" w:leftChars="0" w:right="0" w:rightChars="0" w:firstLine="0" w:firstLineChars="0"/>
              <w:jc w:val="left"/>
              <w:rPr>
                <w:rFonts w:hint="eastAsia" w:asciiTheme="minorEastAsia" w:hAnsiTheme="minorEastAsia" w:eastAsiaTheme="minorEastAsia" w:cstheme="minorEastAsia"/>
                <w:sz w:val="24"/>
                <w:szCs w:val="24"/>
                <w:lang w:val="en-US" w:eastAsia="zh-CN"/>
              </w:rPr>
            </w:pPr>
            <w:r>
              <w:rPr>
                <w:rFonts w:hint="eastAsia" w:asciiTheme="minorEastAsia" w:hAnsiTheme="minorEastAsia" w:cstheme="minorEastAsia"/>
                <w:b w:val="0"/>
                <w:bCs/>
                <w:sz w:val="24"/>
                <w:szCs w:val="24"/>
                <w:vertAlign w:val="baseline"/>
                <w:lang w:val="en-US" w:eastAsia="zh-CN"/>
              </w:rPr>
              <w:t>****元</w:t>
            </w:r>
          </w:p>
        </w:tc>
        <w:tc>
          <w:tcPr>
            <w:tcW w:w="970" w:type="dxa"/>
            <w:tcBorders>
              <w:top w:val="single" w:color="auto" w:sz="4" w:space="0"/>
              <w:left w:val="single" w:color="auto" w:sz="4" w:space="0"/>
              <w:bottom w:val="single" w:color="auto" w:sz="4" w:space="0"/>
              <w:right w:val="single" w:color="auto" w:sz="12" w:space="0"/>
            </w:tcBorders>
            <w:noWrap w:val="0"/>
            <w:tcMar>
              <w:top w:w="-1" w:type="dxa"/>
              <w:left w:w="-1" w:type="dxa"/>
              <w:bottom w:w="-1" w:type="dxa"/>
              <w:right w:w="-1" w:type="dxa"/>
            </w:tcMar>
            <w:vAlign w:val="center"/>
          </w:tcPr>
          <w:p w14:paraId="1165933B">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p>
        </w:tc>
      </w:tr>
      <w:tr w14:paraId="784DFB3C">
        <w:tblPrEx>
          <w:tblBorders>
            <w:top w:val="none" w:color="auto" w:sz="4" w:space="0"/>
            <w:left w:val="none" w:color="auto" w:sz="4" w:space="0"/>
            <w:bottom w:val="none" w:color="auto" w:sz="4" w:space="0"/>
            <w:right w:val="none" w:color="auto" w:sz="4" w:space="0"/>
            <w:insideH w:val="none" w:color="auto" w:sz="4" w:space="0"/>
            <w:insideV w:val="none" w:color="auto" w:sz="4" w:space="0"/>
          </w:tblBorders>
          <w:tblCellMar>
            <w:top w:w="0" w:type="dxa"/>
            <w:left w:w="108" w:type="dxa"/>
            <w:bottom w:w="0" w:type="dxa"/>
            <w:right w:w="108" w:type="dxa"/>
          </w:tblCellMar>
        </w:tblPrEx>
        <w:trPr>
          <w:trHeight w:val="0" w:hRule="atLeast"/>
          <w:jc w:val="center"/>
        </w:trPr>
        <w:tc>
          <w:tcPr>
            <w:tcW w:w="7768" w:type="dxa"/>
            <w:gridSpan w:val="6"/>
            <w:tcBorders>
              <w:top w:val="single" w:color="auto" w:sz="4" w:space="0"/>
              <w:left w:val="single" w:color="auto" w:sz="12" w:space="0"/>
              <w:bottom w:val="single" w:color="auto" w:sz="12" w:space="0"/>
              <w:right w:val="nil"/>
            </w:tcBorders>
            <w:noWrap w:val="0"/>
            <w:tcMar>
              <w:top w:w="-1" w:type="dxa"/>
              <w:left w:w="-1" w:type="dxa"/>
              <w:bottom w:w="-1" w:type="dxa"/>
              <w:right w:w="-1" w:type="dxa"/>
            </w:tcMar>
            <w:vAlign w:val="center"/>
          </w:tcPr>
          <w:p w14:paraId="07CF916E">
            <w:pPr>
              <w:numPr>
                <w:ilvl w:val="0"/>
                <w:numId w:val="0"/>
              </w:numPr>
              <w:snapToGrid w:val="0"/>
              <w:spacing w:line="240" w:lineRule="auto"/>
              <w:ind w:left="0" w:leftChars="0" w:right="0" w:rightChars="0" w:firstLine="0" w:firstLineChars="0"/>
              <w:jc w:val="center"/>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含税总金额</w:t>
            </w:r>
          </w:p>
        </w:tc>
        <w:tc>
          <w:tcPr>
            <w:tcW w:w="1116" w:type="dxa"/>
            <w:tcBorders>
              <w:top w:val="single" w:color="auto" w:sz="4" w:space="0"/>
              <w:left w:val="single" w:color="auto" w:sz="4" w:space="0"/>
              <w:bottom w:val="single" w:color="auto" w:sz="12" w:space="0"/>
              <w:right w:val="nil"/>
            </w:tcBorders>
            <w:noWrap w:val="0"/>
            <w:tcMar>
              <w:top w:w="-1" w:type="dxa"/>
              <w:left w:w="-1" w:type="dxa"/>
              <w:bottom w:w="-1" w:type="dxa"/>
              <w:right w:w="-1" w:type="dxa"/>
            </w:tcMar>
            <w:vAlign w:val="center"/>
          </w:tcPr>
          <w:p w14:paraId="591568D9">
            <w:pPr>
              <w:numPr>
                <w:ilvl w:val="0"/>
                <w:numId w:val="0"/>
              </w:numPr>
              <w:snapToGrid w:val="0"/>
              <w:spacing w:line="240" w:lineRule="auto"/>
              <w:ind w:left="0" w:leftChars="0" w:right="0" w:rightChars="0" w:firstLine="0" w:firstLineChars="0"/>
              <w:jc w:val="left"/>
              <w:rPr>
                <w:rFonts w:hint="default" w:asciiTheme="minorEastAsia" w:hAnsiTheme="minorEastAsia" w:eastAsiaTheme="minorEastAsia" w:cstheme="minorEastAsia"/>
                <w:sz w:val="24"/>
                <w:szCs w:val="24"/>
                <w:lang w:val="en-US" w:eastAsia="zh-CN"/>
              </w:rPr>
            </w:pPr>
            <w:r>
              <w:rPr>
                <w:rFonts w:hint="eastAsia" w:asciiTheme="minorEastAsia" w:hAnsiTheme="minorEastAsia" w:cstheme="minorEastAsia"/>
                <w:sz w:val="24"/>
                <w:szCs w:val="24"/>
                <w:lang w:val="en-US" w:eastAsia="zh-CN"/>
              </w:rPr>
              <w:t>*****元</w:t>
            </w:r>
          </w:p>
        </w:tc>
        <w:tc>
          <w:tcPr>
            <w:tcW w:w="970" w:type="dxa"/>
            <w:tcBorders>
              <w:top w:val="single" w:color="auto" w:sz="4" w:space="0"/>
              <w:left w:val="single" w:color="auto" w:sz="4" w:space="0"/>
              <w:bottom w:val="single" w:color="auto" w:sz="12" w:space="0"/>
              <w:right w:val="single" w:color="auto" w:sz="12" w:space="0"/>
            </w:tcBorders>
            <w:noWrap w:val="0"/>
            <w:tcMar>
              <w:top w:w="-1" w:type="dxa"/>
              <w:left w:w="-1" w:type="dxa"/>
              <w:bottom w:w="-1" w:type="dxa"/>
              <w:right w:w="-1" w:type="dxa"/>
            </w:tcMar>
            <w:vAlign w:val="center"/>
          </w:tcPr>
          <w:p w14:paraId="1CBA5B18">
            <w:pPr>
              <w:numPr>
                <w:ilvl w:val="0"/>
                <w:numId w:val="0"/>
              </w:numPr>
              <w:snapToGrid w:val="0"/>
              <w:spacing w:line="240" w:lineRule="auto"/>
              <w:ind w:left="0" w:leftChars="0" w:right="0" w:rightChars="0" w:firstLine="0" w:firstLineChars="0"/>
              <w:jc w:val="center"/>
              <w:rPr>
                <w:rFonts w:hint="eastAsia" w:asciiTheme="minorEastAsia" w:hAnsiTheme="minorEastAsia" w:eastAsiaTheme="minorEastAsia" w:cstheme="minorEastAsia"/>
                <w:sz w:val="24"/>
                <w:szCs w:val="24"/>
                <w:lang w:val="en-US" w:eastAsia="zh-CN"/>
              </w:rPr>
            </w:pPr>
          </w:p>
        </w:tc>
      </w:tr>
    </w:tbl>
    <w:p w14:paraId="6023DD46">
      <w:pPr>
        <w:pStyle w:val="10"/>
        <w:widowControl w:val="0"/>
        <w:numPr>
          <w:ilvl w:val="0"/>
          <w:numId w:val="0"/>
        </w:numPr>
        <w:spacing w:line="440" w:lineRule="exact"/>
        <w:jc w:val="both"/>
        <w:outlineLvl w:val="0"/>
        <w:rPr>
          <w:rFonts w:hint="default" w:ascii="宋体" w:hAnsi="宋体" w:cs="宋体"/>
          <w:b/>
          <w:bCs/>
          <w:spacing w:val="-3"/>
          <w:sz w:val="24"/>
          <w:szCs w:val="24"/>
          <w:lang w:val="en-US" w:eastAsia="zh-CN"/>
        </w:rPr>
      </w:pPr>
      <w:r>
        <w:rPr>
          <w:rFonts w:hint="eastAsia" w:ascii="宋体" w:hAnsi="宋体" w:cs="宋体"/>
          <w:b/>
          <w:bCs/>
          <w:spacing w:val="-3"/>
          <w:sz w:val="24"/>
          <w:szCs w:val="24"/>
          <w:lang w:val="en-US" w:eastAsia="zh-CN"/>
        </w:rPr>
        <w:t>服务面积说明</w:t>
      </w:r>
    </w:p>
    <w:tbl>
      <w:tblPr>
        <w:tblStyle w:val="20"/>
        <w:tblW w:w="5024" w:type="pct"/>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autofit"/>
        <w:tblCellMar>
          <w:top w:w="0" w:type="dxa"/>
          <w:left w:w="0" w:type="dxa"/>
          <w:bottom w:w="0" w:type="dxa"/>
          <w:right w:w="0" w:type="dxa"/>
        </w:tblCellMar>
      </w:tblPr>
      <w:tblGrid>
        <w:gridCol w:w="970"/>
        <w:gridCol w:w="5428"/>
        <w:gridCol w:w="818"/>
        <w:gridCol w:w="1130"/>
      </w:tblGrid>
      <w:tr w14:paraId="22CCC2C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3" w:hRule="atLeast"/>
        </w:trPr>
        <w:tc>
          <w:tcPr>
            <w:tcW w:w="581" w:type="pct"/>
            <w:vAlign w:val="top"/>
          </w:tcPr>
          <w:p w14:paraId="09CDEE31">
            <w:pPr>
              <w:pStyle w:val="19"/>
              <w:spacing w:before="198" w:line="220" w:lineRule="auto"/>
              <w:ind w:left="3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区域</w:t>
            </w:r>
          </w:p>
        </w:tc>
        <w:tc>
          <w:tcPr>
            <w:tcW w:w="3250" w:type="pct"/>
            <w:vAlign w:val="top"/>
          </w:tcPr>
          <w:p w14:paraId="10BC4B8B">
            <w:pPr>
              <w:pStyle w:val="19"/>
              <w:spacing w:before="199" w:line="224" w:lineRule="auto"/>
              <w:ind w:left="30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地区</w:t>
            </w:r>
          </w:p>
        </w:tc>
        <w:tc>
          <w:tcPr>
            <w:tcW w:w="490" w:type="pct"/>
            <w:vAlign w:val="top"/>
          </w:tcPr>
          <w:p w14:paraId="68E5DC3F">
            <w:pPr>
              <w:pStyle w:val="19"/>
              <w:spacing w:before="43" w:line="223" w:lineRule="auto"/>
              <w:ind w:left="116" w:right="5" w:firstLine="22"/>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建筑</w:t>
            </w:r>
            <w:r>
              <w:rPr>
                <w:rFonts w:hint="eastAsia" w:asciiTheme="minorEastAsia" w:hAnsiTheme="minorEastAsia" w:eastAsiaTheme="minorEastAsia" w:cstheme="minorEastAsia"/>
                <w:spacing w:val="-5"/>
                <w:sz w:val="24"/>
                <w:szCs w:val="24"/>
                <w:lang w:val="en-US" w:eastAsia="zh-CN"/>
              </w:rPr>
              <w:t>面</w:t>
            </w:r>
            <w:r>
              <w:rPr>
                <w:rFonts w:hint="eastAsia" w:asciiTheme="minorEastAsia" w:hAnsiTheme="minorEastAsia" w:eastAsiaTheme="minorEastAsia" w:cstheme="minorEastAsia"/>
                <w:spacing w:val="-28"/>
                <w:sz w:val="24"/>
                <w:szCs w:val="24"/>
              </w:rPr>
              <w:t>积（㎡）</w:t>
            </w:r>
          </w:p>
        </w:tc>
        <w:tc>
          <w:tcPr>
            <w:tcW w:w="676" w:type="pct"/>
            <w:vAlign w:val="top"/>
          </w:tcPr>
          <w:p w14:paraId="16FBC7DE">
            <w:pPr>
              <w:pStyle w:val="19"/>
              <w:spacing w:before="199" w:line="219" w:lineRule="auto"/>
              <w:ind w:left="3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层数</w:t>
            </w:r>
          </w:p>
        </w:tc>
      </w:tr>
      <w:tr w14:paraId="4EA461E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19" w:hRule="atLeast"/>
        </w:trPr>
        <w:tc>
          <w:tcPr>
            <w:tcW w:w="581" w:type="pct"/>
            <w:vMerge w:val="restart"/>
            <w:tcBorders>
              <w:bottom w:val="nil"/>
            </w:tcBorders>
            <w:vAlign w:val="top"/>
          </w:tcPr>
          <w:p w14:paraId="7908C92B">
            <w:pPr>
              <w:pStyle w:val="19"/>
              <w:spacing w:before="209" w:line="232" w:lineRule="auto"/>
              <w:ind w:left="476" w:right="212" w:hanging="25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非生产</w:t>
            </w:r>
            <w:r>
              <w:rPr>
                <w:rFonts w:hint="eastAsia" w:asciiTheme="minorEastAsia" w:hAnsiTheme="minorEastAsia" w:eastAsiaTheme="minorEastAsia" w:cstheme="minorEastAsia"/>
                <w:sz w:val="24"/>
                <w:szCs w:val="24"/>
              </w:rPr>
              <w:t xml:space="preserve"> 区</w:t>
            </w:r>
          </w:p>
        </w:tc>
        <w:tc>
          <w:tcPr>
            <w:tcW w:w="3250" w:type="pct"/>
            <w:vAlign w:val="top"/>
          </w:tcPr>
          <w:p w14:paraId="2D0ABD2E">
            <w:pPr>
              <w:pStyle w:val="19"/>
              <w:spacing w:before="38" w:line="208" w:lineRule="auto"/>
              <w:ind w:left="109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
                <w:sz w:val="24"/>
                <w:szCs w:val="24"/>
              </w:rPr>
              <w:t>办公楼（含卫生间、活动区、配电室</w:t>
            </w:r>
            <w:r>
              <w:rPr>
                <w:rFonts w:hint="eastAsia" w:asciiTheme="minorEastAsia" w:hAnsiTheme="minorEastAsia" w:eastAsiaTheme="minorEastAsia" w:cstheme="minorEastAsia"/>
                <w:spacing w:val="-1"/>
                <w:sz w:val="24"/>
                <w:szCs w:val="24"/>
                <w:lang w:eastAsia="zh-CN"/>
              </w:rPr>
              <w:t xml:space="preserve"> </w:t>
            </w:r>
            <w:r>
              <w:rPr>
                <w:rFonts w:hint="eastAsia" w:asciiTheme="minorEastAsia" w:hAnsiTheme="minorEastAsia" w:eastAsiaTheme="minorEastAsia" w:cstheme="minorEastAsia"/>
                <w:spacing w:val="-1"/>
                <w:sz w:val="24"/>
                <w:szCs w:val="24"/>
              </w:rPr>
              <w:t>）</w:t>
            </w:r>
          </w:p>
        </w:tc>
        <w:tc>
          <w:tcPr>
            <w:tcW w:w="490" w:type="pct"/>
            <w:vAlign w:val="top"/>
          </w:tcPr>
          <w:p w14:paraId="3153C964">
            <w:pPr>
              <w:pStyle w:val="19"/>
              <w:spacing w:before="76" w:line="179" w:lineRule="auto"/>
              <w:ind w:left="25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4528</w:t>
            </w:r>
          </w:p>
        </w:tc>
        <w:tc>
          <w:tcPr>
            <w:tcW w:w="676" w:type="pct"/>
            <w:vAlign w:val="top"/>
          </w:tcPr>
          <w:p w14:paraId="7BE28BD1">
            <w:pPr>
              <w:pStyle w:val="19"/>
              <w:spacing w:before="75" w:line="1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1-3F</w:t>
            </w:r>
          </w:p>
        </w:tc>
      </w:tr>
      <w:tr w14:paraId="1173971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7E6D3B45">
            <w:pPr>
              <w:rPr>
                <w:rFonts w:hint="eastAsia" w:asciiTheme="minorEastAsia" w:hAnsiTheme="minorEastAsia" w:eastAsiaTheme="minorEastAsia" w:cstheme="minorEastAsia"/>
                <w:sz w:val="24"/>
                <w:szCs w:val="24"/>
              </w:rPr>
            </w:pPr>
          </w:p>
        </w:tc>
        <w:tc>
          <w:tcPr>
            <w:tcW w:w="3250" w:type="pct"/>
            <w:vAlign w:val="top"/>
          </w:tcPr>
          <w:p w14:paraId="7AE95A62">
            <w:pPr>
              <w:pStyle w:val="19"/>
              <w:spacing w:before="40" w:line="207" w:lineRule="auto"/>
              <w:ind w:left="30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食堂</w:t>
            </w:r>
          </w:p>
        </w:tc>
        <w:tc>
          <w:tcPr>
            <w:tcW w:w="490" w:type="pct"/>
            <w:vAlign w:val="top"/>
          </w:tcPr>
          <w:p w14:paraId="3E50D831">
            <w:pPr>
              <w:pStyle w:val="19"/>
              <w:spacing w:before="77" w:line="179" w:lineRule="auto"/>
              <w:ind w:left="2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1446</w:t>
            </w:r>
          </w:p>
        </w:tc>
        <w:tc>
          <w:tcPr>
            <w:tcW w:w="676" w:type="pct"/>
            <w:vAlign w:val="top"/>
          </w:tcPr>
          <w:p w14:paraId="1190CD5C">
            <w:pPr>
              <w:pStyle w:val="19"/>
              <w:spacing w:before="77" w:line="17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1-2F</w:t>
            </w:r>
          </w:p>
        </w:tc>
      </w:tr>
      <w:tr w14:paraId="58716F3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tcBorders>
            <w:vAlign w:val="top"/>
          </w:tcPr>
          <w:p w14:paraId="65B776B6">
            <w:pPr>
              <w:rPr>
                <w:rFonts w:hint="eastAsia" w:asciiTheme="minorEastAsia" w:hAnsiTheme="minorEastAsia" w:eastAsiaTheme="minorEastAsia" w:cstheme="minorEastAsia"/>
                <w:sz w:val="24"/>
                <w:szCs w:val="24"/>
              </w:rPr>
            </w:pPr>
          </w:p>
        </w:tc>
        <w:tc>
          <w:tcPr>
            <w:tcW w:w="3250" w:type="pct"/>
            <w:vAlign w:val="top"/>
          </w:tcPr>
          <w:p w14:paraId="1D3ED65C">
            <w:pPr>
              <w:pStyle w:val="19"/>
              <w:spacing w:before="39" w:line="208" w:lineRule="auto"/>
              <w:ind w:left="300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宿舍</w:t>
            </w:r>
          </w:p>
        </w:tc>
        <w:tc>
          <w:tcPr>
            <w:tcW w:w="490" w:type="pct"/>
            <w:vAlign w:val="top"/>
          </w:tcPr>
          <w:p w14:paraId="4715202A">
            <w:pPr>
              <w:pStyle w:val="19"/>
              <w:spacing w:before="77" w:line="179" w:lineRule="auto"/>
              <w:ind w:left="2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3380</w:t>
            </w:r>
          </w:p>
        </w:tc>
        <w:tc>
          <w:tcPr>
            <w:tcW w:w="676" w:type="pct"/>
            <w:vAlign w:val="top"/>
          </w:tcPr>
          <w:p w14:paraId="6B17688E">
            <w:pPr>
              <w:pStyle w:val="19"/>
              <w:spacing w:before="77" w:line="17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1-5F</w:t>
            </w:r>
          </w:p>
        </w:tc>
      </w:tr>
      <w:tr w14:paraId="5EC2B77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restart"/>
            <w:tcBorders>
              <w:bottom w:val="nil"/>
            </w:tcBorders>
            <w:vAlign w:val="top"/>
          </w:tcPr>
          <w:p w14:paraId="14A03D44">
            <w:pPr>
              <w:spacing w:line="271" w:lineRule="auto"/>
              <w:rPr>
                <w:rFonts w:hint="eastAsia" w:asciiTheme="minorEastAsia" w:hAnsiTheme="minorEastAsia" w:eastAsiaTheme="minorEastAsia" w:cstheme="minorEastAsia"/>
                <w:sz w:val="24"/>
                <w:szCs w:val="24"/>
              </w:rPr>
            </w:pPr>
          </w:p>
          <w:p w14:paraId="11CE2674">
            <w:pPr>
              <w:spacing w:line="272" w:lineRule="auto"/>
              <w:rPr>
                <w:rFonts w:hint="eastAsia" w:asciiTheme="minorEastAsia" w:hAnsiTheme="minorEastAsia" w:eastAsiaTheme="minorEastAsia" w:cstheme="minorEastAsia"/>
                <w:sz w:val="24"/>
                <w:szCs w:val="24"/>
              </w:rPr>
            </w:pPr>
          </w:p>
          <w:p w14:paraId="40134246">
            <w:pPr>
              <w:spacing w:line="272" w:lineRule="auto"/>
              <w:rPr>
                <w:rFonts w:hint="eastAsia" w:asciiTheme="minorEastAsia" w:hAnsiTheme="minorEastAsia" w:eastAsiaTheme="minorEastAsia" w:cstheme="minorEastAsia"/>
                <w:sz w:val="24"/>
                <w:szCs w:val="24"/>
              </w:rPr>
            </w:pPr>
          </w:p>
          <w:p w14:paraId="24105C94">
            <w:pPr>
              <w:spacing w:line="272" w:lineRule="auto"/>
              <w:rPr>
                <w:rFonts w:hint="eastAsia" w:asciiTheme="minorEastAsia" w:hAnsiTheme="minorEastAsia" w:eastAsiaTheme="minorEastAsia" w:cstheme="minorEastAsia"/>
                <w:sz w:val="24"/>
                <w:szCs w:val="24"/>
              </w:rPr>
            </w:pPr>
          </w:p>
          <w:p w14:paraId="1C5A04CD">
            <w:pPr>
              <w:pStyle w:val="19"/>
              <w:spacing w:before="78" w:line="219" w:lineRule="auto"/>
              <w:ind w:left="22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生产区</w:t>
            </w:r>
          </w:p>
        </w:tc>
        <w:tc>
          <w:tcPr>
            <w:tcW w:w="3250" w:type="pct"/>
            <w:vAlign w:val="top"/>
          </w:tcPr>
          <w:p w14:paraId="7E4D9DB0">
            <w:pPr>
              <w:pStyle w:val="19"/>
              <w:spacing w:before="38" w:line="209" w:lineRule="auto"/>
              <w:ind w:left="265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原辅料库房</w:t>
            </w:r>
          </w:p>
        </w:tc>
        <w:tc>
          <w:tcPr>
            <w:tcW w:w="490" w:type="pct"/>
            <w:vAlign w:val="top"/>
          </w:tcPr>
          <w:p w14:paraId="7292783F">
            <w:pPr>
              <w:pStyle w:val="19"/>
              <w:spacing w:before="76" w:line="180" w:lineRule="auto"/>
              <w:ind w:left="27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1492</w:t>
            </w:r>
          </w:p>
        </w:tc>
        <w:tc>
          <w:tcPr>
            <w:tcW w:w="676" w:type="pct"/>
            <w:vAlign w:val="top"/>
          </w:tcPr>
          <w:p w14:paraId="46AED743">
            <w:pPr>
              <w:pStyle w:val="19"/>
              <w:spacing w:before="76" w:line="180"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405D663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22CF91AB">
            <w:pPr>
              <w:rPr>
                <w:rFonts w:hint="eastAsia" w:asciiTheme="minorEastAsia" w:hAnsiTheme="minorEastAsia" w:eastAsiaTheme="minorEastAsia" w:cstheme="minorEastAsia"/>
                <w:sz w:val="24"/>
                <w:szCs w:val="24"/>
              </w:rPr>
            </w:pPr>
          </w:p>
        </w:tc>
        <w:tc>
          <w:tcPr>
            <w:tcW w:w="3250" w:type="pct"/>
            <w:vAlign w:val="top"/>
          </w:tcPr>
          <w:p w14:paraId="2FA7888B">
            <w:pPr>
              <w:pStyle w:val="19"/>
              <w:spacing w:before="39" w:line="208" w:lineRule="auto"/>
              <w:ind w:left="18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综合物资库房+添加剂库房</w:t>
            </w:r>
          </w:p>
        </w:tc>
        <w:tc>
          <w:tcPr>
            <w:tcW w:w="490" w:type="pct"/>
            <w:vAlign w:val="top"/>
          </w:tcPr>
          <w:p w14:paraId="343A445A">
            <w:pPr>
              <w:pStyle w:val="19"/>
              <w:spacing w:before="78" w:line="178" w:lineRule="auto"/>
              <w:ind w:left="25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6735</w:t>
            </w:r>
          </w:p>
        </w:tc>
        <w:tc>
          <w:tcPr>
            <w:tcW w:w="676" w:type="pct"/>
            <w:vAlign w:val="top"/>
          </w:tcPr>
          <w:p w14:paraId="3DE4EEA3">
            <w:pPr>
              <w:pStyle w:val="19"/>
              <w:spacing w:before="77" w:line="179" w:lineRule="auto"/>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33CB7B0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11282269">
            <w:pPr>
              <w:rPr>
                <w:rFonts w:hint="eastAsia" w:asciiTheme="minorEastAsia" w:hAnsiTheme="minorEastAsia" w:eastAsiaTheme="minorEastAsia" w:cstheme="minorEastAsia"/>
                <w:sz w:val="24"/>
                <w:szCs w:val="24"/>
              </w:rPr>
            </w:pPr>
          </w:p>
        </w:tc>
        <w:tc>
          <w:tcPr>
            <w:tcW w:w="3250" w:type="pct"/>
            <w:vAlign w:val="top"/>
          </w:tcPr>
          <w:p w14:paraId="7A653124">
            <w:pPr>
              <w:pStyle w:val="19"/>
              <w:spacing w:before="39" w:line="208" w:lineRule="auto"/>
              <w:ind w:left="222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糖化车间+上料车间</w:t>
            </w:r>
          </w:p>
        </w:tc>
        <w:tc>
          <w:tcPr>
            <w:tcW w:w="490" w:type="pct"/>
            <w:vAlign w:val="top"/>
          </w:tcPr>
          <w:p w14:paraId="2CB32D56">
            <w:pPr>
              <w:pStyle w:val="19"/>
              <w:spacing w:before="76" w:line="180" w:lineRule="auto"/>
              <w:ind w:left="261"/>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7612</w:t>
            </w:r>
          </w:p>
        </w:tc>
        <w:tc>
          <w:tcPr>
            <w:tcW w:w="676" w:type="pct"/>
            <w:vAlign w:val="top"/>
          </w:tcPr>
          <w:p w14:paraId="270331EA">
            <w:pPr>
              <w:pStyle w:val="19"/>
              <w:spacing w:before="76" w:line="180" w:lineRule="auto"/>
              <w:ind w:firstLine="452" w:firstLineChars="2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1-4F</w:t>
            </w:r>
          </w:p>
        </w:tc>
      </w:tr>
      <w:tr w14:paraId="286677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108BDDE7">
            <w:pPr>
              <w:rPr>
                <w:rFonts w:hint="eastAsia" w:asciiTheme="minorEastAsia" w:hAnsiTheme="minorEastAsia" w:eastAsiaTheme="minorEastAsia" w:cstheme="minorEastAsia"/>
                <w:sz w:val="24"/>
                <w:szCs w:val="24"/>
              </w:rPr>
            </w:pPr>
          </w:p>
        </w:tc>
        <w:tc>
          <w:tcPr>
            <w:tcW w:w="3250" w:type="pct"/>
            <w:vAlign w:val="top"/>
          </w:tcPr>
          <w:p w14:paraId="5CC6C6C5">
            <w:pPr>
              <w:pStyle w:val="19"/>
              <w:spacing w:before="40" w:line="207" w:lineRule="auto"/>
              <w:ind w:left="2769"/>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发酵车间</w:t>
            </w:r>
          </w:p>
        </w:tc>
        <w:tc>
          <w:tcPr>
            <w:tcW w:w="490" w:type="pct"/>
            <w:vAlign w:val="top"/>
          </w:tcPr>
          <w:p w14:paraId="2364D72B">
            <w:pPr>
              <w:pStyle w:val="19"/>
              <w:spacing w:before="77" w:line="179" w:lineRule="auto"/>
              <w:ind w:left="213"/>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13038</w:t>
            </w:r>
          </w:p>
        </w:tc>
        <w:tc>
          <w:tcPr>
            <w:tcW w:w="676" w:type="pct"/>
            <w:vAlign w:val="top"/>
          </w:tcPr>
          <w:p w14:paraId="78C3AE0E">
            <w:pPr>
              <w:pStyle w:val="19"/>
              <w:spacing w:before="77" w:line="179" w:lineRule="auto"/>
              <w:ind w:firstLine="636"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1F0CFFE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6A086D86">
            <w:pPr>
              <w:rPr>
                <w:rFonts w:hint="eastAsia" w:asciiTheme="minorEastAsia" w:hAnsiTheme="minorEastAsia" w:eastAsiaTheme="minorEastAsia" w:cstheme="minorEastAsia"/>
                <w:sz w:val="24"/>
                <w:szCs w:val="24"/>
              </w:rPr>
            </w:pPr>
          </w:p>
        </w:tc>
        <w:tc>
          <w:tcPr>
            <w:tcW w:w="3250" w:type="pct"/>
            <w:vAlign w:val="top"/>
          </w:tcPr>
          <w:p w14:paraId="32FEFED7">
            <w:pPr>
              <w:pStyle w:val="19"/>
              <w:spacing w:before="39" w:line="208" w:lineRule="auto"/>
              <w:ind w:left="2406"/>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动力水处理车间</w:t>
            </w:r>
          </w:p>
        </w:tc>
        <w:tc>
          <w:tcPr>
            <w:tcW w:w="490" w:type="pct"/>
            <w:vAlign w:val="top"/>
          </w:tcPr>
          <w:p w14:paraId="51DC23F5">
            <w:pPr>
              <w:pStyle w:val="19"/>
              <w:spacing w:before="77" w:line="179" w:lineRule="auto"/>
              <w:ind w:left="26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3757</w:t>
            </w:r>
          </w:p>
        </w:tc>
        <w:tc>
          <w:tcPr>
            <w:tcW w:w="676" w:type="pct"/>
            <w:vAlign w:val="top"/>
          </w:tcPr>
          <w:p w14:paraId="164A5492">
            <w:pPr>
              <w:pStyle w:val="19"/>
              <w:spacing w:before="76" w:line="180" w:lineRule="auto"/>
              <w:ind w:firstLine="636" w:firstLineChars="300"/>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1FD560E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81" w:type="pct"/>
            <w:vMerge w:val="continue"/>
            <w:tcBorders>
              <w:top w:val="nil"/>
              <w:bottom w:val="nil"/>
            </w:tcBorders>
            <w:vAlign w:val="top"/>
          </w:tcPr>
          <w:p w14:paraId="37FABB28">
            <w:pPr>
              <w:rPr>
                <w:rFonts w:hint="eastAsia" w:asciiTheme="minorEastAsia" w:hAnsiTheme="minorEastAsia" w:eastAsiaTheme="minorEastAsia" w:cstheme="minorEastAsia"/>
                <w:sz w:val="24"/>
                <w:szCs w:val="24"/>
              </w:rPr>
            </w:pPr>
          </w:p>
        </w:tc>
        <w:tc>
          <w:tcPr>
            <w:tcW w:w="3250" w:type="pct"/>
            <w:vAlign w:val="top"/>
          </w:tcPr>
          <w:p w14:paraId="690D120F">
            <w:pPr>
              <w:pStyle w:val="19"/>
              <w:spacing w:before="197" w:line="219"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包装车间（含观光走廊卫生间、更衣室、吸烟室、休息室</w:t>
            </w:r>
            <w:r>
              <w:rPr>
                <w:rFonts w:hint="eastAsia" w:asciiTheme="minorEastAsia" w:hAnsiTheme="minorEastAsia" w:eastAsiaTheme="minorEastAsia" w:cstheme="minorEastAsia"/>
                <w:spacing w:val="-5"/>
                <w:sz w:val="24"/>
                <w:szCs w:val="24"/>
                <w:lang w:eastAsia="zh-CN"/>
              </w:rPr>
              <w:t xml:space="preserve"> </w:t>
            </w:r>
            <w:r>
              <w:rPr>
                <w:rFonts w:hint="eastAsia" w:asciiTheme="minorEastAsia" w:hAnsiTheme="minorEastAsia" w:eastAsiaTheme="minorEastAsia" w:cstheme="minorEastAsia"/>
                <w:spacing w:val="-5"/>
                <w:sz w:val="24"/>
                <w:szCs w:val="24"/>
              </w:rPr>
              <w:t>）</w:t>
            </w:r>
          </w:p>
        </w:tc>
        <w:tc>
          <w:tcPr>
            <w:tcW w:w="490" w:type="pct"/>
            <w:vAlign w:val="top"/>
          </w:tcPr>
          <w:p w14:paraId="2E864F09">
            <w:pPr>
              <w:pStyle w:val="19"/>
              <w:spacing w:before="234" w:line="183" w:lineRule="auto"/>
              <w:ind w:left="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34753</w:t>
            </w:r>
          </w:p>
        </w:tc>
        <w:tc>
          <w:tcPr>
            <w:tcW w:w="676" w:type="pct"/>
            <w:vAlign w:val="top"/>
          </w:tcPr>
          <w:p w14:paraId="2030CD3F">
            <w:pPr>
              <w:pStyle w:val="19"/>
              <w:spacing w:before="233" w:line="184" w:lineRule="auto"/>
              <w:ind w:left="36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7"/>
                <w:sz w:val="24"/>
                <w:szCs w:val="24"/>
              </w:rPr>
              <w:t>1-2F</w:t>
            </w:r>
          </w:p>
        </w:tc>
      </w:tr>
      <w:tr w14:paraId="4A83720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tcBorders>
            <w:vAlign w:val="top"/>
          </w:tcPr>
          <w:p w14:paraId="4BFCC0BE">
            <w:pPr>
              <w:rPr>
                <w:rFonts w:hint="eastAsia" w:asciiTheme="minorEastAsia" w:hAnsiTheme="minorEastAsia" w:eastAsiaTheme="minorEastAsia" w:cstheme="minorEastAsia"/>
                <w:sz w:val="24"/>
                <w:szCs w:val="24"/>
              </w:rPr>
            </w:pPr>
          </w:p>
        </w:tc>
        <w:tc>
          <w:tcPr>
            <w:tcW w:w="3250" w:type="pct"/>
            <w:vAlign w:val="top"/>
          </w:tcPr>
          <w:p w14:paraId="5FB60BC4">
            <w:pPr>
              <w:pStyle w:val="19"/>
              <w:spacing w:before="40" w:line="207" w:lineRule="auto"/>
              <w:ind w:left="276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成品仓库</w:t>
            </w:r>
          </w:p>
        </w:tc>
        <w:tc>
          <w:tcPr>
            <w:tcW w:w="490" w:type="pct"/>
            <w:vAlign w:val="top"/>
          </w:tcPr>
          <w:p w14:paraId="40429565">
            <w:pPr>
              <w:pStyle w:val="19"/>
              <w:spacing w:before="77" w:line="179" w:lineRule="auto"/>
              <w:ind w:left="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31217</w:t>
            </w:r>
          </w:p>
        </w:tc>
        <w:tc>
          <w:tcPr>
            <w:tcW w:w="676" w:type="pct"/>
            <w:vAlign w:val="top"/>
          </w:tcPr>
          <w:p w14:paraId="65DA87B1">
            <w:pPr>
              <w:pStyle w:val="19"/>
              <w:spacing w:before="77" w:line="179" w:lineRule="auto"/>
              <w:ind w:left="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35AF3CF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34" w:hRule="atLeast"/>
        </w:trPr>
        <w:tc>
          <w:tcPr>
            <w:tcW w:w="581" w:type="pct"/>
            <w:vMerge w:val="restart"/>
            <w:tcBorders>
              <w:bottom w:val="nil"/>
            </w:tcBorders>
            <w:vAlign w:val="top"/>
          </w:tcPr>
          <w:p w14:paraId="3827770C">
            <w:pPr>
              <w:spacing w:line="254" w:lineRule="auto"/>
              <w:rPr>
                <w:rFonts w:hint="eastAsia" w:asciiTheme="minorEastAsia" w:hAnsiTheme="minorEastAsia" w:eastAsiaTheme="minorEastAsia" w:cstheme="minorEastAsia"/>
                <w:sz w:val="24"/>
                <w:szCs w:val="24"/>
              </w:rPr>
            </w:pPr>
          </w:p>
          <w:p w14:paraId="1EA5BA75">
            <w:pPr>
              <w:spacing w:line="254" w:lineRule="auto"/>
              <w:rPr>
                <w:rFonts w:hint="eastAsia" w:asciiTheme="minorEastAsia" w:hAnsiTheme="minorEastAsia" w:eastAsiaTheme="minorEastAsia" w:cstheme="minorEastAsia"/>
                <w:sz w:val="24"/>
                <w:szCs w:val="24"/>
              </w:rPr>
            </w:pPr>
          </w:p>
          <w:p w14:paraId="1D203396">
            <w:pPr>
              <w:spacing w:line="255" w:lineRule="auto"/>
              <w:rPr>
                <w:rFonts w:hint="eastAsia" w:asciiTheme="minorEastAsia" w:hAnsiTheme="minorEastAsia" w:eastAsiaTheme="minorEastAsia" w:cstheme="minorEastAsia"/>
                <w:sz w:val="24"/>
                <w:szCs w:val="24"/>
              </w:rPr>
            </w:pPr>
          </w:p>
          <w:p w14:paraId="4E23BFDB">
            <w:pPr>
              <w:pStyle w:val="19"/>
              <w:spacing w:before="78" w:line="230" w:lineRule="auto"/>
              <w:ind w:left="460" w:right="212" w:hanging="23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5"/>
                <w:sz w:val="24"/>
                <w:szCs w:val="24"/>
              </w:rPr>
              <w:t>厂区环</w:t>
            </w:r>
            <w:r>
              <w:rPr>
                <w:rFonts w:hint="eastAsia" w:asciiTheme="minorEastAsia" w:hAnsiTheme="minorEastAsia" w:eastAsiaTheme="minorEastAsia" w:cstheme="minorEastAsia"/>
                <w:spacing w:val="1"/>
                <w:sz w:val="24"/>
                <w:szCs w:val="24"/>
              </w:rPr>
              <w:t xml:space="preserve"> </w:t>
            </w:r>
            <w:r>
              <w:rPr>
                <w:rFonts w:hint="eastAsia" w:asciiTheme="minorEastAsia" w:hAnsiTheme="minorEastAsia" w:eastAsiaTheme="minorEastAsia" w:cstheme="minorEastAsia"/>
                <w:sz w:val="24"/>
                <w:szCs w:val="24"/>
              </w:rPr>
              <w:t>境</w:t>
            </w:r>
          </w:p>
        </w:tc>
        <w:tc>
          <w:tcPr>
            <w:tcW w:w="3250" w:type="pct"/>
            <w:vAlign w:val="top"/>
          </w:tcPr>
          <w:p w14:paraId="456A4045">
            <w:pPr>
              <w:pStyle w:val="19"/>
              <w:spacing w:before="41" w:line="219" w:lineRule="auto"/>
              <w:jc w:val="right"/>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6"/>
                <w:sz w:val="24"/>
                <w:szCs w:val="24"/>
              </w:rPr>
              <w:t>外包装（空瓶、塑箱</w:t>
            </w:r>
            <w:r>
              <w:rPr>
                <w:rFonts w:hint="eastAsia" w:asciiTheme="minorEastAsia" w:hAnsiTheme="minorEastAsia" w:eastAsiaTheme="minorEastAsia" w:cstheme="minorEastAsia"/>
                <w:spacing w:val="-6"/>
                <w:sz w:val="24"/>
                <w:szCs w:val="24"/>
                <w:lang w:eastAsia="zh-CN"/>
              </w:rPr>
              <w:t xml:space="preserve"> </w:t>
            </w:r>
            <w:r>
              <w:rPr>
                <w:rFonts w:hint="eastAsia" w:asciiTheme="minorEastAsia" w:hAnsiTheme="minorEastAsia" w:eastAsiaTheme="minorEastAsia" w:cstheme="minorEastAsia"/>
                <w:spacing w:val="-6"/>
                <w:sz w:val="24"/>
                <w:szCs w:val="24"/>
              </w:rPr>
              <w:t>）存放场地（含附近卫生间、吸烟室、</w:t>
            </w:r>
          </w:p>
          <w:p w14:paraId="0AAB35F1">
            <w:pPr>
              <w:pStyle w:val="19"/>
              <w:spacing w:before="27" w:line="208" w:lineRule="auto"/>
              <w:ind w:left="2644"/>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休息室</w:t>
            </w:r>
            <w:r>
              <w:rPr>
                <w:rFonts w:hint="eastAsia" w:asciiTheme="minorEastAsia" w:hAnsiTheme="minorEastAsia" w:eastAsiaTheme="minorEastAsia" w:cstheme="minorEastAsia"/>
                <w:spacing w:val="-2"/>
                <w:sz w:val="24"/>
                <w:szCs w:val="24"/>
                <w:lang w:eastAsia="zh-CN"/>
              </w:rPr>
              <w:t xml:space="preserve"> </w:t>
            </w:r>
            <w:r>
              <w:rPr>
                <w:rFonts w:hint="eastAsia" w:asciiTheme="minorEastAsia" w:hAnsiTheme="minorEastAsia" w:eastAsiaTheme="minorEastAsia" w:cstheme="minorEastAsia"/>
                <w:spacing w:val="-2"/>
                <w:sz w:val="24"/>
                <w:szCs w:val="24"/>
              </w:rPr>
              <w:t>）</w:t>
            </w:r>
          </w:p>
        </w:tc>
        <w:tc>
          <w:tcPr>
            <w:tcW w:w="490" w:type="pct"/>
            <w:vAlign w:val="top"/>
          </w:tcPr>
          <w:p w14:paraId="6424C397">
            <w:pPr>
              <w:pStyle w:val="19"/>
              <w:spacing w:before="235" w:line="183" w:lineRule="auto"/>
              <w:ind w:left="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36000</w:t>
            </w:r>
          </w:p>
        </w:tc>
        <w:tc>
          <w:tcPr>
            <w:tcW w:w="676" w:type="pct"/>
            <w:vAlign w:val="top"/>
          </w:tcPr>
          <w:p w14:paraId="18F02622">
            <w:pPr>
              <w:pStyle w:val="19"/>
              <w:spacing w:before="234" w:line="184" w:lineRule="auto"/>
              <w:ind w:left="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4143CF9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2576197F">
            <w:pPr>
              <w:rPr>
                <w:rFonts w:hint="eastAsia" w:asciiTheme="minorEastAsia" w:hAnsiTheme="minorEastAsia" w:eastAsiaTheme="minorEastAsia" w:cstheme="minorEastAsia"/>
                <w:sz w:val="24"/>
                <w:szCs w:val="24"/>
              </w:rPr>
            </w:pPr>
          </w:p>
        </w:tc>
        <w:tc>
          <w:tcPr>
            <w:tcW w:w="3250" w:type="pct"/>
            <w:vAlign w:val="top"/>
          </w:tcPr>
          <w:p w14:paraId="703A235A">
            <w:pPr>
              <w:pStyle w:val="19"/>
              <w:spacing w:before="40" w:line="207" w:lineRule="auto"/>
              <w:ind w:left="240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场院+草坪+绿地</w:t>
            </w:r>
          </w:p>
        </w:tc>
        <w:tc>
          <w:tcPr>
            <w:tcW w:w="490" w:type="pct"/>
            <w:vAlign w:val="top"/>
          </w:tcPr>
          <w:p w14:paraId="48024618">
            <w:pPr>
              <w:pStyle w:val="19"/>
              <w:spacing w:before="78" w:line="178" w:lineRule="auto"/>
              <w:ind w:left="19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48000</w:t>
            </w:r>
          </w:p>
        </w:tc>
        <w:tc>
          <w:tcPr>
            <w:tcW w:w="676" w:type="pct"/>
            <w:vAlign w:val="top"/>
          </w:tcPr>
          <w:p w14:paraId="69B2602E">
            <w:pPr>
              <w:pStyle w:val="19"/>
              <w:spacing w:before="78" w:line="178" w:lineRule="auto"/>
              <w:ind w:left="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13482E3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0" w:hRule="atLeast"/>
        </w:trPr>
        <w:tc>
          <w:tcPr>
            <w:tcW w:w="581" w:type="pct"/>
            <w:vMerge w:val="continue"/>
            <w:tcBorders>
              <w:top w:val="nil"/>
              <w:bottom w:val="nil"/>
            </w:tcBorders>
            <w:vAlign w:val="top"/>
          </w:tcPr>
          <w:p w14:paraId="1A48E50B">
            <w:pPr>
              <w:rPr>
                <w:rFonts w:hint="eastAsia" w:asciiTheme="minorEastAsia" w:hAnsiTheme="minorEastAsia" w:eastAsiaTheme="minorEastAsia" w:cstheme="minorEastAsia"/>
                <w:sz w:val="24"/>
                <w:szCs w:val="24"/>
              </w:rPr>
            </w:pPr>
          </w:p>
        </w:tc>
        <w:tc>
          <w:tcPr>
            <w:tcW w:w="3250" w:type="pct"/>
            <w:vAlign w:val="top"/>
          </w:tcPr>
          <w:p w14:paraId="1E231D5B">
            <w:pPr>
              <w:pStyle w:val="19"/>
              <w:spacing w:before="42" w:line="206" w:lineRule="auto"/>
              <w:ind w:left="192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2"/>
                <w:sz w:val="24"/>
                <w:szCs w:val="24"/>
              </w:rPr>
              <w:t>污水处理区（含卫生间）</w:t>
            </w:r>
          </w:p>
        </w:tc>
        <w:tc>
          <w:tcPr>
            <w:tcW w:w="490" w:type="pct"/>
            <w:vAlign w:val="top"/>
          </w:tcPr>
          <w:p w14:paraId="44DFE052">
            <w:pPr>
              <w:pStyle w:val="19"/>
              <w:spacing w:before="81" w:line="176" w:lineRule="auto"/>
              <w:ind w:left="31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650</w:t>
            </w:r>
          </w:p>
        </w:tc>
        <w:tc>
          <w:tcPr>
            <w:tcW w:w="676" w:type="pct"/>
            <w:vAlign w:val="top"/>
          </w:tcPr>
          <w:p w14:paraId="5FAE028C">
            <w:pPr>
              <w:pStyle w:val="19"/>
              <w:spacing w:before="79" w:line="177" w:lineRule="auto"/>
              <w:ind w:left="481"/>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14"/>
                <w:sz w:val="24"/>
                <w:szCs w:val="24"/>
              </w:rPr>
              <w:t>1F</w:t>
            </w:r>
          </w:p>
        </w:tc>
      </w:tr>
      <w:tr w14:paraId="19E5C2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28" w:hRule="atLeast"/>
        </w:trPr>
        <w:tc>
          <w:tcPr>
            <w:tcW w:w="581" w:type="pct"/>
            <w:vMerge w:val="continue"/>
            <w:tcBorders>
              <w:top w:val="nil"/>
              <w:bottom w:val="nil"/>
            </w:tcBorders>
            <w:vAlign w:val="top"/>
          </w:tcPr>
          <w:p w14:paraId="3D580C6F">
            <w:pPr>
              <w:rPr>
                <w:rFonts w:hint="eastAsia" w:asciiTheme="minorEastAsia" w:hAnsiTheme="minorEastAsia" w:eastAsiaTheme="minorEastAsia" w:cstheme="minorEastAsia"/>
                <w:sz w:val="24"/>
                <w:szCs w:val="24"/>
              </w:rPr>
            </w:pPr>
          </w:p>
        </w:tc>
        <w:tc>
          <w:tcPr>
            <w:tcW w:w="3250" w:type="pct"/>
            <w:vAlign w:val="top"/>
          </w:tcPr>
          <w:p w14:paraId="3FB51654">
            <w:pPr>
              <w:pStyle w:val="19"/>
              <w:spacing w:before="197" w:line="220" w:lineRule="auto"/>
              <w:ind w:left="2647"/>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垃圾堆放处</w:t>
            </w:r>
          </w:p>
        </w:tc>
        <w:tc>
          <w:tcPr>
            <w:tcW w:w="490" w:type="pct"/>
            <w:vAlign w:val="top"/>
          </w:tcPr>
          <w:p w14:paraId="273BCA10">
            <w:pPr>
              <w:pStyle w:val="19"/>
              <w:spacing w:before="198" w:line="224"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676" w:type="pct"/>
            <w:vAlign w:val="top"/>
          </w:tcPr>
          <w:p w14:paraId="0263E471">
            <w:pPr>
              <w:pStyle w:val="19"/>
              <w:spacing w:before="40" w:line="222" w:lineRule="auto"/>
              <w:ind w:left="468" w:right="214" w:hanging="242"/>
              <w:jc w:val="center"/>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4"/>
                <w:sz w:val="24"/>
                <w:szCs w:val="24"/>
              </w:rPr>
              <w:t>车间内</w:t>
            </w:r>
            <w:r>
              <w:rPr>
                <w:rFonts w:hint="eastAsia" w:asciiTheme="minorEastAsia" w:hAnsiTheme="minorEastAsia" w:eastAsiaTheme="minorEastAsia" w:cstheme="minorEastAsia"/>
                <w:sz w:val="24"/>
                <w:szCs w:val="24"/>
              </w:rPr>
              <w:t xml:space="preserve"> 外</w:t>
            </w:r>
          </w:p>
        </w:tc>
      </w:tr>
      <w:tr w14:paraId="016F70E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324" w:hRule="atLeast"/>
        </w:trPr>
        <w:tc>
          <w:tcPr>
            <w:tcW w:w="581" w:type="pct"/>
            <w:vMerge w:val="continue"/>
            <w:tcBorders>
              <w:top w:val="nil"/>
            </w:tcBorders>
            <w:vAlign w:val="top"/>
          </w:tcPr>
          <w:p w14:paraId="762F8CA2">
            <w:pPr>
              <w:rPr>
                <w:rFonts w:hint="eastAsia" w:asciiTheme="minorEastAsia" w:hAnsiTheme="minorEastAsia" w:eastAsiaTheme="minorEastAsia" w:cstheme="minorEastAsia"/>
                <w:sz w:val="24"/>
                <w:szCs w:val="24"/>
              </w:rPr>
            </w:pPr>
          </w:p>
        </w:tc>
        <w:tc>
          <w:tcPr>
            <w:tcW w:w="3250" w:type="pct"/>
            <w:vAlign w:val="top"/>
          </w:tcPr>
          <w:p w14:paraId="552FC38A">
            <w:pPr>
              <w:pStyle w:val="19"/>
              <w:spacing w:before="42" w:line="209" w:lineRule="auto"/>
              <w:ind w:left="1568"/>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pacing w:val="-3"/>
                <w:sz w:val="24"/>
                <w:szCs w:val="24"/>
              </w:rPr>
              <w:t>厂区周边区域（院墙</w:t>
            </w:r>
            <w:r>
              <w:rPr>
                <w:rFonts w:hint="eastAsia" w:asciiTheme="minorEastAsia" w:hAnsiTheme="minorEastAsia" w:eastAsiaTheme="minorEastAsia" w:cstheme="minorEastAsia"/>
                <w:spacing w:val="-35"/>
                <w:sz w:val="24"/>
                <w:szCs w:val="24"/>
              </w:rPr>
              <w:t xml:space="preserve"> </w:t>
            </w:r>
            <w:r>
              <w:rPr>
                <w:rFonts w:hint="eastAsia" w:asciiTheme="minorEastAsia" w:hAnsiTheme="minorEastAsia" w:eastAsiaTheme="minorEastAsia" w:cstheme="minorEastAsia"/>
                <w:spacing w:val="-3"/>
                <w:sz w:val="24"/>
                <w:szCs w:val="24"/>
              </w:rPr>
              <w:t>5</w:t>
            </w:r>
            <w:r>
              <w:rPr>
                <w:rFonts w:hint="eastAsia" w:asciiTheme="minorEastAsia" w:hAnsiTheme="minorEastAsia" w:eastAsiaTheme="minorEastAsia" w:cstheme="minorEastAsia"/>
                <w:spacing w:val="-51"/>
                <w:sz w:val="24"/>
                <w:szCs w:val="24"/>
              </w:rPr>
              <w:t xml:space="preserve"> </w:t>
            </w:r>
            <w:r>
              <w:rPr>
                <w:rFonts w:hint="eastAsia" w:asciiTheme="minorEastAsia" w:hAnsiTheme="minorEastAsia" w:eastAsiaTheme="minorEastAsia" w:cstheme="minorEastAsia"/>
                <w:spacing w:val="-3"/>
                <w:sz w:val="24"/>
                <w:szCs w:val="24"/>
              </w:rPr>
              <w:t>米范围内）。</w:t>
            </w:r>
          </w:p>
        </w:tc>
        <w:tc>
          <w:tcPr>
            <w:tcW w:w="490" w:type="pct"/>
            <w:vAlign w:val="top"/>
          </w:tcPr>
          <w:p w14:paraId="03531EBA">
            <w:pPr>
              <w:pStyle w:val="19"/>
              <w:spacing w:before="42" w:line="209" w:lineRule="auto"/>
              <w:ind w:left="435"/>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c>
          <w:tcPr>
            <w:tcW w:w="676" w:type="pct"/>
            <w:vAlign w:val="top"/>
          </w:tcPr>
          <w:p w14:paraId="28656798">
            <w:pPr>
              <w:pStyle w:val="19"/>
              <w:spacing w:before="42" w:line="209" w:lineRule="auto"/>
              <w:ind w:left="523"/>
              <w:jc w:val="both"/>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p>
        </w:tc>
      </w:tr>
    </w:tbl>
    <w:p w14:paraId="13D5C992">
      <w:pPr>
        <w:pStyle w:val="10"/>
        <w:tabs>
          <w:tab w:val="left" w:pos="993"/>
        </w:tabs>
        <w:spacing w:line="440" w:lineRule="exact"/>
        <w:ind w:left="0" w:leftChars="0" w:firstLine="480" w:firstLineChars="200"/>
        <w:rPr>
          <w:rFonts w:hint="eastAsia" w:ascii="宋体" w:hAnsi="宋体" w:eastAsia="宋体" w:cs="宋体"/>
          <w:color w:val="FF0000"/>
          <w:kern w:val="0"/>
          <w:sz w:val="24"/>
          <w:szCs w:val="24"/>
        </w:rPr>
      </w:pPr>
    </w:p>
    <w:p w14:paraId="13A0318A">
      <w:pPr>
        <w:pStyle w:val="10"/>
        <w:tabs>
          <w:tab w:val="left" w:pos="993"/>
        </w:tabs>
        <w:spacing w:line="440" w:lineRule="exact"/>
        <w:ind w:left="0" w:leftChars="0" w:firstLine="480" w:firstLineChars="200"/>
        <w:rPr>
          <w:rFonts w:hint="eastAsia" w:ascii="宋体" w:hAnsi="宋体" w:eastAsia="宋体" w:cs="宋体"/>
          <w:color w:val="FF0000"/>
          <w:kern w:val="0"/>
          <w:sz w:val="24"/>
          <w:szCs w:val="24"/>
        </w:rPr>
      </w:pPr>
    </w:p>
    <w:p w14:paraId="49631A60">
      <w:pPr>
        <w:spacing w:after="312" w:afterLines="100"/>
        <w:jc w:val="center"/>
        <w:outlineLvl w:val="0"/>
        <w:rPr>
          <w:rFonts w:ascii="宋体" w:hAnsi="宋体" w:eastAsia="宋体"/>
          <w:iCs/>
          <w:color w:val="FF0000"/>
          <w:sz w:val="24"/>
          <w:szCs w:val="24"/>
        </w:rPr>
      </w:pPr>
      <w:r>
        <w:rPr>
          <w:rFonts w:hint="eastAsia" w:ascii="宋体" w:hAnsi="宋体"/>
          <w:b/>
          <w:bCs/>
          <w:sz w:val="32"/>
          <w:szCs w:val="24"/>
        </w:rPr>
        <w:t>第三卷 评审方法</w:t>
      </w:r>
    </w:p>
    <w:p w14:paraId="051AE31E">
      <w:pPr>
        <w:rPr>
          <w:rFonts w:hint="eastAsia"/>
        </w:rPr>
      </w:pPr>
    </w:p>
    <w:p w14:paraId="2AC40F6C">
      <w:pPr>
        <w:rPr>
          <w:rFonts w:hint="eastAsia"/>
          <w:lang w:val="en-US" w:eastAsia="zh-CN"/>
        </w:rPr>
      </w:pPr>
      <w:r>
        <w:rPr>
          <w:rFonts w:hint="eastAsia"/>
        </w:rPr>
        <w:t>评审办法前附表</w:t>
      </w:r>
    </w:p>
    <w:tbl>
      <w:tblPr>
        <w:tblStyle w:val="6"/>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8"/>
        <w:gridCol w:w="7078"/>
      </w:tblGrid>
      <w:tr w14:paraId="5E6FB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Merge w:val="restart"/>
            <w:vAlign w:val="center"/>
          </w:tcPr>
          <w:p w14:paraId="675E17AC">
            <w:pPr>
              <w:spacing w:line="440" w:lineRule="exact"/>
              <w:rPr>
                <w:rFonts w:ascii="宋体" w:hAnsi="宋体"/>
                <w:iCs/>
                <w:szCs w:val="24"/>
              </w:rPr>
            </w:pPr>
            <w:r>
              <w:rPr>
                <w:rFonts w:hint="eastAsia" w:ascii="宋体" w:hAnsi="宋体"/>
                <w:iCs/>
                <w:szCs w:val="24"/>
              </w:rPr>
              <w:t>初步评审</w:t>
            </w:r>
          </w:p>
        </w:tc>
        <w:tc>
          <w:tcPr>
            <w:tcW w:w="4155" w:type="pct"/>
            <w:vAlign w:val="center"/>
          </w:tcPr>
          <w:p w14:paraId="319415A0">
            <w:pPr>
              <w:spacing w:line="440" w:lineRule="exact"/>
              <w:rPr>
                <w:rFonts w:ascii="宋体" w:hAnsi="宋体"/>
                <w:iCs/>
                <w:szCs w:val="24"/>
              </w:rPr>
            </w:pPr>
            <w:r>
              <w:rPr>
                <w:rFonts w:hint="eastAsia" w:ascii="宋体" w:hAnsi="宋体"/>
                <w:iCs/>
                <w:szCs w:val="24"/>
              </w:rPr>
              <w:t>供应商资格要求：</w:t>
            </w:r>
          </w:p>
          <w:p w14:paraId="2A2E4CA8">
            <w:pPr>
              <w:spacing w:line="440" w:lineRule="exact"/>
              <w:rPr>
                <w:rFonts w:ascii="宋体" w:hAnsi="宋体"/>
                <w:iCs/>
                <w:szCs w:val="24"/>
              </w:rPr>
            </w:pPr>
            <w:r>
              <w:rPr>
                <w:rFonts w:hint="eastAsia" w:ascii="宋体" w:hAnsi="宋体"/>
                <w:iCs/>
                <w:szCs w:val="24"/>
              </w:rPr>
              <w:t>详见按照“第一卷供应商须知”的“供应商资格要求”</w:t>
            </w:r>
          </w:p>
        </w:tc>
      </w:tr>
      <w:tr w14:paraId="1D9FF5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Merge w:val="continue"/>
            <w:vAlign w:val="center"/>
          </w:tcPr>
          <w:p w14:paraId="31CB039D">
            <w:pPr>
              <w:spacing w:line="440" w:lineRule="exact"/>
              <w:rPr>
                <w:rFonts w:hint="eastAsia" w:ascii="宋体" w:hAnsi="宋体"/>
                <w:iCs/>
                <w:szCs w:val="24"/>
              </w:rPr>
            </w:pPr>
          </w:p>
        </w:tc>
        <w:tc>
          <w:tcPr>
            <w:tcW w:w="4155" w:type="pct"/>
            <w:vAlign w:val="center"/>
          </w:tcPr>
          <w:p w14:paraId="4ACF4D5B">
            <w:pPr>
              <w:spacing w:line="440" w:lineRule="exact"/>
              <w:rPr>
                <w:rFonts w:hint="eastAsia" w:ascii="宋体" w:hAnsi="宋体"/>
                <w:iCs/>
                <w:szCs w:val="24"/>
              </w:rPr>
            </w:pPr>
          </w:p>
        </w:tc>
      </w:tr>
      <w:tr w14:paraId="62908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28966FCC">
            <w:pPr>
              <w:spacing w:line="440" w:lineRule="exact"/>
              <w:rPr>
                <w:rFonts w:ascii="宋体" w:hAnsi="宋体"/>
                <w:iCs/>
                <w:szCs w:val="24"/>
              </w:rPr>
            </w:pPr>
            <w:r>
              <w:rPr>
                <w:rFonts w:hint="eastAsia" w:ascii="宋体" w:hAnsi="宋体"/>
                <w:iCs/>
                <w:szCs w:val="24"/>
              </w:rPr>
              <w:t>价格修正原则</w:t>
            </w:r>
          </w:p>
        </w:tc>
        <w:tc>
          <w:tcPr>
            <w:tcW w:w="4155" w:type="pct"/>
            <w:vAlign w:val="center"/>
          </w:tcPr>
          <w:p w14:paraId="47D94968">
            <w:pPr>
              <w:spacing w:line="440" w:lineRule="exact"/>
              <w:ind w:firstLine="480" w:firstLineChars="200"/>
              <w:rPr>
                <w:rFonts w:ascii="宋体" w:hAnsi="宋体" w:eastAsia="宋体"/>
                <w:iCs/>
                <w:color w:val="000000" w:themeColor="text1"/>
                <w:sz w:val="24"/>
                <w:szCs w:val="24"/>
                <w14:textFill>
                  <w14:solidFill>
                    <w14:schemeClr w14:val="tx1"/>
                  </w14:solidFill>
                </w14:textFill>
              </w:rPr>
            </w:pPr>
            <w:r>
              <w:rPr>
                <w:rFonts w:hint="eastAsia" w:ascii="宋体" w:hAnsi="宋体" w:eastAsia="宋体"/>
                <w:iCs/>
                <w:color w:val="000000" w:themeColor="text1"/>
                <w:sz w:val="24"/>
                <w:szCs w:val="24"/>
                <w14:textFill>
                  <w14:solidFill>
                    <w14:schemeClr w14:val="tx1"/>
                  </w14:solidFill>
                </w14:textFill>
              </w:rPr>
              <w:t>若供应商报价格式、内容不满足采购文件的实质性要求，有重大偏差，则否决其报价。</w:t>
            </w:r>
          </w:p>
          <w:p w14:paraId="1E45CB84">
            <w:pPr>
              <w:spacing w:line="440" w:lineRule="exact"/>
              <w:ind w:firstLine="480" w:firstLineChars="200"/>
              <w:rPr>
                <w:rFonts w:ascii="宋体" w:hAnsi="宋体" w:eastAsia="宋体"/>
                <w:iCs/>
                <w:sz w:val="24"/>
                <w:szCs w:val="24"/>
              </w:rPr>
            </w:pPr>
            <w:r>
              <w:rPr>
                <w:rFonts w:hint="eastAsia" w:ascii="宋体" w:hAnsi="宋体" w:eastAsia="宋体" w:cs="宋体"/>
                <w:kern w:val="0"/>
                <w:sz w:val="24"/>
                <w:szCs w:val="20"/>
                <w:highlight w:val="white"/>
              </w:rPr>
              <w:t>若有效供应商报价出现</w:t>
            </w:r>
            <w:r>
              <w:rPr>
                <w:rFonts w:hint="eastAsia" w:ascii="宋体" w:hAnsi="宋体" w:eastAsia="宋体" w:cs="宋体"/>
                <w:kern w:val="0"/>
                <w:sz w:val="24"/>
                <w:szCs w:val="20"/>
              </w:rPr>
              <w:t>以下情况，且</w:t>
            </w:r>
            <w:r>
              <w:rPr>
                <w:rFonts w:hint="eastAsia" w:ascii="宋体" w:hAnsi="宋体" w:eastAsia="宋体" w:cs="宋体"/>
                <w:kern w:val="0"/>
                <w:sz w:val="24"/>
                <w:szCs w:val="20"/>
                <w:highlight w:val="white"/>
              </w:rPr>
              <w:t>不属于重大偏差的，</w:t>
            </w:r>
            <w:r>
              <w:rPr>
                <w:rFonts w:hint="eastAsia" w:ascii="宋体" w:hAnsi="宋体" w:eastAsia="宋体"/>
                <w:iCs/>
                <w:sz w:val="24"/>
                <w:szCs w:val="24"/>
              </w:rPr>
              <w:t>则按照下列原则修正供应商报价：</w:t>
            </w:r>
          </w:p>
          <w:p w14:paraId="1953659A">
            <w:pPr>
              <w:widowControl w:val="0"/>
              <w:numPr>
                <w:ilvl w:val="0"/>
                <w:numId w:val="6"/>
              </w:numPr>
              <w:spacing w:line="440" w:lineRule="exact"/>
              <w:ind w:left="420" w:hanging="420" w:firstLineChars="0"/>
              <w:jc w:val="both"/>
              <w:rPr>
                <w:rFonts w:ascii="宋体" w:hAnsi="宋体" w:eastAsia="宋体" w:cs="Times New Roman"/>
                <w:iCs/>
                <w:color w:val="auto"/>
                <w:kern w:val="2"/>
                <w:sz w:val="24"/>
                <w:szCs w:val="24"/>
                <w:lang w:val="en-US" w:eastAsia="zh-CN" w:bidi="ar-SA"/>
              </w:rPr>
            </w:pPr>
            <w:r>
              <w:rPr>
                <w:rFonts w:hint="eastAsia" w:ascii="宋体" w:hAnsi="宋体" w:eastAsia="宋体" w:cs="Times New Roman"/>
                <w:iCs/>
                <w:color w:val="auto"/>
                <w:kern w:val="2"/>
                <w:sz w:val="24"/>
                <w:szCs w:val="24"/>
                <w:lang w:val="en-US" w:eastAsia="zh-CN" w:bidi="ar-SA"/>
              </w:rPr>
              <w:t>大</w:t>
            </w:r>
            <w:r>
              <w:rPr>
                <w:rFonts w:ascii="宋体" w:hAnsi="宋体" w:eastAsia="宋体" w:cs="Times New Roman"/>
                <w:iCs/>
                <w:color w:val="auto"/>
                <w:kern w:val="2"/>
                <w:sz w:val="24"/>
                <w:szCs w:val="24"/>
                <w:lang w:val="en-US" w:eastAsia="zh-CN" w:bidi="ar-SA"/>
              </w:rPr>
              <w:t>写金额和小写金额不一致的，以大写金额为准；</w:t>
            </w:r>
          </w:p>
          <w:p w14:paraId="42F83D66">
            <w:pPr>
              <w:widowControl w:val="0"/>
              <w:numPr>
                <w:ilvl w:val="0"/>
                <w:numId w:val="6"/>
              </w:numPr>
              <w:spacing w:line="440" w:lineRule="exact"/>
              <w:ind w:left="420" w:hanging="420" w:firstLineChars="0"/>
              <w:jc w:val="both"/>
              <w:rPr>
                <w:rFonts w:ascii="宋体" w:hAnsi="宋体" w:eastAsia="宋体" w:cs="Times New Roman"/>
                <w:iCs/>
                <w:color w:val="auto"/>
                <w:kern w:val="2"/>
                <w:sz w:val="24"/>
                <w:szCs w:val="24"/>
                <w:lang w:val="en-US" w:eastAsia="zh-CN" w:bidi="ar-SA"/>
              </w:rPr>
            </w:pPr>
            <w:r>
              <w:rPr>
                <w:rFonts w:ascii="宋体" w:hAnsi="宋体" w:eastAsia="宋体" w:cs="Times New Roman"/>
                <w:iCs/>
                <w:color w:val="auto"/>
                <w:kern w:val="2"/>
                <w:sz w:val="24"/>
                <w:szCs w:val="24"/>
                <w:lang w:val="en-US" w:eastAsia="zh-CN" w:bidi="ar-SA"/>
              </w:rPr>
              <w:t>金额小数点或者百分比有明显错位的，</w:t>
            </w:r>
            <w:r>
              <w:rPr>
                <w:rFonts w:hint="eastAsia" w:ascii="宋体" w:hAnsi="宋体" w:eastAsia="宋体" w:cs="Times New Roman"/>
                <w:iCs/>
                <w:color w:val="auto"/>
                <w:kern w:val="2"/>
                <w:sz w:val="24"/>
                <w:szCs w:val="24"/>
                <w:lang w:val="en-US" w:eastAsia="zh-CN" w:bidi="ar-SA"/>
              </w:rPr>
              <w:t>以合乎常理的小数点位置为准，修正价格</w:t>
            </w:r>
            <w:r>
              <w:rPr>
                <w:rFonts w:ascii="宋体" w:hAnsi="宋体" w:eastAsia="宋体" w:cs="Times New Roman"/>
                <w:iCs/>
                <w:color w:val="auto"/>
                <w:kern w:val="2"/>
                <w:sz w:val="24"/>
                <w:szCs w:val="24"/>
                <w:lang w:val="en-US" w:eastAsia="zh-CN" w:bidi="ar-SA"/>
              </w:rPr>
              <w:t>；</w:t>
            </w:r>
          </w:p>
          <w:p w14:paraId="7C6484F8">
            <w:pPr>
              <w:widowControl w:val="0"/>
              <w:numPr>
                <w:ilvl w:val="0"/>
                <w:numId w:val="6"/>
              </w:numPr>
              <w:spacing w:line="440" w:lineRule="exact"/>
              <w:ind w:left="420" w:hanging="420" w:firstLineChars="0"/>
              <w:jc w:val="both"/>
              <w:rPr>
                <w:rFonts w:ascii="宋体" w:hAnsi="宋体" w:eastAsia="宋体" w:cs="Times New Roman"/>
                <w:iCs/>
                <w:color w:val="auto"/>
                <w:kern w:val="2"/>
                <w:sz w:val="24"/>
                <w:szCs w:val="24"/>
                <w:lang w:val="en-US" w:eastAsia="zh-CN" w:bidi="ar-SA"/>
              </w:rPr>
            </w:pPr>
            <w:r>
              <w:rPr>
                <w:rFonts w:ascii="宋体" w:hAnsi="宋体" w:eastAsia="宋体" w:cs="Times New Roman"/>
                <w:iCs/>
                <w:color w:val="auto"/>
                <w:kern w:val="2"/>
                <w:sz w:val="24"/>
                <w:szCs w:val="24"/>
                <w:lang w:val="en-US" w:eastAsia="zh-CN" w:bidi="ar-SA"/>
              </w:rPr>
              <w:t>总价金额与依据单价计算出的结果不一致的，以依据单价计算出的结果为准。</w:t>
            </w:r>
          </w:p>
          <w:p w14:paraId="0FBE8689">
            <w:pPr>
              <w:widowControl w:val="0"/>
              <w:numPr>
                <w:ilvl w:val="0"/>
                <w:numId w:val="6"/>
              </w:numPr>
              <w:spacing w:line="440" w:lineRule="exact"/>
              <w:ind w:left="420" w:hanging="420" w:firstLineChars="0"/>
              <w:jc w:val="both"/>
              <w:rPr>
                <w:rFonts w:ascii="等线" w:hAnsi="等线" w:eastAsia="等线" w:cs="Times New Roman"/>
                <w:iCs/>
                <w:color w:val="auto"/>
                <w:kern w:val="2"/>
                <w:sz w:val="24"/>
                <w:szCs w:val="24"/>
                <w:lang w:val="en-US" w:eastAsia="zh-CN" w:bidi="ar-SA"/>
              </w:rPr>
            </w:pPr>
            <w:r>
              <w:rPr>
                <w:rFonts w:hint="eastAsia" w:ascii="宋体" w:hAnsi="宋体" w:eastAsia="宋体" w:cs="Times New Roman"/>
                <w:iCs/>
                <w:color w:val="auto"/>
                <w:kern w:val="2"/>
                <w:sz w:val="24"/>
                <w:szCs w:val="24"/>
                <w:lang w:val="en-US" w:eastAsia="zh-CN" w:bidi="ar-SA"/>
              </w:rPr>
              <w:t>采购文件提供报价表格式，列明了各报价分项项目和需求数量，且不需要供应商扩展报价分项的，若出现以下情况，则按照下列原则修正供应商报价：</w:t>
            </w:r>
          </w:p>
          <w:p w14:paraId="069A6479">
            <w:pPr>
              <w:widowControl w:val="0"/>
              <w:numPr>
                <w:ilvl w:val="0"/>
                <w:numId w:val="7"/>
              </w:numPr>
              <w:adjustRightInd w:val="0"/>
              <w:snapToGrid w:val="0"/>
              <w:spacing w:line="360" w:lineRule="auto"/>
              <w:ind w:left="840" w:hanging="420"/>
              <w:jc w:val="left"/>
              <w:rPr>
                <w:rFonts w:ascii="宋体" w:hAnsi="宋体" w:eastAsia="宋体" w:cs="宋体"/>
                <w:color w:val="auto"/>
                <w:kern w:val="0"/>
                <w:sz w:val="24"/>
                <w:szCs w:val="20"/>
                <w:highlight w:val="white"/>
                <w:lang w:val="en-US" w:eastAsia="zh-CN" w:bidi="ar-SA"/>
              </w:rPr>
            </w:pPr>
            <w:r>
              <w:rPr>
                <w:rFonts w:hint="eastAsia" w:ascii="宋体" w:hAnsi="宋体" w:eastAsia="宋体" w:cs="宋体"/>
                <w:color w:val="auto"/>
                <w:kern w:val="0"/>
                <w:sz w:val="24"/>
                <w:szCs w:val="20"/>
                <w:highlight w:val="white"/>
                <w:lang w:val="en-US" w:eastAsia="zh-CN" w:bidi="ar-SA"/>
              </w:rPr>
              <w:t>若供应商报价表的工程量/</w:t>
            </w:r>
            <w:r>
              <w:rPr>
                <w:rFonts w:ascii="宋体" w:hAnsi="宋体" w:eastAsia="宋体" w:cs="宋体"/>
                <w:color w:val="auto"/>
                <w:kern w:val="0"/>
                <w:sz w:val="24"/>
                <w:szCs w:val="20"/>
                <w:highlight w:val="white"/>
                <w:lang w:val="en-US" w:eastAsia="zh-CN" w:bidi="ar-SA"/>
              </w:rPr>
              <w:t>数量</w:t>
            </w:r>
            <w:r>
              <w:rPr>
                <w:rFonts w:hint="eastAsia" w:ascii="宋体" w:hAnsi="宋体" w:eastAsia="宋体" w:cs="宋体"/>
                <w:color w:val="auto"/>
                <w:kern w:val="0"/>
                <w:sz w:val="24"/>
                <w:szCs w:val="20"/>
                <w:highlight w:val="white"/>
                <w:lang w:val="en-US" w:eastAsia="zh-CN" w:bidi="ar-SA"/>
              </w:rPr>
              <w:t>与采购文件不符，则按其单价与采购文件规定的工程量/</w:t>
            </w:r>
            <w:r>
              <w:rPr>
                <w:rFonts w:ascii="宋体" w:hAnsi="宋体" w:eastAsia="宋体" w:cs="宋体"/>
                <w:color w:val="auto"/>
                <w:kern w:val="0"/>
                <w:sz w:val="24"/>
                <w:szCs w:val="20"/>
                <w:highlight w:val="white"/>
                <w:lang w:val="en-US" w:eastAsia="zh-CN" w:bidi="ar-SA"/>
              </w:rPr>
              <w:t>数量</w:t>
            </w:r>
            <w:r>
              <w:rPr>
                <w:rFonts w:hint="eastAsia" w:ascii="宋体" w:hAnsi="宋体" w:eastAsia="宋体" w:cs="宋体"/>
                <w:color w:val="auto"/>
                <w:kern w:val="0"/>
                <w:sz w:val="24"/>
                <w:szCs w:val="20"/>
                <w:highlight w:val="white"/>
                <w:lang w:val="en-US" w:eastAsia="zh-CN" w:bidi="ar-SA"/>
              </w:rPr>
              <w:t>的乘积，予以修正；</w:t>
            </w:r>
          </w:p>
          <w:p w14:paraId="54EF7CDA">
            <w:pPr>
              <w:widowControl w:val="0"/>
              <w:numPr>
                <w:ilvl w:val="0"/>
                <w:numId w:val="7"/>
              </w:numPr>
              <w:adjustRightInd w:val="0"/>
              <w:snapToGrid w:val="0"/>
              <w:spacing w:line="360" w:lineRule="auto"/>
              <w:ind w:left="840" w:hanging="420"/>
              <w:jc w:val="left"/>
              <w:rPr>
                <w:rFonts w:ascii="宋体" w:hAnsi="宋体" w:eastAsia="宋体" w:cs="宋体"/>
                <w:color w:val="auto"/>
                <w:kern w:val="0"/>
                <w:sz w:val="24"/>
                <w:szCs w:val="20"/>
                <w:highlight w:val="white"/>
                <w:lang w:val="en-US" w:eastAsia="zh-CN" w:bidi="ar-SA"/>
              </w:rPr>
            </w:pPr>
            <w:r>
              <w:rPr>
                <w:rFonts w:ascii="宋体" w:hAnsi="宋体" w:eastAsia="宋体" w:cs="宋体"/>
                <w:color w:val="auto"/>
                <w:kern w:val="0"/>
                <w:sz w:val="24"/>
                <w:szCs w:val="20"/>
                <w:highlight w:val="white"/>
                <w:lang w:val="en-US" w:eastAsia="zh-CN" w:bidi="ar-SA"/>
              </w:rPr>
              <w:t>对</w:t>
            </w:r>
            <w:r>
              <w:rPr>
                <w:rFonts w:hint="eastAsia" w:ascii="宋体" w:hAnsi="宋体" w:eastAsia="宋体" w:cs="宋体"/>
                <w:color w:val="auto"/>
                <w:kern w:val="0"/>
                <w:sz w:val="24"/>
                <w:szCs w:val="20"/>
                <w:highlight w:val="white"/>
                <w:lang w:val="en-US" w:eastAsia="zh-CN" w:bidi="ar-SA"/>
              </w:rPr>
              <w:t>供应商报价表</w:t>
            </w:r>
            <w:r>
              <w:rPr>
                <w:rFonts w:ascii="宋体" w:hAnsi="宋体" w:eastAsia="宋体" w:cs="宋体"/>
                <w:color w:val="auto"/>
                <w:kern w:val="0"/>
                <w:sz w:val="24"/>
                <w:szCs w:val="20"/>
                <w:highlight w:val="white"/>
                <w:lang w:val="en-US" w:eastAsia="zh-CN" w:bidi="ar-SA"/>
              </w:rPr>
              <w:t>有分项项目，但该项目未填写报价金额或填写为“0”或填写“已含”</w:t>
            </w:r>
            <w:r>
              <w:rPr>
                <w:rFonts w:hint="eastAsia" w:ascii="宋体" w:hAnsi="宋体" w:eastAsia="宋体" w:cs="宋体"/>
                <w:color w:val="auto"/>
                <w:kern w:val="0"/>
                <w:sz w:val="24"/>
                <w:szCs w:val="20"/>
                <w:highlight w:val="white"/>
                <w:lang w:val="en-US" w:eastAsia="zh-CN" w:bidi="ar-SA"/>
              </w:rPr>
              <w:t>或其他</w:t>
            </w:r>
            <w:r>
              <w:rPr>
                <w:rFonts w:ascii="宋体" w:hAnsi="宋体" w:eastAsia="宋体" w:cs="宋体"/>
                <w:color w:val="auto"/>
                <w:kern w:val="0"/>
                <w:sz w:val="24"/>
                <w:szCs w:val="20"/>
                <w:highlight w:val="white"/>
                <w:lang w:val="en-US" w:eastAsia="zh-CN" w:bidi="ar-SA"/>
              </w:rPr>
              <w:t>相同含义文字的，视为报价已含在总价或其他分项中，价格不予</w:t>
            </w:r>
            <w:r>
              <w:rPr>
                <w:rFonts w:hint="eastAsia" w:ascii="宋体" w:hAnsi="宋体" w:eastAsia="宋体" w:cs="宋体"/>
                <w:color w:val="auto"/>
                <w:kern w:val="0"/>
                <w:sz w:val="24"/>
                <w:szCs w:val="20"/>
                <w:highlight w:val="white"/>
                <w:lang w:val="en-US" w:eastAsia="zh-CN" w:bidi="ar-SA"/>
              </w:rPr>
              <w:t>修正；</w:t>
            </w:r>
            <w:r>
              <w:rPr>
                <w:rFonts w:ascii="宋体" w:hAnsi="宋体" w:eastAsia="宋体" w:cs="宋体"/>
                <w:color w:val="auto"/>
                <w:kern w:val="0"/>
                <w:sz w:val="24"/>
                <w:szCs w:val="20"/>
                <w:highlight w:val="white"/>
                <w:lang w:val="en-US" w:eastAsia="zh-CN" w:bidi="ar-SA"/>
              </w:rPr>
              <w:t>除</w:t>
            </w:r>
            <w:r>
              <w:rPr>
                <w:rFonts w:hint="eastAsia" w:ascii="宋体" w:hAnsi="宋体" w:eastAsia="宋体" w:cs="宋体"/>
                <w:color w:val="auto"/>
                <w:kern w:val="0"/>
                <w:sz w:val="24"/>
                <w:szCs w:val="20"/>
                <w:highlight w:val="white"/>
                <w:lang w:val="en-US" w:eastAsia="zh-CN" w:bidi="ar-SA"/>
              </w:rPr>
              <w:t>上述情况</w:t>
            </w:r>
            <w:r>
              <w:rPr>
                <w:rFonts w:ascii="宋体" w:hAnsi="宋体" w:eastAsia="宋体" w:cs="宋体"/>
                <w:color w:val="auto"/>
                <w:kern w:val="0"/>
                <w:sz w:val="24"/>
                <w:szCs w:val="20"/>
                <w:highlight w:val="white"/>
                <w:lang w:val="en-US" w:eastAsia="zh-CN" w:bidi="ar-SA"/>
              </w:rPr>
              <w:t>外的未报项目，视为报价漏报项目，按其</w:t>
            </w:r>
            <w:r>
              <w:rPr>
                <w:rFonts w:hint="eastAsia" w:ascii="宋体" w:hAnsi="宋体" w:eastAsia="宋体" w:cs="宋体"/>
                <w:color w:val="auto"/>
                <w:kern w:val="0"/>
                <w:sz w:val="24"/>
                <w:szCs w:val="20"/>
                <w:highlight w:val="white"/>
                <w:lang w:val="en-US" w:eastAsia="zh-CN" w:bidi="ar-SA"/>
              </w:rPr>
              <w:t>他供应商</w:t>
            </w:r>
            <w:r>
              <w:rPr>
                <w:rFonts w:ascii="宋体" w:hAnsi="宋体" w:eastAsia="宋体" w:cs="宋体"/>
                <w:color w:val="auto"/>
                <w:kern w:val="0"/>
                <w:sz w:val="24"/>
                <w:szCs w:val="20"/>
                <w:highlight w:val="white"/>
                <w:lang w:val="en-US" w:eastAsia="zh-CN" w:bidi="ar-SA"/>
              </w:rPr>
              <w:t>相应项目最</w:t>
            </w:r>
            <w:r>
              <w:rPr>
                <w:rFonts w:hint="eastAsia" w:ascii="宋体" w:hAnsi="宋体" w:eastAsia="宋体" w:cs="宋体"/>
                <w:color w:val="auto"/>
                <w:kern w:val="0"/>
                <w:sz w:val="24"/>
                <w:szCs w:val="20"/>
                <w:highlight w:val="white"/>
                <w:lang w:val="en-US" w:eastAsia="zh-CN" w:bidi="ar-SA"/>
              </w:rPr>
              <w:t>高</w:t>
            </w:r>
            <w:r>
              <w:rPr>
                <w:rFonts w:ascii="宋体" w:hAnsi="宋体" w:eastAsia="宋体" w:cs="宋体"/>
                <w:color w:val="auto"/>
                <w:kern w:val="0"/>
                <w:sz w:val="24"/>
                <w:szCs w:val="20"/>
                <w:highlight w:val="white"/>
                <w:lang w:val="en-US" w:eastAsia="zh-CN" w:bidi="ar-SA"/>
              </w:rPr>
              <w:t>报价计算</w:t>
            </w:r>
            <w:r>
              <w:rPr>
                <w:rFonts w:hint="eastAsia" w:ascii="宋体" w:hAnsi="宋体" w:eastAsia="宋体" w:cs="宋体"/>
                <w:color w:val="auto"/>
                <w:kern w:val="0"/>
                <w:sz w:val="24"/>
                <w:szCs w:val="20"/>
                <w:highlight w:val="white"/>
                <w:lang w:val="en-US" w:eastAsia="zh-CN" w:bidi="ar-SA"/>
              </w:rPr>
              <w:t>；若</w:t>
            </w:r>
            <w:r>
              <w:rPr>
                <w:rFonts w:ascii="宋体" w:hAnsi="宋体" w:eastAsia="宋体" w:cs="宋体"/>
                <w:color w:val="auto"/>
                <w:kern w:val="0"/>
                <w:sz w:val="24"/>
                <w:szCs w:val="20"/>
                <w:highlight w:val="white"/>
                <w:lang w:val="en-US" w:eastAsia="zh-CN" w:bidi="ar-SA"/>
              </w:rPr>
              <w:t>漏报的部分，其他</w:t>
            </w:r>
            <w:r>
              <w:rPr>
                <w:rFonts w:hint="eastAsia" w:ascii="宋体" w:hAnsi="宋体" w:eastAsia="宋体" w:cs="宋体"/>
                <w:color w:val="auto"/>
                <w:kern w:val="0"/>
                <w:sz w:val="24"/>
                <w:szCs w:val="20"/>
                <w:highlight w:val="white"/>
                <w:lang w:val="en-US" w:eastAsia="zh-CN" w:bidi="ar-SA"/>
              </w:rPr>
              <w:t>供应商</w:t>
            </w:r>
            <w:r>
              <w:rPr>
                <w:rFonts w:ascii="宋体" w:hAnsi="宋体" w:eastAsia="宋体" w:cs="宋体"/>
                <w:color w:val="auto"/>
                <w:kern w:val="0"/>
                <w:sz w:val="24"/>
                <w:szCs w:val="20"/>
                <w:highlight w:val="white"/>
                <w:lang w:val="en-US" w:eastAsia="zh-CN" w:bidi="ar-SA"/>
              </w:rPr>
              <w:t>没有相应的价格，则可以其他项目相当的价格估算计入。</w:t>
            </w:r>
          </w:p>
          <w:p w14:paraId="68A81AE7">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iCs/>
                <w:szCs w:val="24"/>
              </w:rPr>
            </w:pPr>
            <w:r>
              <w:rPr>
                <w:rFonts w:hint="eastAsia" w:ascii="宋体" w:hAnsi="宋体" w:eastAsia="宋体"/>
                <w:iCs/>
                <w:color w:val="auto"/>
                <w:sz w:val="24"/>
                <w:szCs w:val="24"/>
              </w:rPr>
              <w:t>同时出现两种及以上不一致的，按照上述顺序从上到下</w:t>
            </w:r>
            <w:r>
              <w:rPr>
                <w:rFonts w:ascii="宋体" w:hAnsi="宋体" w:eastAsia="宋体"/>
                <w:iCs/>
                <w:color w:val="auto"/>
                <w:sz w:val="24"/>
                <w:szCs w:val="24"/>
              </w:rPr>
              <w:t>依次修正。</w:t>
            </w:r>
          </w:p>
        </w:tc>
      </w:tr>
      <w:tr w14:paraId="727FA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7127EAF9">
            <w:pPr>
              <w:spacing w:line="440" w:lineRule="exact"/>
              <w:rPr>
                <w:rFonts w:ascii="宋体" w:hAnsi="宋体"/>
                <w:iCs/>
                <w:szCs w:val="24"/>
              </w:rPr>
            </w:pPr>
            <w:r>
              <w:rPr>
                <w:rFonts w:hint="eastAsia" w:ascii="宋体" w:hAnsi="宋体"/>
                <w:iCs/>
                <w:szCs w:val="24"/>
              </w:rPr>
              <w:t>评审价格调整条款</w:t>
            </w:r>
          </w:p>
        </w:tc>
        <w:tc>
          <w:tcPr>
            <w:tcW w:w="4155" w:type="pct"/>
            <w:vAlign w:val="center"/>
          </w:tcPr>
          <w:p w14:paraId="61BC0767">
            <w:pPr>
              <w:spacing w:line="440" w:lineRule="exact"/>
              <w:ind w:firstLine="482" w:firstLineChars="200"/>
              <w:rPr>
                <w:rFonts w:ascii="宋体" w:hAnsi="宋体" w:eastAsia="宋体"/>
                <w:b/>
                <w:iCs/>
                <w:color w:val="000000" w:themeColor="text1"/>
                <w:sz w:val="24"/>
                <w:szCs w:val="24"/>
                <w14:textFill>
                  <w14:solidFill>
                    <w14:schemeClr w14:val="tx1"/>
                  </w14:solidFill>
                </w14:textFill>
              </w:rPr>
            </w:pPr>
            <w:r>
              <w:rPr>
                <w:rFonts w:hint="eastAsia" w:ascii="宋体" w:hAnsi="宋体" w:eastAsia="宋体"/>
                <w:b/>
                <w:iCs/>
                <w:color w:val="000000" w:themeColor="text1"/>
                <w:sz w:val="24"/>
                <w:szCs w:val="24"/>
                <w14:textFill>
                  <w14:solidFill>
                    <w14:schemeClr w14:val="tx1"/>
                  </w14:solidFill>
                </w14:textFill>
              </w:rPr>
              <w:t>若供应商开具增值税专用发票，则以扣除税金的价格作为评审价格，即 评审价格=含税价</w:t>
            </w:r>
            <w:r>
              <w:rPr>
                <w:rFonts w:ascii="宋体" w:hAnsi="宋体" w:eastAsia="宋体"/>
                <w:b/>
                <w:iCs/>
                <w:color w:val="000000" w:themeColor="text1"/>
                <w:sz w:val="24"/>
                <w:szCs w:val="24"/>
                <w14:textFill>
                  <w14:solidFill>
                    <w14:schemeClr w14:val="tx1"/>
                  </w14:solidFill>
                </w14:textFill>
              </w:rPr>
              <w:t>÷</w:t>
            </w:r>
            <w:r>
              <w:rPr>
                <w:rFonts w:hint="eastAsia" w:ascii="宋体" w:hAnsi="宋体" w:eastAsia="宋体"/>
                <w:b/>
                <w:iCs/>
                <w:color w:val="000000" w:themeColor="text1"/>
                <w:sz w:val="24"/>
                <w:szCs w:val="24"/>
                <w14:textFill>
                  <w14:solidFill>
                    <w14:schemeClr w14:val="tx1"/>
                  </w14:solidFill>
                </w14:textFill>
              </w:rPr>
              <w:t>（1</w:t>
            </w:r>
            <w:r>
              <w:rPr>
                <w:rFonts w:ascii="宋体" w:hAnsi="宋体" w:eastAsia="宋体"/>
                <w:b/>
                <w:iCs/>
                <w:color w:val="000000" w:themeColor="text1"/>
                <w:sz w:val="24"/>
                <w:szCs w:val="24"/>
                <w14:textFill>
                  <w14:solidFill>
                    <w14:schemeClr w14:val="tx1"/>
                  </w14:solidFill>
                </w14:textFill>
              </w:rPr>
              <w:t>+</w:t>
            </w:r>
            <w:r>
              <w:rPr>
                <w:rFonts w:hint="eastAsia" w:ascii="宋体" w:hAnsi="宋体" w:eastAsia="宋体"/>
                <w:b/>
                <w:iCs/>
                <w:color w:val="000000" w:themeColor="text1"/>
                <w:sz w:val="24"/>
                <w:szCs w:val="24"/>
                <w14:textFill>
                  <w14:solidFill>
                    <w14:schemeClr w14:val="tx1"/>
                  </w14:solidFill>
                </w14:textFill>
              </w:rPr>
              <w:t>税率）。</w:t>
            </w:r>
          </w:p>
          <w:p w14:paraId="6F985DB3">
            <w:pPr>
              <w:spacing w:line="440" w:lineRule="exact"/>
              <w:ind w:firstLine="482" w:firstLineChars="200"/>
              <w:rPr>
                <w:rFonts w:hint="eastAsia" w:eastAsia="宋体"/>
                <w:color w:val="0070C0"/>
                <w:lang w:eastAsia="zh-CN"/>
              </w:rPr>
            </w:pPr>
            <w:r>
              <w:rPr>
                <w:rFonts w:hint="eastAsia" w:ascii="宋体" w:hAnsi="宋体" w:eastAsia="宋体"/>
                <w:b/>
                <w:iCs/>
                <w:color w:val="000000" w:themeColor="text1"/>
                <w:sz w:val="24"/>
                <w:szCs w:val="24"/>
                <w14:textFill>
                  <w14:solidFill>
                    <w14:schemeClr w14:val="tx1"/>
                  </w14:solidFill>
                </w14:textFill>
              </w:rPr>
              <w:t>若供应商开具增值税普通发票，则以含税价作为评审价格。</w:t>
            </w:r>
          </w:p>
        </w:tc>
      </w:tr>
      <w:tr w14:paraId="119A5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4737E528">
            <w:pPr>
              <w:spacing w:line="440" w:lineRule="exact"/>
              <w:rPr>
                <w:rFonts w:ascii="宋体" w:hAnsi="宋体"/>
                <w:iCs/>
                <w:szCs w:val="24"/>
              </w:rPr>
            </w:pPr>
            <w:r>
              <w:rPr>
                <w:rFonts w:hint="eastAsia" w:ascii="宋体" w:hAnsi="宋体"/>
                <w:iCs/>
                <w:szCs w:val="24"/>
              </w:rPr>
              <w:t>否决供应商的情形</w:t>
            </w:r>
          </w:p>
        </w:tc>
        <w:tc>
          <w:tcPr>
            <w:tcW w:w="4155" w:type="pct"/>
            <w:vAlign w:val="center"/>
          </w:tcPr>
          <w:p w14:paraId="7F1BD5B4">
            <w:pPr>
              <w:spacing w:line="440" w:lineRule="exact"/>
              <w:rPr>
                <w:rFonts w:ascii="宋体" w:hAnsi="宋体"/>
                <w:iCs/>
                <w:szCs w:val="24"/>
              </w:rPr>
            </w:pPr>
            <w:r>
              <w:rPr>
                <w:rFonts w:hint="eastAsia" w:ascii="宋体" w:hAnsi="宋体"/>
                <w:iCs/>
                <w:szCs w:val="24"/>
              </w:rPr>
              <w:t>经评审，若评审小组认定供应商存在以下情形之一，则予以否决。</w:t>
            </w:r>
          </w:p>
          <w:p w14:paraId="0187774E">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工期</w:t>
            </w:r>
            <w:r>
              <w:rPr>
                <w:rFonts w:ascii="宋体" w:hAnsi="宋体" w:eastAsia="宋体"/>
                <w:iCs/>
                <w:color w:val="0000FF"/>
                <w:sz w:val="24"/>
                <w:szCs w:val="24"/>
              </w:rPr>
              <w:t>/交货期/服务期不满足</w:t>
            </w:r>
            <w:r>
              <w:rPr>
                <w:rFonts w:hint="eastAsia" w:ascii="宋体" w:hAnsi="宋体" w:eastAsia="宋体"/>
                <w:iCs/>
                <w:color w:val="0000FF"/>
                <w:sz w:val="24"/>
                <w:szCs w:val="24"/>
              </w:rPr>
              <w:t>采购</w:t>
            </w:r>
            <w:r>
              <w:rPr>
                <w:rFonts w:ascii="宋体" w:hAnsi="宋体" w:eastAsia="宋体"/>
                <w:iCs/>
                <w:color w:val="0000FF"/>
                <w:sz w:val="24"/>
                <w:szCs w:val="24"/>
              </w:rPr>
              <w:t>文件要求</w:t>
            </w:r>
            <w:r>
              <w:rPr>
                <w:rFonts w:hint="eastAsia" w:ascii="宋体" w:hAnsi="宋体" w:eastAsia="宋体"/>
                <w:iCs/>
                <w:color w:val="0000FF"/>
                <w:sz w:val="24"/>
                <w:szCs w:val="24"/>
              </w:rPr>
              <w:t>。</w:t>
            </w:r>
          </w:p>
          <w:p w14:paraId="42B649D3">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响应有效期不满足采购文件要求。</w:t>
            </w:r>
          </w:p>
          <w:p w14:paraId="74A31355">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供应商不符合国家或者采购文件规定的资格要求。</w:t>
            </w:r>
          </w:p>
          <w:p w14:paraId="75264198">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同一供应商提交两个或以上不同的报价，且不接受按既定规则处理的，但采购文件要求提交备选方案的除外。</w:t>
            </w:r>
          </w:p>
          <w:p w14:paraId="56EB8780">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报价格式、内容不满足采购文件的实质性要求，有重大偏差。</w:t>
            </w:r>
          </w:p>
          <w:p w14:paraId="6C977E93">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供应商报价属于存在重大履约风险的异常报价，或者高于采购文件设定的任何一项最高限价（分项最高限价或总价最高限价）。</w:t>
            </w:r>
          </w:p>
          <w:p w14:paraId="209CC488">
            <w:pPr>
              <w:pStyle w:val="10"/>
              <w:numPr>
                <w:ilvl w:val="0"/>
                <w:numId w:val="8"/>
              </w:numPr>
              <w:spacing w:line="440" w:lineRule="exact"/>
              <w:ind w:firstLineChars="0"/>
              <w:rPr>
                <w:rFonts w:ascii="宋体" w:hAnsi="宋体" w:eastAsia="宋体"/>
                <w:iCs/>
                <w:color w:val="0000FF"/>
                <w:sz w:val="24"/>
                <w:szCs w:val="24"/>
              </w:rPr>
            </w:pPr>
            <w:r>
              <w:rPr>
                <w:rFonts w:ascii="宋体" w:hAnsi="宋体" w:eastAsia="宋体"/>
                <w:iCs/>
                <w:color w:val="0000FF"/>
                <w:sz w:val="24"/>
                <w:szCs w:val="24"/>
              </w:rPr>
              <w:t>供应商</w:t>
            </w:r>
            <w:r>
              <w:rPr>
                <w:rFonts w:hint="eastAsia" w:ascii="宋体" w:hAnsi="宋体" w:eastAsia="宋体"/>
                <w:iCs/>
                <w:color w:val="0000FF"/>
                <w:sz w:val="24"/>
                <w:szCs w:val="24"/>
              </w:rPr>
              <w:t>在本项目采购活动中</w:t>
            </w:r>
            <w:r>
              <w:rPr>
                <w:rFonts w:ascii="宋体" w:hAnsi="宋体" w:eastAsia="宋体"/>
                <w:iCs/>
                <w:color w:val="0000FF"/>
                <w:sz w:val="24"/>
                <w:szCs w:val="24"/>
              </w:rPr>
              <w:t>有串通报价、弄虚作假、行贿、以他人名义参与采购活动等不诚信行为的，包括但不限于：《招标投标法》及其配套法规政策规定的串通投标情形适用于本采购项目对供应商串通报价行为的认定。</w:t>
            </w:r>
          </w:p>
          <w:p w14:paraId="716278A6">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供应商在报价截止时间后撤销响应文件的。</w:t>
            </w:r>
          </w:p>
          <w:p w14:paraId="2E37E8B2">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供应商在提交响应文件截止时间后对响应文件提出实质性修改的。</w:t>
            </w:r>
          </w:p>
          <w:p w14:paraId="6E9C087C">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对按照价格修正原则修正后的价格，或者按照评审价格条款调整后的价格，供应商不接受的。</w:t>
            </w:r>
          </w:p>
          <w:p w14:paraId="30F6C252">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未按照采购文件规定的响应保证金要求，提交响应保证金。</w:t>
            </w:r>
          </w:p>
          <w:p w14:paraId="3FFC5943">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供应商被</w:t>
            </w:r>
            <w:r>
              <w:rPr>
                <w:rFonts w:hint="eastAsia" w:ascii="宋体" w:hAnsi="宋体" w:eastAsia="宋体"/>
                <w:iCs/>
                <w:color w:val="0000FF"/>
                <w:sz w:val="24"/>
                <w:szCs w:val="24"/>
                <w:lang w:val="en-US" w:eastAsia="zh-CN"/>
              </w:rPr>
              <w:t>采购人</w:t>
            </w:r>
            <w:r>
              <w:rPr>
                <w:rFonts w:hint="eastAsia" w:ascii="宋体" w:hAnsi="宋体" w:eastAsia="宋体"/>
                <w:iCs/>
                <w:color w:val="0000FF"/>
                <w:sz w:val="24"/>
                <w:szCs w:val="24"/>
              </w:rPr>
              <w:t>或上级单位列入供应商黑名单，且在规定期限内的，其报价将按无效处理。</w:t>
            </w:r>
            <w:r>
              <w:rPr>
                <w:rFonts w:hint="eastAsia" w:ascii="宋体" w:hAnsi="宋体" w:eastAsia="宋体"/>
                <w:color w:val="0000FF"/>
                <w:sz w:val="24"/>
                <w:szCs w:val="24"/>
              </w:rPr>
              <w:t>在签订采购合同前，若供应商被</w:t>
            </w:r>
            <w:r>
              <w:rPr>
                <w:rFonts w:hint="eastAsia" w:ascii="宋体" w:hAnsi="宋体" w:eastAsia="宋体"/>
                <w:color w:val="0000FF"/>
                <w:sz w:val="24"/>
                <w:szCs w:val="24"/>
                <w:lang w:val="en-US" w:eastAsia="zh-CN"/>
              </w:rPr>
              <w:t>采购人</w:t>
            </w:r>
            <w:r>
              <w:rPr>
                <w:rFonts w:hint="eastAsia" w:ascii="宋体" w:hAnsi="宋体" w:eastAsia="宋体"/>
                <w:color w:val="0000FF"/>
                <w:sz w:val="24"/>
                <w:szCs w:val="24"/>
              </w:rPr>
              <w:t>或上级单位列入黑名单，其成交资格将被取消</w:t>
            </w:r>
            <w:r>
              <w:rPr>
                <w:rFonts w:hint="eastAsia" w:ascii="宋体" w:hAnsi="宋体" w:eastAsia="宋体"/>
                <w:iCs/>
                <w:color w:val="0000FF"/>
                <w:sz w:val="24"/>
                <w:szCs w:val="24"/>
              </w:rPr>
              <w:t>。</w:t>
            </w:r>
          </w:p>
          <w:p w14:paraId="09F45C70">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单</w:t>
            </w:r>
            <w:r>
              <w:rPr>
                <w:rFonts w:ascii="宋体" w:hAnsi="宋体" w:eastAsia="宋体"/>
                <w:iCs/>
                <w:color w:val="0000FF"/>
                <w:sz w:val="24"/>
                <w:szCs w:val="24"/>
              </w:rPr>
              <w:t>位负责人为同一人</w:t>
            </w:r>
            <w:r>
              <w:rPr>
                <w:rFonts w:hint="eastAsia" w:ascii="宋体" w:hAnsi="宋体" w:eastAsia="宋体"/>
                <w:iCs/>
                <w:color w:val="0000FF"/>
                <w:sz w:val="24"/>
                <w:szCs w:val="24"/>
              </w:rPr>
              <w:t>，</w:t>
            </w:r>
            <w:r>
              <w:rPr>
                <w:rFonts w:ascii="宋体" w:hAnsi="宋体" w:eastAsia="宋体"/>
                <w:iCs/>
                <w:color w:val="0000FF"/>
                <w:sz w:val="24"/>
                <w:szCs w:val="24"/>
              </w:rPr>
              <w:t>或者存在控股、管理关系的不同供应商，参与同一标段的相同分项项目</w:t>
            </w:r>
            <w:r>
              <w:rPr>
                <w:rFonts w:hint="eastAsia" w:ascii="宋体" w:hAnsi="宋体" w:eastAsia="宋体"/>
                <w:iCs/>
                <w:color w:val="0000FF"/>
                <w:sz w:val="24"/>
                <w:szCs w:val="24"/>
              </w:rPr>
              <w:t>/物品行</w:t>
            </w:r>
            <w:r>
              <w:rPr>
                <w:rFonts w:ascii="宋体" w:hAnsi="宋体" w:eastAsia="宋体"/>
                <w:iCs/>
                <w:color w:val="0000FF"/>
                <w:sz w:val="24"/>
                <w:szCs w:val="24"/>
              </w:rPr>
              <w:t>报价的。</w:t>
            </w:r>
          </w:p>
          <w:p w14:paraId="26843FDC">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sz w:val="24"/>
                <w:szCs w:val="24"/>
              </w:rPr>
              <w:t>供应商被政府部门、司法机关责令停业的，或者被暂停或取消投标资格的，或者财产被接管或冻结的</w:t>
            </w:r>
            <w:r>
              <w:rPr>
                <w:rFonts w:hint="eastAsia" w:ascii="宋体" w:hAnsi="宋体" w:eastAsia="宋体"/>
                <w:iCs/>
                <w:color w:val="0000FF"/>
                <w:sz w:val="24"/>
                <w:szCs w:val="24"/>
                <w:lang w:eastAsia="zh-CN"/>
              </w:rPr>
              <w:t>，</w:t>
            </w:r>
            <w:r>
              <w:rPr>
                <w:rFonts w:hint="eastAsia" w:ascii="宋体" w:hAnsi="宋体" w:eastAsia="宋体"/>
                <w:iCs/>
                <w:color w:val="0000FF"/>
                <w:sz w:val="24"/>
                <w:szCs w:val="24"/>
                <w:lang w:val="en-US" w:eastAsia="zh-CN"/>
              </w:rPr>
              <w:t>且在规定期限内</w:t>
            </w:r>
            <w:r>
              <w:rPr>
                <w:rFonts w:hint="eastAsia" w:ascii="宋体" w:hAnsi="宋体" w:eastAsia="宋体"/>
                <w:iCs/>
                <w:color w:val="0000FF"/>
                <w:sz w:val="24"/>
                <w:szCs w:val="24"/>
              </w:rPr>
              <w:t>。</w:t>
            </w:r>
          </w:p>
          <w:p w14:paraId="2B53155E">
            <w:pPr>
              <w:pStyle w:val="10"/>
              <w:numPr>
                <w:ilvl w:val="0"/>
                <w:numId w:val="8"/>
              </w:numPr>
              <w:spacing w:line="440" w:lineRule="exact"/>
              <w:ind w:firstLineChars="0"/>
              <w:rPr>
                <w:rFonts w:ascii="宋体" w:hAnsi="宋体" w:eastAsia="宋体"/>
                <w:iCs/>
                <w:color w:val="0000FF"/>
                <w:sz w:val="24"/>
                <w:szCs w:val="24"/>
              </w:rPr>
            </w:pPr>
            <w:r>
              <w:rPr>
                <w:rFonts w:hint="eastAsia" w:ascii="宋体" w:hAnsi="宋体" w:eastAsia="宋体"/>
                <w:iCs/>
                <w:color w:val="0000FF"/>
                <w:kern w:val="0"/>
                <w:sz w:val="24"/>
                <w:szCs w:val="24"/>
              </w:rPr>
              <w:t>若接受联合体报价，供应商采用联合体形式报价，但没有提交联合体协议或共同报价协议的；或者若联合体各方在同一标段中以自己名义单独报价或者参加其他联合体报价的；或者若资格预审后联合体增减、更换成员的，均按无效处理</w:t>
            </w:r>
            <w:r>
              <w:rPr>
                <w:rFonts w:hint="eastAsia" w:ascii="宋体" w:hAnsi="宋体" w:eastAsia="宋体"/>
                <w:iCs/>
                <w:color w:val="0000FF"/>
                <w:sz w:val="24"/>
                <w:szCs w:val="24"/>
              </w:rPr>
              <w:t>。</w:t>
            </w:r>
          </w:p>
          <w:p w14:paraId="5C1A07E3">
            <w:pPr>
              <w:pStyle w:val="10"/>
              <w:numPr>
                <w:ilvl w:val="0"/>
                <w:numId w:val="8"/>
              </w:numPr>
              <w:spacing w:line="440" w:lineRule="exact"/>
              <w:ind w:firstLineChars="0"/>
              <w:rPr>
                <w:rFonts w:ascii="宋体" w:hAnsi="宋体"/>
                <w:iCs/>
                <w:szCs w:val="24"/>
              </w:rPr>
            </w:pPr>
            <w:r>
              <w:rPr>
                <w:rFonts w:hint="eastAsia" w:ascii="宋体" w:hAnsi="宋体" w:eastAsia="宋体"/>
                <w:iCs/>
                <w:color w:val="0000FF"/>
                <w:sz w:val="24"/>
                <w:szCs w:val="24"/>
              </w:rPr>
              <w:t>响应文件没有对采购文件的实质性要求和条件作出响应。</w:t>
            </w:r>
          </w:p>
        </w:tc>
      </w:tr>
      <w:tr w14:paraId="2A129D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613D5280">
            <w:pPr>
              <w:spacing w:line="440" w:lineRule="exact"/>
              <w:rPr>
                <w:rFonts w:ascii="宋体" w:hAnsi="宋体"/>
                <w:iCs/>
                <w:szCs w:val="24"/>
              </w:rPr>
            </w:pPr>
            <w:r>
              <w:rPr>
                <w:rFonts w:hint="eastAsia" w:ascii="宋体" w:hAnsi="宋体"/>
                <w:iCs/>
                <w:szCs w:val="24"/>
              </w:rPr>
              <w:t>评审价格相同时的排序规则</w:t>
            </w:r>
          </w:p>
        </w:tc>
        <w:tc>
          <w:tcPr>
            <w:tcW w:w="4155" w:type="pct"/>
            <w:vAlign w:val="center"/>
          </w:tcPr>
          <w:p w14:paraId="12EEC5F6">
            <w:pPr>
              <w:pStyle w:val="10"/>
              <w:numPr>
                <w:ilvl w:val="0"/>
                <w:numId w:val="9"/>
              </w:numPr>
              <w:spacing w:line="440" w:lineRule="exact"/>
              <w:ind w:firstLineChars="0"/>
              <w:rPr>
                <w:rFonts w:ascii="宋体" w:hAnsi="宋体"/>
                <w:iCs/>
                <w:szCs w:val="24"/>
              </w:rPr>
            </w:pPr>
            <w:r>
              <w:rPr>
                <w:rFonts w:hint="eastAsia" w:cs="宋体" w:asciiTheme="minorEastAsia" w:hAnsiTheme="minorEastAsia"/>
                <w:color w:val="auto"/>
                <w:sz w:val="24"/>
                <w:szCs w:val="24"/>
                <w:lang w:val="en-US" w:eastAsia="zh-CN"/>
              </w:rPr>
              <w:t>若出现报价相同的情形，将优先选择营业执照注册地址距甲方所在地较近的报价方确定为成交人。</w:t>
            </w:r>
          </w:p>
        </w:tc>
      </w:tr>
      <w:tr w14:paraId="0F8A67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pct"/>
            <w:vAlign w:val="center"/>
          </w:tcPr>
          <w:p w14:paraId="634CA8EA">
            <w:pPr>
              <w:spacing w:line="440" w:lineRule="exact"/>
              <w:rPr>
                <w:rFonts w:hint="eastAsia" w:ascii="宋体" w:hAnsi="宋体"/>
                <w:iCs/>
                <w:szCs w:val="24"/>
              </w:rPr>
            </w:pPr>
            <w:r>
              <w:rPr>
                <w:rFonts w:hint="eastAsia" w:ascii="宋体" w:hAnsi="宋体"/>
                <w:iCs/>
                <w:szCs w:val="24"/>
              </w:rPr>
              <w:t>其他情况说明</w:t>
            </w:r>
          </w:p>
        </w:tc>
        <w:tc>
          <w:tcPr>
            <w:tcW w:w="4155" w:type="pct"/>
            <w:vAlign w:val="center"/>
          </w:tcPr>
          <w:p w14:paraId="03B7FCAA">
            <w:pPr>
              <w:pStyle w:val="10"/>
              <w:numPr>
                <w:ilvl w:val="0"/>
                <w:numId w:val="10"/>
              </w:numPr>
              <w:tabs>
                <w:tab w:val="left" w:pos="993"/>
              </w:tabs>
              <w:spacing w:line="440" w:lineRule="exact"/>
              <w:ind w:left="0" w:firstLine="480" w:firstLineChars="0"/>
              <w:rPr>
                <w:rFonts w:hint="eastAsia" w:cs="宋体" w:asciiTheme="minorEastAsia" w:hAnsiTheme="minorEastAsia" w:eastAsiaTheme="minorEastAsia"/>
                <w:color w:val="auto"/>
                <w:sz w:val="24"/>
                <w:szCs w:val="24"/>
                <w:lang w:val="en-US" w:eastAsia="zh-CN"/>
              </w:rPr>
            </w:pPr>
            <w:r>
              <w:rPr>
                <w:rFonts w:hint="eastAsia" w:ascii="宋体" w:hAnsi="宋体" w:eastAsia="宋体"/>
                <w:bCs/>
                <w:color w:val="auto"/>
                <w:sz w:val="24"/>
                <w:szCs w:val="24"/>
              </w:rPr>
              <w:t>本采购项目评审方</w:t>
            </w:r>
            <w:r>
              <w:rPr>
                <w:rFonts w:hint="eastAsia" w:ascii="宋体" w:hAnsi="宋体" w:eastAsia="宋体"/>
                <w:bCs/>
                <w:color w:val="auto"/>
                <w:sz w:val="24"/>
                <w:szCs w:val="24"/>
                <w:u w:val="none"/>
              </w:rPr>
              <w:t>法</w:t>
            </w:r>
            <w:r>
              <w:rPr>
                <w:rFonts w:hint="eastAsia" w:ascii="宋体" w:hAnsi="宋体" w:eastAsia="宋体"/>
                <w:bCs/>
                <w:color w:val="auto"/>
                <w:sz w:val="24"/>
                <w:szCs w:val="24"/>
                <w:u w:val="none"/>
                <w:lang w:val="en-US" w:eastAsia="zh-CN"/>
              </w:rPr>
              <w:t>如下：</w:t>
            </w:r>
            <w:r>
              <w:rPr>
                <w:rFonts w:ascii="宋体" w:hAnsi="宋体" w:eastAsia="宋体" w:cs="宋体"/>
                <w:color w:val="auto"/>
                <w:kern w:val="0"/>
                <w:sz w:val="24"/>
                <w:szCs w:val="24"/>
                <w:lang w:val="en-US" w:eastAsia="zh-CN" w:bidi="ar"/>
              </w:rPr>
              <w:t>以不含税价格作为评审价格，按照报价不含税金额由低到高排序，选择报价不含税金额最低的单位为推荐成交人；报价不含税金额排名第二的为备选渠道，其最终报价为备选成交价格。</w:t>
            </w:r>
          </w:p>
          <w:p w14:paraId="41CF5CB9">
            <w:pPr>
              <w:pStyle w:val="10"/>
              <w:numPr>
                <w:ilvl w:val="0"/>
                <w:numId w:val="10"/>
              </w:numPr>
              <w:tabs>
                <w:tab w:val="left" w:pos="993"/>
              </w:tabs>
              <w:spacing w:line="440" w:lineRule="exact"/>
              <w:ind w:left="0" w:firstLine="480" w:firstLineChars="0"/>
              <w:rPr>
                <w:rFonts w:hint="eastAsia" w:cs="宋体" w:asciiTheme="minorEastAsia" w:hAnsiTheme="minorEastAsia" w:eastAsiaTheme="minorEastAsia"/>
                <w:color w:val="auto"/>
                <w:sz w:val="24"/>
                <w:szCs w:val="24"/>
                <w:lang w:val="en-US" w:eastAsia="zh-CN"/>
              </w:rPr>
            </w:pPr>
            <w:r>
              <w:rPr>
                <w:rFonts w:hint="eastAsia" w:cs="宋体" w:asciiTheme="minorEastAsia" w:hAnsiTheme="minorEastAsia" w:eastAsiaTheme="minorEastAsia"/>
                <w:color w:val="auto"/>
                <w:sz w:val="24"/>
                <w:szCs w:val="24"/>
                <w:lang w:val="en-US" w:eastAsia="zh-CN"/>
              </w:rPr>
              <w:t>采购方式转换规则：</w:t>
            </w:r>
          </w:p>
          <w:p w14:paraId="5C79E0C1">
            <w:pPr>
              <w:pStyle w:val="10"/>
              <w:numPr>
                <w:ilvl w:val="0"/>
                <w:numId w:val="11"/>
              </w:numPr>
              <w:tabs>
                <w:tab w:val="left" w:pos="993"/>
                <w:tab w:val="clear" w:pos="312"/>
              </w:tabs>
              <w:spacing w:line="440" w:lineRule="exact"/>
              <w:ind w:left="720" w:leftChars="200" w:hanging="240" w:hangingChars="100"/>
              <w:rPr>
                <w:rFonts w:ascii="宋体" w:hAnsi="宋体" w:eastAsia="宋体"/>
                <w:bCs/>
                <w:color w:val="auto"/>
                <w:sz w:val="24"/>
                <w:szCs w:val="24"/>
              </w:rPr>
            </w:pPr>
            <w:r>
              <w:rPr>
                <w:rFonts w:hint="eastAsia" w:asciiTheme="minorEastAsia" w:hAnsiTheme="minorEastAsia" w:eastAsiaTheme="minorEastAsia"/>
                <w:color w:val="auto"/>
                <w:sz w:val="24"/>
                <w:szCs w:val="24"/>
                <w:lang w:val="en-US" w:eastAsia="zh-CN"/>
              </w:rPr>
              <w:t>在开标阶段，参与的供应商数量不足3家的，可选择流标；或者转变采购方式，可对参与的供应商开启响应文件，按谈判和评审程序实施；其中供应商数量2家的，可转为谈判采购；</w:t>
            </w:r>
          </w:p>
          <w:p w14:paraId="2117B912">
            <w:pPr>
              <w:pStyle w:val="10"/>
              <w:numPr>
                <w:ilvl w:val="0"/>
                <w:numId w:val="11"/>
              </w:numPr>
              <w:tabs>
                <w:tab w:val="left" w:pos="993"/>
                <w:tab w:val="clear" w:pos="312"/>
              </w:tabs>
              <w:spacing w:line="440" w:lineRule="exact"/>
              <w:ind w:left="720" w:leftChars="200" w:hanging="240" w:hangingChars="100"/>
              <w:rPr>
                <w:rFonts w:hint="eastAsia" w:ascii="宋体" w:hAnsi="宋体"/>
                <w:iCs/>
                <w:color w:val="FF0000"/>
                <w:szCs w:val="24"/>
              </w:rPr>
            </w:pPr>
            <w:r>
              <w:rPr>
                <w:rFonts w:hint="eastAsia" w:asciiTheme="minorEastAsia" w:hAnsiTheme="minorEastAsia" w:eastAsiaTheme="minorEastAsia"/>
                <w:color w:val="auto"/>
                <w:sz w:val="24"/>
                <w:szCs w:val="24"/>
                <w:lang w:val="en-US" w:eastAsia="zh-CN"/>
              </w:rPr>
              <w:t>在评审阶段，有效供应商不足3家的，可选择做流标处理；或者在有效供应商原报价基础上，可转换采购方式，按谈判和评审程序实施；其中有效供应商数量2家的，可转为谈判采购；</w:t>
            </w:r>
          </w:p>
        </w:tc>
      </w:tr>
    </w:tbl>
    <w:p w14:paraId="33ACA3AC">
      <w:pPr>
        <w:spacing w:before="156" w:beforeLines="50" w:line="440" w:lineRule="exact"/>
        <w:ind w:firstLine="480" w:firstLineChars="200"/>
        <w:rPr>
          <w:rFonts w:hint="eastAsia" w:ascii="宋体" w:hAnsi="宋体"/>
          <w:iCs/>
          <w:color w:val="FF0000"/>
          <w:szCs w:val="24"/>
        </w:rPr>
      </w:pPr>
      <w:sdt>
        <w:sdtPr>
          <w:rPr>
            <w:rFonts w:hint="eastAsia" w:ascii="宋体" w:hAnsi="宋体" w:eastAsia="宋体" w:cs="Times New Roman"/>
            <w:iCs/>
            <w:color w:val="FF0000"/>
            <w:kern w:val="2"/>
            <w:sz w:val="24"/>
            <w:szCs w:val="24"/>
            <w:lang w:val="en-US" w:eastAsia="zh-CN" w:bidi="ar-SA"/>
          </w:rPr>
          <w:id w:val="147475264"/>
          <w14:checkbox>
            <w14:checked w14:val="1"/>
            <w14:checkedState w14:val="00A2" w14:font="Wingdings 2"/>
            <w14:uncheckedState w14:val="2610" w14:font="MS Gothic"/>
          </w14:checkbox>
        </w:sdtPr>
        <w:sdtEndPr>
          <w:rPr>
            <w:rFonts w:hint="eastAsia" w:ascii="宋体" w:hAnsi="宋体" w:eastAsia="宋体" w:cs="Times New Roman"/>
            <w:iCs/>
            <w:color w:val="FF0000"/>
            <w:kern w:val="2"/>
            <w:sz w:val="24"/>
            <w:szCs w:val="24"/>
            <w:lang w:val="en-US" w:eastAsia="zh-CN" w:bidi="ar-SA"/>
          </w:rPr>
        </w:sdtEndPr>
        <w:sdtContent>
          <w:r>
            <w:rPr>
              <w:rFonts w:ascii="Wingdings 2" w:hAnsi="Wingdings 2" w:eastAsia="宋体" w:cs="Times New Roman"/>
              <w:color w:val="FF0000"/>
              <w:kern w:val="2"/>
              <w:sz w:val="24"/>
              <w:szCs w:val="32"/>
              <w:lang w:val="en-US" w:eastAsia="zh-CN" w:bidi="ar-SA"/>
            </w:rPr>
            <w:t>¢</w:t>
          </w:r>
        </w:sdtContent>
      </w:sdt>
      <w:r>
        <w:rPr>
          <w:rFonts w:hint="eastAsia" w:ascii="宋体" w:hAnsi="宋体"/>
          <w:iCs/>
          <w:color w:val="FF0000"/>
          <w:szCs w:val="24"/>
        </w:rPr>
        <w:t>本项目采用</w:t>
      </w:r>
      <w:r>
        <w:rPr>
          <w:rFonts w:hint="eastAsia" w:ascii="宋体" w:hAnsi="宋体"/>
          <w:iCs/>
          <w:color w:val="FF0000"/>
          <w:szCs w:val="24"/>
          <w:u w:val="single"/>
        </w:rPr>
        <w:t>最低价评审法</w:t>
      </w:r>
      <w:r>
        <w:rPr>
          <w:rFonts w:hint="eastAsia" w:ascii="宋体" w:hAnsi="宋体"/>
          <w:iCs/>
          <w:color w:val="FF0000"/>
          <w:szCs w:val="24"/>
        </w:rPr>
        <w:t>。主要实施程序包括初步评审、价格评审、评审澄清、“否决供应商情形”的评审、出具评审报告、确定采购结果。</w:t>
      </w:r>
    </w:p>
    <w:p w14:paraId="62F57191">
      <w:pPr>
        <w:pStyle w:val="10"/>
        <w:numPr>
          <w:ilvl w:val="0"/>
          <w:numId w:val="12"/>
        </w:numPr>
        <w:spacing w:line="440" w:lineRule="exact"/>
        <w:ind w:firstLineChars="0"/>
        <w:rPr>
          <w:rFonts w:ascii="宋体" w:hAnsi="宋体"/>
          <w:b/>
          <w:iCs/>
          <w:szCs w:val="24"/>
        </w:rPr>
      </w:pPr>
      <w:r>
        <w:rPr>
          <w:rFonts w:ascii="宋体" w:hAnsi="宋体"/>
          <w:b/>
          <w:iCs/>
          <w:szCs w:val="24"/>
        </w:rPr>
        <w:t>初步评审</w:t>
      </w:r>
    </w:p>
    <w:p w14:paraId="56BA12CB">
      <w:pPr>
        <w:spacing w:line="440" w:lineRule="exact"/>
        <w:ind w:firstLine="480" w:firstLineChars="200"/>
        <w:rPr>
          <w:rFonts w:ascii="宋体" w:hAnsi="宋体"/>
          <w:iCs/>
          <w:szCs w:val="24"/>
        </w:rPr>
      </w:pPr>
      <w:r>
        <w:rPr>
          <w:rFonts w:hint="eastAsia" w:ascii="宋体" w:hAnsi="宋体"/>
          <w:iCs/>
          <w:szCs w:val="24"/>
        </w:rPr>
        <w:t>对供应商的资格条件等因素进行初步评审，“供应商资格要求”详见“第一卷供应商须知”的“供应商资格要求”，其他评审因素详见评审方法前附表“初步评审”。</w:t>
      </w:r>
    </w:p>
    <w:p w14:paraId="38757CEE">
      <w:pPr>
        <w:spacing w:line="440" w:lineRule="exact"/>
        <w:ind w:firstLine="480" w:firstLineChars="200"/>
        <w:rPr>
          <w:rFonts w:ascii="宋体" w:hAnsi="宋体"/>
          <w:iCs/>
          <w:szCs w:val="24"/>
        </w:rPr>
      </w:pPr>
      <w:r>
        <w:rPr>
          <w:rFonts w:hint="eastAsia" w:ascii="宋体" w:hAnsi="宋体"/>
          <w:iCs/>
          <w:szCs w:val="24"/>
        </w:rPr>
        <w:t>通过初步评审的供应商进入下一环节评审，对不满足初步评审要求的供应商予以否决。</w:t>
      </w:r>
    </w:p>
    <w:p w14:paraId="143276A3">
      <w:pPr>
        <w:pStyle w:val="10"/>
        <w:numPr>
          <w:ilvl w:val="0"/>
          <w:numId w:val="12"/>
        </w:numPr>
        <w:spacing w:line="440" w:lineRule="exact"/>
        <w:ind w:firstLineChars="0"/>
        <w:rPr>
          <w:rFonts w:ascii="宋体" w:hAnsi="宋体"/>
          <w:b/>
          <w:iCs/>
          <w:szCs w:val="24"/>
        </w:rPr>
      </w:pPr>
      <w:r>
        <w:rPr>
          <w:rFonts w:ascii="宋体" w:hAnsi="宋体"/>
          <w:b/>
          <w:iCs/>
          <w:szCs w:val="24"/>
        </w:rPr>
        <w:t>价格评审</w:t>
      </w:r>
    </w:p>
    <w:p w14:paraId="2F4F019A">
      <w:pPr>
        <w:spacing w:line="440" w:lineRule="exact"/>
        <w:ind w:firstLine="480" w:firstLineChars="200"/>
        <w:rPr>
          <w:rFonts w:ascii="宋体" w:hAnsi="宋体"/>
          <w:iCs/>
          <w:szCs w:val="24"/>
        </w:rPr>
      </w:pPr>
      <w:r>
        <w:rPr>
          <w:rFonts w:hint="eastAsia" w:ascii="宋体" w:hAnsi="宋体"/>
          <w:iCs/>
          <w:szCs w:val="24"/>
        </w:rPr>
        <w:t>对通过初步评审的供应商进行价格评审。按照报价修正原则修正供应商报价；在修正价格基础上，按照评审价格调整条款计算评审价格，分析供应商报价的合理性，按照评审价格排序。</w:t>
      </w:r>
    </w:p>
    <w:p w14:paraId="7194A3EE">
      <w:pPr>
        <w:pStyle w:val="10"/>
        <w:numPr>
          <w:ilvl w:val="0"/>
          <w:numId w:val="13"/>
        </w:numPr>
        <w:spacing w:line="440" w:lineRule="exact"/>
        <w:ind w:left="0" w:firstLine="482"/>
        <w:rPr>
          <w:rFonts w:ascii="宋体" w:hAnsi="宋体"/>
          <w:b/>
          <w:iCs/>
          <w:szCs w:val="24"/>
        </w:rPr>
      </w:pPr>
      <w:r>
        <w:rPr>
          <w:rFonts w:ascii="宋体" w:hAnsi="宋体"/>
          <w:b/>
          <w:iCs/>
          <w:szCs w:val="24"/>
        </w:rPr>
        <w:t>报价修正原则</w:t>
      </w:r>
    </w:p>
    <w:p w14:paraId="5FA56098">
      <w:pPr>
        <w:spacing w:line="440" w:lineRule="exact"/>
        <w:ind w:firstLine="480" w:firstLineChars="200"/>
        <w:rPr>
          <w:rFonts w:ascii="宋体" w:hAnsi="宋体"/>
          <w:iCs/>
          <w:szCs w:val="24"/>
        </w:rPr>
      </w:pPr>
      <w:r>
        <w:rPr>
          <w:rFonts w:hint="eastAsia" w:ascii="宋体" w:hAnsi="宋体"/>
          <w:iCs/>
          <w:szCs w:val="24"/>
        </w:rPr>
        <w:t>供应商报价的修正原则详见评审方法前附表“报价修正原则”。供应商报价出现“报价修正原则”规定情形的，则按规定原则进行修正。</w:t>
      </w:r>
    </w:p>
    <w:p w14:paraId="11978C60">
      <w:pPr>
        <w:spacing w:line="440" w:lineRule="exact"/>
        <w:ind w:firstLine="480" w:firstLineChars="200"/>
        <w:rPr>
          <w:rFonts w:ascii="宋体" w:hAnsi="宋体"/>
          <w:iCs/>
          <w:szCs w:val="24"/>
        </w:rPr>
      </w:pPr>
      <w:r>
        <w:rPr>
          <w:rFonts w:ascii="宋体" w:hAnsi="宋体"/>
          <w:iCs/>
          <w:szCs w:val="24"/>
        </w:rPr>
        <w:t>按</w:t>
      </w:r>
      <w:r>
        <w:rPr>
          <w:rFonts w:hint="eastAsia" w:ascii="宋体" w:hAnsi="宋体"/>
          <w:iCs/>
          <w:szCs w:val="24"/>
        </w:rPr>
        <w:t>规定</w:t>
      </w:r>
      <w:r>
        <w:rPr>
          <w:rFonts w:ascii="宋体" w:hAnsi="宋体"/>
          <w:iCs/>
          <w:szCs w:val="24"/>
        </w:rPr>
        <w:t>原则修正后的报价对供应商产生约束力。</w:t>
      </w:r>
      <w:r>
        <w:rPr>
          <w:rFonts w:hint="eastAsia" w:ascii="宋体" w:hAnsi="宋体"/>
          <w:iCs/>
          <w:szCs w:val="24"/>
        </w:rPr>
        <w:t>供应商成交</w:t>
      </w:r>
      <w:r>
        <w:rPr>
          <w:rFonts w:ascii="宋体" w:hAnsi="宋体"/>
          <w:iCs/>
          <w:szCs w:val="24"/>
        </w:rPr>
        <w:t>后</w:t>
      </w:r>
      <w:r>
        <w:rPr>
          <w:rFonts w:hint="eastAsia" w:ascii="宋体" w:hAnsi="宋体"/>
          <w:iCs/>
          <w:szCs w:val="24"/>
        </w:rPr>
        <w:t>，应当按照修正价格（即成交价）签订合同。若供应商</w:t>
      </w:r>
      <w:r>
        <w:rPr>
          <w:rFonts w:ascii="宋体" w:hAnsi="宋体"/>
          <w:iCs/>
          <w:szCs w:val="24"/>
        </w:rPr>
        <w:t>不接受修正价格，</w:t>
      </w:r>
      <w:r>
        <w:rPr>
          <w:rFonts w:hint="eastAsia" w:ascii="宋体" w:hAnsi="宋体"/>
          <w:iCs/>
          <w:szCs w:val="24"/>
        </w:rPr>
        <w:t>则予以</w:t>
      </w:r>
      <w:r>
        <w:rPr>
          <w:rFonts w:ascii="宋体" w:hAnsi="宋体"/>
          <w:iCs/>
          <w:szCs w:val="24"/>
        </w:rPr>
        <w:t>否决。</w:t>
      </w:r>
    </w:p>
    <w:p w14:paraId="628F629D">
      <w:pPr>
        <w:pStyle w:val="10"/>
        <w:numPr>
          <w:ilvl w:val="0"/>
          <w:numId w:val="13"/>
        </w:numPr>
        <w:spacing w:line="440" w:lineRule="exact"/>
        <w:ind w:left="0" w:firstLine="482"/>
        <w:rPr>
          <w:rFonts w:ascii="宋体" w:hAnsi="宋体"/>
          <w:b/>
          <w:iCs/>
          <w:szCs w:val="24"/>
        </w:rPr>
      </w:pPr>
      <w:r>
        <w:rPr>
          <w:rFonts w:ascii="宋体" w:hAnsi="宋体"/>
          <w:b/>
          <w:iCs/>
          <w:szCs w:val="24"/>
        </w:rPr>
        <w:t>价格</w:t>
      </w:r>
      <w:r>
        <w:rPr>
          <w:rFonts w:hint="eastAsia" w:ascii="宋体" w:hAnsi="宋体"/>
          <w:b/>
          <w:iCs/>
          <w:szCs w:val="24"/>
        </w:rPr>
        <w:t>评审</w:t>
      </w:r>
    </w:p>
    <w:p w14:paraId="7B82D55C">
      <w:pPr>
        <w:spacing w:line="440" w:lineRule="exact"/>
        <w:ind w:firstLine="480" w:firstLineChars="200"/>
        <w:rPr>
          <w:rFonts w:ascii="宋体" w:hAnsi="宋体"/>
          <w:iCs/>
          <w:szCs w:val="24"/>
        </w:rPr>
      </w:pPr>
      <w:r>
        <w:rPr>
          <w:rFonts w:ascii="宋体" w:hAnsi="宋体"/>
          <w:iCs/>
          <w:szCs w:val="24"/>
        </w:rPr>
        <w:t>以有效</w:t>
      </w:r>
      <w:r>
        <w:rPr>
          <w:rFonts w:hint="eastAsia" w:ascii="宋体" w:hAnsi="宋体"/>
          <w:iCs/>
          <w:szCs w:val="24"/>
        </w:rPr>
        <w:t>供应商</w:t>
      </w:r>
      <w:r>
        <w:rPr>
          <w:rFonts w:ascii="宋体" w:hAnsi="宋体"/>
          <w:iCs/>
          <w:szCs w:val="24"/>
        </w:rPr>
        <w:t>的修正后的价格为基础，计算</w:t>
      </w:r>
      <w:r>
        <w:rPr>
          <w:rFonts w:hint="eastAsia" w:ascii="宋体" w:hAnsi="宋体"/>
          <w:iCs/>
          <w:szCs w:val="24"/>
        </w:rPr>
        <w:t>评审</w:t>
      </w:r>
      <w:r>
        <w:rPr>
          <w:rFonts w:ascii="宋体" w:hAnsi="宋体"/>
          <w:iCs/>
          <w:szCs w:val="24"/>
        </w:rPr>
        <w:t>价格</w:t>
      </w:r>
      <w:r>
        <w:rPr>
          <w:rFonts w:hint="eastAsia" w:ascii="宋体" w:hAnsi="宋体"/>
          <w:iCs/>
          <w:szCs w:val="24"/>
        </w:rPr>
        <w:t>。评审价格调整的情形详见评审方法前附表“评审价格调整条款”，若供应商报价出现“评审价格调整条款”规定情形的，则按规定调整评审价格</w:t>
      </w:r>
      <w:r>
        <w:rPr>
          <w:rFonts w:ascii="宋体" w:hAnsi="宋体"/>
          <w:iCs/>
          <w:szCs w:val="24"/>
        </w:rPr>
        <w:t>。</w:t>
      </w:r>
      <w:r>
        <w:rPr>
          <w:rFonts w:hint="eastAsia" w:ascii="宋体" w:hAnsi="宋体"/>
          <w:iCs/>
          <w:szCs w:val="24"/>
        </w:rPr>
        <w:t>根据采购项目特点和市场行情，分析供应商价格合理性。按照调整后的评审价格由低到高进行排序。</w:t>
      </w:r>
    </w:p>
    <w:p w14:paraId="10DC140F">
      <w:pPr>
        <w:spacing w:line="440" w:lineRule="exact"/>
        <w:ind w:firstLine="480" w:firstLineChars="200"/>
        <w:rPr>
          <w:rFonts w:ascii="宋体" w:hAnsi="宋体"/>
          <w:iCs/>
          <w:szCs w:val="24"/>
        </w:rPr>
      </w:pPr>
      <w:r>
        <w:rPr>
          <w:rFonts w:hint="eastAsia" w:ascii="宋体" w:hAnsi="宋体"/>
          <w:iCs/>
          <w:szCs w:val="24"/>
        </w:rPr>
        <w:t>若评审价格相同，则按照评审方法前附表“评审价格相同时的排序规则”进行排序。</w:t>
      </w:r>
    </w:p>
    <w:p w14:paraId="0625DF14">
      <w:pPr>
        <w:pStyle w:val="10"/>
        <w:numPr>
          <w:ilvl w:val="0"/>
          <w:numId w:val="12"/>
        </w:numPr>
        <w:spacing w:line="440" w:lineRule="exact"/>
        <w:ind w:firstLineChars="0"/>
        <w:rPr>
          <w:rFonts w:ascii="宋体" w:hAnsi="宋体"/>
          <w:b/>
          <w:iCs/>
          <w:szCs w:val="24"/>
        </w:rPr>
      </w:pPr>
      <w:r>
        <w:rPr>
          <w:rFonts w:hint="eastAsia" w:ascii="宋体" w:hAnsi="宋体"/>
          <w:b/>
          <w:iCs/>
          <w:szCs w:val="24"/>
        </w:rPr>
        <w:t>评审澄清</w:t>
      </w:r>
    </w:p>
    <w:p w14:paraId="3397E479">
      <w:pPr>
        <w:spacing w:line="440" w:lineRule="exact"/>
        <w:ind w:firstLine="480" w:firstLineChars="200"/>
        <w:rPr>
          <w:rFonts w:ascii="宋体" w:hAnsi="宋体"/>
          <w:iCs/>
          <w:szCs w:val="24"/>
        </w:rPr>
      </w:pPr>
      <w:r>
        <w:rPr>
          <w:rFonts w:hint="eastAsia" w:ascii="宋体" w:hAnsi="宋体"/>
          <w:iCs/>
          <w:szCs w:val="24"/>
        </w:rPr>
        <w:t>评审期间，评审小组可以视情况要求供应商进行必要的澄清或说明。供应商的澄清或说明通过平台回复。供应商的澄清和说明内容属于响应文件的组成部分。不接受供应商主动提出的澄清或说明。</w:t>
      </w:r>
    </w:p>
    <w:p w14:paraId="0EC44DE0">
      <w:pPr>
        <w:pStyle w:val="10"/>
        <w:numPr>
          <w:ilvl w:val="0"/>
          <w:numId w:val="12"/>
        </w:numPr>
        <w:spacing w:line="440" w:lineRule="exact"/>
        <w:ind w:firstLineChars="0"/>
        <w:rPr>
          <w:rFonts w:ascii="宋体" w:hAnsi="宋体"/>
          <w:b/>
          <w:iCs/>
          <w:szCs w:val="24"/>
        </w:rPr>
      </w:pPr>
      <w:r>
        <w:rPr>
          <w:rFonts w:hint="eastAsia" w:ascii="宋体" w:hAnsi="宋体"/>
          <w:b/>
          <w:iCs/>
          <w:szCs w:val="24"/>
        </w:rPr>
        <w:t>“否决供应商情形”的评审</w:t>
      </w:r>
    </w:p>
    <w:p w14:paraId="16D58A30">
      <w:pPr>
        <w:spacing w:line="440" w:lineRule="exact"/>
        <w:ind w:firstLine="480" w:firstLineChars="200"/>
        <w:rPr>
          <w:rFonts w:ascii="宋体" w:hAnsi="宋体"/>
          <w:iCs/>
          <w:szCs w:val="24"/>
        </w:rPr>
      </w:pPr>
      <w:r>
        <w:rPr>
          <w:rFonts w:hint="eastAsia" w:ascii="宋体" w:hAnsi="宋体"/>
          <w:iCs/>
          <w:szCs w:val="24"/>
        </w:rPr>
        <w:t>初步评审和价格评审等阶段均涉及“否决供应商情形”的评审，详见评审方法前附表“否决供应商的情形”。经评审，若认定供应商存在“否决供应商的情形”，则予以否决。</w:t>
      </w:r>
    </w:p>
    <w:p w14:paraId="2409D77A">
      <w:pPr>
        <w:pStyle w:val="10"/>
        <w:numPr>
          <w:ilvl w:val="0"/>
          <w:numId w:val="12"/>
        </w:numPr>
        <w:spacing w:line="440" w:lineRule="exact"/>
        <w:ind w:firstLineChars="0"/>
        <w:rPr>
          <w:rFonts w:ascii="宋体" w:hAnsi="宋体"/>
          <w:b/>
          <w:iCs/>
          <w:szCs w:val="24"/>
        </w:rPr>
      </w:pPr>
      <w:r>
        <w:rPr>
          <w:rFonts w:hint="eastAsia" w:ascii="宋体" w:hAnsi="宋体"/>
          <w:b/>
          <w:iCs/>
          <w:szCs w:val="24"/>
        </w:rPr>
        <w:t>出具评审报告</w:t>
      </w:r>
    </w:p>
    <w:p w14:paraId="0FBEE77A">
      <w:pPr>
        <w:spacing w:line="440" w:lineRule="exact"/>
        <w:ind w:firstLine="480" w:firstLineChars="200"/>
        <w:rPr>
          <w:rFonts w:ascii="宋体" w:hAnsi="宋体"/>
          <w:iCs/>
          <w:szCs w:val="24"/>
        </w:rPr>
      </w:pPr>
      <w:r>
        <w:rPr>
          <w:rFonts w:hint="eastAsia" w:ascii="宋体" w:hAnsi="宋体"/>
          <w:iCs/>
          <w:szCs w:val="24"/>
        </w:rPr>
        <w:t>根据供应商排序情况，推荐</w:t>
      </w:r>
      <w:r>
        <w:rPr>
          <w:rFonts w:hint="eastAsia" w:ascii="宋体" w:hAnsi="宋体"/>
          <w:iCs/>
          <w:color w:val="0000FF"/>
          <w:szCs w:val="24"/>
          <w:u w:val="single"/>
          <w:lang w:val="en-US" w:eastAsia="zh-CN"/>
        </w:rPr>
        <w:t>1名</w:t>
      </w:r>
      <w:r>
        <w:rPr>
          <w:rFonts w:hint="eastAsia" w:ascii="宋体" w:hAnsi="宋体"/>
          <w:iCs/>
          <w:szCs w:val="24"/>
        </w:rPr>
        <w:t>成交候选人，并出具评审报告，报请审批。</w:t>
      </w:r>
    </w:p>
    <w:p w14:paraId="454AF8C0">
      <w:pPr>
        <w:pStyle w:val="10"/>
        <w:numPr>
          <w:ilvl w:val="0"/>
          <w:numId w:val="12"/>
        </w:numPr>
        <w:spacing w:line="440" w:lineRule="exact"/>
        <w:ind w:firstLineChars="0"/>
        <w:rPr>
          <w:rFonts w:ascii="宋体" w:hAnsi="宋体"/>
          <w:b/>
          <w:iCs/>
          <w:szCs w:val="24"/>
        </w:rPr>
      </w:pPr>
      <w:r>
        <w:rPr>
          <w:rFonts w:hint="eastAsia" w:ascii="宋体" w:hAnsi="宋体"/>
          <w:b/>
          <w:iCs/>
          <w:szCs w:val="24"/>
        </w:rPr>
        <w:t>确定采购结果</w:t>
      </w:r>
    </w:p>
    <w:p w14:paraId="64C20753">
      <w:pPr>
        <w:spacing w:line="440" w:lineRule="exact"/>
        <w:ind w:firstLine="480" w:firstLineChars="200"/>
        <w:rPr>
          <w:rFonts w:ascii="宋体" w:hAnsi="宋体"/>
          <w:iCs/>
          <w:color w:val="FF0000"/>
          <w:szCs w:val="24"/>
        </w:rPr>
      </w:pPr>
      <w:r>
        <w:rPr>
          <w:rFonts w:hint="eastAsia" w:ascii="宋体" w:hAnsi="宋体"/>
          <w:iCs/>
          <w:szCs w:val="24"/>
        </w:rPr>
        <w:t>采购人向成交人发出成交通知书</w:t>
      </w:r>
      <w:r>
        <w:rPr>
          <w:rFonts w:hint="eastAsia" w:ascii="宋体" w:hAnsi="宋体"/>
          <w:iCs/>
          <w:color w:val="FF0000"/>
          <w:szCs w:val="24"/>
        </w:rPr>
        <w:t>。</w:t>
      </w:r>
    </w:p>
    <w:p w14:paraId="250A8FD0">
      <w:pPr>
        <w:spacing w:line="440" w:lineRule="exact"/>
        <w:ind w:firstLine="480" w:firstLineChars="200"/>
        <w:rPr>
          <w:rFonts w:ascii="宋体" w:hAnsi="宋体"/>
          <w:iCs/>
          <w:szCs w:val="24"/>
        </w:rPr>
      </w:pPr>
      <w:r>
        <w:rPr>
          <w:rFonts w:hint="eastAsia" w:ascii="宋体" w:hAnsi="宋体"/>
          <w:iCs/>
          <w:szCs w:val="24"/>
        </w:rPr>
        <w:t>发出成交通知书后，若首选成交人不符合成交条件，且采购人在响应有效期内向备选成交人发出成交通知书（启用备选成交人的），则备选成交人作为新的成交人。</w:t>
      </w:r>
    </w:p>
    <w:p w14:paraId="37E096B4">
      <w:pPr>
        <w:spacing w:line="440" w:lineRule="exact"/>
        <w:ind w:firstLine="480" w:firstLineChars="200"/>
        <w:rPr>
          <w:rFonts w:ascii="宋体" w:hAnsi="宋体"/>
          <w:iCs/>
          <w:szCs w:val="24"/>
        </w:rPr>
      </w:pPr>
      <w:r>
        <w:rPr>
          <w:rFonts w:hint="eastAsia" w:ascii="宋体" w:hAnsi="宋体"/>
          <w:iCs/>
          <w:szCs w:val="24"/>
        </w:rPr>
        <w:t>采购人与成交人按照采购文件和成交人响应文件的实质性内容订立书面合同。</w:t>
      </w:r>
    </w:p>
    <w:p w14:paraId="31A07BCE">
      <w:pPr>
        <w:pStyle w:val="10"/>
        <w:numPr>
          <w:ilvl w:val="0"/>
          <w:numId w:val="12"/>
        </w:numPr>
        <w:spacing w:line="440" w:lineRule="exact"/>
        <w:ind w:firstLineChars="0"/>
        <w:rPr>
          <w:rFonts w:ascii="宋体" w:hAnsi="宋体"/>
          <w:b/>
          <w:iCs/>
          <w:szCs w:val="24"/>
        </w:rPr>
      </w:pPr>
      <w:r>
        <w:rPr>
          <w:rFonts w:hint="eastAsia" w:ascii="宋体" w:hAnsi="宋体"/>
          <w:b/>
          <w:iCs/>
          <w:szCs w:val="24"/>
        </w:rPr>
        <w:t>异常情况处理</w:t>
      </w:r>
    </w:p>
    <w:p w14:paraId="48BE353B">
      <w:pPr>
        <w:tabs>
          <w:tab w:val="left" w:pos="993"/>
        </w:tabs>
        <w:spacing w:line="440" w:lineRule="exact"/>
        <w:ind w:firstLine="480" w:firstLineChars="200"/>
        <w:rPr>
          <w:rFonts w:hint="eastAsia" w:ascii="宋体" w:hAnsi="宋体" w:eastAsia="宋体"/>
          <w:bCs/>
          <w:color w:val="0000FF"/>
          <w:sz w:val="24"/>
          <w:szCs w:val="24"/>
          <w:lang w:val="en-US" w:eastAsia="zh-CN"/>
        </w:rPr>
      </w:pPr>
      <w:r>
        <w:rPr>
          <w:rFonts w:hint="eastAsia" w:ascii="宋体" w:hAnsi="宋体" w:eastAsia="宋体"/>
          <w:bCs/>
          <w:color w:val="0000FF"/>
          <w:sz w:val="24"/>
          <w:szCs w:val="24"/>
          <w:lang w:val="en-US" w:eastAsia="zh-CN"/>
        </w:rPr>
        <w:t>采用公开询比采购的，若供应商数量不足，采购人可按照以下规则处理（采购方式转换规则）：</w:t>
      </w:r>
    </w:p>
    <w:p w14:paraId="68D65D15">
      <w:pPr>
        <w:tabs>
          <w:tab w:val="left" w:pos="993"/>
        </w:tabs>
        <w:spacing w:line="440" w:lineRule="exact"/>
        <w:ind w:firstLine="480" w:firstLineChars="200"/>
        <w:rPr>
          <w:rFonts w:hint="eastAsia" w:asciiTheme="minorEastAsia" w:hAnsiTheme="minorEastAsia" w:eastAsiaTheme="minorEastAsia"/>
          <w:color w:val="auto"/>
          <w:sz w:val="24"/>
          <w:szCs w:val="24"/>
          <w:lang w:val="en-US" w:eastAsia="zh-CN"/>
        </w:rPr>
      </w:pPr>
      <w:r>
        <w:rPr>
          <w:rFonts w:hint="eastAsia" w:asciiTheme="minorEastAsia" w:hAnsiTheme="minorEastAsia" w:eastAsiaTheme="minorEastAsia"/>
          <w:color w:val="auto"/>
          <w:sz w:val="24"/>
          <w:szCs w:val="24"/>
          <w:lang w:val="en-US" w:eastAsia="zh-CN"/>
        </w:rPr>
        <w:t>1.在开标阶段，参与的供应商数量不足3家的，可选择流标；或者转变采购方式，可对参与的供应商开启响应文件，按谈判和评审程序实施；其中供应商数量2家的，可转为谈判采购；</w:t>
      </w:r>
    </w:p>
    <w:p w14:paraId="7C194CF1">
      <w:pPr>
        <w:tabs>
          <w:tab w:val="left" w:pos="993"/>
        </w:tabs>
        <w:spacing w:line="440" w:lineRule="exact"/>
        <w:ind w:firstLine="480" w:firstLineChars="200"/>
        <w:jc w:val="center"/>
        <w:rPr>
          <w:rFonts w:ascii="宋体" w:hAnsi="宋体"/>
          <w:b/>
          <w:bCs/>
          <w:sz w:val="32"/>
          <w:szCs w:val="24"/>
        </w:rPr>
      </w:pPr>
      <w:r>
        <w:rPr>
          <w:rFonts w:hint="eastAsia" w:asciiTheme="minorEastAsia" w:hAnsiTheme="minorEastAsia" w:eastAsiaTheme="minorEastAsia"/>
          <w:color w:val="auto"/>
          <w:sz w:val="24"/>
          <w:szCs w:val="24"/>
          <w:lang w:val="en-US" w:eastAsia="zh-CN"/>
        </w:rPr>
        <w:t>2.在评审阶段，有效供应商不足3家的，可选择做流标处理；或者在有效供应商原报价基础上，可转换采购方式，按谈判和评审程序实施；其中有效供应商数量2家的，可转为谈判采购；</w:t>
      </w:r>
      <w:r>
        <w:rPr>
          <w:rFonts w:ascii="宋体" w:hAnsi="宋体"/>
          <w:b/>
          <w:iCs/>
          <w:szCs w:val="24"/>
        </w:rPr>
        <w:br w:type="page"/>
      </w:r>
      <w:r>
        <w:rPr>
          <w:rFonts w:hint="eastAsia" w:ascii="宋体" w:hAnsi="宋体"/>
          <w:b/>
          <w:bCs/>
          <w:sz w:val="32"/>
          <w:szCs w:val="24"/>
        </w:rPr>
        <w:t>第四卷 合同条款及格式</w:t>
      </w:r>
    </w:p>
    <w:p w14:paraId="4A258110">
      <w:pPr>
        <w:spacing w:line="440" w:lineRule="exact"/>
        <w:rPr>
          <w:rFonts w:hint="eastAsia" w:ascii="宋体" w:hAnsi="宋体" w:eastAsia="宋体"/>
          <w:iCs/>
          <w:color w:val="FF0000"/>
          <w:sz w:val="24"/>
          <w:szCs w:val="24"/>
        </w:rPr>
      </w:pPr>
    </w:p>
    <w:p w14:paraId="53924BF8">
      <w:pPr>
        <w:spacing w:line="440" w:lineRule="exact"/>
        <w:rPr>
          <w:rFonts w:hint="eastAsia" w:ascii="宋体" w:hAnsi="宋体" w:eastAsia="宋体"/>
          <w:iCs/>
          <w:color w:val="FF0000"/>
          <w:sz w:val="24"/>
          <w:szCs w:val="24"/>
        </w:rPr>
      </w:pPr>
    </w:p>
    <w:p w14:paraId="6893D0D0">
      <w:pPr>
        <w:spacing w:line="440" w:lineRule="exact"/>
        <w:rPr>
          <w:rFonts w:hint="eastAsia" w:ascii="宋体" w:hAnsi="宋体" w:eastAsia="宋体"/>
          <w:iCs/>
          <w:color w:val="FF0000"/>
          <w:sz w:val="24"/>
          <w:szCs w:val="24"/>
        </w:rPr>
      </w:pPr>
    </w:p>
    <w:p w14:paraId="02DD450E">
      <w:pPr>
        <w:snapToGrid w:val="0"/>
        <w:spacing w:before="312" w:beforeLines="100" w:after="312" w:afterLines="100" w:line="400" w:lineRule="exact"/>
        <w:jc w:val="center"/>
        <w:rPr>
          <w:rFonts w:ascii="宋体" w:hAnsi="宋体"/>
          <w:b/>
          <w:sz w:val="24"/>
        </w:rPr>
      </w:pPr>
      <w:r>
        <w:rPr>
          <w:rFonts w:hint="eastAsia" w:ascii="宋体" w:hAnsi="宋体"/>
          <w:b/>
          <w:sz w:val="24"/>
        </w:rPr>
        <w:t>有害生物防治服务合同</w:t>
      </w:r>
    </w:p>
    <w:p w14:paraId="2CBD16EB">
      <w:pPr>
        <w:snapToGrid w:val="0"/>
        <w:spacing w:before="312" w:beforeLines="100" w:after="312" w:afterLines="100" w:line="400" w:lineRule="exact"/>
        <w:ind w:right="844"/>
        <w:jc w:val="right"/>
        <w:rPr>
          <w:rFonts w:ascii="宋体" w:hAnsi="宋体"/>
          <w:b/>
          <w:szCs w:val="21"/>
        </w:rPr>
      </w:pPr>
      <w:r>
        <w:rPr>
          <w:rFonts w:hint="eastAsia" w:ascii="宋体" w:hAnsi="宋体"/>
          <w:b/>
          <w:szCs w:val="21"/>
        </w:rPr>
        <w:t>合同编号：</w:t>
      </w:r>
      <w:bookmarkStart w:id="1" w:name="contractNo"/>
      <w:bookmarkEnd w:id="1"/>
      <w:r>
        <w:rPr>
          <w:rFonts w:hint="eastAsia" w:ascii="宋体" w:hAnsi="宋体"/>
          <w:b/>
          <w:szCs w:val="21"/>
        </w:rPr>
        <w:t xml:space="preserve"> </w:t>
      </w:r>
    </w:p>
    <w:p w14:paraId="23F2837F">
      <w:pPr>
        <w:widowControl/>
        <w:snapToGrid w:val="0"/>
        <w:spacing w:line="400" w:lineRule="exact"/>
        <w:jc w:val="left"/>
        <w:rPr>
          <w:rFonts w:ascii="宋体" w:hAnsi="宋体" w:cs="Arial"/>
          <w:kern w:val="0"/>
          <w:szCs w:val="21"/>
        </w:rPr>
      </w:pPr>
      <w:r>
        <w:rPr>
          <w:rFonts w:hint="eastAsia" w:ascii="宋体" w:hAnsi="宋体" w:cs="Arial"/>
          <w:b/>
          <w:bCs/>
          <w:kern w:val="0"/>
          <w:szCs w:val="21"/>
        </w:rPr>
        <w:t>甲方：</w:t>
      </w:r>
      <w:bookmarkStart w:id="2" w:name="firstParty"/>
      <w:bookmarkEnd w:id="2"/>
    </w:p>
    <w:p w14:paraId="133179C3">
      <w:pPr>
        <w:widowControl/>
        <w:snapToGrid w:val="0"/>
        <w:spacing w:line="400" w:lineRule="exact"/>
        <w:jc w:val="left"/>
        <w:rPr>
          <w:rFonts w:ascii="宋体" w:hAnsi="宋体" w:cs="Arial"/>
          <w:kern w:val="0"/>
          <w:szCs w:val="21"/>
        </w:rPr>
      </w:pPr>
      <w:r>
        <w:rPr>
          <w:rFonts w:hint="eastAsia" w:ascii="宋体" w:hAnsi="宋体" w:cs="Arial"/>
          <w:kern w:val="0"/>
          <w:szCs w:val="21"/>
        </w:rPr>
        <w:t>注册地址：</w:t>
      </w:r>
      <w:bookmarkStart w:id="3" w:name="firstRegisteredAddress"/>
      <w:bookmarkEnd w:id="3"/>
      <w:r>
        <w:rPr>
          <w:rFonts w:ascii="宋体" w:hAnsi="宋体" w:cs="Arial"/>
          <w:kern w:val="0"/>
          <w:szCs w:val="21"/>
        </w:rPr>
        <w:t xml:space="preserve"> </w:t>
      </w:r>
    </w:p>
    <w:p w14:paraId="5C54CC99">
      <w:pPr>
        <w:widowControl/>
        <w:snapToGrid w:val="0"/>
        <w:spacing w:line="400" w:lineRule="exact"/>
        <w:jc w:val="left"/>
        <w:rPr>
          <w:rFonts w:ascii="宋体" w:hAnsi="宋体" w:cs="Arial"/>
          <w:kern w:val="0"/>
          <w:szCs w:val="21"/>
        </w:rPr>
      </w:pPr>
      <w:r>
        <w:rPr>
          <w:rFonts w:hint="eastAsia" w:ascii="宋体" w:hAnsi="宋体" w:cs="Arial"/>
          <w:kern w:val="0"/>
          <w:szCs w:val="21"/>
        </w:rPr>
        <w:t>联系人：</w:t>
      </w:r>
      <w:bookmarkStart w:id="4" w:name="firstLinkman"/>
      <w:bookmarkEnd w:id="4"/>
      <w:r>
        <w:rPr>
          <w:rFonts w:ascii="宋体" w:hAnsi="宋体" w:cs="Arial"/>
          <w:kern w:val="0"/>
          <w:szCs w:val="21"/>
        </w:rPr>
        <w:t xml:space="preserve"> </w:t>
      </w:r>
    </w:p>
    <w:p w14:paraId="534AF071">
      <w:pPr>
        <w:widowControl/>
        <w:snapToGrid w:val="0"/>
        <w:spacing w:line="400" w:lineRule="exact"/>
        <w:jc w:val="left"/>
        <w:rPr>
          <w:rFonts w:ascii="宋体" w:hAnsi="宋体" w:cs="Arial"/>
          <w:kern w:val="0"/>
          <w:szCs w:val="21"/>
        </w:rPr>
      </w:pPr>
      <w:r>
        <w:rPr>
          <w:rFonts w:hint="eastAsia" w:ascii="宋体" w:hAnsi="宋体" w:cs="Arial"/>
          <w:kern w:val="0"/>
          <w:szCs w:val="21"/>
        </w:rPr>
        <w:t>电话：</w:t>
      </w:r>
      <w:bookmarkStart w:id="5" w:name="firstTelephone"/>
      <w:bookmarkEnd w:id="5"/>
    </w:p>
    <w:p w14:paraId="79558614">
      <w:pPr>
        <w:widowControl/>
        <w:snapToGrid w:val="0"/>
        <w:spacing w:before="156" w:beforeLines="50" w:line="400" w:lineRule="exact"/>
        <w:jc w:val="left"/>
        <w:rPr>
          <w:rFonts w:ascii="宋体" w:hAnsi="宋体" w:cs="Arial"/>
          <w:b/>
          <w:bCs/>
          <w:kern w:val="0"/>
          <w:szCs w:val="21"/>
        </w:rPr>
      </w:pPr>
      <w:r>
        <w:rPr>
          <w:rFonts w:hint="eastAsia" w:ascii="宋体" w:hAnsi="宋体" w:cs="Arial"/>
          <w:b/>
          <w:bCs/>
          <w:kern w:val="0"/>
          <w:szCs w:val="21"/>
        </w:rPr>
        <w:t xml:space="preserve">乙方： </w:t>
      </w:r>
      <w:bookmarkStart w:id="6" w:name="secondParty"/>
      <w:bookmarkEnd w:id="6"/>
    </w:p>
    <w:p w14:paraId="200B2836">
      <w:pPr>
        <w:widowControl/>
        <w:snapToGrid w:val="0"/>
        <w:spacing w:line="400" w:lineRule="exact"/>
        <w:jc w:val="left"/>
        <w:rPr>
          <w:rFonts w:ascii="宋体" w:hAnsi="宋体" w:cs="Arial"/>
          <w:kern w:val="0"/>
          <w:szCs w:val="21"/>
        </w:rPr>
      </w:pPr>
      <w:r>
        <w:rPr>
          <w:rFonts w:hint="eastAsia" w:ascii="宋体" w:hAnsi="宋体" w:cs="Arial"/>
          <w:kern w:val="0"/>
          <w:szCs w:val="21"/>
        </w:rPr>
        <w:t>注册地址：</w:t>
      </w:r>
      <w:bookmarkStart w:id="7" w:name="secondRegisteredAddress"/>
      <w:bookmarkEnd w:id="7"/>
      <w:r>
        <w:rPr>
          <w:rFonts w:ascii="宋体" w:hAnsi="宋体" w:cs="Arial"/>
          <w:kern w:val="0"/>
          <w:szCs w:val="21"/>
        </w:rPr>
        <w:t xml:space="preserve"> </w:t>
      </w:r>
      <w:r>
        <w:rPr>
          <w:rFonts w:hint="eastAsia" w:ascii="宋体" w:hAnsi="宋体" w:cs="Arial"/>
          <w:kern w:val="0"/>
          <w:szCs w:val="21"/>
        </w:rPr>
        <w:t xml:space="preserve"> </w:t>
      </w:r>
    </w:p>
    <w:p w14:paraId="47E54376">
      <w:pPr>
        <w:widowControl/>
        <w:snapToGrid w:val="0"/>
        <w:spacing w:line="400" w:lineRule="exact"/>
        <w:jc w:val="left"/>
        <w:rPr>
          <w:rFonts w:ascii="宋体" w:hAnsi="宋体" w:cs="Arial"/>
          <w:kern w:val="0"/>
          <w:szCs w:val="21"/>
        </w:rPr>
      </w:pPr>
      <w:r>
        <w:rPr>
          <w:rFonts w:hint="eastAsia" w:ascii="宋体" w:hAnsi="宋体" w:cs="Arial"/>
          <w:kern w:val="0"/>
          <w:szCs w:val="21"/>
        </w:rPr>
        <w:t>业务代表：</w:t>
      </w:r>
      <w:bookmarkStart w:id="8" w:name="secondLegalRepresentative"/>
      <w:bookmarkEnd w:id="8"/>
    </w:p>
    <w:p w14:paraId="336D98DE">
      <w:pPr>
        <w:widowControl/>
        <w:tabs>
          <w:tab w:val="left" w:pos="6810"/>
        </w:tabs>
        <w:snapToGrid w:val="0"/>
        <w:spacing w:line="400" w:lineRule="exact"/>
        <w:jc w:val="left"/>
        <w:rPr>
          <w:rFonts w:ascii="宋体" w:hAnsi="宋体" w:cs="Arial"/>
          <w:kern w:val="0"/>
          <w:szCs w:val="21"/>
        </w:rPr>
      </w:pPr>
      <w:r>
        <w:rPr>
          <w:rFonts w:hint="eastAsia" w:ascii="宋体" w:hAnsi="宋体" w:cs="Arial"/>
          <w:kern w:val="0"/>
          <w:szCs w:val="21"/>
        </w:rPr>
        <w:t>电话：</w:t>
      </w:r>
      <w:bookmarkStart w:id="9" w:name="telephone"/>
      <w:bookmarkEnd w:id="9"/>
    </w:p>
    <w:p w14:paraId="34BBB70A">
      <w:pPr>
        <w:widowControl/>
        <w:snapToGrid w:val="0"/>
        <w:spacing w:line="400" w:lineRule="exact"/>
        <w:jc w:val="left"/>
        <w:rPr>
          <w:rFonts w:ascii="宋体" w:hAnsi="宋体" w:cs="Arial"/>
          <w:kern w:val="0"/>
          <w:szCs w:val="21"/>
        </w:rPr>
      </w:pPr>
      <w:r>
        <w:rPr>
          <w:rFonts w:hint="eastAsia" w:ascii="宋体" w:hAnsi="宋体" w:cs="Arial"/>
          <w:kern w:val="0"/>
          <w:szCs w:val="21"/>
        </w:rPr>
        <w:t>收款银行：</w:t>
      </w:r>
      <w:bookmarkStart w:id="10" w:name="bankName"/>
      <w:bookmarkEnd w:id="10"/>
      <w:r>
        <w:rPr>
          <w:rFonts w:ascii="宋体" w:hAnsi="宋体" w:cs="Arial"/>
          <w:kern w:val="0"/>
          <w:szCs w:val="21"/>
        </w:rPr>
        <w:t xml:space="preserve"> </w:t>
      </w:r>
    </w:p>
    <w:p w14:paraId="6A43026D">
      <w:pPr>
        <w:widowControl/>
        <w:snapToGrid w:val="0"/>
        <w:spacing w:line="400" w:lineRule="exact"/>
        <w:jc w:val="left"/>
        <w:rPr>
          <w:rFonts w:ascii="宋体" w:hAnsi="宋体" w:cs="Arial"/>
          <w:kern w:val="0"/>
          <w:szCs w:val="21"/>
        </w:rPr>
      </w:pPr>
      <w:r>
        <w:rPr>
          <w:rFonts w:hint="eastAsia" w:ascii="宋体" w:hAnsi="宋体" w:cs="Arial"/>
          <w:kern w:val="0"/>
          <w:szCs w:val="21"/>
        </w:rPr>
        <w:t>账号：</w:t>
      </w:r>
      <w:bookmarkStart w:id="11" w:name="bankAccount"/>
      <w:bookmarkEnd w:id="11"/>
    </w:p>
    <w:p w14:paraId="16080368">
      <w:pPr>
        <w:widowControl/>
        <w:snapToGrid w:val="0"/>
        <w:spacing w:line="400" w:lineRule="exact"/>
        <w:jc w:val="left"/>
        <w:rPr>
          <w:rFonts w:ascii="宋体" w:hAnsi="宋体" w:cs="Arial"/>
          <w:kern w:val="0"/>
          <w:szCs w:val="21"/>
        </w:rPr>
      </w:pPr>
      <w:r>
        <w:rPr>
          <w:rFonts w:hint="eastAsia" w:ascii="宋体" w:hAnsi="宋体" w:cs="Arial"/>
          <w:kern w:val="0"/>
          <w:szCs w:val="21"/>
        </w:rPr>
        <w:t>税号/统一社会信用代码：</w:t>
      </w:r>
      <w:bookmarkStart w:id="12" w:name="identityNo"/>
      <w:bookmarkEnd w:id="12"/>
    </w:p>
    <w:p w14:paraId="5BA244D8">
      <w:pPr>
        <w:widowControl/>
        <w:tabs>
          <w:tab w:val="left" w:pos="6810"/>
        </w:tabs>
        <w:snapToGrid w:val="0"/>
        <w:spacing w:line="400" w:lineRule="exact"/>
        <w:jc w:val="left"/>
        <w:rPr>
          <w:rFonts w:ascii="宋体" w:hAnsi="宋体" w:cs="Arial"/>
          <w:kern w:val="0"/>
          <w:szCs w:val="21"/>
        </w:rPr>
      </w:pPr>
    </w:p>
    <w:p w14:paraId="1E520EF9">
      <w:pPr>
        <w:adjustRightInd w:val="0"/>
        <w:snapToGrid w:val="0"/>
        <w:spacing w:line="400" w:lineRule="exact"/>
        <w:ind w:firstLine="480" w:firstLineChars="200"/>
        <w:jc w:val="left"/>
        <w:textAlignment w:val="baseline"/>
        <w:rPr>
          <w:rFonts w:asciiTheme="minorEastAsia" w:hAnsiTheme="minorEastAsia"/>
          <w:szCs w:val="21"/>
        </w:rPr>
      </w:pPr>
      <w:r>
        <w:rPr>
          <w:rFonts w:hint="eastAsia" w:asciiTheme="minorEastAsia" w:hAnsiTheme="minorEastAsia"/>
          <w:szCs w:val="21"/>
        </w:rPr>
        <w:t>根据《中华人民共和国民法典》及其他相关法律、行政法规，就乙方为甲方提供有害生物防治服务相关事宜，经双方协商一致，签订本合同。</w:t>
      </w:r>
    </w:p>
    <w:p w14:paraId="6ED7A494">
      <w:pPr>
        <w:adjustRightInd w:val="0"/>
        <w:snapToGrid w:val="0"/>
        <w:spacing w:line="400" w:lineRule="exact"/>
        <w:jc w:val="left"/>
        <w:textAlignment w:val="baseline"/>
        <w:rPr>
          <w:rFonts w:asciiTheme="minorEastAsia" w:hAnsiTheme="minorEastAsia"/>
          <w:b/>
          <w:szCs w:val="21"/>
        </w:rPr>
      </w:pPr>
    </w:p>
    <w:p w14:paraId="0646B76F">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1、服务内容、范围和方式</w:t>
      </w:r>
    </w:p>
    <w:p w14:paraId="2AB5818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1.1服务内容、范围：厂区公共区域、食堂、洗手间、宿舍生活区、绿化带、（ </w:t>
      </w:r>
      <w:r>
        <w:rPr>
          <w:rFonts w:ascii="宋体" w:hAnsi="宋体"/>
          <w:szCs w:val="21"/>
        </w:rPr>
        <w:t xml:space="preserve"> </w:t>
      </w:r>
      <w:r>
        <w:rPr>
          <w:rFonts w:hint="eastAsia" w:ascii="宋体" w:hAnsi="宋体"/>
          <w:szCs w:val="21"/>
        </w:rPr>
        <w:t xml:space="preserve"> </w:t>
      </w:r>
      <w:r>
        <w:rPr>
          <w:rFonts w:ascii="宋体" w:hAnsi="宋体"/>
          <w:szCs w:val="21"/>
        </w:rPr>
        <w:t xml:space="preserve">  </w:t>
      </w:r>
      <w:r>
        <w:rPr>
          <w:rFonts w:hint="eastAsia" w:ascii="宋体" w:hAnsi="宋体"/>
          <w:szCs w:val="21"/>
        </w:rPr>
        <w:t>）等区域的有害生物防治，面积约（）平方米。乙方在签订本合同前已经对所服务区域进行过深入考察，已经清楚并了解所要服务的具体事项及工作量；本合同未明确提出的但按照通常理解应该属于服务内容的事项，乙方也应该提供相应服务；</w:t>
      </w:r>
    </w:p>
    <w:p w14:paraId="6FB0B75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1.2服务频率：详见合同附件2《服务要求》，</w:t>
      </w:r>
      <w:r>
        <w:rPr>
          <w:rFonts w:ascii="宋体" w:hAnsi="宋体"/>
          <w:szCs w:val="21"/>
        </w:rPr>
        <w:t xml:space="preserve"> </w:t>
      </w:r>
      <w:r>
        <w:rPr>
          <w:rFonts w:hint="eastAsia" w:ascii="宋体" w:hAnsi="宋体"/>
          <w:szCs w:val="21"/>
        </w:rPr>
        <w:t>甲方有权调整服务频率，甲方需至少提前</w:t>
      </w:r>
      <w:r>
        <w:rPr>
          <w:rFonts w:ascii="宋体" w:hAnsi="宋体"/>
          <w:szCs w:val="21"/>
        </w:rPr>
        <w:t>12</w:t>
      </w:r>
      <w:r>
        <w:rPr>
          <w:rFonts w:hint="eastAsia" w:ascii="宋体" w:hAnsi="宋体"/>
          <w:szCs w:val="21"/>
        </w:rPr>
        <w:t>小时通知乙方，乙方应给予配合；如因天气原因或其他特殊原因不能如期开展，乙方应提前与甲方协商，在征得甲方同意后另行安排服务时间；</w:t>
      </w:r>
    </w:p>
    <w:p w14:paraId="374188C9">
      <w:pPr>
        <w:adjustRightInd w:val="0"/>
        <w:snapToGrid w:val="0"/>
        <w:spacing w:line="400" w:lineRule="exact"/>
        <w:ind w:left="372" w:hanging="424" w:hangingChars="177"/>
        <w:jc w:val="left"/>
        <w:textAlignment w:val="baseline"/>
        <w:rPr>
          <w:rFonts w:ascii="宋体" w:hAnsi="宋体"/>
          <w:szCs w:val="21"/>
        </w:rPr>
      </w:pPr>
      <w:r>
        <w:rPr>
          <w:rFonts w:ascii="宋体" w:hAnsi="宋体"/>
          <w:szCs w:val="21"/>
        </w:rPr>
        <w:t>1.3</w:t>
      </w:r>
      <w:r>
        <w:rPr>
          <w:rFonts w:hint="eastAsia" w:ascii="宋体" w:hAnsi="宋体"/>
          <w:szCs w:val="21"/>
        </w:rPr>
        <w:t>服务方式：包工包料。</w:t>
      </w:r>
    </w:p>
    <w:p w14:paraId="64BE4BD8">
      <w:pPr>
        <w:adjustRightInd w:val="0"/>
        <w:snapToGrid w:val="0"/>
        <w:spacing w:line="400" w:lineRule="exact"/>
        <w:jc w:val="left"/>
        <w:textAlignment w:val="baseline"/>
        <w:rPr>
          <w:rFonts w:ascii="宋体" w:hAnsi="宋体"/>
          <w:b/>
          <w:szCs w:val="21"/>
        </w:rPr>
      </w:pPr>
    </w:p>
    <w:p w14:paraId="5F48B6A9">
      <w:pPr>
        <w:adjustRightInd w:val="0"/>
        <w:snapToGrid w:val="0"/>
        <w:spacing w:line="400" w:lineRule="exact"/>
        <w:ind w:left="373" w:hanging="426" w:hangingChars="177"/>
        <w:jc w:val="left"/>
        <w:textAlignment w:val="baseline"/>
        <w:rPr>
          <w:rFonts w:ascii="宋体" w:hAnsi="宋体"/>
          <w:b/>
          <w:szCs w:val="21"/>
        </w:rPr>
      </w:pPr>
      <w:r>
        <w:rPr>
          <w:rFonts w:hint="eastAsia" w:ascii="宋体" w:hAnsi="宋体"/>
          <w:b/>
          <w:szCs w:val="21"/>
        </w:rPr>
        <w:t>2、服务要求</w:t>
      </w:r>
    </w:p>
    <w:p w14:paraId="472CCCC2">
      <w:pPr>
        <w:adjustRightInd w:val="0"/>
        <w:snapToGrid w:val="0"/>
        <w:spacing w:line="400" w:lineRule="exact"/>
        <w:ind w:left="372" w:hanging="424" w:hangingChars="177"/>
        <w:jc w:val="left"/>
        <w:textAlignment w:val="baseline"/>
        <w:rPr>
          <w:rFonts w:ascii="宋体" w:hAnsi="宋体"/>
          <w:szCs w:val="21"/>
        </w:rPr>
      </w:pPr>
      <w:r>
        <w:rPr>
          <w:rFonts w:ascii="宋体" w:hAnsi="宋体"/>
          <w:szCs w:val="21"/>
        </w:rPr>
        <w:t xml:space="preserve">  </w:t>
      </w:r>
      <w:r>
        <w:rPr>
          <w:rFonts w:hint="eastAsia" w:ascii="宋体" w:hAnsi="宋体"/>
          <w:szCs w:val="21"/>
        </w:rPr>
        <w:t>详见合同附件2《服务要求》</w:t>
      </w:r>
      <w:r>
        <w:rPr>
          <w:rFonts w:ascii="宋体" w:hAnsi="宋体"/>
          <w:szCs w:val="21"/>
        </w:rPr>
        <w:t xml:space="preserve"> </w:t>
      </w:r>
      <w:r>
        <w:rPr>
          <w:rFonts w:hint="eastAsia" w:ascii="宋体" w:hAnsi="宋体"/>
          <w:szCs w:val="21"/>
        </w:rPr>
        <w:t>。</w:t>
      </w:r>
    </w:p>
    <w:p w14:paraId="78B7C6F3">
      <w:pPr>
        <w:tabs>
          <w:tab w:val="left" w:pos="720"/>
        </w:tabs>
        <w:snapToGrid w:val="0"/>
        <w:spacing w:line="400" w:lineRule="exact"/>
        <w:rPr>
          <w:rFonts w:ascii="宋体" w:hAnsi="宋体"/>
          <w:b/>
          <w:szCs w:val="21"/>
        </w:rPr>
      </w:pPr>
    </w:p>
    <w:p w14:paraId="6C80B568">
      <w:pPr>
        <w:tabs>
          <w:tab w:val="left" w:pos="720"/>
        </w:tabs>
        <w:snapToGrid w:val="0"/>
        <w:spacing w:line="400" w:lineRule="exact"/>
        <w:rPr>
          <w:rFonts w:ascii="宋体" w:hAnsi="宋体"/>
          <w:b/>
          <w:szCs w:val="21"/>
        </w:rPr>
      </w:pPr>
      <w:r>
        <w:rPr>
          <w:rFonts w:hint="eastAsia" w:ascii="宋体" w:hAnsi="宋体"/>
          <w:b/>
          <w:szCs w:val="21"/>
        </w:rPr>
        <w:t>3、甲方权利义务</w:t>
      </w:r>
    </w:p>
    <w:p w14:paraId="5E5D88A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.1 </w:t>
      </w:r>
      <w:r>
        <w:rPr>
          <w:rFonts w:hint="eastAsia" w:ascii="宋体" w:hAnsi="宋体"/>
          <w:szCs w:val="21"/>
        </w:rPr>
        <w:t>合同期间内，乙方服务如达不到合同约定标准的，甲方有权向乙方提出整改建议并要求乙方在接到甲方通知后</w:t>
      </w:r>
      <w:r>
        <w:rPr>
          <w:rFonts w:ascii="宋体" w:hAnsi="宋体"/>
          <w:szCs w:val="21"/>
        </w:rPr>
        <w:t>24</w:t>
      </w:r>
      <w:r>
        <w:rPr>
          <w:rFonts w:hint="eastAsia" w:ascii="宋体" w:hAnsi="宋体"/>
          <w:szCs w:val="21"/>
        </w:rPr>
        <w:t>小时内给予整改；</w:t>
      </w:r>
    </w:p>
    <w:p w14:paraId="09C081E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.2</w:t>
      </w:r>
      <w:r>
        <w:rPr>
          <w:rFonts w:hint="eastAsia" w:ascii="宋体" w:hAnsi="宋体"/>
          <w:szCs w:val="21"/>
        </w:rPr>
        <w:t>甲方对乙方的管理和工作事项有权随时检查监督；</w:t>
      </w:r>
    </w:p>
    <w:p w14:paraId="5634193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.3</w:t>
      </w:r>
      <w:r>
        <w:rPr>
          <w:rFonts w:hint="eastAsia" w:ascii="宋体" w:hAnsi="宋体"/>
          <w:szCs w:val="21"/>
        </w:rPr>
        <w:t>在乙方完成本合同项下服务后，按本合同约定向乙方支付服务费；</w:t>
      </w:r>
    </w:p>
    <w:p w14:paraId="2C3376C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3.</w:t>
      </w:r>
      <w:r>
        <w:rPr>
          <w:rFonts w:ascii="宋体" w:hAnsi="宋体"/>
          <w:szCs w:val="21"/>
        </w:rPr>
        <w:t>4</w:t>
      </w:r>
      <w:r>
        <w:rPr>
          <w:rFonts w:hint="eastAsia" w:ascii="宋体" w:hAnsi="宋体"/>
          <w:szCs w:val="21"/>
        </w:rPr>
        <w:t>服务所需的水、电由甲方提供，费用由甲方承担。</w:t>
      </w:r>
    </w:p>
    <w:p w14:paraId="0FD9239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4379F256">
      <w:pPr>
        <w:tabs>
          <w:tab w:val="left" w:pos="7560"/>
          <w:tab w:val="left" w:pos="7920"/>
          <w:tab w:val="left" w:pos="8100"/>
        </w:tabs>
        <w:adjustRightInd w:val="0"/>
        <w:snapToGrid w:val="0"/>
        <w:spacing w:line="400" w:lineRule="exact"/>
        <w:ind w:left="422" w:hanging="482" w:hangingChars="200"/>
      </w:pPr>
      <w:r>
        <w:rPr>
          <w:rFonts w:hint="eastAsia" w:ascii="宋体" w:hAnsi="宋体"/>
          <w:b/>
          <w:szCs w:val="21"/>
        </w:rPr>
        <w:t>4、乙方权利义务</w:t>
      </w:r>
    </w:p>
    <w:p w14:paraId="4D83B11A">
      <w:pPr>
        <w:pStyle w:val="10"/>
        <w:numPr>
          <w:ilvl w:val="1"/>
          <w:numId w:val="14"/>
        </w:numPr>
        <w:adjustRightInd w:val="0"/>
        <w:snapToGrid w:val="0"/>
        <w:spacing w:line="400" w:lineRule="exact"/>
        <w:ind w:left="426" w:hanging="426"/>
        <w:rPr>
          <w:rFonts w:ascii="宋体" w:hAnsi="宋体"/>
          <w:szCs w:val="21"/>
        </w:rPr>
      </w:pPr>
      <w:r>
        <w:rPr>
          <w:rFonts w:hint="eastAsia" w:ascii="宋体" w:hAnsi="宋体"/>
        </w:rPr>
        <w:t>乙方保证其自身及提供服务的相应人员具有并良好保持所有根据适用法律法规履行本合同项下义务所需的有效证照、登记、许可、资质等，且签订和履行本合同不违反任何适用的法律法规、国家标准的规定；</w:t>
      </w:r>
      <w:r>
        <w:rPr>
          <w:rFonts w:ascii="宋体" w:hAnsi="宋体"/>
        </w:rPr>
        <w:t>合同履行期间如乙方发生资质证照</w:t>
      </w:r>
      <w:r>
        <w:rPr>
          <w:rFonts w:hint="eastAsia" w:ascii="宋体" w:hAnsi="宋体"/>
        </w:rPr>
        <w:t>等</w:t>
      </w:r>
      <w:r>
        <w:rPr>
          <w:rFonts w:ascii="宋体" w:hAnsi="宋体"/>
        </w:rPr>
        <w:t>变更的，须提前</w:t>
      </w:r>
      <w:r>
        <w:rPr>
          <w:rFonts w:hint="eastAsia" w:ascii="宋体" w:hAnsi="宋体"/>
        </w:rPr>
        <w:t xml:space="preserve"> </w:t>
      </w:r>
      <w:r>
        <w:rPr>
          <w:rFonts w:ascii="宋体" w:hAnsi="宋体"/>
        </w:rPr>
        <w:t xml:space="preserve">  日通知甲方，且须在取得新证照后</w:t>
      </w:r>
      <w:r>
        <w:rPr>
          <w:rFonts w:hint="eastAsia" w:ascii="宋体" w:hAnsi="宋体"/>
        </w:rPr>
        <w:t xml:space="preserve"> </w:t>
      </w:r>
      <w:r>
        <w:rPr>
          <w:rFonts w:ascii="宋体" w:hAnsi="宋体"/>
        </w:rPr>
        <w:t xml:space="preserve">   日内向甲方提供加盖乙方公章的复印件；</w:t>
      </w:r>
    </w:p>
    <w:p w14:paraId="7626DB44">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乙方应确保在服务中使用的药物符合国家食品行业安全环保等相关要求，不会对甲方环境造成污染或对人体造成任何伤害，否则因此给甲方及其员工或第三方人身、财产造成损害的，由乙方承担所有责任；</w:t>
      </w:r>
    </w:p>
    <w:p w14:paraId="0DFE8476">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乙方进行现场服务，应提前告知甲方，并须做好现场的安全防范和警示措施。若因乙方原因造成了包括但不限于甲方及其员工或第三方财产损失、人身伤害或引起投诉等，由乙方承担所有责任；</w:t>
      </w:r>
    </w:p>
    <w:p w14:paraId="02C2E221">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乙方服务人员应持证上岗，文明作业，严格按规范流程开展服务工作；</w:t>
      </w:r>
    </w:p>
    <w:p w14:paraId="0DD21B73">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服务人员在开展服务工作时，应遵守甲方的相关规章制度，根据甲方安排有序开展服务工作，不得随意动用甲方的设备、设施，非开展服务原因不得进入甲方的车间、仓库、办公室等重要区域，若因此给甲方造成损失的，乙方应全额赔偿；</w:t>
      </w:r>
    </w:p>
    <w:p w14:paraId="63C3DEF7">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为了满足服务工作的管理和质量要求，乙方须指定专门的对接人员，严格按照要求执行现场各项管理、指导监督、检查、协调沟通工作，做好相关记录，以备查验；</w:t>
      </w:r>
    </w:p>
    <w:p w14:paraId="782A0F84">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乙方服务人员的食宿及其他任何费用由乙方自行承担，甲方概不负责；</w:t>
      </w:r>
    </w:p>
    <w:p w14:paraId="262BD5B6">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乙方首次开展服务前，有权要求甲方人员陪同至指定服务场地并告知应注意事项；</w:t>
      </w:r>
    </w:p>
    <w:p w14:paraId="60D40BDE">
      <w:pPr>
        <w:pStyle w:val="10"/>
        <w:numPr>
          <w:ilvl w:val="1"/>
          <w:numId w:val="14"/>
        </w:numPr>
        <w:adjustRightInd w:val="0"/>
        <w:snapToGrid w:val="0"/>
        <w:spacing w:line="400" w:lineRule="exact"/>
        <w:ind w:left="426" w:hanging="426"/>
        <w:rPr>
          <w:rFonts w:ascii="宋体" w:hAnsi="宋体"/>
          <w:szCs w:val="21"/>
        </w:rPr>
      </w:pPr>
      <w:r>
        <w:rPr>
          <w:rFonts w:hint="eastAsia" w:ascii="宋体" w:hAnsi="宋体"/>
          <w:szCs w:val="21"/>
        </w:rPr>
        <w:t>乙方应以自己技术、设备和人力完成本合同项下服务，不得转包给第三方；未经甲方书面同意不得分包给第三方；经甲方书面同意分包的，乙方应审查并确保第三方具备履行本合同的资格和能力且资质证照齐全、合法有效，并做好第三方的管理和统筹工作；如果因乙方和/或第三方用工不合规给甲方造成损失的，甲方有权向乙方追偿，并且不受本合同期限的限制；甲方对乙方分包的确认并非减轻或免除乙方的任何责任和义务，且甲方不因此承担任何义务和责任。</w:t>
      </w:r>
    </w:p>
    <w:p w14:paraId="3E9501AA">
      <w:pPr>
        <w:tabs>
          <w:tab w:val="left" w:pos="720"/>
          <w:tab w:val="left" w:pos="7560"/>
          <w:tab w:val="left" w:pos="7920"/>
          <w:tab w:val="left" w:pos="8100"/>
        </w:tabs>
        <w:adjustRightInd w:val="0"/>
        <w:snapToGrid w:val="0"/>
        <w:spacing w:line="400" w:lineRule="exact"/>
        <w:rPr>
          <w:rFonts w:ascii="宋体" w:hAnsi="宋体"/>
          <w:szCs w:val="21"/>
        </w:rPr>
      </w:pPr>
    </w:p>
    <w:p w14:paraId="1E0EBED1">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5、服务验收（根据实际业务情况在[]中打√选择）</w:t>
      </w:r>
    </w:p>
    <w:p w14:paraId="02E81B6C">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5.1乙方服务考评标准：详见合同附件3《服务考核/验收标准》；甲方依据合同附件3《服务考核/验收标准》对乙方予以考评，考评基准分数100分，在基准分数基础上依据标准予以考评，具体考核规则为：月度考核，每次考核每扣1分的，扣收乙方服务费（）元作为违约金；不足1分的，违约金按比例据实扣减；合同有效期内考核累计（）个月低于（）分的，甲方有权单方解除合同，同时乙方需另行向甲方支付违约金人民币（）元。</w:t>
      </w:r>
    </w:p>
    <w:p w14:paraId="22CB7BE0">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]5</w:t>
      </w:r>
      <w:r>
        <w:rPr>
          <w:rFonts w:ascii="宋体" w:hAnsi="宋体"/>
          <w:szCs w:val="21"/>
        </w:rPr>
        <w:t>.</w:t>
      </w:r>
      <w:r>
        <w:rPr>
          <w:rFonts w:hint="eastAsia" w:ascii="宋体" w:hAnsi="宋体"/>
          <w:szCs w:val="21"/>
        </w:rPr>
        <w:t>1甲方依据本合同第2条的约定对乙方服务质量进行验收。验收结果由甲乙双方书面签字确认，作为双方结算的依据之一。验收方式如下：详见合同附件3《服务考核/验收标准》</w:t>
      </w:r>
    </w:p>
    <w:p w14:paraId="26FBA7B1">
      <w:pPr>
        <w:tabs>
          <w:tab w:val="left" w:pos="720"/>
          <w:tab w:val="left" w:pos="7560"/>
          <w:tab w:val="left" w:pos="7920"/>
          <w:tab w:val="left" w:pos="8100"/>
        </w:tabs>
        <w:adjustRightInd w:val="0"/>
        <w:snapToGrid w:val="0"/>
        <w:spacing w:line="400" w:lineRule="exact"/>
        <w:rPr>
          <w:rFonts w:ascii="宋体" w:hAnsi="宋体"/>
          <w:szCs w:val="21"/>
        </w:rPr>
      </w:pPr>
    </w:p>
    <w:p w14:paraId="738739DF">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6、价款和结算</w:t>
      </w:r>
    </w:p>
    <w:p w14:paraId="61D30FB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6.1本合同项下含税总价款为：</w:t>
      </w:r>
      <w:r>
        <w:rPr>
          <w:rFonts w:ascii="宋体" w:hAnsi="宋体"/>
          <w:szCs w:val="21"/>
        </w:rPr>
        <w:t>人民币</w:t>
      </w:r>
      <w:bookmarkStart w:id="13" w:name="amount"/>
      <w:bookmarkEnd w:id="13"/>
      <w:r>
        <w:rPr>
          <w:rFonts w:ascii="宋体" w:hAnsi="宋体"/>
          <w:szCs w:val="21"/>
        </w:rPr>
        <w:t>元</w:t>
      </w:r>
      <w:r>
        <w:rPr>
          <w:rFonts w:hint="eastAsia" w:ascii="宋体" w:hAnsi="宋体"/>
          <w:szCs w:val="21"/>
        </w:rPr>
        <w:t>，大写</w:t>
      </w:r>
      <w:bookmarkStart w:id="14" w:name="amountCh"/>
      <w:bookmarkEnd w:id="14"/>
      <w:r>
        <w:rPr>
          <w:rFonts w:hint="eastAsia" w:ascii="宋体" w:hAnsi="宋体"/>
          <w:szCs w:val="21"/>
        </w:rPr>
        <w:t xml:space="preserve">元，其中不含税价款    元，税额   元； </w:t>
      </w:r>
    </w:p>
    <w:p w14:paraId="01B5D08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6.2以上合同总价款包含人工费、材料费、设备费、交通费、保险费、税费、管理费等相关所有一切费用在内，除此之外，甲方不再向乙方支付其他任何款项；</w:t>
      </w:r>
    </w:p>
    <w:p w14:paraId="21A848B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6.3发票税率  </w:t>
      </w:r>
      <w:r>
        <w:rPr>
          <w:rFonts w:ascii="宋体" w:hAnsi="宋体"/>
          <w:szCs w:val="21"/>
        </w:rPr>
        <w:t xml:space="preserve"> </w:t>
      </w:r>
      <w:r>
        <w:rPr>
          <w:rFonts w:hint="eastAsia" w:ascii="宋体" w:hAnsi="宋体"/>
          <w:szCs w:val="21"/>
        </w:rPr>
        <w:t>%，如遇国家税务政策调整，不含税金额不变，含税金额按新税率计算相应调整；</w:t>
      </w:r>
    </w:p>
    <w:p w14:paraId="3688C05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6.4开票信息：</w:t>
      </w:r>
    </w:p>
    <w:tbl>
      <w:tblPr>
        <w:tblStyle w:val="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074"/>
        <w:gridCol w:w="2297"/>
        <w:gridCol w:w="1716"/>
        <w:gridCol w:w="2429"/>
      </w:tblGrid>
      <w:tr w14:paraId="661D2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3" w:hRule="atLeast"/>
          <w:jc w:val="center"/>
        </w:trPr>
        <w:tc>
          <w:tcPr>
            <w:tcW w:w="8522" w:type="dxa"/>
            <w:gridSpan w:val="4"/>
            <w:shd w:val="clear" w:color="auto" w:fill="auto"/>
            <w:vAlign w:val="center"/>
          </w:tcPr>
          <w:p w14:paraId="6061D94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 xml:space="preserve">开票内容：    </w:t>
            </w:r>
            <w:r>
              <w:rPr>
                <w:rFonts w:ascii="宋体" w:hAnsi="宋体"/>
                <w:szCs w:val="21"/>
              </w:rPr>
              <w:t xml:space="preserve"> </w:t>
            </w:r>
          </w:p>
        </w:tc>
      </w:tr>
      <w:tr w14:paraId="003C97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shd w:val="clear" w:color="auto" w:fill="auto"/>
            <w:vAlign w:val="center"/>
          </w:tcPr>
          <w:p w14:paraId="212B3F0D">
            <w:pPr>
              <w:tabs>
                <w:tab w:val="left" w:pos="720"/>
                <w:tab w:val="left" w:pos="7560"/>
                <w:tab w:val="left" w:pos="7920"/>
                <w:tab w:val="left" w:pos="8100"/>
              </w:tabs>
              <w:adjustRightInd w:val="0"/>
              <w:snapToGrid w:val="0"/>
              <w:spacing w:line="400" w:lineRule="exact"/>
              <w:jc w:val="center"/>
              <w:rPr>
                <w:rFonts w:ascii="宋体" w:hAnsi="宋体"/>
                <w:szCs w:val="21"/>
              </w:rPr>
            </w:pPr>
            <w:r>
              <w:rPr>
                <w:rFonts w:hint="eastAsia" w:ascii="宋体" w:hAnsi="宋体"/>
                <w:szCs w:val="21"/>
              </w:rPr>
              <w:t>购买方</w:t>
            </w:r>
          </w:p>
        </w:tc>
      </w:tr>
      <w:tr w14:paraId="04231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7DAC60EE">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公司名称</w:t>
            </w:r>
          </w:p>
        </w:tc>
        <w:tc>
          <w:tcPr>
            <w:tcW w:w="2299" w:type="dxa"/>
            <w:shd w:val="clear" w:color="auto" w:fill="auto"/>
            <w:vAlign w:val="center"/>
          </w:tcPr>
          <w:p w14:paraId="4F18357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5" w:name="firstParty1"/>
            <w:bookmarkEnd w:id="15"/>
          </w:p>
        </w:tc>
        <w:tc>
          <w:tcPr>
            <w:tcW w:w="1717" w:type="dxa"/>
            <w:shd w:val="clear" w:color="auto" w:fill="auto"/>
            <w:vAlign w:val="center"/>
          </w:tcPr>
          <w:p w14:paraId="748AF805">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纳税人识别号</w:t>
            </w:r>
          </w:p>
        </w:tc>
        <w:tc>
          <w:tcPr>
            <w:tcW w:w="2431" w:type="dxa"/>
            <w:shd w:val="clear" w:color="auto" w:fill="auto"/>
            <w:vAlign w:val="center"/>
          </w:tcPr>
          <w:p w14:paraId="11874CE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6" w:name="firstIdentityNo"/>
            <w:bookmarkEnd w:id="16"/>
          </w:p>
        </w:tc>
      </w:tr>
      <w:tr w14:paraId="1838B2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79861965">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地址</w:t>
            </w:r>
          </w:p>
        </w:tc>
        <w:tc>
          <w:tcPr>
            <w:tcW w:w="2299" w:type="dxa"/>
            <w:shd w:val="clear" w:color="auto" w:fill="auto"/>
            <w:vAlign w:val="center"/>
          </w:tcPr>
          <w:p w14:paraId="7D75B02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7" w:name="firstRegisteredAddress1"/>
            <w:bookmarkEnd w:id="17"/>
          </w:p>
        </w:tc>
        <w:tc>
          <w:tcPr>
            <w:tcW w:w="1717" w:type="dxa"/>
            <w:shd w:val="clear" w:color="auto" w:fill="auto"/>
            <w:vAlign w:val="center"/>
          </w:tcPr>
          <w:p w14:paraId="344B5ED9">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电话</w:t>
            </w:r>
          </w:p>
        </w:tc>
        <w:tc>
          <w:tcPr>
            <w:tcW w:w="2431" w:type="dxa"/>
            <w:shd w:val="clear" w:color="auto" w:fill="auto"/>
            <w:vAlign w:val="center"/>
          </w:tcPr>
          <w:p w14:paraId="4D904D9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tc>
      </w:tr>
      <w:tr w14:paraId="7E2F6F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39B364FE">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rPr>
              <w:t>开户行</w:t>
            </w:r>
          </w:p>
        </w:tc>
        <w:tc>
          <w:tcPr>
            <w:tcW w:w="2299" w:type="dxa"/>
            <w:shd w:val="clear" w:color="auto" w:fill="auto"/>
            <w:vAlign w:val="center"/>
          </w:tcPr>
          <w:p w14:paraId="4506699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8" w:name="firstBankName"/>
            <w:bookmarkEnd w:id="18"/>
          </w:p>
        </w:tc>
        <w:tc>
          <w:tcPr>
            <w:tcW w:w="1717" w:type="dxa"/>
            <w:shd w:val="clear" w:color="auto" w:fill="auto"/>
            <w:vAlign w:val="center"/>
          </w:tcPr>
          <w:p w14:paraId="4F4326F3">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账号</w:t>
            </w:r>
          </w:p>
        </w:tc>
        <w:tc>
          <w:tcPr>
            <w:tcW w:w="2431" w:type="dxa"/>
            <w:shd w:val="clear" w:color="auto" w:fill="auto"/>
            <w:vAlign w:val="center"/>
          </w:tcPr>
          <w:p w14:paraId="239AF4B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19" w:name="firstBankAccount"/>
            <w:bookmarkEnd w:id="19"/>
          </w:p>
        </w:tc>
      </w:tr>
      <w:tr w14:paraId="15B66B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4"/>
            <w:shd w:val="clear" w:color="auto" w:fill="auto"/>
            <w:vAlign w:val="center"/>
          </w:tcPr>
          <w:p w14:paraId="622C9C1F">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ascii="宋体" w:hAnsi="宋体"/>
                <w:szCs w:val="21"/>
              </w:rPr>
              <w:t>销售方</w:t>
            </w:r>
            <w:r>
              <w:rPr>
                <w:rFonts w:hint="eastAsia" w:ascii="宋体" w:hAnsi="宋体"/>
                <w:szCs w:val="21"/>
              </w:rPr>
              <w:t>（开票）</w:t>
            </w:r>
          </w:p>
        </w:tc>
      </w:tr>
      <w:tr w14:paraId="6D9B2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075" w:type="dxa"/>
            <w:shd w:val="clear" w:color="auto" w:fill="auto"/>
            <w:vAlign w:val="center"/>
          </w:tcPr>
          <w:p w14:paraId="1B6D4B3C">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ascii="宋体" w:hAnsi="宋体"/>
                <w:szCs w:val="21"/>
              </w:rPr>
              <w:t>公司名称</w:t>
            </w:r>
          </w:p>
        </w:tc>
        <w:tc>
          <w:tcPr>
            <w:tcW w:w="2299" w:type="dxa"/>
            <w:shd w:val="clear" w:color="auto" w:fill="auto"/>
            <w:vAlign w:val="center"/>
          </w:tcPr>
          <w:p w14:paraId="5039A22F">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20" w:name="secondParty1"/>
            <w:bookmarkEnd w:id="20"/>
          </w:p>
        </w:tc>
        <w:tc>
          <w:tcPr>
            <w:tcW w:w="1717" w:type="dxa"/>
            <w:shd w:val="clear" w:color="auto" w:fill="auto"/>
            <w:vAlign w:val="center"/>
          </w:tcPr>
          <w:p w14:paraId="6C1495DB">
            <w:pPr>
              <w:tabs>
                <w:tab w:val="left" w:pos="720"/>
                <w:tab w:val="left" w:pos="7560"/>
                <w:tab w:val="left" w:pos="7920"/>
                <w:tab w:val="left" w:pos="8100"/>
              </w:tabs>
              <w:adjustRightInd w:val="0"/>
              <w:snapToGrid w:val="0"/>
              <w:spacing w:line="400" w:lineRule="exact"/>
              <w:ind w:left="420" w:hanging="480" w:hangingChars="200"/>
              <w:jc w:val="center"/>
              <w:rPr>
                <w:rFonts w:ascii="宋体" w:hAnsi="宋体"/>
                <w:szCs w:val="21"/>
              </w:rPr>
            </w:pPr>
            <w:r>
              <w:rPr>
                <w:rFonts w:hint="eastAsia"/>
              </w:rPr>
              <w:t>纳税人识别号</w:t>
            </w:r>
          </w:p>
        </w:tc>
        <w:tc>
          <w:tcPr>
            <w:tcW w:w="2431" w:type="dxa"/>
            <w:shd w:val="clear" w:color="auto" w:fill="auto"/>
            <w:vAlign w:val="center"/>
          </w:tcPr>
          <w:p w14:paraId="4A5BC53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bookmarkStart w:id="21" w:name="identityNo1"/>
            <w:bookmarkEnd w:id="21"/>
          </w:p>
        </w:tc>
      </w:tr>
    </w:tbl>
    <w:p w14:paraId="7914040B">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6.5每月/季度（）日前，甲、乙双方依据合同第5条验收的结果，汇总核算上月度/季度的服务费，核算结果由双方书面签字确认。双方确认服务费后（）个工作日内，乙方向甲方开具合法有效的全额增值税专用发票（税率  %）。甲方收到乙方开具的增值税专用发票并审核无误，扣除乙方应支付的违约金、赔偿金后的（ ）天内向乙方支付相应款项。因开发票产生的各种附加税或费均由乙方承担，增值税税金由甲方承担。若遇支付日为法定休假日或财务结账日（每月1-3日），则顺延至下一工作日支付；</w:t>
      </w:r>
    </w:p>
    <w:p w14:paraId="16A9987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6.6甲方仅按本合同约定的乙方收款银行及账号向乙方结算价款。乙方企业名称变更和/或收款银行、账号发生变更的，乙方应按甲方要求（包括按甲方格式要求出具变更收款账户信息的公函）提出变更申请，经甲方审核同意后，方可在后续付款时由甲方按照该公函中确定的付款路径付款。甲方不接受乙方委托或指定第三方收款的要求；</w:t>
      </w:r>
    </w:p>
    <w:p w14:paraId="47E3C6AD">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r>
        <w:rPr>
          <w:rFonts w:hint="eastAsia" w:ascii="黑体" w:hAnsi="黑体" w:eastAsia="黑体"/>
          <w:b/>
          <w:szCs w:val="21"/>
        </w:rPr>
        <w:t>6.7合同约定由乙方先提供发票、甲方收到发票后付款的，甲方在收到乙方开具的发票前，有权拒绝支付任何款项；</w:t>
      </w:r>
    </w:p>
    <w:p w14:paraId="4EE2C354">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r>
        <w:rPr>
          <w:rFonts w:hint="eastAsia" w:ascii="黑体" w:hAnsi="黑体" w:eastAsia="黑体"/>
          <w:b/>
          <w:szCs w:val="21"/>
        </w:rPr>
        <w:t>6.8甲方在合同履行过程中发现乙方提供的服务不符合本合同约定的且双方因此发生争议的，在争议处理完毕前，甲方有权暂停支付包括本合同和其他合同在内的，所有以甲方为付款人、乙方为收款人的待付价款且不视为违约。</w:t>
      </w:r>
    </w:p>
    <w:p w14:paraId="173EB5B9">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szCs w:val="21"/>
        </w:rPr>
      </w:pPr>
    </w:p>
    <w:p w14:paraId="5CDFA59A">
      <w:pPr>
        <w:tabs>
          <w:tab w:val="left" w:pos="720"/>
          <w:tab w:val="left" w:pos="7560"/>
          <w:tab w:val="left" w:pos="7920"/>
          <w:tab w:val="left" w:pos="8100"/>
        </w:tabs>
        <w:adjustRightInd w:val="0"/>
        <w:snapToGrid w:val="0"/>
        <w:spacing w:line="400" w:lineRule="exact"/>
        <w:ind w:left="422" w:hanging="482" w:hangingChars="200"/>
        <w:jc w:val="left"/>
        <w:rPr>
          <w:rFonts w:asciiTheme="minorEastAsia" w:hAnsiTheme="minorEastAsia"/>
          <w:b/>
          <w:szCs w:val="21"/>
        </w:rPr>
      </w:pPr>
      <w:r>
        <w:rPr>
          <w:rFonts w:hint="eastAsia" w:asciiTheme="minorEastAsia" w:hAnsiTheme="minorEastAsia"/>
          <w:b/>
          <w:szCs w:val="21"/>
        </w:rPr>
        <w:t>7、违约责任</w:t>
      </w:r>
    </w:p>
    <w:p w14:paraId="68B7CEB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甲方未按本合同第6条约定付款的，乙方应给予甲方30日的宽限期，宽限期届满后，甲方仍不能给付的，自宽限期满，由甲方就延迟付款部分和迟延期间，按中国人民银行授权的全国银行间同业拆借中心公布的合同订立时1年期贷款市场报价利率计算利息作为违约金支付给乙方。本合同生效后甲方不履行合同的，由甲方赔偿乙方因此而致的直接损失；</w:t>
      </w:r>
    </w:p>
    <w:p w14:paraId="5720019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7.2乙方与甲方相关人员应保持正常、健康的工作关系，乙方不得向甲方相关人员进行行贿或变相行贿，如有发生，乙方应承担人民币20000元的违约金，情况严重者，甲方有权单方解除本合同；</w:t>
      </w:r>
    </w:p>
    <w:p w14:paraId="6EF70EB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7.3若在本合同履行期间，乙方丧失第4.1款约定的法律资格或条件致使合同无法继续履行的，视为乙方严重违约，乙方应向甲方退还甲方已支付的全部费用并向承担合同总价款20%的违约金，且甲方有权解除本合同；</w:t>
      </w:r>
    </w:p>
    <w:p w14:paraId="66E9A9A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7.4乙方违反本合同第4</w:t>
      </w:r>
      <w:r>
        <w:rPr>
          <w:rFonts w:ascii="宋体" w:hAnsi="宋体"/>
          <w:szCs w:val="21"/>
        </w:rPr>
        <w:t>.2</w:t>
      </w:r>
      <w:r>
        <w:rPr>
          <w:rFonts w:hint="eastAsia" w:ascii="宋体" w:hAnsi="宋体"/>
          <w:szCs w:val="21"/>
        </w:rPr>
        <w:t>款约定，有下列情形之一，乙方应承担全部损失和责任，且甲方有权单方解除合同：</w:t>
      </w:r>
    </w:p>
    <w:p w14:paraId="06F08D9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7.4.1</w:t>
      </w:r>
      <w:r>
        <w:rPr>
          <w:rFonts w:hint="eastAsia" w:ascii="宋体" w:hAnsi="宋体"/>
          <w:szCs w:val="21"/>
        </w:rPr>
        <w:t>致使甲方及其员工或第三方人员出现药物过敏或中毒情况的；</w:t>
      </w:r>
    </w:p>
    <w:p w14:paraId="638C6FF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7.4.2</w:t>
      </w:r>
      <w:r>
        <w:rPr>
          <w:rFonts w:hint="eastAsia" w:ascii="宋体" w:hAnsi="宋体"/>
          <w:szCs w:val="21"/>
        </w:rPr>
        <w:t>造成甲方产品受污染的；</w:t>
      </w:r>
    </w:p>
    <w:p w14:paraId="50A5DF4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7.4.3</w:t>
      </w:r>
      <w:r>
        <w:rPr>
          <w:rFonts w:hint="eastAsia" w:ascii="宋体" w:hAnsi="宋体"/>
          <w:szCs w:val="21"/>
        </w:rPr>
        <w:t>因受污染产品流入市场，发生消费者中毒事件的；</w:t>
      </w:r>
    </w:p>
    <w:p w14:paraId="2B31930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w:t>
      </w:r>
      <w:r>
        <w:rPr>
          <w:rFonts w:ascii="宋体" w:hAnsi="宋体"/>
          <w:szCs w:val="21"/>
        </w:rPr>
        <w:t>.4.4</w:t>
      </w:r>
      <w:r>
        <w:rPr>
          <w:rFonts w:hint="eastAsia" w:ascii="宋体" w:hAnsi="宋体"/>
          <w:szCs w:val="21"/>
        </w:rPr>
        <w:t>可能造成甲方品牌形象受损的；</w:t>
      </w:r>
    </w:p>
    <w:p w14:paraId="7C2C6F9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7.5乙方未按甲方要求整改或整改不符合本合同约定的，每延误1日，乙方应向甲方支付本合同总价款的</w:t>
      </w:r>
      <w:r>
        <w:rPr>
          <w:rFonts w:ascii="宋体" w:hAnsi="宋体"/>
          <w:szCs w:val="21"/>
        </w:rPr>
        <w:t>0.5</w:t>
      </w:r>
      <w:r>
        <w:rPr>
          <w:rFonts w:hint="eastAsia" w:ascii="宋体" w:hAnsi="宋体"/>
          <w:szCs w:val="21"/>
        </w:rPr>
        <w:t xml:space="preserve"> %计算的违约金，逾期达</w:t>
      </w:r>
      <w:r>
        <w:rPr>
          <w:rFonts w:ascii="宋体" w:hAnsi="宋体"/>
          <w:szCs w:val="21"/>
        </w:rPr>
        <w:t>10</w:t>
      </w:r>
      <w:r>
        <w:rPr>
          <w:rFonts w:hint="eastAsia" w:ascii="宋体" w:hAnsi="宋体"/>
          <w:szCs w:val="21"/>
        </w:rPr>
        <w:t>日的，乙方应向甲方支付本合同总价款的</w:t>
      </w:r>
      <w:r>
        <w:rPr>
          <w:rFonts w:ascii="宋体" w:hAnsi="宋体"/>
          <w:szCs w:val="21"/>
        </w:rPr>
        <w:t>20</w:t>
      </w:r>
      <w:r>
        <w:rPr>
          <w:rFonts w:hint="eastAsia" w:ascii="宋体" w:hAnsi="宋体"/>
          <w:szCs w:val="21"/>
        </w:rPr>
        <w:t>%计算的违约金，且甲方有权单方解除本合同；</w:t>
      </w:r>
    </w:p>
    <w:p w14:paraId="66EC720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7.6乙方违反本合同第4.9款约定，将合同项下服务转包给第三方或未经甲方书面同意将合同项下服务分包给第三方的，应向甲方承担合同总价款20%的元违约金，同时甲方有权解除合同且无须承担任何责任；</w:t>
      </w:r>
    </w:p>
    <w:p w14:paraId="2C21139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7.7合同有效期内，乙方负责防治的有害生物未达到国家或甲方所在地相关部门规定的有害生物防制相关标准，造成甲方因厂区内有害生物密度超标等情形受到处罚的，由乙方支付罚款并向甲方支付合同总价款的（20）%作为违约金；</w:t>
      </w:r>
    </w:p>
    <w:p w14:paraId="0F6E068E">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7.8</w:t>
      </w:r>
      <w:r>
        <w:rPr>
          <w:rFonts w:ascii="宋体" w:hAnsi="宋体"/>
          <w:szCs w:val="21"/>
        </w:rPr>
        <w:t>乙方违反本合同约定</w:t>
      </w:r>
      <w:r>
        <w:rPr>
          <w:rFonts w:hint="eastAsia" w:ascii="宋体" w:hAnsi="宋体"/>
          <w:szCs w:val="21"/>
        </w:rPr>
        <w:t>给甲方及其员工或第三人造成人身、财产损害的，乙方应向甲方支付本合同总价款的</w:t>
      </w:r>
      <w:r>
        <w:rPr>
          <w:rFonts w:ascii="宋体" w:hAnsi="宋体"/>
          <w:szCs w:val="21"/>
        </w:rPr>
        <w:t>20</w:t>
      </w:r>
      <w:r>
        <w:rPr>
          <w:rFonts w:hint="eastAsia" w:ascii="宋体" w:hAnsi="宋体"/>
          <w:szCs w:val="21"/>
        </w:rPr>
        <w:t>%计算的违约金；</w:t>
      </w:r>
    </w:p>
    <w:p w14:paraId="7E459BB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7.9除本合同另有约定外，乙方若单方解除本合同，或因不能履行本合同被甲方单方解除的，应向甲方支付本合同总价款20%的违约金；</w:t>
      </w:r>
    </w:p>
    <w:p w14:paraId="70EAB483">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7.10</w:t>
      </w:r>
      <w:r>
        <w:rPr>
          <w:rFonts w:hint="eastAsia" w:ascii="宋体" w:hAnsi="宋体" w:cs="宋体"/>
          <w:b/>
          <w:bCs/>
          <w:szCs w:val="21"/>
        </w:rPr>
        <w:t>如乙方未经甲方书面同意，擅自将本合同项下权利全部或部分转让或质押给第三人，属于乙方根本违约，乙方应向甲方按转让债权数额或质押担保的主债权数额的20%支付违约金。甲方有权就其享有乙方的下列债权从应付乙方且乙方转让或质押的债权中抵销：①因本合同产生的已到期或未到期债权（包括但不限于本款约定的违约金、乙方根据本合同其他约定应向甲方支付的违约金/赔偿金）；②非因本合同产生的先于乙方转让或质押的债权到期或同时到期的债权。此外，甲方有权解除本合同，并有权停止支付应付乙方且乙方未转让或质押的合同款项，用于担保乙方因擅自转让或质押合同权利而可能给甲方造成的前述违约金不足以弥补的甲方损失的相关赔偿责任，直至甲方认为因乙方前述违约行为给甲方可能造成的风险完全消除时止；停止支付合同款项期间甲方无需向乙方支付利息</w:t>
      </w:r>
      <w:r>
        <w:rPr>
          <w:rFonts w:hint="eastAsia" w:ascii="宋体" w:hAnsi="宋体" w:cs="宋体"/>
          <w:b/>
          <w:szCs w:val="21"/>
        </w:rPr>
        <w:t>；</w:t>
      </w:r>
    </w:p>
    <w:p w14:paraId="03C9DEC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7.11如乙方</w:t>
      </w:r>
      <w:r>
        <w:rPr>
          <w:rFonts w:ascii="宋体" w:hAnsi="宋体"/>
          <w:szCs w:val="21"/>
        </w:rPr>
        <w:t>违反本合同约定，开具不符合规定发票，则应按以下方式赔偿甲方因此受到的损失</w:t>
      </w:r>
      <w:r>
        <w:rPr>
          <w:rFonts w:hint="eastAsia" w:ascii="宋体" w:hAnsi="宋体"/>
          <w:szCs w:val="21"/>
        </w:rPr>
        <w:t>：</w:t>
      </w:r>
    </w:p>
    <w:p w14:paraId="15C7EED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w:t>
      </w:r>
      <w:r>
        <w:rPr>
          <w:rFonts w:ascii="宋体" w:hAnsi="宋体"/>
          <w:szCs w:val="21"/>
        </w:rPr>
        <w:t>.1应提供发票而未提供的或只提供企业自制收据的或出具不符合规定的发票、《销售货物或者提供应税劳务清单》</w:t>
      </w:r>
      <w:r>
        <w:rPr>
          <w:rFonts w:hint="eastAsia" w:ascii="宋体" w:hAnsi="宋体"/>
          <w:szCs w:val="21"/>
        </w:rPr>
        <w:t>的</w:t>
      </w:r>
      <w:r>
        <w:rPr>
          <w:rFonts w:ascii="宋体" w:hAnsi="宋体"/>
          <w:szCs w:val="21"/>
        </w:rPr>
        <w:t>，造成甲方增值税不能抵扣或申报抵扣后被税务机关检查要求转出的，乙方应向甲方赔偿增值税及相关损失</w:t>
      </w:r>
      <w:r>
        <w:rPr>
          <w:rFonts w:hint="eastAsia" w:ascii="宋体" w:hAnsi="宋体"/>
          <w:szCs w:val="21"/>
        </w:rPr>
        <w:t>。</w:t>
      </w:r>
      <w:r>
        <w:rPr>
          <w:rFonts w:ascii="宋体" w:hAnsi="宋体"/>
          <w:szCs w:val="21"/>
        </w:rPr>
        <w:t>即：（1）增值税损失=按照约定应开票含税结算额/（1+适用税率）*适用税率 - 实收票面可抵扣进项税；（2）城建税及附加损失：按损失的增值税损失金额*（城建税税率+教育附加费率+地方教育费附加费率）；（3）包括但不限于税务机关对甲方执行的滞纳金及罚款；</w:t>
      </w:r>
    </w:p>
    <w:p w14:paraId="37703214">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7.11</w:t>
      </w:r>
      <w:r>
        <w:rPr>
          <w:rFonts w:ascii="宋体" w:hAnsi="宋体"/>
          <w:szCs w:val="21"/>
        </w:rPr>
        <w:t>.2应提供发票而未提供的或只提供企业自制收据的或出具不符合规定发票的，造成甲方</w:t>
      </w:r>
      <w:r>
        <w:rPr>
          <w:rFonts w:hint="eastAsia" w:ascii="宋体" w:hAnsi="宋体"/>
          <w:szCs w:val="21"/>
        </w:rPr>
        <w:t>企业</w:t>
      </w:r>
      <w:r>
        <w:rPr>
          <w:rFonts w:ascii="宋体" w:hAnsi="宋体"/>
          <w:szCs w:val="21"/>
        </w:rPr>
        <w:t>所得税损失的，乙方需按25%的税率向甲方承担企业所得税费用损失：（1）所得税损失=按照约定应开票据金额（含税金额）*25%；（2）包括但不限于税务机关对甲方执行的滞纳金及罚款</w:t>
      </w:r>
      <w:r>
        <w:rPr>
          <w:rFonts w:hint="eastAsia" w:ascii="宋体" w:hAnsi="宋体"/>
          <w:szCs w:val="21"/>
        </w:rPr>
        <w:t>；</w:t>
      </w:r>
    </w:p>
    <w:p w14:paraId="57D8C5DC">
      <w:pPr>
        <w:spacing w:line="400" w:lineRule="exact"/>
        <w:ind w:left="372" w:hanging="424" w:hangingChars="177"/>
        <w:rPr>
          <w:rFonts w:ascii="宋体" w:hAnsi="宋体"/>
          <w:szCs w:val="21"/>
        </w:rPr>
      </w:pPr>
      <w:r>
        <w:rPr>
          <w:rFonts w:ascii="宋体" w:hAnsi="宋体"/>
          <w:szCs w:val="21"/>
        </w:rPr>
        <w:t>7</w:t>
      </w:r>
      <w:r>
        <w:rPr>
          <w:rFonts w:hint="eastAsia" w:ascii="宋体" w:hAnsi="宋体"/>
          <w:szCs w:val="21"/>
        </w:rPr>
        <w:t>.11.3乙方除按前两项承担甲方相应损失外，还应赔偿甲方由此产生的资金时间损失。资金时间损失金额＝按照约定应开票据金额（含税金额）*全国银行间同业拆借中心公布的最近一期贷款市场报价利率（延迟时间1年以内（含一年）按照1年期IPR，超过1年按照5年期LPR执行）*延迟天数（从约定开票之日起至实际开票日）/360；</w:t>
      </w:r>
    </w:p>
    <w:p w14:paraId="5C102B4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7.12乙方须签署《廉洁合规承诺书》（详见合同附件1）并严格遵守，在本合同订立、合作过程中如有违反廉洁合规承诺书行为或甲方根据有关资料认为乙方可能存在上述情形的，甲方有权单方解除本合同且无需承担任何责任，并将乙方列入不合作供应商；</w:t>
      </w:r>
    </w:p>
    <w:p w14:paraId="28FACF2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w:t>
      </w:r>
      <w:r>
        <w:rPr>
          <w:rFonts w:ascii="宋体" w:hAnsi="宋体"/>
          <w:szCs w:val="21"/>
        </w:rPr>
        <w:t>.1</w:t>
      </w:r>
      <w:r>
        <w:rPr>
          <w:rFonts w:hint="eastAsia" w:ascii="宋体" w:hAnsi="宋体"/>
          <w:szCs w:val="21"/>
        </w:rPr>
        <w:t>3其他违约责任：/；</w:t>
      </w:r>
    </w:p>
    <w:p w14:paraId="479E64B3">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7.14上述约定外，乙方违反本合同其他约定的，应当向甲方支付人民币贰仟元/次的违约金；</w:t>
      </w:r>
    </w:p>
    <w:p w14:paraId="3E43208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7.1</w:t>
      </w:r>
      <w:r>
        <w:rPr>
          <w:rFonts w:hint="eastAsia" w:ascii="宋体" w:hAnsi="宋体"/>
          <w:szCs w:val="21"/>
        </w:rPr>
        <w:t>5</w:t>
      </w:r>
      <w:r>
        <w:rPr>
          <w:rFonts w:hint="eastAsia" w:asciiTheme="minorEastAsia" w:hAnsiTheme="minorEastAsia"/>
          <w:szCs w:val="21"/>
        </w:rPr>
        <w:t>若本合同约定的违约金不足以补偿甲方遭受的损失的，对于甲方遭受的损失（包括但不限于由此造成的诉讼费、差旅费、律师费、保全费、保全担保费、鉴定费、公证费、本合同第</w:t>
      </w:r>
      <w:r>
        <w:rPr>
          <w:rFonts w:asciiTheme="minorEastAsia" w:hAnsiTheme="minorEastAsia"/>
          <w:szCs w:val="21"/>
        </w:rPr>
        <w:t>7.</w:t>
      </w:r>
      <w:r>
        <w:rPr>
          <w:rFonts w:hint="eastAsia" w:asciiTheme="minorEastAsia" w:hAnsiTheme="minorEastAsia"/>
          <w:szCs w:val="21"/>
        </w:rPr>
        <w:t>11款约定的甲方被依法确认给付或赔偿给应收账款受让人或质权人的款项或损失赔偿费），</w:t>
      </w:r>
      <w:r>
        <w:rPr>
          <w:rFonts w:hint="eastAsia" w:ascii="宋体" w:hAnsi="宋体" w:cs="宋体"/>
          <w:szCs w:val="21"/>
        </w:rPr>
        <w:t>以及因乙方违约导致甲方的停产损失和向第三方采购的替代交易价差损失），</w:t>
      </w:r>
      <w:r>
        <w:rPr>
          <w:rFonts w:hint="eastAsia" w:asciiTheme="minorEastAsia" w:hAnsiTheme="minorEastAsia"/>
          <w:szCs w:val="21"/>
        </w:rPr>
        <w:t>甲方有权进一步向乙方追偿；</w:t>
      </w:r>
    </w:p>
    <w:p w14:paraId="1854C8D2">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7</w:t>
      </w:r>
      <w:r>
        <w:rPr>
          <w:rFonts w:hint="eastAsia" w:ascii="宋体" w:hAnsi="宋体"/>
          <w:szCs w:val="21"/>
        </w:rPr>
        <w:t>.16本合同主文中和/或合同附件中就同一事项或同一违约行为的约定不一致的，甲方有权选择适用；</w:t>
      </w:r>
    </w:p>
    <w:p w14:paraId="4D7DF52D">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7.17甲方有权直接从待付的合同价款中扣除违约金和赔偿金及其他应付费用，如待付的合同价款不足扣除的，乙方应另行向甲方支付。如果甲方在支付本合同第6.5款约定的合同价款时未扣除乙方应支付的违约金、赔偿金或其他应付费用的，并不代表甲方放弃对乙方的追索，甲方仍有权继续追索。</w:t>
      </w:r>
    </w:p>
    <w:p w14:paraId="3A81B59B">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62740C56">
      <w:pPr>
        <w:tabs>
          <w:tab w:val="left" w:pos="720"/>
          <w:tab w:val="left" w:pos="7560"/>
          <w:tab w:val="left" w:pos="7920"/>
          <w:tab w:val="left" w:pos="8100"/>
        </w:tabs>
        <w:adjustRightInd w:val="0"/>
        <w:snapToGrid w:val="0"/>
        <w:spacing w:line="400" w:lineRule="exact"/>
        <w:ind w:left="422" w:hanging="482" w:hangingChars="200"/>
        <w:rPr>
          <w:rFonts w:ascii="宋体" w:hAnsi="宋体"/>
          <w:b/>
          <w:szCs w:val="21"/>
        </w:rPr>
      </w:pPr>
      <w:r>
        <w:rPr>
          <w:rFonts w:hint="eastAsia" w:ascii="宋体" w:hAnsi="宋体"/>
          <w:b/>
          <w:szCs w:val="21"/>
        </w:rPr>
        <w:t>8、不可抗力</w:t>
      </w:r>
    </w:p>
    <w:p w14:paraId="641DC57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8.1本合同约定的不可抗力指甲乙双方任何一方在签订本合同时不可预见的、遭受影响的一方不能克服和不能避免的，并对本合同的履行产生影响的事件；</w:t>
      </w:r>
    </w:p>
    <w:p w14:paraId="5F12F170">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8.2如果一方因不可抗力导致合同不能履行的，应及时通知另一方，并在发生不可抗力后15日内提供证明；双方可就合同的履行、变更或终止达成协议。</w:t>
      </w:r>
    </w:p>
    <w:p w14:paraId="53CB21E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p>
    <w:p w14:paraId="34FE3BE4">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9、争议解决</w:t>
      </w:r>
    </w:p>
    <w:p w14:paraId="629C97A1">
      <w:pPr>
        <w:spacing w:line="400" w:lineRule="exact"/>
        <w:ind w:left="420" w:hanging="480" w:hangingChars="200"/>
        <w:rPr>
          <w:rFonts w:ascii="宋体" w:hAnsi="宋体"/>
          <w:szCs w:val="21"/>
        </w:rPr>
      </w:pPr>
      <w:r>
        <w:rPr>
          <w:rFonts w:hint="eastAsia" w:ascii="宋体" w:hAnsi="宋体"/>
          <w:szCs w:val="21"/>
        </w:rPr>
        <w:t>9.1凡有关本合同或执行本合同时发生的争议双方可协商解决，协商不成任何一方起诉时均应由甲方住所地有管辖权的人民法院管辖。本合同签订后，如甲方住所地变更的，任何一方提起诉讼时，由甲方变更后的住所地有管辖权的人民法院管辖。</w:t>
      </w:r>
    </w:p>
    <w:p w14:paraId="1C502E42">
      <w:pPr>
        <w:tabs>
          <w:tab w:val="left" w:pos="720"/>
          <w:tab w:val="left" w:pos="7560"/>
          <w:tab w:val="left" w:pos="7920"/>
          <w:tab w:val="left" w:pos="8100"/>
        </w:tabs>
        <w:adjustRightInd w:val="0"/>
        <w:snapToGrid w:val="0"/>
        <w:spacing w:line="400" w:lineRule="exact"/>
        <w:rPr>
          <w:rFonts w:ascii="宋体" w:hAnsi="宋体"/>
          <w:szCs w:val="21"/>
        </w:rPr>
      </w:pPr>
    </w:p>
    <w:p w14:paraId="46BD671A">
      <w:pPr>
        <w:pStyle w:val="21"/>
        <w:spacing w:before="0" w:after="0" w:line="400" w:lineRule="exact"/>
        <w:ind w:left="422" w:right="0" w:hanging="422" w:hangingChars="200"/>
        <w:rPr>
          <w:rFonts w:ascii="宋体" w:hAnsi="宋体" w:cs="宋体"/>
          <w:b/>
          <w:sz w:val="21"/>
          <w:szCs w:val="21"/>
        </w:rPr>
      </w:pPr>
      <w:r>
        <w:rPr>
          <w:rFonts w:hint="eastAsia" w:ascii="宋体" w:hAnsi="宋体" w:cs="宋体"/>
          <w:b/>
          <w:sz w:val="21"/>
          <w:szCs w:val="21"/>
        </w:rPr>
        <w:t>10、合同变更与转让</w:t>
      </w:r>
    </w:p>
    <w:p w14:paraId="7E5C29DD">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10.1未经甲方书面同意乙方不得擅自转让本合同，不得将本合同的应收账款全部或者部分转让或质押给第三人；</w:t>
      </w:r>
    </w:p>
    <w:p w14:paraId="38D73F0E">
      <w:pPr>
        <w:tabs>
          <w:tab w:val="left" w:pos="720"/>
          <w:tab w:val="left" w:pos="7560"/>
          <w:tab w:val="left" w:pos="7920"/>
          <w:tab w:val="left" w:pos="8100"/>
        </w:tabs>
        <w:adjustRightInd w:val="0"/>
        <w:snapToGrid w:val="0"/>
        <w:spacing w:line="400" w:lineRule="exact"/>
        <w:ind w:left="422" w:hanging="482" w:hangingChars="200"/>
        <w:rPr>
          <w:rFonts w:ascii="宋体" w:hAnsi="宋体" w:cs="宋体"/>
          <w:b/>
          <w:szCs w:val="21"/>
        </w:rPr>
      </w:pPr>
      <w:r>
        <w:rPr>
          <w:rFonts w:hint="eastAsia" w:ascii="宋体" w:hAnsi="宋体" w:cs="宋体"/>
          <w:b/>
          <w:szCs w:val="21"/>
        </w:rPr>
        <w:t>10.2乙方发生合并、分立、改组、转让、经营权变更等变更情况的，必须事先通知甲方，甲方有权决定是否终止本合同;</w:t>
      </w:r>
    </w:p>
    <w:p w14:paraId="6DFCA9AF">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r>
        <w:rPr>
          <w:rFonts w:hint="eastAsia" w:ascii="宋体" w:hAnsi="宋体" w:cs="宋体"/>
          <w:bCs/>
          <w:szCs w:val="21"/>
        </w:rPr>
        <w:t>10.3除本合同另有约定外，甲乙双方变更企业名称、开户行及账号、注册地址、法定代表人、业务经办人、通知/送达条款的，应以本合同约定的方式通知对方，双方无需为此签订变更协议；</w:t>
      </w:r>
    </w:p>
    <w:p w14:paraId="5A4BB046">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r>
        <w:rPr>
          <w:rFonts w:hint="eastAsia" w:ascii="宋体" w:hAnsi="宋体" w:cs="宋体"/>
          <w:bCs/>
          <w:szCs w:val="21"/>
        </w:rPr>
        <w:t>10.4合同履行过程中，甲方发现继续履行合同将损害国家利益或社会公共利益的，甲方有权中止或解除合同；甲方选择解除合同的无需承担任何责任；甲方选择中止合同的，双方须在15日内就继续履行合同达成一致，否则甲方有权单方解除合同且无需承担任何责任。</w:t>
      </w:r>
    </w:p>
    <w:p w14:paraId="01A18FFD">
      <w:pPr>
        <w:tabs>
          <w:tab w:val="left" w:pos="720"/>
          <w:tab w:val="left" w:pos="7560"/>
          <w:tab w:val="left" w:pos="7920"/>
          <w:tab w:val="left" w:pos="8100"/>
        </w:tabs>
        <w:adjustRightInd w:val="0"/>
        <w:snapToGrid w:val="0"/>
        <w:spacing w:line="400" w:lineRule="exact"/>
        <w:ind w:left="420" w:hanging="480" w:hangingChars="200"/>
        <w:rPr>
          <w:rFonts w:ascii="宋体" w:hAnsi="宋体" w:cs="宋体"/>
          <w:bCs/>
          <w:szCs w:val="21"/>
        </w:rPr>
      </w:pPr>
    </w:p>
    <w:p w14:paraId="6E1EA1AB">
      <w:pPr>
        <w:adjustRightInd w:val="0"/>
        <w:snapToGrid w:val="0"/>
        <w:spacing w:line="400" w:lineRule="exact"/>
        <w:jc w:val="left"/>
        <w:textAlignment w:val="baseline"/>
        <w:rPr>
          <w:rFonts w:asciiTheme="minorEastAsia" w:hAnsiTheme="minorEastAsia"/>
          <w:b/>
          <w:szCs w:val="21"/>
        </w:rPr>
      </w:pPr>
      <w:r>
        <w:rPr>
          <w:rFonts w:hint="eastAsia" w:asciiTheme="minorEastAsia" w:hAnsiTheme="minorEastAsia"/>
          <w:b/>
          <w:szCs w:val="21"/>
        </w:rPr>
        <w:t>11、合同有效期</w:t>
      </w:r>
    </w:p>
    <w:p w14:paraId="779AB786">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ascii="宋体" w:hAnsi="宋体"/>
          <w:szCs w:val="21"/>
        </w:rPr>
        <w:t>1</w:t>
      </w:r>
      <w:r>
        <w:rPr>
          <w:rFonts w:hint="eastAsia" w:ascii="宋体" w:hAnsi="宋体"/>
          <w:szCs w:val="21"/>
        </w:rPr>
        <w:t>1</w:t>
      </w:r>
      <w:r>
        <w:rPr>
          <w:rFonts w:ascii="宋体" w:hAnsi="宋体"/>
          <w:szCs w:val="21"/>
        </w:rPr>
        <w:t>.1本合同须经双方盖章，</w:t>
      </w:r>
      <w:r>
        <w:rPr>
          <w:rFonts w:hint="eastAsia"/>
          <w:szCs w:val="21"/>
        </w:rPr>
        <w:t>自最后一方盖章之日起生效，至</w:t>
      </w:r>
      <w:r>
        <w:rPr>
          <w:szCs w:val="21"/>
        </w:rPr>
        <w:t>_____</w:t>
      </w:r>
      <w:r>
        <w:rPr>
          <w:rFonts w:hint="eastAsia"/>
          <w:szCs w:val="21"/>
        </w:rPr>
        <w:t>年</w:t>
      </w:r>
      <w:r>
        <w:rPr>
          <w:szCs w:val="21"/>
        </w:rPr>
        <w:t>___</w:t>
      </w:r>
      <w:r>
        <w:rPr>
          <w:rFonts w:hint="eastAsia"/>
          <w:szCs w:val="21"/>
        </w:rPr>
        <w:t>月</w:t>
      </w:r>
      <w:r>
        <w:rPr>
          <w:szCs w:val="21"/>
        </w:rPr>
        <w:t>___</w:t>
      </w:r>
      <w:r>
        <w:rPr>
          <w:rFonts w:hint="eastAsia"/>
          <w:szCs w:val="21"/>
        </w:rPr>
        <w:t>日终止；</w:t>
      </w:r>
    </w:p>
    <w:p w14:paraId="179A330D">
      <w:pPr>
        <w:tabs>
          <w:tab w:val="left" w:pos="720"/>
          <w:tab w:val="left" w:pos="7560"/>
          <w:tab w:val="left" w:pos="7920"/>
          <w:tab w:val="left" w:pos="8100"/>
        </w:tabs>
        <w:adjustRightInd w:val="0"/>
        <w:snapToGrid w:val="0"/>
        <w:spacing w:line="400" w:lineRule="exact"/>
        <w:ind w:left="420" w:hanging="480" w:hangingChars="200"/>
        <w:rPr>
          <w:rFonts w:asciiTheme="minorEastAsia" w:hAnsiTheme="minorEastAsia"/>
          <w:szCs w:val="21"/>
        </w:rPr>
      </w:pPr>
      <w:r>
        <w:rPr>
          <w:rFonts w:hint="eastAsia" w:asciiTheme="minorEastAsia" w:hAnsiTheme="minorEastAsia"/>
          <w:szCs w:val="21"/>
        </w:rPr>
        <w:t>11.2甲乙双方可以使用数据电文形式或纸质形式签订本合同。采用纸质形式签订合同的，应加盖实体印章；采用数据电文形式签订合同的，应在双方共同确认的电子签章平台（E签宝）进行，一方在合同任意位置加盖电子签章，即视为对包括附件在内的合同所有内容的确认。</w:t>
      </w:r>
    </w:p>
    <w:p w14:paraId="6732BE47">
      <w:pPr>
        <w:tabs>
          <w:tab w:val="left" w:pos="720"/>
          <w:tab w:val="left" w:pos="7560"/>
          <w:tab w:val="left" w:pos="7920"/>
          <w:tab w:val="left" w:pos="8100"/>
        </w:tabs>
        <w:adjustRightInd w:val="0"/>
        <w:snapToGrid w:val="0"/>
        <w:spacing w:line="400" w:lineRule="exact"/>
        <w:ind w:left="420" w:hanging="480" w:hangingChars="200"/>
        <w:rPr>
          <w:rFonts w:asciiTheme="minorEastAsia" w:hAnsiTheme="minorEastAsia"/>
          <w:szCs w:val="21"/>
        </w:rPr>
      </w:pPr>
    </w:p>
    <w:p w14:paraId="7BCE76C6">
      <w:pPr>
        <w:tabs>
          <w:tab w:val="left" w:pos="993"/>
        </w:tabs>
        <w:snapToGrid w:val="0"/>
        <w:spacing w:line="400" w:lineRule="exact"/>
        <w:rPr>
          <w:rFonts w:asciiTheme="minorEastAsia" w:hAnsiTheme="minorEastAsia"/>
          <w:b/>
          <w:szCs w:val="21"/>
        </w:rPr>
      </w:pPr>
      <w:r>
        <w:rPr>
          <w:rFonts w:hint="eastAsia" w:asciiTheme="minorEastAsia" w:hAnsiTheme="minorEastAsia"/>
          <w:b/>
          <w:szCs w:val="21"/>
        </w:rPr>
        <w:t>12、通知条款</w:t>
      </w:r>
    </w:p>
    <w:p w14:paraId="38C28B30">
      <w:pPr>
        <w:snapToGrid w:val="0"/>
        <w:spacing w:line="400" w:lineRule="exact"/>
        <w:ind w:left="478" w:leftChars="-1"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.1甲乙双方就合同中涉及各类通知、协议等文件以及就合同发生纠纷时相关文件和法律文书送达时的送达地址及法律后果确认如下：</w:t>
      </w:r>
    </w:p>
    <w:tbl>
      <w:tblPr>
        <w:tblStyle w:val="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7"/>
        <w:gridCol w:w="7798"/>
      </w:tblGrid>
      <w:tr w14:paraId="49306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13DF10D3">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甲方</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5821FFC5">
            <w:pPr>
              <w:adjustRightInd w:val="0"/>
              <w:snapToGrid w:val="0"/>
              <w:spacing w:line="400" w:lineRule="exact"/>
              <w:ind w:left="478" w:leftChars="-1" w:hanging="480" w:hangingChars="200"/>
              <w:jc w:val="left"/>
              <w:rPr>
                <w:rFonts w:ascii="宋体" w:hAnsi="宋体" w:cs="宋体"/>
                <w:szCs w:val="21"/>
                <w:lang w:bidi="ar"/>
              </w:rPr>
            </w:pPr>
            <w:r>
              <w:rPr>
                <w:rFonts w:hint="eastAsia" w:ascii="宋体" w:hAnsi="宋体" w:cs="宋体"/>
                <w:szCs w:val="21"/>
                <w:lang w:bidi="ar"/>
              </w:rPr>
              <w:t>收件人：</w:t>
            </w:r>
            <w:r>
              <w:rPr>
                <w:rFonts w:ascii="宋体" w:hAnsi="宋体" w:cs="宋体"/>
                <w:szCs w:val="21"/>
                <w:lang w:bidi="ar"/>
              </w:rPr>
              <w:t xml:space="preserve">              </w:t>
            </w:r>
          </w:p>
          <w:p w14:paraId="0FAA80BB">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联系电话：</w:t>
            </w:r>
          </w:p>
          <w:p w14:paraId="583B6B23">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邮寄地址：</w:t>
            </w:r>
          </w:p>
          <w:p w14:paraId="62976D64">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电子邮件：</w:t>
            </w:r>
          </w:p>
        </w:tc>
      </w:tr>
      <w:tr w14:paraId="62572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07" w:type="dxa"/>
            <w:tcBorders>
              <w:top w:val="single" w:color="auto" w:sz="4" w:space="0"/>
              <w:left w:val="single" w:color="auto" w:sz="4" w:space="0"/>
              <w:bottom w:val="single" w:color="auto" w:sz="4" w:space="0"/>
              <w:right w:val="single" w:color="auto" w:sz="4" w:space="0"/>
            </w:tcBorders>
            <w:shd w:val="clear" w:color="auto" w:fill="auto"/>
            <w:vAlign w:val="center"/>
          </w:tcPr>
          <w:p w14:paraId="4BC19B16">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乙方</w:t>
            </w:r>
          </w:p>
        </w:tc>
        <w:tc>
          <w:tcPr>
            <w:tcW w:w="7798" w:type="dxa"/>
            <w:tcBorders>
              <w:top w:val="single" w:color="auto" w:sz="4" w:space="0"/>
              <w:left w:val="single" w:color="auto" w:sz="4" w:space="0"/>
              <w:bottom w:val="single" w:color="auto" w:sz="4" w:space="0"/>
              <w:right w:val="single" w:color="auto" w:sz="4" w:space="0"/>
            </w:tcBorders>
            <w:shd w:val="clear" w:color="auto" w:fill="auto"/>
          </w:tcPr>
          <w:p w14:paraId="66B8AE38">
            <w:pPr>
              <w:adjustRightInd w:val="0"/>
              <w:snapToGrid w:val="0"/>
              <w:spacing w:line="400" w:lineRule="exact"/>
              <w:ind w:left="478" w:leftChars="-1" w:hanging="480" w:hangingChars="200"/>
              <w:jc w:val="left"/>
              <w:rPr>
                <w:rFonts w:ascii="宋体" w:hAnsi="宋体" w:cs="宋体"/>
                <w:szCs w:val="21"/>
                <w:lang w:bidi="ar"/>
              </w:rPr>
            </w:pPr>
            <w:r>
              <w:rPr>
                <w:rFonts w:hint="eastAsia" w:ascii="宋体" w:hAnsi="宋体" w:cs="宋体"/>
                <w:szCs w:val="21"/>
                <w:lang w:bidi="ar"/>
              </w:rPr>
              <w:t>收件人：</w:t>
            </w:r>
            <w:r>
              <w:rPr>
                <w:rFonts w:ascii="宋体" w:hAnsi="宋体" w:cs="宋体"/>
                <w:szCs w:val="21"/>
                <w:lang w:bidi="ar"/>
              </w:rPr>
              <w:t xml:space="preserve">                </w:t>
            </w:r>
          </w:p>
          <w:p w14:paraId="45780514">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联系电话：</w:t>
            </w:r>
          </w:p>
          <w:p w14:paraId="04D25783">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邮寄地址：</w:t>
            </w:r>
            <w:r>
              <w:rPr>
                <w:rFonts w:ascii="宋体" w:hAnsi="宋体" w:cs="宋体"/>
                <w:szCs w:val="21"/>
                <w:lang w:bidi="ar"/>
              </w:rPr>
              <w:t xml:space="preserve"> </w:t>
            </w:r>
          </w:p>
          <w:p w14:paraId="0CA5141D">
            <w:pPr>
              <w:adjustRightInd w:val="0"/>
              <w:snapToGrid w:val="0"/>
              <w:spacing w:line="400" w:lineRule="exact"/>
              <w:ind w:left="478" w:leftChars="-1" w:hanging="480" w:hangingChars="200"/>
              <w:jc w:val="left"/>
              <w:rPr>
                <w:rFonts w:ascii="宋体" w:hAnsi="宋体" w:cs="宋体"/>
                <w:szCs w:val="21"/>
              </w:rPr>
            </w:pPr>
            <w:r>
              <w:rPr>
                <w:rFonts w:hint="eastAsia" w:ascii="宋体" w:hAnsi="宋体" w:cs="宋体"/>
                <w:szCs w:val="21"/>
                <w:lang w:bidi="ar"/>
              </w:rPr>
              <w:t>电子邮件：</w:t>
            </w:r>
          </w:p>
        </w:tc>
      </w:tr>
    </w:tbl>
    <w:p w14:paraId="300EC914">
      <w:pPr>
        <w:snapToGrid w:val="0"/>
        <w:spacing w:line="400" w:lineRule="exact"/>
        <w:ind w:left="478" w:leftChars="-1"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.2各方送达地址适用范围包括合同签订及履行过程中的合同及相关文件、合同纠纷处理往来文件及诉讼过程中法律文书的送达；如果向法院提交的诉讼文书的送达地址与</w:t>
      </w:r>
      <w:r>
        <w:rPr>
          <w:rFonts w:hint="eastAsia" w:ascii="宋体" w:hAnsi="宋体"/>
          <w:szCs w:val="21"/>
        </w:rPr>
        <w:t>上款</w:t>
      </w:r>
      <w:r>
        <w:rPr>
          <w:rFonts w:hint="eastAsia" w:asciiTheme="minorEastAsia" w:hAnsiTheme="minorEastAsia"/>
          <w:szCs w:val="21"/>
        </w:rPr>
        <w:t>的约定不符，诉讼过程中法律文书的送达以向法院提交的送达地址为准；</w:t>
      </w:r>
    </w:p>
    <w:p w14:paraId="69E3101A">
      <w:pPr>
        <w:spacing w:line="400" w:lineRule="exact"/>
        <w:ind w:left="420" w:hanging="480" w:hangingChars="200"/>
        <w:jc w:val="left"/>
        <w:rPr>
          <w:rFonts w:asciiTheme="minorEastAsia" w:hAnsiTheme="minorEastAsia"/>
          <w:szCs w:val="21"/>
        </w:rPr>
      </w:pPr>
      <w:r>
        <w:rPr>
          <w:rFonts w:hint="eastAsia" w:asciiTheme="minorEastAsia" w:hAnsiTheme="minorEastAsia"/>
          <w:szCs w:val="21"/>
        </w:rPr>
        <w:t>1</w:t>
      </w:r>
      <w:r>
        <w:rPr>
          <w:rFonts w:asciiTheme="minorEastAsia" w:hAnsiTheme="minorEastAsia"/>
          <w:szCs w:val="21"/>
        </w:rPr>
        <w:t>2</w:t>
      </w:r>
      <w:r>
        <w:rPr>
          <w:rFonts w:hint="eastAsia" w:asciiTheme="minorEastAsia" w:hAnsiTheme="minorEastAsia"/>
          <w:szCs w:val="21"/>
        </w:rPr>
        <w:t>.3 一方的送达地址需要变更时应当书面通知对方，如果一方未履行通知义务，双方所确认的送达地址仍视为有效送达地址。如果当事人提供或者确认的送达地址不准确、送达地址变更后未及时依程序告知对方和法院、当事人或指定的接收人拒绝签收，导致文件未能被当事人实际接收的，邮寄送达的，以文件退回之日视为送达之日。</w:t>
      </w:r>
    </w:p>
    <w:p w14:paraId="3C2ED77F">
      <w:pPr>
        <w:tabs>
          <w:tab w:val="left" w:pos="993"/>
        </w:tabs>
        <w:snapToGrid w:val="0"/>
        <w:spacing w:line="400" w:lineRule="exact"/>
        <w:rPr>
          <w:rFonts w:ascii="宋体" w:hAnsi="宋体"/>
          <w:szCs w:val="21"/>
        </w:rPr>
      </w:pPr>
    </w:p>
    <w:p w14:paraId="1AD30888">
      <w:pPr>
        <w:adjustRightInd w:val="0"/>
        <w:snapToGrid w:val="0"/>
        <w:spacing w:line="400" w:lineRule="exact"/>
        <w:jc w:val="left"/>
        <w:textAlignment w:val="baseline"/>
        <w:rPr>
          <w:rFonts w:ascii="黑体" w:hAnsi="黑体" w:eastAsia="黑体"/>
          <w:b/>
          <w:szCs w:val="21"/>
        </w:rPr>
      </w:pPr>
      <w:r>
        <w:rPr>
          <w:rFonts w:hint="eastAsia" w:ascii="黑体" w:hAnsi="黑体" w:eastAsia="黑体"/>
          <w:b/>
          <w:szCs w:val="21"/>
        </w:rPr>
        <w:t>13、其它约定</w:t>
      </w:r>
    </w:p>
    <w:p w14:paraId="6B034504">
      <w:pPr>
        <w:tabs>
          <w:tab w:val="left" w:pos="720"/>
          <w:tab w:val="left" w:pos="7560"/>
          <w:tab w:val="left" w:pos="7920"/>
          <w:tab w:val="left" w:pos="8100"/>
        </w:tabs>
        <w:adjustRightInd w:val="0"/>
        <w:snapToGrid w:val="0"/>
        <w:spacing w:line="400" w:lineRule="exact"/>
        <w:ind w:left="422" w:hanging="482" w:hangingChars="200"/>
        <w:rPr>
          <w:rFonts w:ascii="黑体" w:hAnsi="黑体" w:eastAsia="黑体"/>
          <w:b/>
          <w:bCs/>
          <w:szCs w:val="21"/>
        </w:rPr>
      </w:pPr>
      <w:r>
        <w:rPr>
          <w:rFonts w:hint="eastAsia" w:ascii="黑体" w:hAnsi="黑体" w:eastAsia="黑体"/>
          <w:b/>
          <w:bCs/>
          <w:szCs w:val="21"/>
        </w:rPr>
        <w:t>13.1甲方任何员工的言论和书面文件在经甲方书面确认之前均不代表甲方，甲方的任何书面文件均需加盖甲方公章方为有效；</w:t>
      </w:r>
    </w:p>
    <w:p w14:paraId="45AE7E99">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13.2合同一方因与对方员工发生的私人经济往来而产生的任何损失，由该方自行承担，合同对方不负任何责任；</w:t>
      </w:r>
    </w:p>
    <w:p w14:paraId="3187CDE1">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13.3本合同有效期内，以及在其终止或期满后的任何时候，乙方不得向任何第三方披露在履行合同过程中所获得的甲方的任何经营信息；</w:t>
      </w:r>
    </w:p>
    <w:p w14:paraId="33A3457F">
      <w:pPr>
        <w:tabs>
          <w:tab w:val="left" w:pos="720"/>
          <w:tab w:val="left" w:pos="7560"/>
          <w:tab w:val="left" w:pos="7920"/>
          <w:tab w:val="left" w:pos="8100"/>
        </w:tabs>
        <w:adjustRightInd w:val="0"/>
        <w:snapToGrid w:val="0"/>
        <w:spacing w:line="400" w:lineRule="exact"/>
        <w:ind w:left="420" w:hanging="480" w:hangingChars="200"/>
        <w:rPr>
          <w:rFonts w:ascii="宋体" w:hAnsi="宋体"/>
          <w:bCs/>
          <w:szCs w:val="21"/>
        </w:rPr>
      </w:pPr>
      <w:r>
        <w:rPr>
          <w:rFonts w:hint="eastAsia" w:ascii="宋体" w:hAnsi="宋体"/>
          <w:bCs/>
          <w:szCs w:val="21"/>
        </w:rPr>
        <w:t>13</w:t>
      </w:r>
      <w:r>
        <w:rPr>
          <w:rFonts w:ascii="宋体" w:hAnsi="宋体"/>
          <w:bCs/>
          <w:szCs w:val="21"/>
        </w:rPr>
        <w:t>.4</w:t>
      </w:r>
      <w:r>
        <w:rPr>
          <w:rFonts w:hint="eastAsia" w:ascii="宋体" w:hAnsi="宋体"/>
          <w:bCs/>
          <w:szCs w:val="21"/>
        </w:rPr>
        <w:t>本合同有效期内，如甲方决定提前解散、注销或长期停产停业的，甲方应当书面通知乙方，自通知送达之日起满15日时，本合同自动终止，双方互不因此承担违约或赔偿责任；</w:t>
      </w:r>
    </w:p>
    <w:p w14:paraId="2D6374F8">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13.5其他未尽约定：/；</w:t>
      </w:r>
    </w:p>
    <w:p w14:paraId="1181AC95">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13.6本合同未尽事宜，双方应友好协商，签订补充协议，补充协议与本合同具有同等的法律效力；</w:t>
      </w:r>
    </w:p>
    <w:p w14:paraId="10285307">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13.7</w:t>
      </w:r>
      <w:r>
        <w:rPr>
          <w:rFonts w:ascii="宋体" w:hAnsi="宋体"/>
          <w:szCs w:val="21"/>
        </w:rPr>
        <w:t>本合同附件是合同的组成部分，与合同具有同等的法律效力，本合同附件有：</w:t>
      </w:r>
    </w:p>
    <w:p w14:paraId="45EC15F3">
      <w:pPr>
        <w:tabs>
          <w:tab w:val="left" w:pos="720"/>
          <w:tab w:val="left" w:pos="7560"/>
          <w:tab w:val="left" w:pos="7920"/>
          <w:tab w:val="left" w:pos="8100"/>
        </w:tabs>
        <w:adjustRightInd w:val="0"/>
        <w:snapToGrid w:val="0"/>
        <w:spacing w:line="400" w:lineRule="exact"/>
        <w:ind w:left="420" w:firstLine="4" w:firstLineChars="2"/>
        <w:rPr>
          <w:rFonts w:ascii="宋体" w:hAnsi="宋体"/>
          <w:szCs w:val="21"/>
        </w:rPr>
      </w:pPr>
      <w:r>
        <w:rPr>
          <w:rFonts w:ascii="宋体" w:hAnsi="宋体"/>
          <w:szCs w:val="21"/>
        </w:rPr>
        <w:t>合同附件1《</w:t>
      </w:r>
      <w:r>
        <w:rPr>
          <w:rFonts w:hint="eastAsia" w:ascii="宋体" w:hAnsi="宋体"/>
          <w:szCs w:val="21"/>
        </w:rPr>
        <w:t>廉洁合规承诺书</w:t>
      </w:r>
      <w:r>
        <w:rPr>
          <w:rFonts w:ascii="宋体" w:hAnsi="宋体"/>
          <w:szCs w:val="21"/>
        </w:rPr>
        <w:t>》；</w:t>
      </w:r>
    </w:p>
    <w:p w14:paraId="719E92BE">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ascii="宋体" w:hAnsi="宋体"/>
          <w:szCs w:val="21"/>
        </w:rPr>
        <w:t>合同附件2</w:t>
      </w:r>
      <w:r>
        <w:rPr>
          <w:rFonts w:hint="eastAsia" w:ascii="宋体" w:hAnsi="宋体"/>
          <w:szCs w:val="21"/>
        </w:rPr>
        <w:t>《服务要求》</w:t>
      </w:r>
      <w:r>
        <w:rPr>
          <w:rFonts w:ascii="宋体" w:hAnsi="宋体"/>
          <w:szCs w:val="21"/>
        </w:rPr>
        <w:t>；</w:t>
      </w:r>
    </w:p>
    <w:p w14:paraId="46D986B3">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hint="eastAsia" w:ascii="宋体" w:hAnsi="宋体"/>
          <w:szCs w:val="21"/>
        </w:rPr>
        <w:t>合同附件3</w:t>
      </w:r>
      <w:r>
        <w:rPr>
          <w:rFonts w:ascii="宋体" w:hAnsi="宋体"/>
          <w:szCs w:val="21"/>
        </w:rPr>
        <w:t>《</w:t>
      </w:r>
      <w:r>
        <w:rPr>
          <w:rFonts w:hint="eastAsia" w:ascii="宋体" w:hAnsi="宋体"/>
          <w:szCs w:val="21"/>
        </w:rPr>
        <w:t>服务考核/验收标准</w:t>
      </w:r>
      <w:r>
        <w:rPr>
          <w:rFonts w:ascii="宋体" w:hAnsi="宋体"/>
          <w:szCs w:val="21"/>
        </w:rPr>
        <w:t>》</w:t>
      </w:r>
      <w:r>
        <w:rPr>
          <w:rFonts w:hint="eastAsia" w:ascii="宋体" w:hAnsi="宋体"/>
          <w:szCs w:val="21"/>
        </w:rPr>
        <w:t>；</w:t>
      </w:r>
    </w:p>
    <w:p w14:paraId="533BFDBA">
      <w:pPr>
        <w:tabs>
          <w:tab w:val="left" w:pos="720"/>
          <w:tab w:val="left" w:pos="7560"/>
          <w:tab w:val="left" w:pos="7920"/>
          <w:tab w:val="left" w:pos="8100"/>
        </w:tabs>
        <w:adjustRightInd w:val="0"/>
        <w:snapToGrid w:val="0"/>
        <w:spacing w:line="400" w:lineRule="exact"/>
        <w:ind w:left="480" w:leftChars="200" w:firstLine="4" w:firstLineChars="2"/>
        <w:rPr>
          <w:rFonts w:ascii="宋体" w:hAnsi="宋体"/>
          <w:szCs w:val="21"/>
        </w:rPr>
      </w:pPr>
      <w:r>
        <w:rPr>
          <w:rFonts w:hint="eastAsia" w:ascii="宋体" w:hAnsi="宋体"/>
          <w:szCs w:val="21"/>
        </w:rPr>
        <w:t>合同附件4《承包商安全协议》；</w:t>
      </w:r>
    </w:p>
    <w:p w14:paraId="1571312A">
      <w:pPr>
        <w:tabs>
          <w:tab w:val="left" w:pos="720"/>
          <w:tab w:val="left" w:pos="7560"/>
          <w:tab w:val="left" w:pos="7920"/>
          <w:tab w:val="left" w:pos="8100"/>
        </w:tabs>
        <w:adjustRightInd w:val="0"/>
        <w:snapToGrid w:val="0"/>
        <w:spacing w:line="400" w:lineRule="exact"/>
        <w:ind w:left="420" w:hanging="480" w:hangingChars="200"/>
        <w:rPr>
          <w:rFonts w:ascii="宋体" w:hAnsi="宋体"/>
          <w:szCs w:val="21"/>
        </w:rPr>
      </w:pPr>
      <w:r>
        <w:rPr>
          <w:rFonts w:hint="eastAsia" w:ascii="宋体" w:hAnsi="宋体"/>
          <w:szCs w:val="21"/>
        </w:rPr>
        <w:t>13.8本合同一式肆份，双方各执贰份，均具有同等法律效力。</w:t>
      </w:r>
    </w:p>
    <w:p w14:paraId="6BF7DF65">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r>
        <w:rPr>
          <w:rFonts w:hint="eastAsia" w:ascii="宋体" w:hAnsi="宋体"/>
          <w:b/>
          <w:bCs/>
          <w:szCs w:val="21"/>
        </w:rPr>
        <w:t>（以下无正文）</w:t>
      </w:r>
    </w:p>
    <w:p w14:paraId="0C4FEEF1">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p>
    <w:p w14:paraId="5B395770">
      <w:pPr>
        <w:adjustRightInd w:val="0"/>
        <w:snapToGrid w:val="0"/>
        <w:spacing w:line="400" w:lineRule="exact"/>
        <w:ind w:left="478" w:leftChars="-1" w:hanging="480" w:hangingChars="200"/>
        <w:jc w:val="left"/>
        <w:rPr>
          <w:rFonts w:ascii="宋体" w:hAnsi="宋体"/>
          <w:szCs w:val="21"/>
        </w:rPr>
      </w:pPr>
    </w:p>
    <w:p w14:paraId="3111154C">
      <w:pPr>
        <w:tabs>
          <w:tab w:val="left" w:pos="720"/>
          <w:tab w:val="left" w:pos="7560"/>
          <w:tab w:val="left" w:pos="7920"/>
          <w:tab w:val="left" w:pos="8100"/>
        </w:tabs>
        <w:adjustRightInd w:val="0"/>
        <w:snapToGrid w:val="0"/>
        <w:spacing w:line="400" w:lineRule="exact"/>
        <w:ind w:left="422" w:hanging="482" w:hangingChars="200"/>
        <w:rPr>
          <w:rFonts w:ascii="宋体" w:hAnsi="宋体"/>
          <w:b/>
          <w:bCs/>
          <w:szCs w:val="21"/>
        </w:rPr>
      </w:pPr>
    </w:p>
    <w:p w14:paraId="0F7F29C3">
      <w:pPr>
        <w:spacing w:line="400" w:lineRule="exact"/>
        <w:rPr>
          <w:rFonts w:ascii="宋体" w:hAnsi="宋体"/>
          <w:b/>
          <w:szCs w:val="21"/>
        </w:rPr>
      </w:pPr>
      <w:r>
        <w:rPr>
          <w:rFonts w:hint="eastAsia" w:ascii="宋体" w:hAnsi="宋体"/>
          <w:b/>
          <w:szCs w:val="21"/>
        </w:rPr>
        <w:t>甲方：</w:t>
      </w:r>
      <w:bookmarkStart w:id="22" w:name="firstParty2"/>
      <w:bookmarkEnd w:id="22"/>
      <w:r>
        <w:rPr>
          <w:rFonts w:hint="eastAsia" w:ascii="宋体" w:hAnsi="宋体"/>
          <w:b/>
          <w:szCs w:val="21"/>
        </w:rPr>
        <w:t xml:space="preserve">  </w:t>
      </w:r>
      <w:r>
        <w:rPr>
          <w:rFonts w:ascii="宋体" w:hAnsi="宋体"/>
        </w:rPr>
        <w:t xml:space="preserve"> </w:t>
      </w:r>
      <w:r>
        <w:rPr>
          <w:rFonts w:hint="eastAsia" w:ascii="宋体" w:hAnsi="宋体"/>
          <w:b/>
          <w:szCs w:val="21"/>
        </w:rPr>
        <w:t>（盖章）</w:t>
      </w:r>
    </w:p>
    <w:p w14:paraId="14534A18">
      <w:pPr>
        <w:spacing w:line="400" w:lineRule="exact"/>
        <w:rPr>
          <w:rFonts w:ascii="宋体" w:hAnsi="宋体"/>
        </w:rPr>
      </w:pPr>
    </w:p>
    <w:p w14:paraId="1F1A3645">
      <w:pPr>
        <w:spacing w:line="400" w:lineRule="exact"/>
        <w:ind w:firstLine="2640" w:firstLineChars="1100"/>
        <w:rPr>
          <w:rFonts w:ascii="宋体" w:hAnsi="宋体"/>
          <w:b/>
          <w:szCs w:val="21"/>
        </w:rPr>
      </w:pPr>
      <w:r>
        <w:rPr>
          <w:rFonts w:ascii="宋体" w:hAnsi="宋体"/>
        </w:rPr>
        <w:t xml:space="preserve"> </w:t>
      </w:r>
      <w:r>
        <w:rPr>
          <w:rFonts w:hint="eastAsia" w:ascii="宋体" w:hAnsi="宋体"/>
          <w:b/>
          <w:szCs w:val="21"/>
        </w:rPr>
        <w:t>年</w:t>
      </w:r>
      <w:r>
        <w:rPr>
          <w:rFonts w:hint="eastAsia" w:ascii="宋体" w:hAnsi="宋体"/>
        </w:rPr>
        <w:t xml:space="preserve"> </w:t>
      </w:r>
      <w:r>
        <w:rPr>
          <w:rFonts w:ascii="宋体" w:hAnsi="宋体"/>
        </w:rPr>
        <w:t xml:space="preserve">  </w:t>
      </w:r>
      <w:r>
        <w:rPr>
          <w:rFonts w:hint="eastAsia" w:ascii="宋体" w:hAnsi="宋体"/>
          <w:b/>
          <w:szCs w:val="21"/>
        </w:rPr>
        <w:t>月</w:t>
      </w:r>
      <w:r>
        <w:rPr>
          <w:rFonts w:hint="eastAsia" w:ascii="宋体" w:hAnsi="宋体"/>
        </w:rPr>
        <w:t xml:space="preserve"> </w:t>
      </w:r>
      <w:r>
        <w:rPr>
          <w:rFonts w:ascii="宋体" w:hAnsi="宋体"/>
        </w:rPr>
        <w:t xml:space="preserve">  </w:t>
      </w:r>
      <w:r>
        <w:rPr>
          <w:rFonts w:hint="eastAsia" w:ascii="宋体" w:hAnsi="宋体"/>
          <w:b/>
          <w:szCs w:val="21"/>
        </w:rPr>
        <w:t>日</w:t>
      </w:r>
    </w:p>
    <w:p w14:paraId="0E88CA14">
      <w:pPr>
        <w:spacing w:line="400" w:lineRule="exact"/>
        <w:rPr>
          <w:rFonts w:ascii="宋体" w:hAnsi="宋体"/>
          <w:b/>
          <w:szCs w:val="21"/>
        </w:rPr>
      </w:pPr>
      <w:r>
        <w:rPr>
          <w:rFonts w:hint="eastAsia" w:ascii="宋体" w:hAnsi="宋体"/>
          <w:b/>
          <w:szCs w:val="21"/>
        </w:rPr>
        <w:t xml:space="preserve">乙方: </w:t>
      </w:r>
      <w:bookmarkStart w:id="23" w:name="secondParty2"/>
      <w:bookmarkEnd w:id="23"/>
      <w:r>
        <w:rPr>
          <w:rFonts w:hint="eastAsia" w:ascii="宋体" w:hAnsi="宋体"/>
          <w:b/>
          <w:szCs w:val="21"/>
        </w:rPr>
        <w:t xml:space="preserve"> </w:t>
      </w:r>
      <w:r>
        <w:rPr>
          <w:rFonts w:ascii="宋体" w:hAnsi="宋体"/>
          <w:b/>
        </w:rPr>
        <w:t xml:space="preserve"> </w:t>
      </w:r>
      <w:r>
        <w:rPr>
          <w:rFonts w:hint="eastAsia" w:ascii="宋体" w:hAnsi="宋体"/>
          <w:b/>
          <w:szCs w:val="21"/>
        </w:rPr>
        <w:t>（盖章）</w:t>
      </w:r>
      <w:r>
        <w:rPr>
          <w:rFonts w:ascii="宋体" w:hAnsi="宋体"/>
          <w:b/>
          <w:szCs w:val="21"/>
        </w:rPr>
        <w:tab/>
      </w:r>
    </w:p>
    <w:p w14:paraId="58307F31">
      <w:pPr>
        <w:spacing w:line="400" w:lineRule="exact"/>
        <w:rPr>
          <w:rFonts w:ascii="宋体" w:hAnsi="宋体"/>
          <w:b/>
          <w:szCs w:val="21"/>
        </w:rPr>
      </w:pPr>
    </w:p>
    <w:p w14:paraId="2400D4F6">
      <w:pPr>
        <w:spacing w:line="400" w:lineRule="exact"/>
        <w:ind w:firstLine="2640" w:firstLineChars="1100"/>
        <w:rPr>
          <w:rFonts w:ascii="宋体" w:hAnsi="宋体"/>
          <w:b/>
          <w:szCs w:val="21"/>
        </w:rPr>
      </w:pPr>
      <w:r>
        <w:rPr>
          <w:rFonts w:ascii="宋体" w:hAnsi="宋体"/>
        </w:rPr>
        <w:t xml:space="preserve"> </w:t>
      </w:r>
      <w:r>
        <w:rPr>
          <w:rFonts w:hint="eastAsia" w:ascii="宋体" w:hAnsi="宋体"/>
          <w:b/>
          <w:szCs w:val="21"/>
        </w:rPr>
        <w:t>年</w:t>
      </w:r>
      <w:r>
        <w:rPr>
          <w:rFonts w:hint="eastAsia" w:ascii="宋体" w:hAnsi="宋体"/>
        </w:rPr>
        <w:t xml:space="preserve"> </w:t>
      </w:r>
      <w:r>
        <w:rPr>
          <w:rFonts w:ascii="宋体" w:hAnsi="宋体"/>
        </w:rPr>
        <w:t xml:space="preserve">  </w:t>
      </w:r>
      <w:r>
        <w:rPr>
          <w:rFonts w:hint="eastAsia" w:ascii="宋体" w:hAnsi="宋体"/>
          <w:b/>
          <w:szCs w:val="21"/>
        </w:rPr>
        <w:t>月</w:t>
      </w:r>
      <w:r>
        <w:rPr>
          <w:rFonts w:hint="eastAsia" w:ascii="宋体" w:hAnsi="宋体"/>
        </w:rPr>
        <w:t xml:space="preserve"> </w:t>
      </w:r>
      <w:r>
        <w:rPr>
          <w:rFonts w:ascii="宋体" w:hAnsi="宋体"/>
        </w:rPr>
        <w:t xml:space="preserve">  </w:t>
      </w:r>
      <w:r>
        <w:rPr>
          <w:rFonts w:hint="eastAsia" w:ascii="宋体" w:hAnsi="宋体"/>
          <w:b/>
          <w:szCs w:val="21"/>
        </w:rPr>
        <w:t>日</w:t>
      </w:r>
    </w:p>
    <w:p w14:paraId="62A3A6EB">
      <w:pPr>
        <w:spacing w:line="400" w:lineRule="exact"/>
        <w:ind w:firstLine="2650" w:firstLineChars="1100"/>
        <w:rPr>
          <w:rFonts w:ascii="宋体" w:hAnsi="宋体"/>
          <w:b/>
          <w:szCs w:val="21"/>
        </w:rPr>
      </w:pPr>
    </w:p>
    <w:p w14:paraId="449C50D7">
      <w:pPr>
        <w:spacing w:line="400" w:lineRule="exact"/>
        <w:ind w:firstLine="2650" w:firstLineChars="1100"/>
        <w:rPr>
          <w:rFonts w:ascii="宋体" w:hAnsi="宋体"/>
          <w:b/>
          <w:szCs w:val="21"/>
        </w:rPr>
      </w:pPr>
    </w:p>
    <w:p w14:paraId="44644A83">
      <w:pPr>
        <w:spacing w:line="400" w:lineRule="exact"/>
        <w:ind w:firstLine="2650" w:firstLineChars="1100"/>
        <w:rPr>
          <w:rFonts w:ascii="宋体" w:hAnsi="宋体"/>
          <w:b/>
          <w:szCs w:val="21"/>
        </w:rPr>
      </w:pPr>
    </w:p>
    <w:p w14:paraId="56D94161">
      <w:pPr>
        <w:spacing w:line="400" w:lineRule="exact"/>
        <w:ind w:firstLine="2650" w:firstLineChars="1100"/>
        <w:rPr>
          <w:rFonts w:ascii="宋体" w:hAnsi="宋体"/>
          <w:b/>
          <w:szCs w:val="21"/>
        </w:rPr>
      </w:pPr>
    </w:p>
    <w:p w14:paraId="54FD9A48">
      <w:pPr>
        <w:spacing w:line="400" w:lineRule="exact"/>
        <w:ind w:firstLine="2650" w:firstLineChars="1100"/>
        <w:rPr>
          <w:rFonts w:ascii="宋体" w:hAnsi="宋体"/>
          <w:b/>
          <w:szCs w:val="21"/>
        </w:rPr>
      </w:pPr>
    </w:p>
    <w:p w14:paraId="3EF5674C">
      <w:pPr>
        <w:spacing w:line="400" w:lineRule="exact"/>
        <w:ind w:firstLine="2650" w:firstLineChars="1100"/>
        <w:rPr>
          <w:rFonts w:ascii="宋体" w:hAnsi="宋体"/>
          <w:b/>
          <w:szCs w:val="21"/>
        </w:rPr>
      </w:pPr>
    </w:p>
    <w:p w14:paraId="5096F9C7">
      <w:pPr>
        <w:spacing w:line="400" w:lineRule="exact"/>
        <w:ind w:firstLine="2650" w:firstLineChars="1100"/>
        <w:rPr>
          <w:rFonts w:ascii="宋体" w:hAnsi="宋体"/>
          <w:b/>
          <w:szCs w:val="21"/>
        </w:rPr>
      </w:pPr>
    </w:p>
    <w:p w14:paraId="0045D5C9">
      <w:pPr>
        <w:spacing w:line="400" w:lineRule="exact"/>
        <w:rPr>
          <w:rFonts w:ascii="宋体" w:hAnsi="宋体"/>
          <w:b/>
          <w:szCs w:val="21"/>
        </w:rPr>
      </w:pPr>
    </w:p>
    <w:p w14:paraId="55088E64">
      <w:pPr>
        <w:snapToGrid w:val="0"/>
        <w:spacing w:line="360" w:lineRule="auto"/>
        <w:jc w:val="left"/>
        <w:rPr>
          <w:rFonts w:ascii="宋体" w:hAnsi="宋体"/>
          <w:b/>
          <w:sz w:val="22"/>
        </w:rPr>
      </w:pPr>
      <w:r>
        <w:rPr>
          <w:rFonts w:ascii="宋体" w:hAnsi="宋体"/>
          <w:b/>
          <w:sz w:val="22"/>
        </w:rPr>
        <w:br w:type="column"/>
      </w:r>
      <w:r>
        <w:rPr>
          <w:rFonts w:hint="eastAsia" w:ascii="宋体" w:hAnsi="宋体" w:cs="Arial"/>
          <w:b/>
          <w:bCs/>
          <w:szCs w:val="21"/>
        </w:rPr>
        <w:t xml:space="preserve">合同附件1  </w:t>
      </w:r>
    </w:p>
    <w:p w14:paraId="1AE8F63D">
      <w:pPr>
        <w:spacing w:line="360" w:lineRule="auto"/>
        <w:jc w:val="center"/>
        <w:rPr>
          <w:rFonts w:ascii="宋体" w:hAnsi="宋体" w:cs="宋体"/>
          <w:b/>
          <w:sz w:val="28"/>
          <w:szCs w:val="28"/>
        </w:rPr>
      </w:pPr>
      <w:r>
        <w:rPr>
          <w:rFonts w:hint="eastAsia" w:ascii="宋体" w:hAnsi="宋体" w:cs="宋体"/>
          <w:b/>
          <w:sz w:val="28"/>
          <w:szCs w:val="28"/>
        </w:rPr>
        <w:t>廉洁合规承诺书</w:t>
      </w:r>
    </w:p>
    <w:p w14:paraId="71781D2B">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不向华润员工及其亲属和其他特定关系人赠送礼品、 礼金、消费卡（券）、有价证券、股权、其他金融产品等财物。 </w:t>
      </w:r>
    </w:p>
    <w:p w14:paraId="27FBA9CA">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不向华润员工及其亲属和其他特定关系人出借钱款、 住房、车辆等财物。 </w:t>
      </w:r>
    </w:p>
    <w:p w14:paraId="06CC3253">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不向华润员工及其亲属和其他特定关系人提供可能 影响公正履职的宴请或者旅游、健身、娱乐等活动安排。 </w:t>
      </w:r>
    </w:p>
    <w:p w14:paraId="22CF3709">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不替华润员工及其亲属和其他特定关系人支付或报 销任何费用。 </w:t>
      </w:r>
    </w:p>
    <w:p w14:paraId="722230C8">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不替华润员工及其亲属和其他特定关系人代持股份。 </w:t>
      </w:r>
    </w:p>
    <w:p w14:paraId="0177AFAB">
      <w:pPr>
        <w:numPr>
          <w:ilvl w:val="0"/>
          <w:numId w:val="15"/>
        </w:numPr>
        <w:spacing w:line="360" w:lineRule="auto"/>
        <w:ind w:left="420" w:hanging="480" w:hangingChars="200"/>
        <w:rPr>
          <w:rFonts w:ascii="宋体" w:hAnsi="宋体" w:cs="宋体"/>
          <w:szCs w:val="21"/>
        </w:rPr>
      </w:pPr>
      <w:r>
        <w:rPr>
          <w:rFonts w:hint="eastAsia" w:ascii="宋体" w:hAnsi="宋体" w:cs="宋体"/>
          <w:szCs w:val="21"/>
        </w:rPr>
        <w:t>不与华润员工或者其他单位和个人串通投标或者串 通报价，不采取恶性竞争等不正当手段竞争业务。</w:t>
      </w:r>
    </w:p>
    <w:p w14:paraId="6656B4D3">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不与华润员工就标底、其他供应商的响应文件等商 业秘密及合同中的条款进行私下商谈或者达成默契。 </w:t>
      </w:r>
    </w:p>
    <w:p w14:paraId="7478C549">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不违法转包、分包项目。 </w:t>
      </w:r>
    </w:p>
    <w:p w14:paraId="24E7C56C">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严格执行合同约定，不弄虚作假。 </w:t>
      </w:r>
    </w:p>
    <w:p w14:paraId="623ACDD4">
      <w:pPr>
        <w:numPr>
          <w:ilvl w:val="0"/>
          <w:numId w:val="15"/>
        </w:numPr>
        <w:spacing w:line="360" w:lineRule="auto"/>
        <w:ind w:left="420" w:hanging="480" w:hangingChars="200"/>
        <w:rPr>
          <w:rFonts w:ascii="宋体" w:hAnsi="宋体" w:cs="宋体"/>
          <w:szCs w:val="21"/>
        </w:rPr>
      </w:pPr>
      <w:r>
        <w:rPr>
          <w:rFonts w:hint="eastAsia" w:ascii="宋体" w:hAnsi="宋体" w:cs="宋体"/>
          <w:szCs w:val="21"/>
        </w:rPr>
        <w:t xml:space="preserve">如实向华润方通报本单位股东和员工与华润方存在亲属或者其他特定关系的情况。 </w:t>
      </w:r>
    </w:p>
    <w:p w14:paraId="1023CB4C">
      <w:pPr>
        <w:spacing w:line="360" w:lineRule="auto"/>
        <w:ind w:firstLine="480" w:firstLineChars="200"/>
        <w:rPr>
          <w:rFonts w:ascii="宋体" w:hAnsi="宋体" w:cs="宋体"/>
          <w:szCs w:val="21"/>
        </w:rPr>
      </w:pPr>
      <w:r>
        <w:rPr>
          <w:rFonts w:hint="eastAsia" w:ascii="宋体" w:hAnsi="宋体" w:cs="宋体"/>
          <w:szCs w:val="21"/>
        </w:rPr>
        <w:t>发现本单位人员有违反上述行为的，及时制止、批评教育；发现华润员工有索贿、受贿行为的，坚决拒绝，并向华 润相关领导或纪检监察部门举报。</w:t>
      </w:r>
    </w:p>
    <w:p w14:paraId="390F7A2F">
      <w:pPr>
        <w:spacing w:line="360" w:lineRule="auto"/>
        <w:ind w:firstLine="480" w:firstLineChars="200"/>
        <w:rPr>
          <w:rFonts w:ascii="宋体" w:hAnsi="宋体" w:cs="宋体"/>
          <w:szCs w:val="21"/>
        </w:rPr>
      </w:pPr>
      <w:r>
        <w:rPr>
          <w:rFonts w:hint="eastAsia" w:ascii="宋体" w:hAnsi="宋体" w:cs="宋体"/>
          <w:szCs w:val="21"/>
        </w:rPr>
        <w:t>（一）华润雪花采购管理中心受理采购投诉及举报途径：</w:t>
      </w:r>
    </w:p>
    <w:p w14:paraId="23E2705A">
      <w:pPr>
        <w:spacing w:line="360" w:lineRule="auto"/>
        <w:ind w:firstLine="480" w:firstLineChars="200"/>
        <w:rPr>
          <w:rFonts w:ascii="宋体" w:hAnsi="宋体" w:cs="宋体"/>
          <w:szCs w:val="21"/>
        </w:rPr>
      </w:pPr>
      <w:r>
        <w:rPr>
          <w:rFonts w:hint="eastAsia" w:ascii="宋体" w:hAnsi="宋体" w:cs="宋体"/>
          <w:szCs w:val="21"/>
        </w:rPr>
        <w:t>举报邮箱：CRB_PMC_GW@crb.cn</w:t>
      </w:r>
    </w:p>
    <w:p w14:paraId="49185070">
      <w:pPr>
        <w:spacing w:line="360" w:lineRule="auto"/>
        <w:ind w:firstLine="480" w:firstLineChars="200"/>
        <w:rPr>
          <w:rFonts w:ascii="宋体" w:hAnsi="宋体" w:cs="宋体"/>
          <w:szCs w:val="21"/>
        </w:rPr>
      </w:pPr>
      <w:r>
        <w:rPr>
          <w:rFonts w:hint="eastAsia" w:ascii="宋体" w:hAnsi="宋体" w:cs="宋体"/>
          <w:szCs w:val="21"/>
        </w:rPr>
        <w:t>（二）华润啤酒纪委办公室受理廉洁投诉及举报途径：</w:t>
      </w:r>
    </w:p>
    <w:p w14:paraId="11EBA737">
      <w:pPr>
        <w:spacing w:line="360" w:lineRule="auto"/>
        <w:ind w:firstLine="480" w:firstLineChars="200"/>
        <w:rPr>
          <w:rFonts w:ascii="宋体" w:hAnsi="宋体" w:cs="宋体"/>
          <w:szCs w:val="21"/>
        </w:rPr>
      </w:pPr>
      <w:r>
        <w:rPr>
          <w:rFonts w:hint="eastAsia" w:ascii="宋体" w:hAnsi="宋体" w:cs="宋体"/>
          <w:szCs w:val="21"/>
        </w:rPr>
        <w:t>举报邮箱：</w:t>
      </w:r>
      <w:r>
        <w:fldChar w:fldCharType="begin"/>
      </w:r>
      <w:r>
        <w:instrText xml:space="preserve"> HYPERLINK "mailto:lianjie@crb.cn" </w:instrText>
      </w:r>
      <w:r>
        <w:fldChar w:fldCharType="separate"/>
      </w:r>
      <w:r>
        <w:rPr>
          <w:rFonts w:hint="eastAsia" w:ascii="宋体" w:hAnsi="宋体" w:cs="宋体"/>
          <w:szCs w:val="21"/>
          <w:u w:val="single"/>
        </w:rPr>
        <w:t>lianjie@crb.cn</w:t>
      </w:r>
      <w:r>
        <w:rPr>
          <w:rFonts w:hint="eastAsia" w:ascii="宋体" w:hAnsi="宋体" w:cs="宋体"/>
          <w:szCs w:val="21"/>
          <w:u w:val="single"/>
        </w:rPr>
        <w:fldChar w:fldCharType="end"/>
      </w:r>
    </w:p>
    <w:p w14:paraId="27EF8EA0">
      <w:pPr>
        <w:snapToGrid w:val="0"/>
        <w:spacing w:line="360" w:lineRule="exact"/>
        <w:jc w:val="left"/>
        <w:rPr>
          <w:rFonts w:ascii="宋体" w:hAnsi="宋体" w:cs="Arial"/>
          <w:bCs/>
          <w:szCs w:val="21"/>
        </w:rPr>
      </w:pPr>
    </w:p>
    <w:p w14:paraId="263A6DC2">
      <w:pPr>
        <w:snapToGrid w:val="0"/>
        <w:spacing w:line="360" w:lineRule="exact"/>
        <w:ind w:right="50" w:rightChars="21"/>
        <w:jc w:val="left"/>
        <w:rPr>
          <w:rFonts w:ascii="宋体" w:hAnsi="宋体" w:cs="Arial"/>
          <w:bCs/>
          <w:szCs w:val="21"/>
        </w:rPr>
      </w:pPr>
    </w:p>
    <w:p w14:paraId="651D2CC3">
      <w:pPr>
        <w:spacing w:line="276" w:lineRule="auto"/>
        <w:ind w:left="422" w:hanging="482" w:hangingChars="200"/>
        <w:jc w:val="left"/>
        <w:rPr>
          <w:rFonts w:ascii="宋体" w:hAnsi="宋体"/>
          <w:b/>
          <w:color w:val="000000"/>
          <w:szCs w:val="21"/>
        </w:rPr>
      </w:pPr>
      <w:r>
        <w:rPr>
          <w:rFonts w:hint="eastAsia" w:ascii="宋体" w:hAnsi="宋体"/>
          <w:b/>
          <w:color w:val="000000"/>
          <w:szCs w:val="21"/>
        </w:rPr>
        <w:t>乙方（ 盖章）：</w:t>
      </w:r>
      <w:r>
        <w:rPr>
          <w:rFonts w:ascii="宋体" w:hAnsi="宋体"/>
          <w:b/>
          <w:color w:val="000000"/>
          <w:szCs w:val="21"/>
        </w:rPr>
        <w:t xml:space="preserve"> </w:t>
      </w:r>
    </w:p>
    <w:p w14:paraId="0973EBE7">
      <w:pPr>
        <w:spacing w:line="276" w:lineRule="auto"/>
        <w:ind w:left="422" w:hanging="482" w:hangingChars="200"/>
        <w:jc w:val="left"/>
        <w:rPr>
          <w:rFonts w:ascii="宋体" w:hAnsi="宋体"/>
          <w:b/>
          <w:color w:val="000000"/>
          <w:szCs w:val="21"/>
        </w:rPr>
      </w:pPr>
      <w:r>
        <w:rPr>
          <w:rFonts w:hint="eastAsia" w:ascii="宋体" w:hAnsi="宋体"/>
          <w:b/>
          <w:color w:val="000000"/>
          <w:szCs w:val="21"/>
        </w:rPr>
        <w:t>日期：</w:t>
      </w:r>
    </w:p>
    <w:p w14:paraId="37B50B92">
      <w:pPr>
        <w:snapToGrid w:val="0"/>
        <w:spacing w:line="360" w:lineRule="exact"/>
        <w:jc w:val="left"/>
        <w:rPr>
          <w:rFonts w:ascii="宋体" w:hAnsi="宋体" w:cs="Arial"/>
          <w:bCs/>
          <w:szCs w:val="21"/>
        </w:rPr>
      </w:pPr>
    </w:p>
    <w:p w14:paraId="4A2B63CF">
      <w:pPr>
        <w:snapToGrid w:val="0"/>
        <w:spacing w:line="360" w:lineRule="exact"/>
        <w:jc w:val="left"/>
        <w:rPr>
          <w:rFonts w:ascii="宋体" w:hAnsi="宋体" w:cs="Arial"/>
          <w:b/>
          <w:szCs w:val="21"/>
        </w:rPr>
      </w:pPr>
      <w:r>
        <w:rPr>
          <w:rFonts w:ascii="宋体" w:hAnsi="宋体" w:cs="Arial"/>
          <w:b/>
          <w:szCs w:val="21"/>
        </w:rPr>
        <w:br w:type="column"/>
      </w:r>
      <w:r>
        <w:rPr>
          <w:rFonts w:hint="eastAsia" w:ascii="宋体" w:hAnsi="宋体" w:cs="Arial"/>
          <w:b/>
          <w:szCs w:val="21"/>
        </w:rPr>
        <w:t>合同附件2</w:t>
      </w:r>
    </w:p>
    <w:p w14:paraId="0DB1A94E">
      <w:pPr>
        <w:spacing w:before="156" w:beforeLines="50" w:after="156" w:afterLines="50" w:line="360" w:lineRule="auto"/>
        <w:jc w:val="center"/>
        <w:rPr>
          <w:b/>
          <w:sz w:val="24"/>
        </w:rPr>
      </w:pPr>
      <w:r>
        <w:rPr>
          <w:rFonts w:hint="eastAsia"/>
          <w:b/>
          <w:sz w:val="24"/>
        </w:rPr>
        <w:t>服务要求</w:t>
      </w:r>
    </w:p>
    <w:p w14:paraId="40929260">
      <w:pPr>
        <w:spacing w:before="156" w:beforeLines="50" w:after="156" w:afterLines="50" w:line="360" w:lineRule="auto"/>
        <w:rPr>
          <w:b/>
          <w:sz w:val="24"/>
        </w:rPr>
      </w:pPr>
    </w:p>
    <w:p w14:paraId="68C93999">
      <w:pPr>
        <w:rPr>
          <w:szCs w:val="21"/>
        </w:rPr>
      </w:pPr>
    </w:p>
    <w:p w14:paraId="09AD1CC4">
      <w:pPr>
        <w:rPr>
          <w:szCs w:val="21"/>
        </w:rPr>
      </w:pPr>
    </w:p>
    <w:p w14:paraId="6E91C8D1">
      <w:pPr>
        <w:rPr>
          <w:szCs w:val="21"/>
        </w:rPr>
      </w:pPr>
    </w:p>
    <w:p w14:paraId="00D8B539">
      <w:pPr>
        <w:rPr>
          <w:szCs w:val="21"/>
        </w:rPr>
      </w:pPr>
    </w:p>
    <w:p w14:paraId="0508BDF3">
      <w:pPr>
        <w:rPr>
          <w:szCs w:val="21"/>
        </w:rPr>
      </w:pPr>
    </w:p>
    <w:p w14:paraId="3EBFA149">
      <w:pPr>
        <w:rPr>
          <w:szCs w:val="21"/>
        </w:rPr>
      </w:pPr>
    </w:p>
    <w:p w14:paraId="2C842B2E">
      <w:pPr>
        <w:rPr>
          <w:szCs w:val="21"/>
        </w:rPr>
      </w:pPr>
    </w:p>
    <w:p w14:paraId="183F1B96">
      <w:pPr>
        <w:rPr>
          <w:szCs w:val="21"/>
        </w:rPr>
      </w:pPr>
    </w:p>
    <w:p w14:paraId="5DB07ED0">
      <w:pPr>
        <w:rPr>
          <w:szCs w:val="21"/>
        </w:rPr>
      </w:pPr>
    </w:p>
    <w:p w14:paraId="0BCE81F0">
      <w:pPr>
        <w:rPr>
          <w:szCs w:val="21"/>
        </w:rPr>
      </w:pPr>
    </w:p>
    <w:p w14:paraId="394D37D5">
      <w:pPr>
        <w:rPr>
          <w:szCs w:val="21"/>
        </w:rPr>
      </w:pPr>
    </w:p>
    <w:p w14:paraId="5DA3393A">
      <w:pPr>
        <w:rPr>
          <w:szCs w:val="21"/>
        </w:rPr>
      </w:pPr>
    </w:p>
    <w:p w14:paraId="1EC51BC6">
      <w:pPr>
        <w:rPr>
          <w:szCs w:val="21"/>
        </w:rPr>
      </w:pPr>
    </w:p>
    <w:p w14:paraId="58A3470A">
      <w:pPr>
        <w:rPr>
          <w:szCs w:val="21"/>
        </w:rPr>
      </w:pPr>
    </w:p>
    <w:p w14:paraId="5F53AD6F">
      <w:pPr>
        <w:rPr>
          <w:szCs w:val="21"/>
        </w:rPr>
      </w:pPr>
    </w:p>
    <w:p w14:paraId="298185D7">
      <w:pPr>
        <w:rPr>
          <w:szCs w:val="21"/>
        </w:rPr>
      </w:pPr>
    </w:p>
    <w:p w14:paraId="611CF0F6">
      <w:pPr>
        <w:rPr>
          <w:szCs w:val="21"/>
        </w:rPr>
      </w:pPr>
    </w:p>
    <w:p w14:paraId="55BA4A52">
      <w:pPr>
        <w:spacing w:line="360" w:lineRule="auto"/>
        <w:jc w:val="left"/>
        <w:rPr>
          <w:b/>
          <w:szCs w:val="21"/>
        </w:rPr>
      </w:pPr>
      <w:r>
        <w:rPr>
          <w:rFonts w:hint="eastAsia" w:hAnsiTheme="minorEastAsia"/>
          <w:b/>
          <w:szCs w:val="21"/>
        </w:rPr>
        <w:t>甲方：    （盖章）</w:t>
      </w:r>
    </w:p>
    <w:p w14:paraId="04F30A01">
      <w:pPr>
        <w:spacing w:line="360" w:lineRule="auto"/>
        <w:ind w:firstLine="2168" w:firstLineChars="900"/>
        <w:jc w:val="left"/>
        <w:rPr>
          <w:b/>
          <w:szCs w:val="21"/>
        </w:rPr>
      </w:pPr>
      <w:r>
        <w:rPr>
          <w:rFonts w:hint="eastAsia" w:hAnsiTheme="minorEastAsia"/>
          <w:b/>
          <w:szCs w:val="21"/>
        </w:rPr>
        <w:t>年   月   日</w:t>
      </w:r>
    </w:p>
    <w:p w14:paraId="1146DA0C">
      <w:pPr>
        <w:spacing w:line="360" w:lineRule="auto"/>
        <w:jc w:val="left"/>
        <w:rPr>
          <w:b/>
          <w:szCs w:val="21"/>
        </w:rPr>
      </w:pPr>
      <w:r>
        <w:rPr>
          <w:rFonts w:hint="eastAsia" w:hAnsiTheme="minorEastAsia"/>
          <w:b/>
          <w:szCs w:val="21"/>
        </w:rPr>
        <w:t>乙方</w:t>
      </w:r>
      <w:r>
        <w:rPr>
          <w:b/>
          <w:szCs w:val="21"/>
        </w:rPr>
        <w:t xml:space="preserve">: </w:t>
      </w:r>
      <w:r>
        <w:rPr>
          <w:rFonts w:hint="eastAsia"/>
          <w:b/>
          <w:szCs w:val="21"/>
        </w:rPr>
        <w:t xml:space="preserve">    </w:t>
      </w:r>
      <w:r>
        <w:rPr>
          <w:rFonts w:hint="eastAsia" w:hAnsiTheme="minorEastAsia"/>
          <w:b/>
          <w:szCs w:val="21"/>
        </w:rPr>
        <w:t>（盖章）</w:t>
      </w:r>
    </w:p>
    <w:p w14:paraId="494B95F7">
      <w:pPr>
        <w:ind w:firstLine="2120" w:firstLineChars="880"/>
        <w:rPr>
          <w:b/>
          <w:bCs/>
          <w:szCs w:val="21"/>
        </w:rPr>
      </w:pPr>
      <w:r>
        <w:rPr>
          <w:rFonts w:hint="eastAsia" w:hAnsiTheme="minorEastAsia"/>
          <w:b/>
          <w:szCs w:val="21"/>
        </w:rPr>
        <w:t>年   月   日</w:t>
      </w:r>
    </w:p>
    <w:p w14:paraId="33A994CD">
      <w:pPr>
        <w:tabs>
          <w:tab w:val="left" w:pos="3075"/>
        </w:tabs>
        <w:spacing w:after="156" w:afterLines="50" w:line="276" w:lineRule="auto"/>
        <w:rPr>
          <w:b/>
          <w:bCs/>
          <w:szCs w:val="21"/>
        </w:rPr>
      </w:pPr>
    </w:p>
    <w:p w14:paraId="6501CFB2">
      <w:pPr>
        <w:tabs>
          <w:tab w:val="left" w:pos="3075"/>
        </w:tabs>
        <w:spacing w:after="156" w:afterLines="50" w:line="276" w:lineRule="auto"/>
        <w:rPr>
          <w:b/>
          <w:bCs/>
          <w:szCs w:val="21"/>
        </w:rPr>
      </w:pPr>
    </w:p>
    <w:p w14:paraId="500F386C">
      <w:pPr>
        <w:tabs>
          <w:tab w:val="left" w:pos="3075"/>
        </w:tabs>
        <w:spacing w:after="156" w:afterLines="50" w:line="276" w:lineRule="auto"/>
        <w:rPr>
          <w:b/>
          <w:bCs/>
          <w:szCs w:val="21"/>
        </w:rPr>
      </w:pPr>
    </w:p>
    <w:p w14:paraId="56402A66">
      <w:pPr>
        <w:tabs>
          <w:tab w:val="left" w:pos="3075"/>
        </w:tabs>
        <w:spacing w:after="156" w:afterLines="50" w:line="276" w:lineRule="auto"/>
        <w:rPr>
          <w:b/>
          <w:bCs/>
          <w:szCs w:val="21"/>
        </w:rPr>
      </w:pPr>
    </w:p>
    <w:p w14:paraId="2EABB722">
      <w:pPr>
        <w:tabs>
          <w:tab w:val="left" w:pos="3075"/>
        </w:tabs>
        <w:spacing w:after="156" w:afterLines="50" w:line="276" w:lineRule="auto"/>
        <w:rPr>
          <w:b/>
          <w:bCs/>
          <w:szCs w:val="21"/>
        </w:rPr>
      </w:pPr>
    </w:p>
    <w:p w14:paraId="21C13A06">
      <w:pPr>
        <w:tabs>
          <w:tab w:val="left" w:pos="3075"/>
        </w:tabs>
        <w:spacing w:after="156" w:afterLines="50" w:line="276" w:lineRule="auto"/>
        <w:rPr>
          <w:b/>
          <w:bCs/>
          <w:szCs w:val="21"/>
        </w:rPr>
      </w:pPr>
    </w:p>
    <w:p w14:paraId="5FE18EBE">
      <w:pPr>
        <w:tabs>
          <w:tab w:val="left" w:pos="3075"/>
        </w:tabs>
        <w:spacing w:after="156" w:afterLines="50" w:line="276" w:lineRule="auto"/>
        <w:rPr>
          <w:b/>
          <w:bCs/>
          <w:szCs w:val="21"/>
        </w:rPr>
      </w:pPr>
    </w:p>
    <w:p w14:paraId="228B7EA1">
      <w:pPr>
        <w:tabs>
          <w:tab w:val="left" w:pos="3075"/>
        </w:tabs>
        <w:spacing w:after="156" w:afterLines="50" w:line="276" w:lineRule="auto"/>
        <w:rPr>
          <w:b/>
          <w:bCs/>
          <w:szCs w:val="21"/>
        </w:rPr>
      </w:pPr>
    </w:p>
    <w:p w14:paraId="217E5F02">
      <w:pPr>
        <w:tabs>
          <w:tab w:val="left" w:pos="3075"/>
        </w:tabs>
        <w:spacing w:after="156" w:afterLines="50" w:line="276" w:lineRule="auto"/>
        <w:rPr>
          <w:b/>
          <w:bCs/>
          <w:szCs w:val="21"/>
        </w:rPr>
      </w:pPr>
    </w:p>
    <w:p w14:paraId="4736FD68">
      <w:pPr>
        <w:tabs>
          <w:tab w:val="left" w:pos="3075"/>
        </w:tabs>
        <w:spacing w:after="156" w:afterLines="50" w:line="276" w:lineRule="auto"/>
        <w:rPr>
          <w:b/>
          <w:bCs/>
          <w:szCs w:val="21"/>
        </w:rPr>
      </w:pPr>
    </w:p>
    <w:p w14:paraId="470A0926">
      <w:pPr>
        <w:tabs>
          <w:tab w:val="left" w:pos="3075"/>
        </w:tabs>
        <w:spacing w:after="156" w:afterLines="50" w:line="276" w:lineRule="auto"/>
        <w:rPr>
          <w:b/>
          <w:bCs/>
          <w:szCs w:val="21"/>
        </w:rPr>
      </w:pPr>
    </w:p>
    <w:p w14:paraId="73B2178C">
      <w:pPr>
        <w:tabs>
          <w:tab w:val="left" w:pos="3075"/>
        </w:tabs>
        <w:spacing w:after="156" w:afterLines="50" w:line="276" w:lineRule="auto"/>
        <w:rPr>
          <w:b/>
          <w:bCs/>
          <w:szCs w:val="21"/>
        </w:rPr>
      </w:pPr>
      <w:r>
        <w:rPr>
          <w:rFonts w:hint="eastAsia"/>
          <w:b/>
          <w:bCs/>
          <w:szCs w:val="21"/>
        </w:rPr>
        <w:t>合同附件3：服务考核/验收标准</w:t>
      </w:r>
    </w:p>
    <w:p w14:paraId="06BC2358">
      <w:pPr>
        <w:tabs>
          <w:tab w:val="left" w:pos="3075"/>
        </w:tabs>
        <w:spacing w:after="156" w:afterLines="50" w:line="276" w:lineRule="auto"/>
        <w:rPr>
          <w:b/>
          <w:bCs/>
          <w:szCs w:val="21"/>
        </w:rPr>
      </w:pPr>
    </w:p>
    <w:p w14:paraId="31110247">
      <w:pPr>
        <w:tabs>
          <w:tab w:val="left" w:pos="3075"/>
        </w:tabs>
        <w:spacing w:after="156" w:afterLines="50" w:line="276" w:lineRule="auto"/>
        <w:rPr>
          <w:b/>
          <w:bCs/>
          <w:szCs w:val="21"/>
        </w:rPr>
      </w:pPr>
    </w:p>
    <w:p w14:paraId="20D86F0F">
      <w:pPr>
        <w:tabs>
          <w:tab w:val="left" w:pos="3075"/>
        </w:tabs>
        <w:spacing w:after="156" w:afterLines="50" w:line="276" w:lineRule="auto"/>
        <w:rPr>
          <w:b/>
          <w:bCs/>
          <w:szCs w:val="21"/>
        </w:rPr>
      </w:pPr>
    </w:p>
    <w:p w14:paraId="0337E8B6">
      <w:pPr>
        <w:tabs>
          <w:tab w:val="left" w:pos="3075"/>
        </w:tabs>
        <w:spacing w:after="156" w:afterLines="50" w:line="276" w:lineRule="auto"/>
        <w:rPr>
          <w:b/>
          <w:bCs/>
          <w:szCs w:val="21"/>
        </w:rPr>
      </w:pPr>
    </w:p>
    <w:p w14:paraId="2938737D">
      <w:pPr>
        <w:tabs>
          <w:tab w:val="left" w:pos="3075"/>
        </w:tabs>
        <w:spacing w:after="156" w:afterLines="50" w:line="276" w:lineRule="auto"/>
        <w:rPr>
          <w:b/>
          <w:bCs/>
          <w:szCs w:val="21"/>
        </w:rPr>
      </w:pPr>
    </w:p>
    <w:p w14:paraId="4D76A385">
      <w:pPr>
        <w:tabs>
          <w:tab w:val="left" w:pos="3075"/>
        </w:tabs>
        <w:spacing w:after="156" w:afterLines="50" w:line="276" w:lineRule="auto"/>
        <w:rPr>
          <w:b/>
          <w:bCs/>
          <w:szCs w:val="21"/>
        </w:rPr>
      </w:pPr>
    </w:p>
    <w:p w14:paraId="38D94E9B">
      <w:pPr>
        <w:tabs>
          <w:tab w:val="left" w:pos="3075"/>
        </w:tabs>
        <w:spacing w:after="156" w:afterLines="50" w:line="276" w:lineRule="auto"/>
        <w:rPr>
          <w:b/>
          <w:bCs/>
          <w:szCs w:val="21"/>
        </w:rPr>
      </w:pPr>
    </w:p>
    <w:p w14:paraId="26D70A23">
      <w:pPr>
        <w:spacing w:line="360" w:lineRule="auto"/>
        <w:jc w:val="left"/>
        <w:rPr>
          <w:b/>
          <w:szCs w:val="21"/>
        </w:rPr>
      </w:pPr>
      <w:r>
        <w:rPr>
          <w:rFonts w:hint="eastAsia" w:hAnsiTheme="minorEastAsia"/>
          <w:b/>
          <w:szCs w:val="21"/>
        </w:rPr>
        <w:t>甲方：    （盖章）</w:t>
      </w:r>
    </w:p>
    <w:p w14:paraId="4D1DDD92">
      <w:pPr>
        <w:spacing w:line="360" w:lineRule="auto"/>
        <w:ind w:firstLine="2168" w:firstLineChars="900"/>
        <w:jc w:val="left"/>
        <w:rPr>
          <w:b/>
          <w:szCs w:val="21"/>
        </w:rPr>
      </w:pPr>
      <w:r>
        <w:rPr>
          <w:rFonts w:hint="eastAsia" w:hAnsiTheme="minorEastAsia"/>
          <w:b/>
          <w:szCs w:val="21"/>
        </w:rPr>
        <w:t>年   月   日</w:t>
      </w:r>
    </w:p>
    <w:p w14:paraId="2E0F4A4D">
      <w:pPr>
        <w:spacing w:line="360" w:lineRule="auto"/>
        <w:jc w:val="left"/>
        <w:rPr>
          <w:b/>
          <w:szCs w:val="21"/>
        </w:rPr>
      </w:pPr>
      <w:r>
        <w:rPr>
          <w:rFonts w:hint="eastAsia" w:hAnsiTheme="minorEastAsia"/>
          <w:b/>
          <w:szCs w:val="21"/>
        </w:rPr>
        <w:t>乙方</w:t>
      </w:r>
      <w:r>
        <w:rPr>
          <w:b/>
          <w:szCs w:val="21"/>
        </w:rPr>
        <w:t xml:space="preserve">: </w:t>
      </w:r>
      <w:r>
        <w:rPr>
          <w:rFonts w:hint="eastAsia"/>
          <w:b/>
          <w:szCs w:val="21"/>
        </w:rPr>
        <w:t xml:space="preserve">    </w:t>
      </w:r>
      <w:r>
        <w:rPr>
          <w:rFonts w:hint="eastAsia" w:hAnsiTheme="minorEastAsia"/>
          <w:b/>
          <w:szCs w:val="21"/>
        </w:rPr>
        <w:t>（盖章）</w:t>
      </w:r>
    </w:p>
    <w:p w14:paraId="7DECAF18">
      <w:pPr>
        <w:ind w:firstLine="2120" w:firstLineChars="880"/>
        <w:rPr>
          <w:b/>
          <w:bCs/>
          <w:szCs w:val="21"/>
        </w:rPr>
      </w:pPr>
      <w:r>
        <w:rPr>
          <w:rFonts w:hint="eastAsia" w:hAnsiTheme="minorEastAsia"/>
          <w:b/>
          <w:szCs w:val="21"/>
        </w:rPr>
        <w:t>年   月   日</w:t>
      </w:r>
    </w:p>
    <w:p w14:paraId="7A27FB38">
      <w:pPr>
        <w:tabs>
          <w:tab w:val="left" w:pos="3075"/>
        </w:tabs>
        <w:spacing w:after="156" w:afterLines="50" w:line="276" w:lineRule="auto"/>
        <w:rPr>
          <w:b/>
          <w:bCs/>
          <w:szCs w:val="21"/>
        </w:rPr>
      </w:pPr>
    </w:p>
    <w:p w14:paraId="075670BC">
      <w:pPr>
        <w:tabs>
          <w:tab w:val="left" w:pos="3075"/>
        </w:tabs>
        <w:spacing w:after="156" w:afterLines="50" w:line="276" w:lineRule="auto"/>
        <w:rPr>
          <w:b/>
          <w:bCs/>
          <w:szCs w:val="21"/>
        </w:rPr>
      </w:pPr>
    </w:p>
    <w:p w14:paraId="29F6E31F">
      <w:pPr>
        <w:tabs>
          <w:tab w:val="left" w:pos="3075"/>
        </w:tabs>
        <w:spacing w:after="156" w:afterLines="50" w:line="276" w:lineRule="auto"/>
        <w:rPr>
          <w:b/>
          <w:szCs w:val="21"/>
        </w:rPr>
      </w:pPr>
      <w:r>
        <w:rPr>
          <w:b/>
          <w:bCs/>
          <w:szCs w:val="21"/>
        </w:rPr>
        <w:br w:type="column"/>
      </w:r>
      <w:r>
        <w:rPr>
          <w:rFonts w:hint="eastAsia"/>
          <w:b/>
          <w:bCs/>
          <w:szCs w:val="21"/>
        </w:rPr>
        <w:t>合同</w:t>
      </w:r>
      <w:r>
        <w:rPr>
          <w:b/>
          <w:bCs/>
          <w:szCs w:val="21"/>
        </w:rPr>
        <w:t>附件</w:t>
      </w:r>
      <w:r>
        <w:rPr>
          <w:rFonts w:hint="eastAsia"/>
          <w:b/>
          <w:bCs/>
          <w:szCs w:val="21"/>
        </w:rPr>
        <w:t xml:space="preserve">4 </w:t>
      </w:r>
    </w:p>
    <w:p w14:paraId="33427BF3">
      <w:pPr>
        <w:adjustRightInd w:val="0"/>
        <w:snapToGrid w:val="0"/>
        <w:spacing w:line="420" w:lineRule="exact"/>
        <w:jc w:val="center"/>
        <w:rPr>
          <w:rFonts w:ascii="黑体" w:hAnsi="黑体" w:eastAsia="黑体"/>
          <w:b/>
          <w:bCs/>
          <w:sz w:val="30"/>
          <w:szCs w:val="30"/>
          <w:u w:val="single"/>
        </w:rPr>
      </w:pPr>
      <w:r>
        <w:rPr>
          <w:rFonts w:hint="eastAsia" w:ascii="黑体" w:hAnsi="黑体" w:eastAsia="黑体"/>
          <w:b/>
          <w:bCs/>
          <w:sz w:val="30"/>
          <w:szCs w:val="30"/>
          <w:u w:val="single"/>
        </w:rPr>
        <w:t>承包商安全协议</w:t>
      </w:r>
    </w:p>
    <w:p w14:paraId="18F8200F">
      <w:pPr>
        <w:jc w:val="left"/>
        <w:rPr>
          <w:rFonts w:ascii="黑体" w:hAnsi="黑体" w:eastAsia="黑体"/>
          <w:b/>
          <w:bCs/>
          <w:szCs w:val="30"/>
          <w:u w:val="single"/>
        </w:rPr>
      </w:pPr>
    </w:p>
    <w:p w14:paraId="72B5753C">
      <w:pPr>
        <w:jc w:val="left"/>
        <w:rPr>
          <w:rFonts w:ascii="黑体" w:hAnsi="黑体" w:eastAsia="黑体" w:cs="宋体"/>
          <w:b/>
          <w:bCs/>
          <w:szCs w:val="30"/>
          <w:u w:val="single"/>
        </w:rPr>
      </w:pPr>
      <w:r>
        <w:rPr>
          <w:rFonts w:hint="eastAsia" w:ascii="黑体" w:hAnsi="黑体" w:eastAsia="黑体"/>
          <w:b/>
          <w:bCs/>
          <w:szCs w:val="30"/>
          <w:u w:val="single"/>
        </w:rPr>
        <w:t>经营场所内：</w:t>
      </w:r>
    </w:p>
    <w:p w14:paraId="35B6CC2C">
      <w:pPr>
        <w:adjustRightInd w:val="0"/>
        <w:snapToGrid w:val="0"/>
        <w:spacing w:before="312" w:beforeLines="100" w:line="320" w:lineRule="exact"/>
        <w:ind w:firstLine="480" w:firstLineChars="200"/>
        <w:rPr>
          <w:rFonts w:ascii="宋体" w:hAnsi="宋体"/>
          <w:szCs w:val="21"/>
        </w:rPr>
      </w:pPr>
      <w:r>
        <w:rPr>
          <w:rFonts w:hint="eastAsia" w:ascii="宋体" w:hAnsi="宋体"/>
          <w:szCs w:val="21"/>
        </w:rPr>
        <w:t>乙方</w:t>
      </w:r>
      <w:r>
        <w:rPr>
          <w:rFonts w:ascii="宋体" w:hAnsi="宋体"/>
          <w:szCs w:val="21"/>
        </w:rPr>
        <w:t>作为</w:t>
      </w:r>
      <w:r>
        <w:rPr>
          <w:rFonts w:hint="eastAsia" w:ascii="宋体" w:hAnsi="宋体"/>
          <w:szCs w:val="21"/>
        </w:rPr>
        <w:t>甲方的合作承包商（包括各类货物、服务、施工的提供方）</w:t>
      </w:r>
      <w:r>
        <w:rPr>
          <w:rFonts w:ascii="宋体" w:hAnsi="宋体"/>
          <w:szCs w:val="21"/>
        </w:rPr>
        <w:t>，为防止在施工和作业（以下统称“作业”）中</w:t>
      </w:r>
      <w:r>
        <w:rPr>
          <w:rFonts w:hint="eastAsia" w:ascii="宋体" w:hAnsi="宋体"/>
          <w:szCs w:val="21"/>
        </w:rPr>
        <w:t>发生环境、健康和安全相关的</w:t>
      </w:r>
      <w:r>
        <w:rPr>
          <w:rFonts w:ascii="宋体" w:hAnsi="宋体"/>
          <w:szCs w:val="21"/>
        </w:rPr>
        <w:t>事故</w:t>
      </w:r>
      <w:r>
        <w:rPr>
          <w:rFonts w:hint="eastAsia" w:ascii="宋体" w:hAnsi="宋体"/>
          <w:szCs w:val="21"/>
        </w:rPr>
        <w:t>事件</w:t>
      </w:r>
      <w:r>
        <w:rPr>
          <w:rFonts w:ascii="宋体" w:hAnsi="宋体"/>
          <w:szCs w:val="21"/>
        </w:rPr>
        <w:t>，保障</w:t>
      </w:r>
      <w:r>
        <w:rPr>
          <w:rFonts w:hint="eastAsia" w:ascii="宋体" w:hAnsi="宋体"/>
          <w:szCs w:val="21"/>
        </w:rPr>
        <w:t>安全生产、</w:t>
      </w:r>
      <w:r>
        <w:rPr>
          <w:rFonts w:ascii="宋体" w:hAnsi="宋体"/>
          <w:szCs w:val="21"/>
        </w:rPr>
        <w:t>人身健康</w:t>
      </w:r>
      <w:r>
        <w:rPr>
          <w:rFonts w:hint="eastAsia" w:ascii="宋体" w:hAnsi="宋体"/>
          <w:szCs w:val="21"/>
        </w:rPr>
        <w:t>、环境保护</w:t>
      </w:r>
      <w:r>
        <w:rPr>
          <w:rFonts w:ascii="宋体" w:hAnsi="宋体"/>
          <w:szCs w:val="21"/>
        </w:rPr>
        <w:t>和财产安全，必须遵守国家和地方有关</w:t>
      </w:r>
      <w:r>
        <w:rPr>
          <w:rFonts w:hint="eastAsia" w:ascii="宋体" w:hAnsi="宋体"/>
          <w:szCs w:val="21"/>
        </w:rPr>
        <w:t>安全生产、职业健康、</w:t>
      </w:r>
      <w:r>
        <w:rPr>
          <w:rFonts w:ascii="宋体" w:hAnsi="宋体"/>
          <w:szCs w:val="21"/>
        </w:rPr>
        <w:t>环境保护和劳动用工等方面的法律法规、国家标准</w:t>
      </w:r>
      <w:r>
        <w:rPr>
          <w:rFonts w:hint="eastAsia" w:ascii="宋体" w:hAnsi="宋体"/>
          <w:szCs w:val="21"/>
        </w:rPr>
        <w:t>，以及甲方及其关联公司有关环境、健康和安全</w:t>
      </w:r>
      <w:r>
        <w:rPr>
          <w:rFonts w:ascii="宋体" w:hAnsi="宋体"/>
          <w:szCs w:val="21"/>
        </w:rPr>
        <w:t>管理要求、标准及预防措施</w:t>
      </w:r>
      <w:r>
        <w:rPr>
          <w:rFonts w:hint="eastAsia" w:ascii="宋体" w:hAnsi="宋体"/>
          <w:szCs w:val="21"/>
        </w:rPr>
        <w:t>，</w:t>
      </w:r>
      <w:r>
        <w:rPr>
          <w:rFonts w:ascii="宋体" w:hAnsi="宋体"/>
          <w:szCs w:val="21"/>
        </w:rPr>
        <w:t>自愿承诺严格遵守和执行本</w:t>
      </w:r>
      <w:r>
        <w:rPr>
          <w:rFonts w:hint="eastAsia" w:ascii="宋体" w:hAnsi="宋体"/>
          <w:szCs w:val="21"/>
        </w:rPr>
        <w:t>协议约定。</w:t>
      </w:r>
    </w:p>
    <w:p w14:paraId="223AFF20">
      <w:pPr>
        <w:numPr>
          <w:ilvl w:val="0"/>
          <w:numId w:val="16"/>
        </w:numPr>
        <w:adjustRightInd w:val="0"/>
        <w:snapToGrid w:val="0"/>
        <w:spacing w:line="320" w:lineRule="exact"/>
        <w:ind w:left="0" w:firstLine="0"/>
        <w:rPr>
          <w:rFonts w:ascii="宋体" w:hAnsi="宋体"/>
          <w:b/>
          <w:bCs/>
          <w:szCs w:val="21"/>
        </w:rPr>
      </w:pPr>
      <w:r>
        <w:rPr>
          <w:rFonts w:hint="eastAsia" w:ascii="宋体" w:hAnsi="宋体"/>
          <w:b/>
          <w:bCs/>
          <w:szCs w:val="21"/>
        </w:rPr>
        <w:t>甲方的权利和义务</w:t>
      </w:r>
    </w:p>
    <w:p w14:paraId="403E4525">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向乙方提供符合安全要求的作业环境和条件；</w:t>
      </w:r>
    </w:p>
    <w:p w14:paraId="3FEAEBCB">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向乙方进行危险有害因素及安全风险告知，开展安全技术交底；</w:t>
      </w:r>
    </w:p>
    <w:p w14:paraId="5C1E9B7A">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对乙方工作现场及作业过程进行安全检查及督导工作，对发现事故隐患和违章行为进行纠正和处理；</w:t>
      </w:r>
    </w:p>
    <w:p w14:paraId="06BA3720">
      <w:pPr>
        <w:numPr>
          <w:ilvl w:val="0"/>
          <w:numId w:val="17"/>
        </w:numPr>
        <w:tabs>
          <w:tab w:val="left" w:pos="0"/>
        </w:tabs>
        <w:adjustRightInd w:val="0"/>
        <w:snapToGrid w:val="0"/>
        <w:spacing w:line="320" w:lineRule="exact"/>
        <w:ind w:left="0" w:firstLine="0"/>
        <w:rPr>
          <w:rFonts w:ascii="宋体" w:hAnsi="宋体"/>
          <w:szCs w:val="21"/>
        </w:rPr>
      </w:pPr>
      <w:r>
        <w:rPr>
          <w:rFonts w:hint="eastAsia" w:ascii="宋体" w:hAnsi="宋体"/>
          <w:szCs w:val="21"/>
        </w:rPr>
        <w:t>发生事故后积极组织抢险，防止事故扩大，并按有关规定进行报告；</w:t>
      </w:r>
      <w:r>
        <w:rPr>
          <w:rFonts w:ascii="宋体" w:hAnsi="宋体"/>
          <w:szCs w:val="21"/>
        </w:rPr>
        <w:tab/>
      </w:r>
    </w:p>
    <w:p w14:paraId="41E39805">
      <w:pPr>
        <w:numPr>
          <w:ilvl w:val="0"/>
          <w:numId w:val="16"/>
        </w:numPr>
        <w:adjustRightInd w:val="0"/>
        <w:snapToGrid w:val="0"/>
        <w:spacing w:line="320" w:lineRule="exact"/>
        <w:ind w:left="0" w:firstLine="0"/>
        <w:rPr>
          <w:rFonts w:ascii="宋体" w:hAnsi="宋体"/>
          <w:b/>
          <w:bCs/>
          <w:szCs w:val="21"/>
        </w:rPr>
      </w:pPr>
      <w:r>
        <w:rPr>
          <w:rFonts w:hint="eastAsia" w:ascii="宋体" w:hAnsi="宋体"/>
          <w:b/>
          <w:bCs/>
          <w:szCs w:val="21"/>
        </w:rPr>
        <w:t>承包商安全管理基本要求</w:t>
      </w:r>
    </w:p>
    <w:p w14:paraId="2BEE14B2">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依据合作合同作业内容的风险因素、人员配置、服务时长，甲方将对承包商进行必要的分类管理；乙方应遵守甲方分类管理的要求；</w:t>
      </w:r>
    </w:p>
    <w:p w14:paraId="083D9232">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所有纳入高风险分类的承包商，甲方将进行安全资格审查。其中，安全资格审查的主要因素包括：全员安全生产责任制、安全生产规章制度；岗位安全操作规程、安全生产教育和培训计划；从业人员保险；特种作业人员资格证（如涉及须提供）；生产安全事故应急救援预案；近三年来的安全业绩，事故事件管理及安全管理相关违约情况等；</w:t>
      </w:r>
    </w:p>
    <w:p w14:paraId="6FA5F69E">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在未获得《承包商安全卡》前，须严格遵守访客安全要求；承包商所有人员（包括但不限于乙方雇佣、聘用、聘请等）均将熟知甲方提供的安全告知或通过甲方组织的安全考试并提供个人基本信息，用于制作《承包商安全卡》或生成《承包商安全卡》电子版；《承包商安全卡》（或电子版） 必须随身携带，用于厂（场）地的进出并随时接受检查，禁止持访客证进行作业；</w:t>
      </w:r>
    </w:p>
    <w:p w14:paraId="0EA9D0DE">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物资应统计、登记并标识，用于物资进出厂（场）管理；承包商工器具及设备设施均应接受甲方必要的安全检查并张贴合格标识；</w:t>
      </w:r>
    </w:p>
    <w:p w14:paraId="1CBBD9B0">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在开工前应接受安全沟通审查，并配合甲方或同甲方共同完成相关开工许可；承包商应知悉并同意任何偏离原定计划的项目或作业程序的变更，都将可能导致甲方重新进行安全评估、沟通及审查，并重新作出是否继续作业的许可；</w:t>
      </w:r>
    </w:p>
    <w:p w14:paraId="4B5B1C28">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驻厂承包商应纳入到甲方的日常环境、健康和安全管理范畴；</w:t>
      </w:r>
    </w:p>
    <w:p w14:paraId="433015C7">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在作业过程中应严格遵守甲方关于工作安全分析、安全工作票审批、节假日管理、奖励、奖惩及黑名单等要求；甲方有权暂停或终止纳入黑名单的承包商在甲方及其关联公司已经进行中或未来招标采购项目的参与资格；</w:t>
      </w:r>
    </w:p>
    <w:p w14:paraId="2CF5E920">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项目完工之前，甲方将进行验收工作，承包商针对验收过程中发现的安全隐患和问题应形成记录，按照要求进行整改并将整改结果反馈甲方；</w:t>
      </w:r>
    </w:p>
    <w:p w14:paraId="227F8E32">
      <w:pPr>
        <w:numPr>
          <w:ilvl w:val="0"/>
          <w:numId w:val="18"/>
        </w:numPr>
        <w:tabs>
          <w:tab w:val="left" w:pos="0"/>
        </w:tabs>
        <w:adjustRightInd w:val="0"/>
        <w:snapToGrid w:val="0"/>
        <w:spacing w:line="320" w:lineRule="exact"/>
        <w:ind w:left="0" w:firstLine="0"/>
        <w:rPr>
          <w:rFonts w:ascii="宋体" w:hAnsi="宋体"/>
          <w:szCs w:val="21"/>
        </w:rPr>
      </w:pPr>
      <w:r>
        <w:rPr>
          <w:rFonts w:hint="eastAsia" w:ascii="宋体" w:hAnsi="宋体"/>
          <w:szCs w:val="21"/>
        </w:rPr>
        <w:t>对于项目周期≥</w:t>
      </w:r>
      <w:r>
        <w:rPr>
          <w:rFonts w:ascii="宋体" w:hAnsi="宋体"/>
          <w:szCs w:val="21"/>
        </w:rPr>
        <w:t>6个月的</w:t>
      </w:r>
      <w:r>
        <w:rPr>
          <w:rFonts w:hint="eastAsia" w:ascii="宋体" w:hAnsi="宋体"/>
          <w:szCs w:val="21"/>
        </w:rPr>
        <w:t>高风险</w:t>
      </w:r>
      <w:r>
        <w:rPr>
          <w:rFonts w:ascii="宋体" w:hAnsi="宋体"/>
          <w:szCs w:val="21"/>
        </w:rPr>
        <w:t>承包商，</w:t>
      </w:r>
      <w:r>
        <w:rPr>
          <w:rFonts w:hint="eastAsia" w:ascii="宋体" w:hAnsi="宋体"/>
          <w:szCs w:val="21"/>
        </w:rPr>
        <w:t>甲方将</w:t>
      </w:r>
      <w:r>
        <w:rPr>
          <w:rFonts w:ascii="宋体" w:hAnsi="宋体"/>
          <w:szCs w:val="21"/>
        </w:rPr>
        <w:t>每半年进行一次</w:t>
      </w:r>
      <w:r>
        <w:rPr>
          <w:rFonts w:hint="eastAsia" w:ascii="宋体" w:hAnsi="宋体"/>
          <w:szCs w:val="21"/>
        </w:rPr>
        <w:t>安全</w:t>
      </w:r>
      <w:r>
        <w:rPr>
          <w:rFonts w:ascii="宋体" w:hAnsi="宋体"/>
          <w:szCs w:val="21"/>
        </w:rPr>
        <w:t>表现评估</w:t>
      </w:r>
      <w:r>
        <w:rPr>
          <w:rFonts w:hint="eastAsia" w:ascii="宋体" w:hAnsi="宋体"/>
          <w:szCs w:val="21"/>
        </w:rPr>
        <w:t>，并在项目结束时再进行一次，承包商将会被告知表现评估结果。</w:t>
      </w:r>
    </w:p>
    <w:p w14:paraId="3DE2064C">
      <w:pPr>
        <w:numPr>
          <w:ilvl w:val="0"/>
          <w:numId w:val="16"/>
        </w:numPr>
        <w:adjustRightInd w:val="0"/>
        <w:snapToGrid w:val="0"/>
        <w:spacing w:line="320" w:lineRule="exact"/>
        <w:ind w:left="274" w:hanging="274"/>
        <w:rPr>
          <w:rFonts w:ascii="宋体" w:hAnsi="宋体"/>
          <w:b/>
          <w:bCs/>
          <w:szCs w:val="21"/>
        </w:rPr>
      </w:pPr>
      <w:r>
        <w:rPr>
          <w:rFonts w:ascii="宋体" w:hAnsi="宋体"/>
          <w:b/>
          <w:bCs/>
          <w:szCs w:val="21"/>
        </w:rPr>
        <w:t>关于</w:t>
      </w:r>
      <w:r>
        <w:rPr>
          <w:rFonts w:ascii="宋体" w:hAnsi="宋体"/>
          <w:b/>
          <w:szCs w:val="21"/>
        </w:rPr>
        <w:t>承包商</w:t>
      </w:r>
      <w:r>
        <w:rPr>
          <w:rFonts w:ascii="宋体" w:hAnsi="宋体"/>
          <w:b/>
          <w:bCs/>
          <w:szCs w:val="21"/>
        </w:rPr>
        <w:t>安全作业</w:t>
      </w:r>
    </w:p>
    <w:p w14:paraId="19C3EE54">
      <w:pPr>
        <w:numPr>
          <w:ilvl w:val="0"/>
          <w:numId w:val="19"/>
        </w:numPr>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指定专人或兼职人员负责日常安全巡查，并定期向</w:t>
      </w:r>
      <w:r>
        <w:rPr>
          <w:rFonts w:hint="eastAsia" w:ascii="宋体" w:hAnsi="宋体"/>
          <w:szCs w:val="21"/>
        </w:rPr>
        <w:t>直线经理及相关方管理负责人通报；</w:t>
      </w:r>
    </w:p>
    <w:p w14:paraId="2D5BFE3B">
      <w:pPr>
        <w:numPr>
          <w:ilvl w:val="0"/>
          <w:numId w:val="19"/>
        </w:numPr>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知悉作业中存在或可能存在的影响人身安全和财产安全的</w:t>
      </w:r>
      <w:r>
        <w:rPr>
          <w:rFonts w:hint="eastAsia" w:ascii="宋体" w:hAnsi="宋体"/>
          <w:szCs w:val="21"/>
        </w:rPr>
        <w:t>危险有害因素，</w:t>
      </w:r>
      <w:r>
        <w:rPr>
          <w:rFonts w:ascii="宋体" w:hAnsi="宋体"/>
          <w:szCs w:val="21"/>
        </w:rPr>
        <w:t>并进行相关的防范和防护，负责作业区域内的安全管理，全面落实安全生产责任制并承担安全管理责任；建立相关的安全生产管理规章制度，建立健全</w:t>
      </w:r>
      <w:r>
        <w:rPr>
          <w:rFonts w:hint="eastAsia" w:ascii="宋体" w:hAnsi="宋体"/>
          <w:szCs w:val="21"/>
        </w:rPr>
        <w:t>安全风险分级管控和隐患排查治理工作机制</w:t>
      </w:r>
      <w:r>
        <w:rPr>
          <w:rFonts w:ascii="宋体" w:hAnsi="宋体"/>
          <w:szCs w:val="21"/>
        </w:rPr>
        <w:t>，采取技术、管理措施，及时发现并消除事故隐患；事故隐患排查治理情况应当如实记录并向从业人员通报</w:t>
      </w:r>
      <w:r>
        <w:rPr>
          <w:rFonts w:hint="eastAsia" w:ascii="宋体" w:hAnsi="宋体"/>
          <w:szCs w:val="21"/>
        </w:rPr>
        <w:t>；</w:t>
      </w:r>
    </w:p>
    <w:p w14:paraId="5B4D550F">
      <w:pPr>
        <w:numPr>
          <w:ilvl w:val="0"/>
          <w:numId w:val="19"/>
        </w:numPr>
        <w:adjustRightInd w:val="0"/>
        <w:snapToGrid w:val="0"/>
        <w:spacing w:line="320" w:lineRule="exact"/>
        <w:rPr>
          <w:rFonts w:ascii="宋体" w:hAnsi="宋体"/>
          <w:szCs w:val="21"/>
        </w:rPr>
      </w:pPr>
      <w:r>
        <w:rPr>
          <w:rFonts w:ascii="宋体" w:hAnsi="宋体"/>
          <w:szCs w:val="21"/>
        </w:rPr>
        <w:t>应</w:t>
      </w:r>
      <w:r>
        <w:rPr>
          <w:rFonts w:hint="eastAsia" w:ascii="宋体" w:hAnsi="宋体"/>
          <w:szCs w:val="21"/>
        </w:rPr>
        <w:t>在进厂（场）作业前对其从业人员进行安全生产教育和培训（包括但不限于三级安全教育），保证从业人员具备必要的安全生产知识，熟悉有关的安全生产规章制度和安全操作规程，掌握本岗位的安全操作技能，了解事故应急处理措施，知悉自身在安全生产方面的权利和义务；确保对作业人员进行100%的培训，对于经过培训并考核合格的从业人员，由甲方发放《承包商安全卡》或生成《承包商安全卡》电子版 ；未经安全生产教育和培训合格的从业人员，不得上岗作业；否则，甲方有权拒绝该从业人员进厂（场），或要求该从业人员停止作业；</w:t>
      </w:r>
    </w:p>
    <w:p w14:paraId="2E1F6BBC">
      <w:pPr>
        <w:numPr>
          <w:ilvl w:val="0"/>
          <w:numId w:val="19"/>
        </w:numPr>
        <w:adjustRightInd w:val="0"/>
        <w:snapToGrid w:val="0"/>
        <w:spacing w:line="320" w:lineRule="exact"/>
        <w:rPr>
          <w:rFonts w:ascii="宋体" w:hAnsi="宋体"/>
          <w:szCs w:val="21"/>
        </w:rPr>
      </w:pPr>
      <w:r>
        <w:rPr>
          <w:rFonts w:ascii="宋体" w:hAnsi="宋体"/>
          <w:szCs w:val="21"/>
        </w:rPr>
        <w:t>在作业前，应该成立一个合格的</w:t>
      </w:r>
      <w:r>
        <w:rPr>
          <w:rFonts w:hint="eastAsia" w:ascii="宋体" w:hAnsi="宋体"/>
          <w:szCs w:val="21"/>
        </w:rPr>
        <w:t>安全</w:t>
      </w:r>
      <w:r>
        <w:rPr>
          <w:rFonts w:ascii="宋体" w:hAnsi="宋体"/>
          <w:szCs w:val="21"/>
        </w:rPr>
        <w:t>管理团队，委派一名负责EHS和质量的</w:t>
      </w:r>
      <w:r>
        <w:rPr>
          <w:rFonts w:hint="eastAsia" w:ascii="宋体" w:hAnsi="宋体"/>
          <w:szCs w:val="21"/>
        </w:rPr>
        <w:t>现场</w:t>
      </w:r>
      <w:r>
        <w:rPr>
          <w:rFonts w:ascii="宋体" w:hAnsi="宋体"/>
          <w:szCs w:val="21"/>
        </w:rPr>
        <w:t>管理人员，负责进行作业</w:t>
      </w:r>
      <w:r>
        <w:rPr>
          <w:rFonts w:hint="eastAsia" w:ascii="宋体" w:hAnsi="宋体"/>
          <w:szCs w:val="21"/>
        </w:rPr>
        <w:t>现场</w:t>
      </w:r>
      <w:r>
        <w:rPr>
          <w:rFonts w:ascii="宋体" w:hAnsi="宋体"/>
          <w:szCs w:val="21"/>
        </w:rPr>
        <w:t>的日常管理；同时，组织作业人员</w:t>
      </w:r>
      <w:r>
        <w:rPr>
          <w:rFonts w:hint="eastAsia" w:ascii="宋体" w:hAnsi="宋体"/>
          <w:szCs w:val="21"/>
        </w:rPr>
        <w:t>进行</w:t>
      </w:r>
      <w:r>
        <w:rPr>
          <w:rFonts w:hint="eastAsia"/>
        </w:rPr>
        <w:t>常规健康体检</w:t>
      </w:r>
      <w:r>
        <w:rPr>
          <w:rFonts w:ascii="宋体" w:hAnsi="宋体"/>
          <w:szCs w:val="21"/>
        </w:rPr>
        <w:t>，</w:t>
      </w:r>
      <w:r>
        <w:rPr>
          <w:rFonts w:hint="eastAsia" w:ascii="宋体" w:hAnsi="宋体"/>
          <w:szCs w:val="21"/>
        </w:rPr>
        <w:t>涉及接触职业健康危害因素的作业人员要进行</w:t>
      </w:r>
      <w:r>
        <w:rPr>
          <w:rFonts w:hint="eastAsia"/>
        </w:rPr>
        <w:t>职业健康体检，</w:t>
      </w:r>
      <w:r>
        <w:rPr>
          <w:rFonts w:ascii="宋体" w:hAnsi="宋体"/>
          <w:szCs w:val="21"/>
        </w:rPr>
        <w:t>为作业人员购买保险，向甲方报备</w:t>
      </w:r>
      <w:r>
        <w:rPr>
          <w:rFonts w:hint="eastAsia" w:ascii="宋体" w:hAnsi="宋体"/>
          <w:szCs w:val="21"/>
        </w:rPr>
        <w:t>现场</w:t>
      </w:r>
      <w:r>
        <w:rPr>
          <w:rFonts w:ascii="宋体" w:hAnsi="宋体"/>
          <w:szCs w:val="21"/>
        </w:rPr>
        <w:t>安全管理人员和作业人员清单（如发生变动时应及时更新）</w:t>
      </w:r>
      <w:r>
        <w:rPr>
          <w:rFonts w:hint="eastAsia" w:ascii="宋体" w:hAnsi="宋体"/>
          <w:szCs w:val="21"/>
        </w:rPr>
        <w:t>；</w:t>
      </w:r>
    </w:p>
    <w:p w14:paraId="39D037C5">
      <w:pPr>
        <w:numPr>
          <w:ilvl w:val="0"/>
          <w:numId w:val="19"/>
        </w:numPr>
        <w:adjustRightInd w:val="0"/>
        <w:snapToGrid w:val="0"/>
        <w:spacing w:line="320" w:lineRule="exact"/>
        <w:rPr>
          <w:rFonts w:ascii="宋体" w:hAnsi="宋体"/>
          <w:szCs w:val="21"/>
        </w:rPr>
      </w:pPr>
      <w:r>
        <w:rPr>
          <w:rFonts w:ascii="宋体" w:hAnsi="宋体"/>
          <w:szCs w:val="21"/>
        </w:rPr>
        <w:t>在作业前，承包商有责任为其作业人员提供作业所需的工具、设备和个人防护用品</w:t>
      </w:r>
      <w:r>
        <w:rPr>
          <w:rFonts w:hint="eastAsia" w:ascii="宋体" w:hAnsi="宋体"/>
          <w:szCs w:val="21"/>
        </w:rPr>
        <w:t>；</w:t>
      </w:r>
    </w:p>
    <w:p w14:paraId="303E8874">
      <w:pPr>
        <w:numPr>
          <w:ilvl w:val="0"/>
          <w:numId w:val="19"/>
        </w:numPr>
        <w:adjustRightInd w:val="0"/>
        <w:snapToGrid w:val="0"/>
        <w:spacing w:line="320" w:lineRule="exact"/>
        <w:rPr>
          <w:rFonts w:ascii="宋体" w:hAnsi="宋体"/>
          <w:szCs w:val="21"/>
        </w:rPr>
      </w:pPr>
      <w:r>
        <w:rPr>
          <w:rFonts w:ascii="宋体" w:hAnsi="宋体"/>
          <w:szCs w:val="21"/>
        </w:rPr>
        <w:t>在作业期间，</w:t>
      </w:r>
      <w:r>
        <w:rPr>
          <w:rFonts w:hint="eastAsia" w:ascii="宋体" w:hAnsi="宋体"/>
          <w:szCs w:val="21"/>
        </w:rPr>
        <w:t>须</w:t>
      </w:r>
      <w:r>
        <w:rPr>
          <w:rFonts w:ascii="宋体" w:hAnsi="宋体"/>
          <w:szCs w:val="21"/>
        </w:rPr>
        <w:t>向甲方提供：工作描述、风险和危险的性质、作业人员资格和培训</w:t>
      </w:r>
      <w:r>
        <w:rPr>
          <w:rFonts w:hint="eastAsia" w:ascii="宋体" w:hAnsi="宋体"/>
          <w:szCs w:val="21"/>
        </w:rPr>
        <w:t>情况</w:t>
      </w:r>
      <w:r>
        <w:rPr>
          <w:rFonts w:ascii="宋体" w:hAnsi="宋体"/>
          <w:szCs w:val="21"/>
        </w:rPr>
        <w:t>、设备和物资</w:t>
      </w:r>
      <w:r>
        <w:rPr>
          <w:rFonts w:hint="eastAsia" w:ascii="宋体" w:hAnsi="宋体"/>
          <w:szCs w:val="21"/>
        </w:rPr>
        <w:t>情况</w:t>
      </w:r>
      <w:r>
        <w:rPr>
          <w:rFonts w:ascii="宋体" w:hAnsi="宋体"/>
          <w:szCs w:val="21"/>
        </w:rPr>
        <w:t>、个人防护设备</w:t>
      </w:r>
      <w:r>
        <w:rPr>
          <w:rFonts w:hint="eastAsia" w:ascii="宋体" w:hAnsi="宋体"/>
          <w:szCs w:val="21"/>
        </w:rPr>
        <w:t>情况</w:t>
      </w:r>
      <w:r>
        <w:rPr>
          <w:rFonts w:ascii="宋体" w:hAnsi="宋体"/>
          <w:szCs w:val="21"/>
        </w:rPr>
        <w:t>、作业安全完成</w:t>
      </w:r>
      <w:r>
        <w:rPr>
          <w:rFonts w:hint="eastAsia" w:ascii="宋体" w:hAnsi="宋体"/>
          <w:szCs w:val="21"/>
        </w:rPr>
        <w:t>情况</w:t>
      </w:r>
      <w:r>
        <w:rPr>
          <w:rFonts w:ascii="宋体" w:hAnsi="宋体"/>
          <w:szCs w:val="21"/>
        </w:rPr>
        <w:t>等</w:t>
      </w:r>
      <w:r>
        <w:rPr>
          <w:rFonts w:hint="eastAsia" w:ascii="宋体" w:hAnsi="宋体"/>
          <w:szCs w:val="21"/>
        </w:rPr>
        <w:t>；</w:t>
      </w:r>
    </w:p>
    <w:p w14:paraId="0ECDFE55">
      <w:pPr>
        <w:numPr>
          <w:ilvl w:val="0"/>
          <w:numId w:val="19"/>
        </w:numPr>
        <w:adjustRightInd w:val="0"/>
        <w:snapToGrid w:val="0"/>
        <w:spacing w:line="320" w:lineRule="exact"/>
        <w:rPr>
          <w:rFonts w:ascii="宋体" w:hAnsi="宋体"/>
          <w:szCs w:val="21"/>
        </w:rPr>
      </w:pPr>
      <w:r>
        <w:rPr>
          <w:rFonts w:ascii="宋体" w:hAnsi="宋体"/>
          <w:szCs w:val="21"/>
        </w:rPr>
        <w:t>出于对作业人员身体素质和身体健康的考虑，承包商</w:t>
      </w:r>
      <w:r>
        <w:rPr>
          <w:rFonts w:hint="eastAsia" w:ascii="宋体" w:hAnsi="宋体"/>
          <w:szCs w:val="21"/>
        </w:rPr>
        <w:t>不得</w:t>
      </w:r>
      <w:r>
        <w:rPr>
          <w:rFonts w:ascii="宋体" w:hAnsi="宋体"/>
          <w:szCs w:val="21"/>
        </w:rPr>
        <w:t>使用年龄超过63岁的男性和55岁的女性人员作为承包商的作业人员在甲方</w:t>
      </w:r>
      <w:r>
        <w:rPr>
          <w:rFonts w:hint="eastAsia" w:ascii="宋体" w:hAnsi="宋体"/>
          <w:szCs w:val="21"/>
        </w:rPr>
        <w:t>厂（场）地</w:t>
      </w:r>
      <w:r>
        <w:rPr>
          <w:rFonts w:ascii="宋体" w:hAnsi="宋体"/>
          <w:szCs w:val="21"/>
        </w:rPr>
        <w:t>内作业</w:t>
      </w:r>
      <w:r>
        <w:rPr>
          <w:rFonts w:hint="eastAsia" w:ascii="宋体" w:hAnsi="宋体"/>
          <w:szCs w:val="21"/>
        </w:rPr>
        <w:t>；</w:t>
      </w:r>
    </w:p>
    <w:p w14:paraId="08F1DDA5">
      <w:pPr>
        <w:numPr>
          <w:ilvl w:val="0"/>
          <w:numId w:val="19"/>
        </w:numPr>
        <w:adjustRightInd w:val="0"/>
        <w:snapToGrid w:val="0"/>
        <w:spacing w:line="320" w:lineRule="exact"/>
        <w:rPr>
          <w:rFonts w:ascii="宋体" w:hAnsi="宋体"/>
          <w:szCs w:val="21"/>
        </w:rPr>
      </w:pPr>
      <w:r>
        <w:rPr>
          <w:rFonts w:ascii="宋体" w:hAnsi="宋体"/>
          <w:szCs w:val="21"/>
        </w:rPr>
        <w:t>不得在作业区域内设置厨房和饭堂</w:t>
      </w:r>
      <w:r>
        <w:rPr>
          <w:rFonts w:hint="eastAsia" w:ascii="宋体" w:hAnsi="宋体"/>
          <w:szCs w:val="21"/>
        </w:rPr>
        <w:t>；</w:t>
      </w:r>
    </w:p>
    <w:p w14:paraId="03A00FC6">
      <w:pPr>
        <w:numPr>
          <w:ilvl w:val="0"/>
          <w:numId w:val="19"/>
        </w:numPr>
        <w:adjustRightInd w:val="0"/>
        <w:snapToGrid w:val="0"/>
        <w:spacing w:line="320" w:lineRule="exact"/>
        <w:rPr>
          <w:rFonts w:ascii="宋体" w:hAnsi="宋体"/>
          <w:szCs w:val="21"/>
        </w:rPr>
      </w:pPr>
      <w:r>
        <w:rPr>
          <w:rFonts w:ascii="宋体" w:hAnsi="宋体"/>
          <w:szCs w:val="21"/>
        </w:rPr>
        <w:t>作业</w:t>
      </w:r>
      <w:r>
        <w:rPr>
          <w:rFonts w:hint="eastAsia" w:ascii="宋体" w:hAnsi="宋体"/>
          <w:szCs w:val="21"/>
        </w:rPr>
        <w:t>过程须</w:t>
      </w:r>
      <w:r>
        <w:rPr>
          <w:rFonts w:ascii="宋体" w:hAnsi="宋体"/>
          <w:szCs w:val="21"/>
        </w:rPr>
        <w:t>时刻保持高标准的清洁卫生，确保施工原料和设备设施的有序存放，及时</w:t>
      </w:r>
      <w:r>
        <w:rPr>
          <w:rFonts w:hint="eastAsia" w:ascii="宋体" w:hAnsi="宋体"/>
          <w:szCs w:val="21"/>
        </w:rPr>
        <w:t>清理处置</w:t>
      </w:r>
      <w:r>
        <w:rPr>
          <w:rFonts w:ascii="宋体" w:hAnsi="宋体"/>
          <w:szCs w:val="21"/>
        </w:rPr>
        <w:t>施工垃圾</w:t>
      </w:r>
      <w:r>
        <w:rPr>
          <w:rFonts w:hint="eastAsia" w:ascii="宋体" w:hAnsi="宋体"/>
          <w:szCs w:val="21"/>
        </w:rPr>
        <w:t>并保证清洁工作符合甲方要求；</w:t>
      </w:r>
    </w:p>
    <w:p w14:paraId="3A96FBF7">
      <w:pPr>
        <w:numPr>
          <w:ilvl w:val="0"/>
          <w:numId w:val="19"/>
        </w:numPr>
        <w:tabs>
          <w:tab w:val="left" w:pos="567"/>
        </w:tabs>
        <w:adjustRightInd w:val="0"/>
        <w:snapToGrid w:val="0"/>
        <w:spacing w:line="320" w:lineRule="exact"/>
        <w:rPr>
          <w:rFonts w:ascii="宋体" w:hAnsi="宋体"/>
          <w:szCs w:val="21"/>
        </w:rPr>
      </w:pPr>
      <w:r>
        <w:rPr>
          <w:rFonts w:hint="eastAsia" w:ascii="宋体" w:hAnsi="宋体"/>
          <w:szCs w:val="21"/>
        </w:rPr>
        <w:t>须</w:t>
      </w:r>
      <w:r>
        <w:rPr>
          <w:rFonts w:ascii="宋体" w:hAnsi="宋体"/>
          <w:szCs w:val="21"/>
        </w:rPr>
        <w:t>及时上报作业过程中存在的问题和发生的不安全行为、事件和事故</w:t>
      </w:r>
      <w:r>
        <w:rPr>
          <w:rFonts w:hint="eastAsia" w:ascii="宋体" w:hAnsi="宋体"/>
          <w:szCs w:val="21"/>
        </w:rPr>
        <w:t>；</w:t>
      </w:r>
    </w:p>
    <w:p w14:paraId="35E3D5B9">
      <w:pPr>
        <w:pStyle w:val="10"/>
        <w:numPr>
          <w:ilvl w:val="0"/>
          <w:numId w:val="19"/>
        </w:numPr>
        <w:tabs>
          <w:tab w:val="left" w:pos="567"/>
        </w:tabs>
        <w:adjustRightInd w:val="0"/>
        <w:snapToGrid w:val="0"/>
        <w:spacing w:line="320" w:lineRule="exact"/>
        <w:rPr>
          <w:rFonts w:ascii="宋体" w:hAnsi="宋体"/>
          <w:szCs w:val="21"/>
        </w:rPr>
      </w:pPr>
      <w:r>
        <w:rPr>
          <w:rFonts w:hint="eastAsia" w:ascii="宋体" w:hAnsi="宋体"/>
          <w:szCs w:val="21"/>
        </w:rPr>
        <w:t>须及时按照约定购买雇主责任险、意外伤害险、建筑工程一切险等商业保险，保障项目保险金额不应低于本协议签订当期全国一次性工亡补助标准，意外伤害险中涉及人身医疗险、伤残及身故险应同时满足上述保险金额；未购买保险的作业人员严禁入厂作业。</w:t>
      </w:r>
    </w:p>
    <w:p w14:paraId="0C3CA89E">
      <w:pPr>
        <w:pStyle w:val="10"/>
        <w:numPr>
          <w:ilvl w:val="0"/>
          <w:numId w:val="19"/>
        </w:numPr>
        <w:tabs>
          <w:tab w:val="left" w:pos="567"/>
        </w:tabs>
        <w:adjustRightInd w:val="0"/>
        <w:snapToGrid w:val="0"/>
        <w:spacing w:line="320" w:lineRule="exact"/>
        <w:rPr>
          <w:rFonts w:ascii="宋体" w:hAnsi="宋体"/>
          <w:szCs w:val="21"/>
        </w:rPr>
      </w:pPr>
      <w:r>
        <w:rPr>
          <w:rFonts w:hint="eastAsia" w:ascii="宋体" w:hAnsi="宋体"/>
          <w:szCs w:val="21"/>
        </w:rPr>
        <w:t>物流供应商须对于高频率（每月入厂次数≥1）司机及随车人员按照3.11条款执行。</w:t>
      </w:r>
    </w:p>
    <w:p w14:paraId="6C210E27">
      <w:pPr>
        <w:numPr>
          <w:ilvl w:val="0"/>
          <w:numId w:val="16"/>
        </w:numPr>
        <w:adjustRightInd w:val="0"/>
        <w:snapToGrid w:val="0"/>
        <w:spacing w:line="320" w:lineRule="exact"/>
        <w:ind w:left="274" w:hanging="274"/>
        <w:rPr>
          <w:rFonts w:ascii="宋体" w:hAnsi="宋体"/>
          <w:b/>
          <w:bCs/>
          <w:szCs w:val="21"/>
        </w:rPr>
      </w:pPr>
      <w:r>
        <w:rPr>
          <w:rFonts w:ascii="宋体" w:hAnsi="宋体"/>
          <w:b/>
          <w:bCs/>
          <w:szCs w:val="21"/>
        </w:rPr>
        <w:t>关于</w:t>
      </w:r>
      <w:r>
        <w:rPr>
          <w:rFonts w:hint="eastAsia" w:ascii="宋体" w:hAnsi="宋体"/>
          <w:b/>
          <w:bCs/>
          <w:szCs w:val="21"/>
        </w:rPr>
        <w:t>承包商禁止</w:t>
      </w:r>
      <w:r>
        <w:rPr>
          <w:rFonts w:ascii="宋体" w:hAnsi="宋体"/>
          <w:b/>
          <w:bCs/>
          <w:szCs w:val="21"/>
        </w:rPr>
        <w:t>行为</w:t>
      </w:r>
    </w:p>
    <w:p w14:paraId="116045E9">
      <w:pPr>
        <w:tabs>
          <w:tab w:val="left" w:pos="0"/>
        </w:tabs>
        <w:adjustRightInd w:val="0"/>
        <w:snapToGrid w:val="0"/>
        <w:spacing w:line="320" w:lineRule="exact"/>
        <w:ind w:firstLine="480" w:firstLineChars="200"/>
        <w:rPr>
          <w:rFonts w:ascii="宋体" w:hAnsi="宋体"/>
          <w:szCs w:val="21"/>
        </w:rPr>
      </w:pPr>
      <w:r>
        <w:rPr>
          <w:rFonts w:hint="eastAsia" w:ascii="宋体" w:hAnsi="宋体"/>
          <w:szCs w:val="21"/>
        </w:rPr>
        <w:t>承包商</w:t>
      </w:r>
      <w:r>
        <w:rPr>
          <w:rFonts w:hint="eastAsia"/>
        </w:rPr>
        <w:t>及其作业人员</w:t>
      </w:r>
      <w:r>
        <w:rPr>
          <w:rFonts w:hint="eastAsia" w:ascii="宋体" w:hAnsi="宋体"/>
          <w:szCs w:val="21"/>
        </w:rPr>
        <w:t>须知悉和避免在甲方厂（场）内出现以下“禁止行为”，否则，甲方有权追究相关责任并拒绝承包商及相关人员进厂（场）作业；</w:t>
      </w:r>
    </w:p>
    <w:p w14:paraId="7CB0FA31">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厂（场）区内严禁喝酒或饮用任何含酒精类的饮料及服用精神药物或毒品</w:t>
      </w:r>
      <w:r>
        <w:rPr>
          <w:rFonts w:hint="eastAsia" w:ascii="宋体" w:hAnsi="宋体"/>
          <w:szCs w:val="21"/>
        </w:rPr>
        <w:t>；</w:t>
      </w:r>
    </w:p>
    <w:p w14:paraId="3FEB5A5A">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厂（场）内除吸烟区外，严禁在其</w:t>
      </w:r>
      <w:r>
        <w:rPr>
          <w:rFonts w:hint="eastAsia" w:ascii="宋体" w:hAnsi="宋体"/>
          <w:szCs w:val="21"/>
        </w:rPr>
        <w:t>它</w:t>
      </w:r>
      <w:r>
        <w:rPr>
          <w:rFonts w:ascii="宋体" w:hAnsi="宋体"/>
          <w:szCs w:val="21"/>
        </w:rPr>
        <w:t>地方吸烟，未经允许严禁动用明火</w:t>
      </w:r>
      <w:r>
        <w:rPr>
          <w:rFonts w:hint="eastAsia" w:ascii="宋体" w:hAnsi="宋体"/>
          <w:szCs w:val="21"/>
        </w:rPr>
        <w:t>；</w:t>
      </w:r>
    </w:p>
    <w:p w14:paraId="37612A3D">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厂（场）内严禁追逐、打闹、嬉戏、打架、辱骂、伤害他人等行为；</w:t>
      </w:r>
    </w:p>
    <w:p w14:paraId="5BD880A3">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严禁偷盗和故意破坏任何设施，严禁</w:t>
      </w:r>
      <w:r>
        <w:rPr>
          <w:rFonts w:hint="eastAsia" w:ascii="宋体" w:hAnsi="宋体"/>
          <w:szCs w:val="21"/>
        </w:rPr>
        <w:t>随意挪用</w:t>
      </w:r>
      <w:r>
        <w:rPr>
          <w:rFonts w:ascii="宋体" w:hAnsi="宋体"/>
          <w:szCs w:val="21"/>
        </w:rPr>
        <w:t>消防器材</w:t>
      </w:r>
      <w:r>
        <w:rPr>
          <w:rFonts w:hint="eastAsia" w:ascii="宋体" w:hAnsi="宋体"/>
          <w:szCs w:val="21"/>
        </w:rPr>
        <w:t>和应急物资</w:t>
      </w:r>
      <w:r>
        <w:rPr>
          <w:rFonts w:ascii="宋体" w:hAnsi="宋体"/>
          <w:szCs w:val="21"/>
        </w:rPr>
        <w:t>；</w:t>
      </w:r>
    </w:p>
    <w:p w14:paraId="234C233A">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严禁将废物、化学品和其他未经允许的物质排放至污水处理系统、雨水沟、下水道、地面、绿化带、大气环境等区域，严禁污染土壤、空气、环境和地表径流；</w:t>
      </w:r>
    </w:p>
    <w:p w14:paraId="03F3F55F">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严禁掩埋、燃烧</w:t>
      </w:r>
      <w:r>
        <w:rPr>
          <w:rFonts w:hint="eastAsia" w:ascii="宋体" w:hAnsi="宋体"/>
          <w:szCs w:val="21"/>
        </w:rPr>
        <w:t>及</w:t>
      </w:r>
      <w:r>
        <w:rPr>
          <w:rFonts w:ascii="宋体" w:hAnsi="宋体"/>
          <w:szCs w:val="21"/>
        </w:rPr>
        <w:t>生产</w:t>
      </w:r>
      <w:r>
        <w:rPr>
          <w:rFonts w:hint="eastAsia" w:ascii="宋体" w:hAnsi="宋体"/>
          <w:szCs w:val="21"/>
        </w:rPr>
        <w:t>各类</w:t>
      </w:r>
      <w:r>
        <w:rPr>
          <w:rFonts w:ascii="宋体" w:hAnsi="宋体"/>
          <w:szCs w:val="21"/>
        </w:rPr>
        <w:t>废物，</w:t>
      </w:r>
      <w:r>
        <w:rPr>
          <w:rFonts w:hint="eastAsia" w:ascii="宋体" w:hAnsi="宋体"/>
          <w:szCs w:val="21"/>
        </w:rPr>
        <w:t>或采用</w:t>
      </w:r>
      <w:r>
        <w:rPr>
          <w:rFonts w:ascii="宋体" w:hAnsi="宋体"/>
          <w:szCs w:val="21"/>
        </w:rPr>
        <w:t>不恰当的材料管理和废物处理；</w:t>
      </w:r>
    </w:p>
    <w:p w14:paraId="23DB22A0">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严禁乱扔废弃物，不得污染工作</w:t>
      </w:r>
      <w:r>
        <w:rPr>
          <w:rFonts w:hint="eastAsia" w:ascii="宋体" w:hAnsi="宋体"/>
          <w:szCs w:val="21"/>
        </w:rPr>
        <w:t>场</w:t>
      </w:r>
      <w:r>
        <w:rPr>
          <w:rFonts w:ascii="宋体" w:hAnsi="宋体"/>
          <w:szCs w:val="21"/>
        </w:rPr>
        <w:t>所及周围区域，不得损坏绿化区域；</w:t>
      </w:r>
    </w:p>
    <w:p w14:paraId="7D3D8C05">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严禁使用超过校准日期</w:t>
      </w:r>
      <w:r>
        <w:rPr>
          <w:rFonts w:hint="eastAsia" w:ascii="宋体" w:hAnsi="宋体"/>
          <w:szCs w:val="21"/>
        </w:rPr>
        <w:t>或</w:t>
      </w:r>
      <w:r>
        <w:rPr>
          <w:rFonts w:ascii="宋体" w:hAnsi="宋体"/>
          <w:szCs w:val="21"/>
        </w:rPr>
        <w:t>有缺陷</w:t>
      </w:r>
      <w:r>
        <w:rPr>
          <w:rFonts w:hint="eastAsia" w:ascii="宋体" w:hAnsi="宋体"/>
          <w:szCs w:val="21"/>
        </w:rPr>
        <w:t>的</w:t>
      </w:r>
      <w:r>
        <w:rPr>
          <w:rFonts w:ascii="宋体" w:hAnsi="宋体"/>
          <w:szCs w:val="21"/>
        </w:rPr>
        <w:t>设备</w:t>
      </w:r>
      <w:r>
        <w:rPr>
          <w:rFonts w:hint="eastAsia" w:ascii="宋体" w:hAnsi="宋体"/>
          <w:szCs w:val="21"/>
        </w:rPr>
        <w:t>及</w:t>
      </w:r>
      <w:r>
        <w:rPr>
          <w:rFonts w:ascii="宋体" w:hAnsi="宋体"/>
          <w:szCs w:val="21"/>
        </w:rPr>
        <w:t>控制装置；</w:t>
      </w:r>
    </w:p>
    <w:p w14:paraId="2951895D">
      <w:pPr>
        <w:numPr>
          <w:ilvl w:val="0"/>
          <w:numId w:val="20"/>
        </w:numPr>
        <w:tabs>
          <w:tab w:val="left" w:pos="0"/>
        </w:tabs>
        <w:adjustRightInd w:val="0"/>
        <w:snapToGrid w:val="0"/>
        <w:spacing w:line="320" w:lineRule="exact"/>
        <w:ind w:left="0" w:firstLine="0"/>
        <w:rPr>
          <w:rFonts w:ascii="宋体" w:hAnsi="宋体"/>
          <w:szCs w:val="21"/>
        </w:rPr>
      </w:pPr>
      <w:r>
        <w:rPr>
          <w:rFonts w:ascii="宋体" w:hAnsi="宋体"/>
          <w:szCs w:val="21"/>
        </w:rPr>
        <w:t>严禁</w:t>
      </w:r>
      <w:r>
        <w:rPr>
          <w:rFonts w:hint="eastAsia" w:ascii="宋体" w:hAnsi="宋体"/>
          <w:szCs w:val="21"/>
        </w:rPr>
        <w:t>私自</w:t>
      </w:r>
      <w:r>
        <w:rPr>
          <w:rFonts w:ascii="宋体" w:hAnsi="宋体"/>
          <w:szCs w:val="21"/>
        </w:rPr>
        <w:t>携带、储存和使用爆炸物和有毒有害物质；</w:t>
      </w:r>
    </w:p>
    <w:p w14:paraId="662CF3BE">
      <w:pPr>
        <w:numPr>
          <w:ilvl w:val="0"/>
          <w:numId w:val="20"/>
        </w:numPr>
        <w:tabs>
          <w:tab w:val="left" w:pos="567"/>
        </w:tabs>
        <w:adjustRightInd w:val="0"/>
        <w:snapToGrid w:val="0"/>
        <w:spacing w:line="320" w:lineRule="exact"/>
        <w:ind w:left="0" w:firstLine="0"/>
        <w:rPr>
          <w:rFonts w:ascii="宋体" w:hAnsi="宋体"/>
          <w:szCs w:val="21"/>
        </w:rPr>
      </w:pPr>
      <w:r>
        <w:rPr>
          <w:rFonts w:ascii="宋体" w:hAnsi="宋体"/>
          <w:szCs w:val="21"/>
        </w:rPr>
        <w:t>严禁在非特定区域饮食，吸引鸟类和动物，开展未经允许的活动；</w:t>
      </w:r>
    </w:p>
    <w:p w14:paraId="0B329497">
      <w:pPr>
        <w:numPr>
          <w:ilvl w:val="0"/>
          <w:numId w:val="20"/>
        </w:numPr>
        <w:tabs>
          <w:tab w:val="left" w:pos="567"/>
        </w:tabs>
        <w:adjustRightInd w:val="0"/>
        <w:snapToGrid w:val="0"/>
        <w:spacing w:line="320" w:lineRule="exact"/>
        <w:ind w:left="0" w:firstLine="0"/>
        <w:rPr>
          <w:rFonts w:ascii="宋体" w:hAnsi="宋体"/>
          <w:szCs w:val="21"/>
        </w:rPr>
      </w:pPr>
      <w:r>
        <w:rPr>
          <w:rFonts w:ascii="宋体" w:hAnsi="宋体"/>
          <w:szCs w:val="21"/>
        </w:rPr>
        <w:t>严禁无证进行特种作业</w:t>
      </w:r>
      <w:r>
        <w:rPr>
          <w:rFonts w:hint="eastAsia" w:ascii="宋体" w:hAnsi="宋体"/>
          <w:szCs w:val="21"/>
        </w:rPr>
        <w:t>和其他违章作业</w:t>
      </w:r>
      <w:r>
        <w:rPr>
          <w:rFonts w:ascii="宋体" w:hAnsi="宋体"/>
          <w:szCs w:val="21"/>
        </w:rPr>
        <w:t>；</w:t>
      </w:r>
    </w:p>
    <w:p w14:paraId="418D3473">
      <w:pPr>
        <w:numPr>
          <w:ilvl w:val="0"/>
          <w:numId w:val="20"/>
        </w:numPr>
        <w:tabs>
          <w:tab w:val="left" w:pos="567"/>
        </w:tabs>
        <w:adjustRightInd w:val="0"/>
        <w:snapToGrid w:val="0"/>
        <w:spacing w:line="320" w:lineRule="exact"/>
        <w:ind w:left="0" w:firstLine="0"/>
        <w:rPr>
          <w:rFonts w:ascii="宋体" w:hAnsi="宋体"/>
          <w:szCs w:val="21"/>
        </w:rPr>
      </w:pPr>
      <w:r>
        <w:rPr>
          <w:rFonts w:ascii="宋体" w:hAnsi="宋体"/>
          <w:szCs w:val="21"/>
        </w:rPr>
        <w:t>严禁任何无礼、亵渎和不尊重甲方</w:t>
      </w:r>
      <w:r>
        <w:rPr>
          <w:rFonts w:hint="eastAsia" w:ascii="宋体" w:hAnsi="宋体"/>
          <w:szCs w:val="21"/>
        </w:rPr>
        <w:t>或甲方关联公司及其</w:t>
      </w:r>
      <w:r>
        <w:rPr>
          <w:rFonts w:ascii="宋体" w:hAnsi="宋体"/>
          <w:szCs w:val="21"/>
        </w:rPr>
        <w:t>员工的行为</w:t>
      </w:r>
      <w:r>
        <w:rPr>
          <w:rFonts w:hint="eastAsia" w:ascii="宋体" w:hAnsi="宋体"/>
          <w:szCs w:val="21"/>
        </w:rPr>
        <w:t>；</w:t>
      </w:r>
    </w:p>
    <w:p w14:paraId="354D2628">
      <w:pPr>
        <w:numPr>
          <w:ilvl w:val="0"/>
          <w:numId w:val="20"/>
        </w:numPr>
        <w:tabs>
          <w:tab w:val="left" w:pos="567"/>
        </w:tabs>
        <w:adjustRightInd w:val="0"/>
        <w:snapToGrid w:val="0"/>
        <w:spacing w:line="320" w:lineRule="exact"/>
        <w:ind w:left="0" w:firstLine="0"/>
        <w:rPr>
          <w:rFonts w:ascii="宋体" w:hAnsi="宋体"/>
          <w:szCs w:val="21"/>
        </w:rPr>
      </w:pPr>
      <w:r>
        <w:rPr>
          <w:rFonts w:ascii="宋体" w:hAnsi="宋体"/>
          <w:szCs w:val="21"/>
        </w:rPr>
        <w:t>严禁着装不整齐、衣服不扣好、穿无袖衫或其它不正规服装入厂（场）（如短裤，拖鞋等）</w:t>
      </w:r>
      <w:r>
        <w:rPr>
          <w:rFonts w:hint="eastAsia" w:ascii="宋体" w:hAnsi="宋体"/>
          <w:szCs w:val="21"/>
        </w:rPr>
        <w:t>或</w:t>
      </w:r>
      <w:r>
        <w:rPr>
          <w:rFonts w:ascii="宋体" w:hAnsi="宋体"/>
          <w:szCs w:val="21"/>
        </w:rPr>
        <w:t>进入甲方</w:t>
      </w:r>
      <w:r>
        <w:rPr>
          <w:rFonts w:hint="eastAsia" w:ascii="宋体" w:hAnsi="宋体"/>
          <w:szCs w:val="21"/>
        </w:rPr>
        <w:t>及甲方关联公司</w:t>
      </w:r>
      <w:r>
        <w:rPr>
          <w:rFonts w:ascii="宋体" w:hAnsi="宋体"/>
          <w:szCs w:val="21"/>
        </w:rPr>
        <w:t>；</w:t>
      </w:r>
    </w:p>
    <w:p w14:paraId="49EDEB56">
      <w:pPr>
        <w:numPr>
          <w:ilvl w:val="0"/>
          <w:numId w:val="20"/>
        </w:numPr>
        <w:tabs>
          <w:tab w:val="left" w:pos="567"/>
        </w:tabs>
        <w:adjustRightInd w:val="0"/>
        <w:snapToGrid w:val="0"/>
        <w:spacing w:line="320" w:lineRule="exact"/>
        <w:ind w:left="0" w:firstLine="0"/>
        <w:rPr>
          <w:rFonts w:ascii="宋体" w:hAnsi="宋体"/>
          <w:szCs w:val="21"/>
        </w:rPr>
      </w:pPr>
      <w:r>
        <w:rPr>
          <w:rFonts w:ascii="宋体" w:hAnsi="宋体"/>
          <w:szCs w:val="21"/>
        </w:rPr>
        <w:t>严禁从事其他违法违规行为或损害甲方</w:t>
      </w:r>
      <w:r>
        <w:rPr>
          <w:rFonts w:hint="eastAsia" w:ascii="宋体" w:hAnsi="宋体"/>
          <w:szCs w:val="21"/>
        </w:rPr>
        <w:t>或甲方关联公司及其</w:t>
      </w:r>
      <w:r>
        <w:rPr>
          <w:rFonts w:ascii="宋体" w:hAnsi="宋体"/>
          <w:szCs w:val="21"/>
        </w:rPr>
        <w:t>员工利益的行为</w:t>
      </w:r>
      <w:r>
        <w:rPr>
          <w:rFonts w:hint="eastAsia" w:ascii="宋体" w:hAnsi="宋体"/>
          <w:szCs w:val="21"/>
        </w:rPr>
        <w:t>。</w:t>
      </w:r>
    </w:p>
    <w:p w14:paraId="37123ECD">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关于危险评估</w:t>
      </w:r>
    </w:p>
    <w:p w14:paraId="4C615D2A">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在作业开始前，甲方</w:t>
      </w:r>
      <w:r>
        <w:rPr>
          <w:rFonts w:hint="eastAsia" w:ascii="宋体" w:hAnsi="宋体"/>
          <w:szCs w:val="21"/>
        </w:rPr>
        <w:t>相关方管理负责人</w:t>
      </w:r>
      <w:r>
        <w:rPr>
          <w:rFonts w:ascii="宋体" w:hAnsi="宋体"/>
          <w:szCs w:val="21"/>
        </w:rPr>
        <w:t>应同</w:t>
      </w:r>
      <w:r>
        <w:rPr>
          <w:rFonts w:hint="eastAsia" w:ascii="宋体" w:hAnsi="宋体"/>
          <w:szCs w:val="21"/>
        </w:rPr>
        <w:t>承包商</w:t>
      </w:r>
      <w:r>
        <w:rPr>
          <w:rFonts w:ascii="宋体" w:hAnsi="宋体"/>
          <w:szCs w:val="21"/>
        </w:rPr>
        <w:t>一</w:t>
      </w:r>
      <w:r>
        <w:rPr>
          <w:rFonts w:hint="eastAsia" w:ascii="宋体" w:hAnsi="宋体"/>
          <w:szCs w:val="21"/>
        </w:rPr>
        <w:t>同</w:t>
      </w:r>
      <w:r>
        <w:rPr>
          <w:rFonts w:ascii="宋体" w:hAnsi="宋体"/>
          <w:szCs w:val="21"/>
        </w:rPr>
        <w:t>沟通并告知潜在危害，包括使用的化学品、登记的限制区域、有潜在危险的设备和操作等，并将此列入限制性要求内，放置于现</w:t>
      </w:r>
      <w:r>
        <w:rPr>
          <w:rFonts w:hint="eastAsia" w:ascii="宋体" w:hAnsi="宋体"/>
          <w:szCs w:val="21"/>
        </w:rPr>
        <w:t>场</w:t>
      </w:r>
      <w:r>
        <w:rPr>
          <w:rFonts w:ascii="宋体" w:hAnsi="宋体"/>
          <w:szCs w:val="21"/>
        </w:rPr>
        <w:t>明显位置；</w:t>
      </w:r>
      <w:r>
        <w:rPr>
          <w:rFonts w:hint="eastAsia" w:ascii="宋体" w:hAnsi="宋体"/>
          <w:szCs w:val="21"/>
        </w:rPr>
        <w:t>甲方主要危险有害因素包括（但不限于）：物体打击、车辆伤害、机械伤害、触电、淹溺、灼烫、火灾、高处坠落、坍塌、爆炸、中毒和窒息、粉尘、噪声、中暑等。</w:t>
      </w:r>
      <w:r>
        <w:rPr>
          <w:rFonts w:ascii="宋体" w:hAnsi="宋体"/>
          <w:szCs w:val="21"/>
        </w:rPr>
        <w:t>同样，承包商也有责任告知在甲方作业中可能出现的任何潜在危险；承包商并对可能出现的火灾、化学品接触、高危作业等潜在危险做好预防</w:t>
      </w:r>
      <w:r>
        <w:rPr>
          <w:rFonts w:hint="eastAsia" w:ascii="宋体" w:hAnsi="宋体"/>
          <w:szCs w:val="21"/>
        </w:rPr>
        <w:t>；</w:t>
      </w:r>
    </w:p>
    <w:p w14:paraId="7EA38C29">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在作业开始之前，承包商</w:t>
      </w:r>
      <w:r>
        <w:rPr>
          <w:rFonts w:hint="eastAsia" w:ascii="宋体" w:hAnsi="宋体"/>
          <w:szCs w:val="21"/>
        </w:rPr>
        <w:t>须</w:t>
      </w:r>
      <w:r>
        <w:rPr>
          <w:rFonts w:ascii="宋体" w:hAnsi="宋体"/>
          <w:szCs w:val="21"/>
        </w:rPr>
        <w:t>要完成风险评估，制定和提供标准作业程序，制定和提供安全施工方案，配备相应的安全设施，预防和管控作业过程中的风险</w:t>
      </w:r>
      <w:r>
        <w:rPr>
          <w:rFonts w:hint="eastAsia" w:ascii="宋体" w:hAnsi="宋体"/>
          <w:szCs w:val="21"/>
        </w:rPr>
        <w:t>；</w:t>
      </w:r>
    </w:p>
    <w:p w14:paraId="480018FB">
      <w:pPr>
        <w:numPr>
          <w:ilvl w:val="0"/>
          <w:numId w:val="21"/>
        </w:numPr>
        <w:tabs>
          <w:tab w:val="left" w:pos="0"/>
        </w:tabs>
        <w:adjustRightInd w:val="0"/>
        <w:snapToGrid w:val="0"/>
        <w:spacing w:line="320" w:lineRule="exact"/>
        <w:ind w:left="0" w:firstLine="0"/>
        <w:rPr>
          <w:rFonts w:ascii="宋体" w:hAnsi="宋体"/>
          <w:szCs w:val="21"/>
        </w:rPr>
      </w:pPr>
      <w:r>
        <w:rPr>
          <w:rFonts w:ascii="宋体" w:hAnsi="宋体"/>
          <w:szCs w:val="21"/>
        </w:rPr>
        <w:t>上述风险评估包括但不限于相关的环境风险评估（如向地表水，雨水收集管网，土壤和空气排放，或者产生环境噪声排放</w:t>
      </w:r>
      <w:r>
        <w:rPr>
          <w:rFonts w:hint="eastAsia" w:ascii="宋体" w:hAnsi="宋体"/>
          <w:szCs w:val="21"/>
        </w:rPr>
        <w:t>等</w:t>
      </w:r>
      <w:r>
        <w:rPr>
          <w:rFonts w:ascii="宋体" w:hAnsi="宋体"/>
          <w:szCs w:val="21"/>
        </w:rPr>
        <w:t>）</w:t>
      </w:r>
      <w:r>
        <w:rPr>
          <w:rFonts w:hint="eastAsia" w:ascii="宋体" w:hAnsi="宋体"/>
          <w:szCs w:val="21"/>
        </w:rPr>
        <w:t>。</w:t>
      </w:r>
    </w:p>
    <w:p w14:paraId="61FA2621">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作业人员资质和培训</w:t>
      </w:r>
    </w:p>
    <w:p w14:paraId="055B30CE">
      <w:pPr>
        <w:numPr>
          <w:ilvl w:val="0"/>
          <w:numId w:val="22"/>
        </w:numPr>
        <w:tabs>
          <w:tab w:val="left" w:pos="0"/>
        </w:tabs>
        <w:adjustRightInd w:val="0"/>
        <w:snapToGrid w:val="0"/>
        <w:spacing w:line="320" w:lineRule="exact"/>
        <w:ind w:left="0" w:firstLine="0"/>
        <w:rPr>
          <w:rFonts w:ascii="宋体" w:hAnsi="宋体"/>
          <w:szCs w:val="21"/>
        </w:rPr>
      </w:pPr>
      <w:r>
        <w:rPr>
          <w:rFonts w:ascii="宋体" w:hAnsi="宋体"/>
          <w:szCs w:val="21"/>
        </w:rPr>
        <w:t>必须根据法律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规章和甲方的要求</w:t>
      </w:r>
      <w:r>
        <w:rPr>
          <w:rFonts w:hint="eastAsia" w:ascii="宋体" w:hAnsi="宋体"/>
          <w:szCs w:val="21"/>
        </w:rPr>
        <w:t>，</w:t>
      </w:r>
      <w:r>
        <w:rPr>
          <w:rFonts w:ascii="宋体" w:hAnsi="宋体"/>
          <w:szCs w:val="21"/>
        </w:rPr>
        <w:t>指派专业的安全管理人员（健康安全人员）在作业</w:t>
      </w:r>
      <w:r>
        <w:rPr>
          <w:rFonts w:hint="eastAsia" w:ascii="宋体" w:hAnsi="宋体"/>
          <w:szCs w:val="21"/>
        </w:rPr>
        <w:t>现场</w:t>
      </w:r>
      <w:r>
        <w:rPr>
          <w:rFonts w:ascii="宋体" w:hAnsi="宋体"/>
          <w:szCs w:val="21"/>
        </w:rPr>
        <w:t>进行管理</w:t>
      </w:r>
      <w:r>
        <w:rPr>
          <w:rFonts w:hint="eastAsia" w:ascii="宋体" w:hAnsi="宋体"/>
          <w:szCs w:val="21"/>
        </w:rPr>
        <w:t>；</w:t>
      </w:r>
      <w:r>
        <w:rPr>
          <w:rFonts w:ascii="宋体" w:hAnsi="宋体"/>
          <w:szCs w:val="21"/>
        </w:rPr>
        <w:t>同时，承包商应确保指派的健康安全人员必须符合当地法律法规和甲方的要求（如安全管理人员职业资质是否与工作类型及</w:t>
      </w:r>
      <w:r>
        <w:rPr>
          <w:rFonts w:hint="eastAsia" w:ascii="宋体" w:hAnsi="宋体"/>
          <w:szCs w:val="21"/>
        </w:rPr>
        <w:t>现场</w:t>
      </w:r>
      <w:r>
        <w:rPr>
          <w:rFonts w:ascii="宋体" w:hAnsi="宋体"/>
          <w:szCs w:val="21"/>
        </w:rPr>
        <w:t>人数相匹配）；</w:t>
      </w:r>
    </w:p>
    <w:p w14:paraId="73DC9702">
      <w:pPr>
        <w:numPr>
          <w:ilvl w:val="0"/>
          <w:numId w:val="22"/>
        </w:numPr>
        <w:tabs>
          <w:tab w:val="left" w:pos="0"/>
        </w:tabs>
        <w:adjustRightInd w:val="0"/>
        <w:snapToGrid w:val="0"/>
        <w:spacing w:line="320" w:lineRule="exact"/>
        <w:ind w:left="0" w:firstLine="0"/>
        <w:rPr>
          <w:rFonts w:ascii="宋体" w:hAnsi="宋体"/>
          <w:szCs w:val="21"/>
        </w:rPr>
      </w:pPr>
      <w:r>
        <w:rPr>
          <w:rFonts w:ascii="宋体" w:hAnsi="宋体"/>
          <w:szCs w:val="21"/>
        </w:rPr>
        <w:t>必须建立健康安全管理计划，并获得甲方认可，管理计划必须包含对分包商的管理</w:t>
      </w:r>
      <w:r>
        <w:rPr>
          <w:rFonts w:hint="eastAsia" w:ascii="宋体" w:hAnsi="宋体"/>
          <w:szCs w:val="21"/>
        </w:rPr>
        <w:t>（如有）</w:t>
      </w:r>
      <w:r>
        <w:rPr>
          <w:rFonts w:ascii="宋体" w:hAnsi="宋体"/>
          <w:szCs w:val="21"/>
        </w:rPr>
        <w:t>；</w:t>
      </w:r>
    </w:p>
    <w:p w14:paraId="24CF55D8">
      <w:pPr>
        <w:numPr>
          <w:ilvl w:val="0"/>
          <w:numId w:val="22"/>
        </w:numPr>
        <w:tabs>
          <w:tab w:val="left" w:pos="0"/>
        </w:tabs>
        <w:adjustRightInd w:val="0"/>
        <w:snapToGrid w:val="0"/>
        <w:spacing w:line="320" w:lineRule="exact"/>
        <w:ind w:left="0" w:firstLine="0"/>
        <w:rPr>
          <w:rFonts w:ascii="宋体" w:hAnsi="宋体"/>
          <w:szCs w:val="21"/>
        </w:rPr>
      </w:pPr>
      <w:r>
        <w:rPr>
          <w:rFonts w:hint="eastAsia" w:ascii="宋体" w:hAnsi="宋体"/>
          <w:szCs w:val="21"/>
        </w:rPr>
        <w:t>如果总承包商计划使用分包商，则总承包商负责将甲方的健康安全要求传达给分包商并确保其能够执行其中的要求；</w:t>
      </w:r>
    </w:p>
    <w:p w14:paraId="3C4C766B">
      <w:pPr>
        <w:numPr>
          <w:ilvl w:val="0"/>
          <w:numId w:val="22"/>
        </w:numPr>
        <w:tabs>
          <w:tab w:val="left" w:pos="0"/>
        </w:tabs>
        <w:adjustRightInd w:val="0"/>
        <w:snapToGrid w:val="0"/>
        <w:spacing w:line="320" w:lineRule="exact"/>
        <w:ind w:left="0" w:firstLine="0"/>
        <w:rPr>
          <w:rFonts w:ascii="宋体" w:hAnsi="宋体"/>
          <w:szCs w:val="21"/>
        </w:rPr>
      </w:pPr>
      <w:r>
        <w:rPr>
          <w:rFonts w:hint="eastAsia" w:ascii="宋体" w:hAnsi="宋体"/>
          <w:szCs w:val="21"/>
        </w:rPr>
        <w:t>总承包必须提前告知甲方其使用分包商的情况，包括分包商公司情况及分包的工作内容；如果有迹象表明分包商的健康安全表现不佳或者能力不足，甲方有权拒绝使用该分包商；</w:t>
      </w:r>
    </w:p>
    <w:p w14:paraId="1F427620">
      <w:pPr>
        <w:numPr>
          <w:ilvl w:val="0"/>
          <w:numId w:val="22"/>
        </w:numPr>
        <w:tabs>
          <w:tab w:val="left" w:pos="0"/>
        </w:tabs>
        <w:adjustRightInd w:val="0"/>
        <w:snapToGrid w:val="0"/>
        <w:spacing w:line="320" w:lineRule="exact"/>
        <w:ind w:left="0" w:firstLine="0"/>
        <w:rPr>
          <w:rFonts w:ascii="宋体" w:hAnsi="宋体"/>
          <w:szCs w:val="21"/>
        </w:rPr>
      </w:pPr>
      <w:r>
        <w:rPr>
          <w:rFonts w:ascii="宋体" w:hAnsi="宋体"/>
          <w:szCs w:val="21"/>
        </w:rPr>
        <w:t>必须建立安全管理架构，并获得甲方认可；对于低风险作业承包商，如作业时间超过4周并且作业人员超过20人的，</w:t>
      </w:r>
      <w:r>
        <w:rPr>
          <w:rFonts w:hint="eastAsia" w:ascii="宋体" w:hAnsi="宋体"/>
          <w:szCs w:val="21"/>
        </w:rPr>
        <w:t>应</w:t>
      </w:r>
      <w:r>
        <w:rPr>
          <w:rFonts w:ascii="宋体" w:hAnsi="宋体"/>
          <w:szCs w:val="21"/>
        </w:rPr>
        <w:t>至少指派一名专职的安全管理人员在工作现</w:t>
      </w:r>
      <w:r>
        <w:rPr>
          <w:rFonts w:hint="eastAsia" w:ascii="宋体" w:hAnsi="宋体"/>
          <w:szCs w:val="21"/>
        </w:rPr>
        <w:t>场</w:t>
      </w:r>
      <w:r>
        <w:rPr>
          <w:rFonts w:ascii="宋体" w:hAnsi="宋体"/>
          <w:szCs w:val="21"/>
        </w:rPr>
        <w:t>；如作业人员</w:t>
      </w:r>
      <w:r>
        <w:rPr>
          <w:rFonts w:hint="eastAsia" w:ascii="宋体" w:hAnsi="宋体"/>
          <w:szCs w:val="21"/>
        </w:rPr>
        <w:t>少于</w:t>
      </w:r>
      <w:r>
        <w:rPr>
          <w:rFonts w:ascii="宋体" w:hAnsi="宋体"/>
          <w:szCs w:val="21"/>
        </w:rPr>
        <w:t>20</w:t>
      </w:r>
      <w:r>
        <w:rPr>
          <w:rFonts w:hint="eastAsia" w:ascii="宋体" w:hAnsi="宋体"/>
          <w:szCs w:val="21"/>
        </w:rPr>
        <w:t>人的</w:t>
      </w:r>
      <w:r>
        <w:rPr>
          <w:rFonts w:ascii="宋体" w:hAnsi="宋体"/>
          <w:szCs w:val="21"/>
        </w:rPr>
        <w:t>，可指派一名兼职</w:t>
      </w:r>
      <w:r>
        <w:rPr>
          <w:rFonts w:hint="eastAsia" w:ascii="宋体" w:hAnsi="宋体"/>
          <w:szCs w:val="21"/>
        </w:rPr>
        <w:t>现场</w:t>
      </w:r>
      <w:r>
        <w:rPr>
          <w:rFonts w:ascii="宋体" w:hAnsi="宋体"/>
          <w:szCs w:val="21"/>
        </w:rPr>
        <w:t>安全管理人员；对于高风险作业承包商，无论作业时间长短</w:t>
      </w:r>
      <w:r>
        <w:rPr>
          <w:rFonts w:hint="eastAsia" w:ascii="宋体" w:hAnsi="宋体"/>
          <w:szCs w:val="21"/>
        </w:rPr>
        <w:t>，</w:t>
      </w:r>
      <w:r>
        <w:rPr>
          <w:rFonts w:ascii="宋体" w:hAnsi="宋体"/>
          <w:szCs w:val="21"/>
        </w:rPr>
        <w:t>作业人数超过10人的，作业期间必须指派一名专职的安全管理人员；</w:t>
      </w:r>
    </w:p>
    <w:p w14:paraId="6D6A1D19">
      <w:pPr>
        <w:numPr>
          <w:ilvl w:val="0"/>
          <w:numId w:val="22"/>
        </w:numPr>
        <w:tabs>
          <w:tab w:val="left" w:pos="0"/>
        </w:tabs>
        <w:adjustRightInd w:val="0"/>
        <w:snapToGrid w:val="0"/>
        <w:spacing w:line="320" w:lineRule="exact"/>
        <w:ind w:left="0" w:firstLine="0"/>
        <w:rPr>
          <w:rFonts w:ascii="宋体" w:hAnsi="宋体"/>
          <w:szCs w:val="21"/>
        </w:rPr>
      </w:pPr>
      <w:r>
        <w:rPr>
          <w:rFonts w:ascii="宋体" w:hAnsi="宋体"/>
          <w:szCs w:val="21"/>
        </w:rPr>
        <w:t>如承包商的作业人员依法需具备与作业业务相适应的合法有效资质（包括但不限于特殊设备操作许可证，例如电气作业、起重设备、重型车辆和叉车操作作业、其他类型的车辆驾驶作业、压力容器作业</w:t>
      </w:r>
      <w:r>
        <w:rPr>
          <w:rFonts w:hint="eastAsia" w:ascii="宋体" w:hAnsi="宋体"/>
          <w:szCs w:val="21"/>
        </w:rPr>
        <w:t>、锅炉作业</w:t>
      </w:r>
      <w:r>
        <w:rPr>
          <w:rFonts w:ascii="宋体" w:hAnsi="宋体"/>
          <w:szCs w:val="21"/>
        </w:rPr>
        <w:t>等），承包商有责任确保上述作业人员和作业设备具备与作业业务相适应的合法资质，并在作业前接受了健康安全风险培训，了解风险控制及要求后方可进行作业；特种作业人员必须</w:t>
      </w:r>
      <w:r>
        <w:rPr>
          <w:rFonts w:hint="eastAsia" w:ascii="宋体" w:hAnsi="宋体"/>
          <w:szCs w:val="21"/>
        </w:rPr>
        <w:t>持有与作业业务相适应的合法有效资质</w:t>
      </w:r>
      <w:r>
        <w:rPr>
          <w:rFonts w:ascii="宋体" w:hAnsi="宋体"/>
          <w:szCs w:val="21"/>
        </w:rPr>
        <w:t>，经培训考核合格后上岗，并按规定定期审</w:t>
      </w:r>
      <w:r>
        <w:rPr>
          <w:rFonts w:hint="eastAsia" w:ascii="宋体" w:hAnsi="宋体"/>
          <w:szCs w:val="21"/>
        </w:rPr>
        <w:t>（换）</w:t>
      </w:r>
      <w:r>
        <w:rPr>
          <w:rFonts w:ascii="宋体" w:hAnsi="宋体"/>
          <w:szCs w:val="21"/>
        </w:rPr>
        <w:t>证；</w:t>
      </w:r>
    </w:p>
    <w:p w14:paraId="40F489C8">
      <w:pPr>
        <w:numPr>
          <w:ilvl w:val="0"/>
          <w:numId w:val="22"/>
        </w:numPr>
        <w:tabs>
          <w:tab w:val="left" w:pos="0"/>
        </w:tabs>
        <w:adjustRightInd w:val="0"/>
        <w:snapToGrid w:val="0"/>
        <w:spacing w:line="320" w:lineRule="exact"/>
        <w:ind w:left="0" w:firstLine="0"/>
        <w:rPr>
          <w:rFonts w:ascii="宋体" w:hAnsi="宋体"/>
          <w:szCs w:val="21"/>
        </w:rPr>
      </w:pPr>
      <w:r>
        <w:rPr>
          <w:rFonts w:hint="eastAsia" w:ascii="宋体" w:hAnsi="宋体"/>
          <w:szCs w:val="21"/>
        </w:rPr>
        <w:t>必须建立安全生产责任制，并获得甲方认可，安全责任制必须涵盖各级人员安全责任；承包商应建立各作业岗位和工种的安全操作规程，并负责定期安全检查和安全教育等。</w:t>
      </w:r>
    </w:p>
    <w:p w14:paraId="72C8D6B0">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关于承包商作业方案与实施</w:t>
      </w:r>
    </w:p>
    <w:p w14:paraId="40AE3FE0">
      <w:pPr>
        <w:numPr>
          <w:ilvl w:val="0"/>
          <w:numId w:val="23"/>
        </w:numPr>
        <w:adjustRightInd w:val="0"/>
        <w:snapToGrid w:val="0"/>
        <w:spacing w:line="320" w:lineRule="exact"/>
        <w:ind w:left="0" w:firstLine="0"/>
        <w:rPr>
          <w:rFonts w:ascii="宋体" w:hAnsi="宋体"/>
          <w:szCs w:val="21"/>
        </w:rPr>
      </w:pPr>
      <w:r>
        <w:rPr>
          <w:rFonts w:ascii="宋体" w:hAnsi="宋体"/>
          <w:szCs w:val="21"/>
        </w:rPr>
        <w:t>在作业前，及时与甲方确定安全作业</w:t>
      </w:r>
      <w:r>
        <w:rPr>
          <w:rFonts w:hint="eastAsia" w:ascii="宋体" w:hAnsi="宋体"/>
          <w:szCs w:val="21"/>
        </w:rPr>
        <w:t>/施工</w:t>
      </w:r>
      <w:r>
        <w:rPr>
          <w:rFonts w:ascii="宋体" w:hAnsi="宋体"/>
          <w:szCs w:val="21"/>
        </w:rPr>
        <w:t>方案，严格按照该安全作业</w:t>
      </w:r>
      <w:r>
        <w:rPr>
          <w:rFonts w:hint="eastAsia" w:ascii="宋体" w:hAnsi="宋体"/>
          <w:szCs w:val="21"/>
        </w:rPr>
        <w:t>/施工</w:t>
      </w:r>
      <w:r>
        <w:rPr>
          <w:rFonts w:ascii="宋体" w:hAnsi="宋体"/>
          <w:szCs w:val="21"/>
        </w:rPr>
        <w:t>方案实施；如发现任何的违规行为，应及时整改到位；</w:t>
      </w:r>
    </w:p>
    <w:p w14:paraId="54A4B1DB">
      <w:pPr>
        <w:numPr>
          <w:ilvl w:val="0"/>
          <w:numId w:val="23"/>
        </w:numPr>
        <w:adjustRightInd w:val="0"/>
        <w:snapToGrid w:val="0"/>
        <w:spacing w:line="320" w:lineRule="exact"/>
        <w:ind w:left="0" w:firstLine="0"/>
        <w:rPr>
          <w:rFonts w:ascii="宋体" w:hAnsi="宋体"/>
          <w:szCs w:val="21"/>
        </w:rPr>
      </w:pPr>
      <w:r>
        <w:rPr>
          <w:rFonts w:ascii="宋体" w:hAnsi="宋体"/>
          <w:szCs w:val="21"/>
        </w:rPr>
        <w:t>如与</w:t>
      </w:r>
      <w:r>
        <w:rPr>
          <w:rFonts w:hint="eastAsia" w:ascii="宋体" w:hAnsi="宋体"/>
          <w:szCs w:val="21"/>
        </w:rPr>
        <w:t>其他</w:t>
      </w:r>
      <w:r>
        <w:rPr>
          <w:rFonts w:ascii="宋体" w:hAnsi="宋体"/>
          <w:szCs w:val="21"/>
        </w:rPr>
        <w:t>承包商或甲方在作业上存在</w:t>
      </w:r>
      <w:r>
        <w:rPr>
          <w:rFonts w:hint="eastAsia" w:ascii="宋体" w:hAnsi="宋体"/>
          <w:szCs w:val="21"/>
        </w:rPr>
        <w:t>交叉或</w:t>
      </w:r>
      <w:r>
        <w:rPr>
          <w:rFonts w:ascii="宋体" w:hAnsi="宋体"/>
          <w:szCs w:val="21"/>
        </w:rPr>
        <w:t>冲突</w:t>
      </w:r>
      <w:r>
        <w:rPr>
          <w:rFonts w:hint="eastAsia" w:ascii="宋体" w:hAnsi="宋体"/>
          <w:szCs w:val="21"/>
        </w:rPr>
        <w:t>的</w:t>
      </w:r>
      <w:r>
        <w:rPr>
          <w:rFonts w:ascii="宋体" w:hAnsi="宋体"/>
          <w:szCs w:val="21"/>
        </w:rPr>
        <w:t>，必须在制定作业</w:t>
      </w:r>
      <w:r>
        <w:rPr>
          <w:rFonts w:hint="eastAsia" w:ascii="宋体" w:hAnsi="宋体"/>
          <w:szCs w:val="21"/>
        </w:rPr>
        <w:t>/施工</w:t>
      </w:r>
      <w:r>
        <w:rPr>
          <w:rFonts w:ascii="宋体" w:hAnsi="宋体"/>
          <w:szCs w:val="21"/>
        </w:rPr>
        <w:t>方案阶段明确提出，按照达成一致的安全作业</w:t>
      </w:r>
      <w:r>
        <w:rPr>
          <w:rFonts w:hint="eastAsia" w:ascii="宋体" w:hAnsi="宋体"/>
          <w:szCs w:val="21"/>
        </w:rPr>
        <w:t>/施工</w:t>
      </w:r>
      <w:r>
        <w:rPr>
          <w:rFonts w:ascii="宋体" w:hAnsi="宋体"/>
          <w:szCs w:val="21"/>
        </w:rPr>
        <w:t>方案执行；如作业中作业</w:t>
      </w:r>
      <w:r>
        <w:rPr>
          <w:rFonts w:hint="eastAsia" w:ascii="宋体" w:hAnsi="宋体"/>
          <w:szCs w:val="21"/>
        </w:rPr>
        <w:t>/施工方案</w:t>
      </w:r>
      <w:r>
        <w:rPr>
          <w:rFonts w:ascii="宋体" w:hAnsi="宋体"/>
          <w:szCs w:val="21"/>
        </w:rPr>
        <w:t>发生</w:t>
      </w:r>
      <w:r>
        <w:rPr>
          <w:rFonts w:hint="eastAsia" w:ascii="宋体" w:hAnsi="宋体"/>
          <w:szCs w:val="21"/>
        </w:rPr>
        <w:t>变更，</w:t>
      </w:r>
      <w:r>
        <w:rPr>
          <w:rFonts w:ascii="宋体" w:hAnsi="宋体"/>
          <w:szCs w:val="21"/>
        </w:rPr>
        <w:t>必须提前告知；因作业</w:t>
      </w:r>
      <w:r>
        <w:rPr>
          <w:rFonts w:hint="eastAsia" w:ascii="宋体" w:hAnsi="宋体"/>
          <w:szCs w:val="21"/>
        </w:rPr>
        <w:t>/施工</w:t>
      </w:r>
      <w:r>
        <w:rPr>
          <w:rFonts w:ascii="宋体" w:hAnsi="宋体"/>
          <w:szCs w:val="21"/>
        </w:rPr>
        <w:t>方案变化</w:t>
      </w:r>
      <w:r>
        <w:rPr>
          <w:rFonts w:hint="eastAsia" w:ascii="宋体" w:hAnsi="宋体"/>
          <w:szCs w:val="21"/>
        </w:rPr>
        <w:t>产生</w:t>
      </w:r>
      <w:r>
        <w:rPr>
          <w:rFonts w:ascii="宋体" w:hAnsi="宋体"/>
          <w:szCs w:val="21"/>
        </w:rPr>
        <w:t>新的风险或发生事故</w:t>
      </w:r>
      <w:r>
        <w:rPr>
          <w:rFonts w:hint="eastAsia" w:ascii="宋体" w:hAnsi="宋体"/>
          <w:szCs w:val="21"/>
        </w:rPr>
        <w:t>的</w:t>
      </w:r>
      <w:r>
        <w:rPr>
          <w:rFonts w:ascii="宋体" w:hAnsi="宋体"/>
          <w:szCs w:val="21"/>
        </w:rPr>
        <w:t>，必须立即停止作业并通报甲方</w:t>
      </w:r>
      <w:r>
        <w:rPr>
          <w:rFonts w:hint="eastAsia" w:ascii="宋体" w:hAnsi="宋体"/>
          <w:szCs w:val="21"/>
        </w:rPr>
        <w:t>。</w:t>
      </w:r>
    </w:p>
    <w:p w14:paraId="5E6F8F1E">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关于作业工具和设备设施</w:t>
      </w:r>
    </w:p>
    <w:p w14:paraId="5B5E0C2E">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承包商的作业工具和设备设施如依据国家相关法律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规章和甲方要求需要具备相关资质的，应满足国家相关法律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规章和甲方的要求，具备相关资质，并提供作业工具、设备清单和相关安全信息，经过甲方</w:t>
      </w:r>
      <w:r>
        <w:rPr>
          <w:rFonts w:hint="eastAsia" w:ascii="宋体" w:hAnsi="宋体"/>
          <w:szCs w:val="21"/>
        </w:rPr>
        <w:t>检查合格并张贴“允许使用”标签</w:t>
      </w:r>
      <w:r>
        <w:rPr>
          <w:rFonts w:ascii="宋体" w:hAnsi="宋体"/>
          <w:szCs w:val="21"/>
        </w:rPr>
        <w:t>后</w:t>
      </w:r>
      <w:r>
        <w:rPr>
          <w:rFonts w:hint="eastAsia" w:ascii="宋体" w:hAnsi="宋体"/>
          <w:szCs w:val="21"/>
        </w:rPr>
        <w:t>方可</w:t>
      </w:r>
      <w:r>
        <w:rPr>
          <w:rFonts w:ascii="宋体" w:hAnsi="宋体"/>
          <w:szCs w:val="21"/>
        </w:rPr>
        <w:t>进入作业区域，进行相关的作业；</w:t>
      </w:r>
    </w:p>
    <w:p w14:paraId="76C62C39">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不允许承包商借用</w:t>
      </w:r>
      <w:r>
        <w:rPr>
          <w:rFonts w:hint="eastAsia" w:ascii="宋体" w:hAnsi="宋体"/>
          <w:szCs w:val="21"/>
        </w:rPr>
        <w:t>合同约定之外的</w:t>
      </w:r>
      <w:r>
        <w:rPr>
          <w:rFonts w:ascii="宋体" w:hAnsi="宋体"/>
          <w:szCs w:val="21"/>
        </w:rPr>
        <w:t>甲方工具和设备；</w:t>
      </w:r>
    </w:p>
    <w:p w14:paraId="7268B13A">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承包商雇佣或合作的车辆和人员及其所使用的设备和工具，由承包商审查是否具有合法的资质、是否持有与驾驶车型相匹配的合法有效驾驶证、操作证</w:t>
      </w:r>
      <w:r>
        <w:rPr>
          <w:rFonts w:hint="eastAsia" w:ascii="宋体" w:hAnsi="宋体"/>
          <w:szCs w:val="21"/>
        </w:rPr>
        <w:t>、</w:t>
      </w:r>
      <w:r>
        <w:rPr>
          <w:rFonts w:ascii="宋体" w:hAnsi="宋体"/>
          <w:szCs w:val="21"/>
        </w:rPr>
        <w:t>资格证、健康证等原件</w:t>
      </w:r>
      <w:r>
        <w:rPr>
          <w:rFonts w:hint="eastAsia" w:ascii="宋体" w:hAnsi="宋体"/>
          <w:szCs w:val="21"/>
        </w:rPr>
        <w:t>，并</w:t>
      </w:r>
      <w:r>
        <w:rPr>
          <w:rFonts w:ascii="宋体" w:hAnsi="宋体"/>
          <w:szCs w:val="21"/>
        </w:rPr>
        <w:t>审查设备或工具是否具有检验合格证明；甲方有权对乙方雇佣或合作的车辆、人员和所使用工具设备等状况进行形式审查；</w:t>
      </w:r>
    </w:p>
    <w:p w14:paraId="14DE430E">
      <w:pPr>
        <w:numPr>
          <w:ilvl w:val="0"/>
          <w:numId w:val="24"/>
        </w:numPr>
        <w:tabs>
          <w:tab w:val="left" w:pos="0"/>
        </w:tabs>
        <w:adjustRightInd w:val="0"/>
        <w:snapToGrid w:val="0"/>
        <w:spacing w:line="320" w:lineRule="exact"/>
        <w:ind w:left="0" w:firstLine="0"/>
        <w:rPr>
          <w:rFonts w:ascii="宋体" w:hAnsi="宋体"/>
          <w:szCs w:val="21"/>
        </w:rPr>
      </w:pPr>
      <w:r>
        <w:rPr>
          <w:rFonts w:hint="eastAsia" w:ascii="宋体" w:hAnsi="宋体"/>
          <w:szCs w:val="21"/>
        </w:rPr>
        <w:t>须</w:t>
      </w:r>
      <w:r>
        <w:rPr>
          <w:rFonts w:ascii="宋体" w:hAnsi="宋体"/>
          <w:szCs w:val="21"/>
        </w:rPr>
        <w:t>始终确保作业工具和设备状态良好，符合国家相关法律</w:t>
      </w:r>
      <w:r>
        <w:rPr>
          <w:rFonts w:hint="eastAsia" w:ascii="宋体" w:hAnsi="宋体"/>
          <w:szCs w:val="21"/>
        </w:rPr>
        <w:t>、</w:t>
      </w:r>
      <w:r>
        <w:rPr>
          <w:rFonts w:ascii="宋体" w:hAnsi="宋体"/>
          <w:szCs w:val="21"/>
        </w:rPr>
        <w:t>法规</w:t>
      </w:r>
      <w:r>
        <w:rPr>
          <w:rFonts w:hint="eastAsia" w:ascii="宋体" w:hAnsi="宋体"/>
          <w:szCs w:val="21"/>
        </w:rPr>
        <w:t>、</w:t>
      </w:r>
      <w:r>
        <w:rPr>
          <w:rFonts w:ascii="宋体" w:hAnsi="宋体"/>
          <w:szCs w:val="21"/>
        </w:rPr>
        <w:t>规章和甲方</w:t>
      </w:r>
      <w:r>
        <w:rPr>
          <w:rFonts w:hint="eastAsia" w:ascii="宋体" w:hAnsi="宋体"/>
          <w:szCs w:val="21"/>
        </w:rPr>
        <w:t>的</w:t>
      </w:r>
      <w:r>
        <w:rPr>
          <w:rFonts w:ascii="宋体" w:hAnsi="宋体"/>
          <w:szCs w:val="21"/>
        </w:rPr>
        <w:t>要求，有序停放在指定的区域；始终高效使用作业设备，爱护工具，高效节约使用原材料、能源、燃料等；</w:t>
      </w:r>
    </w:p>
    <w:p w14:paraId="38ABCBDD">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承包商的电离辐射设备和工具不允许存放在甲方</w:t>
      </w:r>
      <w:r>
        <w:rPr>
          <w:rFonts w:hint="eastAsia" w:ascii="宋体" w:hAnsi="宋体"/>
          <w:szCs w:val="21"/>
        </w:rPr>
        <w:t>场所</w:t>
      </w:r>
      <w:r>
        <w:rPr>
          <w:rFonts w:ascii="宋体" w:hAnsi="宋体"/>
          <w:szCs w:val="21"/>
        </w:rPr>
        <w:t>内，如需进入甲方</w:t>
      </w:r>
      <w:r>
        <w:rPr>
          <w:rFonts w:hint="eastAsia" w:ascii="宋体" w:hAnsi="宋体"/>
          <w:szCs w:val="21"/>
        </w:rPr>
        <w:t>场所内</w:t>
      </w:r>
      <w:r>
        <w:rPr>
          <w:rFonts w:ascii="宋体" w:hAnsi="宋体"/>
          <w:szCs w:val="21"/>
        </w:rPr>
        <w:t>，须提前经甲方批准并在使用过程中满足安全距离、安全警戒、标识牌、有效告知、专人监护等规定及甲方安全要求；</w:t>
      </w:r>
    </w:p>
    <w:p w14:paraId="50C082B1">
      <w:pPr>
        <w:numPr>
          <w:ilvl w:val="0"/>
          <w:numId w:val="24"/>
        </w:numPr>
        <w:tabs>
          <w:tab w:val="left" w:pos="0"/>
        </w:tabs>
        <w:adjustRightInd w:val="0"/>
        <w:snapToGrid w:val="0"/>
        <w:spacing w:line="320" w:lineRule="exact"/>
        <w:ind w:left="0" w:firstLine="0"/>
        <w:rPr>
          <w:rFonts w:ascii="宋体" w:hAnsi="宋体"/>
          <w:szCs w:val="21"/>
        </w:rPr>
      </w:pPr>
      <w:r>
        <w:rPr>
          <w:rFonts w:ascii="宋体" w:hAnsi="宋体"/>
          <w:szCs w:val="21"/>
        </w:rPr>
        <w:t>必须配备相应的安全设备设施（包括但不限于额外的灭火器、跌落防护装备、空气供给系统、通风和气体监测设备等）</w:t>
      </w:r>
      <w:r>
        <w:rPr>
          <w:rFonts w:hint="eastAsia" w:ascii="宋体" w:hAnsi="宋体"/>
          <w:szCs w:val="21"/>
        </w:rPr>
        <w:t>。</w:t>
      </w:r>
    </w:p>
    <w:p w14:paraId="2B9A85E2">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用电安全规定</w:t>
      </w:r>
    </w:p>
    <w:p w14:paraId="52674255">
      <w:pPr>
        <w:numPr>
          <w:ilvl w:val="0"/>
          <w:numId w:val="25"/>
        </w:numPr>
        <w:tabs>
          <w:tab w:val="left" w:pos="0"/>
        </w:tabs>
        <w:adjustRightInd w:val="0"/>
        <w:snapToGrid w:val="0"/>
        <w:spacing w:line="320" w:lineRule="exact"/>
        <w:ind w:left="0" w:firstLine="0"/>
        <w:rPr>
          <w:rFonts w:ascii="宋体" w:hAnsi="宋体"/>
          <w:szCs w:val="21"/>
        </w:rPr>
      </w:pPr>
      <w:r>
        <w:rPr>
          <w:rFonts w:hint="eastAsia" w:ascii="宋体" w:hAnsi="宋体"/>
          <w:szCs w:val="21"/>
        </w:rPr>
        <w:t>应</w:t>
      </w:r>
      <w:r>
        <w:rPr>
          <w:rFonts w:ascii="宋体" w:hAnsi="宋体"/>
          <w:szCs w:val="21"/>
        </w:rPr>
        <w:t>始终遵循安全用电原则和用电操作规程，确保所使用的电缆不能有接头，不得使用破损的电缆，不得</w:t>
      </w:r>
      <w:r>
        <w:rPr>
          <w:rFonts w:hint="eastAsia" w:ascii="宋体" w:hAnsi="宋体"/>
          <w:szCs w:val="21"/>
        </w:rPr>
        <w:t>敷设</w:t>
      </w:r>
      <w:r>
        <w:rPr>
          <w:rFonts w:ascii="宋体" w:hAnsi="宋体"/>
          <w:szCs w:val="21"/>
        </w:rPr>
        <w:t>在通道上，不得随意穿越门窗，不得无序杂乱布置电缆，不能使用与用电设备不匹配的电缆，不能使用不合格的电缆；电缆不得私自单独接电，应由甲方电工协助；</w:t>
      </w:r>
    </w:p>
    <w:p w14:paraId="7E30D41A">
      <w:pPr>
        <w:numPr>
          <w:ilvl w:val="0"/>
          <w:numId w:val="25"/>
        </w:numPr>
        <w:tabs>
          <w:tab w:val="left" w:pos="0"/>
        </w:tabs>
        <w:adjustRightInd w:val="0"/>
        <w:snapToGrid w:val="0"/>
        <w:spacing w:line="320" w:lineRule="exact"/>
        <w:ind w:left="0" w:firstLine="0"/>
        <w:rPr>
          <w:rFonts w:ascii="宋体" w:hAnsi="宋体"/>
          <w:szCs w:val="21"/>
        </w:rPr>
      </w:pPr>
      <w:r>
        <w:rPr>
          <w:rFonts w:ascii="宋体" w:hAnsi="宋体"/>
          <w:szCs w:val="21"/>
        </w:rPr>
        <w:t>作业使用配电箱</w:t>
      </w:r>
      <w:r>
        <w:rPr>
          <w:rFonts w:hint="eastAsia" w:ascii="宋体" w:hAnsi="宋体"/>
          <w:szCs w:val="21"/>
        </w:rPr>
        <w:t>，</w:t>
      </w:r>
      <w:r>
        <w:rPr>
          <w:rFonts w:ascii="宋体" w:hAnsi="宋体"/>
          <w:szCs w:val="21"/>
        </w:rPr>
        <w:t>必须</w:t>
      </w:r>
      <w:r>
        <w:rPr>
          <w:rFonts w:hint="eastAsia" w:ascii="宋体" w:hAnsi="宋体"/>
          <w:szCs w:val="21"/>
        </w:rPr>
        <w:t>采用满足用电载荷的</w:t>
      </w:r>
      <w:r>
        <w:rPr>
          <w:rFonts w:ascii="宋体" w:hAnsi="宋体"/>
          <w:szCs w:val="21"/>
        </w:rPr>
        <w:t>电缆，并有合格的接地措施；</w:t>
      </w:r>
    </w:p>
    <w:p w14:paraId="5F969E3F">
      <w:pPr>
        <w:numPr>
          <w:ilvl w:val="0"/>
          <w:numId w:val="25"/>
        </w:numPr>
        <w:tabs>
          <w:tab w:val="left" w:pos="0"/>
        </w:tabs>
        <w:adjustRightInd w:val="0"/>
        <w:snapToGrid w:val="0"/>
        <w:spacing w:line="320" w:lineRule="exact"/>
        <w:ind w:left="0" w:firstLine="0"/>
        <w:rPr>
          <w:rFonts w:ascii="宋体" w:hAnsi="宋体"/>
          <w:szCs w:val="21"/>
        </w:rPr>
      </w:pPr>
      <w:r>
        <w:rPr>
          <w:rFonts w:ascii="宋体" w:hAnsi="宋体"/>
          <w:szCs w:val="21"/>
        </w:rPr>
        <w:t>必须使用安全的插头、插座，不得直接把电线插入插座；必须确保插头、插座等电源接入处的电缆内外绝缘层完好；</w:t>
      </w:r>
    </w:p>
    <w:p w14:paraId="18067E47">
      <w:pPr>
        <w:numPr>
          <w:ilvl w:val="0"/>
          <w:numId w:val="25"/>
        </w:numPr>
        <w:tabs>
          <w:tab w:val="left" w:pos="0"/>
        </w:tabs>
        <w:adjustRightInd w:val="0"/>
        <w:snapToGrid w:val="0"/>
        <w:spacing w:line="320" w:lineRule="exact"/>
        <w:ind w:left="0" w:firstLine="0"/>
        <w:rPr>
          <w:rFonts w:ascii="宋体" w:hAnsi="宋体"/>
          <w:szCs w:val="21"/>
        </w:rPr>
      </w:pPr>
      <w:r>
        <w:rPr>
          <w:rFonts w:ascii="宋体" w:hAnsi="宋体"/>
          <w:szCs w:val="21"/>
        </w:rPr>
        <w:t>不得使用有电源接头外露的设备</w:t>
      </w:r>
      <w:r>
        <w:rPr>
          <w:rFonts w:hint="eastAsia" w:ascii="宋体" w:hAnsi="宋体"/>
          <w:szCs w:val="21"/>
        </w:rPr>
        <w:t>。</w:t>
      </w:r>
    </w:p>
    <w:p w14:paraId="56501795">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安全作业</w:t>
      </w:r>
      <w:r>
        <w:rPr>
          <w:rFonts w:hint="eastAsia" w:ascii="宋体" w:hAnsi="宋体"/>
          <w:b/>
          <w:bCs/>
          <w:szCs w:val="21"/>
        </w:rPr>
        <w:t>票</w:t>
      </w:r>
    </w:p>
    <w:p w14:paraId="6F294F05">
      <w:pPr>
        <w:numPr>
          <w:ilvl w:val="0"/>
          <w:numId w:val="26"/>
        </w:numPr>
        <w:adjustRightInd w:val="0"/>
        <w:snapToGrid w:val="0"/>
        <w:spacing w:line="320" w:lineRule="exact"/>
        <w:ind w:left="0" w:firstLine="0"/>
        <w:rPr>
          <w:rFonts w:ascii="宋体" w:hAnsi="宋体"/>
          <w:szCs w:val="21"/>
        </w:rPr>
      </w:pPr>
      <w:r>
        <w:rPr>
          <w:rFonts w:ascii="宋体" w:hAnsi="宋体"/>
          <w:szCs w:val="21"/>
        </w:rPr>
        <w:t>在进行交叉、</w:t>
      </w:r>
      <w:r>
        <w:rPr>
          <w:rFonts w:hint="eastAsia" w:ascii="宋体" w:hAnsi="宋体"/>
          <w:szCs w:val="21"/>
        </w:rPr>
        <w:t>高处</w:t>
      </w:r>
      <w:r>
        <w:rPr>
          <w:rFonts w:ascii="宋体" w:hAnsi="宋体"/>
          <w:szCs w:val="21"/>
        </w:rPr>
        <w:t>、动火、临时用电、进入</w:t>
      </w:r>
      <w:r>
        <w:rPr>
          <w:rFonts w:hint="eastAsia" w:ascii="宋体" w:hAnsi="宋体"/>
          <w:szCs w:val="21"/>
        </w:rPr>
        <w:t>有限</w:t>
      </w:r>
      <w:r>
        <w:rPr>
          <w:rFonts w:ascii="宋体" w:hAnsi="宋体"/>
          <w:szCs w:val="21"/>
        </w:rPr>
        <w:t>空间、挖掘/动土、</w:t>
      </w:r>
      <w:r>
        <w:rPr>
          <w:rFonts w:hint="eastAsia" w:ascii="宋体" w:hAnsi="宋体"/>
          <w:szCs w:val="21"/>
        </w:rPr>
        <w:t>吊装作业</w:t>
      </w:r>
      <w:r>
        <w:rPr>
          <w:rFonts w:ascii="宋体" w:hAnsi="宋体"/>
          <w:szCs w:val="21"/>
        </w:rPr>
        <w:t>、</w:t>
      </w:r>
      <w:r>
        <w:rPr>
          <w:rFonts w:hint="eastAsia" w:ascii="宋体" w:hAnsi="宋体"/>
          <w:szCs w:val="21"/>
        </w:rPr>
        <w:t>盲板抽堵</w:t>
      </w:r>
      <w:r>
        <w:rPr>
          <w:rFonts w:ascii="宋体" w:hAnsi="宋体"/>
          <w:szCs w:val="21"/>
        </w:rPr>
        <w:t>等</w:t>
      </w:r>
      <w:r>
        <w:rPr>
          <w:rFonts w:hint="eastAsia" w:ascii="宋体" w:hAnsi="宋体"/>
          <w:szCs w:val="21"/>
        </w:rPr>
        <w:t>危险</w:t>
      </w:r>
      <w:r>
        <w:rPr>
          <w:rFonts w:ascii="宋体" w:hAnsi="宋体"/>
          <w:szCs w:val="21"/>
        </w:rPr>
        <w:t>作业前，必须</w:t>
      </w:r>
      <w:r>
        <w:rPr>
          <w:rFonts w:hint="eastAsia" w:ascii="宋体" w:hAnsi="宋体"/>
          <w:szCs w:val="21"/>
        </w:rPr>
        <w:t>向甲方</w:t>
      </w:r>
      <w:r>
        <w:rPr>
          <w:rFonts w:ascii="宋体" w:hAnsi="宋体"/>
          <w:szCs w:val="21"/>
        </w:rPr>
        <w:t>申请并获得“安全作业</w:t>
      </w:r>
      <w:r>
        <w:rPr>
          <w:rFonts w:hint="eastAsia" w:ascii="宋体" w:hAnsi="宋体"/>
          <w:szCs w:val="21"/>
        </w:rPr>
        <w:t>票</w:t>
      </w:r>
      <w:r>
        <w:rPr>
          <w:rFonts w:ascii="宋体" w:hAnsi="宋体"/>
          <w:szCs w:val="21"/>
        </w:rPr>
        <w:t>”；未</w:t>
      </w:r>
      <w:r>
        <w:rPr>
          <w:rFonts w:hint="eastAsia" w:ascii="宋体" w:hAnsi="宋体"/>
          <w:szCs w:val="21"/>
        </w:rPr>
        <w:t>获</w:t>
      </w:r>
      <w:r>
        <w:rPr>
          <w:rFonts w:ascii="宋体" w:hAnsi="宋体"/>
          <w:szCs w:val="21"/>
        </w:rPr>
        <w:t>得</w:t>
      </w:r>
      <w:r>
        <w:rPr>
          <w:rFonts w:hint="eastAsia" w:ascii="宋体" w:hAnsi="宋体"/>
          <w:szCs w:val="21"/>
        </w:rPr>
        <w:t>该项作业的审批前</w:t>
      </w:r>
      <w:r>
        <w:rPr>
          <w:rFonts w:ascii="宋体" w:hAnsi="宋体"/>
          <w:szCs w:val="21"/>
        </w:rPr>
        <w:t>，不得进行前述作业；该许可</w:t>
      </w:r>
      <w:r>
        <w:rPr>
          <w:rFonts w:hint="eastAsia" w:ascii="宋体" w:hAnsi="宋体"/>
          <w:szCs w:val="21"/>
        </w:rPr>
        <w:t>仅在许可时间范围内</w:t>
      </w:r>
      <w:r>
        <w:rPr>
          <w:rFonts w:ascii="宋体" w:hAnsi="宋体"/>
          <w:szCs w:val="21"/>
        </w:rPr>
        <w:t>有效，逾期失效；</w:t>
      </w:r>
    </w:p>
    <w:p w14:paraId="72A9B053">
      <w:pPr>
        <w:numPr>
          <w:ilvl w:val="0"/>
          <w:numId w:val="26"/>
        </w:numPr>
        <w:adjustRightInd w:val="0"/>
        <w:snapToGrid w:val="0"/>
        <w:spacing w:line="320" w:lineRule="exact"/>
        <w:ind w:left="0" w:firstLine="0"/>
        <w:rPr>
          <w:rFonts w:ascii="宋体" w:hAnsi="宋体"/>
          <w:szCs w:val="21"/>
        </w:rPr>
      </w:pPr>
      <w:r>
        <w:rPr>
          <w:rFonts w:hint="eastAsia" w:ascii="宋体" w:hAnsi="宋体"/>
          <w:szCs w:val="21"/>
        </w:rPr>
        <w:t>当作业条件发生变化时，均应重新申请上述 “安全作业票”；在申请获准前，严禁从事危险作业；作业过程中，必须满足上述作业许可中所要求的全部事宜。</w:t>
      </w:r>
    </w:p>
    <w:p w14:paraId="4AF3EE82">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关于上锁挂牌规定</w:t>
      </w:r>
    </w:p>
    <w:p w14:paraId="3CF0E022">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承包商必须遵守甲方上锁挂牌要求；</w:t>
      </w:r>
    </w:p>
    <w:p w14:paraId="4A274C57">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为保护作业人员和其他人员不被意外</w:t>
      </w:r>
      <w:r>
        <w:rPr>
          <w:rFonts w:hint="eastAsia" w:ascii="宋体" w:hAnsi="宋体"/>
          <w:szCs w:val="21"/>
        </w:rPr>
        <w:t>启动</w:t>
      </w:r>
      <w:r>
        <w:rPr>
          <w:rFonts w:ascii="宋体" w:hAnsi="宋体"/>
          <w:szCs w:val="21"/>
        </w:rPr>
        <w:t>的设备导致伤害，在作业前</w:t>
      </w:r>
      <w:r>
        <w:rPr>
          <w:rFonts w:hint="eastAsia" w:ascii="宋体" w:hAnsi="宋体"/>
          <w:szCs w:val="21"/>
        </w:rPr>
        <w:t>应</w:t>
      </w:r>
      <w:r>
        <w:rPr>
          <w:rFonts w:ascii="宋体" w:hAnsi="宋体"/>
          <w:szCs w:val="21"/>
        </w:rPr>
        <w:t>锁定、隔离有关设备的</w:t>
      </w:r>
      <w:r>
        <w:rPr>
          <w:rFonts w:hint="eastAsia" w:ascii="宋体" w:hAnsi="宋体"/>
          <w:szCs w:val="21"/>
        </w:rPr>
        <w:t>能量</w:t>
      </w:r>
      <w:r>
        <w:rPr>
          <w:rFonts w:ascii="宋体" w:hAnsi="宋体"/>
          <w:szCs w:val="21"/>
        </w:rPr>
        <w:t>，并挂牌警告；具体要求请与甲方</w:t>
      </w:r>
      <w:r>
        <w:rPr>
          <w:rFonts w:hint="eastAsia" w:ascii="宋体" w:hAnsi="宋体"/>
          <w:szCs w:val="21"/>
        </w:rPr>
        <w:t>相关方管理负责人</w:t>
      </w:r>
      <w:r>
        <w:rPr>
          <w:rFonts w:ascii="宋体" w:hAnsi="宋体"/>
          <w:szCs w:val="21"/>
        </w:rPr>
        <w:t>联系并获取；</w:t>
      </w:r>
    </w:p>
    <w:p w14:paraId="36455DC3">
      <w:pPr>
        <w:numPr>
          <w:ilvl w:val="0"/>
          <w:numId w:val="27"/>
        </w:numPr>
        <w:tabs>
          <w:tab w:val="left" w:pos="567"/>
        </w:tabs>
        <w:adjustRightInd w:val="0"/>
        <w:snapToGrid w:val="0"/>
        <w:spacing w:line="320" w:lineRule="exact"/>
        <w:ind w:left="0" w:firstLine="0"/>
        <w:rPr>
          <w:rFonts w:ascii="宋体" w:hAnsi="宋体"/>
          <w:szCs w:val="21"/>
        </w:rPr>
      </w:pPr>
      <w:r>
        <w:rPr>
          <w:rFonts w:ascii="宋体" w:hAnsi="宋体"/>
          <w:szCs w:val="21"/>
        </w:rPr>
        <w:t>对机器的防护装置维修，待维修完成后应把拆下的防护</w:t>
      </w:r>
      <w:r>
        <w:rPr>
          <w:rFonts w:hint="eastAsia" w:ascii="宋体" w:hAnsi="宋体"/>
          <w:szCs w:val="21"/>
        </w:rPr>
        <w:t>装置</w:t>
      </w:r>
      <w:r>
        <w:rPr>
          <w:rFonts w:ascii="宋体" w:hAnsi="宋体"/>
          <w:szCs w:val="21"/>
        </w:rPr>
        <w:t>（</w:t>
      </w:r>
      <w:r>
        <w:rPr>
          <w:rFonts w:hint="eastAsia" w:ascii="宋体" w:hAnsi="宋体"/>
          <w:szCs w:val="21"/>
        </w:rPr>
        <w:t>如</w:t>
      </w:r>
      <w:r>
        <w:rPr>
          <w:rFonts w:ascii="宋体" w:hAnsi="宋体"/>
          <w:szCs w:val="21"/>
        </w:rPr>
        <w:t>皮带罩</w:t>
      </w:r>
      <w:r>
        <w:rPr>
          <w:rFonts w:hint="eastAsia" w:ascii="宋体" w:hAnsi="宋体"/>
          <w:szCs w:val="21"/>
        </w:rPr>
        <w:t>、联锁装置等</w:t>
      </w:r>
      <w:r>
        <w:rPr>
          <w:rFonts w:ascii="宋体" w:hAnsi="宋体"/>
          <w:szCs w:val="21"/>
        </w:rPr>
        <w:t>）和防护开关</w:t>
      </w:r>
      <w:r>
        <w:rPr>
          <w:rFonts w:hint="eastAsia" w:ascii="宋体" w:hAnsi="宋体"/>
          <w:szCs w:val="21"/>
        </w:rPr>
        <w:t>恢复</w:t>
      </w:r>
      <w:r>
        <w:rPr>
          <w:rFonts w:ascii="宋体" w:hAnsi="宋体"/>
          <w:szCs w:val="21"/>
        </w:rPr>
        <w:t>原位和原有功能</w:t>
      </w:r>
      <w:r>
        <w:rPr>
          <w:rFonts w:hint="eastAsia" w:ascii="宋体" w:hAnsi="宋体"/>
          <w:szCs w:val="21"/>
        </w:rPr>
        <w:t>。</w:t>
      </w:r>
    </w:p>
    <w:p w14:paraId="23585DCD">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关于个人防护用品</w:t>
      </w:r>
    </w:p>
    <w:p w14:paraId="365BC1F6">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承包商如作业过程中可能接触</w:t>
      </w:r>
      <w:r>
        <w:rPr>
          <w:rFonts w:hint="eastAsia" w:ascii="宋体" w:hAnsi="宋体"/>
          <w:szCs w:val="21"/>
        </w:rPr>
        <w:t>危险</w:t>
      </w:r>
      <w:r>
        <w:rPr>
          <w:rFonts w:ascii="宋体" w:hAnsi="宋体"/>
          <w:szCs w:val="21"/>
        </w:rPr>
        <w:t>有害因素，承包商应依法或根据甲方的要求为其从业人员配置个人防护用品，进行相应的培训并确保从业人员始终在作业过程中</w:t>
      </w:r>
      <w:r>
        <w:rPr>
          <w:rFonts w:hint="eastAsia" w:ascii="宋体" w:hAnsi="宋体"/>
          <w:szCs w:val="21"/>
        </w:rPr>
        <w:t>佩戴</w:t>
      </w:r>
      <w:r>
        <w:rPr>
          <w:rFonts w:ascii="宋体" w:hAnsi="宋体"/>
          <w:szCs w:val="21"/>
        </w:rPr>
        <w:t>相应的个人防护用品；承包商配置的个人防护用品必须经甲方检查</w:t>
      </w:r>
      <w:r>
        <w:rPr>
          <w:rFonts w:hint="eastAsia" w:ascii="宋体" w:hAnsi="宋体"/>
          <w:szCs w:val="21"/>
        </w:rPr>
        <w:t>合格</w:t>
      </w:r>
      <w:r>
        <w:rPr>
          <w:rFonts w:ascii="宋体" w:hAnsi="宋体"/>
          <w:szCs w:val="21"/>
        </w:rPr>
        <w:t>后才可使用；</w:t>
      </w:r>
    </w:p>
    <w:p w14:paraId="014FA7EB">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承包商应确保其从业人员在进入甲方</w:t>
      </w:r>
      <w:r>
        <w:rPr>
          <w:rFonts w:hint="eastAsia" w:ascii="宋体" w:hAnsi="宋体"/>
          <w:szCs w:val="21"/>
        </w:rPr>
        <w:t>场所</w:t>
      </w:r>
      <w:r>
        <w:rPr>
          <w:rFonts w:ascii="宋体" w:hAnsi="宋体"/>
          <w:szCs w:val="21"/>
        </w:rPr>
        <w:t>时必须</w:t>
      </w:r>
      <w:r>
        <w:rPr>
          <w:rFonts w:hint="eastAsia" w:ascii="宋体" w:hAnsi="宋体"/>
          <w:szCs w:val="21"/>
        </w:rPr>
        <w:t>穿戴</w:t>
      </w:r>
      <w:r>
        <w:rPr>
          <w:rFonts w:ascii="宋体" w:hAnsi="宋体"/>
          <w:szCs w:val="21"/>
        </w:rPr>
        <w:t>合格的工服、安全鞋，在特定区域和从事特殊业务时应</w:t>
      </w:r>
      <w:r>
        <w:rPr>
          <w:rFonts w:hint="eastAsia" w:ascii="宋体" w:hAnsi="宋体"/>
          <w:szCs w:val="21"/>
        </w:rPr>
        <w:t>佩戴</w:t>
      </w:r>
      <w:r>
        <w:rPr>
          <w:rFonts w:ascii="宋体" w:hAnsi="宋体"/>
          <w:szCs w:val="21"/>
        </w:rPr>
        <w:t>相应的个人防护用品；</w:t>
      </w:r>
    </w:p>
    <w:p w14:paraId="4624A2A7">
      <w:pPr>
        <w:numPr>
          <w:ilvl w:val="0"/>
          <w:numId w:val="28"/>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应为本单位员工</w:t>
      </w:r>
      <w:r>
        <w:rPr>
          <w:rFonts w:ascii="宋体" w:hAnsi="宋体"/>
          <w:szCs w:val="21"/>
        </w:rPr>
        <w:t>提供</w:t>
      </w:r>
      <w:r>
        <w:rPr>
          <w:rFonts w:hint="eastAsia" w:ascii="宋体" w:hAnsi="宋体"/>
          <w:szCs w:val="21"/>
        </w:rPr>
        <w:t>符合甲方标准的</w:t>
      </w:r>
      <w:r>
        <w:rPr>
          <w:rFonts w:ascii="宋体" w:hAnsi="宋体"/>
          <w:szCs w:val="21"/>
        </w:rPr>
        <w:t>个人防护用品</w:t>
      </w:r>
      <w:r>
        <w:rPr>
          <w:rFonts w:hint="eastAsia" w:ascii="宋体" w:hAnsi="宋体"/>
          <w:szCs w:val="21"/>
        </w:rPr>
        <w:t>，</w:t>
      </w:r>
      <w:r>
        <w:rPr>
          <w:rFonts w:ascii="宋体" w:hAnsi="宋体"/>
          <w:szCs w:val="21"/>
        </w:rPr>
        <w:t>承包商</w:t>
      </w:r>
      <w:r>
        <w:rPr>
          <w:rFonts w:hint="eastAsia" w:ascii="宋体" w:hAnsi="宋体"/>
          <w:szCs w:val="21"/>
        </w:rPr>
        <w:t>的工作服（反光背心）或安全帽应当有明显的标示以区别于甲方员工及其他承包商。</w:t>
      </w:r>
    </w:p>
    <w:p w14:paraId="47F017C3">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关于消防安全规定</w:t>
      </w:r>
    </w:p>
    <w:p w14:paraId="1D88ECAE">
      <w:pPr>
        <w:numPr>
          <w:ilvl w:val="0"/>
          <w:numId w:val="29"/>
        </w:numPr>
        <w:tabs>
          <w:tab w:val="left" w:pos="567"/>
        </w:tabs>
        <w:adjustRightInd w:val="0"/>
        <w:snapToGrid w:val="0"/>
        <w:spacing w:line="320" w:lineRule="exact"/>
        <w:ind w:left="0" w:firstLine="0"/>
        <w:rPr>
          <w:rFonts w:ascii="宋体" w:hAnsi="宋体"/>
          <w:szCs w:val="21"/>
        </w:rPr>
      </w:pPr>
      <w:r>
        <w:rPr>
          <w:rFonts w:ascii="宋体" w:hAnsi="宋体"/>
          <w:szCs w:val="21"/>
        </w:rPr>
        <w:t>在实施作业前以及作业过程中，承包商应确保其设备设施、工具、物料、栏杆等存放有序，不得堵塞消防通道（包括逃生出口、道路），不得阻挡消防设施；</w:t>
      </w:r>
    </w:p>
    <w:p w14:paraId="4461C8D7">
      <w:pPr>
        <w:numPr>
          <w:ilvl w:val="0"/>
          <w:numId w:val="29"/>
        </w:numPr>
        <w:tabs>
          <w:tab w:val="left" w:pos="567"/>
        </w:tabs>
        <w:adjustRightInd w:val="0"/>
        <w:snapToGrid w:val="0"/>
        <w:spacing w:line="320" w:lineRule="exact"/>
        <w:ind w:left="0" w:firstLine="0"/>
        <w:rPr>
          <w:rFonts w:ascii="宋体" w:hAnsi="宋体"/>
          <w:szCs w:val="21"/>
        </w:rPr>
      </w:pPr>
      <w:r>
        <w:rPr>
          <w:rFonts w:ascii="宋体" w:hAnsi="宋体"/>
          <w:szCs w:val="21"/>
        </w:rPr>
        <w:t>在作业前，承包商应熟悉作业现场周围的环境，熟悉报警器，灭火器，消防栓、甲方所贴的逃生图（厂（场）区各处）、紧急疏散通道和逃生门的位置，如有疑问须及时向甲方负责人询问；</w:t>
      </w:r>
    </w:p>
    <w:p w14:paraId="720AB838">
      <w:pPr>
        <w:numPr>
          <w:ilvl w:val="0"/>
          <w:numId w:val="29"/>
        </w:numPr>
        <w:tabs>
          <w:tab w:val="left" w:pos="567"/>
        </w:tabs>
        <w:adjustRightInd w:val="0"/>
        <w:snapToGrid w:val="0"/>
        <w:spacing w:line="320" w:lineRule="exact"/>
        <w:ind w:left="0" w:firstLine="0"/>
        <w:rPr>
          <w:rFonts w:ascii="宋体" w:hAnsi="宋体"/>
          <w:szCs w:val="21"/>
        </w:rPr>
      </w:pPr>
      <w:r>
        <w:rPr>
          <w:rFonts w:ascii="宋体" w:hAnsi="宋体"/>
          <w:szCs w:val="21"/>
        </w:rPr>
        <w:t>在作业过程中，承包商应在作业</w:t>
      </w:r>
      <w:r>
        <w:rPr>
          <w:rFonts w:hint="eastAsia" w:ascii="宋体" w:hAnsi="宋体"/>
          <w:szCs w:val="21"/>
        </w:rPr>
        <w:t>现场</w:t>
      </w:r>
      <w:r>
        <w:rPr>
          <w:rFonts w:ascii="宋体" w:hAnsi="宋体"/>
          <w:szCs w:val="21"/>
        </w:rPr>
        <w:t>配备必要的消防</w:t>
      </w:r>
      <w:r>
        <w:rPr>
          <w:rFonts w:hint="eastAsia" w:ascii="宋体" w:hAnsi="宋体"/>
          <w:szCs w:val="21"/>
        </w:rPr>
        <w:t>器材</w:t>
      </w:r>
      <w:r>
        <w:rPr>
          <w:rFonts w:ascii="宋体" w:hAnsi="宋体"/>
          <w:szCs w:val="21"/>
        </w:rPr>
        <w:t>、应急救援设备</w:t>
      </w:r>
      <w:r>
        <w:rPr>
          <w:rFonts w:hint="eastAsia" w:ascii="宋体" w:hAnsi="宋体"/>
          <w:szCs w:val="21"/>
        </w:rPr>
        <w:t>和</w:t>
      </w:r>
      <w:r>
        <w:rPr>
          <w:rFonts w:ascii="宋体" w:hAnsi="宋体"/>
          <w:szCs w:val="21"/>
        </w:rPr>
        <w:t>急救箱等；</w:t>
      </w:r>
    </w:p>
    <w:p w14:paraId="7517B683">
      <w:pPr>
        <w:numPr>
          <w:ilvl w:val="0"/>
          <w:numId w:val="29"/>
        </w:numPr>
        <w:tabs>
          <w:tab w:val="left" w:pos="567"/>
        </w:tabs>
        <w:adjustRightInd w:val="0"/>
        <w:snapToGrid w:val="0"/>
        <w:spacing w:line="320" w:lineRule="exact"/>
        <w:ind w:left="0" w:firstLine="0"/>
        <w:rPr>
          <w:rFonts w:ascii="宋体" w:hAnsi="宋体"/>
          <w:szCs w:val="21"/>
        </w:rPr>
      </w:pPr>
      <w:r>
        <w:rPr>
          <w:rFonts w:ascii="宋体" w:hAnsi="宋体"/>
          <w:szCs w:val="21"/>
        </w:rPr>
        <w:t>在未得到甲方EHS部门许可前，不得擅自改动、更换、取消或动用消防设备设施（如</w:t>
      </w:r>
      <w:r>
        <w:rPr>
          <w:rFonts w:hint="eastAsia" w:ascii="宋体" w:hAnsi="宋体"/>
          <w:szCs w:val="21"/>
        </w:rPr>
        <w:t>灭火器、消火栓、感烟探测器</w:t>
      </w:r>
      <w:r>
        <w:rPr>
          <w:rFonts w:ascii="宋体" w:hAnsi="宋体"/>
          <w:szCs w:val="21"/>
        </w:rPr>
        <w:t>等）；如因作业需要</w:t>
      </w:r>
      <w:r>
        <w:rPr>
          <w:rFonts w:hint="eastAsia" w:ascii="宋体" w:hAnsi="宋体"/>
          <w:szCs w:val="21"/>
        </w:rPr>
        <w:t>紧急使用的，或经许可</w:t>
      </w:r>
      <w:r>
        <w:rPr>
          <w:rFonts w:ascii="宋体" w:hAnsi="宋体"/>
          <w:szCs w:val="21"/>
        </w:rPr>
        <w:t>改动或更换的，应在完成作业后恢复</w:t>
      </w:r>
      <w:r>
        <w:rPr>
          <w:rFonts w:hint="eastAsia" w:ascii="宋体" w:hAnsi="宋体"/>
          <w:szCs w:val="21"/>
        </w:rPr>
        <w:t>。</w:t>
      </w:r>
    </w:p>
    <w:p w14:paraId="393154C3">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承包商</w:t>
      </w:r>
      <w:r>
        <w:rPr>
          <w:rFonts w:ascii="宋体" w:hAnsi="宋体"/>
          <w:b/>
          <w:bCs/>
          <w:szCs w:val="21"/>
        </w:rPr>
        <w:t>易燃液体的使用与管理规定</w:t>
      </w:r>
    </w:p>
    <w:p w14:paraId="6A467673">
      <w:pPr>
        <w:numPr>
          <w:ilvl w:val="0"/>
          <w:numId w:val="30"/>
        </w:numPr>
        <w:tabs>
          <w:tab w:val="left" w:pos="567"/>
        </w:tabs>
        <w:adjustRightInd w:val="0"/>
        <w:snapToGrid w:val="0"/>
        <w:spacing w:line="320" w:lineRule="exact"/>
        <w:ind w:left="0" w:firstLine="0"/>
        <w:rPr>
          <w:rFonts w:ascii="宋体" w:hAnsi="宋体"/>
          <w:szCs w:val="21"/>
        </w:rPr>
      </w:pPr>
      <w:bookmarkStart w:id="24" w:name="_Hlk5180704"/>
      <w:r>
        <w:rPr>
          <w:rFonts w:ascii="宋体" w:hAnsi="宋体"/>
          <w:szCs w:val="21"/>
        </w:rPr>
        <w:t>未</w:t>
      </w:r>
      <w:r>
        <w:rPr>
          <w:rFonts w:hint="eastAsia" w:ascii="宋体" w:hAnsi="宋体"/>
          <w:szCs w:val="21"/>
        </w:rPr>
        <w:t>获</w:t>
      </w:r>
      <w:r>
        <w:rPr>
          <w:rFonts w:ascii="宋体" w:hAnsi="宋体"/>
          <w:szCs w:val="21"/>
        </w:rPr>
        <w:t>甲方</w:t>
      </w:r>
      <w:r>
        <w:rPr>
          <w:rFonts w:hint="eastAsia" w:ascii="宋体" w:hAnsi="宋体"/>
          <w:szCs w:val="21"/>
        </w:rPr>
        <w:t>同意</w:t>
      </w:r>
      <w:r>
        <w:rPr>
          <w:rFonts w:ascii="宋体" w:hAnsi="宋体"/>
          <w:szCs w:val="21"/>
        </w:rPr>
        <w:t>前，</w:t>
      </w:r>
      <w:bookmarkEnd w:id="24"/>
      <w:r>
        <w:rPr>
          <w:rFonts w:ascii="宋体" w:hAnsi="宋体"/>
          <w:szCs w:val="21"/>
        </w:rPr>
        <w:t>不得将易燃物（包括但不限于酒精</w:t>
      </w:r>
      <w:r>
        <w:rPr>
          <w:rFonts w:hint="eastAsia" w:ascii="宋体" w:hAnsi="宋体"/>
          <w:szCs w:val="21"/>
        </w:rPr>
        <w:t>、</w:t>
      </w:r>
      <w:r>
        <w:rPr>
          <w:rFonts w:ascii="宋体" w:hAnsi="宋体"/>
          <w:szCs w:val="21"/>
        </w:rPr>
        <w:t>稀释液（松节水）、油漆和汽油等）擅自带入甲方</w:t>
      </w:r>
      <w:r>
        <w:rPr>
          <w:rFonts w:hint="eastAsia" w:ascii="宋体" w:hAnsi="宋体"/>
          <w:szCs w:val="21"/>
        </w:rPr>
        <w:t>厂（场）所内、</w:t>
      </w:r>
      <w:r>
        <w:rPr>
          <w:rFonts w:ascii="宋体" w:hAnsi="宋体"/>
          <w:szCs w:val="21"/>
        </w:rPr>
        <w:t>使用，不得用</w:t>
      </w:r>
      <w:r>
        <w:rPr>
          <w:rFonts w:hint="eastAsia" w:ascii="宋体" w:hAnsi="宋体"/>
          <w:szCs w:val="21"/>
        </w:rPr>
        <w:t>汽油、</w:t>
      </w:r>
      <w:r>
        <w:rPr>
          <w:rFonts w:ascii="宋体" w:hAnsi="宋体"/>
          <w:szCs w:val="21"/>
        </w:rPr>
        <w:t>酒精和稀释液作清洁用途；</w:t>
      </w:r>
    </w:p>
    <w:p w14:paraId="603E56E3">
      <w:pPr>
        <w:numPr>
          <w:ilvl w:val="0"/>
          <w:numId w:val="30"/>
        </w:numPr>
        <w:tabs>
          <w:tab w:val="left" w:pos="567"/>
        </w:tabs>
        <w:adjustRightInd w:val="0"/>
        <w:snapToGrid w:val="0"/>
        <w:spacing w:line="320" w:lineRule="exact"/>
        <w:ind w:left="0" w:firstLine="0"/>
        <w:rPr>
          <w:rFonts w:ascii="宋体" w:hAnsi="宋体"/>
          <w:szCs w:val="21"/>
        </w:rPr>
      </w:pPr>
      <w:r>
        <w:rPr>
          <w:rFonts w:ascii="宋体" w:hAnsi="宋体"/>
          <w:szCs w:val="21"/>
        </w:rPr>
        <w:t>易燃液体应妥善保存和密封，存放在甲方指定地方并配备</w:t>
      </w:r>
      <w:r>
        <w:rPr>
          <w:rFonts w:hint="eastAsia" w:ascii="宋体" w:hAnsi="宋体"/>
          <w:szCs w:val="21"/>
        </w:rPr>
        <w:t>满足要求的消防设施。</w:t>
      </w:r>
    </w:p>
    <w:p w14:paraId="5DF334D8">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关于压缩气体的使用与管理</w:t>
      </w:r>
    </w:p>
    <w:p w14:paraId="15FFDA52">
      <w:pPr>
        <w:numPr>
          <w:ilvl w:val="0"/>
          <w:numId w:val="31"/>
        </w:numPr>
        <w:tabs>
          <w:tab w:val="left" w:pos="567"/>
        </w:tabs>
        <w:adjustRightInd w:val="0"/>
        <w:snapToGrid w:val="0"/>
        <w:spacing w:line="320" w:lineRule="exact"/>
        <w:ind w:left="0" w:firstLine="0"/>
        <w:rPr>
          <w:rFonts w:ascii="宋体" w:hAnsi="宋体"/>
          <w:szCs w:val="21"/>
        </w:rPr>
      </w:pPr>
      <w:r>
        <w:rPr>
          <w:rFonts w:ascii="宋体" w:hAnsi="宋体"/>
          <w:szCs w:val="21"/>
        </w:rPr>
        <w:t>未</w:t>
      </w:r>
      <w:r>
        <w:rPr>
          <w:rFonts w:hint="eastAsia" w:ascii="宋体" w:hAnsi="宋体"/>
          <w:szCs w:val="21"/>
        </w:rPr>
        <w:t>获得</w:t>
      </w:r>
      <w:r>
        <w:rPr>
          <w:rFonts w:ascii="宋体" w:hAnsi="宋体"/>
          <w:szCs w:val="21"/>
        </w:rPr>
        <w:t>甲方</w:t>
      </w:r>
      <w:r>
        <w:rPr>
          <w:rFonts w:hint="eastAsia" w:ascii="宋体" w:hAnsi="宋体"/>
          <w:szCs w:val="21"/>
        </w:rPr>
        <w:t>同意</w:t>
      </w:r>
      <w:r>
        <w:rPr>
          <w:rFonts w:ascii="宋体" w:hAnsi="宋体"/>
          <w:szCs w:val="21"/>
        </w:rPr>
        <w:t>，承包商不得将压缩气体擅自带入甲方</w:t>
      </w:r>
      <w:r>
        <w:rPr>
          <w:rFonts w:hint="eastAsia" w:ascii="宋体" w:hAnsi="宋体"/>
          <w:szCs w:val="21"/>
        </w:rPr>
        <w:t>厂（场）内、</w:t>
      </w:r>
      <w:r>
        <w:rPr>
          <w:rFonts w:ascii="宋体" w:hAnsi="宋体"/>
          <w:szCs w:val="21"/>
        </w:rPr>
        <w:t>使用</w:t>
      </w:r>
      <w:r>
        <w:rPr>
          <w:rFonts w:hint="eastAsia" w:ascii="宋体" w:hAnsi="宋体"/>
          <w:szCs w:val="21"/>
        </w:rPr>
        <w:t>；</w:t>
      </w:r>
    </w:p>
    <w:p w14:paraId="04F13240">
      <w:pPr>
        <w:numPr>
          <w:ilvl w:val="0"/>
          <w:numId w:val="31"/>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应当</w:t>
      </w:r>
      <w:r>
        <w:rPr>
          <w:rFonts w:ascii="宋体" w:hAnsi="宋体"/>
          <w:szCs w:val="21"/>
        </w:rPr>
        <w:t>依法使用合格的压缩气瓶储存压缩气体，同时，压缩气瓶应标明名称和</w:t>
      </w:r>
      <w:r>
        <w:rPr>
          <w:rFonts w:hint="eastAsia" w:ascii="宋体" w:hAnsi="宋体"/>
          <w:szCs w:val="21"/>
        </w:rPr>
        <w:t>压力</w:t>
      </w:r>
      <w:r>
        <w:rPr>
          <w:rFonts w:ascii="宋体" w:hAnsi="宋体"/>
          <w:szCs w:val="21"/>
        </w:rPr>
        <w:t>指示，并做好以下预防措施：</w:t>
      </w:r>
    </w:p>
    <w:p w14:paraId="0BE0FCB8">
      <w:pPr>
        <w:numPr>
          <w:ilvl w:val="0"/>
          <w:numId w:val="32"/>
        </w:numPr>
        <w:tabs>
          <w:tab w:val="left" w:pos="709"/>
        </w:tabs>
        <w:adjustRightInd w:val="0"/>
        <w:snapToGrid w:val="0"/>
        <w:spacing w:line="320" w:lineRule="exact"/>
        <w:ind w:left="0" w:firstLine="0"/>
        <w:rPr>
          <w:rFonts w:ascii="宋体" w:hAnsi="宋体"/>
          <w:szCs w:val="21"/>
        </w:rPr>
      </w:pPr>
      <w:r>
        <w:rPr>
          <w:rFonts w:hint="eastAsia" w:ascii="宋体" w:hAnsi="宋体"/>
          <w:szCs w:val="21"/>
        </w:rPr>
        <w:t>使</w:t>
      </w:r>
      <w:r>
        <w:rPr>
          <w:rFonts w:ascii="宋体" w:hAnsi="宋体"/>
          <w:szCs w:val="21"/>
        </w:rPr>
        <w:t>用</w:t>
      </w:r>
      <w:r>
        <w:rPr>
          <w:rFonts w:hint="eastAsia" w:ascii="宋体" w:hAnsi="宋体"/>
          <w:szCs w:val="21"/>
        </w:rPr>
        <w:t>可靠措施</w:t>
      </w:r>
      <w:r>
        <w:rPr>
          <w:rFonts w:ascii="宋体" w:hAnsi="宋体"/>
          <w:szCs w:val="21"/>
        </w:rPr>
        <w:t>紧固气瓶，固定位置在瓶上部2/3处，不能捆绑瓶口；保持气瓶垂直向上放置；</w:t>
      </w:r>
    </w:p>
    <w:p w14:paraId="17921D44">
      <w:pPr>
        <w:numPr>
          <w:ilvl w:val="0"/>
          <w:numId w:val="32"/>
        </w:numPr>
        <w:tabs>
          <w:tab w:val="left" w:pos="709"/>
        </w:tabs>
        <w:adjustRightInd w:val="0"/>
        <w:snapToGrid w:val="0"/>
        <w:spacing w:line="320" w:lineRule="exact"/>
        <w:ind w:left="0" w:firstLine="0"/>
        <w:rPr>
          <w:rFonts w:ascii="宋体" w:hAnsi="宋体"/>
          <w:szCs w:val="21"/>
        </w:rPr>
      </w:pPr>
      <w:r>
        <w:rPr>
          <w:rFonts w:ascii="宋体" w:hAnsi="宋体"/>
          <w:szCs w:val="21"/>
        </w:rPr>
        <w:t>易燃气体（乙炔，煤气）与氧气瓶隔开，间距</w:t>
      </w:r>
      <w:r>
        <w:rPr>
          <w:rFonts w:hint="eastAsia" w:ascii="宋体" w:hAnsi="宋体"/>
          <w:szCs w:val="21"/>
        </w:rPr>
        <w:t>应大于5</w:t>
      </w:r>
      <w:r>
        <w:rPr>
          <w:rFonts w:ascii="宋体" w:hAnsi="宋体"/>
          <w:szCs w:val="21"/>
        </w:rPr>
        <w:t>米；</w:t>
      </w:r>
    </w:p>
    <w:p w14:paraId="0A61B2A8">
      <w:pPr>
        <w:numPr>
          <w:ilvl w:val="0"/>
          <w:numId w:val="32"/>
        </w:numPr>
        <w:tabs>
          <w:tab w:val="left" w:pos="709"/>
        </w:tabs>
        <w:adjustRightInd w:val="0"/>
        <w:snapToGrid w:val="0"/>
        <w:spacing w:line="320" w:lineRule="exact"/>
        <w:ind w:left="0" w:firstLine="0"/>
        <w:rPr>
          <w:rFonts w:ascii="宋体" w:hAnsi="宋体"/>
          <w:szCs w:val="21"/>
        </w:rPr>
      </w:pPr>
      <w:r>
        <w:rPr>
          <w:rFonts w:ascii="宋体" w:hAnsi="宋体"/>
          <w:szCs w:val="21"/>
        </w:rPr>
        <w:t>不使用的气瓶应保护好阀门，盖上钢瓶盖，标示空瓶；</w:t>
      </w:r>
    </w:p>
    <w:p w14:paraId="775CB4B1">
      <w:pPr>
        <w:numPr>
          <w:ilvl w:val="0"/>
          <w:numId w:val="32"/>
        </w:numPr>
        <w:tabs>
          <w:tab w:val="left" w:pos="709"/>
        </w:tabs>
        <w:adjustRightInd w:val="0"/>
        <w:snapToGrid w:val="0"/>
        <w:spacing w:line="320" w:lineRule="exact"/>
        <w:ind w:left="0" w:firstLine="0"/>
        <w:rPr>
          <w:rFonts w:ascii="宋体" w:hAnsi="宋体"/>
          <w:szCs w:val="21"/>
        </w:rPr>
      </w:pPr>
      <w:r>
        <w:rPr>
          <w:rFonts w:ascii="宋体" w:hAnsi="宋体"/>
          <w:szCs w:val="21"/>
        </w:rPr>
        <w:t>气瓶与热源分隔开，使用合格阀门、气管和相关设备；</w:t>
      </w:r>
    </w:p>
    <w:p w14:paraId="7858AC45">
      <w:pPr>
        <w:numPr>
          <w:ilvl w:val="0"/>
          <w:numId w:val="32"/>
        </w:numPr>
        <w:tabs>
          <w:tab w:val="left" w:pos="709"/>
        </w:tabs>
        <w:adjustRightInd w:val="0"/>
        <w:snapToGrid w:val="0"/>
        <w:spacing w:line="320" w:lineRule="exact"/>
        <w:ind w:left="0" w:firstLine="0"/>
        <w:rPr>
          <w:rFonts w:ascii="宋体" w:hAnsi="宋体"/>
          <w:szCs w:val="21"/>
        </w:rPr>
      </w:pPr>
      <w:r>
        <w:rPr>
          <w:rFonts w:ascii="宋体" w:hAnsi="宋体"/>
          <w:szCs w:val="21"/>
        </w:rPr>
        <w:t>法律法规规章规定</w:t>
      </w:r>
      <w:r>
        <w:rPr>
          <w:rFonts w:hint="eastAsia" w:ascii="宋体" w:hAnsi="宋体"/>
          <w:szCs w:val="21"/>
        </w:rPr>
        <w:t>的</w:t>
      </w:r>
      <w:r>
        <w:rPr>
          <w:rFonts w:ascii="宋体" w:hAnsi="宋体"/>
          <w:szCs w:val="21"/>
        </w:rPr>
        <w:t>其他注意事项和预防措施</w:t>
      </w:r>
      <w:r>
        <w:rPr>
          <w:rFonts w:hint="eastAsia" w:ascii="宋体" w:hAnsi="宋体"/>
          <w:szCs w:val="21"/>
        </w:rPr>
        <w:t>。</w:t>
      </w:r>
    </w:p>
    <w:p w14:paraId="368729EC">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关于化学品的使用与管理</w:t>
      </w:r>
    </w:p>
    <w:p w14:paraId="7050C206">
      <w:pPr>
        <w:numPr>
          <w:ilvl w:val="0"/>
          <w:numId w:val="33"/>
        </w:numPr>
        <w:tabs>
          <w:tab w:val="left" w:pos="567"/>
        </w:tabs>
        <w:adjustRightInd w:val="0"/>
        <w:snapToGrid w:val="0"/>
        <w:spacing w:line="320" w:lineRule="exact"/>
        <w:ind w:left="0" w:firstLine="0"/>
        <w:rPr>
          <w:rFonts w:ascii="宋体" w:hAnsi="宋体"/>
          <w:szCs w:val="21"/>
        </w:rPr>
      </w:pPr>
      <w:r>
        <w:rPr>
          <w:rFonts w:ascii="宋体" w:hAnsi="宋体"/>
          <w:szCs w:val="21"/>
        </w:rPr>
        <w:t>承包商未</w:t>
      </w:r>
      <w:r>
        <w:rPr>
          <w:rFonts w:hint="eastAsia" w:ascii="宋体" w:hAnsi="宋体"/>
          <w:szCs w:val="21"/>
        </w:rPr>
        <w:t>获</w:t>
      </w:r>
      <w:r>
        <w:rPr>
          <w:rFonts w:ascii="宋体" w:hAnsi="宋体"/>
          <w:szCs w:val="21"/>
        </w:rPr>
        <w:t>甲方</w:t>
      </w:r>
      <w:r>
        <w:rPr>
          <w:rFonts w:hint="eastAsia" w:ascii="宋体" w:hAnsi="宋体"/>
          <w:szCs w:val="21"/>
        </w:rPr>
        <w:t>同意</w:t>
      </w:r>
      <w:r>
        <w:rPr>
          <w:rFonts w:ascii="宋体" w:hAnsi="宋体"/>
          <w:szCs w:val="21"/>
        </w:rPr>
        <w:t>前，不得将化学品擅自带入甲方</w:t>
      </w:r>
      <w:r>
        <w:rPr>
          <w:rFonts w:hint="eastAsia" w:ascii="宋体" w:hAnsi="宋体"/>
          <w:szCs w:val="21"/>
        </w:rPr>
        <w:t>厂（场）内、</w:t>
      </w:r>
      <w:r>
        <w:rPr>
          <w:rFonts w:ascii="宋体" w:hAnsi="宋体"/>
          <w:szCs w:val="21"/>
        </w:rPr>
        <w:t>使用；在向甲方申请时，</w:t>
      </w:r>
      <w:r>
        <w:rPr>
          <w:rFonts w:hint="eastAsia" w:ascii="宋体" w:hAnsi="宋体"/>
          <w:szCs w:val="21"/>
        </w:rPr>
        <w:t>应</w:t>
      </w:r>
      <w:r>
        <w:rPr>
          <w:rFonts w:ascii="宋体" w:hAnsi="宋体"/>
          <w:szCs w:val="21"/>
        </w:rPr>
        <w:t>提供</w:t>
      </w:r>
      <w:r>
        <w:rPr>
          <w:rFonts w:hint="eastAsia" w:ascii="宋体" w:hAnsi="宋体"/>
          <w:szCs w:val="21"/>
        </w:rPr>
        <w:t>所</w:t>
      </w:r>
      <w:r>
        <w:rPr>
          <w:rFonts w:ascii="宋体" w:hAnsi="宋体"/>
          <w:szCs w:val="21"/>
        </w:rPr>
        <w:t>使用</w:t>
      </w:r>
      <w:r>
        <w:rPr>
          <w:rFonts w:hint="eastAsia" w:ascii="宋体" w:hAnsi="宋体"/>
          <w:szCs w:val="21"/>
        </w:rPr>
        <w:t>的</w:t>
      </w:r>
      <w:r>
        <w:rPr>
          <w:rFonts w:ascii="宋体" w:hAnsi="宋体"/>
          <w:szCs w:val="21"/>
        </w:rPr>
        <w:t>化学品清单</w:t>
      </w:r>
      <w:r>
        <w:rPr>
          <w:rFonts w:hint="eastAsia" w:ascii="宋体" w:hAnsi="宋体"/>
          <w:szCs w:val="21"/>
        </w:rPr>
        <w:t>、</w:t>
      </w:r>
      <w:r>
        <w:rPr>
          <w:rFonts w:ascii="宋体" w:hAnsi="宋体"/>
          <w:szCs w:val="21"/>
        </w:rPr>
        <w:t>安全数据资料、风险评估及使用方法说明；</w:t>
      </w:r>
      <w:r>
        <w:rPr>
          <w:rFonts w:hint="eastAsia" w:ascii="宋体" w:hAnsi="宋体"/>
          <w:szCs w:val="21"/>
        </w:rPr>
        <w:t>不得使用国家明令禁止的危险化学品；</w:t>
      </w:r>
    </w:p>
    <w:p w14:paraId="0F079FEC">
      <w:pPr>
        <w:numPr>
          <w:ilvl w:val="0"/>
          <w:numId w:val="33"/>
        </w:numPr>
        <w:tabs>
          <w:tab w:val="left" w:pos="567"/>
          <w:tab w:val="left" w:pos="810"/>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w:t>
      </w:r>
      <w:r>
        <w:rPr>
          <w:rFonts w:ascii="宋体" w:hAnsi="宋体"/>
          <w:szCs w:val="21"/>
        </w:rPr>
        <w:t>正确储存和使用化学品（如溶剂，清洗液，胶水，酸，碱等），并采取</w:t>
      </w:r>
      <w:r>
        <w:rPr>
          <w:rFonts w:hint="eastAsia" w:ascii="宋体" w:hAnsi="宋体"/>
          <w:szCs w:val="21"/>
        </w:rPr>
        <w:t>有效的</w:t>
      </w:r>
      <w:r>
        <w:rPr>
          <w:rFonts w:ascii="宋体" w:hAnsi="宋体"/>
          <w:szCs w:val="21"/>
        </w:rPr>
        <w:t>预防措施</w:t>
      </w:r>
      <w:r>
        <w:rPr>
          <w:rFonts w:hint="eastAsia" w:ascii="宋体" w:hAnsi="宋体"/>
          <w:szCs w:val="21"/>
        </w:rPr>
        <w:t>，预防措施包括但不限于以下内容</w:t>
      </w:r>
      <w:r>
        <w:rPr>
          <w:rFonts w:ascii="宋体" w:hAnsi="宋体"/>
          <w:szCs w:val="21"/>
        </w:rPr>
        <w:t>：</w:t>
      </w:r>
    </w:p>
    <w:p w14:paraId="58D0CFD7">
      <w:pPr>
        <w:numPr>
          <w:ilvl w:val="0"/>
          <w:numId w:val="34"/>
        </w:numPr>
        <w:tabs>
          <w:tab w:val="left" w:pos="709"/>
        </w:tabs>
        <w:adjustRightInd w:val="0"/>
        <w:snapToGrid w:val="0"/>
        <w:spacing w:line="320" w:lineRule="exact"/>
        <w:ind w:left="0" w:firstLine="0"/>
        <w:rPr>
          <w:rFonts w:ascii="宋体" w:hAnsi="宋体"/>
          <w:szCs w:val="21"/>
        </w:rPr>
      </w:pPr>
      <w:r>
        <w:rPr>
          <w:rFonts w:ascii="宋体" w:hAnsi="宋体"/>
          <w:szCs w:val="21"/>
        </w:rPr>
        <w:t>使用工业化学品之前必须提供MSDS及风险评估，化学品必须存放在二级围堰中（如围堰、收集盘、表面防渗漏处理的房间内）；</w:t>
      </w:r>
    </w:p>
    <w:p w14:paraId="0A4BD07F">
      <w:pPr>
        <w:numPr>
          <w:ilvl w:val="0"/>
          <w:numId w:val="34"/>
        </w:numPr>
        <w:tabs>
          <w:tab w:val="left" w:pos="709"/>
        </w:tabs>
        <w:adjustRightInd w:val="0"/>
        <w:snapToGrid w:val="0"/>
        <w:spacing w:line="320" w:lineRule="exact"/>
        <w:ind w:left="0" w:firstLine="0"/>
        <w:rPr>
          <w:rFonts w:ascii="宋体" w:hAnsi="宋体"/>
          <w:szCs w:val="21"/>
        </w:rPr>
      </w:pPr>
      <w:r>
        <w:rPr>
          <w:rFonts w:ascii="宋体" w:hAnsi="宋体"/>
          <w:szCs w:val="21"/>
        </w:rPr>
        <w:t>查看标签和安全数据资料，了解使用化学品的有害性；</w:t>
      </w:r>
    </w:p>
    <w:p w14:paraId="6FDC9FA5">
      <w:pPr>
        <w:numPr>
          <w:ilvl w:val="0"/>
          <w:numId w:val="34"/>
        </w:numPr>
        <w:tabs>
          <w:tab w:val="left" w:pos="709"/>
        </w:tabs>
        <w:adjustRightInd w:val="0"/>
        <w:snapToGrid w:val="0"/>
        <w:spacing w:line="320" w:lineRule="exact"/>
        <w:ind w:left="0" w:firstLine="0"/>
        <w:rPr>
          <w:rFonts w:ascii="宋体" w:hAnsi="宋体"/>
          <w:szCs w:val="21"/>
        </w:rPr>
      </w:pPr>
      <w:r>
        <w:rPr>
          <w:rFonts w:ascii="宋体" w:hAnsi="宋体"/>
          <w:szCs w:val="21"/>
        </w:rPr>
        <w:t>所有容器应正确贴有标签（包括名称、浓度、有害性等）；</w:t>
      </w:r>
    </w:p>
    <w:p w14:paraId="275C6B16">
      <w:pPr>
        <w:numPr>
          <w:ilvl w:val="0"/>
          <w:numId w:val="34"/>
        </w:numPr>
        <w:tabs>
          <w:tab w:val="left" w:pos="709"/>
        </w:tabs>
        <w:adjustRightInd w:val="0"/>
        <w:snapToGrid w:val="0"/>
        <w:spacing w:line="320" w:lineRule="exact"/>
        <w:ind w:left="0" w:firstLine="0"/>
        <w:rPr>
          <w:rFonts w:ascii="宋体" w:hAnsi="宋体"/>
          <w:szCs w:val="21"/>
        </w:rPr>
      </w:pPr>
      <w:r>
        <w:rPr>
          <w:rFonts w:ascii="宋体" w:hAnsi="宋体"/>
          <w:szCs w:val="21"/>
        </w:rPr>
        <w:t>对使用处理和操作化学品的人员进行有害性的培训；</w:t>
      </w:r>
    </w:p>
    <w:p w14:paraId="666CFA96">
      <w:pPr>
        <w:numPr>
          <w:ilvl w:val="0"/>
          <w:numId w:val="34"/>
        </w:numPr>
        <w:tabs>
          <w:tab w:val="left" w:pos="709"/>
        </w:tabs>
        <w:adjustRightInd w:val="0"/>
        <w:snapToGrid w:val="0"/>
        <w:spacing w:line="320" w:lineRule="exact"/>
        <w:ind w:left="0" w:firstLine="0"/>
        <w:rPr>
          <w:rFonts w:ascii="宋体" w:hAnsi="宋体"/>
          <w:szCs w:val="21"/>
        </w:rPr>
      </w:pPr>
      <w:r>
        <w:rPr>
          <w:rFonts w:ascii="宋体" w:hAnsi="宋体"/>
          <w:szCs w:val="21"/>
        </w:rPr>
        <w:t>为使用处理和操作化学品的人员提供个人保护用品，如有必要</w:t>
      </w:r>
      <w:r>
        <w:rPr>
          <w:rFonts w:hint="eastAsia" w:ascii="宋体" w:hAnsi="宋体"/>
          <w:szCs w:val="21"/>
        </w:rPr>
        <w:t>应</w:t>
      </w:r>
      <w:r>
        <w:rPr>
          <w:rFonts w:ascii="宋体" w:hAnsi="宋体"/>
          <w:szCs w:val="21"/>
        </w:rPr>
        <w:t>提供现</w:t>
      </w:r>
      <w:r>
        <w:rPr>
          <w:rFonts w:hint="eastAsia" w:ascii="宋体" w:hAnsi="宋体"/>
          <w:szCs w:val="21"/>
        </w:rPr>
        <w:t>场</w:t>
      </w:r>
      <w:r>
        <w:rPr>
          <w:rFonts w:ascii="宋体" w:hAnsi="宋体"/>
          <w:szCs w:val="21"/>
        </w:rPr>
        <w:t>通风装置；</w:t>
      </w:r>
    </w:p>
    <w:p w14:paraId="40B551EC">
      <w:pPr>
        <w:numPr>
          <w:ilvl w:val="0"/>
          <w:numId w:val="33"/>
        </w:numPr>
        <w:tabs>
          <w:tab w:val="left" w:pos="567"/>
          <w:tab w:val="left" w:pos="709"/>
          <w:tab w:val="left" w:pos="810"/>
        </w:tabs>
        <w:adjustRightInd w:val="0"/>
        <w:snapToGrid w:val="0"/>
        <w:spacing w:line="320" w:lineRule="exact"/>
        <w:ind w:left="0" w:firstLine="0"/>
        <w:rPr>
          <w:rFonts w:ascii="宋体" w:hAnsi="宋体"/>
          <w:szCs w:val="21"/>
        </w:rPr>
      </w:pPr>
      <w:r>
        <w:rPr>
          <w:rFonts w:ascii="宋体" w:hAnsi="宋体"/>
          <w:szCs w:val="21"/>
        </w:rPr>
        <w:t>不得使用石棉制品</w:t>
      </w:r>
      <w:r>
        <w:rPr>
          <w:rFonts w:hint="eastAsia" w:ascii="宋体" w:hAnsi="宋体"/>
          <w:szCs w:val="21"/>
        </w:rPr>
        <w:t>。</w:t>
      </w:r>
    </w:p>
    <w:p w14:paraId="09466BE3">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高处</w:t>
      </w:r>
      <w:r>
        <w:rPr>
          <w:rFonts w:ascii="宋体" w:hAnsi="宋体"/>
          <w:b/>
          <w:bCs/>
          <w:szCs w:val="21"/>
        </w:rPr>
        <w:t>作业/厂（场）区天面作业规定</w:t>
      </w:r>
    </w:p>
    <w:p w14:paraId="69045C11">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在作业前，必须对作业人员进行必要的培训；</w:t>
      </w:r>
    </w:p>
    <w:p w14:paraId="4434060D">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作业时</w:t>
      </w:r>
      <w:r>
        <w:rPr>
          <w:rFonts w:hint="eastAsia" w:ascii="宋体" w:hAnsi="宋体"/>
          <w:szCs w:val="21"/>
        </w:rPr>
        <w:t>应有</w:t>
      </w:r>
      <w:r>
        <w:rPr>
          <w:rFonts w:ascii="宋体" w:hAnsi="宋体"/>
          <w:szCs w:val="21"/>
        </w:rPr>
        <w:t>防止工具和材料</w:t>
      </w:r>
      <w:r>
        <w:rPr>
          <w:rFonts w:hint="eastAsia" w:ascii="宋体" w:hAnsi="宋体"/>
          <w:szCs w:val="21"/>
        </w:rPr>
        <w:t>高处</w:t>
      </w:r>
      <w:r>
        <w:rPr>
          <w:rFonts w:ascii="宋体" w:hAnsi="宋体"/>
          <w:szCs w:val="21"/>
        </w:rPr>
        <w:t>坠落</w:t>
      </w:r>
      <w:r>
        <w:rPr>
          <w:rFonts w:hint="eastAsia" w:ascii="宋体" w:hAnsi="宋体"/>
          <w:szCs w:val="21"/>
        </w:rPr>
        <w:t>的措施</w:t>
      </w:r>
      <w:r>
        <w:rPr>
          <w:rFonts w:ascii="宋体" w:hAnsi="宋体"/>
          <w:szCs w:val="21"/>
        </w:rPr>
        <w:t>；</w:t>
      </w:r>
    </w:p>
    <w:p w14:paraId="0BA2DC5B">
      <w:pPr>
        <w:numPr>
          <w:ilvl w:val="0"/>
          <w:numId w:val="35"/>
        </w:numPr>
        <w:tabs>
          <w:tab w:val="left" w:pos="567"/>
        </w:tabs>
        <w:adjustRightInd w:val="0"/>
        <w:snapToGrid w:val="0"/>
        <w:spacing w:line="320" w:lineRule="exact"/>
        <w:ind w:left="0" w:firstLine="0"/>
        <w:rPr>
          <w:rFonts w:ascii="宋体" w:hAnsi="宋体"/>
          <w:szCs w:val="21"/>
        </w:rPr>
      </w:pPr>
      <w:r>
        <w:rPr>
          <w:rFonts w:hint="eastAsia" w:ascii="宋体" w:hAnsi="宋体"/>
          <w:szCs w:val="21"/>
        </w:rPr>
        <w:t>高处</w:t>
      </w:r>
      <w:r>
        <w:rPr>
          <w:rFonts w:ascii="宋体" w:hAnsi="宋体"/>
          <w:szCs w:val="21"/>
        </w:rPr>
        <w:t>作业的区域应</w:t>
      </w:r>
      <w:r>
        <w:rPr>
          <w:rFonts w:hint="eastAsia" w:ascii="宋体" w:hAnsi="宋体"/>
          <w:szCs w:val="21"/>
        </w:rPr>
        <w:t>采用</w:t>
      </w:r>
      <w:r>
        <w:rPr>
          <w:rFonts w:ascii="宋体" w:hAnsi="宋体"/>
          <w:szCs w:val="21"/>
        </w:rPr>
        <w:t>分离、</w:t>
      </w:r>
      <w:r>
        <w:rPr>
          <w:rFonts w:hint="eastAsia" w:ascii="宋体" w:hAnsi="宋体"/>
          <w:szCs w:val="21"/>
        </w:rPr>
        <w:t>围栏安全措施</w:t>
      </w:r>
      <w:r>
        <w:rPr>
          <w:rFonts w:ascii="宋体" w:hAnsi="宋体"/>
          <w:szCs w:val="21"/>
        </w:rPr>
        <w:t>，</w:t>
      </w:r>
      <w:r>
        <w:rPr>
          <w:rFonts w:hint="eastAsia" w:ascii="宋体" w:hAnsi="宋体"/>
          <w:szCs w:val="21"/>
        </w:rPr>
        <w:t>并设置</w:t>
      </w:r>
      <w:r>
        <w:rPr>
          <w:rFonts w:ascii="宋体" w:hAnsi="宋体"/>
          <w:szCs w:val="21"/>
        </w:rPr>
        <w:t>警告标牌；作业时，作业人员应</w:t>
      </w:r>
      <w:r>
        <w:rPr>
          <w:rFonts w:hint="eastAsia" w:ascii="宋体" w:hAnsi="宋体"/>
          <w:szCs w:val="21"/>
        </w:rPr>
        <w:t>规范</w:t>
      </w:r>
      <w:r>
        <w:rPr>
          <w:rFonts w:ascii="宋体" w:hAnsi="宋体"/>
          <w:szCs w:val="21"/>
        </w:rPr>
        <w:t>佩戴安全帽</w:t>
      </w:r>
      <w:r>
        <w:rPr>
          <w:rFonts w:hint="eastAsia" w:ascii="宋体" w:hAnsi="宋体"/>
          <w:szCs w:val="21"/>
        </w:rPr>
        <w:t>、全身式</w:t>
      </w:r>
      <w:r>
        <w:rPr>
          <w:rFonts w:ascii="宋体" w:hAnsi="宋体"/>
          <w:szCs w:val="21"/>
        </w:rPr>
        <w:t>安全带</w:t>
      </w:r>
      <w:r>
        <w:rPr>
          <w:rFonts w:hint="eastAsia" w:ascii="宋体" w:hAnsi="宋体"/>
          <w:szCs w:val="21"/>
        </w:rPr>
        <w:t>等个人防护用品</w:t>
      </w:r>
      <w:r>
        <w:rPr>
          <w:rFonts w:ascii="宋体" w:hAnsi="宋体"/>
          <w:szCs w:val="21"/>
        </w:rPr>
        <w:t>；如有违反，相关人员将</w:t>
      </w:r>
      <w:r>
        <w:rPr>
          <w:rFonts w:hint="eastAsia" w:ascii="宋体" w:hAnsi="宋体"/>
          <w:szCs w:val="21"/>
        </w:rPr>
        <w:t>被甲方拒绝进入厂（场）区、或停止现场作业</w:t>
      </w:r>
      <w:r>
        <w:rPr>
          <w:rFonts w:ascii="宋体" w:hAnsi="宋体"/>
          <w:szCs w:val="21"/>
        </w:rPr>
        <w:t>，并对承包商按照相关规定行处理；</w:t>
      </w:r>
    </w:p>
    <w:p w14:paraId="46D6CAA7">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搭设脚手架时，应符合国家相关安全标准；不得用竹子搭建，应在主结构中使用标准钢制脚手架（每隔3米应设钢制脚手架)，脚手架与地面应稳固支撑；有斜撑、拉杆，确保脚手架不会跌落；脚手架外方应</w:t>
      </w:r>
      <w:r>
        <w:rPr>
          <w:rFonts w:hint="eastAsia" w:ascii="宋体" w:hAnsi="宋体"/>
          <w:szCs w:val="21"/>
        </w:rPr>
        <w:t>设</w:t>
      </w:r>
      <w:r>
        <w:rPr>
          <w:rFonts w:ascii="宋体" w:hAnsi="宋体"/>
          <w:szCs w:val="21"/>
        </w:rPr>
        <w:t>防护网，以防止人员、工具和材料高空</w:t>
      </w:r>
      <w:r>
        <w:rPr>
          <w:rFonts w:hint="eastAsia" w:ascii="宋体" w:hAnsi="宋体"/>
          <w:szCs w:val="21"/>
        </w:rPr>
        <w:t>坠落</w:t>
      </w:r>
      <w:r>
        <w:rPr>
          <w:rFonts w:ascii="宋体" w:hAnsi="宋体"/>
          <w:szCs w:val="21"/>
        </w:rPr>
        <w:t>；同时，应设有防止防护网着火的消防设施；</w:t>
      </w:r>
    </w:p>
    <w:p w14:paraId="0F883F87">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所有梯子都应该标记载荷、批准使用用途及合格证；梯子在使用前应进行检查，如发现裂痕，腐蚀或其它缺陷，该梯子应标记为禁止使用；</w:t>
      </w:r>
    </w:p>
    <w:p w14:paraId="315A5AE1">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承包商不得擅自拆除、更</w:t>
      </w:r>
      <w:r>
        <w:rPr>
          <w:rFonts w:hint="eastAsia" w:ascii="宋体" w:hAnsi="宋体"/>
          <w:szCs w:val="21"/>
        </w:rPr>
        <w:t>改</w:t>
      </w:r>
      <w:r>
        <w:rPr>
          <w:rFonts w:ascii="宋体" w:hAnsi="宋体"/>
          <w:szCs w:val="21"/>
        </w:rPr>
        <w:t>和移动施工现</w:t>
      </w:r>
      <w:r>
        <w:rPr>
          <w:rFonts w:hint="eastAsia" w:ascii="宋体" w:hAnsi="宋体"/>
          <w:szCs w:val="21"/>
        </w:rPr>
        <w:t>场</w:t>
      </w:r>
      <w:r>
        <w:rPr>
          <w:rFonts w:ascii="宋体" w:hAnsi="宋体"/>
          <w:szCs w:val="21"/>
        </w:rPr>
        <w:t>脚手架、各类安全防护设施、安全标志和警告牌；如需拆除、更</w:t>
      </w:r>
      <w:r>
        <w:rPr>
          <w:rFonts w:hint="eastAsia" w:ascii="宋体" w:hAnsi="宋体"/>
          <w:szCs w:val="21"/>
        </w:rPr>
        <w:t>改</w:t>
      </w:r>
      <w:r>
        <w:rPr>
          <w:rFonts w:ascii="宋体" w:hAnsi="宋体"/>
          <w:szCs w:val="21"/>
        </w:rPr>
        <w:t>和移动，必须经施工负责人和指派的安全管理人员同意，并采取必要、可靠的安全措施后方可拆除、更改和移动；未经批准擅自拆除、更改或移动所造成的后果，由承包商承担</w:t>
      </w:r>
      <w:r>
        <w:rPr>
          <w:rFonts w:hint="eastAsia" w:ascii="宋体" w:hAnsi="宋体"/>
          <w:szCs w:val="21"/>
        </w:rPr>
        <w:t>相应责任</w:t>
      </w:r>
      <w:r>
        <w:rPr>
          <w:rFonts w:ascii="宋体" w:hAnsi="宋体"/>
          <w:szCs w:val="21"/>
        </w:rPr>
        <w:t>；</w:t>
      </w:r>
    </w:p>
    <w:p w14:paraId="0FB29E5D">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在脆弱屋面或表面进行作业时必须提前制定安全方案，安全方案包含进出该区域的方式</w:t>
      </w:r>
      <w:r>
        <w:rPr>
          <w:rFonts w:hint="eastAsia" w:ascii="宋体" w:hAnsi="宋体"/>
          <w:szCs w:val="21"/>
        </w:rPr>
        <w:t>、</w:t>
      </w:r>
      <w:r>
        <w:rPr>
          <w:rFonts w:ascii="宋体" w:hAnsi="宋体"/>
          <w:szCs w:val="21"/>
        </w:rPr>
        <w:t>脆弱屋面/表面强度信息、跌落防护和作业等内容；保持天面清洁，每天做好废物的清理，并固定好材料和有关设备，保持下水道畅通；在厂（场）区天面作业时应</w:t>
      </w:r>
      <w:r>
        <w:rPr>
          <w:rFonts w:hint="eastAsia" w:ascii="宋体" w:hAnsi="宋体"/>
          <w:szCs w:val="21"/>
        </w:rPr>
        <w:t>与各类</w:t>
      </w:r>
      <w:r>
        <w:rPr>
          <w:rFonts w:ascii="宋体" w:hAnsi="宋体"/>
          <w:szCs w:val="21"/>
        </w:rPr>
        <w:t>通风</w:t>
      </w:r>
      <w:r>
        <w:rPr>
          <w:rFonts w:hint="eastAsia" w:ascii="宋体" w:hAnsi="宋体"/>
          <w:szCs w:val="21"/>
        </w:rPr>
        <w:t>装置保持安全距离</w:t>
      </w:r>
      <w:r>
        <w:rPr>
          <w:rFonts w:ascii="宋体" w:hAnsi="宋体"/>
          <w:szCs w:val="21"/>
        </w:rPr>
        <w:t>；</w:t>
      </w:r>
    </w:p>
    <w:p w14:paraId="61C1D49C">
      <w:pPr>
        <w:tabs>
          <w:tab w:val="left" w:pos="567"/>
        </w:tabs>
        <w:adjustRightInd w:val="0"/>
        <w:snapToGrid w:val="0"/>
        <w:spacing w:line="320" w:lineRule="exact"/>
        <w:rPr>
          <w:rFonts w:ascii="宋体" w:hAnsi="宋体"/>
          <w:szCs w:val="21"/>
        </w:rPr>
      </w:pPr>
      <w:r>
        <w:rPr>
          <w:rFonts w:hint="eastAsia" w:ascii="宋体" w:hAnsi="宋体"/>
          <w:szCs w:val="21"/>
        </w:rPr>
        <w:t>17.7</w:t>
      </w:r>
      <w:r>
        <w:rPr>
          <w:rFonts w:hint="eastAsia" w:ascii="宋体" w:hAnsi="宋体"/>
          <w:szCs w:val="21"/>
        </w:rPr>
        <w:tab/>
      </w:r>
      <w:r>
        <w:rPr>
          <w:rFonts w:hint="eastAsia" w:ascii="宋体" w:hAnsi="宋体"/>
          <w:szCs w:val="21"/>
        </w:rPr>
        <w:t>在不安全屋顶屋面进行作业时必须提前制定安全方案，安全方案包含进出该区域的方式、屋面/表面不安全屋顶强度信息、跌落坠落防护和作业等内容；保持天面屋顶清洁，每天做好废物的清理，并固定好材料和有关设备，保持下水道畅通；在厂（场）区天面作业时应与各类通风装置保持安全距离；</w:t>
      </w:r>
    </w:p>
    <w:p w14:paraId="747E6063">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禁止承包商使用叉车载人吊篮；</w:t>
      </w:r>
    </w:p>
    <w:p w14:paraId="568B48CD">
      <w:pPr>
        <w:numPr>
          <w:ilvl w:val="0"/>
          <w:numId w:val="35"/>
        </w:numPr>
        <w:tabs>
          <w:tab w:val="left" w:pos="567"/>
        </w:tabs>
        <w:adjustRightInd w:val="0"/>
        <w:snapToGrid w:val="0"/>
        <w:spacing w:line="320" w:lineRule="exact"/>
        <w:ind w:left="0" w:firstLine="0"/>
        <w:rPr>
          <w:rFonts w:ascii="宋体" w:hAnsi="宋体"/>
          <w:szCs w:val="21"/>
        </w:rPr>
      </w:pPr>
      <w:r>
        <w:rPr>
          <w:rFonts w:ascii="宋体" w:hAnsi="宋体"/>
          <w:szCs w:val="21"/>
        </w:rPr>
        <w:t>可移动的升降平台（MEWP）必须安装标准的栏杆系统、个人跌落防护锚点、开车警报、底盘和平台控制系统，包括紧急制动；所有可移动升降平台必须清楚标明载荷，以及使用用途和合格证</w:t>
      </w:r>
      <w:r>
        <w:rPr>
          <w:rFonts w:hint="eastAsia" w:ascii="宋体" w:hAnsi="宋体"/>
          <w:szCs w:val="21"/>
        </w:rPr>
        <w:t>。</w:t>
      </w:r>
    </w:p>
    <w:p w14:paraId="3661A77D">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动火</w:t>
      </w:r>
      <w:r>
        <w:rPr>
          <w:rFonts w:ascii="宋体" w:hAnsi="宋体"/>
          <w:b/>
          <w:bCs/>
          <w:szCs w:val="21"/>
        </w:rPr>
        <w:t>作业规定</w:t>
      </w:r>
    </w:p>
    <w:p w14:paraId="50DF0A2C">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所谓的“</w:t>
      </w:r>
      <w:r>
        <w:rPr>
          <w:rFonts w:hint="eastAsia" w:ascii="宋体" w:hAnsi="宋体"/>
          <w:szCs w:val="21"/>
        </w:rPr>
        <w:t>动火</w:t>
      </w:r>
      <w:r>
        <w:rPr>
          <w:rFonts w:ascii="宋体" w:hAnsi="宋体"/>
          <w:szCs w:val="21"/>
        </w:rPr>
        <w:t>作业”是指涉及到焊接、火焰切割、砂轮切割、打磨或任何产生潜在火花及热量的作业</w:t>
      </w:r>
      <w:r>
        <w:rPr>
          <w:rFonts w:hint="eastAsia" w:ascii="宋体" w:hAnsi="宋体"/>
          <w:szCs w:val="21"/>
        </w:rPr>
        <w:t>，</w:t>
      </w:r>
      <w:r>
        <w:rPr>
          <w:rFonts w:ascii="宋体" w:hAnsi="宋体"/>
          <w:szCs w:val="21"/>
        </w:rPr>
        <w:t>并且可能点燃周围可燃物或者引其周围爆炸性环境爆炸的作业；</w:t>
      </w:r>
    </w:p>
    <w:p w14:paraId="1465F70F">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应</w:t>
      </w:r>
      <w:r>
        <w:rPr>
          <w:rFonts w:ascii="宋体" w:hAnsi="宋体"/>
          <w:szCs w:val="21"/>
        </w:rPr>
        <w:t>在取得</w:t>
      </w:r>
      <w:r>
        <w:rPr>
          <w:rFonts w:hint="eastAsia" w:ascii="宋体" w:hAnsi="宋体"/>
          <w:szCs w:val="21"/>
        </w:rPr>
        <w:t>甲方许可</w:t>
      </w:r>
      <w:r>
        <w:rPr>
          <w:rFonts w:ascii="宋体" w:hAnsi="宋体"/>
          <w:szCs w:val="21"/>
        </w:rPr>
        <w:t>后</w:t>
      </w:r>
      <w:r>
        <w:rPr>
          <w:rFonts w:hint="eastAsia" w:ascii="宋体" w:hAnsi="宋体"/>
          <w:szCs w:val="21"/>
        </w:rPr>
        <w:t>方可</w:t>
      </w:r>
      <w:r>
        <w:rPr>
          <w:rFonts w:ascii="宋体" w:hAnsi="宋体"/>
          <w:szCs w:val="21"/>
        </w:rPr>
        <w:t>从事</w:t>
      </w:r>
      <w:r>
        <w:rPr>
          <w:rFonts w:hint="eastAsia" w:ascii="宋体" w:hAnsi="宋体"/>
          <w:szCs w:val="21"/>
        </w:rPr>
        <w:t>动火作业</w:t>
      </w:r>
      <w:r>
        <w:rPr>
          <w:rFonts w:ascii="宋体" w:hAnsi="宋体"/>
          <w:szCs w:val="21"/>
        </w:rPr>
        <w:t>；</w:t>
      </w:r>
    </w:p>
    <w:p w14:paraId="40296F40">
      <w:pPr>
        <w:numPr>
          <w:ilvl w:val="0"/>
          <w:numId w:val="36"/>
        </w:numPr>
        <w:tabs>
          <w:tab w:val="left" w:pos="567"/>
        </w:tabs>
        <w:adjustRightInd w:val="0"/>
        <w:snapToGrid w:val="0"/>
        <w:spacing w:line="320" w:lineRule="exact"/>
        <w:ind w:left="0" w:firstLine="0"/>
        <w:rPr>
          <w:rFonts w:ascii="宋体" w:hAnsi="宋体"/>
          <w:szCs w:val="21"/>
        </w:rPr>
      </w:pPr>
      <w:r>
        <w:rPr>
          <w:rFonts w:hint="eastAsia" w:ascii="宋体" w:hAnsi="宋体"/>
          <w:szCs w:val="21"/>
        </w:rPr>
        <w:t>如动火作业存在</w:t>
      </w:r>
      <w:r>
        <w:rPr>
          <w:rFonts w:ascii="宋体" w:hAnsi="宋体"/>
          <w:szCs w:val="21"/>
        </w:rPr>
        <w:t>妨碍</w:t>
      </w:r>
      <w:r>
        <w:rPr>
          <w:rFonts w:hint="eastAsia" w:ascii="宋体" w:hAnsi="宋体"/>
          <w:szCs w:val="21"/>
        </w:rPr>
        <w:t>或</w:t>
      </w:r>
      <w:r>
        <w:rPr>
          <w:rFonts w:ascii="宋体" w:hAnsi="宋体"/>
          <w:szCs w:val="21"/>
        </w:rPr>
        <w:t>影响消防系统使用</w:t>
      </w:r>
      <w:r>
        <w:rPr>
          <w:rFonts w:hint="eastAsia" w:ascii="宋体" w:hAnsi="宋体"/>
          <w:szCs w:val="21"/>
        </w:rPr>
        <w:t>的</w:t>
      </w:r>
      <w:r>
        <w:rPr>
          <w:rFonts w:ascii="宋体" w:hAnsi="宋体"/>
          <w:szCs w:val="21"/>
        </w:rPr>
        <w:t>情形（如探头，警报，消防喷淋），必须专门</w:t>
      </w:r>
      <w:r>
        <w:rPr>
          <w:rFonts w:hint="eastAsia" w:ascii="宋体" w:hAnsi="宋体"/>
          <w:szCs w:val="21"/>
        </w:rPr>
        <w:t>进行</w:t>
      </w:r>
      <w:r>
        <w:rPr>
          <w:rFonts w:ascii="宋体" w:hAnsi="宋体"/>
          <w:szCs w:val="21"/>
        </w:rPr>
        <w:t>批准（</w:t>
      </w:r>
      <w:r>
        <w:rPr>
          <w:rFonts w:hint="eastAsia" w:ascii="宋体" w:hAnsi="宋体"/>
          <w:szCs w:val="21"/>
        </w:rPr>
        <w:t>安全作业票</w:t>
      </w:r>
      <w:r>
        <w:rPr>
          <w:rFonts w:ascii="宋体" w:hAnsi="宋体"/>
          <w:szCs w:val="21"/>
        </w:rPr>
        <w:t>一部分或单独申请）；</w:t>
      </w:r>
    </w:p>
    <w:p w14:paraId="050990B4">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根据甲方的要求设置</w:t>
      </w:r>
      <w:r>
        <w:rPr>
          <w:rFonts w:hint="eastAsia" w:ascii="宋体" w:hAnsi="宋体"/>
          <w:szCs w:val="21"/>
        </w:rPr>
        <w:t>现场监护人</w:t>
      </w:r>
      <w:r>
        <w:rPr>
          <w:rFonts w:ascii="宋体" w:hAnsi="宋体"/>
          <w:szCs w:val="21"/>
        </w:rPr>
        <w:t>（包括在动火过程中以及动火结束后1小时内）；</w:t>
      </w:r>
    </w:p>
    <w:p w14:paraId="41422E6F">
      <w:pPr>
        <w:numPr>
          <w:ilvl w:val="0"/>
          <w:numId w:val="36"/>
        </w:numPr>
        <w:tabs>
          <w:tab w:val="left" w:pos="567"/>
        </w:tabs>
        <w:adjustRightInd w:val="0"/>
        <w:snapToGrid w:val="0"/>
        <w:spacing w:line="320" w:lineRule="exact"/>
        <w:ind w:left="0" w:firstLine="0"/>
        <w:rPr>
          <w:rFonts w:ascii="宋体" w:hAnsi="宋体"/>
          <w:szCs w:val="21"/>
        </w:rPr>
      </w:pPr>
      <w:r>
        <w:rPr>
          <w:rFonts w:hint="eastAsia" w:ascii="宋体" w:hAnsi="宋体"/>
          <w:szCs w:val="21"/>
        </w:rPr>
        <w:t>所有动火作业现场均应配置</w:t>
      </w:r>
      <w:r>
        <w:rPr>
          <w:rFonts w:ascii="宋体" w:hAnsi="宋体"/>
          <w:szCs w:val="21"/>
        </w:rPr>
        <w:t>灭火器</w:t>
      </w:r>
      <w:r>
        <w:rPr>
          <w:rFonts w:hint="eastAsia" w:ascii="宋体" w:hAnsi="宋体"/>
          <w:szCs w:val="21"/>
        </w:rPr>
        <w:t>和消防设施，满足应急要求</w:t>
      </w:r>
      <w:r>
        <w:rPr>
          <w:rFonts w:ascii="宋体" w:hAnsi="宋体"/>
          <w:szCs w:val="21"/>
        </w:rPr>
        <w:t>；</w:t>
      </w:r>
    </w:p>
    <w:p w14:paraId="3925C1E0">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气焊和气割系统必须配备单向阀（止回阀）；如焊枪在有限空间内</w:t>
      </w:r>
      <w:r>
        <w:rPr>
          <w:rFonts w:hint="eastAsia" w:ascii="宋体" w:hAnsi="宋体"/>
          <w:szCs w:val="21"/>
        </w:rPr>
        <w:t>已</w:t>
      </w:r>
      <w:r>
        <w:rPr>
          <w:rFonts w:ascii="宋体" w:hAnsi="宋体"/>
          <w:szCs w:val="21"/>
        </w:rPr>
        <w:t>不再使用，必须关闭并从有限空间内移出；</w:t>
      </w:r>
    </w:p>
    <w:p w14:paraId="650D78DF">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电弧焊和电弧切割作业现</w:t>
      </w:r>
      <w:r>
        <w:rPr>
          <w:rFonts w:hint="eastAsia" w:ascii="宋体" w:hAnsi="宋体"/>
          <w:szCs w:val="21"/>
        </w:rPr>
        <w:t>场</w:t>
      </w:r>
      <w:r>
        <w:rPr>
          <w:rFonts w:ascii="宋体" w:hAnsi="宋体"/>
          <w:szCs w:val="21"/>
        </w:rPr>
        <w:t>必须进行遮蔽，防止工作现</w:t>
      </w:r>
      <w:r>
        <w:rPr>
          <w:rFonts w:hint="eastAsia" w:ascii="宋体" w:hAnsi="宋体"/>
          <w:szCs w:val="21"/>
        </w:rPr>
        <w:t>场</w:t>
      </w:r>
      <w:r>
        <w:rPr>
          <w:rFonts w:ascii="宋体" w:hAnsi="宋体"/>
          <w:szCs w:val="21"/>
        </w:rPr>
        <w:t>附近其他人员受到电弧辐射；</w:t>
      </w:r>
    </w:p>
    <w:p w14:paraId="2DD7F188">
      <w:pPr>
        <w:numPr>
          <w:ilvl w:val="0"/>
          <w:numId w:val="36"/>
        </w:numPr>
        <w:tabs>
          <w:tab w:val="left" w:pos="567"/>
        </w:tabs>
        <w:adjustRightInd w:val="0"/>
        <w:snapToGrid w:val="0"/>
        <w:spacing w:line="320" w:lineRule="exact"/>
        <w:ind w:left="0" w:firstLine="0"/>
        <w:rPr>
          <w:rFonts w:ascii="宋体" w:hAnsi="宋体"/>
          <w:szCs w:val="21"/>
        </w:rPr>
      </w:pPr>
      <w:r>
        <w:rPr>
          <w:rFonts w:ascii="宋体" w:hAnsi="宋体"/>
          <w:szCs w:val="21"/>
        </w:rPr>
        <w:t>在存在爆炸性气体环境中进行</w:t>
      </w:r>
      <w:r>
        <w:rPr>
          <w:rFonts w:hint="eastAsia" w:ascii="宋体" w:hAnsi="宋体"/>
          <w:szCs w:val="21"/>
        </w:rPr>
        <w:t>动火</w:t>
      </w:r>
      <w:r>
        <w:rPr>
          <w:rFonts w:ascii="宋体" w:hAnsi="宋体"/>
          <w:szCs w:val="21"/>
        </w:rPr>
        <w:t>作业时，必须在作业前进行气体检测；如有必要，应使用防爆设备</w:t>
      </w:r>
      <w:r>
        <w:rPr>
          <w:rFonts w:hint="eastAsia" w:ascii="宋体" w:hAnsi="宋体"/>
          <w:szCs w:val="21"/>
        </w:rPr>
        <w:t>。</w:t>
      </w:r>
    </w:p>
    <w:p w14:paraId="0FEDA292">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关于复杂吊装作业（非例行吊装）规定</w:t>
      </w:r>
    </w:p>
    <w:p w14:paraId="7E332E45">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所谓“复杂吊装作业（非例行吊装）”是指对载荷＞10吨的吊装作业或者风险因素复杂的吊装作业（使用多台吊车协同吊装，载荷达到额定安全吊装载荷的75%，载荷不稳，附近有输电线路/其它服务线缆/建筑物或工艺装置）；</w:t>
      </w:r>
    </w:p>
    <w:p w14:paraId="7649F714">
      <w:pPr>
        <w:numPr>
          <w:ilvl w:val="0"/>
          <w:numId w:val="37"/>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承包商应在取得甲方许可后方可从事吊装作业；</w:t>
      </w:r>
    </w:p>
    <w:p w14:paraId="713E18B8">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必须安排具备资质和能力的操作人员按照设备使用说明</w:t>
      </w:r>
      <w:r>
        <w:rPr>
          <w:rFonts w:hint="eastAsia" w:ascii="宋体" w:hAnsi="宋体"/>
          <w:szCs w:val="21"/>
        </w:rPr>
        <w:t>，</w:t>
      </w:r>
      <w:r>
        <w:rPr>
          <w:rFonts w:ascii="宋体" w:hAnsi="宋体"/>
          <w:szCs w:val="21"/>
        </w:rPr>
        <w:t>操作吊车以及起重设备；</w:t>
      </w:r>
    </w:p>
    <w:p w14:paraId="707F5889">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吊车、曲臂车、汽车或者其它有支腿用于提升和吊装的设备</w:t>
      </w:r>
      <w:r>
        <w:rPr>
          <w:rFonts w:hint="eastAsia" w:ascii="宋体" w:hAnsi="宋体"/>
          <w:szCs w:val="21"/>
        </w:rPr>
        <w:t>，</w:t>
      </w:r>
      <w:r>
        <w:rPr>
          <w:rFonts w:ascii="宋体" w:hAnsi="宋体"/>
          <w:szCs w:val="21"/>
        </w:rPr>
        <w:t>在使用时都必须在支腿下放置垫块；</w:t>
      </w:r>
    </w:p>
    <w:p w14:paraId="378F3D76">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必须制定复杂吊装作业方案并提交甲方专业人员批准；</w:t>
      </w:r>
    </w:p>
    <w:p w14:paraId="63E79CCF">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吊链、钢丝绳和吊钩必须保持良好的物理状态；</w:t>
      </w:r>
    </w:p>
    <w:p w14:paraId="06BEFA60">
      <w:pPr>
        <w:numPr>
          <w:ilvl w:val="0"/>
          <w:numId w:val="37"/>
        </w:numPr>
        <w:tabs>
          <w:tab w:val="left" w:pos="567"/>
        </w:tabs>
        <w:adjustRightInd w:val="0"/>
        <w:snapToGrid w:val="0"/>
        <w:spacing w:line="320" w:lineRule="exact"/>
        <w:ind w:left="0" w:firstLine="0"/>
        <w:rPr>
          <w:rFonts w:ascii="宋体" w:hAnsi="宋体"/>
          <w:szCs w:val="21"/>
        </w:rPr>
      </w:pPr>
      <w:r>
        <w:rPr>
          <w:rFonts w:ascii="宋体" w:hAnsi="宋体"/>
          <w:szCs w:val="21"/>
        </w:rPr>
        <w:t>所有与吊装相关的设备和附件都应该定期检查</w:t>
      </w:r>
      <w:r>
        <w:rPr>
          <w:rFonts w:hint="eastAsia" w:ascii="宋体" w:hAnsi="宋体"/>
          <w:szCs w:val="21"/>
        </w:rPr>
        <w:t>，</w:t>
      </w:r>
      <w:r>
        <w:rPr>
          <w:rFonts w:ascii="宋体" w:hAnsi="宋体"/>
          <w:szCs w:val="21"/>
        </w:rPr>
        <w:t>并且标记最近的检查日期</w:t>
      </w:r>
      <w:r>
        <w:rPr>
          <w:rFonts w:hint="eastAsia" w:ascii="宋体" w:hAnsi="宋体"/>
          <w:szCs w:val="21"/>
        </w:rPr>
        <w:t>；</w:t>
      </w:r>
    </w:p>
    <w:p w14:paraId="273C7513">
      <w:pPr>
        <w:numPr>
          <w:ilvl w:val="0"/>
          <w:numId w:val="37"/>
        </w:numPr>
        <w:tabs>
          <w:tab w:val="left" w:pos="567"/>
        </w:tabs>
        <w:adjustRightInd w:val="0"/>
        <w:snapToGrid w:val="0"/>
        <w:spacing w:line="320" w:lineRule="exact"/>
        <w:ind w:left="0" w:firstLine="0"/>
        <w:rPr>
          <w:rFonts w:ascii="宋体" w:hAnsi="宋体"/>
          <w:szCs w:val="21"/>
        </w:rPr>
      </w:pPr>
      <w:r>
        <w:rPr>
          <w:rFonts w:hint="eastAsia" w:ascii="宋体" w:hAnsi="宋体"/>
          <w:szCs w:val="21"/>
        </w:rPr>
        <w:t>吊装过程中，吊装工作区域内无关人员不得停留或通过，在伸臂及吊物的下方严禁任何人员通过或逗留；</w:t>
      </w:r>
    </w:p>
    <w:p w14:paraId="5B555A7E">
      <w:pPr>
        <w:numPr>
          <w:ilvl w:val="0"/>
          <w:numId w:val="37"/>
        </w:numPr>
        <w:tabs>
          <w:tab w:val="left" w:pos="567"/>
        </w:tabs>
        <w:adjustRightInd w:val="0"/>
        <w:snapToGrid w:val="0"/>
        <w:spacing w:line="320" w:lineRule="exact"/>
        <w:ind w:left="0" w:firstLine="0"/>
        <w:rPr>
          <w:rFonts w:ascii="宋体" w:hAnsi="宋体"/>
          <w:szCs w:val="21"/>
        </w:rPr>
      </w:pPr>
      <w:r>
        <w:rPr>
          <w:rFonts w:hint="eastAsia" w:ascii="宋体" w:hAnsi="宋体"/>
          <w:szCs w:val="21"/>
        </w:rPr>
        <w:t>当多人吊挂同一吊物时，须由专人负责指挥，指挥人员须站在使操作人员能看清指挥信号的安全位置上进行。</w:t>
      </w:r>
    </w:p>
    <w:p w14:paraId="4B69DE2A">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关于有限空间进入的规定</w:t>
      </w:r>
    </w:p>
    <w:p w14:paraId="0843C5F1">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在有限空间作业前必须向甲方申请</w:t>
      </w:r>
      <w:r>
        <w:rPr>
          <w:rFonts w:hint="eastAsia" w:ascii="宋体" w:hAnsi="宋体"/>
          <w:szCs w:val="21"/>
        </w:rPr>
        <w:t>安全作业票</w:t>
      </w:r>
      <w:r>
        <w:rPr>
          <w:rFonts w:ascii="宋体" w:hAnsi="宋体"/>
          <w:szCs w:val="21"/>
        </w:rPr>
        <w:t>，制定救援方案；</w:t>
      </w:r>
    </w:p>
    <w:p w14:paraId="64746E88">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有限空间进入氧气含量必须为19.5</w:t>
      </w:r>
      <w:r>
        <w:rPr>
          <w:rFonts w:hint="eastAsia" w:ascii="宋体" w:hAnsi="宋体"/>
          <w:szCs w:val="21"/>
        </w:rPr>
        <w:t>～</w:t>
      </w:r>
      <w:r>
        <w:rPr>
          <w:rFonts w:ascii="宋体" w:hAnsi="宋体"/>
          <w:szCs w:val="21"/>
        </w:rPr>
        <w:t>23</w:t>
      </w:r>
      <w:r>
        <w:rPr>
          <w:rFonts w:hint="eastAsia" w:ascii="宋体" w:hAnsi="宋体"/>
          <w:szCs w:val="21"/>
        </w:rPr>
        <w:t>.5</w:t>
      </w:r>
      <w:r>
        <w:rPr>
          <w:rFonts w:ascii="宋体" w:hAnsi="宋体"/>
          <w:szCs w:val="21"/>
        </w:rPr>
        <w:t>%，在进入前和进入后都必须分别进行气体检测；</w:t>
      </w:r>
    </w:p>
    <w:p w14:paraId="599A27C6">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如发现有其它有害物质，必须在进入前和进入后参照该有害气体的允许接触浓度进行测量（可燃气体，有毒气体）；</w:t>
      </w:r>
    </w:p>
    <w:p w14:paraId="06ECF29D">
      <w:pPr>
        <w:numPr>
          <w:ilvl w:val="0"/>
          <w:numId w:val="38"/>
        </w:numPr>
        <w:tabs>
          <w:tab w:val="left" w:pos="567"/>
        </w:tabs>
        <w:adjustRightInd w:val="0"/>
        <w:snapToGrid w:val="0"/>
        <w:spacing w:line="320" w:lineRule="exact"/>
        <w:ind w:left="0" w:firstLine="0"/>
        <w:rPr>
          <w:rFonts w:ascii="宋体" w:hAnsi="宋体"/>
          <w:szCs w:val="21"/>
        </w:rPr>
      </w:pPr>
      <w:r>
        <w:rPr>
          <w:rFonts w:ascii="宋体" w:hAnsi="宋体"/>
          <w:szCs w:val="21"/>
        </w:rPr>
        <w:t>承包商必须提供有限空间</w:t>
      </w:r>
      <w:r>
        <w:rPr>
          <w:rFonts w:hint="eastAsia" w:ascii="宋体" w:hAnsi="宋体"/>
          <w:szCs w:val="21"/>
        </w:rPr>
        <w:t>现场监护人，并对现场进行全程监护</w:t>
      </w:r>
      <w:r>
        <w:rPr>
          <w:rFonts w:ascii="宋体" w:hAnsi="宋体"/>
          <w:szCs w:val="21"/>
        </w:rPr>
        <w:t>；</w:t>
      </w:r>
    </w:p>
    <w:p w14:paraId="355B28D1">
      <w:pPr>
        <w:numPr>
          <w:ilvl w:val="0"/>
          <w:numId w:val="38"/>
        </w:numPr>
        <w:tabs>
          <w:tab w:val="left" w:pos="567"/>
        </w:tabs>
        <w:adjustRightInd w:val="0"/>
        <w:snapToGrid w:val="0"/>
        <w:spacing w:line="320" w:lineRule="exact"/>
        <w:ind w:left="0" w:firstLine="0"/>
        <w:rPr>
          <w:rFonts w:ascii="宋体" w:hAnsi="宋体"/>
          <w:szCs w:val="21"/>
        </w:rPr>
      </w:pPr>
      <w:r>
        <w:rPr>
          <w:rFonts w:hint="eastAsia" w:ascii="宋体" w:hAnsi="宋体"/>
          <w:szCs w:val="21"/>
        </w:rPr>
        <w:t>作业过程中承包商须采取通风措施，保持空气流通，作业出入口不得有障碍物，要保证其畅通无阻；</w:t>
      </w:r>
    </w:p>
    <w:p w14:paraId="6400A615">
      <w:pPr>
        <w:numPr>
          <w:ilvl w:val="0"/>
          <w:numId w:val="38"/>
        </w:numPr>
        <w:tabs>
          <w:tab w:val="left" w:pos="567"/>
        </w:tabs>
        <w:adjustRightInd w:val="0"/>
        <w:snapToGrid w:val="0"/>
        <w:spacing w:line="320" w:lineRule="exact"/>
        <w:ind w:left="0" w:firstLine="0"/>
        <w:rPr>
          <w:rFonts w:ascii="宋体" w:hAnsi="宋体"/>
          <w:szCs w:val="21"/>
        </w:rPr>
      </w:pPr>
      <w:r>
        <w:rPr>
          <w:rFonts w:hint="eastAsia" w:ascii="宋体" w:hAnsi="宋体"/>
          <w:szCs w:val="21"/>
        </w:rPr>
        <w:t>须</w:t>
      </w:r>
      <w:r>
        <w:rPr>
          <w:rFonts w:ascii="宋体" w:hAnsi="宋体"/>
          <w:szCs w:val="21"/>
        </w:rPr>
        <w:t>要提供额外的有限空间</w:t>
      </w:r>
      <w:r>
        <w:rPr>
          <w:rFonts w:hint="eastAsia" w:ascii="宋体" w:hAnsi="宋体"/>
          <w:szCs w:val="21"/>
        </w:rPr>
        <w:t>应急救援</w:t>
      </w:r>
      <w:r>
        <w:rPr>
          <w:rFonts w:ascii="宋体" w:hAnsi="宋体"/>
          <w:szCs w:val="21"/>
        </w:rPr>
        <w:t>作业设备（如空气自主供应设备、通风设备等），并确保这些设备都有相应的合格证明/证书；在实际使用前，必须</w:t>
      </w:r>
      <w:r>
        <w:rPr>
          <w:rFonts w:hint="eastAsia" w:ascii="宋体" w:hAnsi="宋体"/>
          <w:szCs w:val="21"/>
        </w:rPr>
        <w:t>经甲方</w:t>
      </w:r>
      <w:r>
        <w:rPr>
          <w:rFonts w:ascii="宋体" w:hAnsi="宋体"/>
          <w:szCs w:val="21"/>
        </w:rPr>
        <w:t>必要的检查（包括查看是否均</w:t>
      </w:r>
      <w:r>
        <w:rPr>
          <w:rFonts w:hint="eastAsia" w:ascii="宋体" w:hAnsi="宋体"/>
          <w:szCs w:val="21"/>
        </w:rPr>
        <w:t>有</w:t>
      </w:r>
      <w:r>
        <w:rPr>
          <w:rFonts w:ascii="宋体" w:hAnsi="宋体"/>
          <w:szCs w:val="21"/>
        </w:rPr>
        <w:t>清晰的检查日期标志），提供设备检验合格证书</w:t>
      </w:r>
      <w:r>
        <w:rPr>
          <w:rFonts w:hint="eastAsia" w:ascii="宋体" w:hAnsi="宋体"/>
          <w:szCs w:val="21"/>
        </w:rPr>
        <w:t>。</w:t>
      </w:r>
    </w:p>
    <w:p w14:paraId="0A7C0D4E">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w:t>
      </w:r>
      <w:r>
        <w:rPr>
          <w:rFonts w:hint="eastAsia" w:ascii="宋体" w:hAnsi="宋体"/>
          <w:b/>
          <w:bCs/>
          <w:szCs w:val="21"/>
        </w:rPr>
        <w:t>警</w:t>
      </w:r>
      <w:r>
        <w:rPr>
          <w:rFonts w:ascii="宋体" w:hAnsi="宋体"/>
          <w:b/>
          <w:bCs/>
          <w:szCs w:val="21"/>
        </w:rPr>
        <w:t>示牌设立规定</w:t>
      </w:r>
    </w:p>
    <w:p w14:paraId="05421638">
      <w:pPr>
        <w:numPr>
          <w:ilvl w:val="0"/>
          <w:numId w:val="39"/>
        </w:numPr>
        <w:tabs>
          <w:tab w:val="left" w:pos="567"/>
        </w:tabs>
        <w:adjustRightInd w:val="0"/>
        <w:snapToGrid w:val="0"/>
        <w:spacing w:line="320" w:lineRule="exact"/>
        <w:ind w:left="0" w:firstLine="0"/>
        <w:rPr>
          <w:rFonts w:ascii="宋体" w:hAnsi="宋体"/>
          <w:szCs w:val="21"/>
        </w:rPr>
      </w:pPr>
      <w:r>
        <w:rPr>
          <w:rFonts w:ascii="宋体" w:hAnsi="宋体"/>
          <w:szCs w:val="21"/>
        </w:rPr>
        <w:t>在作业前，应充分了解甲方内的告示牌并遵照执行；未经甲方许可，不得进入标有“封闭空间”</w:t>
      </w:r>
      <w:r>
        <w:rPr>
          <w:rFonts w:hint="eastAsia" w:ascii="宋体" w:hAnsi="宋体"/>
          <w:szCs w:val="21"/>
        </w:rPr>
        <w:t>“有限空间”</w:t>
      </w:r>
      <w:r>
        <w:rPr>
          <w:rFonts w:ascii="宋体" w:hAnsi="宋体"/>
          <w:szCs w:val="21"/>
        </w:rPr>
        <w:t>“机房重地”等限制区域；</w:t>
      </w:r>
    </w:p>
    <w:p w14:paraId="659DFA74">
      <w:pPr>
        <w:numPr>
          <w:ilvl w:val="0"/>
          <w:numId w:val="39"/>
        </w:numPr>
        <w:tabs>
          <w:tab w:val="left" w:pos="567"/>
        </w:tabs>
        <w:adjustRightInd w:val="0"/>
        <w:snapToGrid w:val="0"/>
        <w:spacing w:line="320" w:lineRule="exact"/>
        <w:ind w:left="0" w:firstLine="0"/>
        <w:rPr>
          <w:rFonts w:ascii="宋体" w:hAnsi="宋体"/>
          <w:szCs w:val="21"/>
        </w:rPr>
      </w:pPr>
      <w:r>
        <w:rPr>
          <w:rFonts w:ascii="宋体" w:hAnsi="宋体"/>
          <w:szCs w:val="21"/>
        </w:rPr>
        <w:t>承包商在作业前，承包商应放置</w:t>
      </w:r>
      <w:r>
        <w:rPr>
          <w:rFonts w:hint="eastAsia" w:ascii="宋体" w:hAnsi="宋体"/>
          <w:szCs w:val="21"/>
        </w:rPr>
        <w:t>警</w:t>
      </w:r>
      <w:r>
        <w:rPr>
          <w:rFonts w:ascii="宋体" w:hAnsi="宋体"/>
          <w:szCs w:val="21"/>
        </w:rPr>
        <w:t>示牌（“当心</w:t>
      </w:r>
      <w:r>
        <w:rPr>
          <w:rFonts w:hint="eastAsia" w:ascii="宋体" w:hAnsi="宋体"/>
          <w:szCs w:val="21"/>
        </w:rPr>
        <w:t>坠</w:t>
      </w:r>
      <w:r>
        <w:rPr>
          <w:rFonts w:ascii="宋体" w:hAnsi="宋体"/>
          <w:szCs w:val="21"/>
        </w:rPr>
        <w:t>物”“戴安全帽”“逃生通道”等警示牌），提示危害风险；</w:t>
      </w:r>
    </w:p>
    <w:p w14:paraId="404BDFA8">
      <w:pPr>
        <w:numPr>
          <w:ilvl w:val="0"/>
          <w:numId w:val="39"/>
        </w:numPr>
        <w:tabs>
          <w:tab w:val="left" w:pos="567"/>
        </w:tabs>
        <w:adjustRightInd w:val="0"/>
        <w:snapToGrid w:val="0"/>
        <w:spacing w:line="320" w:lineRule="exact"/>
        <w:ind w:left="0" w:firstLine="0"/>
        <w:rPr>
          <w:rFonts w:ascii="宋体" w:hAnsi="宋体"/>
          <w:szCs w:val="21"/>
        </w:rPr>
      </w:pPr>
      <w:bookmarkStart w:id="25" w:name="_Hlk4146783"/>
      <w:r>
        <w:rPr>
          <w:rFonts w:ascii="宋体" w:hAnsi="宋体"/>
          <w:szCs w:val="21"/>
        </w:rPr>
        <w:t>所有进行高风险作业的区域必须围闭并张贴警示标志，非授权人员和车辆不得进入</w:t>
      </w:r>
      <w:r>
        <w:rPr>
          <w:rFonts w:hint="eastAsia" w:ascii="宋体" w:hAnsi="宋体"/>
          <w:szCs w:val="21"/>
        </w:rPr>
        <w:t>。</w:t>
      </w:r>
      <w:bookmarkEnd w:id="25"/>
    </w:p>
    <w:p w14:paraId="09D8A6CE">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关于废弃物的储存和处置规定</w:t>
      </w:r>
    </w:p>
    <w:p w14:paraId="15782EF9">
      <w:pPr>
        <w:numPr>
          <w:ilvl w:val="0"/>
          <w:numId w:val="40"/>
        </w:numPr>
        <w:tabs>
          <w:tab w:val="left" w:pos="567"/>
        </w:tabs>
        <w:adjustRightInd w:val="0"/>
        <w:snapToGrid w:val="0"/>
        <w:spacing w:line="320" w:lineRule="exact"/>
        <w:ind w:left="0" w:firstLine="0"/>
        <w:rPr>
          <w:rFonts w:ascii="宋体" w:hAnsi="宋体"/>
          <w:szCs w:val="21"/>
        </w:rPr>
      </w:pPr>
      <w:r>
        <w:rPr>
          <w:rFonts w:ascii="宋体" w:hAnsi="宋体"/>
          <w:szCs w:val="21"/>
        </w:rPr>
        <w:t>从事与危险废弃物、</w:t>
      </w:r>
      <w:r>
        <w:rPr>
          <w:rFonts w:hint="eastAsia" w:ascii="宋体" w:hAnsi="宋体"/>
          <w:szCs w:val="21"/>
        </w:rPr>
        <w:t>一般</w:t>
      </w:r>
      <w:r>
        <w:rPr>
          <w:rFonts w:ascii="宋体" w:hAnsi="宋体"/>
          <w:szCs w:val="21"/>
        </w:rPr>
        <w:t>废弃物及工程碎料相关的处置工作时，应确保</w:t>
      </w:r>
      <w:r>
        <w:rPr>
          <w:rFonts w:hint="eastAsia" w:ascii="宋体" w:hAnsi="宋体"/>
          <w:szCs w:val="21"/>
        </w:rPr>
        <w:t>定期</w:t>
      </w:r>
      <w:r>
        <w:rPr>
          <w:rFonts w:ascii="宋体" w:hAnsi="宋体"/>
          <w:szCs w:val="21"/>
        </w:rPr>
        <w:t>利用特殊车辆清理出甲方，确保安全处置和存放；</w:t>
      </w:r>
    </w:p>
    <w:p w14:paraId="5BD79F79">
      <w:pPr>
        <w:numPr>
          <w:ilvl w:val="0"/>
          <w:numId w:val="40"/>
        </w:numPr>
        <w:tabs>
          <w:tab w:val="left" w:pos="567"/>
        </w:tabs>
        <w:adjustRightInd w:val="0"/>
        <w:snapToGrid w:val="0"/>
        <w:spacing w:line="320" w:lineRule="exact"/>
        <w:ind w:left="0" w:firstLine="0"/>
        <w:rPr>
          <w:rFonts w:ascii="宋体" w:hAnsi="宋体"/>
          <w:szCs w:val="21"/>
        </w:rPr>
      </w:pPr>
      <w:r>
        <w:rPr>
          <w:rFonts w:ascii="宋体" w:hAnsi="宋体"/>
          <w:szCs w:val="21"/>
        </w:rPr>
        <w:t>对于作业时产生的有害废弃物，承包商应负责向甲方报告废弃物种类及性质，进行妥善安全地收集和贮存，并保留文件说明、清运转移和处理方法以备查；</w:t>
      </w:r>
    </w:p>
    <w:p w14:paraId="3CB40C8B">
      <w:pPr>
        <w:numPr>
          <w:ilvl w:val="0"/>
          <w:numId w:val="40"/>
        </w:numPr>
        <w:tabs>
          <w:tab w:val="left" w:pos="567"/>
        </w:tabs>
        <w:adjustRightInd w:val="0"/>
        <w:snapToGrid w:val="0"/>
        <w:spacing w:line="320" w:lineRule="exact"/>
        <w:ind w:left="0" w:firstLine="0"/>
        <w:rPr>
          <w:rFonts w:ascii="宋体" w:hAnsi="宋体"/>
          <w:szCs w:val="21"/>
        </w:rPr>
      </w:pPr>
      <w:r>
        <w:rPr>
          <w:rFonts w:ascii="宋体" w:hAnsi="宋体"/>
          <w:szCs w:val="21"/>
        </w:rPr>
        <w:t>在户外储存废物时（非有害物质，有害废物不得储存于户外），</w:t>
      </w:r>
      <w:r>
        <w:rPr>
          <w:rFonts w:hint="eastAsia" w:ascii="宋体" w:hAnsi="宋体"/>
          <w:szCs w:val="21"/>
        </w:rPr>
        <w:t>应</w:t>
      </w:r>
      <w:r>
        <w:rPr>
          <w:rFonts w:ascii="宋体" w:hAnsi="宋体"/>
          <w:szCs w:val="21"/>
        </w:rPr>
        <w:t>采取必要的防护措施，必须存放于离下水道口至少3米</w:t>
      </w:r>
      <w:r>
        <w:rPr>
          <w:rFonts w:hint="eastAsia" w:ascii="宋体" w:hAnsi="宋体"/>
          <w:szCs w:val="21"/>
        </w:rPr>
        <w:t>的位置</w:t>
      </w:r>
      <w:r>
        <w:rPr>
          <w:rFonts w:ascii="宋体" w:hAnsi="宋体"/>
          <w:szCs w:val="21"/>
        </w:rPr>
        <w:t>并妥善遮盖下水道口，避免流入下水道污染水源</w:t>
      </w:r>
      <w:r>
        <w:rPr>
          <w:rFonts w:hint="eastAsia" w:ascii="宋体" w:hAnsi="宋体"/>
          <w:szCs w:val="21"/>
        </w:rPr>
        <w:t>；</w:t>
      </w:r>
    </w:p>
    <w:p w14:paraId="459B1900">
      <w:pPr>
        <w:numPr>
          <w:ilvl w:val="0"/>
          <w:numId w:val="40"/>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w:t>
      </w:r>
      <w:r>
        <w:rPr>
          <w:rFonts w:ascii="宋体" w:hAnsi="宋体"/>
          <w:szCs w:val="21"/>
        </w:rPr>
        <w:t>对废弃物储存和处置的合法性负责，若造成周边环境污染被有关部门</w:t>
      </w:r>
      <w:r>
        <w:rPr>
          <w:rFonts w:hint="eastAsia" w:ascii="宋体" w:hAnsi="宋体"/>
          <w:szCs w:val="21"/>
        </w:rPr>
        <w:t>行政处罚</w:t>
      </w:r>
      <w:r>
        <w:rPr>
          <w:rFonts w:ascii="宋体" w:hAnsi="宋体"/>
          <w:szCs w:val="21"/>
        </w:rPr>
        <w:t>或被其他民事主体要求承担损害赔偿责任的，</w:t>
      </w:r>
      <w:r>
        <w:rPr>
          <w:rFonts w:hint="eastAsia" w:ascii="宋体" w:hAnsi="宋体"/>
          <w:szCs w:val="21"/>
        </w:rPr>
        <w:t>根据政府有关部门调查，甲乙双方分别承担相应的处罚费用及相应责任。</w:t>
      </w:r>
    </w:p>
    <w:p w14:paraId="221DA42D">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关于化学品防泄漏规定</w:t>
      </w:r>
    </w:p>
    <w:p w14:paraId="2482F715">
      <w:pPr>
        <w:numPr>
          <w:ilvl w:val="0"/>
          <w:numId w:val="41"/>
        </w:numPr>
        <w:tabs>
          <w:tab w:val="left" w:pos="567"/>
        </w:tabs>
        <w:adjustRightInd w:val="0"/>
        <w:snapToGrid w:val="0"/>
        <w:spacing w:line="320" w:lineRule="exact"/>
        <w:ind w:left="0" w:firstLine="0"/>
        <w:rPr>
          <w:rFonts w:ascii="宋体" w:hAnsi="宋体"/>
          <w:szCs w:val="21"/>
        </w:rPr>
      </w:pPr>
      <w:r>
        <w:rPr>
          <w:rFonts w:ascii="宋体" w:hAnsi="宋体"/>
          <w:szCs w:val="21"/>
        </w:rPr>
        <w:t>承包商必须使用认证的化学物品，并采取预防措施储存酸性或腐蚀性液体、石油产品、油漆和清漆材料等；</w:t>
      </w:r>
    </w:p>
    <w:p w14:paraId="7FEEA2F0">
      <w:pPr>
        <w:numPr>
          <w:ilvl w:val="0"/>
          <w:numId w:val="41"/>
        </w:numPr>
        <w:tabs>
          <w:tab w:val="left" w:pos="567"/>
        </w:tabs>
        <w:adjustRightInd w:val="0"/>
        <w:snapToGrid w:val="0"/>
        <w:spacing w:line="320" w:lineRule="exact"/>
        <w:ind w:left="0" w:firstLine="0"/>
        <w:rPr>
          <w:rFonts w:ascii="宋体" w:hAnsi="宋体"/>
          <w:szCs w:val="21"/>
        </w:rPr>
      </w:pPr>
      <w:r>
        <w:rPr>
          <w:rFonts w:ascii="宋体" w:hAnsi="宋体"/>
          <w:szCs w:val="21"/>
        </w:rPr>
        <w:t>承包商必须准备适当的泄漏清洁工具，建立泄漏应急反应程序</w:t>
      </w:r>
      <w:r>
        <w:rPr>
          <w:rFonts w:hint="eastAsia" w:ascii="宋体" w:hAnsi="宋体"/>
          <w:szCs w:val="21"/>
        </w:rPr>
        <w:t>。</w:t>
      </w:r>
    </w:p>
    <w:p w14:paraId="1D27C418">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关于排水系统的规定</w:t>
      </w:r>
    </w:p>
    <w:p w14:paraId="4DEA6036">
      <w:pPr>
        <w:numPr>
          <w:ilvl w:val="0"/>
          <w:numId w:val="42"/>
        </w:numPr>
        <w:tabs>
          <w:tab w:val="left" w:pos="567"/>
        </w:tabs>
        <w:adjustRightInd w:val="0"/>
        <w:snapToGrid w:val="0"/>
        <w:spacing w:line="320" w:lineRule="exact"/>
        <w:ind w:left="0" w:firstLine="0"/>
        <w:rPr>
          <w:rFonts w:ascii="宋体" w:hAnsi="宋体"/>
          <w:szCs w:val="21"/>
        </w:rPr>
      </w:pPr>
      <w:r>
        <w:rPr>
          <w:rFonts w:hint="eastAsia" w:ascii="宋体" w:hAnsi="宋体"/>
          <w:szCs w:val="21"/>
        </w:rPr>
        <w:t>未经甲方允许</w:t>
      </w:r>
      <w:r>
        <w:rPr>
          <w:rFonts w:ascii="宋体" w:hAnsi="宋体"/>
          <w:szCs w:val="21"/>
        </w:rPr>
        <w:t>严禁承包商向甲方排水系统倾倒任何液体或固体废弃物；</w:t>
      </w:r>
    </w:p>
    <w:p w14:paraId="3086C282">
      <w:pPr>
        <w:numPr>
          <w:ilvl w:val="0"/>
          <w:numId w:val="42"/>
        </w:numPr>
        <w:tabs>
          <w:tab w:val="left" w:pos="567"/>
        </w:tabs>
        <w:adjustRightInd w:val="0"/>
        <w:snapToGrid w:val="0"/>
        <w:spacing w:line="320" w:lineRule="exact"/>
        <w:ind w:left="0" w:firstLine="0"/>
        <w:rPr>
          <w:rFonts w:ascii="宋体" w:hAnsi="宋体"/>
          <w:szCs w:val="21"/>
        </w:rPr>
      </w:pPr>
      <w:r>
        <w:rPr>
          <w:rFonts w:ascii="宋体" w:hAnsi="宋体"/>
          <w:szCs w:val="21"/>
        </w:rPr>
        <w:t>任何与甲方生活污水、生产污水和雨水系统相连接的工程必须得到甲方的批准</w:t>
      </w:r>
      <w:r>
        <w:rPr>
          <w:rFonts w:hint="eastAsia" w:ascii="宋体" w:hAnsi="宋体"/>
          <w:szCs w:val="21"/>
        </w:rPr>
        <w:t>。</w:t>
      </w:r>
    </w:p>
    <w:p w14:paraId="45F9FE2E">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关于设备和车辆的安全管理规定</w:t>
      </w:r>
    </w:p>
    <w:p w14:paraId="265E9832">
      <w:pPr>
        <w:numPr>
          <w:ilvl w:val="0"/>
          <w:numId w:val="43"/>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承包商应</w:t>
      </w:r>
      <w:r>
        <w:rPr>
          <w:rFonts w:ascii="宋体" w:hAnsi="宋体"/>
          <w:szCs w:val="21"/>
        </w:rPr>
        <w:t>使用符合废气和有害物质排放标准的设备和车辆；</w:t>
      </w:r>
    </w:p>
    <w:p w14:paraId="607DA9C7">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须</w:t>
      </w:r>
      <w:r>
        <w:rPr>
          <w:rFonts w:ascii="宋体" w:hAnsi="宋体"/>
          <w:szCs w:val="21"/>
        </w:rPr>
        <w:t>在</w:t>
      </w:r>
      <w:r>
        <w:rPr>
          <w:rFonts w:hint="eastAsia" w:ascii="宋体" w:hAnsi="宋体"/>
          <w:szCs w:val="21"/>
        </w:rPr>
        <w:t>甲方指定</w:t>
      </w:r>
      <w:r>
        <w:rPr>
          <w:rFonts w:ascii="宋体" w:hAnsi="宋体"/>
          <w:szCs w:val="21"/>
        </w:rPr>
        <w:t>区域储存设备、材料和物资；</w:t>
      </w:r>
    </w:p>
    <w:p w14:paraId="5AD3F8E3">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除</w:t>
      </w:r>
      <w:r>
        <w:rPr>
          <w:rFonts w:hint="eastAsia" w:ascii="宋体" w:hAnsi="宋体"/>
          <w:szCs w:val="21"/>
        </w:rPr>
        <w:t>特殊约定</w:t>
      </w:r>
      <w:r>
        <w:rPr>
          <w:rFonts w:ascii="宋体" w:hAnsi="宋体"/>
          <w:szCs w:val="21"/>
        </w:rPr>
        <w:t>外，承包商不得在甲方</w:t>
      </w:r>
      <w:r>
        <w:rPr>
          <w:rFonts w:hint="eastAsia" w:ascii="宋体" w:hAnsi="宋体"/>
          <w:szCs w:val="21"/>
        </w:rPr>
        <w:t>厂（场）地</w:t>
      </w:r>
      <w:r>
        <w:rPr>
          <w:rFonts w:ascii="宋体" w:hAnsi="宋体"/>
          <w:szCs w:val="21"/>
        </w:rPr>
        <w:t>清洗</w:t>
      </w:r>
      <w:r>
        <w:rPr>
          <w:rFonts w:hint="eastAsia" w:ascii="宋体" w:hAnsi="宋体"/>
          <w:szCs w:val="21"/>
        </w:rPr>
        <w:t>设备或车辆</w:t>
      </w:r>
      <w:r>
        <w:rPr>
          <w:rFonts w:ascii="宋体" w:hAnsi="宋体"/>
          <w:szCs w:val="21"/>
        </w:rPr>
        <w:t>；</w:t>
      </w:r>
      <w:r>
        <w:rPr>
          <w:rFonts w:hint="eastAsia" w:ascii="宋体" w:hAnsi="宋体"/>
          <w:szCs w:val="21"/>
        </w:rPr>
        <w:t>即便允许，设备或</w:t>
      </w:r>
      <w:r>
        <w:rPr>
          <w:rFonts w:ascii="宋体" w:hAnsi="宋体"/>
          <w:szCs w:val="21"/>
        </w:rPr>
        <w:t>车辆</w:t>
      </w:r>
      <w:r>
        <w:rPr>
          <w:rFonts w:hint="eastAsia" w:ascii="宋体" w:hAnsi="宋体"/>
          <w:szCs w:val="21"/>
        </w:rPr>
        <w:t>也应</w:t>
      </w:r>
      <w:r>
        <w:rPr>
          <w:rFonts w:ascii="宋体" w:hAnsi="宋体"/>
          <w:szCs w:val="21"/>
        </w:rPr>
        <w:t>在指定区域清洗</w:t>
      </w:r>
      <w:r>
        <w:rPr>
          <w:rFonts w:hint="eastAsia" w:ascii="宋体" w:hAnsi="宋体"/>
          <w:szCs w:val="21"/>
        </w:rPr>
        <w:t>，</w:t>
      </w:r>
      <w:r>
        <w:rPr>
          <w:rFonts w:ascii="宋体" w:hAnsi="宋体"/>
          <w:szCs w:val="21"/>
        </w:rPr>
        <w:t>并节约能源和水；</w:t>
      </w:r>
    </w:p>
    <w:p w14:paraId="7562319F">
      <w:pPr>
        <w:numPr>
          <w:ilvl w:val="0"/>
          <w:numId w:val="43"/>
        </w:numPr>
        <w:tabs>
          <w:tab w:val="left" w:pos="567"/>
        </w:tabs>
        <w:adjustRightInd w:val="0"/>
        <w:snapToGrid w:val="0"/>
        <w:spacing w:line="320" w:lineRule="exact"/>
        <w:ind w:left="0" w:firstLine="0"/>
        <w:rPr>
          <w:rFonts w:ascii="宋体" w:hAnsi="宋体"/>
          <w:szCs w:val="21"/>
        </w:rPr>
      </w:pPr>
      <w:r>
        <w:rPr>
          <w:rFonts w:ascii="宋体" w:hAnsi="宋体"/>
          <w:szCs w:val="21"/>
        </w:rPr>
        <w:t>车辆应停放于指定区域并锁好，进入厂（场）内车辆应按指示牌限速行驶；</w:t>
      </w:r>
    </w:p>
    <w:p w14:paraId="11F2FBBA">
      <w:pPr>
        <w:numPr>
          <w:ilvl w:val="0"/>
          <w:numId w:val="43"/>
        </w:numPr>
        <w:tabs>
          <w:tab w:val="left" w:pos="567"/>
        </w:tabs>
        <w:adjustRightInd w:val="0"/>
        <w:snapToGrid w:val="0"/>
        <w:spacing w:line="320" w:lineRule="exact"/>
        <w:ind w:left="0" w:firstLine="0"/>
        <w:rPr>
          <w:rFonts w:ascii="宋体" w:hAnsi="宋体"/>
          <w:szCs w:val="21"/>
        </w:rPr>
      </w:pPr>
      <w:r>
        <w:rPr>
          <w:rFonts w:hint="eastAsia" w:ascii="宋体" w:hAnsi="宋体"/>
          <w:szCs w:val="21"/>
        </w:rPr>
        <w:t>原辅料、成品酒运输车辆应保持干净卫生，符合食品安全要求；</w:t>
      </w:r>
    </w:p>
    <w:p w14:paraId="0030E82B">
      <w:pPr>
        <w:numPr>
          <w:ilvl w:val="0"/>
          <w:numId w:val="43"/>
        </w:numPr>
        <w:tabs>
          <w:tab w:val="left" w:pos="567"/>
        </w:tabs>
        <w:adjustRightInd w:val="0"/>
        <w:snapToGrid w:val="0"/>
        <w:spacing w:line="320" w:lineRule="exact"/>
        <w:ind w:left="0" w:firstLine="0"/>
        <w:rPr>
          <w:rFonts w:ascii="宋体" w:hAnsi="宋体"/>
          <w:szCs w:val="21"/>
        </w:rPr>
      </w:pPr>
      <w:r>
        <w:rPr>
          <w:rFonts w:hint="eastAsia" w:ascii="宋体" w:hAnsi="宋体"/>
          <w:szCs w:val="21"/>
        </w:rPr>
        <w:t>危险化学品运输车辆须使用符合危险化学品管理要求的专用车辆，运输车辆各项安全附件有效；</w:t>
      </w:r>
    </w:p>
    <w:p w14:paraId="0DE4C0E6">
      <w:pPr>
        <w:numPr>
          <w:ilvl w:val="0"/>
          <w:numId w:val="43"/>
        </w:numPr>
        <w:tabs>
          <w:tab w:val="left" w:pos="567"/>
        </w:tabs>
        <w:adjustRightInd w:val="0"/>
        <w:snapToGrid w:val="0"/>
        <w:spacing w:line="320" w:lineRule="exact"/>
        <w:ind w:left="0" w:firstLine="0"/>
        <w:rPr>
          <w:rFonts w:ascii="宋体" w:hAnsi="宋体"/>
          <w:szCs w:val="21"/>
        </w:rPr>
      </w:pPr>
      <w:r>
        <w:rPr>
          <w:rFonts w:hint="eastAsia" w:ascii="宋体" w:hAnsi="宋体"/>
          <w:szCs w:val="21"/>
        </w:rPr>
        <w:t>在作业过程中，必须确保设备和车辆运行安全。</w:t>
      </w:r>
    </w:p>
    <w:p w14:paraId="207A5DC1">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关于循环</w:t>
      </w:r>
      <w:r>
        <w:rPr>
          <w:rFonts w:hint="eastAsia" w:ascii="宋体" w:hAnsi="宋体"/>
          <w:b/>
          <w:bCs/>
          <w:szCs w:val="21"/>
        </w:rPr>
        <w:t>利用</w:t>
      </w:r>
      <w:r>
        <w:rPr>
          <w:rFonts w:ascii="宋体" w:hAnsi="宋体"/>
          <w:b/>
          <w:bCs/>
          <w:szCs w:val="21"/>
        </w:rPr>
        <w:t>的规定</w:t>
      </w:r>
    </w:p>
    <w:p w14:paraId="310EDC55">
      <w:pPr>
        <w:adjustRightInd w:val="0"/>
        <w:snapToGrid w:val="0"/>
        <w:spacing w:line="320" w:lineRule="exact"/>
        <w:ind w:firstLine="489" w:firstLineChars="204"/>
        <w:rPr>
          <w:rFonts w:ascii="宋体" w:hAnsi="宋体"/>
          <w:szCs w:val="21"/>
        </w:rPr>
      </w:pPr>
      <w:r>
        <w:rPr>
          <w:rFonts w:ascii="宋体" w:hAnsi="宋体"/>
          <w:szCs w:val="21"/>
        </w:rPr>
        <w:t>循环利用是甲方的一项标准化操作要求，甲方工作联系人指导承包商把废弃物分类收集于相应的垃圾桶或集中存放；承包商承诺对土壤和绿化区域的危害降低到最小</w:t>
      </w:r>
      <w:r>
        <w:rPr>
          <w:rFonts w:hint="eastAsia" w:ascii="宋体" w:hAnsi="宋体"/>
          <w:szCs w:val="21"/>
        </w:rPr>
        <w:t>。</w:t>
      </w:r>
    </w:p>
    <w:p w14:paraId="46057E33">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关于在甲方生产</w:t>
      </w:r>
      <w:r>
        <w:rPr>
          <w:rFonts w:hint="eastAsia" w:ascii="宋体" w:hAnsi="宋体"/>
          <w:b/>
          <w:bCs/>
          <w:szCs w:val="21"/>
        </w:rPr>
        <w:t>现场</w:t>
      </w:r>
      <w:r>
        <w:rPr>
          <w:rFonts w:ascii="宋体" w:hAnsi="宋体"/>
          <w:b/>
          <w:bCs/>
          <w:szCs w:val="21"/>
        </w:rPr>
        <w:t>作业安全规定</w:t>
      </w:r>
    </w:p>
    <w:p w14:paraId="3625D107">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在作业之前，承包商应确认其作业人员已经充分知悉卫生管理要求；如作业人员需要处理食品时，须严格遵守国家和甲方的卫生安全标准；</w:t>
      </w:r>
    </w:p>
    <w:p w14:paraId="4F1EB951">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如作业人员具有伤寒、副伤寒、痢疾、肠道疾病、传染性肝炎、骨疾病、肺结核、性病、皮肤病、耳朵/鼻子/眼睛有分泌物、心绞痛、高热等情形之一的，不得开展作业；</w:t>
      </w:r>
    </w:p>
    <w:p w14:paraId="69BE0170">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为确保</w:t>
      </w:r>
      <w:r>
        <w:rPr>
          <w:rFonts w:hint="eastAsia" w:ascii="宋体" w:hAnsi="宋体"/>
          <w:szCs w:val="21"/>
        </w:rPr>
        <w:t>生产车间</w:t>
      </w:r>
      <w:r>
        <w:rPr>
          <w:rFonts w:ascii="宋体" w:hAnsi="宋体"/>
          <w:szCs w:val="21"/>
        </w:rPr>
        <w:t>卫生要求，不允许在箱柜里存储</w:t>
      </w:r>
      <w:r>
        <w:rPr>
          <w:rFonts w:hint="eastAsia" w:ascii="宋体" w:hAnsi="宋体"/>
          <w:szCs w:val="21"/>
        </w:rPr>
        <w:t>食物、</w:t>
      </w:r>
      <w:r>
        <w:rPr>
          <w:rFonts w:ascii="宋体" w:hAnsi="宋体"/>
          <w:szCs w:val="21"/>
        </w:rPr>
        <w:t>脏衣</w:t>
      </w:r>
      <w:r>
        <w:rPr>
          <w:rFonts w:hint="eastAsia" w:ascii="宋体" w:hAnsi="宋体"/>
          <w:szCs w:val="21"/>
        </w:rPr>
        <w:t>、产品、</w:t>
      </w:r>
      <w:r>
        <w:rPr>
          <w:rFonts w:ascii="宋体" w:hAnsi="宋体"/>
          <w:szCs w:val="21"/>
        </w:rPr>
        <w:t>工具和设备</w:t>
      </w:r>
      <w:r>
        <w:rPr>
          <w:rFonts w:hint="eastAsia" w:ascii="宋体" w:hAnsi="宋体"/>
          <w:szCs w:val="21"/>
        </w:rPr>
        <w:t>等易导致污染环境的物品</w:t>
      </w:r>
      <w:r>
        <w:rPr>
          <w:rFonts w:ascii="宋体" w:hAnsi="宋体"/>
          <w:szCs w:val="21"/>
        </w:rPr>
        <w:t>；</w:t>
      </w:r>
    </w:p>
    <w:p w14:paraId="1EDB6EF0">
      <w:pPr>
        <w:numPr>
          <w:ilvl w:val="0"/>
          <w:numId w:val="44"/>
        </w:numPr>
        <w:tabs>
          <w:tab w:val="left" w:pos="567"/>
        </w:tabs>
        <w:adjustRightInd w:val="0"/>
        <w:snapToGrid w:val="0"/>
        <w:spacing w:line="320" w:lineRule="exact"/>
        <w:ind w:left="0" w:firstLine="0"/>
        <w:rPr>
          <w:rFonts w:ascii="宋体" w:hAnsi="宋体"/>
          <w:szCs w:val="21"/>
        </w:rPr>
      </w:pPr>
      <w:r>
        <w:rPr>
          <w:rFonts w:ascii="宋体" w:hAnsi="宋体"/>
          <w:szCs w:val="21"/>
        </w:rPr>
        <w:t>在选用洗涤剂、化学消毒剂和使用设备工作时，必须具有合格证书，可用于食品工业，防腐蚀，能够与产品、清洗和其他消毒剂等兼容</w:t>
      </w:r>
      <w:r>
        <w:rPr>
          <w:rFonts w:hint="eastAsia" w:ascii="宋体" w:hAnsi="宋体"/>
          <w:szCs w:val="21"/>
        </w:rPr>
        <w:t>。</w:t>
      </w:r>
    </w:p>
    <w:p w14:paraId="14E1524B">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关于清洁卫生</w:t>
      </w:r>
      <w:r>
        <w:rPr>
          <w:rFonts w:hint="eastAsia" w:ascii="宋体" w:hAnsi="宋体"/>
          <w:b/>
          <w:bCs/>
          <w:szCs w:val="21"/>
        </w:rPr>
        <w:t>(</w:t>
      </w:r>
      <w:r>
        <w:rPr>
          <w:rFonts w:ascii="宋体" w:hAnsi="宋体"/>
          <w:b/>
          <w:bCs/>
          <w:szCs w:val="21"/>
        </w:rPr>
        <w:t>5S)的规定</w:t>
      </w:r>
    </w:p>
    <w:p w14:paraId="6E3E3077">
      <w:pPr>
        <w:numPr>
          <w:ilvl w:val="0"/>
          <w:numId w:val="45"/>
        </w:numPr>
        <w:tabs>
          <w:tab w:val="left" w:pos="567"/>
        </w:tabs>
        <w:adjustRightInd w:val="0"/>
        <w:snapToGrid w:val="0"/>
        <w:spacing w:line="320" w:lineRule="exact"/>
        <w:ind w:left="0" w:firstLine="0"/>
        <w:rPr>
          <w:rFonts w:ascii="宋体" w:hAnsi="宋体"/>
          <w:szCs w:val="21"/>
        </w:rPr>
      </w:pPr>
      <w:r>
        <w:rPr>
          <w:rFonts w:ascii="宋体" w:hAnsi="宋体"/>
          <w:szCs w:val="21"/>
        </w:rPr>
        <w:t>承包商负责作业区域内清洁卫生工作，定时清扫工作区域，每日清运作业产生的碎料、垃圾、废物及淤泥，保持厂（场）区整洁</w:t>
      </w:r>
      <w:r>
        <w:rPr>
          <w:rFonts w:hint="eastAsia" w:ascii="宋体" w:hAnsi="宋体"/>
          <w:szCs w:val="21"/>
        </w:rPr>
        <w:t>；</w:t>
      </w:r>
    </w:p>
    <w:p w14:paraId="2A8F72F2">
      <w:pPr>
        <w:numPr>
          <w:ilvl w:val="0"/>
          <w:numId w:val="45"/>
        </w:numPr>
        <w:tabs>
          <w:tab w:val="left" w:pos="567"/>
        </w:tabs>
        <w:adjustRightInd w:val="0"/>
        <w:snapToGrid w:val="0"/>
        <w:spacing w:line="320" w:lineRule="exact"/>
        <w:ind w:left="0" w:firstLine="0"/>
        <w:rPr>
          <w:rFonts w:ascii="宋体" w:hAnsi="宋体"/>
          <w:szCs w:val="21"/>
        </w:rPr>
      </w:pPr>
      <w:r>
        <w:rPr>
          <w:rFonts w:ascii="宋体" w:hAnsi="宋体"/>
          <w:szCs w:val="21"/>
        </w:rPr>
        <w:t>保持所有作业用品整洁并存放于指定区域，不得阻塞走道、出口和应急通道</w:t>
      </w:r>
      <w:r>
        <w:rPr>
          <w:rFonts w:hint="eastAsia" w:ascii="宋体" w:hAnsi="宋体"/>
          <w:szCs w:val="21"/>
        </w:rPr>
        <w:t>。</w:t>
      </w:r>
    </w:p>
    <w:p w14:paraId="7F0D20F7">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关于承包商使用厂（场）区设施的规定</w:t>
      </w:r>
    </w:p>
    <w:p w14:paraId="29AFEB8E">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如需使用甲方的设施必须事先</w:t>
      </w:r>
      <w:r>
        <w:rPr>
          <w:rFonts w:hint="eastAsia" w:ascii="宋体" w:hAnsi="宋体"/>
          <w:szCs w:val="21"/>
        </w:rPr>
        <w:t>获得</w:t>
      </w:r>
      <w:r>
        <w:rPr>
          <w:rFonts w:ascii="宋体" w:hAnsi="宋体"/>
          <w:szCs w:val="21"/>
        </w:rPr>
        <w:t>甲方</w:t>
      </w:r>
      <w:r>
        <w:rPr>
          <w:rFonts w:hint="eastAsia" w:ascii="宋体" w:hAnsi="宋体"/>
          <w:szCs w:val="21"/>
        </w:rPr>
        <w:t>同意</w:t>
      </w:r>
      <w:r>
        <w:rPr>
          <w:rFonts w:ascii="宋体" w:hAnsi="宋体"/>
          <w:szCs w:val="21"/>
        </w:rPr>
        <w:t>（包括水，电，压缩空气，排污系统及消防系统）；</w:t>
      </w:r>
    </w:p>
    <w:p w14:paraId="087BF18E">
      <w:pPr>
        <w:numPr>
          <w:ilvl w:val="0"/>
          <w:numId w:val="46"/>
        </w:numPr>
        <w:tabs>
          <w:tab w:val="left" w:pos="567"/>
        </w:tabs>
        <w:adjustRightInd w:val="0"/>
        <w:snapToGrid w:val="0"/>
        <w:spacing w:line="320" w:lineRule="exact"/>
        <w:ind w:left="0" w:firstLine="0"/>
        <w:rPr>
          <w:rFonts w:ascii="宋体" w:hAnsi="宋体"/>
          <w:szCs w:val="21"/>
        </w:rPr>
      </w:pPr>
      <w:r>
        <w:rPr>
          <w:rFonts w:ascii="宋体" w:hAnsi="宋体"/>
          <w:szCs w:val="21"/>
        </w:rPr>
        <w:t>如需关闭任何甲方设施必须事先</w:t>
      </w:r>
      <w:r>
        <w:rPr>
          <w:rFonts w:hint="eastAsia" w:ascii="宋体" w:hAnsi="宋体"/>
          <w:szCs w:val="21"/>
        </w:rPr>
        <w:t>获得</w:t>
      </w:r>
      <w:r>
        <w:rPr>
          <w:rFonts w:ascii="宋体" w:hAnsi="宋体"/>
          <w:szCs w:val="21"/>
        </w:rPr>
        <w:t>甲方</w:t>
      </w:r>
      <w:r>
        <w:rPr>
          <w:rFonts w:hint="eastAsia" w:ascii="宋体" w:hAnsi="宋体"/>
          <w:szCs w:val="21"/>
        </w:rPr>
        <w:t>同意。</w:t>
      </w:r>
    </w:p>
    <w:p w14:paraId="24D5EBC8">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关于出入厂（场）区及安全保卫规定</w:t>
      </w:r>
    </w:p>
    <w:p w14:paraId="61FF088B">
      <w:pPr>
        <w:numPr>
          <w:ilvl w:val="0"/>
          <w:numId w:val="47"/>
        </w:numPr>
        <w:tabs>
          <w:tab w:val="left" w:pos="567"/>
        </w:tabs>
        <w:adjustRightInd w:val="0"/>
        <w:snapToGrid w:val="0"/>
        <w:spacing w:line="320" w:lineRule="exact"/>
        <w:ind w:left="0" w:firstLine="0"/>
        <w:rPr>
          <w:rFonts w:ascii="宋体" w:hAnsi="宋体"/>
          <w:szCs w:val="21"/>
        </w:rPr>
      </w:pPr>
      <w:r>
        <w:rPr>
          <w:rFonts w:ascii="宋体" w:hAnsi="宋体"/>
          <w:szCs w:val="21"/>
        </w:rPr>
        <w:t>承包商的人员在进入</w:t>
      </w:r>
      <w:r>
        <w:rPr>
          <w:rFonts w:hint="eastAsia" w:ascii="宋体" w:hAnsi="宋体"/>
          <w:szCs w:val="21"/>
        </w:rPr>
        <w:t>厂（场）区</w:t>
      </w:r>
      <w:r>
        <w:rPr>
          <w:rFonts w:ascii="宋体" w:hAnsi="宋体"/>
          <w:szCs w:val="21"/>
        </w:rPr>
        <w:t>之前应在甲方门卫</w:t>
      </w:r>
      <w:r>
        <w:rPr>
          <w:rFonts w:hint="eastAsia" w:ascii="宋体" w:hAnsi="宋体"/>
          <w:szCs w:val="21"/>
        </w:rPr>
        <w:t>出具电子访客证</w:t>
      </w:r>
      <w:r>
        <w:rPr>
          <w:rFonts w:ascii="宋体" w:hAnsi="宋体"/>
          <w:szCs w:val="21"/>
        </w:rPr>
        <w:t>，</w:t>
      </w:r>
      <w:r>
        <w:rPr>
          <w:rFonts w:hint="eastAsia" w:ascii="宋体" w:hAnsi="宋体"/>
          <w:szCs w:val="21"/>
        </w:rPr>
        <w:t>由业务接待人接待，</w:t>
      </w:r>
      <w:r>
        <w:rPr>
          <w:rFonts w:ascii="宋体" w:hAnsi="宋体"/>
          <w:szCs w:val="21"/>
        </w:rPr>
        <w:t>从</w:t>
      </w:r>
      <w:r>
        <w:rPr>
          <w:rFonts w:hint="eastAsia" w:ascii="宋体" w:hAnsi="宋体"/>
          <w:szCs w:val="21"/>
        </w:rPr>
        <w:t>指定通道进出</w:t>
      </w:r>
      <w:r>
        <w:rPr>
          <w:rFonts w:ascii="宋体" w:hAnsi="宋体"/>
          <w:szCs w:val="21"/>
        </w:rPr>
        <w:t xml:space="preserve">厂（场）区； </w:t>
      </w:r>
    </w:p>
    <w:p w14:paraId="280F29AD">
      <w:pPr>
        <w:numPr>
          <w:ilvl w:val="0"/>
          <w:numId w:val="47"/>
        </w:numPr>
        <w:tabs>
          <w:tab w:val="left" w:pos="567"/>
        </w:tabs>
        <w:adjustRightInd w:val="0"/>
        <w:snapToGrid w:val="0"/>
        <w:spacing w:line="320" w:lineRule="exact"/>
        <w:ind w:left="0" w:firstLine="0"/>
        <w:rPr>
          <w:rFonts w:ascii="宋体" w:hAnsi="宋体"/>
          <w:szCs w:val="21"/>
        </w:rPr>
      </w:pPr>
      <w:r>
        <w:rPr>
          <w:rFonts w:ascii="宋体" w:hAnsi="宋体"/>
          <w:szCs w:val="21"/>
        </w:rPr>
        <w:t>在厂（场）内作业或行走时应注意来往车辆，注意安全并采取保护措施</w:t>
      </w:r>
      <w:r>
        <w:rPr>
          <w:rFonts w:hint="eastAsia" w:ascii="宋体" w:hAnsi="宋体"/>
          <w:szCs w:val="21"/>
        </w:rPr>
        <w:t>；</w:t>
      </w:r>
    </w:p>
    <w:p w14:paraId="77126C52">
      <w:pPr>
        <w:numPr>
          <w:ilvl w:val="0"/>
          <w:numId w:val="47"/>
        </w:numPr>
        <w:tabs>
          <w:tab w:val="left" w:pos="567"/>
        </w:tabs>
        <w:adjustRightInd w:val="0"/>
        <w:snapToGrid w:val="0"/>
        <w:spacing w:line="320" w:lineRule="exact"/>
        <w:ind w:left="0" w:firstLine="0"/>
        <w:rPr>
          <w:rFonts w:ascii="宋体" w:hAnsi="宋体"/>
          <w:szCs w:val="21"/>
        </w:rPr>
      </w:pPr>
      <w:r>
        <w:rPr>
          <w:rFonts w:ascii="宋体" w:hAnsi="宋体"/>
          <w:szCs w:val="21"/>
        </w:rPr>
        <w:t>承包商</w:t>
      </w:r>
      <w:r>
        <w:rPr>
          <w:rFonts w:hint="eastAsia" w:ascii="宋体" w:hAnsi="宋体"/>
          <w:szCs w:val="21"/>
        </w:rPr>
        <w:t>人员</w:t>
      </w:r>
      <w:r>
        <w:rPr>
          <w:rFonts w:ascii="宋体" w:hAnsi="宋体"/>
          <w:szCs w:val="21"/>
        </w:rPr>
        <w:t>只能在指定区域活动，不得进入其他区域；</w:t>
      </w:r>
    </w:p>
    <w:p w14:paraId="705EF4D6">
      <w:pPr>
        <w:numPr>
          <w:ilvl w:val="0"/>
          <w:numId w:val="47"/>
        </w:numPr>
        <w:tabs>
          <w:tab w:val="left" w:pos="567"/>
        </w:tabs>
        <w:adjustRightInd w:val="0"/>
        <w:snapToGrid w:val="0"/>
        <w:spacing w:line="320" w:lineRule="exact"/>
        <w:ind w:left="0" w:firstLine="0"/>
        <w:rPr>
          <w:rFonts w:ascii="宋体" w:hAnsi="宋体"/>
          <w:szCs w:val="21"/>
        </w:rPr>
      </w:pPr>
      <w:r>
        <w:rPr>
          <w:rFonts w:ascii="宋体" w:hAnsi="宋体"/>
          <w:szCs w:val="21"/>
        </w:rPr>
        <w:t>甲方根据安保需要可以对承包商携带的工具和物品进行</w:t>
      </w:r>
      <w:r>
        <w:rPr>
          <w:rFonts w:hint="eastAsia" w:ascii="宋体" w:hAnsi="宋体"/>
          <w:szCs w:val="21"/>
        </w:rPr>
        <w:t>必要的</w:t>
      </w:r>
      <w:r>
        <w:rPr>
          <w:rFonts w:ascii="宋体" w:hAnsi="宋体"/>
          <w:szCs w:val="21"/>
        </w:rPr>
        <w:t>检查后放行</w:t>
      </w:r>
      <w:r>
        <w:rPr>
          <w:rFonts w:hint="eastAsia" w:ascii="宋体" w:hAnsi="宋体"/>
          <w:szCs w:val="21"/>
        </w:rPr>
        <w:t>。</w:t>
      </w:r>
    </w:p>
    <w:p w14:paraId="3417BAD2">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关于事故</w:t>
      </w:r>
      <w:r>
        <w:rPr>
          <w:rFonts w:hint="eastAsia" w:ascii="宋体" w:hAnsi="宋体"/>
          <w:b/>
          <w:bCs/>
          <w:szCs w:val="21"/>
        </w:rPr>
        <w:t>事件</w:t>
      </w:r>
      <w:r>
        <w:rPr>
          <w:rFonts w:ascii="宋体" w:hAnsi="宋体"/>
          <w:b/>
          <w:bCs/>
          <w:szCs w:val="21"/>
        </w:rPr>
        <w:t>报告的规定</w:t>
      </w:r>
    </w:p>
    <w:p w14:paraId="4D368382">
      <w:pPr>
        <w:tabs>
          <w:tab w:val="left" w:pos="567"/>
          <w:tab w:val="left" w:pos="993"/>
        </w:tabs>
        <w:adjustRightInd w:val="0"/>
        <w:snapToGrid w:val="0"/>
        <w:spacing w:line="320" w:lineRule="exact"/>
        <w:rPr>
          <w:rFonts w:ascii="宋体" w:hAnsi="宋体"/>
          <w:szCs w:val="21"/>
        </w:rPr>
      </w:pPr>
      <w:r>
        <w:rPr>
          <w:rFonts w:hint="eastAsia" w:ascii="宋体" w:hAnsi="宋体"/>
          <w:szCs w:val="21"/>
        </w:rPr>
        <w:t>31.1</w:t>
      </w:r>
      <w:r>
        <w:rPr>
          <w:rFonts w:hint="eastAsia" w:ascii="宋体" w:hAnsi="宋体"/>
          <w:szCs w:val="21"/>
        </w:rPr>
        <w:tab/>
      </w:r>
      <w:r>
        <w:rPr>
          <w:rFonts w:hint="eastAsia" w:ascii="宋体" w:hAnsi="宋体"/>
          <w:szCs w:val="21"/>
        </w:rPr>
        <w:t>在作业过程中发生任何的环境、健康、安全、财产事故事件（包括但不限于环境污染、火灾、盗窃、人身损害、财产损失等），承包商应立即通报甲方指定的相关方管理负责人并依据相关法律法规和甲方的要求进行调查，依据政府有关部门事故调查报告结论，确定甲乙双方的责任，甲乙双方分别承担相应的事故责任。</w:t>
      </w:r>
    </w:p>
    <w:p w14:paraId="3743E6BF">
      <w:pPr>
        <w:tabs>
          <w:tab w:val="left" w:pos="567"/>
          <w:tab w:val="left" w:pos="993"/>
        </w:tabs>
        <w:adjustRightInd w:val="0"/>
        <w:snapToGrid w:val="0"/>
        <w:spacing w:line="320" w:lineRule="exact"/>
        <w:rPr>
          <w:rFonts w:ascii="宋体" w:hAnsi="宋体"/>
          <w:szCs w:val="21"/>
        </w:rPr>
      </w:pPr>
      <w:r>
        <w:rPr>
          <w:rFonts w:hint="eastAsia" w:ascii="宋体" w:hAnsi="宋体"/>
          <w:szCs w:val="21"/>
        </w:rPr>
        <w:t>31.2</w:t>
      </w:r>
      <w:r>
        <w:rPr>
          <w:rFonts w:hint="eastAsia" w:ascii="宋体" w:hAnsi="宋体"/>
          <w:szCs w:val="21"/>
        </w:rPr>
        <w:tab/>
      </w:r>
      <w:r>
        <w:rPr>
          <w:rFonts w:hint="eastAsia" w:ascii="宋体" w:hAnsi="宋体"/>
          <w:szCs w:val="21"/>
        </w:rPr>
        <w:t>作业过程中发生事故事件的，应严格遵守甲方要求开展事故事件的报告、处置、调查、分析等；如造成达到甲方“一事一报事故事件”等级的，或发生事故事件迟报、漏报、谎报和瞒报情况的，甲方有权立即单方解除合同并要求其承担因此造成的相应责任，同时立即划入承包商黑名单。</w:t>
      </w:r>
    </w:p>
    <w:p w14:paraId="75E8D390">
      <w:pPr>
        <w:tabs>
          <w:tab w:val="left" w:pos="567"/>
          <w:tab w:val="left" w:pos="993"/>
        </w:tabs>
        <w:adjustRightInd w:val="0"/>
        <w:snapToGrid w:val="0"/>
        <w:spacing w:line="320" w:lineRule="exact"/>
        <w:ind w:firstLine="480" w:firstLineChars="200"/>
        <w:rPr>
          <w:rFonts w:ascii="宋体" w:hAnsi="宋体"/>
          <w:szCs w:val="21"/>
        </w:rPr>
      </w:pPr>
      <w:r>
        <w:rPr>
          <w:rFonts w:hint="eastAsia" w:ascii="宋体" w:hAnsi="宋体"/>
          <w:szCs w:val="21"/>
        </w:rPr>
        <w:t>“一事一报事故事件”清单乙方可随时向甲方获取，“一事一报事故事件”包含（但不限于）：生产安全事故、交通事故造成1人及以上死亡或重伤；生产安全事故、交通事故造成3人及以上轻伤；生产安全事故、交通事故造成直接经济损失5</w:t>
      </w:r>
      <w:r>
        <w:rPr>
          <w:rFonts w:ascii="宋体" w:hAnsi="宋体"/>
          <w:szCs w:val="21"/>
        </w:rPr>
        <w:t>0</w:t>
      </w:r>
      <w:r>
        <w:rPr>
          <w:rFonts w:hint="eastAsia" w:ascii="宋体" w:hAnsi="宋体"/>
          <w:szCs w:val="21"/>
        </w:rPr>
        <w:t>万元及以上；火灾、爆炸、坍塌事故事件造成停产停业，或直接经济损失</w:t>
      </w:r>
      <w:r>
        <w:rPr>
          <w:rFonts w:ascii="宋体" w:hAnsi="宋体"/>
          <w:szCs w:val="21"/>
        </w:rPr>
        <w:t>50万</w:t>
      </w:r>
      <w:r>
        <w:rPr>
          <w:rFonts w:hint="eastAsia" w:ascii="宋体" w:hAnsi="宋体"/>
          <w:szCs w:val="21"/>
        </w:rPr>
        <w:t>元及以上，或过火面积</w:t>
      </w:r>
      <w:r>
        <w:rPr>
          <w:rFonts w:ascii="宋体" w:hAnsi="宋体"/>
          <w:szCs w:val="21"/>
        </w:rPr>
        <w:t>100平方米及以上；被主流媒体报道的负面舆情事件；环境污染、生态破坏事件造成直接经济损失20万元及以上；被政府部门责令停产停业或处罚金额达到10万元及以上，或地市级及以上政府部门通报批评；污染物排放事件造成直接经济损失10万元及以上；工作厂（场）所或工作时间突发疾病、自杀等原因致人死亡或重伤；工作厂（场）所或工作时间同时出现3人以上身体不适需住院治疗</w:t>
      </w:r>
      <w:r>
        <w:rPr>
          <w:rFonts w:hint="eastAsia" w:ascii="宋体" w:hAnsi="宋体"/>
          <w:szCs w:val="21"/>
        </w:rPr>
        <w:t>等。</w:t>
      </w:r>
    </w:p>
    <w:p w14:paraId="03D9EDC9">
      <w:pPr>
        <w:numPr>
          <w:ilvl w:val="0"/>
          <w:numId w:val="16"/>
        </w:numPr>
        <w:adjustRightInd w:val="0"/>
        <w:snapToGrid w:val="0"/>
        <w:spacing w:line="320" w:lineRule="exact"/>
        <w:ind w:left="0" w:firstLine="0"/>
        <w:rPr>
          <w:rFonts w:ascii="宋体" w:hAnsi="宋体"/>
          <w:b/>
          <w:bCs/>
          <w:szCs w:val="21"/>
        </w:rPr>
      </w:pPr>
      <w:r>
        <w:rPr>
          <w:rFonts w:ascii="宋体" w:hAnsi="宋体"/>
          <w:b/>
          <w:bCs/>
          <w:szCs w:val="21"/>
        </w:rPr>
        <w:t>申明与保证</w:t>
      </w:r>
    </w:p>
    <w:p w14:paraId="0A0AE81A">
      <w:pPr>
        <w:numPr>
          <w:ilvl w:val="0"/>
          <w:numId w:val="48"/>
        </w:numPr>
        <w:tabs>
          <w:tab w:val="left" w:pos="567"/>
        </w:tabs>
        <w:adjustRightInd w:val="0"/>
        <w:snapToGrid w:val="0"/>
        <w:spacing w:line="320" w:lineRule="exact"/>
        <w:ind w:left="0" w:firstLine="0"/>
        <w:rPr>
          <w:rFonts w:ascii="宋体" w:hAnsi="宋体"/>
          <w:szCs w:val="21"/>
        </w:rPr>
      </w:pPr>
      <w:r>
        <w:rPr>
          <w:rFonts w:ascii="宋体" w:hAnsi="宋体"/>
          <w:szCs w:val="21"/>
        </w:rPr>
        <w:t>承包商承诺在合作中严格执行相关法律法规规章、相关国家标准、本协议</w:t>
      </w:r>
      <w:r>
        <w:rPr>
          <w:rFonts w:hint="eastAsia" w:ascii="宋体" w:hAnsi="宋体"/>
          <w:szCs w:val="21"/>
        </w:rPr>
        <w:t>约定</w:t>
      </w:r>
      <w:r>
        <w:rPr>
          <w:rFonts w:ascii="宋体" w:hAnsi="宋体"/>
          <w:szCs w:val="21"/>
        </w:rPr>
        <w:t>和甲方的</w:t>
      </w:r>
      <w:r>
        <w:rPr>
          <w:rFonts w:hint="eastAsia" w:ascii="宋体" w:hAnsi="宋体"/>
          <w:szCs w:val="21"/>
        </w:rPr>
        <w:t>合理</w:t>
      </w:r>
      <w:r>
        <w:rPr>
          <w:rFonts w:ascii="宋体" w:hAnsi="宋体"/>
          <w:szCs w:val="21"/>
        </w:rPr>
        <w:t>要求，</w:t>
      </w:r>
      <w:r>
        <w:rPr>
          <w:rFonts w:hint="eastAsia" w:ascii="宋体" w:hAnsi="宋体"/>
          <w:szCs w:val="21"/>
        </w:rPr>
        <w:t>且</w:t>
      </w:r>
      <w:r>
        <w:rPr>
          <w:rFonts w:ascii="宋体" w:hAnsi="宋体"/>
          <w:szCs w:val="21"/>
        </w:rPr>
        <w:t>承包商应确保其作业人员严格遵守本协议</w:t>
      </w:r>
      <w:r>
        <w:rPr>
          <w:rFonts w:hint="eastAsia" w:ascii="宋体" w:hAnsi="宋体"/>
          <w:szCs w:val="21"/>
        </w:rPr>
        <w:t>（</w:t>
      </w:r>
      <w:r>
        <w:rPr>
          <w:rFonts w:hint="eastAsia" w:ascii="宋体" w:hAnsi="宋体"/>
          <w:szCs w:val="21"/>
          <w:u w:val="single"/>
        </w:rPr>
        <w:t>甲方根据业务需要或属地政府特殊要求的，双方另行签订补充协议</w:t>
      </w:r>
      <w:r>
        <w:rPr>
          <w:rFonts w:hint="eastAsia" w:ascii="宋体" w:hAnsi="宋体"/>
          <w:szCs w:val="21"/>
        </w:rPr>
        <w:t>）</w:t>
      </w:r>
      <w:r>
        <w:rPr>
          <w:rFonts w:ascii="宋体" w:hAnsi="宋体"/>
          <w:szCs w:val="21"/>
        </w:rPr>
        <w:t>，</w:t>
      </w:r>
      <w:r>
        <w:rPr>
          <w:rFonts w:hint="eastAsia" w:ascii="宋体" w:hAnsi="宋体"/>
          <w:szCs w:val="21"/>
        </w:rPr>
        <w:t>作业人员的行为视同承包商的行为，承包商</w:t>
      </w:r>
      <w:r>
        <w:rPr>
          <w:rFonts w:ascii="宋体" w:hAnsi="宋体"/>
          <w:szCs w:val="21"/>
        </w:rPr>
        <w:t>对作业人员的行为负责并承担法律责任</w:t>
      </w:r>
      <w:r>
        <w:rPr>
          <w:rFonts w:hint="eastAsia" w:ascii="宋体" w:hAnsi="宋体"/>
          <w:szCs w:val="21"/>
        </w:rPr>
        <w:t>，不得以履行本安全协议为理由违反各方就合作主协议约定的主要义务；</w:t>
      </w:r>
      <w:r>
        <w:rPr>
          <w:rFonts w:ascii="宋体" w:hAnsi="宋体"/>
          <w:szCs w:val="21"/>
        </w:rPr>
        <w:t>甲方发现承包商</w:t>
      </w:r>
      <w:r>
        <w:rPr>
          <w:rFonts w:hint="eastAsia" w:ascii="宋体" w:hAnsi="宋体"/>
          <w:szCs w:val="21"/>
        </w:rPr>
        <w:t>及其作业人员</w:t>
      </w:r>
      <w:r>
        <w:rPr>
          <w:rFonts w:ascii="宋体" w:hAnsi="宋体"/>
          <w:szCs w:val="21"/>
        </w:rPr>
        <w:t>存在任何的违规或违约情形，承包商同意并接受甲方提出的</w:t>
      </w:r>
      <w:r>
        <w:rPr>
          <w:rFonts w:hint="eastAsia" w:ascii="宋体" w:hAnsi="宋体"/>
          <w:szCs w:val="21"/>
        </w:rPr>
        <w:t>限期</w:t>
      </w:r>
      <w:r>
        <w:rPr>
          <w:rFonts w:ascii="宋体" w:hAnsi="宋体"/>
          <w:szCs w:val="21"/>
        </w:rPr>
        <w:t>整改要求；如承包商</w:t>
      </w:r>
      <w:r>
        <w:rPr>
          <w:rFonts w:hint="eastAsia" w:ascii="宋体" w:hAnsi="宋体"/>
          <w:szCs w:val="21"/>
        </w:rPr>
        <w:t>违反本安全协议约定或发生安全生产、环境保护、人身健康和财产安全相关的事故事件，</w:t>
      </w:r>
      <w:r>
        <w:rPr>
          <w:rFonts w:ascii="宋体" w:hAnsi="宋体"/>
          <w:szCs w:val="21"/>
        </w:rPr>
        <w:t>由此产生</w:t>
      </w:r>
      <w:r>
        <w:rPr>
          <w:rFonts w:hint="eastAsia" w:ascii="宋体" w:hAnsi="宋体"/>
          <w:szCs w:val="21"/>
        </w:rPr>
        <w:t>的</w:t>
      </w:r>
      <w:r>
        <w:rPr>
          <w:rFonts w:ascii="宋体" w:hAnsi="宋体"/>
          <w:szCs w:val="21"/>
        </w:rPr>
        <w:t>纠纷、后果和责任由</w:t>
      </w:r>
      <w:r>
        <w:rPr>
          <w:rFonts w:hint="eastAsia" w:ascii="宋体" w:hAnsi="宋体"/>
          <w:szCs w:val="21"/>
        </w:rPr>
        <w:t>乙方</w:t>
      </w:r>
      <w:r>
        <w:rPr>
          <w:rFonts w:ascii="宋体" w:hAnsi="宋体"/>
          <w:szCs w:val="21"/>
        </w:rPr>
        <w:t>承担</w:t>
      </w:r>
      <w:r>
        <w:rPr>
          <w:rFonts w:hint="eastAsia" w:ascii="宋体" w:hAnsi="宋体"/>
          <w:szCs w:val="21"/>
        </w:rPr>
        <w:t>相应责任；</w:t>
      </w:r>
    </w:p>
    <w:p w14:paraId="5F1B8E55">
      <w:pPr>
        <w:numPr>
          <w:ilvl w:val="0"/>
          <w:numId w:val="48"/>
        </w:numPr>
        <w:tabs>
          <w:tab w:val="left" w:pos="567"/>
        </w:tabs>
        <w:adjustRightInd w:val="0"/>
        <w:snapToGrid w:val="0"/>
        <w:spacing w:line="320" w:lineRule="exact"/>
        <w:ind w:left="0" w:firstLine="0"/>
        <w:rPr>
          <w:rFonts w:ascii="宋体" w:hAnsi="宋体"/>
          <w:szCs w:val="21"/>
        </w:rPr>
      </w:pPr>
      <w:r>
        <w:rPr>
          <w:rFonts w:hint="eastAsia" w:ascii="宋体" w:hAnsi="宋体"/>
          <w:szCs w:val="21"/>
        </w:rPr>
        <w:t>承包商及其作业人员有责任维护作业区域和/或厂（场）内设备、设施等甲方或甲方关联公司物品的安全，因承包商或其作业人员原因造成甲方或第三方物品的损坏、灭失或他人人身伤亡的，依据调查责任划分相应的赔偿责任；</w:t>
      </w:r>
    </w:p>
    <w:p w14:paraId="42D76473">
      <w:pPr>
        <w:widowControl/>
        <w:numPr>
          <w:ilvl w:val="0"/>
          <w:numId w:val="48"/>
        </w:numPr>
        <w:tabs>
          <w:tab w:val="left" w:pos="567"/>
        </w:tabs>
        <w:adjustRightInd w:val="0"/>
        <w:snapToGrid w:val="0"/>
        <w:spacing w:line="320" w:lineRule="exact"/>
        <w:ind w:left="0" w:firstLine="0"/>
        <w:jc w:val="left"/>
        <w:rPr>
          <w:rFonts w:ascii="宋体" w:hAnsi="宋体"/>
          <w:szCs w:val="21"/>
        </w:rPr>
      </w:pPr>
      <w:r>
        <w:rPr>
          <w:rFonts w:ascii="宋体" w:hAnsi="宋体"/>
          <w:szCs w:val="21"/>
        </w:rPr>
        <w:t>甲方有权依据</w:t>
      </w:r>
      <w:r>
        <w:rPr>
          <w:rFonts w:hint="eastAsia" w:ascii="宋体" w:hAnsi="宋体"/>
          <w:szCs w:val="21"/>
        </w:rPr>
        <w:t>约定在</w:t>
      </w:r>
      <w:r>
        <w:rPr>
          <w:rFonts w:ascii="宋体" w:hAnsi="宋体"/>
          <w:szCs w:val="21"/>
        </w:rPr>
        <w:t>承包商的</w:t>
      </w:r>
      <w:r>
        <w:rPr>
          <w:rFonts w:hint="eastAsia" w:ascii="宋体" w:hAnsi="宋体"/>
          <w:szCs w:val="21"/>
        </w:rPr>
        <w:t>合同应付款项或</w:t>
      </w:r>
      <w:r>
        <w:rPr>
          <w:rFonts w:ascii="宋体" w:hAnsi="宋体"/>
          <w:szCs w:val="21"/>
        </w:rPr>
        <w:t>履约保证金（如</w:t>
      </w:r>
      <w:r>
        <w:rPr>
          <w:rFonts w:hint="eastAsia" w:ascii="宋体" w:hAnsi="宋体"/>
          <w:szCs w:val="21"/>
        </w:rPr>
        <w:t>有</w:t>
      </w:r>
      <w:r>
        <w:rPr>
          <w:rFonts w:ascii="宋体" w:hAnsi="宋体"/>
          <w:szCs w:val="21"/>
        </w:rPr>
        <w:t>）</w:t>
      </w:r>
      <w:r>
        <w:rPr>
          <w:rFonts w:hint="eastAsia" w:ascii="宋体" w:hAnsi="宋体"/>
          <w:szCs w:val="21"/>
        </w:rPr>
        <w:t>中扣收承包商应当支付的</w:t>
      </w:r>
      <w:r>
        <w:rPr>
          <w:rFonts w:ascii="宋体" w:hAnsi="宋体"/>
          <w:szCs w:val="21"/>
        </w:rPr>
        <w:t>违约金</w:t>
      </w:r>
      <w:r>
        <w:rPr>
          <w:rFonts w:hint="eastAsia" w:ascii="宋体" w:hAnsi="宋体"/>
          <w:szCs w:val="21"/>
        </w:rPr>
        <w:t>、赔偿金等</w:t>
      </w:r>
      <w:r>
        <w:rPr>
          <w:rFonts w:ascii="宋体" w:hAnsi="宋体"/>
          <w:szCs w:val="21"/>
        </w:rPr>
        <w:t>；如出现多次违规或严重违规、违约情形，甲方有权根据</w:t>
      </w:r>
      <w:r>
        <w:rPr>
          <w:rFonts w:hint="eastAsia" w:ascii="宋体" w:hAnsi="宋体"/>
          <w:szCs w:val="21"/>
        </w:rPr>
        <w:t>自行</w:t>
      </w:r>
      <w:r>
        <w:rPr>
          <w:rFonts w:ascii="宋体" w:hAnsi="宋体"/>
          <w:szCs w:val="21"/>
        </w:rPr>
        <w:t>判断完成违规</w:t>
      </w:r>
      <w:r>
        <w:rPr>
          <w:rFonts w:hint="eastAsia" w:ascii="宋体" w:hAnsi="宋体"/>
          <w:szCs w:val="21"/>
        </w:rPr>
        <w:t>调查处理</w:t>
      </w:r>
      <w:r>
        <w:rPr>
          <w:rFonts w:ascii="宋体" w:hAnsi="宋体"/>
          <w:szCs w:val="21"/>
        </w:rPr>
        <w:t>报告</w:t>
      </w:r>
      <w:r>
        <w:rPr>
          <w:rFonts w:hint="eastAsia" w:ascii="宋体" w:hAnsi="宋体"/>
          <w:szCs w:val="21"/>
        </w:rPr>
        <w:t>。承包商同一人员违反甲方安全规定的行为，承包商应当给予相应的处理，且甲方有权监督：第一次为口头警告；第二次为书面警告，并要求承包商对其作业人员重新培训和重新获取《承包商安全卡》；第三次发生，承包商应要求其作业人员立即离厂（场）并永久禁止进入甲方厂（场）所。承包商作业人员违反甲方安全规定的违约行为，视严重程度将违约行为分为A</w:t>
      </w:r>
      <w:r>
        <w:rPr>
          <w:rFonts w:ascii="宋体" w:hAnsi="宋体"/>
          <w:szCs w:val="21"/>
        </w:rPr>
        <w:t>/B/C/D</w:t>
      </w:r>
      <w:r>
        <w:rPr>
          <w:rFonts w:hint="eastAsia" w:ascii="宋体" w:hAnsi="宋体"/>
          <w:szCs w:val="21"/>
        </w:rPr>
        <w:t>四类，承包商应当承担的违约金分别为A类（严重违约）:</w:t>
      </w:r>
      <w:r>
        <w:rPr>
          <w:rFonts w:ascii="宋体" w:hAnsi="宋体"/>
          <w:szCs w:val="21"/>
        </w:rPr>
        <w:t>2000</w:t>
      </w:r>
      <w:r>
        <w:rPr>
          <w:rFonts w:hint="eastAsia" w:ascii="宋体" w:hAnsi="宋体"/>
          <w:szCs w:val="21"/>
        </w:rPr>
        <w:t>元，如脱岗、睡岗和酒后上岗等；</w:t>
      </w:r>
      <w:r>
        <w:rPr>
          <w:rFonts w:ascii="宋体" w:hAnsi="宋体"/>
          <w:szCs w:val="21"/>
        </w:rPr>
        <w:t>B</w:t>
      </w:r>
      <w:r>
        <w:rPr>
          <w:rFonts w:hint="eastAsia" w:ascii="宋体" w:hAnsi="宋体"/>
          <w:szCs w:val="21"/>
        </w:rPr>
        <w:t>类（较重违约）：1</w:t>
      </w:r>
      <w:r>
        <w:rPr>
          <w:rFonts w:ascii="宋体" w:hAnsi="宋体"/>
          <w:szCs w:val="21"/>
        </w:rPr>
        <w:t>000</w:t>
      </w:r>
      <w:r>
        <w:rPr>
          <w:rFonts w:hint="eastAsia" w:ascii="宋体" w:hAnsi="宋体"/>
          <w:szCs w:val="21"/>
        </w:rPr>
        <w:t>元，如用手代替工具进行作业，用手部/足部等身体部位碰触旋转部位等；</w:t>
      </w:r>
      <w:r>
        <w:rPr>
          <w:rFonts w:ascii="宋体" w:hAnsi="宋体"/>
          <w:szCs w:val="21"/>
        </w:rPr>
        <w:t>C</w:t>
      </w:r>
      <w:r>
        <w:rPr>
          <w:rFonts w:hint="eastAsia" w:ascii="宋体" w:hAnsi="宋体"/>
          <w:szCs w:val="21"/>
        </w:rPr>
        <w:t>类（一般违约）：4</w:t>
      </w:r>
      <w:r>
        <w:rPr>
          <w:rFonts w:ascii="宋体" w:hAnsi="宋体"/>
          <w:szCs w:val="21"/>
        </w:rPr>
        <w:t>00</w:t>
      </w:r>
      <w:r>
        <w:rPr>
          <w:rFonts w:hint="eastAsia" w:ascii="宋体" w:hAnsi="宋体"/>
          <w:szCs w:val="21"/>
        </w:rPr>
        <w:t>元，如</w:t>
      </w:r>
      <w:r>
        <w:rPr>
          <w:rFonts w:ascii="宋体" w:hAnsi="宋体"/>
          <w:szCs w:val="21"/>
        </w:rPr>
        <w:t>未正确佩戴、使用劳动防护用品进入生产作业场所</w:t>
      </w:r>
      <w:r>
        <w:rPr>
          <w:rFonts w:hint="eastAsia" w:ascii="宋体" w:hAnsi="宋体"/>
          <w:szCs w:val="21"/>
        </w:rPr>
        <w:t>等；</w:t>
      </w:r>
      <w:r>
        <w:rPr>
          <w:rFonts w:ascii="宋体" w:hAnsi="宋体"/>
          <w:szCs w:val="21"/>
        </w:rPr>
        <w:t>D</w:t>
      </w:r>
      <w:r>
        <w:rPr>
          <w:rFonts w:hint="eastAsia" w:ascii="宋体" w:hAnsi="宋体"/>
          <w:szCs w:val="21"/>
        </w:rPr>
        <w:t>类（其他违约）：2</w:t>
      </w:r>
      <w:r>
        <w:rPr>
          <w:rFonts w:ascii="宋体" w:hAnsi="宋体"/>
          <w:szCs w:val="21"/>
        </w:rPr>
        <w:t>00</w:t>
      </w:r>
      <w:r>
        <w:rPr>
          <w:rFonts w:hint="eastAsia" w:ascii="宋体" w:hAnsi="宋体"/>
          <w:szCs w:val="21"/>
        </w:rPr>
        <w:t>元，如进入厂区不佩戴安全卡或伪造安全卡等。同时，高风险承包商公司以违约金A/B类总额的1%进行累积计分（C/D类不累计积分），低风险承包商公司以A/B类违约金总额的3%进行累积计分（C/D类不累计积分），当计分累积到30分，承包商应停工进行全面的培训及安全检查；当计分累积到60分，承包商应配合甲方制定停工安全整改计划；当计分累积到100分，承包商将被纳入黑名单管理。对于提供辅助业务服务、叉车/装卸业务服务的，则该辅助业务服务、叉车/装卸业务服务独立计分。承包商的违约金缴纳可以延迟3个月（如果项目结束期在3个月内，则延迟至项目结束），在延迟缴纳期内如果该承包商没有重复发生同一违规行为的，可以经甲方同意后，免除相应的违约金，但累积的计分不予取消。对同一违规行为反复发生且</w:t>
      </w:r>
      <w:r>
        <w:rPr>
          <w:rFonts w:ascii="宋体" w:hAnsi="宋体"/>
          <w:szCs w:val="21"/>
        </w:rPr>
        <w:t>情节严重的（</w:t>
      </w:r>
      <w:r>
        <w:rPr>
          <w:rFonts w:hint="eastAsia" w:ascii="宋体" w:hAnsi="宋体"/>
          <w:szCs w:val="21"/>
        </w:rPr>
        <w:t>甲方</w:t>
      </w:r>
      <w:r>
        <w:rPr>
          <w:rFonts w:ascii="宋体" w:hAnsi="宋体"/>
          <w:szCs w:val="21"/>
        </w:rPr>
        <w:t>以实际情况自行判断）</w:t>
      </w:r>
      <w:r>
        <w:rPr>
          <w:rFonts w:hint="eastAsia" w:ascii="宋体" w:hAnsi="宋体"/>
          <w:szCs w:val="21"/>
        </w:rPr>
        <w:t>，甲方</w:t>
      </w:r>
      <w:r>
        <w:rPr>
          <w:rFonts w:ascii="宋体" w:hAnsi="宋体"/>
          <w:szCs w:val="21"/>
        </w:rPr>
        <w:t>有权</w:t>
      </w:r>
      <w:r>
        <w:rPr>
          <w:rFonts w:hint="eastAsia" w:ascii="宋体" w:hAnsi="宋体"/>
          <w:szCs w:val="21"/>
        </w:rPr>
        <w:t>取消</w:t>
      </w:r>
      <w:r>
        <w:rPr>
          <w:rFonts w:ascii="宋体" w:hAnsi="宋体"/>
          <w:szCs w:val="21"/>
        </w:rPr>
        <w:t>承包商参加</w:t>
      </w:r>
      <w:r>
        <w:rPr>
          <w:rFonts w:hint="eastAsia" w:ascii="宋体" w:hAnsi="宋体"/>
          <w:szCs w:val="21"/>
        </w:rPr>
        <w:t>甲方及关联公司正在进行中或未来的招标采购项目的参与资格并划入承包商黑名单；</w:t>
      </w:r>
      <w:r>
        <w:rPr>
          <w:rFonts w:ascii="宋体" w:hAnsi="宋体"/>
          <w:szCs w:val="21"/>
        </w:rPr>
        <w:t>同时，甲方</w:t>
      </w:r>
      <w:r>
        <w:rPr>
          <w:rFonts w:hint="eastAsia" w:ascii="宋体" w:hAnsi="宋体"/>
          <w:szCs w:val="21"/>
        </w:rPr>
        <w:t>有权按照本协议项下承包商违规或违约情形，选择是否</w:t>
      </w:r>
      <w:r>
        <w:rPr>
          <w:rFonts w:ascii="宋体" w:hAnsi="宋体"/>
          <w:szCs w:val="21"/>
        </w:rPr>
        <w:t>单方解除</w:t>
      </w:r>
      <w:r>
        <w:rPr>
          <w:rFonts w:hint="eastAsia" w:ascii="宋体" w:hAnsi="宋体"/>
          <w:szCs w:val="21"/>
        </w:rPr>
        <w:t>相应合作</w:t>
      </w:r>
      <w:r>
        <w:rPr>
          <w:rFonts w:ascii="宋体" w:hAnsi="宋体"/>
          <w:szCs w:val="21"/>
        </w:rPr>
        <w:t>合同；</w:t>
      </w:r>
    </w:p>
    <w:p w14:paraId="58BDB303">
      <w:pPr>
        <w:numPr>
          <w:ilvl w:val="0"/>
          <w:numId w:val="48"/>
        </w:numPr>
        <w:tabs>
          <w:tab w:val="left" w:pos="567"/>
        </w:tabs>
        <w:adjustRightInd w:val="0"/>
        <w:snapToGrid w:val="0"/>
        <w:spacing w:line="320" w:lineRule="exact"/>
        <w:ind w:left="0" w:firstLine="0"/>
        <w:rPr>
          <w:rFonts w:ascii="宋体" w:hAnsi="宋体"/>
          <w:szCs w:val="21"/>
        </w:rPr>
      </w:pPr>
      <w:r>
        <w:rPr>
          <w:rFonts w:hint="eastAsia" w:ascii="宋体" w:hAnsi="宋体"/>
          <w:szCs w:val="21"/>
        </w:rPr>
        <w:t>若前述口头/书面警告、违约金等处理不足以补偿甲方遭受的全部损失的，对于甲方和/或甲方关联公司遭受的损失（包括但不限于由此造成的诉讼费、差旅费、律师费、保全费、保全担保费、鉴定费、公证费等），甲方有权进一步向乙方追偿；</w:t>
      </w:r>
    </w:p>
    <w:p w14:paraId="5E8655AE">
      <w:pPr>
        <w:numPr>
          <w:ilvl w:val="0"/>
          <w:numId w:val="48"/>
        </w:numPr>
        <w:tabs>
          <w:tab w:val="left" w:pos="567"/>
        </w:tabs>
        <w:adjustRightInd w:val="0"/>
        <w:snapToGrid w:val="0"/>
        <w:spacing w:line="320" w:lineRule="exact"/>
        <w:ind w:left="0" w:firstLine="0"/>
        <w:rPr>
          <w:rFonts w:ascii="宋体" w:hAnsi="宋体"/>
          <w:szCs w:val="21"/>
        </w:rPr>
      </w:pPr>
      <w:r>
        <w:rPr>
          <w:rFonts w:hint="eastAsia" w:ascii="宋体" w:hAnsi="宋体"/>
          <w:szCs w:val="21"/>
        </w:rPr>
        <w:t>因乙方违反本协议约定或发生事故事件，甲方和/或甲方关联公司被当地政府有关管理部门进行处罚的，根据政府有关部门调查，甲乙双方分别承担相应的处罚费用及相应责任。</w:t>
      </w:r>
    </w:p>
    <w:p w14:paraId="35AB3D4A">
      <w:pPr>
        <w:numPr>
          <w:ilvl w:val="0"/>
          <w:numId w:val="16"/>
        </w:numPr>
        <w:adjustRightInd w:val="0"/>
        <w:snapToGrid w:val="0"/>
        <w:spacing w:line="320" w:lineRule="exact"/>
        <w:ind w:left="0" w:firstLine="0"/>
        <w:rPr>
          <w:rFonts w:ascii="宋体" w:hAnsi="宋体"/>
          <w:szCs w:val="21"/>
        </w:rPr>
      </w:pPr>
      <w:r>
        <w:rPr>
          <w:rFonts w:hint="eastAsia" w:ascii="宋体" w:hAnsi="宋体"/>
          <w:b/>
          <w:bCs/>
          <w:szCs w:val="21"/>
        </w:rPr>
        <w:t>名词解释</w:t>
      </w:r>
    </w:p>
    <w:p w14:paraId="42D3635B">
      <w:pPr>
        <w:numPr>
          <w:ilvl w:val="0"/>
          <w:numId w:val="49"/>
        </w:numPr>
        <w:tabs>
          <w:tab w:val="left" w:pos="567"/>
        </w:tabs>
        <w:adjustRightInd w:val="0"/>
        <w:snapToGrid w:val="0"/>
        <w:spacing w:line="320" w:lineRule="exact"/>
        <w:ind w:left="0" w:firstLine="0"/>
        <w:rPr>
          <w:rFonts w:ascii="宋体" w:hAnsi="宋体"/>
          <w:szCs w:val="21"/>
        </w:rPr>
      </w:pPr>
      <w:r>
        <w:rPr>
          <w:rFonts w:hint="eastAsia" w:ascii="宋体" w:hAnsi="宋体"/>
          <w:szCs w:val="21"/>
        </w:rPr>
        <w:t>厂（场）内高风险承包商：所有从事高风险作业的承包商，无论人数、时长均划定为高风险承包商；从事低风险作业但同时满足人数≥2</w:t>
      </w:r>
      <w:r>
        <w:rPr>
          <w:rFonts w:ascii="宋体" w:hAnsi="宋体"/>
          <w:szCs w:val="21"/>
        </w:rPr>
        <w:t>0人且时长≥4周的承包商也划定为高风险承包商</w:t>
      </w:r>
      <w:r>
        <w:rPr>
          <w:rFonts w:hint="eastAsia" w:ascii="宋体" w:hAnsi="宋体"/>
          <w:szCs w:val="21"/>
        </w:rPr>
        <w:t>；</w:t>
      </w:r>
    </w:p>
    <w:p w14:paraId="3F4CA773">
      <w:pPr>
        <w:numPr>
          <w:ilvl w:val="0"/>
          <w:numId w:val="50"/>
        </w:numPr>
        <w:tabs>
          <w:tab w:val="left" w:pos="709"/>
        </w:tabs>
        <w:adjustRightInd w:val="0"/>
        <w:snapToGrid w:val="0"/>
        <w:spacing w:line="320" w:lineRule="exact"/>
        <w:ind w:left="0" w:firstLine="0"/>
        <w:rPr>
          <w:rFonts w:ascii="宋体" w:hAnsi="宋体"/>
          <w:szCs w:val="21"/>
        </w:rPr>
      </w:pPr>
      <w:r>
        <w:rPr>
          <w:rFonts w:hint="eastAsia" w:ascii="宋体" w:hAnsi="宋体"/>
          <w:szCs w:val="21"/>
        </w:rPr>
        <w:t>高风险作业（包括但不限于）：土建工程、设备安装、高处作业、动火作业、有害物质管线断开、电气作业、上锁挂牌、危险化学品操作、拆除作业、挖掘作业、有限空间进入、复杂吊装、特种设备使用等；</w:t>
      </w:r>
    </w:p>
    <w:p w14:paraId="369F7327">
      <w:pPr>
        <w:numPr>
          <w:ilvl w:val="0"/>
          <w:numId w:val="50"/>
        </w:numPr>
        <w:tabs>
          <w:tab w:val="left" w:pos="709"/>
        </w:tabs>
        <w:adjustRightInd w:val="0"/>
        <w:snapToGrid w:val="0"/>
        <w:spacing w:line="320" w:lineRule="exact"/>
        <w:ind w:left="0" w:firstLine="0"/>
        <w:rPr>
          <w:rFonts w:ascii="宋体" w:hAnsi="宋体"/>
          <w:szCs w:val="21"/>
        </w:rPr>
      </w:pPr>
      <w:r>
        <w:rPr>
          <w:rFonts w:hint="eastAsia" w:ascii="宋体" w:hAnsi="宋体"/>
          <w:szCs w:val="21"/>
        </w:rPr>
        <w:t>低风险作业（包括但不限于）：保卫、保洁、食堂、绿化、手工处理一些较轻质材料、手工打包/贴标签等。</w:t>
      </w:r>
    </w:p>
    <w:p w14:paraId="20BE0CBF">
      <w:pPr>
        <w:numPr>
          <w:ilvl w:val="0"/>
          <w:numId w:val="49"/>
        </w:numPr>
        <w:tabs>
          <w:tab w:val="left" w:pos="567"/>
        </w:tabs>
        <w:adjustRightInd w:val="0"/>
        <w:snapToGrid w:val="0"/>
        <w:spacing w:line="320" w:lineRule="exact"/>
        <w:ind w:left="0" w:firstLine="0"/>
        <w:rPr>
          <w:rFonts w:ascii="宋体" w:hAnsi="宋体"/>
          <w:szCs w:val="21"/>
        </w:rPr>
      </w:pPr>
      <w:r>
        <w:rPr>
          <w:rFonts w:hint="eastAsia" w:ascii="宋体" w:hAnsi="宋体"/>
          <w:szCs w:val="21"/>
        </w:rPr>
        <w:t>厂（场）内低风险承包商：从事低风险作业不同时满足人数≥</w:t>
      </w:r>
      <w:r>
        <w:rPr>
          <w:rFonts w:ascii="宋体" w:hAnsi="宋体"/>
          <w:szCs w:val="21"/>
        </w:rPr>
        <w:t>20人且时长≥4周的承包商</w:t>
      </w:r>
      <w:r>
        <w:rPr>
          <w:rFonts w:hint="eastAsia" w:ascii="宋体" w:hAnsi="宋体"/>
          <w:szCs w:val="21"/>
        </w:rPr>
        <w:t>。</w:t>
      </w:r>
    </w:p>
    <w:p w14:paraId="38C6BA54">
      <w:pPr>
        <w:adjustRightInd w:val="0"/>
        <w:snapToGrid w:val="0"/>
        <w:spacing w:line="420" w:lineRule="exact"/>
        <w:rPr>
          <w:rFonts w:ascii="黑体" w:hAnsi="黑体" w:eastAsia="黑体"/>
          <w:b/>
          <w:bCs/>
          <w:szCs w:val="21"/>
          <w:u w:val="single"/>
        </w:rPr>
      </w:pPr>
    </w:p>
    <w:p w14:paraId="3BC9C924">
      <w:pPr>
        <w:adjustRightInd w:val="0"/>
        <w:snapToGrid w:val="0"/>
        <w:spacing w:line="420" w:lineRule="exact"/>
        <w:rPr>
          <w:rFonts w:ascii="黑体" w:hAnsi="黑体" w:eastAsia="黑体"/>
          <w:b/>
          <w:bCs/>
          <w:u w:val="single"/>
        </w:rPr>
      </w:pPr>
      <w:r>
        <w:rPr>
          <w:rFonts w:hint="eastAsia" w:ascii="黑体" w:hAnsi="黑体" w:eastAsia="黑体"/>
          <w:b/>
          <w:bCs/>
          <w:szCs w:val="21"/>
          <w:u w:val="single"/>
        </w:rPr>
        <w:t>经营场所外：</w:t>
      </w:r>
    </w:p>
    <w:p w14:paraId="24AEE874">
      <w:pPr>
        <w:adjustRightInd w:val="0"/>
        <w:snapToGrid w:val="0"/>
        <w:spacing w:line="420" w:lineRule="exact"/>
        <w:ind w:firstLine="480" w:firstLineChars="200"/>
        <w:rPr>
          <w:rFonts w:ascii="宋体" w:hAnsi="宋体"/>
          <w:szCs w:val="16"/>
        </w:rPr>
      </w:pPr>
      <w:r>
        <w:rPr>
          <w:rFonts w:ascii="宋体" w:hAnsi="宋体"/>
          <w:szCs w:val="16"/>
        </w:rPr>
        <w:t>作为</w:t>
      </w:r>
      <w:r>
        <w:rPr>
          <w:rFonts w:hint="eastAsia" w:ascii="宋体" w:hAnsi="宋体"/>
          <w:szCs w:val="16"/>
        </w:rPr>
        <w:t>甲方</w:t>
      </w:r>
      <w:r>
        <w:rPr>
          <w:rFonts w:ascii="宋体" w:hAnsi="宋体"/>
          <w:szCs w:val="16"/>
        </w:rPr>
        <w:t>的</w:t>
      </w:r>
      <w:r>
        <w:rPr>
          <w:rFonts w:hint="eastAsia" w:ascii="宋体" w:hAnsi="宋体"/>
          <w:szCs w:val="16"/>
        </w:rPr>
        <w:t>合作承包商（包括各类货物、服务、施工的提供方）</w:t>
      </w:r>
      <w:r>
        <w:rPr>
          <w:rFonts w:ascii="宋体" w:hAnsi="宋体"/>
          <w:szCs w:val="16"/>
        </w:rPr>
        <w:t>，为防止和减少在</w:t>
      </w:r>
      <w:r>
        <w:rPr>
          <w:rFonts w:hint="eastAsia" w:ascii="宋体" w:hAnsi="宋体"/>
          <w:szCs w:val="16"/>
        </w:rPr>
        <w:t>合作</w:t>
      </w:r>
      <w:r>
        <w:rPr>
          <w:rFonts w:ascii="宋体" w:hAnsi="宋体"/>
          <w:szCs w:val="16"/>
        </w:rPr>
        <w:t>活动中的安全事故，保障人身健康</w:t>
      </w:r>
      <w:r>
        <w:rPr>
          <w:rFonts w:hint="eastAsia" w:ascii="宋体" w:hAnsi="宋体"/>
          <w:szCs w:val="16"/>
        </w:rPr>
        <w:t>、环境保护</w:t>
      </w:r>
      <w:r>
        <w:rPr>
          <w:rFonts w:ascii="宋体" w:hAnsi="宋体"/>
          <w:szCs w:val="16"/>
        </w:rPr>
        <w:t>和财产安全，承诺严格遵守和执行本</w:t>
      </w:r>
      <w:r>
        <w:rPr>
          <w:rFonts w:hint="eastAsia" w:ascii="宋体" w:hAnsi="宋体"/>
          <w:szCs w:val="16"/>
        </w:rPr>
        <w:t>协议约定</w:t>
      </w:r>
      <w:r>
        <w:rPr>
          <w:rFonts w:ascii="宋体" w:hAnsi="宋体"/>
          <w:szCs w:val="16"/>
        </w:rPr>
        <w:t>：</w:t>
      </w:r>
    </w:p>
    <w:p w14:paraId="6802D6AD">
      <w:pPr>
        <w:adjustRightInd w:val="0"/>
        <w:snapToGrid w:val="0"/>
        <w:spacing w:line="420" w:lineRule="exact"/>
        <w:ind w:firstLine="480" w:firstLineChars="200"/>
        <w:rPr>
          <w:rFonts w:ascii="宋体" w:hAnsi="宋体"/>
          <w:szCs w:val="16"/>
        </w:rPr>
      </w:pPr>
      <w:r>
        <w:rPr>
          <w:rFonts w:ascii="宋体" w:hAnsi="宋体"/>
          <w:szCs w:val="16"/>
        </w:rPr>
        <w:t>一、在</w:t>
      </w:r>
      <w:r>
        <w:rPr>
          <w:rFonts w:hint="eastAsia" w:ascii="宋体" w:hAnsi="宋体"/>
          <w:szCs w:val="16"/>
        </w:rPr>
        <w:t>合作</w:t>
      </w:r>
      <w:r>
        <w:rPr>
          <w:rFonts w:ascii="宋体" w:hAnsi="宋体"/>
          <w:szCs w:val="16"/>
        </w:rPr>
        <w:t>过程中严格遵守</w:t>
      </w:r>
      <w:r>
        <w:rPr>
          <w:rFonts w:hint="eastAsia" w:ascii="宋体" w:hAnsi="宋体"/>
          <w:szCs w:val="16"/>
        </w:rPr>
        <w:t>国家</w:t>
      </w:r>
      <w:r>
        <w:rPr>
          <w:rFonts w:ascii="宋体" w:hAnsi="宋体"/>
          <w:szCs w:val="16"/>
        </w:rPr>
        <w:t>法律法规和地方性法规以及行业规范（包括但不限于</w:t>
      </w:r>
      <w:r>
        <w:rPr>
          <w:rFonts w:hint="eastAsia" w:ascii="宋体" w:hAnsi="宋体"/>
          <w:szCs w:val="16"/>
        </w:rPr>
        <w:t>安全生产、</w:t>
      </w:r>
      <w:r>
        <w:rPr>
          <w:rFonts w:ascii="宋体" w:hAnsi="宋体"/>
          <w:szCs w:val="16"/>
        </w:rPr>
        <w:t>环境保护、人身健康保护、财产安全保护方面的规定）</w:t>
      </w:r>
      <w:r>
        <w:rPr>
          <w:rFonts w:hint="eastAsia" w:ascii="宋体" w:hAnsi="宋体"/>
          <w:szCs w:val="16"/>
        </w:rPr>
        <w:t>。</w:t>
      </w:r>
    </w:p>
    <w:p w14:paraId="45088E7B">
      <w:pPr>
        <w:adjustRightInd w:val="0"/>
        <w:snapToGrid w:val="0"/>
        <w:spacing w:line="420" w:lineRule="exact"/>
        <w:ind w:firstLine="480" w:firstLineChars="200"/>
        <w:rPr>
          <w:rFonts w:ascii="宋体" w:hAnsi="宋体"/>
          <w:szCs w:val="16"/>
        </w:rPr>
      </w:pPr>
      <w:r>
        <w:rPr>
          <w:rFonts w:ascii="宋体" w:hAnsi="宋体"/>
          <w:szCs w:val="16"/>
        </w:rPr>
        <w:t>二、应严格遵守《劳动法》</w:t>
      </w:r>
      <w:r>
        <w:rPr>
          <w:rFonts w:hint="eastAsia" w:ascii="宋体" w:hAnsi="宋体"/>
          <w:szCs w:val="16"/>
        </w:rPr>
        <w:t>、</w:t>
      </w:r>
      <w:r>
        <w:rPr>
          <w:rFonts w:ascii="宋体" w:hAnsi="宋体"/>
          <w:szCs w:val="16"/>
        </w:rPr>
        <w:t>《劳动合同法》</w:t>
      </w:r>
      <w:r>
        <w:rPr>
          <w:rFonts w:hint="eastAsia" w:ascii="宋体" w:hAnsi="宋体"/>
          <w:szCs w:val="16"/>
        </w:rPr>
        <w:t>、《社会保险法》、</w:t>
      </w:r>
      <w:r>
        <w:rPr>
          <w:rFonts w:ascii="宋体" w:hAnsi="宋体"/>
          <w:szCs w:val="16"/>
        </w:rPr>
        <w:t>《工伤保险条例》等劳动保护方面的法律法规，依法及时为雇员（劳动者）缴纳社会保险</w:t>
      </w:r>
      <w:r>
        <w:rPr>
          <w:rFonts w:hint="eastAsia" w:ascii="宋体" w:hAnsi="宋体"/>
          <w:szCs w:val="16"/>
        </w:rPr>
        <w:t>。</w:t>
      </w:r>
    </w:p>
    <w:p w14:paraId="585FE1BD">
      <w:pPr>
        <w:adjustRightInd w:val="0"/>
        <w:snapToGrid w:val="0"/>
        <w:spacing w:line="420" w:lineRule="exact"/>
        <w:ind w:firstLine="480" w:firstLineChars="200"/>
        <w:rPr>
          <w:rFonts w:ascii="宋体" w:hAnsi="宋体"/>
          <w:szCs w:val="16"/>
        </w:rPr>
      </w:pPr>
      <w:r>
        <w:rPr>
          <w:rFonts w:ascii="宋体" w:hAnsi="宋体"/>
          <w:szCs w:val="16"/>
        </w:rPr>
        <w:t>三、有责任对指派的人员提供必要安全培训和个人劳动防护用品</w:t>
      </w:r>
      <w:r>
        <w:rPr>
          <w:rFonts w:hint="eastAsia" w:ascii="宋体" w:hAnsi="宋体"/>
          <w:szCs w:val="16"/>
        </w:rPr>
        <w:t>。</w:t>
      </w:r>
    </w:p>
    <w:p w14:paraId="2DB58FD8">
      <w:pPr>
        <w:adjustRightInd w:val="0"/>
        <w:snapToGrid w:val="0"/>
        <w:spacing w:line="420" w:lineRule="exact"/>
        <w:ind w:firstLine="480" w:firstLineChars="200"/>
        <w:rPr>
          <w:rFonts w:ascii="宋体" w:hAnsi="宋体"/>
          <w:szCs w:val="16"/>
        </w:rPr>
      </w:pPr>
      <w:r>
        <w:rPr>
          <w:rFonts w:ascii="宋体" w:hAnsi="宋体"/>
          <w:szCs w:val="16"/>
        </w:rPr>
        <w:t>四、应确保指派的人员具备与提供服务相适应的合法资质（例如：具有相应行业证书、职业资格证书等）</w:t>
      </w:r>
      <w:r>
        <w:rPr>
          <w:rFonts w:hint="eastAsia" w:ascii="宋体" w:hAnsi="宋体"/>
          <w:szCs w:val="16"/>
        </w:rPr>
        <w:t>。</w:t>
      </w:r>
    </w:p>
    <w:p w14:paraId="05BCBB34">
      <w:pPr>
        <w:adjustRightInd w:val="0"/>
        <w:snapToGrid w:val="0"/>
        <w:spacing w:line="420" w:lineRule="exact"/>
        <w:ind w:firstLine="480" w:firstLineChars="200"/>
        <w:rPr>
          <w:rFonts w:ascii="宋体" w:hAnsi="宋体"/>
          <w:szCs w:val="16"/>
        </w:rPr>
      </w:pPr>
      <w:r>
        <w:rPr>
          <w:rFonts w:ascii="宋体" w:hAnsi="宋体"/>
          <w:szCs w:val="16"/>
        </w:rPr>
        <w:t>五、应确保</w:t>
      </w:r>
      <w:r>
        <w:rPr>
          <w:rFonts w:hint="eastAsia" w:ascii="宋体" w:hAnsi="宋体"/>
          <w:szCs w:val="16"/>
        </w:rPr>
        <w:t>在合作</w:t>
      </w:r>
      <w:r>
        <w:rPr>
          <w:rFonts w:ascii="宋体" w:hAnsi="宋体"/>
          <w:szCs w:val="16"/>
        </w:rPr>
        <w:t>过程中所使用的机械、设备设施、材料、工具等符合</w:t>
      </w:r>
      <w:r>
        <w:rPr>
          <w:rFonts w:hint="eastAsia" w:ascii="宋体" w:hAnsi="宋体"/>
          <w:szCs w:val="16"/>
        </w:rPr>
        <w:t>安全生产、</w:t>
      </w:r>
      <w:r>
        <w:rPr>
          <w:rFonts w:ascii="宋体" w:hAnsi="宋体"/>
          <w:szCs w:val="16"/>
        </w:rPr>
        <w:t>环境保护、</w:t>
      </w:r>
      <w:r>
        <w:rPr>
          <w:rFonts w:hint="eastAsia" w:ascii="宋体" w:hAnsi="宋体"/>
          <w:szCs w:val="16"/>
        </w:rPr>
        <w:t>人身</w:t>
      </w:r>
      <w:r>
        <w:rPr>
          <w:rFonts w:ascii="宋体" w:hAnsi="宋体"/>
          <w:szCs w:val="16"/>
        </w:rPr>
        <w:t>健康和财产安全方面的要求，且对服务过程中存在可能危及</w:t>
      </w:r>
      <w:r>
        <w:rPr>
          <w:rFonts w:hint="eastAsia" w:ascii="宋体" w:hAnsi="宋体"/>
          <w:szCs w:val="16"/>
        </w:rPr>
        <w:t>安全生产、</w:t>
      </w:r>
      <w:r>
        <w:rPr>
          <w:rFonts w:ascii="宋体" w:hAnsi="宋体"/>
          <w:szCs w:val="16"/>
        </w:rPr>
        <w:t>环境保护、</w:t>
      </w:r>
      <w:r>
        <w:rPr>
          <w:rFonts w:hint="eastAsia" w:ascii="宋体" w:hAnsi="宋体"/>
          <w:szCs w:val="16"/>
        </w:rPr>
        <w:t>人身</w:t>
      </w:r>
      <w:r>
        <w:rPr>
          <w:rFonts w:ascii="宋体" w:hAnsi="宋体"/>
          <w:szCs w:val="16"/>
        </w:rPr>
        <w:t>健康和财产安全的风险进行充分评估，采取必要的防范措施</w:t>
      </w:r>
      <w:r>
        <w:rPr>
          <w:rFonts w:hint="eastAsia" w:ascii="宋体" w:hAnsi="宋体"/>
          <w:szCs w:val="16"/>
        </w:rPr>
        <w:t>。</w:t>
      </w:r>
    </w:p>
    <w:p w14:paraId="034CA593">
      <w:pPr>
        <w:adjustRightInd w:val="0"/>
        <w:snapToGrid w:val="0"/>
        <w:spacing w:line="420" w:lineRule="exact"/>
        <w:ind w:firstLine="480" w:firstLineChars="200"/>
        <w:rPr>
          <w:rFonts w:ascii="宋体" w:hAnsi="宋体"/>
          <w:szCs w:val="16"/>
        </w:rPr>
      </w:pPr>
      <w:r>
        <w:rPr>
          <w:rFonts w:ascii="宋体" w:hAnsi="宋体"/>
          <w:szCs w:val="16"/>
        </w:rPr>
        <w:t>六、如</w:t>
      </w:r>
      <w:r>
        <w:rPr>
          <w:rFonts w:hint="eastAsia" w:ascii="宋体" w:hAnsi="宋体"/>
          <w:szCs w:val="16"/>
        </w:rPr>
        <w:t>承包商</w:t>
      </w:r>
      <w:r>
        <w:rPr>
          <w:rFonts w:ascii="宋体" w:hAnsi="宋体"/>
          <w:szCs w:val="16"/>
        </w:rPr>
        <w:t>人员因业务</w:t>
      </w:r>
      <w:r>
        <w:rPr>
          <w:rFonts w:hint="eastAsia" w:ascii="宋体" w:hAnsi="宋体"/>
          <w:szCs w:val="16"/>
        </w:rPr>
        <w:t>需要必须</w:t>
      </w:r>
      <w:r>
        <w:rPr>
          <w:rFonts w:ascii="宋体" w:hAnsi="宋体"/>
          <w:szCs w:val="16"/>
        </w:rPr>
        <w:t>进入</w:t>
      </w:r>
      <w:r>
        <w:rPr>
          <w:rFonts w:hint="eastAsia" w:ascii="宋体" w:hAnsi="宋体"/>
          <w:szCs w:val="16"/>
        </w:rPr>
        <w:t>到甲方</w:t>
      </w:r>
      <w:r>
        <w:rPr>
          <w:rFonts w:ascii="宋体" w:hAnsi="宋体"/>
          <w:szCs w:val="16"/>
        </w:rPr>
        <w:t>的管理区域时，须严格遵守</w:t>
      </w:r>
      <w:r>
        <w:rPr>
          <w:rFonts w:hint="eastAsia" w:ascii="宋体" w:hAnsi="宋体"/>
          <w:szCs w:val="16"/>
        </w:rPr>
        <w:t>甲方</w:t>
      </w:r>
      <w:r>
        <w:rPr>
          <w:rFonts w:ascii="宋体" w:hAnsi="宋体"/>
          <w:szCs w:val="16"/>
        </w:rPr>
        <w:t>关于出入管理</w:t>
      </w:r>
      <w:r>
        <w:rPr>
          <w:rFonts w:hint="eastAsia" w:ascii="宋体" w:hAnsi="宋体"/>
          <w:szCs w:val="16"/>
        </w:rPr>
        <w:t>、</w:t>
      </w:r>
      <w:r>
        <w:rPr>
          <w:rFonts w:ascii="宋体" w:hAnsi="宋体"/>
          <w:szCs w:val="16"/>
        </w:rPr>
        <w:t>安全</w:t>
      </w:r>
      <w:r>
        <w:rPr>
          <w:rFonts w:hint="eastAsia" w:ascii="宋体" w:hAnsi="宋体"/>
          <w:szCs w:val="16"/>
        </w:rPr>
        <w:t>生产、环境保护、人身健康、财产安全</w:t>
      </w:r>
      <w:r>
        <w:rPr>
          <w:rFonts w:ascii="宋体" w:hAnsi="宋体"/>
          <w:szCs w:val="16"/>
        </w:rPr>
        <w:t>方面的规定；如出现任何的违规情形，</w:t>
      </w:r>
      <w:r>
        <w:rPr>
          <w:rFonts w:hint="eastAsia" w:ascii="宋体" w:hAnsi="宋体"/>
          <w:szCs w:val="16"/>
        </w:rPr>
        <w:t>甲方</w:t>
      </w:r>
      <w:r>
        <w:rPr>
          <w:rFonts w:ascii="宋体" w:hAnsi="宋体"/>
          <w:szCs w:val="16"/>
        </w:rPr>
        <w:t>有权依据有关规定</w:t>
      </w:r>
      <w:r>
        <w:rPr>
          <w:rFonts w:hint="eastAsia" w:ascii="宋体" w:hAnsi="宋体"/>
          <w:szCs w:val="16"/>
        </w:rPr>
        <w:t>追究违约责任。</w:t>
      </w:r>
    </w:p>
    <w:p w14:paraId="17928D4A">
      <w:pPr>
        <w:adjustRightInd w:val="0"/>
        <w:snapToGrid w:val="0"/>
        <w:spacing w:line="420" w:lineRule="exact"/>
        <w:ind w:firstLine="480" w:firstLineChars="200"/>
        <w:rPr>
          <w:rFonts w:ascii="宋体" w:hAnsi="宋体"/>
          <w:szCs w:val="16"/>
        </w:rPr>
      </w:pPr>
      <w:r>
        <w:rPr>
          <w:rFonts w:hint="eastAsia" w:ascii="宋体" w:hAnsi="宋体"/>
          <w:szCs w:val="16"/>
        </w:rPr>
        <w:t>七、</w:t>
      </w:r>
      <w:r>
        <w:rPr>
          <w:rFonts w:ascii="宋体" w:hAnsi="宋体"/>
          <w:szCs w:val="16"/>
        </w:rPr>
        <w:t>如违反本</w:t>
      </w:r>
      <w:r>
        <w:rPr>
          <w:rFonts w:hint="eastAsia" w:ascii="宋体" w:hAnsi="宋体"/>
          <w:szCs w:val="16"/>
        </w:rPr>
        <w:t>协议或发生安全生产、</w:t>
      </w:r>
      <w:r>
        <w:rPr>
          <w:rFonts w:ascii="宋体" w:hAnsi="宋体"/>
          <w:szCs w:val="16"/>
        </w:rPr>
        <w:t>环境保护、</w:t>
      </w:r>
      <w:r>
        <w:rPr>
          <w:rFonts w:hint="eastAsia" w:ascii="宋体" w:hAnsi="宋体"/>
          <w:szCs w:val="16"/>
        </w:rPr>
        <w:t>人身</w:t>
      </w:r>
      <w:r>
        <w:rPr>
          <w:rFonts w:ascii="宋体" w:hAnsi="宋体"/>
          <w:szCs w:val="16"/>
        </w:rPr>
        <w:t>健康和财产安全</w:t>
      </w:r>
      <w:r>
        <w:rPr>
          <w:rFonts w:hint="eastAsia" w:ascii="宋体" w:hAnsi="宋体"/>
          <w:szCs w:val="16"/>
        </w:rPr>
        <w:t>相关的事故事件</w:t>
      </w:r>
      <w:r>
        <w:rPr>
          <w:rFonts w:ascii="宋体" w:hAnsi="宋体"/>
          <w:szCs w:val="16"/>
        </w:rPr>
        <w:t>，由此产生</w:t>
      </w:r>
      <w:r>
        <w:rPr>
          <w:rFonts w:hint="eastAsia" w:ascii="宋体" w:hAnsi="宋体"/>
          <w:szCs w:val="16"/>
        </w:rPr>
        <w:t>的</w:t>
      </w:r>
      <w:r>
        <w:rPr>
          <w:rFonts w:ascii="宋体" w:hAnsi="宋体"/>
          <w:szCs w:val="16"/>
        </w:rPr>
        <w:t>一切纠纷、后果和责任均由</w:t>
      </w:r>
      <w:r>
        <w:rPr>
          <w:rFonts w:hint="eastAsia" w:ascii="宋体" w:hAnsi="宋体"/>
          <w:szCs w:val="16"/>
        </w:rPr>
        <w:t>承包商</w:t>
      </w:r>
      <w:r>
        <w:rPr>
          <w:rFonts w:ascii="宋体" w:hAnsi="宋体"/>
          <w:szCs w:val="16"/>
        </w:rPr>
        <w:t>承担，如因此导致</w:t>
      </w:r>
      <w:r>
        <w:rPr>
          <w:rFonts w:hint="eastAsia" w:ascii="宋体" w:hAnsi="宋体"/>
          <w:szCs w:val="16"/>
        </w:rPr>
        <w:t>甲方</w:t>
      </w:r>
      <w:r>
        <w:rPr>
          <w:rFonts w:ascii="宋体" w:hAnsi="宋体"/>
          <w:szCs w:val="16"/>
        </w:rPr>
        <w:t>承担责任或遭受损失的，</w:t>
      </w:r>
      <w:r>
        <w:rPr>
          <w:rFonts w:hint="eastAsia" w:ascii="宋体" w:hAnsi="宋体"/>
          <w:szCs w:val="16"/>
        </w:rPr>
        <w:t>承包商</w:t>
      </w:r>
      <w:r>
        <w:rPr>
          <w:rFonts w:ascii="宋体" w:hAnsi="宋体"/>
          <w:szCs w:val="16"/>
        </w:rPr>
        <w:t>负责赔偿</w:t>
      </w:r>
      <w:r>
        <w:rPr>
          <w:rFonts w:hint="eastAsia" w:ascii="宋体" w:hAnsi="宋体"/>
          <w:szCs w:val="16"/>
        </w:rPr>
        <w:t>甲方</w:t>
      </w:r>
      <w:r>
        <w:rPr>
          <w:rFonts w:ascii="宋体" w:hAnsi="宋体"/>
          <w:szCs w:val="16"/>
        </w:rPr>
        <w:t>的全部损失（包括但不限于赔偿金、罚款、律师费、差旅费、公证费等）</w:t>
      </w:r>
      <w:r>
        <w:rPr>
          <w:rFonts w:hint="eastAsia" w:ascii="宋体" w:hAnsi="宋体"/>
          <w:szCs w:val="16"/>
        </w:rPr>
        <w:t>。</w:t>
      </w:r>
    </w:p>
    <w:p w14:paraId="31D9E078">
      <w:pPr>
        <w:spacing w:line="360" w:lineRule="auto"/>
        <w:jc w:val="left"/>
        <w:rPr>
          <w:b/>
        </w:rPr>
      </w:pPr>
      <w:r>
        <w:rPr>
          <w:rFonts w:hint="eastAsia"/>
          <w:b/>
        </w:rPr>
        <w:t>甲方：</w:t>
      </w:r>
      <w:bookmarkStart w:id="26" w:name="firstParty3"/>
      <w:bookmarkEnd w:id="26"/>
      <w:r>
        <w:rPr>
          <w:b/>
        </w:rPr>
        <w:t xml:space="preserve">  </w:t>
      </w:r>
      <w:r>
        <w:rPr>
          <w:rFonts w:hint="eastAsia"/>
          <w:b/>
        </w:rPr>
        <w:t>（盖章）</w:t>
      </w:r>
      <w:r>
        <w:rPr>
          <w:b/>
        </w:rPr>
        <w:t xml:space="preserve">      </w:t>
      </w:r>
    </w:p>
    <w:p w14:paraId="089B4821">
      <w:pPr>
        <w:spacing w:line="360" w:lineRule="auto"/>
        <w:ind w:firstLine="1205" w:firstLineChars="500"/>
        <w:jc w:val="left"/>
        <w:rPr>
          <w:b/>
        </w:rPr>
      </w:pPr>
      <w:r>
        <w:rPr>
          <w:rFonts w:hint="eastAsia"/>
          <w:b/>
        </w:rPr>
        <w:t>年</w:t>
      </w:r>
      <w:r>
        <w:rPr>
          <w:b/>
        </w:rPr>
        <w:t xml:space="preserve">   </w:t>
      </w:r>
      <w:r>
        <w:rPr>
          <w:rFonts w:hint="eastAsia"/>
          <w:b/>
        </w:rPr>
        <w:t>月</w:t>
      </w:r>
      <w:r>
        <w:rPr>
          <w:b/>
        </w:rPr>
        <w:t xml:space="preserve">   </w:t>
      </w:r>
      <w:r>
        <w:rPr>
          <w:rFonts w:hint="eastAsia"/>
          <w:b/>
        </w:rPr>
        <w:t>日</w:t>
      </w:r>
      <w:r>
        <w:rPr>
          <w:b/>
        </w:rPr>
        <w:t xml:space="preserve">  </w:t>
      </w:r>
    </w:p>
    <w:p w14:paraId="65D533B8">
      <w:pPr>
        <w:spacing w:line="360" w:lineRule="auto"/>
        <w:jc w:val="left"/>
        <w:rPr>
          <w:b/>
        </w:rPr>
      </w:pPr>
      <w:r>
        <w:rPr>
          <w:rFonts w:hint="eastAsia"/>
          <w:b/>
        </w:rPr>
        <w:t>乙方：</w:t>
      </w:r>
      <w:bookmarkStart w:id="27" w:name="secondParty3"/>
      <w:bookmarkEnd w:id="27"/>
      <w:r>
        <w:rPr>
          <w:b/>
        </w:rPr>
        <w:t xml:space="preserve">  </w:t>
      </w:r>
      <w:r>
        <w:rPr>
          <w:rFonts w:hint="eastAsia"/>
          <w:b/>
        </w:rPr>
        <w:t>（盖章）</w:t>
      </w:r>
    </w:p>
    <w:p w14:paraId="2FC9F7FE">
      <w:pPr>
        <w:spacing w:line="276" w:lineRule="auto"/>
        <w:jc w:val="left"/>
        <w:rPr>
          <w:rFonts w:ascii="宋体" w:hAnsi="宋体" w:cs="宋体"/>
          <w:szCs w:val="21"/>
        </w:rPr>
      </w:pPr>
      <w:r>
        <w:rPr>
          <w:b/>
        </w:rPr>
        <w:t xml:space="preserve">          </w:t>
      </w:r>
      <w:r>
        <w:rPr>
          <w:rFonts w:hint="eastAsia"/>
          <w:b/>
        </w:rPr>
        <w:t>年</w:t>
      </w:r>
      <w:r>
        <w:rPr>
          <w:b/>
        </w:rPr>
        <w:t xml:space="preserve">   </w:t>
      </w:r>
      <w:r>
        <w:rPr>
          <w:rFonts w:hint="eastAsia"/>
          <w:b/>
        </w:rPr>
        <w:t>月</w:t>
      </w:r>
      <w:r>
        <w:rPr>
          <w:b/>
        </w:rPr>
        <w:t xml:space="preserve">   </w:t>
      </w:r>
      <w:r>
        <w:rPr>
          <w:rFonts w:hint="eastAsia"/>
          <w:b/>
        </w:rPr>
        <w:t>日</w:t>
      </w:r>
    </w:p>
    <w:p w14:paraId="33D876B4">
      <w:r>
        <w:rPr>
          <w:rFonts w:hint="eastAsia"/>
        </w:rPr>
        <w:t xml:space="preserve">    </w:t>
      </w:r>
    </w:p>
    <w:p w14:paraId="3C6B3F43">
      <w:pPr>
        <w:spacing w:after="312" w:afterLines="100" w:line="440" w:lineRule="exact"/>
        <w:jc w:val="center"/>
        <w:outlineLvl w:val="0"/>
        <w:rPr>
          <w:rFonts w:ascii="宋体" w:hAnsi="宋体"/>
          <w:iCs/>
          <w:szCs w:val="24"/>
        </w:rPr>
      </w:pPr>
      <w:r>
        <w:rPr>
          <w:rFonts w:hint="eastAsia" w:ascii="宋体" w:hAnsi="宋体"/>
          <w:b/>
          <w:bCs/>
          <w:sz w:val="32"/>
          <w:szCs w:val="24"/>
        </w:rPr>
        <w:t>第五卷 采购需求</w:t>
      </w:r>
    </w:p>
    <w:p w14:paraId="1F5BBF7B">
      <w:pPr>
        <w:spacing w:line="440" w:lineRule="exact"/>
        <w:ind w:firstLine="482" w:firstLineChars="200"/>
        <w:rPr>
          <w:rFonts w:hint="eastAsia"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lang w:val="en-US" w:eastAsia="zh-CN"/>
        </w:rPr>
        <w:t>一、</w:t>
      </w:r>
      <w:r>
        <w:rPr>
          <w:rFonts w:hint="eastAsia" w:asciiTheme="minorEastAsia" w:hAnsiTheme="minorEastAsia" w:eastAsiaTheme="minorEastAsia" w:cstheme="minorEastAsia"/>
          <w:b/>
          <w:bCs/>
          <w:sz w:val="24"/>
          <w:szCs w:val="24"/>
        </w:rPr>
        <w:t>采购范围</w:t>
      </w:r>
    </w:p>
    <w:p w14:paraId="1DF6B0E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厂区室内外环境消杀及防鼠、防虫</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四害防控设施的检查、更新和维护，主要包含以下区域：</w:t>
      </w:r>
    </w:p>
    <w:p w14:paraId="55ABB23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1.室内环境：</w:t>
      </w:r>
    </w:p>
    <w:p w14:paraId="6B2873D6">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（1）非生产区：办公楼及附属设施、食堂、宿舍、卫生间、吸烟室、更衣室、休息室</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w:t>
      </w:r>
    </w:p>
    <w:p w14:paraId="245A5580">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（2）生产区：原辅料库房、添加剂库房、综合物资库房、上料车间、糖化车间、发酵车间、动力水处理车间、包装车间、成品仓库、其他需要进行虫害防治的区域。</w:t>
      </w:r>
    </w:p>
    <w:p w14:paraId="48D9D1C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2.厂区外环境：</w:t>
      </w:r>
    </w:p>
    <w:p w14:paraId="5E4E49D3">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外包装（空瓶、塑箱</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）存放场地，场院、绿地、草坪、污水处理区、垃圾堆放处、厂区周边区域（院墙5米范围内）。</w:t>
      </w:r>
    </w:p>
    <w:p w14:paraId="2982A7DA">
      <w:pPr>
        <w:spacing w:line="44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highlight w:val="none"/>
          <w:lang w:val="en-US" w:eastAsia="zh-CN"/>
        </w:rPr>
        <w:t>成交人根据采购人设备设施和厂区要求，重新绘制虫害布控图。</w:t>
      </w:r>
    </w:p>
    <w:p w14:paraId="41D35E74">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一</w:t>
      </w:r>
      <w:r>
        <w:rPr>
          <w:rFonts w:hint="eastAsia" w:asciiTheme="minorEastAsia" w:hAnsiTheme="minorEastAsia" w:eastAsiaTheme="minorEastAsia" w:cstheme="minorEastAsia"/>
          <w:sz w:val="24"/>
          <w:szCs w:val="24"/>
        </w:rPr>
        <w:t>）服务期限：</w:t>
      </w:r>
      <w:r>
        <w:rPr>
          <w:rFonts w:hint="eastAsia" w:asciiTheme="minorEastAsia" w:hAnsiTheme="minorEastAsia" w:eastAsiaTheme="minorEastAsia" w:cstheme="minorEastAsia"/>
          <w:color w:val="333333"/>
          <w:sz w:val="24"/>
          <w:szCs w:val="24"/>
          <w:shd w:val="clear" w:color="auto" w:fill="FFFFFF"/>
        </w:rPr>
        <w:t>合同自签订之日起</w:t>
      </w:r>
      <w:r>
        <w:rPr>
          <w:rFonts w:hint="eastAsia" w:asciiTheme="minorEastAsia" w:hAnsiTheme="minorEastAsia" w:eastAsiaTheme="minorEastAsia" w:cstheme="minorEastAsia"/>
          <w:color w:val="333333"/>
          <w:sz w:val="24"/>
          <w:szCs w:val="24"/>
          <w:shd w:val="clear" w:color="auto" w:fill="FFFFFF"/>
          <w:lang w:val="en-US" w:eastAsia="zh-CN"/>
        </w:rPr>
        <w:t>至2027年5月15日</w:t>
      </w:r>
      <w:r>
        <w:rPr>
          <w:rFonts w:hint="eastAsia" w:asciiTheme="minorEastAsia" w:hAnsiTheme="minorEastAsia" w:eastAsiaTheme="minorEastAsia" w:cstheme="minorEastAsia"/>
          <w:color w:val="333333"/>
          <w:sz w:val="24"/>
          <w:szCs w:val="24"/>
          <w:shd w:val="clear" w:color="auto" w:fill="FFFFFF"/>
        </w:rPr>
        <w:t>有效</w:t>
      </w:r>
      <w:r>
        <w:rPr>
          <w:rFonts w:hint="eastAsia" w:asciiTheme="minorEastAsia" w:hAnsiTheme="minorEastAsia" w:eastAsiaTheme="minorEastAsia" w:cstheme="minorEastAsia"/>
          <w:sz w:val="24"/>
          <w:szCs w:val="24"/>
        </w:rPr>
        <w:t>。</w:t>
      </w:r>
    </w:p>
    <w:p w14:paraId="43DC9BF2">
      <w:pPr>
        <w:spacing w:line="50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）发票税率要求：3%或6%，不含税总价最低者推荐中标。</w:t>
      </w:r>
    </w:p>
    <w:p w14:paraId="46B8AFF4">
      <w:pPr>
        <w:pStyle w:val="10"/>
        <w:numPr>
          <w:ilvl w:val="0"/>
          <w:numId w:val="0"/>
        </w:numPr>
        <w:spacing w:line="440" w:lineRule="exact"/>
        <w:ind w:leftChars="200"/>
        <w:outlineLvl w:val="0"/>
        <w:rPr>
          <w:rFonts w:hint="eastAsia" w:asciiTheme="minorEastAsia" w:hAnsiTheme="minorEastAsia" w:eastAsiaTheme="minorEastAsia" w:cstheme="minorEastAsia"/>
          <w:b/>
          <w:bCs/>
          <w:iCs/>
          <w:color w:val="auto"/>
          <w:sz w:val="24"/>
          <w:szCs w:val="24"/>
          <w:highlight w:val="none"/>
          <w:lang w:val="en-US" w:eastAsia="zh-CN"/>
        </w:rPr>
      </w:pPr>
      <w:r>
        <w:rPr>
          <w:rFonts w:hint="eastAsia" w:asciiTheme="minorEastAsia" w:hAnsiTheme="minorEastAsia" w:cstheme="minorEastAsia"/>
          <w:b/>
          <w:bCs/>
          <w:iCs/>
          <w:color w:val="auto"/>
          <w:sz w:val="24"/>
          <w:szCs w:val="24"/>
          <w:highlight w:val="none"/>
          <w:lang w:val="en-US" w:eastAsia="zh-CN"/>
        </w:rPr>
        <w:t>二、</w:t>
      </w:r>
      <w:r>
        <w:rPr>
          <w:rFonts w:hint="eastAsia" w:asciiTheme="minorEastAsia" w:hAnsiTheme="minorEastAsia" w:eastAsiaTheme="minorEastAsia" w:cstheme="minorEastAsia"/>
          <w:b/>
          <w:bCs/>
          <w:iCs/>
          <w:color w:val="auto"/>
          <w:sz w:val="24"/>
          <w:szCs w:val="24"/>
          <w:highlight w:val="none"/>
          <w:lang w:val="en-US" w:eastAsia="zh-CN"/>
        </w:rPr>
        <w:t>服务要求</w:t>
      </w:r>
    </w:p>
    <w:p w14:paraId="64D8F351">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（一）</w:t>
      </w:r>
      <w:r>
        <w:rPr>
          <w:rFonts w:hint="eastAsia" w:asciiTheme="minorEastAsia" w:hAnsiTheme="minorEastAsia" w:eastAsiaTheme="minorEastAsia" w:cstheme="minorEastAsia"/>
          <w:sz w:val="24"/>
          <w:szCs w:val="24"/>
          <w:highlight w:val="none"/>
        </w:rPr>
        <w:t>室内非生产区环境、厂区外环境区域进行专项消杀服务（预防性药物喷洒，粘鼠板、毒饵盒</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rPr>
        <w:t>消杀物资检查和更换），每月作业2次，每次间隔时间最长不多于15天；</w:t>
      </w:r>
    </w:p>
    <w:p w14:paraId="1386DA1F">
      <w:pPr>
        <w:keepNext w:val="0"/>
        <w:keepLines w:val="0"/>
        <w:pageBreakBefore w:val="0"/>
        <w:widowControl/>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二</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highlight w:val="none"/>
        </w:rPr>
        <w:t>室内环境生产区专项消杀服务消杀（粘鼠板</w:t>
      </w:r>
      <w:r>
        <w:rPr>
          <w:rFonts w:hint="eastAsia" w:asciiTheme="minorEastAsia" w:hAnsiTheme="minorEastAsia" w:eastAsiaTheme="minorEastAsia" w:cstheme="minorEastAsia"/>
          <w:color w:val="auto"/>
          <w:sz w:val="24"/>
          <w:szCs w:val="24"/>
          <w:highlight w:val="none"/>
        </w:rPr>
        <w:t>、防爆灭蝇灯</w:t>
      </w:r>
      <w:r>
        <w:rPr>
          <w:rFonts w:hint="eastAsia" w:asciiTheme="minorEastAsia" w:hAnsiTheme="minorEastAsia" w:eastAsiaTheme="minorEastAsia" w:cstheme="minorEastAsia"/>
          <w:sz w:val="24"/>
          <w:szCs w:val="24"/>
          <w:highlight w:val="none"/>
        </w:rPr>
        <w:t>、灭蝇灯灯纸、灯管、毒饵盒</w:t>
      </w:r>
      <w:r>
        <w:rPr>
          <w:rFonts w:hint="eastAsia" w:asciiTheme="minorEastAsia" w:hAnsiTheme="minorEastAsia" w:eastAsiaTheme="minorEastAsia" w:cstheme="minorEastAsia"/>
          <w:sz w:val="24"/>
          <w:szCs w:val="24"/>
          <w:highlight w:val="none"/>
          <w:lang w:eastAsia="zh-CN"/>
        </w:rPr>
        <w:t xml:space="preserve"> </w:t>
      </w:r>
      <w:r>
        <w:rPr>
          <w:rFonts w:hint="eastAsia" w:asciiTheme="minorEastAsia" w:hAnsiTheme="minorEastAsia" w:eastAsiaTheme="minorEastAsia" w:cstheme="minorEastAsia"/>
          <w:sz w:val="24"/>
          <w:szCs w:val="24"/>
          <w:highlight w:val="none"/>
        </w:rPr>
        <w:t>消杀物资检查和更换），每月作业4次，每次间隔时间最长不多于8天；</w:t>
      </w:r>
    </w:p>
    <w:p w14:paraId="0B97FFC5">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auto"/>
          <w:sz w:val="24"/>
          <w:szCs w:val="24"/>
          <w:highlight w:val="none"/>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三</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highlight w:val="none"/>
        </w:rPr>
        <w:t>每次服务应更换粘到老鼠或其它虫害的粘鼠板</w:t>
      </w:r>
      <w:r>
        <w:rPr>
          <w:rFonts w:hint="eastAsia" w:asciiTheme="minorEastAsia" w:hAnsiTheme="minorEastAsia" w:eastAsiaTheme="minorEastAsia" w:cstheme="minorEastAsia"/>
          <w:color w:val="auto"/>
          <w:sz w:val="24"/>
          <w:szCs w:val="24"/>
          <w:highlight w:val="none"/>
          <w:lang w:eastAsia="zh-CN"/>
        </w:rPr>
        <w:t>、</w:t>
      </w:r>
      <w:r>
        <w:rPr>
          <w:rFonts w:hint="eastAsia" w:asciiTheme="minorEastAsia" w:hAnsiTheme="minorEastAsia" w:eastAsiaTheme="minorEastAsia" w:cstheme="minorEastAsia"/>
          <w:color w:val="auto"/>
          <w:sz w:val="24"/>
          <w:szCs w:val="24"/>
          <w:highlight w:val="none"/>
        </w:rPr>
        <w:t>杀蟑胶饵，同时排查是否存在新的蟑螂栖息地。每次服务检查蟑螂屋，蟑螂屋的使用周期最长不得超过1个月。灭蝇灯为防爆灭蝇灯，灯管为波长为330-400mm的紫外光</w:t>
      </w:r>
      <w:r>
        <w:rPr>
          <w:rFonts w:hint="eastAsia" w:asciiTheme="minorEastAsia" w:hAnsiTheme="minorEastAsia" w:eastAsiaTheme="minorEastAsia" w:cstheme="minorEastAsia"/>
          <w:color w:val="auto"/>
          <w:sz w:val="24"/>
          <w:szCs w:val="24"/>
          <w:highlight w:val="none"/>
          <w:lang w:val="en-US" w:eastAsia="zh-CN"/>
        </w:rPr>
        <w:t>灯</w:t>
      </w:r>
      <w:r>
        <w:rPr>
          <w:rFonts w:hint="eastAsia" w:asciiTheme="minorEastAsia" w:hAnsiTheme="minorEastAsia" w:eastAsiaTheme="minorEastAsia" w:cstheme="minorEastAsia"/>
          <w:color w:val="auto"/>
          <w:sz w:val="24"/>
          <w:szCs w:val="24"/>
          <w:highlight w:val="none"/>
        </w:rPr>
        <w:t>管，防碎灯管，每次服务时检查确认灭蝇灯正常使用情况、清洁灯管并更换粘蝇纸，安装高度约1.8-2.2米，具体以实际协商为准。服务方提供的消杀物资型号及规格应与公司已有的设施匹配，新增设施也应与已有设施一致。</w:t>
      </w:r>
    </w:p>
    <w:p w14:paraId="50BB0133">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四</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000000" w:themeColor="text1"/>
          <w:sz w:val="24"/>
          <w:szCs w:val="24"/>
          <w:highlight w:val="none"/>
          <w:lang w:val="en-US" w:eastAsia="zh-CN"/>
          <w14:textFill>
            <w14:solidFill>
              <w14:schemeClr w14:val="tx1"/>
            </w14:solidFill>
          </w14:textFill>
        </w:rPr>
        <w:t>药品和器械的要求，选择的药物，均适用于食品加工业的低毒、高效对人畜无害绿色环保的药物，均在国家相关部门登记注册。</w:t>
      </w:r>
    </w:p>
    <w:p w14:paraId="2B814492">
      <w:pPr>
        <w:keepNext w:val="0"/>
        <w:keepLines w:val="0"/>
        <w:pageBreakBefore w:val="0"/>
        <w:kinsoku/>
        <w:wordWrap/>
        <w:overflowPunct/>
        <w:topLinePunct w:val="0"/>
        <w:autoSpaceDE/>
        <w:autoSpaceDN/>
        <w:bidi w:val="0"/>
        <w:adjustRightInd/>
        <w:snapToGrid/>
        <w:spacing w:line="440" w:lineRule="exact"/>
        <w:ind w:firstLine="480" w:firstLineChars="200"/>
        <w:jc w:val="both"/>
        <w:textAlignment w:val="auto"/>
        <w:rPr>
          <w:rFonts w:hint="eastAsia" w:asciiTheme="minorEastAsia" w:hAnsiTheme="minorEastAsia" w:eastAsiaTheme="minorEastAsia" w:cstheme="minorEastAsia"/>
          <w:color w:val="FF0000"/>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五</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color w:val="auto"/>
          <w:sz w:val="24"/>
          <w:szCs w:val="24"/>
        </w:rPr>
        <w:t>服务方所携带药品、器械进入询价方厂区后要放置于指定地点存放、服务方设专人保管。每个布控点贴好标识牌、服务记录卡，每次服务完打卡，同时做好布控点的卫生，防鼠、防蝇设施表面干净无灰尘。消杀服务完成后，杀虫剂包装、空瓶、沾有杀虫剂物料和已更换的实效杀毒剂</w:t>
      </w:r>
      <w:r>
        <w:rPr>
          <w:rFonts w:hint="eastAsia" w:asciiTheme="minorEastAsia" w:hAnsiTheme="minorEastAsia" w:eastAsiaTheme="minorEastAsia" w:cstheme="minorEastAsia"/>
          <w:color w:val="auto"/>
          <w:sz w:val="24"/>
          <w:szCs w:val="24"/>
          <w:lang w:eastAsia="zh-CN"/>
        </w:rPr>
        <w:t xml:space="preserve"> </w:t>
      </w:r>
      <w:r>
        <w:rPr>
          <w:rFonts w:hint="eastAsia" w:asciiTheme="minorEastAsia" w:hAnsiTheme="minorEastAsia" w:eastAsiaTheme="minorEastAsia" w:cstheme="minorEastAsia"/>
          <w:color w:val="auto"/>
          <w:sz w:val="24"/>
          <w:szCs w:val="24"/>
        </w:rPr>
        <w:t>物品带离工厂，并做好记录。服务方依据防鼠、防虫设施点位制定有害生物</w:t>
      </w:r>
      <w:r>
        <w:rPr>
          <w:rFonts w:hint="eastAsia" w:asciiTheme="minorEastAsia" w:hAnsiTheme="minorEastAsia" w:eastAsiaTheme="minorEastAsia" w:cstheme="minorEastAsia"/>
          <w:sz w:val="24"/>
          <w:szCs w:val="24"/>
        </w:rPr>
        <w:t>控制平面图，点位发生变化时，应及时调整并反馈至公司。</w:t>
      </w:r>
    </w:p>
    <w:p w14:paraId="1BC0F501">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六</w:t>
      </w:r>
      <w:r>
        <w:rPr>
          <w:rFonts w:hint="eastAsia" w:asciiTheme="minorEastAsia" w:hAnsiTheme="minorEastAsia" w:eastAsiaTheme="minorEastAsia" w:cstheme="minorEastAsia"/>
          <w:sz w:val="24"/>
          <w:szCs w:val="24"/>
        </w:rPr>
        <w:t>）服务方每次作业后出具服务报告，记录内容包括服务的时间、场所、使用的药械，作业的方法步骤</w:t>
      </w:r>
      <w:r>
        <w:rPr>
          <w:rFonts w:hint="eastAsia" w:asciiTheme="minorEastAsia" w:hAnsiTheme="minorEastAsia" w:eastAsiaTheme="minorEastAsia" w:cstheme="minorEastAsia"/>
          <w:sz w:val="24"/>
          <w:szCs w:val="24"/>
          <w:lang w:eastAsia="zh-CN"/>
        </w:rPr>
        <w:t xml:space="preserve"> </w:t>
      </w:r>
      <w:r>
        <w:rPr>
          <w:rFonts w:hint="eastAsia" w:asciiTheme="minorEastAsia" w:hAnsiTheme="minorEastAsia" w:eastAsiaTheme="minorEastAsia" w:cstheme="minorEastAsia"/>
          <w:sz w:val="24"/>
          <w:szCs w:val="24"/>
        </w:rPr>
        <w:t>。</w:t>
      </w:r>
    </w:p>
    <w:p w14:paraId="2B0C4E3E">
      <w:pPr>
        <w:spacing w:line="44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w:t>
      </w:r>
      <w:r>
        <w:rPr>
          <w:rFonts w:hint="eastAsia" w:asciiTheme="minorEastAsia" w:hAnsiTheme="minorEastAsia" w:cstheme="minorEastAsia"/>
          <w:sz w:val="24"/>
          <w:szCs w:val="24"/>
          <w:lang w:val="en-US" w:eastAsia="zh-CN"/>
        </w:rPr>
        <w:t>七</w:t>
      </w:r>
      <w:r>
        <w:rPr>
          <w:rFonts w:hint="eastAsia" w:asciiTheme="minorEastAsia" w:hAnsiTheme="minorEastAsia" w:eastAsiaTheme="minorEastAsia" w:cstheme="minorEastAsia"/>
          <w:sz w:val="24"/>
          <w:szCs w:val="24"/>
        </w:rPr>
        <w:t>）开展虫害风险评估（全年一次）与虫害趋势分析（每季度一次），出具有效评价报告，反馈至公司。</w:t>
      </w:r>
    </w:p>
    <w:p w14:paraId="780ADC6C">
      <w:pPr>
        <w:spacing w:line="500" w:lineRule="exact"/>
        <w:ind w:firstLine="482" w:firstLineChars="200"/>
        <w:rPr>
          <w:rFonts w:hint="eastAsia" w:asciiTheme="minorEastAsia" w:hAnsiTheme="minorEastAsia"/>
          <w:color w:val="auto"/>
          <w:sz w:val="24"/>
          <w:szCs w:val="24"/>
          <w:lang w:val="en-US" w:eastAsia="zh-CN"/>
        </w:rPr>
      </w:pPr>
      <w:r>
        <w:rPr>
          <w:rFonts w:hint="eastAsia" w:asciiTheme="minorEastAsia" w:hAnsiTheme="minorEastAsia"/>
          <w:b/>
          <w:bCs/>
          <w:color w:val="auto"/>
          <w:sz w:val="24"/>
          <w:szCs w:val="24"/>
          <w:lang w:val="en-US" w:eastAsia="zh-CN"/>
        </w:rPr>
        <w:t>三、验收方式</w:t>
      </w:r>
    </w:p>
    <w:p w14:paraId="3E87FDAF">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使用大型车载超低容量喷雾器对该区域进行空间喷洒；</w:t>
      </w:r>
    </w:p>
    <w:p w14:paraId="021BF18E">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使用大功率喷雾器对建筑外墙、绿化带及蚊蝇孳生地死角实施滞留喷洒；使用大功率喷雾器对建筑外墙、绿化带及蚊蝇孳生地死角实施滞留喷洒；</w:t>
      </w:r>
    </w:p>
    <w:p w14:paraId="050E72F0">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使用常量喷雾器对垃圾桶进行常量及滞留喷洒；</w:t>
      </w:r>
    </w:p>
    <w:p w14:paraId="165C03F6">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使用超低容量喷雾器对重点场所环境进行空间喷洒；</w:t>
      </w:r>
    </w:p>
    <w:p w14:paraId="6310A343">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使用多功能超微粒雾化机对污水井、电缆井进行喷雾处理。</w:t>
      </w:r>
    </w:p>
    <w:p w14:paraId="1054270F">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向蚊子孳生的水体内施放杀蚊幼药物。</w:t>
      </w:r>
    </w:p>
    <w:p w14:paraId="076B20DA">
      <w:pPr>
        <w:pStyle w:val="10"/>
        <w:numPr>
          <w:ilvl w:val="0"/>
          <w:numId w:val="51"/>
        </w:numPr>
        <w:snapToGrid w:val="0"/>
        <w:spacing w:line="440" w:lineRule="exact"/>
        <w:ind w:firstLineChars="0"/>
        <w:jc w:val="left"/>
        <w:rPr>
          <w:rFonts w:hint="eastAsia" w:asciiTheme="minorEastAsia" w:hAnsiTheme="minorEastAsia" w:eastAsiaTheme="minorEastAsia" w:cstheme="minorEastAsia"/>
          <w:bCs/>
          <w:sz w:val="24"/>
          <w:szCs w:val="24"/>
          <w:highlight w:val="none"/>
        </w:rPr>
      </w:pPr>
      <w:r>
        <w:rPr>
          <w:rFonts w:hint="eastAsia" w:asciiTheme="minorEastAsia" w:hAnsiTheme="minorEastAsia" w:eastAsiaTheme="minorEastAsia" w:cstheme="minorEastAsia"/>
          <w:bCs/>
          <w:sz w:val="24"/>
          <w:szCs w:val="24"/>
          <w:highlight w:val="none"/>
        </w:rPr>
        <w:t>投放鼠药，选择鼠道、鼠洞隐蔽处投放确保100％投放率和覆盖率投放毒饵间隔15－30米，每堆15－25克。</w:t>
      </w:r>
    </w:p>
    <w:p w14:paraId="7DD26E85">
      <w:pPr>
        <w:numPr>
          <w:ilvl w:val="0"/>
          <w:numId w:val="51"/>
        </w:numPr>
        <w:spacing w:line="440" w:lineRule="exact"/>
        <w:ind w:left="1200" w:leftChars="0" w:hanging="720" w:firstLineChars="0"/>
        <w:rPr>
          <w:rFonts w:hint="eastAsia" w:asciiTheme="minorEastAsia" w:hAnsiTheme="minorEastAsia" w:eastAsiaTheme="minorEastAsia" w:cstheme="minorEastAsia"/>
          <w:bCs/>
          <w:color w:val="auto"/>
          <w:sz w:val="24"/>
          <w:szCs w:val="24"/>
          <w:highlight w:val="none"/>
        </w:rPr>
      </w:pPr>
      <w:r>
        <w:rPr>
          <w:rFonts w:hint="eastAsia" w:asciiTheme="minorEastAsia" w:hAnsiTheme="minorEastAsia" w:eastAsiaTheme="minorEastAsia" w:cstheme="minorEastAsia"/>
          <w:bCs/>
          <w:color w:val="auto"/>
          <w:sz w:val="24"/>
          <w:szCs w:val="24"/>
          <w:highlight w:val="none"/>
          <w:lang w:val="en-US" w:eastAsia="zh-CN"/>
        </w:rPr>
        <w:t>合同签署时，将</w:t>
      </w:r>
      <w:r>
        <w:rPr>
          <w:rFonts w:hint="eastAsia" w:asciiTheme="minorEastAsia" w:hAnsiTheme="minorEastAsia" w:eastAsiaTheme="minorEastAsia" w:cstheme="minorEastAsia"/>
          <w:bCs/>
          <w:color w:val="auto"/>
          <w:sz w:val="24"/>
          <w:szCs w:val="24"/>
          <w:highlight w:val="none"/>
        </w:rPr>
        <w:t>根据不同的业务特点详细列清验收标准以及验收周期/期限，验收内容</w:t>
      </w:r>
      <w:r>
        <w:rPr>
          <w:rFonts w:hint="eastAsia" w:asciiTheme="minorEastAsia" w:hAnsiTheme="minorEastAsia" w:eastAsiaTheme="minorEastAsia" w:cstheme="minorEastAsia"/>
          <w:bCs/>
          <w:color w:val="auto"/>
          <w:sz w:val="24"/>
          <w:szCs w:val="24"/>
          <w:highlight w:val="none"/>
          <w:lang w:eastAsia="zh-CN"/>
        </w:rPr>
        <w:t xml:space="preserve"> </w:t>
      </w:r>
      <w:r>
        <w:rPr>
          <w:rFonts w:hint="eastAsia" w:asciiTheme="minorEastAsia" w:hAnsiTheme="minorEastAsia" w:eastAsiaTheme="minorEastAsia" w:cstheme="minorEastAsia"/>
          <w:bCs/>
          <w:color w:val="auto"/>
          <w:sz w:val="24"/>
          <w:szCs w:val="24"/>
          <w:highlight w:val="none"/>
        </w:rPr>
        <w:t>。</w:t>
      </w:r>
    </w:p>
    <w:p w14:paraId="1DF60EE1">
      <w:pPr>
        <w:pStyle w:val="10"/>
        <w:numPr>
          <w:numId w:val="0"/>
        </w:numPr>
        <w:tabs>
          <w:tab w:val="left" w:pos="993"/>
          <w:tab w:val="left" w:pos="1276"/>
        </w:tabs>
        <w:spacing w:line="440" w:lineRule="exact"/>
        <w:ind w:leftChars="200"/>
        <w:outlineLvl w:val="0"/>
        <w:rPr>
          <w:rFonts w:ascii="宋体" w:hAnsi="宋体" w:eastAsia="宋体" w:cs="宋体"/>
          <w:b/>
          <w:color w:val="auto"/>
          <w:kern w:val="0"/>
          <w:sz w:val="24"/>
          <w:szCs w:val="24"/>
        </w:rPr>
      </w:pPr>
      <w:r>
        <w:rPr>
          <w:rFonts w:hint="eastAsia" w:ascii="宋体" w:hAnsi="宋体" w:cs="宋体"/>
          <w:b/>
          <w:color w:val="auto"/>
          <w:kern w:val="0"/>
          <w:sz w:val="24"/>
          <w:szCs w:val="24"/>
          <w:lang w:val="en-US" w:eastAsia="zh-CN"/>
        </w:rPr>
        <w:t>四、</w:t>
      </w:r>
      <w:r>
        <w:rPr>
          <w:rFonts w:hint="eastAsia" w:ascii="宋体" w:hAnsi="宋体" w:eastAsia="宋体" w:cs="宋体"/>
          <w:b/>
          <w:color w:val="auto"/>
          <w:kern w:val="0"/>
          <w:sz w:val="24"/>
          <w:szCs w:val="24"/>
          <w:lang w:val="en-US" w:eastAsia="zh-CN"/>
        </w:rPr>
        <w:t>安全管理标准</w:t>
      </w:r>
    </w:p>
    <w:p w14:paraId="121E52A2">
      <w:pPr>
        <w:pStyle w:val="10"/>
        <w:keepNext w:val="0"/>
        <w:keepLines w:val="0"/>
        <w:pageBreakBefore w:val="0"/>
        <w:widowControl w:val="0"/>
        <w:numPr>
          <w:ilvl w:val="1"/>
          <w:numId w:val="52"/>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现场安全防护设施要求：</w:t>
      </w:r>
    </w:p>
    <w:p w14:paraId="22C37AC7">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承包人应按照国家、省和工程所在地行政主管部门有关施工安全防护的规定以及发包人要求的和承包人的施工组织设计提出的措施做好现场安全防护设施，确保工程安全施工无事故。发包人发现承包人安全防护设施不足或不到位的，发包人应责令承包人整改，承包人拒绝整改或整改不到位的，发包人有权停止承包人施工，过程发生的工期延误等所有问题由承包人自行承担。</w:t>
      </w:r>
    </w:p>
    <w:p w14:paraId="57F0B8F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2.承担安全保卫工作的责任和要求，时刻关注和采取适当措施保障所有在场工作人员的安全，保证校验工作安全，现场工作时应当保持有条不紊，避免上述人员的安全受到威胁。</w:t>
      </w:r>
    </w:p>
    <w:p w14:paraId="290844C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3.为了保护本合同工程免遭损坏，或为了现场附近和过往人员的安全与方便，在必要的时候和地方，或当发包人要求时，应负责提供照明、警卫、护栅、警告标志等安全防护措施，并承担责任。</w:t>
      </w:r>
    </w:p>
    <w:p w14:paraId="0242459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4.检测期间，现场发生的一切安全、违法、违规事件，承包人负责处理并承担因承包人原因造成的责任。</w:t>
      </w:r>
    </w:p>
    <w:p w14:paraId="720642AA">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5.所有检测人员必须提前做好EHS管理平台线上培训和考试，培训时间大概2h左右，考试通过后入厂证状态为“可以下发”方可入厂，入厂证与检测时间长短无关，即使1天也需办理入厂证方可进厂；</w:t>
      </w:r>
    </w:p>
    <w:p w14:paraId="1E008BCC">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6.承包人负责为本合同项下的承包人全部检测人员（含临时人员）投保，投保险种：人员团体意外伤害保险（或提供检测人员的社保及工伤保险缴纳记录）；其保险金额及赔偿限额：意外伤害身故/残疾不低于120万元/人，意外伤害医疗不低于2万元/人；保险费用：由承包人承担保险费用；保险期间：保险期限为本合同约定的检测之日起至验收合格之日止，如项目延期需要续保或新开具的，投保费用包含在投标报价内，发包人不再支付费用；承包人应在本合同生效之日起、施工前3天内将相关保险凭证提交发包人审核，经发包人审核通过后承包人方可办理进场施工手续；</w:t>
      </w:r>
    </w:p>
    <w:p w14:paraId="05C07EB3">
      <w:pPr>
        <w:pStyle w:val="10"/>
        <w:keepNext w:val="0"/>
        <w:keepLines w:val="0"/>
        <w:pageBreakBefore w:val="0"/>
        <w:widowControl w:val="0"/>
        <w:numPr>
          <w:ilvl w:val="1"/>
          <w:numId w:val="52"/>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施工场地清洁卫生要求</w:t>
      </w:r>
    </w:p>
    <w:p w14:paraId="3D4AD58C">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1.承包人应负责整个场地的安全文明卫生管理，做到文明施工、保持施工场地清洁。</w:t>
      </w:r>
    </w:p>
    <w:p w14:paraId="028EFC9C">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2.本工程的检测过程中发生的各项清理费用、临时性收费、临时性占用场地费、临时设施费和不可预见费用，均包括在合同总价中。</w:t>
      </w:r>
    </w:p>
    <w:p w14:paraId="19666109">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3.承包人在本项目验收后5日内完成现场清理并退出施工现场：包括一切施工机械、设备、人员、临时搭盖等。若不按发包人的要求及时完成清理，发包人有权雇请他人完成，由此发生的一切费用从项目款中扣除。</w:t>
      </w:r>
    </w:p>
    <w:p w14:paraId="4576D295">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4.发包人现场不提供工器具暂存处，承包人必须自行配备集装箱板房存放工器具。</w:t>
      </w:r>
    </w:p>
    <w:p w14:paraId="345D7702">
      <w:pPr>
        <w:pStyle w:val="10"/>
        <w:keepNext w:val="0"/>
        <w:keepLines w:val="0"/>
        <w:pageBreakBefore w:val="0"/>
        <w:widowControl w:val="0"/>
        <w:numPr>
          <w:ilvl w:val="1"/>
          <w:numId w:val="52"/>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施工要求：</w:t>
      </w:r>
    </w:p>
    <w:p w14:paraId="3B2F4D38">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1.严格按华润啤酒相关方安全管理规定执行。</w:t>
      </w:r>
    </w:p>
    <w:p w14:paraId="294C7EA0">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2.所使用的材料进场前需经建设单位确认品牌、规格、技术参数等要求后方可进场施工（如有）。</w:t>
      </w:r>
    </w:p>
    <w:p w14:paraId="03BCAC8F">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3.严格按照技术要求工作，未经发包人允许不得擅自变更，涉及返工产生的一切费用均由承包人承担，涉及影响检测进度的时长导致超过检测工期按照合同约定承担违约责任。</w:t>
      </w:r>
    </w:p>
    <w:p w14:paraId="39E5967E">
      <w:pPr>
        <w:pStyle w:val="10"/>
        <w:keepNext w:val="0"/>
        <w:keepLines w:val="0"/>
        <w:pageBreakBefore w:val="0"/>
        <w:widowControl w:val="0"/>
        <w:numPr>
          <w:ilvl w:val="0"/>
          <w:numId w:val="0"/>
        </w:numPr>
        <w:kinsoku/>
        <w:wordWrap/>
        <w:overflowPunct/>
        <w:topLinePunct w:val="0"/>
        <w:autoSpaceDE/>
        <w:autoSpaceDN/>
        <w:bidi w:val="0"/>
        <w:adjustRightInd/>
        <w:snapToGrid/>
        <w:spacing w:line="440" w:lineRule="exact"/>
        <w:ind w:left="0" w:leftChars="0" w:firstLine="420" w:firstLineChars="175"/>
        <w:textAlignment w:val="auto"/>
        <w:rPr>
          <w:rFonts w:hint="eastAsia" w:ascii="宋体" w:hAnsi="宋体" w:eastAsia="宋体" w:cs="宋体"/>
          <w:color w:val="auto"/>
          <w:kern w:val="2"/>
          <w:sz w:val="24"/>
          <w:szCs w:val="24"/>
          <w:lang w:val="en-US" w:eastAsia="zh-CN" w:bidi="ar-SA"/>
        </w:rPr>
      </w:pPr>
      <w:r>
        <w:rPr>
          <w:rFonts w:hint="eastAsia" w:ascii="宋体" w:hAnsi="宋体" w:eastAsia="宋体" w:cs="宋体"/>
          <w:color w:val="auto"/>
          <w:kern w:val="2"/>
          <w:sz w:val="24"/>
          <w:szCs w:val="24"/>
          <w:lang w:val="en-US" w:eastAsia="zh-CN" w:bidi="ar-SA"/>
        </w:rPr>
        <w:t>4.机械设备配置要求：在本项目的检测过程中，根据项目情况选用并落实先进的检测机械。开始前按照进度计划作好检测设备的进场计划，按照计划进行落实，涉及所有机械、器具必须具备合格证或年检证明材料，符合雪花安全机械使用标准后方可进场施工。</w:t>
      </w:r>
    </w:p>
    <w:p w14:paraId="6AADB301">
      <w:pPr>
        <w:pStyle w:val="10"/>
        <w:keepNext w:val="0"/>
        <w:keepLines w:val="0"/>
        <w:pageBreakBefore w:val="0"/>
        <w:widowControl w:val="0"/>
        <w:numPr>
          <w:numId w:val="0"/>
        </w:numPr>
        <w:kinsoku/>
        <w:wordWrap/>
        <w:overflowPunct/>
        <w:topLinePunct w:val="0"/>
        <w:autoSpaceDE/>
        <w:autoSpaceDN/>
        <w:bidi w:val="0"/>
        <w:adjustRightInd/>
        <w:snapToGrid/>
        <w:spacing w:line="440" w:lineRule="exact"/>
        <w:ind w:leftChars="175"/>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安全文明管理具体要求：</w:t>
      </w:r>
    </w:p>
    <w:tbl>
      <w:tblPr>
        <w:tblStyle w:val="5"/>
        <w:tblpPr w:leftFromText="180" w:rightFromText="180" w:vertAnchor="text" w:horzAnchor="page" w:tblpXSpec="center" w:tblpY="420"/>
        <w:tblOverlap w:val="never"/>
        <w:tblW w:w="5045" w:type="pct"/>
        <w:jc w:val="center"/>
        <w:tblLayout w:type="fixed"/>
        <w:tblCellMar>
          <w:top w:w="0" w:type="dxa"/>
          <w:left w:w="108" w:type="dxa"/>
          <w:bottom w:w="0" w:type="dxa"/>
          <w:right w:w="108" w:type="dxa"/>
        </w:tblCellMar>
      </w:tblPr>
      <w:tblGrid>
        <w:gridCol w:w="492"/>
        <w:gridCol w:w="786"/>
        <w:gridCol w:w="5961"/>
        <w:gridCol w:w="1355"/>
      </w:tblGrid>
      <w:tr w14:paraId="5EF2FAA4">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59C4F01F">
            <w:pPr>
              <w:pStyle w:val="17"/>
              <w:keepNext w:val="0"/>
              <w:keepLines w:val="0"/>
              <w:widowControl/>
              <w:suppressLineNumbers w:val="0"/>
              <w:adjustRightInd w:val="0"/>
              <w:snapToGrid w:val="0"/>
              <w:spacing w:before="0" w:beforeAutospacing="0" w:after="0" w:afterAutospacing="0" w:line="276" w:lineRule="auto"/>
              <w:ind w:left="-108" w:leftChars="-45" w:right="-65" w:rightChars="-27"/>
              <w:jc w:val="center"/>
              <w:textAlignment w:val="center"/>
              <w:rPr>
                <w:rFonts w:hint="default" w:ascii="宋体" w:hAnsi="宋体" w:eastAsia="宋体" w:cs="宋体"/>
                <w:b/>
                <w:sz w:val="24"/>
                <w:szCs w:val="24"/>
                <w:lang w:bidi="zh-CN"/>
              </w:rPr>
            </w:pPr>
            <w:r>
              <w:rPr>
                <w:rFonts w:hint="eastAsia" w:ascii="宋体" w:hAnsi="宋体" w:eastAsia="宋体" w:cs="宋体"/>
                <w:b/>
                <w:sz w:val="24"/>
                <w:szCs w:val="24"/>
                <w:lang w:bidi="zh-CN"/>
              </w:rPr>
              <w:t>序号</w:t>
            </w:r>
          </w:p>
        </w:tc>
        <w:tc>
          <w:tcPr>
            <w:tcW w:w="457" w:type="pct"/>
            <w:tcBorders>
              <w:top w:val="single" w:color="auto" w:sz="4" w:space="0"/>
              <w:left w:val="nil"/>
              <w:bottom w:val="single" w:color="auto" w:sz="4" w:space="0"/>
              <w:right w:val="single" w:color="auto" w:sz="4" w:space="0"/>
            </w:tcBorders>
            <w:noWrap/>
            <w:vAlign w:val="center"/>
          </w:tcPr>
          <w:p w14:paraId="6661C348">
            <w:pPr>
              <w:pStyle w:val="17"/>
              <w:keepNext w:val="0"/>
              <w:keepLines w:val="0"/>
              <w:widowControl/>
              <w:suppressLineNumbers w:val="0"/>
              <w:adjustRightInd w:val="0"/>
              <w:snapToGrid w:val="0"/>
              <w:spacing w:before="0" w:beforeAutospacing="0" w:after="0" w:afterAutospacing="0" w:line="276" w:lineRule="auto"/>
              <w:ind w:left="-108" w:leftChars="-45" w:right="-65" w:rightChars="-27"/>
              <w:jc w:val="center"/>
              <w:textAlignment w:val="center"/>
              <w:rPr>
                <w:rFonts w:hint="default" w:ascii="宋体" w:hAnsi="宋体" w:eastAsia="宋体" w:cs="宋体"/>
                <w:b/>
                <w:sz w:val="24"/>
                <w:szCs w:val="24"/>
                <w:lang w:bidi="zh-CN"/>
              </w:rPr>
            </w:pPr>
            <w:r>
              <w:rPr>
                <w:rFonts w:hint="eastAsia" w:ascii="宋体" w:hAnsi="宋体" w:eastAsia="宋体" w:cs="宋体"/>
                <w:b/>
                <w:sz w:val="24"/>
                <w:szCs w:val="24"/>
                <w:lang w:bidi="zh-CN"/>
              </w:rPr>
              <w:t>项目</w:t>
            </w:r>
          </w:p>
        </w:tc>
        <w:tc>
          <w:tcPr>
            <w:tcW w:w="3468" w:type="pct"/>
            <w:tcBorders>
              <w:top w:val="single" w:color="auto" w:sz="4" w:space="0"/>
              <w:left w:val="nil"/>
              <w:bottom w:val="single" w:color="auto" w:sz="4" w:space="0"/>
              <w:right w:val="single" w:color="auto" w:sz="4" w:space="0"/>
            </w:tcBorders>
            <w:noWrap w:val="0"/>
            <w:vAlign w:val="center"/>
          </w:tcPr>
          <w:p w14:paraId="66FD446E">
            <w:pPr>
              <w:pStyle w:val="17"/>
              <w:keepNext w:val="0"/>
              <w:keepLines w:val="0"/>
              <w:widowControl/>
              <w:suppressLineNumbers w:val="0"/>
              <w:adjustRightInd w:val="0"/>
              <w:snapToGrid w:val="0"/>
              <w:spacing w:before="0" w:beforeAutospacing="0" w:after="0" w:afterAutospacing="0" w:line="276" w:lineRule="auto"/>
              <w:ind w:left="-108" w:leftChars="-45" w:right="-65" w:rightChars="-27"/>
              <w:jc w:val="center"/>
              <w:textAlignment w:val="center"/>
              <w:rPr>
                <w:rFonts w:hint="default" w:ascii="宋体" w:hAnsi="宋体" w:eastAsia="宋体" w:cs="宋体"/>
                <w:b/>
                <w:sz w:val="24"/>
                <w:szCs w:val="24"/>
                <w:lang w:bidi="zh-CN"/>
              </w:rPr>
            </w:pPr>
            <w:r>
              <w:rPr>
                <w:rFonts w:hint="eastAsia" w:ascii="宋体" w:hAnsi="宋体" w:eastAsia="宋体" w:cs="宋体"/>
                <w:b/>
                <w:sz w:val="24"/>
                <w:szCs w:val="24"/>
                <w:lang w:bidi="zh-CN"/>
              </w:rPr>
              <w:t>标准</w:t>
            </w:r>
          </w:p>
        </w:tc>
        <w:tc>
          <w:tcPr>
            <w:tcW w:w="788" w:type="pct"/>
            <w:tcBorders>
              <w:top w:val="single" w:color="auto" w:sz="4" w:space="0"/>
              <w:left w:val="nil"/>
              <w:bottom w:val="single" w:color="auto" w:sz="4" w:space="0"/>
              <w:right w:val="single" w:color="auto" w:sz="4" w:space="0"/>
            </w:tcBorders>
            <w:noWrap w:val="0"/>
            <w:vAlign w:val="center"/>
          </w:tcPr>
          <w:p w14:paraId="2371B0E2">
            <w:pPr>
              <w:pStyle w:val="17"/>
              <w:keepNext w:val="0"/>
              <w:keepLines w:val="0"/>
              <w:widowControl/>
              <w:suppressLineNumbers w:val="0"/>
              <w:adjustRightInd w:val="0"/>
              <w:snapToGrid w:val="0"/>
              <w:spacing w:before="0" w:beforeAutospacing="0" w:after="0" w:afterAutospacing="0" w:line="276" w:lineRule="auto"/>
              <w:ind w:left="-108" w:leftChars="-45" w:right="-65" w:rightChars="-27"/>
              <w:jc w:val="center"/>
              <w:textAlignment w:val="center"/>
              <w:rPr>
                <w:rFonts w:hint="default" w:ascii="宋体" w:hAnsi="宋体" w:eastAsia="宋体" w:cs="宋体"/>
                <w:b/>
                <w:sz w:val="24"/>
                <w:szCs w:val="24"/>
                <w:lang w:bidi="zh-CN"/>
              </w:rPr>
            </w:pPr>
            <w:r>
              <w:rPr>
                <w:rFonts w:hint="eastAsia" w:ascii="宋体" w:hAnsi="宋体" w:eastAsia="宋体" w:cs="宋体"/>
                <w:b/>
                <w:sz w:val="24"/>
                <w:szCs w:val="24"/>
                <w:lang w:bidi="zh-CN"/>
              </w:rPr>
              <w:t>图例</w:t>
            </w:r>
          </w:p>
        </w:tc>
      </w:tr>
      <w:tr w14:paraId="36DACA10">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22D49A6B">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0C53F0DD">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安全着装</w:t>
            </w:r>
          </w:p>
        </w:tc>
        <w:tc>
          <w:tcPr>
            <w:tcW w:w="3468" w:type="pct"/>
            <w:tcBorders>
              <w:top w:val="nil"/>
              <w:left w:val="nil"/>
              <w:bottom w:val="single" w:color="auto" w:sz="4" w:space="0"/>
              <w:right w:val="single" w:color="auto" w:sz="4" w:space="0"/>
            </w:tcBorders>
            <w:noWrap/>
            <w:vAlign w:val="center"/>
          </w:tcPr>
          <w:p w14:paraId="1CFBA7A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工作服必须统一并在醒目位置标注单位名称，且符合“三紧要求”（袖口紧、领口紧、下摆紧）</w:t>
            </w:r>
          </w:p>
        </w:tc>
        <w:tc>
          <w:tcPr>
            <w:tcW w:w="788" w:type="pct"/>
            <w:tcBorders>
              <w:top w:val="single" w:color="auto" w:sz="4" w:space="0"/>
              <w:left w:val="nil"/>
              <w:bottom w:val="single" w:color="auto" w:sz="4" w:space="0"/>
              <w:right w:val="single" w:color="auto" w:sz="4" w:space="0"/>
            </w:tcBorders>
            <w:noWrap/>
            <w:vAlign w:val="bottom"/>
          </w:tcPr>
          <w:p w14:paraId="0A2FA14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5810" cy="539750"/>
                  <wp:effectExtent l="0" t="0" r="11430" b="8890"/>
                  <wp:docPr id="1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
                          <pic:cNvPicPr>
                            <a:picLocks noChangeAspect="1"/>
                          </pic:cNvPicPr>
                        </pic:nvPicPr>
                        <pic:blipFill>
                          <a:blip r:embed="rId6"/>
                          <a:stretch>
                            <a:fillRect/>
                          </a:stretch>
                        </pic:blipFill>
                        <pic:spPr>
                          <a:xfrm>
                            <a:off x="0" y="0"/>
                            <a:ext cx="765810" cy="539750"/>
                          </a:xfrm>
                          <a:prstGeom prst="rect">
                            <a:avLst/>
                          </a:prstGeom>
                          <a:noFill/>
                          <a:ln>
                            <a:noFill/>
                          </a:ln>
                        </pic:spPr>
                      </pic:pic>
                    </a:graphicData>
                  </a:graphic>
                </wp:inline>
              </w:drawing>
            </w:r>
          </w:p>
        </w:tc>
      </w:tr>
      <w:tr w14:paraId="6211EFF1">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B83A32C">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ign w:val="center"/>
          </w:tcPr>
          <w:p w14:paraId="6617314B">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安全帽</w:t>
            </w:r>
          </w:p>
        </w:tc>
        <w:tc>
          <w:tcPr>
            <w:tcW w:w="3468" w:type="pct"/>
            <w:tcBorders>
              <w:top w:val="nil"/>
              <w:left w:val="nil"/>
              <w:bottom w:val="single" w:color="auto" w:sz="4" w:space="0"/>
              <w:right w:val="single" w:color="auto" w:sz="4" w:space="0"/>
            </w:tcBorders>
            <w:noWrap/>
            <w:vAlign w:val="center"/>
          </w:tcPr>
          <w:p w14:paraId="5452B79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安全帽款式、颜色需统一，其中管理人员和施工人员的安全帽颜色需有明确区分；监理人员佩戴白色安全帽；</w:t>
            </w:r>
          </w:p>
        </w:tc>
        <w:tc>
          <w:tcPr>
            <w:tcW w:w="788" w:type="pct"/>
            <w:vMerge w:val="restart"/>
            <w:tcBorders>
              <w:top w:val="nil"/>
              <w:left w:val="nil"/>
              <w:bottom w:val="nil"/>
              <w:right w:val="single" w:color="auto" w:sz="4" w:space="0"/>
            </w:tcBorders>
            <w:noWrap/>
            <w:vAlign w:val="bottom"/>
          </w:tcPr>
          <w:p w14:paraId="63FA7ED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55650" cy="539750"/>
                  <wp:effectExtent l="0" t="0" r="6350" b="889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7"/>
                          <a:stretch>
                            <a:fillRect/>
                          </a:stretch>
                        </pic:blipFill>
                        <pic:spPr>
                          <a:xfrm>
                            <a:off x="0" y="0"/>
                            <a:ext cx="755650" cy="539750"/>
                          </a:xfrm>
                          <a:prstGeom prst="rect">
                            <a:avLst/>
                          </a:prstGeom>
                          <a:noFill/>
                          <a:ln>
                            <a:noFill/>
                          </a:ln>
                        </pic:spPr>
                      </pic:pic>
                    </a:graphicData>
                  </a:graphic>
                </wp:inline>
              </w:drawing>
            </w:r>
          </w:p>
          <w:p w14:paraId="41F0C217">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21161EE5">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A9EC242">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C8BF9D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ign w:val="center"/>
          </w:tcPr>
          <w:p w14:paraId="31FB6C6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安全帽“三证一标”齐全、有效；安全帽标注单位名称。</w:t>
            </w:r>
          </w:p>
        </w:tc>
        <w:tc>
          <w:tcPr>
            <w:tcW w:w="788" w:type="pct"/>
            <w:vMerge w:val="continue"/>
            <w:tcBorders>
              <w:top w:val="nil"/>
              <w:left w:val="nil"/>
              <w:bottom w:val="single" w:color="auto" w:sz="4" w:space="0"/>
              <w:right w:val="single" w:color="auto" w:sz="4" w:space="0"/>
            </w:tcBorders>
            <w:noWrap w:val="0"/>
            <w:vAlign w:val="center"/>
          </w:tcPr>
          <w:p w14:paraId="28406D8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660895B6">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A5AB13E">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single" w:color="auto" w:sz="4" w:space="0"/>
              <w:left w:val="nil"/>
              <w:bottom w:val="single" w:color="auto" w:sz="4" w:space="0"/>
              <w:right w:val="single" w:color="auto" w:sz="4" w:space="0"/>
            </w:tcBorders>
            <w:noWrap/>
            <w:vAlign w:val="center"/>
          </w:tcPr>
          <w:p w14:paraId="718CFC09">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反光背心</w:t>
            </w:r>
          </w:p>
        </w:tc>
        <w:tc>
          <w:tcPr>
            <w:tcW w:w="3468" w:type="pct"/>
            <w:tcBorders>
              <w:top w:val="single" w:color="auto" w:sz="4" w:space="0"/>
              <w:left w:val="nil"/>
              <w:bottom w:val="single" w:color="auto" w:sz="4" w:space="0"/>
              <w:right w:val="single" w:color="auto" w:sz="4" w:space="0"/>
            </w:tcBorders>
            <w:noWrap w:val="0"/>
            <w:vAlign w:val="center"/>
          </w:tcPr>
          <w:p w14:paraId="3FE6B35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反光背心的款式、颜色需统一并在醒目位置标注单位名称。</w:t>
            </w:r>
          </w:p>
        </w:tc>
        <w:tc>
          <w:tcPr>
            <w:tcW w:w="788" w:type="pct"/>
            <w:tcBorders>
              <w:top w:val="single" w:color="auto" w:sz="4" w:space="0"/>
              <w:left w:val="nil"/>
              <w:bottom w:val="single" w:color="auto" w:sz="4" w:space="0"/>
              <w:right w:val="single" w:color="auto" w:sz="4" w:space="0"/>
            </w:tcBorders>
            <w:noWrap/>
            <w:vAlign w:val="bottom"/>
          </w:tcPr>
          <w:p w14:paraId="0950A91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405765" cy="539750"/>
                  <wp:effectExtent l="0" t="0" r="5715" b="8890"/>
                  <wp:docPr id="1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3"/>
                          <pic:cNvPicPr>
                            <a:picLocks noChangeAspect="1"/>
                          </pic:cNvPicPr>
                        </pic:nvPicPr>
                        <pic:blipFill>
                          <a:blip r:embed="rId8"/>
                          <a:stretch>
                            <a:fillRect/>
                          </a:stretch>
                        </pic:blipFill>
                        <pic:spPr>
                          <a:xfrm>
                            <a:off x="0" y="0"/>
                            <a:ext cx="405765" cy="539750"/>
                          </a:xfrm>
                          <a:prstGeom prst="rect">
                            <a:avLst/>
                          </a:prstGeom>
                          <a:noFill/>
                          <a:ln>
                            <a:noFill/>
                          </a:ln>
                        </pic:spPr>
                      </pic:pic>
                    </a:graphicData>
                  </a:graphic>
                </wp:inline>
              </w:drawing>
            </w:r>
          </w:p>
        </w:tc>
      </w:tr>
      <w:tr w14:paraId="665C5609">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65D5DC95">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ign w:val="center"/>
          </w:tcPr>
          <w:p w14:paraId="7293DFC4">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工作鞋</w:t>
            </w:r>
          </w:p>
        </w:tc>
        <w:tc>
          <w:tcPr>
            <w:tcW w:w="3468" w:type="pct"/>
            <w:tcBorders>
              <w:top w:val="nil"/>
              <w:left w:val="nil"/>
              <w:bottom w:val="single" w:color="auto" w:sz="4" w:space="0"/>
              <w:right w:val="single" w:color="auto" w:sz="4" w:space="0"/>
            </w:tcBorders>
            <w:noWrap w:val="0"/>
            <w:vAlign w:val="center"/>
          </w:tcPr>
          <w:p w14:paraId="338FB24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登高作业人员穿软底安全鞋</w:t>
            </w:r>
          </w:p>
        </w:tc>
        <w:tc>
          <w:tcPr>
            <w:tcW w:w="788" w:type="pct"/>
            <w:tcBorders>
              <w:top w:val="nil"/>
              <w:left w:val="nil"/>
              <w:bottom w:val="single" w:color="auto" w:sz="4" w:space="0"/>
              <w:right w:val="single" w:color="auto" w:sz="4" w:space="0"/>
            </w:tcBorders>
            <w:noWrap/>
            <w:vAlign w:val="bottom"/>
          </w:tcPr>
          <w:p w14:paraId="04B3F79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36295" cy="539750"/>
                  <wp:effectExtent l="0" t="0" r="1905" b="8890"/>
                  <wp:docPr id="20"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图片 4"/>
                          <pic:cNvPicPr>
                            <a:picLocks noChangeAspect="1"/>
                          </pic:cNvPicPr>
                        </pic:nvPicPr>
                        <pic:blipFill>
                          <a:blip r:embed="rId9"/>
                          <a:stretch>
                            <a:fillRect/>
                          </a:stretch>
                        </pic:blipFill>
                        <pic:spPr>
                          <a:xfrm>
                            <a:off x="0" y="0"/>
                            <a:ext cx="836295" cy="539750"/>
                          </a:xfrm>
                          <a:prstGeom prst="rect">
                            <a:avLst/>
                          </a:prstGeom>
                          <a:noFill/>
                          <a:ln>
                            <a:noFill/>
                          </a:ln>
                        </pic:spPr>
                      </pic:pic>
                    </a:graphicData>
                  </a:graphic>
                </wp:inline>
              </w:drawing>
            </w:r>
          </w:p>
        </w:tc>
      </w:tr>
      <w:tr w14:paraId="35805876">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57425D76">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315DBD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12BC5E8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电工穿绝缘鞋/靴</w:t>
            </w:r>
          </w:p>
        </w:tc>
        <w:tc>
          <w:tcPr>
            <w:tcW w:w="788" w:type="pct"/>
            <w:tcBorders>
              <w:top w:val="nil"/>
              <w:left w:val="nil"/>
              <w:bottom w:val="single" w:color="auto" w:sz="4" w:space="0"/>
              <w:right w:val="single" w:color="auto" w:sz="4" w:space="0"/>
            </w:tcBorders>
            <w:noWrap/>
            <w:vAlign w:val="bottom"/>
          </w:tcPr>
          <w:p w14:paraId="0DD4604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23595" cy="539750"/>
                  <wp:effectExtent l="0" t="0" r="14605" b="8890"/>
                  <wp:docPr id="2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5"/>
                          <pic:cNvPicPr>
                            <a:picLocks noChangeAspect="1"/>
                          </pic:cNvPicPr>
                        </pic:nvPicPr>
                        <pic:blipFill>
                          <a:blip r:embed="rId10"/>
                          <a:stretch>
                            <a:fillRect/>
                          </a:stretch>
                        </pic:blipFill>
                        <pic:spPr>
                          <a:xfrm>
                            <a:off x="0" y="0"/>
                            <a:ext cx="823595" cy="539750"/>
                          </a:xfrm>
                          <a:prstGeom prst="rect">
                            <a:avLst/>
                          </a:prstGeom>
                          <a:noFill/>
                          <a:ln>
                            <a:noFill/>
                          </a:ln>
                        </pic:spPr>
                      </pic:pic>
                    </a:graphicData>
                  </a:graphic>
                </wp:inline>
              </w:drawing>
            </w:r>
          </w:p>
        </w:tc>
      </w:tr>
      <w:tr w14:paraId="2B5F256B">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3ADD0BC3">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C0A987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71ED5C17">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其他非登高作业人员穿劳保鞋/靴</w:t>
            </w:r>
          </w:p>
        </w:tc>
        <w:tc>
          <w:tcPr>
            <w:tcW w:w="788" w:type="pct"/>
            <w:tcBorders>
              <w:top w:val="nil"/>
              <w:left w:val="nil"/>
              <w:bottom w:val="single" w:color="auto" w:sz="4" w:space="0"/>
              <w:right w:val="single" w:color="auto" w:sz="4" w:space="0"/>
            </w:tcBorders>
            <w:noWrap/>
            <w:vAlign w:val="bottom"/>
          </w:tcPr>
          <w:p w14:paraId="5CD4365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01370" cy="539750"/>
                  <wp:effectExtent l="0" t="0" r="6350" b="8890"/>
                  <wp:docPr id="15"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图片 6"/>
                          <pic:cNvPicPr>
                            <a:picLocks noChangeAspect="1"/>
                          </pic:cNvPicPr>
                        </pic:nvPicPr>
                        <pic:blipFill>
                          <a:blip r:embed="rId11"/>
                          <a:stretch>
                            <a:fillRect/>
                          </a:stretch>
                        </pic:blipFill>
                        <pic:spPr>
                          <a:xfrm>
                            <a:off x="0" y="0"/>
                            <a:ext cx="801370" cy="539750"/>
                          </a:xfrm>
                          <a:prstGeom prst="rect">
                            <a:avLst/>
                          </a:prstGeom>
                          <a:noFill/>
                          <a:ln>
                            <a:noFill/>
                          </a:ln>
                        </pic:spPr>
                      </pic:pic>
                    </a:graphicData>
                  </a:graphic>
                </wp:inline>
              </w:drawing>
            </w:r>
          </w:p>
        </w:tc>
      </w:tr>
      <w:tr w14:paraId="5F94BDD5">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4D83B49C">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nil"/>
              <w:left w:val="single" w:color="auto" w:sz="4" w:space="0"/>
              <w:bottom w:val="single" w:color="auto" w:sz="4" w:space="0"/>
              <w:right w:val="single" w:color="auto" w:sz="4" w:space="0"/>
            </w:tcBorders>
            <w:noWrap w:val="0"/>
            <w:vAlign w:val="center"/>
          </w:tcPr>
          <w:p w14:paraId="30590823">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手套</w:t>
            </w:r>
          </w:p>
        </w:tc>
        <w:tc>
          <w:tcPr>
            <w:tcW w:w="3468" w:type="pct"/>
            <w:tcBorders>
              <w:top w:val="nil"/>
              <w:left w:val="nil"/>
              <w:bottom w:val="single" w:color="auto" w:sz="4" w:space="0"/>
              <w:right w:val="single" w:color="auto" w:sz="4" w:space="0"/>
            </w:tcBorders>
            <w:noWrap w:val="0"/>
            <w:vAlign w:val="center"/>
          </w:tcPr>
          <w:p w14:paraId="2914F9B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作业过程中需正确佩戴劳保手套（操作带旋转组件或机构等禁止佩戴手套）</w:t>
            </w:r>
          </w:p>
        </w:tc>
        <w:tc>
          <w:tcPr>
            <w:tcW w:w="788" w:type="pct"/>
            <w:tcBorders>
              <w:top w:val="nil"/>
              <w:left w:val="nil"/>
              <w:bottom w:val="single" w:color="auto" w:sz="4" w:space="0"/>
              <w:right w:val="single" w:color="auto" w:sz="4" w:space="0"/>
            </w:tcBorders>
            <w:noWrap/>
            <w:vAlign w:val="bottom"/>
          </w:tcPr>
          <w:p w14:paraId="6E3D13DA">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51535" cy="539750"/>
                  <wp:effectExtent l="0" t="0" r="1905" b="8890"/>
                  <wp:docPr id="12"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7"/>
                          <pic:cNvPicPr>
                            <a:picLocks noChangeAspect="1"/>
                          </pic:cNvPicPr>
                        </pic:nvPicPr>
                        <pic:blipFill>
                          <a:blip r:embed="rId12"/>
                          <a:stretch>
                            <a:fillRect/>
                          </a:stretch>
                        </pic:blipFill>
                        <pic:spPr>
                          <a:xfrm>
                            <a:off x="0" y="0"/>
                            <a:ext cx="851535" cy="539750"/>
                          </a:xfrm>
                          <a:prstGeom prst="rect">
                            <a:avLst/>
                          </a:prstGeom>
                          <a:noFill/>
                          <a:ln>
                            <a:noFill/>
                          </a:ln>
                        </pic:spPr>
                      </pic:pic>
                    </a:graphicData>
                  </a:graphic>
                </wp:inline>
              </w:drawing>
            </w:r>
          </w:p>
        </w:tc>
      </w:tr>
      <w:tr w14:paraId="7C660F05">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188420E0">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007B2A47">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7536EA8A">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焊工在进行焊接作业时佩戴焊工手套</w:t>
            </w:r>
          </w:p>
        </w:tc>
        <w:tc>
          <w:tcPr>
            <w:tcW w:w="788" w:type="pct"/>
            <w:tcBorders>
              <w:top w:val="nil"/>
              <w:left w:val="nil"/>
              <w:bottom w:val="single" w:color="auto" w:sz="4" w:space="0"/>
              <w:right w:val="single" w:color="auto" w:sz="4" w:space="0"/>
            </w:tcBorders>
            <w:noWrap/>
            <w:vAlign w:val="bottom"/>
          </w:tcPr>
          <w:p w14:paraId="33B23B9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44550" cy="539750"/>
                  <wp:effectExtent l="0" t="0" r="8890" b="8890"/>
                  <wp:docPr id="13"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8"/>
                          <pic:cNvPicPr>
                            <a:picLocks noChangeAspect="1"/>
                          </pic:cNvPicPr>
                        </pic:nvPicPr>
                        <pic:blipFill>
                          <a:blip r:embed="rId13"/>
                          <a:stretch>
                            <a:fillRect/>
                          </a:stretch>
                        </pic:blipFill>
                        <pic:spPr>
                          <a:xfrm>
                            <a:off x="0" y="0"/>
                            <a:ext cx="844550" cy="539750"/>
                          </a:xfrm>
                          <a:prstGeom prst="rect">
                            <a:avLst/>
                          </a:prstGeom>
                          <a:noFill/>
                          <a:ln>
                            <a:noFill/>
                          </a:ln>
                        </pic:spPr>
                      </pic:pic>
                    </a:graphicData>
                  </a:graphic>
                </wp:inline>
              </w:drawing>
            </w:r>
          </w:p>
        </w:tc>
      </w:tr>
      <w:tr w14:paraId="4724A494">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705CFFD3">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nil"/>
              <w:left w:val="single" w:color="auto" w:sz="4" w:space="0"/>
              <w:bottom w:val="single" w:color="auto" w:sz="4" w:space="0"/>
              <w:right w:val="single" w:color="auto" w:sz="4" w:space="0"/>
            </w:tcBorders>
            <w:noWrap w:val="0"/>
            <w:vAlign w:val="center"/>
          </w:tcPr>
          <w:p w14:paraId="1F0D7E3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single" w:color="auto" w:sz="4" w:space="0"/>
              <w:left w:val="nil"/>
              <w:bottom w:val="single" w:color="auto" w:sz="4" w:space="0"/>
              <w:right w:val="single" w:color="auto" w:sz="4" w:space="0"/>
            </w:tcBorders>
            <w:noWrap w:val="0"/>
            <w:vAlign w:val="center"/>
          </w:tcPr>
          <w:p w14:paraId="349A455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接触腐蚀性介质时佩戴防化学手套</w:t>
            </w:r>
          </w:p>
        </w:tc>
        <w:tc>
          <w:tcPr>
            <w:tcW w:w="788" w:type="pct"/>
            <w:tcBorders>
              <w:top w:val="single" w:color="auto" w:sz="4" w:space="0"/>
              <w:left w:val="nil"/>
              <w:bottom w:val="single" w:color="auto" w:sz="4" w:space="0"/>
              <w:right w:val="single" w:color="auto" w:sz="4" w:space="0"/>
            </w:tcBorders>
            <w:noWrap/>
            <w:vAlign w:val="bottom"/>
          </w:tcPr>
          <w:p w14:paraId="3BE9F99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21055" cy="539750"/>
                  <wp:effectExtent l="0" t="0" r="1905" b="8890"/>
                  <wp:docPr id="14"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9"/>
                          <pic:cNvPicPr>
                            <a:picLocks noChangeAspect="1"/>
                          </pic:cNvPicPr>
                        </pic:nvPicPr>
                        <pic:blipFill>
                          <a:blip r:embed="rId14"/>
                          <a:stretch>
                            <a:fillRect/>
                          </a:stretch>
                        </pic:blipFill>
                        <pic:spPr>
                          <a:xfrm>
                            <a:off x="0" y="0"/>
                            <a:ext cx="821055" cy="539750"/>
                          </a:xfrm>
                          <a:prstGeom prst="rect">
                            <a:avLst/>
                          </a:prstGeom>
                          <a:noFill/>
                          <a:ln>
                            <a:noFill/>
                          </a:ln>
                        </pic:spPr>
                      </pic:pic>
                    </a:graphicData>
                  </a:graphic>
                </wp:inline>
              </w:drawing>
            </w:r>
          </w:p>
        </w:tc>
      </w:tr>
      <w:tr w14:paraId="41252ED5">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08353310">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7CC01BBD">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焊工帽</w:t>
            </w:r>
          </w:p>
        </w:tc>
        <w:tc>
          <w:tcPr>
            <w:tcW w:w="3468" w:type="pct"/>
            <w:tcBorders>
              <w:top w:val="nil"/>
              <w:left w:val="nil"/>
              <w:bottom w:val="single" w:color="auto" w:sz="4" w:space="0"/>
              <w:right w:val="single" w:color="auto" w:sz="4" w:space="0"/>
            </w:tcBorders>
            <w:noWrap w:val="0"/>
            <w:vAlign w:val="center"/>
          </w:tcPr>
          <w:p w14:paraId="64F3C2F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配置专用焊工帽（可以连接到安全帽）</w:t>
            </w:r>
          </w:p>
        </w:tc>
        <w:tc>
          <w:tcPr>
            <w:tcW w:w="788" w:type="pct"/>
            <w:tcBorders>
              <w:top w:val="nil"/>
              <w:left w:val="nil"/>
              <w:bottom w:val="single" w:color="auto" w:sz="4" w:space="0"/>
              <w:right w:val="single" w:color="auto" w:sz="4" w:space="0"/>
            </w:tcBorders>
            <w:noWrap/>
            <w:vAlign w:val="bottom"/>
          </w:tcPr>
          <w:p w14:paraId="2D1B0B6F">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18515" cy="539750"/>
                  <wp:effectExtent l="0" t="0" r="4445" b="8890"/>
                  <wp:docPr id="16"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图片 10"/>
                          <pic:cNvPicPr>
                            <a:picLocks noChangeAspect="1"/>
                          </pic:cNvPicPr>
                        </pic:nvPicPr>
                        <pic:blipFill>
                          <a:blip r:embed="rId15"/>
                          <a:stretch>
                            <a:fillRect/>
                          </a:stretch>
                        </pic:blipFill>
                        <pic:spPr>
                          <a:xfrm>
                            <a:off x="0" y="0"/>
                            <a:ext cx="818515" cy="539750"/>
                          </a:xfrm>
                          <a:prstGeom prst="rect">
                            <a:avLst/>
                          </a:prstGeom>
                          <a:noFill/>
                          <a:ln>
                            <a:noFill/>
                          </a:ln>
                        </pic:spPr>
                      </pic:pic>
                    </a:graphicData>
                  </a:graphic>
                </wp:inline>
              </w:drawing>
            </w:r>
          </w:p>
        </w:tc>
      </w:tr>
      <w:tr w14:paraId="1C00AA08">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1473B91D">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103767AE">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焊工围裙</w:t>
            </w:r>
          </w:p>
        </w:tc>
        <w:tc>
          <w:tcPr>
            <w:tcW w:w="3468" w:type="pct"/>
            <w:tcBorders>
              <w:top w:val="nil"/>
              <w:left w:val="nil"/>
              <w:bottom w:val="single" w:color="auto" w:sz="4" w:space="0"/>
              <w:right w:val="single" w:color="auto" w:sz="4" w:space="0"/>
            </w:tcBorders>
            <w:noWrap w:val="0"/>
            <w:vAlign w:val="center"/>
          </w:tcPr>
          <w:p w14:paraId="71B876C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配置焊工服或焊工围裙</w:t>
            </w:r>
          </w:p>
        </w:tc>
        <w:tc>
          <w:tcPr>
            <w:tcW w:w="788" w:type="pct"/>
            <w:tcBorders>
              <w:top w:val="nil"/>
              <w:left w:val="nil"/>
              <w:bottom w:val="single" w:color="auto" w:sz="4" w:space="0"/>
              <w:right w:val="single" w:color="auto" w:sz="4" w:space="0"/>
            </w:tcBorders>
            <w:noWrap/>
            <w:vAlign w:val="bottom"/>
          </w:tcPr>
          <w:p w14:paraId="4D3A364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7715" cy="539750"/>
                  <wp:effectExtent l="0" t="0" r="9525" b="8890"/>
                  <wp:docPr id="6"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11"/>
                          <pic:cNvPicPr>
                            <a:picLocks noChangeAspect="1"/>
                          </pic:cNvPicPr>
                        </pic:nvPicPr>
                        <pic:blipFill>
                          <a:blip r:embed="rId16"/>
                          <a:stretch>
                            <a:fillRect/>
                          </a:stretch>
                        </pic:blipFill>
                        <pic:spPr>
                          <a:xfrm>
                            <a:off x="0" y="0"/>
                            <a:ext cx="767715" cy="539750"/>
                          </a:xfrm>
                          <a:prstGeom prst="rect">
                            <a:avLst/>
                          </a:prstGeom>
                          <a:noFill/>
                          <a:ln>
                            <a:noFill/>
                          </a:ln>
                        </pic:spPr>
                      </pic:pic>
                    </a:graphicData>
                  </a:graphic>
                </wp:inline>
              </w:drawing>
            </w:r>
          </w:p>
        </w:tc>
      </w:tr>
      <w:tr w14:paraId="4EB5D13F">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484FCD08">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63F7D68F">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打磨/切割面罩</w:t>
            </w:r>
          </w:p>
        </w:tc>
        <w:tc>
          <w:tcPr>
            <w:tcW w:w="3468" w:type="pct"/>
            <w:tcBorders>
              <w:top w:val="nil"/>
              <w:left w:val="nil"/>
              <w:bottom w:val="single" w:color="auto" w:sz="4" w:space="0"/>
              <w:right w:val="single" w:color="auto" w:sz="4" w:space="0"/>
            </w:tcBorders>
            <w:noWrap w:val="0"/>
            <w:vAlign w:val="center"/>
          </w:tcPr>
          <w:p w14:paraId="79E74C2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配置打磨/切割面罩（可以连接到安全帽）</w:t>
            </w:r>
          </w:p>
        </w:tc>
        <w:tc>
          <w:tcPr>
            <w:tcW w:w="788" w:type="pct"/>
            <w:tcBorders>
              <w:top w:val="nil"/>
              <w:left w:val="nil"/>
              <w:bottom w:val="single" w:color="auto" w:sz="4" w:space="0"/>
              <w:right w:val="single" w:color="auto" w:sz="4" w:space="0"/>
            </w:tcBorders>
            <w:noWrap/>
            <w:vAlign w:val="bottom"/>
          </w:tcPr>
          <w:p w14:paraId="448DE32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35025" cy="539750"/>
                  <wp:effectExtent l="0" t="0" r="3175" b="8890"/>
                  <wp:docPr id="11"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2"/>
                          <pic:cNvPicPr>
                            <a:picLocks noChangeAspect="1"/>
                          </pic:cNvPicPr>
                        </pic:nvPicPr>
                        <pic:blipFill>
                          <a:blip r:embed="rId17"/>
                          <a:stretch>
                            <a:fillRect/>
                          </a:stretch>
                        </pic:blipFill>
                        <pic:spPr>
                          <a:xfrm>
                            <a:off x="0" y="0"/>
                            <a:ext cx="835025" cy="539750"/>
                          </a:xfrm>
                          <a:prstGeom prst="rect">
                            <a:avLst/>
                          </a:prstGeom>
                          <a:noFill/>
                          <a:ln>
                            <a:noFill/>
                          </a:ln>
                        </pic:spPr>
                      </pic:pic>
                    </a:graphicData>
                  </a:graphic>
                </wp:inline>
              </w:drawing>
            </w:r>
          </w:p>
        </w:tc>
      </w:tr>
      <w:tr w14:paraId="0908FC22">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265BD2DF">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68343F61">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气割眼镜</w:t>
            </w:r>
          </w:p>
        </w:tc>
        <w:tc>
          <w:tcPr>
            <w:tcW w:w="3468" w:type="pct"/>
            <w:tcBorders>
              <w:top w:val="nil"/>
              <w:left w:val="nil"/>
              <w:bottom w:val="single" w:color="auto" w:sz="4" w:space="0"/>
              <w:right w:val="single" w:color="auto" w:sz="4" w:space="0"/>
            </w:tcBorders>
            <w:noWrap w:val="0"/>
            <w:vAlign w:val="center"/>
          </w:tcPr>
          <w:p w14:paraId="2096B28B">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配置气割护目眼睛</w:t>
            </w:r>
          </w:p>
        </w:tc>
        <w:tc>
          <w:tcPr>
            <w:tcW w:w="788" w:type="pct"/>
            <w:tcBorders>
              <w:top w:val="nil"/>
              <w:left w:val="nil"/>
              <w:bottom w:val="single" w:color="auto" w:sz="4" w:space="0"/>
              <w:right w:val="single" w:color="auto" w:sz="4" w:space="0"/>
            </w:tcBorders>
            <w:noWrap/>
            <w:vAlign w:val="bottom"/>
          </w:tcPr>
          <w:p w14:paraId="70A7E8A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62330" cy="539750"/>
                  <wp:effectExtent l="0" t="0" r="6350" b="8890"/>
                  <wp:docPr id="32"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图片 13"/>
                          <pic:cNvPicPr>
                            <a:picLocks noChangeAspect="1"/>
                          </pic:cNvPicPr>
                        </pic:nvPicPr>
                        <pic:blipFill>
                          <a:blip r:embed="rId18"/>
                          <a:stretch>
                            <a:fillRect/>
                          </a:stretch>
                        </pic:blipFill>
                        <pic:spPr>
                          <a:xfrm>
                            <a:off x="0" y="0"/>
                            <a:ext cx="862330" cy="539750"/>
                          </a:xfrm>
                          <a:prstGeom prst="rect">
                            <a:avLst/>
                          </a:prstGeom>
                          <a:noFill/>
                          <a:ln>
                            <a:noFill/>
                          </a:ln>
                        </pic:spPr>
                      </pic:pic>
                    </a:graphicData>
                  </a:graphic>
                </wp:inline>
              </w:drawing>
            </w:r>
          </w:p>
        </w:tc>
      </w:tr>
      <w:tr w14:paraId="2C5D2E63">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492D1967">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ign w:val="center"/>
          </w:tcPr>
          <w:p w14:paraId="041C5AE1">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安全标识</w:t>
            </w:r>
          </w:p>
        </w:tc>
        <w:tc>
          <w:tcPr>
            <w:tcW w:w="3468" w:type="pct"/>
            <w:tcBorders>
              <w:top w:val="nil"/>
              <w:left w:val="nil"/>
              <w:bottom w:val="single" w:color="auto" w:sz="4" w:space="0"/>
              <w:right w:val="single" w:color="auto" w:sz="4" w:space="0"/>
            </w:tcBorders>
            <w:noWrap/>
            <w:vAlign w:val="center"/>
          </w:tcPr>
          <w:p w14:paraId="654AEB9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施工现场设置安全生产宣传标语、宣传板报；易发事故处统一制作设置符合国家要求的安全警示牌，如“禁止酒后上岗”、“必须佩戴安全帽”等，单块警示牌尺寸300mm*400mm。</w:t>
            </w:r>
          </w:p>
        </w:tc>
        <w:tc>
          <w:tcPr>
            <w:tcW w:w="788" w:type="pct"/>
            <w:tcBorders>
              <w:top w:val="nil"/>
              <w:left w:val="nil"/>
              <w:bottom w:val="single" w:color="auto" w:sz="4" w:space="0"/>
              <w:right w:val="single" w:color="auto" w:sz="4" w:space="0"/>
            </w:tcBorders>
            <w:noWrap/>
            <w:vAlign w:val="bottom"/>
          </w:tcPr>
          <w:p w14:paraId="3316C1C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419100" cy="539750"/>
                  <wp:effectExtent l="0" t="0" r="7620" b="8890"/>
                  <wp:docPr id="33"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14"/>
                          <pic:cNvPicPr>
                            <a:picLocks noChangeAspect="1"/>
                          </pic:cNvPicPr>
                        </pic:nvPicPr>
                        <pic:blipFill>
                          <a:blip r:embed="rId19"/>
                          <a:stretch>
                            <a:fillRect/>
                          </a:stretch>
                        </pic:blipFill>
                        <pic:spPr>
                          <a:xfrm>
                            <a:off x="0" y="0"/>
                            <a:ext cx="419100" cy="539750"/>
                          </a:xfrm>
                          <a:prstGeom prst="rect">
                            <a:avLst/>
                          </a:prstGeom>
                          <a:noFill/>
                          <a:ln>
                            <a:noFill/>
                          </a:ln>
                        </pic:spPr>
                      </pic:pic>
                    </a:graphicData>
                  </a:graphic>
                </wp:inline>
              </w:drawing>
            </w:r>
          </w:p>
        </w:tc>
      </w:tr>
      <w:tr w14:paraId="345F668D">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6F1B2A32">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3915F917">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警示隔离栏</w:t>
            </w:r>
          </w:p>
        </w:tc>
        <w:tc>
          <w:tcPr>
            <w:tcW w:w="3468" w:type="pct"/>
            <w:tcBorders>
              <w:top w:val="nil"/>
              <w:left w:val="nil"/>
              <w:bottom w:val="single" w:color="auto" w:sz="4" w:space="0"/>
              <w:right w:val="single" w:color="auto" w:sz="4" w:space="0"/>
            </w:tcBorders>
            <w:noWrap/>
            <w:vAlign w:val="center"/>
          </w:tcPr>
          <w:p w14:paraId="1CD2745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具有事故隐患风险的区域、交叉作业区域以及需要隔离的设备设施设置临时警戒隔离栏</w:t>
            </w:r>
          </w:p>
        </w:tc>
        <w:tc>
          <w:tcPr>
            <w:tcW w:w="788" w:type="pct"/>
            <w:tcBorders>
              <w:top w:val="nil"/>
              <w:left w:val="nil"/>
              <w:bottom w:val="single" w:color="auto" w:sz="4" w:space="0"/>
              <w:right w:val="single" w:color="auto" w:sz="4" w:space="0"/>
            </w:tcBorders>
            <w:noWrap/>
            <w:vAlign w:val="bottom"/>
          </w:tcPr>
          <w:p w14:paraId="7CA39F3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0095" cy="539750"/>
                  <wp:effectExtent l="0" t="0" r="1905" b="8890"/>
                  <wp:docPr id="34"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图片 15"/>
                          <pic:cNvPicPr>
                            <a:picLocks noChangeAspect="1"/>
                          </pic:cNvPicPr>
                        </pic:nvPicPr>
                        <pic:blipFill>
                          <a:blip r:embed="rId20"/>
                          <a:stretch>
                            <a:fillRect/>
                          </a:stretch>
                        </pic:blipFill>
                        <pic:spPr>
                          <a:xfrm>
                            <a:off x="0" y="0"/>
                            <a:ext cx="760095" cy="539750"/>
                          </a:xfrm>
                          <a:prstGeom prst="rect">
                            <a:avLst/>
                          </a:prstGeom>
                          <a:noFill/>
                          <a:ln>
                            <a:noFill/>
                          </a:ln>
                        </pic:spPr>
                      </pic:pic>
                    </a:graphicData>
                  </a:graphic>
                </wp:inline>
              </w:drawing>
            </w:r>
          </w:p>
        </w:tc>
      </w:tr>
      <w:tr w14:paraId="6EFF9848">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BF228B2">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ign w:val="center"/>
          </w:tcPr>
          <w:p w14:paraId="476F70C8">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材料堆放</w:t>
            </w:r>
          </w:p>
        </w:tc>
        <w:tc>
          <w:tcPr>
            <w:tcW w:w="3468" w:type="pct"/>
            <w:tcBorders>
              <w:top w:val="nil"/>
              <w:left w:val="nil"/>
              <w:bottom w:val="single" w:color="auto" w:sz="4" w:space="0"/>
              <w:right w:val="single" w:color="auto" w:sz="4" w:space="0"/>
            </w:tcBorders>
            <w:noWrap/>
            <w:vAlign w:val="center"/>
          </w:tcPr>
          <w:p w14:paraId="528CB91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物料堆放区统一制作的材料标识牌，标明材料名称、品种、规格、型号、产地。</w:t>
            </w:r>
          </w:p>
        </w:tc>
        <w:tc>
          <w:tcPr>
            <w:tcW w:w="788" w:type="pct"/>
            <w:tcBorders>
              <w:top w:val="nil"/>
              <w:left w:val="nil"/>
              <w:bottom w:val="single" w:color="auto" w:sz="4" w:space="0"/>
              <w:right w:val="single" w:color="auto" w:sz="4" w:space="0"/>
            </w:tcBorders>
            <w:noWrap/>
            <w:vAlign w:val="bottom"/>
          </w:tcPr>
          <w:p w14:paraId="78151E7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59790" cy="539750"/>
                  <wp:effectExtent l="0" t="0" r="8890" b="8890"/>
                  <wp:docPr id="53" name="图片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图片 16"/>
                          <pic:cNvPicPr>
                            <a:picLocks noChangeAspect="1"/>
                          </pic:cNvPicPr>
                        </pic:nvPicPr>
                        <pic:blipFill>
                          <a:blip r:embed="rId21"/>
                          <a:stretch>
                            <a:fillRect/>
                          </a:stretch>
                        </pic:blipFill>
                        <pic:spPr>
                          <a:xfrm>
                            <a:off x="0" y="0"/>
                            <a:ext cx="859790" cy="539750"/>
                          </a:xfrm>
                          <a:prstGeom prst="rect">
                            <a:avLst/>
                          </a:prstGeom>
                          <a:noFill/>
                          <a:ln>
                            <a:noFill/>
                          </a:ln>
                        </pic:spPr>
                      </pic:pic>
                    </a:graphicData>
                  </a:graphic>
                </wp:inline>
              </w:drawing>
            </w:r>
          </w:p>
        </w:tc>
      </w:tr>
      <w:tr w14:paraId="6AFC36CD">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4B5A9DF4">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52DC951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ign w:val="center"/>
          </w:tcPr>
          <w:p w14:paraId="77EB53E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水泥等易飞扬细颗粒的建筑材料密闭存放或采取覆盖等措施。</w:t>
            </w:r>
          </w:p>
        </w:tc>
        <w:tc>
          <w:tcPr>
            <w:tcW w:w="788" w:type="pct"/>
            <w:tcBorders>
              <w:top w:val="nil"/>
              <w:left w:val="nil"/>
              <w:bottom w:val="single" w:color="auto" w:sz="4" w:space="0"/>
              <w:right w:val="single" w:color="auto" w:sz="4" w:space="0"/>
            </w:tcBorders>
            <w:noWrap/>
            <w:vAlign w:val="bottom"/>
          </w:tcPr>
          <w:p w14:paraId="4B16D9B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　</w:t>
            </w:r>
          </w:p>
        </w:tc>
      </w:tr>
      <w:tr w14:paraId="28814D21">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F5BB0C6">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right w:val="single" w:color="auto" w:sz="4" w:space="0"/>
            </w:tcBorders>
            <w:noWrap w:val="0"/>
            <w:vAlign w:val="center"/>
          </w:tcPr>
          <w:p w14:paraId="15D96973">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现场防火</w:t>
            </w:r>
          </w:p>
        </w:tc>
        <w:tc>
          <w:tcPr>
            <w:tcW w:w="3468" w:type="pct"/>
            <w:tcBorders>
              <w:top w:val="single" w:color="auto" w:sz="4" w:space="0"/>
              <w:left w:val="nil"/>
              <w:bottom w:val="single" w:color="auto" w:sz="4" w:space="0"/>
              <w:right w:val="single" w:color="auto" w:sz="4" w:space="0"/>
            </w:tcBorders>
            <w:noWrap/>
            <w:vAlign w:val="center"/>
          </w:tcPr>
          <w:p w14:paraId="054697B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消防设施配置合理，符合GB50720-2011《建设工程施工现场消防安全技术规范》要求</w:t>
            </w:r>
          </w:p>
        </w:tc>
        <w:tc>
          <w:tcPr>
            <w:tcW w:w="788" w:type="pct"/>
            <w:tcBorders>
              <w:top w:val="single" w:color="auto" w:sz="4" w:space="0"/>
              <w:left w:val="nil"/>
              <w:bottom w:val="single" w:color="auto" w:sz="4" w:space="0"/>
              <w:right w:val="single" w:color="auto" w:sz="4" w:space="0"/>
            </w:tcBorders>
            <w:noWrap/>
            <w:vAlign w:val="bottom"/>
          </w:tcPr>
          <w:p w14:paraId="680EDA97">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38835" cy="539750"/>
                  <wp:effectExtent l="0" t="0" r="14605" b="8890"/>
                  <wp:docPr id="31"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17"/>
                          <pic:cNvPicPr>
                            <a:picLocks noChangeAspect="1"/>
                          </pic:cNvPicPr>
                        </pic:nvPicPr>
                        <pic:blipFill>
                          <a:blip r:embed="rId22"/>
                          <a:stretch>
                            <a:fillRect/>
                          </a:stretch>
                        </pic:blipFill>
                        <pic:spPr>
                          <a:xfrm>
                            <a:off x="0" y="0"/>
                            <a:ext cx="838835" cy="539750"/>
                          </a:xfrm>
                          <a:prstGeom prst="rect">
                            <a:avLst/>
                          </a:prstGeom>
                          <a:noFill/>
                          <a:ln>
                            <a:noFill/>
                          </a:ln>
                        </pic:spPr>
                      </pic:pic>
                    </a:graphicData>
                  </a:graphic>
                </wp:inline>
              </w:drawing>
            </w:r>
          </w:p>
        </w:tc>
      </w:tr>
      <w:tr w14:paraId="0CABB196">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3880E1C2">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right w:val="single" w:color="auto" w:sz="4" w:space="0"/>
            </w:tcBorders>
            <w:noWrap w:val="0"/>
            <w:vAlign w:val="center"/>
          </w:tcPr>
          <w:p w14:paraId="7B57F69A">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ign w:val="center"/>
          </w:tcPr>
          <w:p w14:paraId="386BB29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灭火器</w:t>
            </w:r>
          </w:p>
        </w:tc>
        <w:tc>
          <w:tcPr>
            <w:tcW w:w="788" w:type="pct"/>
            <w:tcBorders>
              <w:top w:val="nil"/>
              <w:left w:val="nil"/>
              <w:bottom w:val="single" w:color="auto" w:sz="4" w:space="0"/>
              <w:right w:val="single" w:color="auto" w:sz="4" w:space="0"/>
            </w:tcBorders>
            <w:noWrap/>
            <w:vAlign w:val="bottom"/>
          </w:tcPr>
          <w:p w14:paraId="4FB16E8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71220" cy="539750"/>
                  <wp:effectExtent l="0" t="0" r="12700" b="8890"/>
                  <wp:docPr id="1"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8"/>
                          <pic:cNvPicPr>
                            <a:picLocks noChangeAspect="1"/>
                          </pic:cNvPicPr>
                        </pic:nvPicPr>
                        <pic:blipFill>
                          <a:blip r:embed="rId23"/>
                          <a:stretch>
                            <a:fillRect/>
                          </a:stretch>
                        </pic:blipFill>
                        <pic:spPr>
                          <a:xfrm>
                            <a:off x="0" y="0"/>
                            <a:ext cx="871220" cy="539750"/>
                          </a:xfrm>
                          <a:prstGeom prst="rect">
                            <a:avLst/>
                          </a:prstGeom>
                          <a:noFill/>
                          <a:ln>
                            <a:noFill/>
                          </a:ln>
                        </pic:spPr>
                      </pic:pic>
                    </a:graphicData>
                  </a:graphic>
                </wp:inline>
              </w:drawing>
            </w:r>
          </w:p>
        </w:tc>
      </w:tr>
      <w:tr w14:paraId="6B25A7AB">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0D124965">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bottom w:val="single" w:color="auto" w:sz="4" w:space="0"/>
              <w:right w:val="single" w:color="auto" w:sz="4" w:space="0"/>
            </w:tcBorders>
            <w:noWrap w:val="0"/>
            <w:vAlign w:val="center"/>
          </w:tcPr>
          <w:p w14:paraId="07730DC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ign w:val="center"/>
          </w:tcPr>
          <w:p w14:paraId="68E6124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防火毯</w:t>
            </w:r>
          </w:p>
        </w:tc>
        <w:tc>
          <w:tcPr>
            <w:tcW w:w="788" w:type="pct"/>
            <w:tcBorders>
              <w:top w:val="nil"/>
              <w:left w:val="nil"/>
              <w:bottom w:val="single" w:color="auto" w:sz="4" w:space="0"/>
              <w:right w:val="single" w:color="auto" w:sz="4" w:space="0"/>
            </w:tcBorders>
            <w:noWrap/>
            <w:vAlign w:val="bottom"/>
          </w:tcPr>
          <w:p w14:paraId="7081DBC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19150" cy="539750"/>
                  <wp:effectExtent l="0" t="0" r="3810" b="8890"/>
                  <wp:docPr id="25" name="图片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图片 19"/>
                          <pic:cNvPicPr>
                            <a:picLocks noChangeAspect="1"/>
                          </pic:cNvPicPr>
                        </pic:nvPicPr>
                        <pic:blipFill>
                          <a:blip r:embed="rId24"/>
                          <a:stretch>
                            <a:fillRect/>
                          </a:stretch>
                        </pic:blipFill>
                        <pic:spPr>
                          <a:xfrm>
                            <a:off x="0" y="0"/>
                            <a:ext cx="819150" cy="539750"/>
                          </a:xfrm>
                          <a:prstGeom prst="rect">
                            <a:avLst/>
                          </a:prstGeom>
                          <a:noFill/>
                          <a:ln>
                            <a:noFill/>
                          </a:ln>
                        </pic:spPr>
                      </pic:pic>
                    </a:graphicData>
                  </a:graphic>
                </wp:inline>
              </w:drawing>
            </w:r>
          </w:p>
        </w:tc>
      </w:tr>
      <w:tr w14:paraId="07C6DB2F">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B34BF04">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right w:val="single" w:color="auto" w:sz="4" w:space="0"/>
            </w:tcBorders>
            <w:noWrap w:val="0"/>
            <w:vAlign w:val="center"/>
          </w:tcPr>
          <w:p w14:paraId="18E2CDE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气瓶</w:t>
            </w:r>
          </w:p>
        </w:tc>
        <w:tc>
          <w:tcPr>
            <w:tcW w:w="3468" w:type="pct"/>
            <w:tcBorders>
              <w:top w:val="single" w:color="auto" w:sz="4" w:space="0"/>
              <w:left w:val="nil"/>
              <w:bottom w:val="single" w:color="auto" w:sz="4" w:space="0"/>
              <w:right w:val="single" w:color="auto" w:sz="4" w:space="0"/>
            </w:tcBorders>
            <w:noWrap w:val="0"/>
            <w:vAlign w:val="center"/>
          </w:tcPr>
          <w:p w14:paraId="2FF4A10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气瓶推车</w:t>
            </w:r>
          </w:p>
        </w:tc>
        <w:tc>
          <w:tcPr>
            <w:tcW w:w="788" w:type="pct"/>
            <w:tcBorders>
              <w:top w:val="single" w:color="auto" w:sz="4" w:space="0"/>
              <w:left w:val="nil"/>
              <w:bottom w:val="single" w:color="auto" w:sz="4" w:space="0"/>
              <w:right w:val="single" w:color="auto" w:sz="4" w:space="0"/>
            </w:tcBorders>
            <w:noWrap/>
            <w:vAlign w:val="bottom"/>
          </w:tcPr>
          <w:p w14:paraId="77010FC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446405" cy="539750"/>
                  <wp:effectExtent l="0" t="0" r="10795" b="8890"/>
                  <wp:docPr id="26" name="图片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20"/>
                          <pic:cNvPicPr>
                            <a:picLocks noChangeAspect="1"/>
                          </pic:cNvPicPr>
                        </pic:nvPicPr>
                        <pic:blipFill>
                          <a:blip r:embed="rId25"/>
                          <a:stretch>
                            <a:fillRect/>
                          </a:stretch>
                        </pic:blipFill>
                        <pic:spPr>
                          <a:xfrm>
                            <a:off x="0" y="0"/>
                            <a:ext cx="446405" cy="539750"/>
                          </a:xfrm>
                          <a:prstGeom prst="rect">
                            <a:avLst/>
                          </a:prstGeom>
                          <a:noFill/>
                          <a:ln>
                            <a:noFill/>
                          </a:ln>
                        </pic:spPr>
                      </pic:pic>
                    </a:graphicData>
                  </a:graphic>
                </wp:inline>
              </w:drawing>
            </w:r>
          </w:p>
        </w:tc>
      </w:tr>
      <w:tr w14:paraId="35F26D74">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3D22BE08">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right w:val="single" w:color="auto" w:sz="4" w:space="0"/>
            </w:tcBorders>
            <w:noWrap w:val="0"/>
            <w:vAlign w:val="center"/>
          </w:tcPr>
          <w:p w14:paraId="3D49C48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39DB6F3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气瓶配齐瓶帽，双胶圈。</w:t>
            </w:r>
          </w:p>
        </w:tc>
        <w:tc>
          <w:tcPr>
            <w:tcW w:w="788" w:type="pct"/>
            <w:tcBorders>
              <w:top w:val="nil"/>
              <w:left w:val="nil"/>
              <w:bottom w:val="single" w:color="auto" w:sz="4" w:space="0"/>
              <w:right w:val="single" w:color="auto" w:sz="4" w:space="0"/>
            </w:tcBorders>
            <w:noWrap/>
            <w:vAlign w:val="bottom"/>
          </w:tcPr>
          <w:p w14:paraId="6BAFAB4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507365" cy="539750"/>
                  <wp:effectExtent l="0" t="0" r="10795" b="8890"/>
                  <wp:docPr id="35" name="图片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21"/>
                          <pic:cNvPicPr>
                            <a:picLocks noChangeAspect="1"/>
                          </pic:cNvPicPr>
                        </pic:nvPicPr>
                        <pic:blipFill>
                          <a:blip r:embed="rId26"/>
                          <a:stretch>
                            <a:fillRect/>
                          </a:stretch>
                        </pic:blipFill>
                        <pic:spPr>
                          <a:xfrm>
                            <a:off x="0" y="0"/>
                            <a:ext cx="507365" cy="539750"/>
                          </a:xfrm>
                          <a:prstGeom prst="rect">
                            <a:avLst/>
                          </a:prstGeom>
                          <a:noFill/>
                          <a:ln>
                            <a:noFill/>
                          </a:ln>
                        </pic:spPr>
                      </pic:pic>
                    </a:graphicData>
                  </a:graphic>
                </wp:inline>
              </w:drawing>
            </w:r>
          </w:p>
        </w:tc>
      </w:tr>
      <w:tr w14:paraId="0BDAC492">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00575313">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right w:val="single" w:color="auto" w:sz="4" w:space="0"/>
            </w:tcBorders>
            <w:noWrap w:val="0"/>
            <w:vAlign w:val="center"/>
          </w:tcPr>
          <w:p w14:paraId="73E73F2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60D2CC9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氧气乙炔气瓶必须安装减压器、回火防止器，气瓶与气管使用卡箍连接，气管不得有老化、破损。</w:t>
            </w:r>
          </w:p>
        </w:tc>
        <w:tc>
          <w:tcPr>
            <w:tcW w:w="788" w:type="pct"/>
            <w:tcBorders>
              <w:top w:val="nil"/>
              <w:left w:val="nil"/>
              <w:bottom w:val="single" w:color="auto" w:sz="4" w:space="0"/>
              <w:right w:val="single" w:color="auto" w:sz="4" w:space="0"/>
            </w:tcBorders>
            <w:noWrap/>
            <w:vAlign w:val="bottom"/>
          </w:tcPr>
          <w:p w14:paraId="19EE060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23265" cy="539750"/>
                  <wp:effectExtent l="0" t="0" r="8255" b="8890"/>
                  <wp:docPr id="54" name="图片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图片 22"/>
                          <pic:cNvPicPr>
                            <a:picLocks noChangeAspect="1"/>
                          </pic:cNvPicPr>
                        </pic:nvPicPr>
                        <pic:blipFill>
                          <a:blip r:embed="rId27"/>
                          <a:stretch>
                            <a:fillRect/>
                          </a:stretch>
                        </pic:blipFill>
                        <pic:spPr>
                          <a:xfrm>
                            <a:off x="0" y="0"/>
                            <a:ext cx="723265" cy="539750"/>
                          </a:xfrm>
                          <a:prstGeom prst="rect">
                            <a:avLst/>
                          </a:prstGeom>
                          <a:noFill/>
                          <a:ln>
                            <a:noFill/>
                          </a:ln>
                        </pic:spPr>
                      </pic:pic>
                    </a:graphicData>
                  </a:graphic>
                </wp:inline>
              </w:drawing>
            </w:r>
          </w:p>
        </w:tc>
      </w:tr>
      <w:tr w14:paraId="7E519CF4">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5591E72A">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right w:val="single" w:color="auto" w:sz="4" w:space="0"/>
            </w:tcBorders>
            <w:noWrap w:val="0"/>
            <w:vAlign w:val="center"/>
          </w:tcPr>
          <w:p w14:paraId="14B3937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64ABCCB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 xml:space="preserve">氧气瓶和乙炔气瓶应直立固定使用（可绑扎在固定支架或在气瓶推车上）。气瓶距离动火区域不低于10m，氧气瓶和乙炔瓶放置距离不低于5m。 </w:t>
            </w:r>
          </w:p>
        </w:tc>
        <w:tc>
          <w:tcPr>
            <w:tcW w:w="788" w:type="pct"/>
            <w:tcBorders>
              <w:top w:val="nil"/>
              <w:left w:val="nil"/>
              <w:bottom w:val="single" w:color="auto" w:sz="4" w:space="0"/>
              <w:right w:val="single" w:color="auto" w:sz="4" w:space="0"/>
            </w:tcBorders>
            <w:noWrap/>
            <w:vAlign w:val="bottom"/>
          </w:tcPr>
          <w:p w14:paraId="74A715E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812165" cy="539750"/>
                  <wp:effectExtent l="0" t="0" r="10795" b="8890"/>
                  <wp:docPr id="3" name="图片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3"/>
                          <pic:cNvPicPr>
                            <a:picLocks noChangeAspect="1"/>
                          </pic:cNvPicPr>
                        </pic:nvPicPr>
                        <pic:blipFill>
                          <a:blip r:embed="rId28"/>
                          <a:stretch>
                            <a:fillRect/>
                          </a:stretch>
                        </pic:blipFill>
                        <pic:spPr>
                          <a:xfrm>
                            <a:off x="0" y="0"/>
                            <a:ext cx="812165" cy="539750"/>
                          </a:xfrm>
                          <a:prstGeom prst="rect">
                            <a:avLst/>
                          </a:prstGeom>
                          <a:noFill/>
                          <a:ln>
                            <a:noFill/>
                          </a:ln>
                        </pic:spPr>
                      </pic:pic>
                    </a:graphicData>
                  </a:graphic>
                </wp:inline>
              </w:drawing>
            </w:r>
          </w:p>
        </w:tc>
      </w:tr>
      <w:tr w14:paraId="42116922">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4095F4B3">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right w:val="single" w:color="auto" w:sz="4" w:space="0"/>
            </w:tcBorders>
            <w:noWrap w:val="0"/>
            <w:vAlign w:val="center"/>
          </w:tcPr>
          <w:p w14:paraId="173508F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2E176CF6">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氧气瓶内剩余压力≥0.1MPa，不足时立即更换。</w:t>
            </w:r>
          </w:p>
        </w:tc>
        <w:tc>
          <w:tcPr>
            <w:tcW w:w="788" w:type="pct"/>
            <w:tcBorders>
              <w:top w:val="nil"/>
              <w:left w:val="nil"/>
              <w:bottom w:val="single" w:color="auto" w:sz="4" w:space="0"/>
              <w:right w:val="single" w:color="auto" w:sz="4" w:space="0"/>
            </w:tcBorders>
            <w:noWrap/>
            <w:vAlign w:val="bottom"/>
          </w:tcPr>
          <w:p w14:paraId="287E805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44AF211C">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6872228E">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left w:val="single" w:color="auto" w:sz="4" w:space="0"/>
              <w:bottom w:val="single" w:color="auto" w:sz="4" w:space="0"/>
              <w:right w:val="single" w:color="auto" w:sz="4" w:space="0"/>
            </w:tcBorders>
            <w:noWrap w:val="0"/>
            <w:vAlign w:val="center"/>
          </w:tcPr>
          <w:p w14:paraId="30E83B5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70776EF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吊运气瓶必须使用气瓶笼，露天储存/使用需加遮阳棚。</w:t>
            </w:r>
          </w:p>
        </w:tc>
        <w:tc>
          <w:tcPr>
            <w:tcW w:w="788" w:type="pct"/>
            <w:tcBorders>
              <w:top w:val="nil"/>
              <w:left w:val="nil"/>
              <w:bottom w:val="single" w:color="auto" w:sz="4" w:space="0"/>
              <w:right w:val="single" w:color="auto" w:sz="4" w:space="0"/>
            </w:tcBorders>
            <w:noWrap/>
            <w:vAlign w:val="bottom"/>
          </w:tcPr>
          <w:p w14:paraId="508F75C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471170" cy="539750"/>
                  <wp:effectExtent l="0" t="0" r="1270" b="8890"/>
                  <wp:docPr id="28" name="图片 24" descr="http://sg.zhulong.com/ziliao/73/7365/01771b29d10677ff41254adbf9f5544c/20126188581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图片 24" descr="http://sg.zhulong.com/ziliao/73/7365/01771b29d10677ff41254adbf9f5544c/201261885813.jpg"/>
                          <pic:cNvPicPr>
                            <a:picLocks noChangeAspect="1"/>
                          </pic:cNvPicPr>
                        </pic:nvPicPr>
                        <pic:blipFill>
                          <a:blip r:embed="rId29"/>
                          <a:stretch>
                            <a:fillRect/>
                          </a:stretch>
                        </pic:blipFill>
                        <pic:spPr>
                          <a:xfrm>
                            <a:off x="0" y="0"/>
                            <a:ext cx="471170" cy="539750"/>
                          </a:xfrm>
                          <a:prstGeom prst="rect">
                            <a:avLst/>
                          </a:prstGeom>
                          <a:noFill/>
                          <a:ln>
                            <a:noFill/>
                          </a:ln>
                        </pic:spPr>
                      </pic:pic>
                    </a:graphicData>
                  </a:graphic>
                </wp:inline>
              </w:drawing>
            </w:r>
          </w:p>
        </w:tc>
      </w:tr>
      <w:tr w14:paraId="752C5DF0">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5B7957A6">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single" w:color="auto" w:sz="4" w:space="0"/>
              <w:left w:val="nil"/>
              <w:bottom w:val="single" w:color="auto" w:sz="4" w:space="0"/>
              <w:right w:val="single" w:color="auto" w:sz="4" w:space="0"/>
            </w:tcBorders>
            <w:noWrap/>
            <w:vAlign w:val="center"/>
          </w:tcPr>
          <w:p w14:paraId="67B94F5E">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 xml:space="preserve">成品保护 </w:t>
            </w:r>
          </w:p>
        </w:tc>
        <w:tc>
          <w:tcPr>
            <w:tcW w:w="3468" w:type="pct"/>
            <w:tcBorders>
              <w:top w:val="single" w:color="auto" w:sz="4" w:space="0"/>
              <w:left w:val="nil"/>
              <w:bottom w:val="single" w:color="auto" w:sz="4" w:space="0"/>
              <w:right w:val="single" w:color="auto" w:sz="4" w:space="0"/>
            </w:tcBorders>
            <w:noWrap w:val="0"/>
            <w:vAlign w:val="center"/>
          </w:tcPr>
          <w:p w14:paraId="12CD9B2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成品不落地、防雨防尘保护、定置管理、成品区域隔离</w:t>
            </w:r>
          </w:p>
        </w:tc>
        <w:tc>
          <w:tcPr>
            <w:tcW w:w="788" w:type="pct"/>
            <w:tcBorders>
              <w:top w:val="single" w:color="auto" w:sz="4" w:space="0"/>
              <w:left w:val="nil"/>
              <w:bottom w:val="single" w:color="auto" w:sz="4" w:space="0"/>
              <w:right w:val="single" w:color="auto" w:sz="4" w:space="0"/>
            </w:tcBorders>
            <w:noWrap/>
            <w:vAlign w:val="bottom"/>
          </w:tcPr>
          <w:p w14:paraId="51C1DF1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7080" cy="539750"/>
                  <wp:effectExtent l="0" t="0" r="10160" b="8890"/>
                  <wp:docPr id="22" name="图片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5"/>
                          <pic:cNvPicPr>
                            <a:picLocks noChangeAspect="1"/>
                          </pic:cNvPicPr>
                        </pic:nvPicPr>
                        <pic:blipFill>
                          <a:blip r:embed="rId30"/>
                          <a:stretch>
                            <a:fillRect/>
                          </a:stretch>
                        </pic:blipFill>
                        <pic:spPr>
                          <a:xfrm>
                            <a:off x="0" y="0"/>
                            <a:ext cx="767080" cy="539750"/>
                          </a:xfrm>
                          <a:prstGeom prst="rect">
                            <a:avLst/>
                          </a:prstGeom>
                          <a:noFill/>
                          <a:ln>
                            <a:noFill/>
                          </a:ln>
                        </pic:spPr>
                      </pic:pic>
                    </a:graphicData>
                  </a:graphic>
                </wp:inline>
              </w:drawing>
            </w:r>
          </w:p>
        </w:tc>
      </w:tr>
      <w:tr w14:paraId="15546BE5">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3EC0F0EE">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5FA5F84A">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防泄漏托盘</w:t>
            </w:r>
          </w:p>
        </w:tc>
        <w:tc>
          <w:tcPr>
            <w:tcW w:w="3468" w:type="pct"/>
            <w:tcBorders>
              <w:top w:val="nil"/>
              <w:left w:val="nil"/>
              <w:bottom w:val="single" w:color="auto" w:sz="4" w:space="0"/>
              <w:right w:val="single" w:color="auto" w:sz="4" w:space="0"/>
            </w:tcBorders>
            <w:noWrap w:val="0"/>
            <w:vAlign w:val="center"/>
          </w:tcPr>
          <w:p w14:paraId="25EEEAA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油漆用品、化学用品转运、装卸使用防泄漏托盘</w:t>
            </w:r>
          </w:p>
        </w:tc>
        <w:tc>
          <w:tcPr>
            <w:tcW w:w="788" w:type="pct"/>
            <w:tcBorders>
              <w:top w:val="nil"/>
              <w:left w:val="nil"/>
              <w:bottom w:val="single" w:color="auto" w:sz="4" w:space="0"/>
              <w:right w:val="single" w:color="auto" w:sz="4" w:space="0"/>
            </w:tcBorders>
            <w:noWrap/>
            <w:vAlign w:val="bottom"/>
          </w:tcPr>
          <w:p w14:paraId="10773AC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44855" cy="539750"/>
                  <wp:effectExtent l="0" t="0" r="1905" b="8890"/>
                  <wp:docPr id="27" name="图片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26"/>
                          <pic:cNvPicPr>
                            <a:picLocks noChangeAspect="1"/>
                          </pic:cNvPicPr>
                        </pic:nvPicPr>
                        <pic:blipFill>
                          <a:blip r:embed="rId31"/>
                          <a:stretch>
                            <a:fillRect/>
                          </a:stretch>
                        </pic:blipFill>
                        <pic:spPr>
                          <a:xfrm>
                            <a:off x="0" y="0"/>
                            <a:ext cx="744855" cy="539750"/>
                          </a:xfrm>
                          <a:prstGeom prst="rect">
                            <a:avLst/>
                          </a:prstGeom>
                          <a:noFill/>
                          <a:ln>
                            <a:noFill/>
                          </a:ln>
                        </pic:spPr>
                      </pic:pic>
                    </a:graphicData>
                  </a:graphic>
                </wp:inline>
              </w:drawing>
            </w:r>
          </w:p>
        </w:tc>
      </w:tr>
      <w:tr w14:paraId="774D8985">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73E13CCB">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ign w:val="center"/>
          </w:tcPr>
          <w:p w14:paraId="05CA8411">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配电柜/配电箱</w:t>
            </w:r>
          </w:p>
        </w:tc>
        <w:tc>
          <w:tcPr>
            <w:tcW w:w="3468" w:type="pct"/>
            <w:tcBorders>
              <w:top w:val="nil"/>
              <w:left w:val="nil"/>
              <w:bottom w:val="single" w:color="auto" w:sz="4" w:space="0"/>
              <w:right w:val="single" w:color="auto" w:sz="4" w:space="0"/>
            </w:tcBorders>
            <w:noWrap w:val="0"/>
            <w:vAlign w:val="center"/>
          </w:tcPr>
          <w:p w14:paraId="24D6DB67">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按三级配电，两级漏电保护要求，按使用容量设置配电箱，使用质量合格的配电箱。</w:t>
            </w:r>
          </w:p>
        </w:tc>
        <w:tc>
          <w:tcPr>
            <w:tcW w:w="788" w:type="pct"/>
            <w:tcBorders>
              <w:top w:val="nil"/>
              <w:left w:val="nil"/>
              <w:bottom w:val="single" w:color="auto" w:sz="4" w:space="0"/>
              <w:right w:val="single" w:color="auto" w:sz="4" w:space="0"/>
            </w:tcBorders>
            <w:noWrap/>
            <w:vAlign w:val="bottom"/>
          </w:tcPr>
          <w:p w14:paraId="4982EB6B">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0C91E4DD">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25FDB49">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05B284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single" w:color="auto" w:sz="4" w:space="0"/>
              <w:left w:val="nil"/>
              <w:bottom w:val="single" w:color="auto" w:sz="4" w:space="0"/>
              <w:right w:val="single" w:color="auto" w:sz="4" w:space="0"/>
            </w:tcBorders>
            <w:noWrap w:val="0"/>
            <w:vAlign w:val="center"/>
          </w:tcPr>
          <w:p w14:paraId="43C8081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开关箱应按“一机，一箱，一闸，一漏”配置。</w:t>
            </w:r>
          </w:p>
        </w:tc>
        <w:tc>
          <w:tcPr>
            <w:tcW w:w="788" w:type="pct"/>
            <w:vMerge w:val="restart"/>
            <w:tcBorders>
              <w:top w:val="single" w:color="auto" w:sz="4" w:space="0"/>
              <w:left w:val="nil"/>
              <w:bottom w:val="single" w:color="auto" w:sz="4" w:space="0"/>
              <w:right w:val="single" w:color="auto" w:sz="4" w:space="0"/>
            </w:tcBorders>
            <w:noWrap/>
            <w:vAlign w:val="bottom"/>
          </w:tcPr>
          <w:p w14:paraId="5B4247C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600710" cy="539750"/>
                  <wp:effectExtent l="0" t="0" r="8890" b="8890"/>
                  <wp:docPr id="4" name="图片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7"/>
                          <pic:cNvPicPr>
                            <a:picLocks noChangeAspect="1"/>
                          </pic:cNvPicPr>
                        </pic:nvPicPr>
                        <pic:blipFill>
                          <a:blip r:embed="rId32"/>
                          <a:stretch>
                            <a:fillRect/>
                          </a:stretch>
                        </pic:blipFill>
                        <pic:spPr>
                          <a:xfrm>
                            <a:off x="0" y="0"/>
                            <a:ext cx="600710" cy="539750"/>
                          </a:xfrm>
                          <a:prstGeom prst="rect">
                            <a:avLst/>
                          </a:prstGeom>
                          <a:noFill/>
                          <a:ln>
                            <a:noFill/>
                          </a:ln>
                        </pic:spPr>
                      </pic:pic>
                    </a:graphicData>
                  </a:graphic>
                </wp:inline>
              </w:drawing>
            </w:r>
          </w:p>
          <w:p w14:paraId="19CC3C7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7021DDF5">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0E0264D6">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4EDB5E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68EDBFE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施工电箱要求：施工现场的所有移动工具都应在漏电开关保护中；配电箱、开关箱有支腿（离地设置）做好隔离和防雨保护，严禁私拉乱接，箱门安装锁具，标识清晰；严禁一个开关箱直接控制2台或2台以上用电设备（含插座）。</w:t>
            </w:r>
          </w:p>
        </w:tc>
        <w:tc>
          <w:tcPr>
            <w:tcW w:w="788" w:type="pct"/>
            <w:vMerge w:val="continue"/>
            <w:tcBorders>
              <w:top w:val="nil"/>
              <w:left w:val="nil"/>
              <w:bottom w:val="single" w:color="auto" w:sz="4" w:space="0"/>
              <w:right w:val="single" w:color="auto" w:sz="4" w:space="0"/>
            </w:tcBorders>
            <w:noWrap w:val="0"/>
            <w:vAlign w:val="center"/>
          </w:tcPr>
          <w:p w14:paraId="550CA13C">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1ACA3A3F">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9B71EAD">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ign w:val="center"/>
          </w:tcPr>
          <w:p w14:paraId="1E737E52">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配电线路</w:t>
            </w:r>
          </w:p>
        </w:tc>
        <w:tc>
          <w:tcPr>
            <w:tcW w:w="3468" w:type="pct"/>
            <w:tcBorders>
              <w:top w:val="nil"/>
              <w:left w:val="nil"/>
              <w:bottom w:val="single" w:color="auto" w:sz="4" w:space="0"/>
              <w:right w:val="single" w:color="auto" w:sz="4" w:space="0"/>
            </w:tcBorders>
            <w:noWrap w:val="0"/>
            <w:vAlign w:val="center"/>
          </w:tcPr>
          <w:p w14:paraId="7DFA1B6B">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按照TN－S供电系统要求配备五芯线，四芯线，三芯线；按规定要求架设或敷设线路；施工现场附近外线设置安全防护设施。</w:t>
            </w:r>
          </w:p>
        </w:tc>
        <w:tc>
          <w:tcPr>
            <w:tcW w:w="788" w:type="pct"/>
            <w:vMerge w:val="restart"/>
            <w:tcBorders>
              <w:top w:val="single" w:color="auto" w:sz="4" w:space="0"/>
              <w:left w:val="nil"/>
              <w:bottom w:val="single" w:color="auto" w:sz="4" w:space="0"/>
              <w:right w:val="single" w:color="auto" w:sz="4" w:space="0"/>
            </w:tcBorders>
            <w:noWrap/>
            <w:vAlign w:val="bottom"/>
          </w:tcPr>
          <w:p w14:paraId="6EC7143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583565" cy="539750"/>
                  <wp:effectExtent l="0" t="0" r="10795" b="8890"/>
                  <wp:docPr id="5" name="图片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8"/>
                          <pic:cNvPicPr>
                            <a:picLocks noChangeAspect="1"/>
                          </pic:cNvPicPr>
                        </pic:nvPicPr>
                        <pic:blipFill>
                          <a:blip r:embed="rId33"/>
                          <a:stretch>
                            <a:fillRect/>
                          </a:stretch>
                        </pic:blipFill>
                        <pic:spPr>
                          <a:xfrm>
                            <a:off x="0" y="0"/>
                            <a:ext cx="583565" cy="539750"/>
                          </a:xfrm>
                          <a:prstGeom prst="rect">
                            <a:avLst/>
                          </a:prstGeom>
                          <a:noFill/>
                          <a:ln>
                            <a:noFill/>
                          </a:ln>
                        </pic:spPr>
                      </pic:pic>
                    </a:graphicData>
                  </a:graphic>
                </wp:inline>
              </w:drawing>
            </w:r>
          </w:p>
          <w:p w14:paraId="444CF31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0A58B43F">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32B00634">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3823791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7EBD813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严禁使花线、塑线等单层防护电源线；电源线无破损，禁止不同规格的电线接在一起使用；插头、插座完整，禁止多组插座串联使用；严禁不用插头而用电线线头直接插入座内；</w:t>
            </w:r>
          </w:p>
        </w:tc>
        <w:tc>
          <w:tcPr>
            <w:tcW w:w="788" w:type="pct"/>
            <w:vMerge w:val="continue"/>
            <w:tcBorders>
              <w:top w:val="nil"/>
              <w:left w:val="nil"/>
              <w:bottom w:val="single" w:color="auto" w:sz="4" w:space="0"/>
              <w:right w:val="single" w:color="auto" w:sz="4" w:space="0"/>
            </w:tcBorders>
            <w:noWrap w:val="0"/>
            <w:vAlign w:val="center"/>
          </w:tcPr>
          <w:p w14:paraId="478DB98F">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13233F34">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504CFE67">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0DD98CE2">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接地保护</w:t>
            </w:r>
          </w:p>
        </w:tc>
        <w:tc>
          <w:tcPr>
            <w:tcW w:w="3468" w:type="pct"/>
            <w:tcBorders>
              <w:top w:val="nil"/>
              <w:left w:val="nil"/>
              <w:bottom w:val="single" w:color="auto" w:sz="4" w:space="0"/>
              <w:right w:val="single" w:color="auto" w:sz="4" w:space="0"/>
            </w:tcBorders>
            <w:noWrap w:val="0"/>
            <w:vAlign w:val="center"/>
          </w:tcPr>
          <w:p w14:paraId="1185401A">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施工现场电气设备的金属外壳必须与专用保护零线连接</w:t>
            </w:r>
          </w:p>
        </w:tc>
        <w:tc>
          <w:tcPr>
            <w:tcW w:w="788" w:type="pct"/>
            <w:vMerge w:val="continue"/>
            <w:tcBorders>
              <w:top w:val="nil"/>
              <w:left w:val="nil"/>
              <w:bottom w:val="single" w:color="auto" w:sz="4" w:space="0"/>
              <w:right w:val="single" w:color="auto" w:sz="4" w:space="0"/>
            </w:tcBorders>
            <w:noWrap w:val="0"/>
            <w:vAlign w:val="center"/>
          </w:tcPr>
          <w:p w14:paraId="5685F7E2">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3856D27B">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6CA5382F">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2F731EF9">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高处作业安全防护一般要求</w:t>
            </w:r>
          </w:p>
        </w:tc>
        <w:tc>
          <w:tcPr>
            <w:tcW w:w="3468" w:type="pct"/>
            <w:tcBorders>
              <w:top w:val="nil"/>
              <w:left w:val="nil"/>
              <w:bottom w:val="single" w:color="auto" w:sz="4" w:space="0"/>
              <w:right w:val="single" w:color="auto" w:sz="4" w:space="0"/>
            </w:tcBorders>
            <w:noWrap w:val="0"/>
            <w:vAlign w:val="center"/>
          </w:tcPr>
          <w:p w14:paraId="7B26477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有悬挂安全带的悬索或其他设施，有操作平台，有上下的梯子或其他安全通道等</w:t>
            </w:r>
          </w:p>
        </w:tc>
        <w:tc>
          <w:tcPr>
            <w:tcW w:w="788" w:type="pct"/>
            <w:tcBorders>
              <w:top w:val="nil"/>
              <w:left w:val="nil"/>
              <w:bottom w:val="single" w:color="auto" w:sz="4" w:space="0"/>
              <w:right w:val="single" w:color="auto" w:sz="4" w:space="0"/>
            </w:tcBorders>
            <w:noWrap/>
            <w:vAlign w:val="bottom"/>
          </w:tcPr>
          <w:p w14:paraId="520AE47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　</w:t>
            </w:r>
          </w:p>
        </w:tc>
      </w:tr>
      <w:tr w14:paraId="158F62BF">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24D75E89">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261CA662">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安全带</w:t>
            </w:r>
          </w:p>
        </w:tc>
        <w:tc>
          <w:tcPr>
            <w:tcW w:w="3468" w:type="pct"/>
            <w:tcBorders>
              <w:top w:val="nil"/>
              <w:left w:val="nil"/>
              <w:bottom w:val="single" w:color="auto" w:sz="4" w:space="0"/>
              <w:right w:val="single" w:color="auto" w:sz="4" w:space="0"/>
            </w:tcBorders>
            <w:noWrap w:val="0"/>
            <w:vAlign w:val="center"/>
          </w:tcPr>
          <w:p w14:paraId="2BC35DF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全身式缓冲单钩安全带：高挂低用</w:t>
            </w:r>
          </w:p>
        </w:tc>
        <w:tc>
          <w:tcPr>
            <w:tcW w:w="788" w:type="pct"/>
            <w:tcBorders>
              <w:top w:val="nil"/>
              <w:left w:val="nil"/>
              <w:bottom w:val="single" w:color="auto" w:sz="4" w:space="0"/>
              <w:right w:val="single" w:color="auto" w:sz="4" w:space="0"/>
            </w:tcBorders>
            <w:noWrap/>
            <w:vAlign w:val="bottom"/>
          </w:tcPr>
          <w:p w14:paraId="2F5181C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10565" cy="539750"/>
                  <wp:effectExtent l="0" t="0" r="5715" b="8890"/>
                  <wp:docPr id="7"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29"/>
                          <pic:cNvPicPr>
                            <a:picLocks noChangeAspect="1"/>
                          </pic:cNvPicPr>
                        </pic:nvPicPr>
                        <pic:blipFill>
                          <a:blip r:embed="rId34"/>
                          <a:stretch>
                            <a:fillRect/>
                          </a:stretch>
                        </pic:blipFill>
                        <pic:spPr>
                          <a:xfrm>
                            <a:off x="0" y="0"/>
                            <a:ext cx="710565" cy="539750"/>
                          </a:xfrm>
                          <a:prstGeom prst="rect">
                            <a:avLst/>
                          </a:prstGeom>
                          <a:noFill/>
                          <a:ln>
                            <a:noFill/>
                          </a:ln>
                        </pic:spPr>
                      </pic:pic>
                    </a:graphicData>
                  </a:graphic>
                </wp:inline>
              </w:drawing>
            </w:r>
          </w:p>
        </w:tc>
      </w:tr>
      <w:tr w14:paraId="24DAB2ED">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821CE27">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1C651CB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2FDEF523">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全身式缓冲双钩安全带：高挂低用</w:t>
            </w:r>
          </w:p>
        </w:tc>
        <w:tc>
          <w:tcPr>
            <w:tcW w:w="788" w:type="pct"/>
            <w:tcBorders>
              <w:top w:val="nil"/>
              <w:left w:val="nil"/>
              <w:bottom w:val="single" w:color="auto" w:sz="4" w:space="0"/>
              <w:right w:val="single" w:color="auto" w:sz="4" w:space="0"/>
            </w:tcBorders>
            <w:noWrap/>
            <w:vAlign w:val="bottom"/>
          </w:tcPr>
          <w:p w14:paraId="60E7EDC4">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302C715A">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79E27038">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restart"/>
            <w:tcBorders>
              <w:top w:val="single" w:color="auto" w:sz="4" w:space="0"/>
              <w:left w:val="single" w:color="auto" w:sz="4" w:space="0"/>
              <w:bottom w:val="single" w:color="auto" w:sz="4" w:space="0"/>
              <w:right w:val="single" w:color="auto" w:sz="4" w:space="0"/>
            </w:tcBorders>
            <w:noWrap w:val="0"/>
            <w:vAlign w:val="center"/>
          </w:tcPr>
          <w:p w14:paraId="213ED7CC">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生命线</w:t>
            </w:r>
          </w:p>
        </w:tc>
        <w:tc>
          <w:tcPr>
            <w:tcW w:w="3468" w:type="pct"/>
            <w:tcBorders>
              <w:top w:val="nil"/>
              <w:left w:val="nil"/>
              <w:bottom w:val="single" w:color="auto" w:sz="4" w:space="0"/>
              <w:right w:val="single" w:color="auto" w:sz="4" w:space="0"/>
            </w:tcBorders>
            <w:noWrap w:val="0"/>
            <w:vAlign w:val="center"/>
          </w:tcPr>
          <w:p w14:paraId="4958A61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采用直径不低于12毫米的镀锌钢丝绳、公称抗拉强度≥1500MPa，无断丝、断股、灼伤、受腐蚀、严重变形等缺陷；卡扣无损伤；花篮罗旋扣完好无损。</w:t>
            </w:r>
          </w:p>
        </w:tc>
        <w:tc>
          <w:tcPr>
            <w:tcW w:w="788" w:type="pct"/>
            <w:vMerge w:val="restart"/>
            <w:tcBorders>
              <w:top w:val="single" w:color="auto" w:sz="4" w:space="0"/>
              <w:left w:val="nil"/>
              <w:bottom w:val="single" w:color="auto" w:sz="4" w:space="0"/>
              <w:right w:val="single" w:color="auto" w:sz="4" w:space="0"/>
            </w:tcBorders>
            <w:noWrap/>
            <w:vAlign w:val="bottom"/>
          </w:tcPr>
          <w:p w14:paraId="38E6995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07390" cy="539750"/>
                  <wp:effectExtent l="0" t="0" r="8890" b="8890"/>
                  <wp:docPr id="8" name="图片 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30"/>
                          <pic:cNvPicPr>
                            <a:picLocks noChangeAspect="1"/>
                          </pic:cNvPicPr>
                        </pic:nvPicPr>
                        <pic:blipFill>
                          <a:blip r:embed="rId35"/>
                          <a:stretch>
                            <a:fillRect/>
                          </a:stretch>
                        </pic:blipFill>
                        <pic:spPr>
                          <a:xfrm>
                            <a:off x="0" y="0"/>
                            <a:ext cx="707390" cy="539750"/>
                          </a:xfrm>
                          <a:prstGeom prst="rect">
                            <a:avLst/>
                          </a:prstGeom>
                          <a:noFill/>
                          <a:ln>
                            <a:noFill/>
                          </a:ln>
                        </pic:spPr>
                      </pic:pic>
                    </a:graphicData>
                  </a:graphic>
                </wp:inline>
              </w:drawing>
            </w:r>
          </w:p>
          <w:p w14:paraId="01959F78">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51C092B7">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7DE32EE9">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vMerge w:val="continue"/>
            <w:tcBorders>
              <w:top w:val="single" w:color="auto" w:sz="4" w:space="0"/>
              <w:left w:val="single" w:color="auto" w:sz="4" w:space="0"/>
              <w:bottom w:val="single" w:color="auto" w:sz="4" w:space="0"/>
              <w:right w:val="single" w:color="auto" w:sz="4" w:space="0"/>
            </w:tcBorders>
            <w:noWrap w:val="0"/>
            <w:vAlign w:val="center"/>
          </w:tcPr>
          <w:p w14:paraId="0CE542A1">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c>
          <w:tcPr>
            <w:tcW w:w="3468" w:type="pct"/>
            <w:tcBorders>
              <w:top w:val="nil"/>
              <w:left w:val="nil"/>
              <w:bottom w:val="single" w:color="auto" w:sz="4" w:space="0"/>
              <w:right w:val="single" w:color="auto" w:sz="4" w:space="0"/>
            </w:tcBorders>
            <w:noWrap w:val="0"/>
            <w:vAlign w:val="center"/>
          </w:tcPr>
          <w:p w14:paraId="1ADE07DE">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每隔不超过10m设置一个固定点；作业人员必须佩戴全身式双钩安全带，跨越固定点时，必须确保有一个挂钩工作。</w:t>
            </w:r>
          </w:p>
        </w:tc>
        <w:tc>
          <w:tcPr>
            <w:tcW w:w="788" w:type="pct"/>
            <w:vMerge w:val="continue"/>
            <w:tcBorders>
              <w:top w:val="nil"/>
              <w:left w:val="nil"/>
              <w:bottom w:val="single" w:color="auto" w:sz="4" w:space="0"/>
              <w:right w:val="single" w:color="auto" w:sz="4" w:space="0"/>
            </w:tcBorders>
            <w:noWrap w:val="0"/>
            <w:vAlign w:val="center"/>
          </w:tcPr>
          <w:p w14:paraId="4BABB9EA">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p>
        </w:tc>
      </w:tr>
      <w:tr w14:paraId="6222EE3F">
        <w:tblPrEx>
          <w:tblCellMar>
            <w:top w:w="0" w:type="dxa"/>
            <w:left w:w="108" w:type="dxa"/>
            <w:bottom w:w="0" w:type="dxa"/>
            <w:right w:w="108" w:type="dxa"/>
          </w:tblCellMar>
        </w:tblPrEx>
        <w:trPr>
          <w:trHeight w:val="340" w:hRule="atLeast"/>
          <w:jc w:val="center"/>
        </w:trPr>
        <w:tc>
          <w:tcPr>
            <w:tcW w:w="286" w:type="pct"/>
            <w:tcBorders>
              <w:top w:val="single" w:color="auto" w:sz="4" w:space="0"/>
              <w:left w:val="single" w:color="auto" w:sz="4" w:space="0"/>
              <w:bottom w:val="single" w:color="auto" w:sz="4" w:space="0"/>
              <w:right w:val="single" w:color="auto" w:sz="4" w:space="0"/>
            </w:tcBorders>
            <w:noWrap w:val="0"/>
            <w:vAlign w:val="center"/>
          </w:tcPr>
          <w:p w14:paraId="18D658D9">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single" w:color="auto" w:sz="4" w:space="0"/>
              <w:left w:val="nil"/>
              <w:bottom w:val="single" w:color="auto" w:sz="4" w:space="0"/>
              <w:right w:val="single" w:color="auto" w:sz="4" w:space="0"/>
            </w:tcBorders>
            <w:noWrap w:val="0"/>
            <w:vAlign w:val="center"/>
          </w:tcPr>
          <w:p w14:paraId="39DF05C4">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防坠器</w:t>
            </w:r>
          </w:p>
        </w:tc>
        <w:tc>
          <w:tcPr>
            <w:tcW w:w="3468" w:type="pct"/>
            <w:tcBorders>
              <w:top w:val="single" w:color="auto" w:sz="4" w:space="0"/>
              <w:left w:val="nil"/>
              <w:bottom w:val="single" w:color="auto" w:sz="4" w:space="0"/>
              <w:right w:val="single" w:color="auto" w:sz="4" w:space="0"/>
            </w:tcBorders>
            <w:noWrap w:val="0"/>
            <w:vAlign w:val="center"/>
          </w:tcPr>
          <w:p w14:paraId="54E2969D">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屋面、檐口作业时必须正确佩戴和使用安全带、防坠落制动器、生命线。</w:t>
            </w:r>
          </w:p>
        </w:tc>
        <w:tc>
          <w:tcPr>
            <w:tcW w:w="788" w:type="pct"/>
            <w:tcBorders>
              <w:top w:val="single" w:color="auto" w:sz="4" w:space="0"/>
              <w:left w:val="nil"/>
              <w:bottom w:val="single" w:color="auto" w:sz="4" w:space="0"/>
              <w:right w:val="single" w:color="auto" w:sz="4" w:space="0"/>
            </w:tcBorders>
            <w:noWrap/>
            <w:vAlign w:val="bottom"/>
          </w:tcPr>
          <w:p w14:paraId="57C064C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9620" cy="539750"/>
                  <wp:effectExtent l="0" t="0" r="7620" b="8890"/>
                  <wp:docPr id="23"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1"/>
                          <pic:cNvPicPr>
                            <a:picLocks noChangeAspect="1"/>
                          </pic:cNvPicPr>
                        </pic:nvPicPr>
                        <pic:blipFill>
                          <a:blip r:embed="rId36"/>
                          <a:stretch>
                            <a:fillRect/>
                          </a:stretch>
                        </pic:blipFill>
                        <pic:spPr>
                          <a:xfrm>
                            <a:off x="0" y="0"/>
                            <a:ext cx="769620" cy="539750"/>
                          </a:xfrm>
                          <a:prstGeom prst="rect">
                            <a:avLst/>
                          </a:prstGeom>
                          <a:noFill/>
                          <a:ln>
                            <a:noFill/>
                          </a:ln>
                        </pic:spPr>
                      </pic:pic>
                    </a:graphicData>
                  </a:graphic>
                </wp:inline>
              </w:drawing>
            </w:r>
          </w:p>
        </w:tc>
      </w:tr>
      <w:tr w14:paraId="272E4054">
        <w:tblPrEx>
          <w:tblCellMar>
            <w:top w:w="0" w:type="dxa"/>
            <w:left w:w="108" w:type="dxa"/>
            <w:bottom w:w="0" w:type="dxa"/>
            <w:right w:w="108" w:type="dxa"/>
          </w:tblCellMar>
        </w:tblPrEx>
        <w:trPr>
          <w:trHeight w:val="340" w:hRule="atLeast"/>
          <w:jc w:val="center"/>
        </w:trPr>
        <w:tc>
          <w:tcPr>
            <w:tcW w:w="286" w:type="pct"/>
            <w:tcBorders>
              <w:top w:val="nil"/>
              <w:left w:val="single" w:color="auto" w:sz="4" w:space="0"/>
              <w:bottom w:val="single" w:color="auto" w:sz="4" w:space="0"/>
              <w:right w:val="single" w:color="auto" w:sz="4" w:space="0"/>
            </w:tcBorders>
            <w:noWrap w:val="0"/>
            <w:vAlign w:val="center"/>
          </w:tcPr>
          <w:p w14:paraId="4256C12B">
            <w:pPr>
              <w:pStyle w:val="18"/>
              <w:keepNext w:val="0"/>
              <w:keepLines w:val="0"/>
              <w:widowControl/>
              <w:numPr>
                <w:ilvl w:val="0"/>
                <w:numId w:val="53"/>
              </w:numPr>
              <w:suppressLineNumbers w:val="0"/>
              <w:adjustRightInd w:val="0"/>
              <w:snapToGrid w:val="0"/>
              <w:spacing w:before="0" w:beforeAutospacing="0" w:after="0" w:afterAutospacing="0" w:line="276" w:lineRule="auto"/>
              <w:ind w:right="0" w:firstLineChars="0"/>
              <w:jc w:val="center"/>
              <w:textAlignment w:val="center"/>
              <w:rPr>
                <w:rFonts w:hint="default" w:ascii="宋体" w:hAnsi="宋体" w:cs="宋体"/>
                <w:sz w:val="24"/>
                <w:szCs w:val="20"/>
              </w:rPr>
            </w:pPr>
          </w:p>
        </w:tc>
        <w:tc>
          <w:tcPr>
            <w:tcW w:w="457" w:type="pct"/>
            <w:tcBorders>
              <w:top w:val="nil"/>
              <w:left w:val="nil"/>
              <w:bottom w:val="single" w:color="auto" w:sz="4" w:space="0"/>
              <w:right w:val="single" w:color="auto" w:sz="4" w:space="0"/>
            </w:tcBorders>
            <w:noWrap w:val="0"/>
            <w:vAlign w:val="center"/>
          </w:tcPr>
          <w:p w14:paraId="026B13DE">
            <w:pPr>
              <w:pStyle w:val="17"/>
              <w:keepNext w:val="0"/>
              <w:keepLines w:val="0"/>
              <w:suppressLineNumbers w:val="0"/>
              <w:spacing w:before="0" w:beforeAutospacing="0" w:after="0" w:afterAutospacing="0" w:line="276" w:lineRule="auto"/>
              <w:ind w:left="0" w:right="0"/>
              <w:jc w:val="center"/>
              <w:rPr>
                <w:rFonts w:hint="default" w:ascii="宋体" w:hAnsi="宋体" w:eastAsia="宋体" w:cs="宋体"/>
                <w:sz w:val="24"/>
                <w:szCs w:val="24"/>
              </w:rPr>
            </w:pPr>
            <w:r>
              <w:rPr>
                <w:rFonts w:hint="eastAsia" w:ascii="宋体" w:hAnsi="宋体" w:eastAsia="宋体" w:cs="宋体"/>
                <w:sz w:val="24"/>
                <w:szCs w:val="24"/>
              </w:rPr>
              <w:t xml:space="preserve">钢丝绳绳扣 </w:t>
            </w:r>
          </w:p>
        </w:tc>
        <w:tc>
          <w:tcPr>
            <w:tcW w:w="3468" w:type="pct"/>
            <w:tcBorders>
              <w:top w:val="nil"/>
              <w:left w:val="nil"/>
              <w:bottom w:val="single" w:color="auto" w:sz="4" w:space="0"/>
              <w:right w:val="single" w:color="auto" w:sz="4" w:space="0"/>
            </w:tcBorders>
            <w:noWrap w:val="0"/>
            <w:vAlign w:val="center"/>
          </w:tcPr>
          <w:p w14:paraId="69137405">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t>钢丝绳绳扣（骑马式/压板式）用于钢丝绳的临时连接和钢丝绳穿绕滑车组时后手绳的固定，以及爬杆上缆风绳绳头的固定</w:t>
            </w:r>
          </w:p>
        </w:tc>
        <w:tc>
          <w:tcPr>
            <w:tcW w:w="788" w:type="pct"/>
            <w:tcBorders>
              <w:top w:val="nil"/>
              <w:left w:val="nil"/>
              <w:bottom w:val="single" w:color="auto" w:sz="4" w:space="0"/>
              <w:right w:val="single" w:color="auto" w:sz="4" w:space="0"/>
            </w:tcBorders>
            <w:noWrap/>
            <w:vAlign w:val="bottom"/>
          </w:tcPr>
          <w:p w14:paraId="5574EDC9">
            <w:pPr>
              <w:pStyle w:val="17"/>
              <w:keepNext w:val="0"/>
              <w:keepLines w:val="0"/>
              <w:suppressLineNumbers w:val="0"/>
              <w:spacing w:before="0" w:beforeAutospacing="0" w:after="0" w:afterAutospacing="0" w:line="276" w:lineRule="auto"/>
              <w:ind w:left="0" w:right="0"/>
              <w:rPr>
                <w:rFonts w:hint="default" w:ascii="宋体" w:hAnsi="宋体" w:eastAsia="宋体" w:cs="宋体"/>
                <w:sz w:val="24"/>
                <w:szCs w:val="24"/>
              </w:rPr>
            </w:pPr>
            <w:r>
              <w:rPr>
                <w:rFonts w:hint="eastAsia" w:ascii="宋体" w:hAnsi="宋体" w:eastAsia="宋体" w:cs="宋体"/>
                <w:sz w:val="24"/>
                <w:szCs w:val="24"/>
              </w:rPr>
              <w:drawing>
                <wp:inline distT="0" distB="0" distL="114300" distR="114300">
                  <wp:extent cx="765810" cy="539750"/>
                  <wp:effectExtent l="0" t="0" r="11430" b="8890"/>
                  <wp:docPr id="24" name="图片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图片 32"/>
                          <pic:cNvPicPr>
                            <a:picLocks noChangeAspect="1"/>
                          </pic:cNvPicPr>
                        </pic:nvPicPr>
                        <pic:blipFill>
                          <a:blip r:embed="rId37"/>
                          <a:stretch>
                            <a:fillRect/>
                          </a:stretch>
                        </pic:blipFill>
                        <pic:spPr>
                          <a:xfrm>
                            <a:off x="0" y="0"/>
                            <a:ext cx="765810" cy="539750"/>
                          </a:xfrm>
                          <a:prstGeom prst="rect">
                            <a:avLst/>
                          </a:prstGeom>
                          <a:noFill/>
                          <a:ln>
                            <a:noFill/>
                          </a:ln>
                        </pic:spPr>
                      </pic:pic>
                    </a:graphicData>
                  </a:graphic>
                </wp:inline>
              </w:drawing>
            </w:r>
          </w:p>
        </w:tc>
      </w:tr>
    </w:tbl>
    <w:p w14:paraId="7AFE464B">
      <w:pPr>
        <w:numPr>
          <w:numId w:val="0"/>
        </w:numPr>
        <w:spacing w:line="440" w:lineRule="exact"/>
        <w:ind w:left="480" w:leftChars="0"/>
        <w:rPr>
          <w:rFonts w:hint="eastAsia" w:asciiTheme="minorEastAsia" w:hAnsiTheme="minorEastAsia" w:eastAsiaTheme="minorEastAsia" w:cstheme="minorEastAsia"/>
          <w:bCs/>
          <w:color w:val="auto"/>
          <w:sz w:val="24"/>
          <w:szCs w:val="24"/>
          <w:highlight w:val="none"/>
        </w:rPr>
      </w:pPr>
    </w:p>
    <w:p w14:paraId="29BFD97A">
      <w:pPr>
        <w:pStyle w:val="10"/>
        <w:tabs>
          <w:tab w:val="left" w:pos="993"/>
          <w:tab w:val="left" w:pos="1418"/>
        </w:tabs>
        <w:spacing w:line="440" w:lineRule="exact"/>
        <w:ind w:left="0" w:leftChars="0" w:firstLine="0" w:firstLineChars="0"/>
        <w:rPr>
          <w:rFonts w:hint="eastAsia" w:ascii="宋体" w:hAnsi="宋体" w:eastAsia="宋体"/>
          <w:bCs/>
          <w:color w:val="auto"/>
          <w:sz w:val="24"/>
          <w:szCs w:val="24"/>
        </w:rPr>
      </w:pPr>
    </w:p>
    <w:p w14:paraId="291B2C36">
      <w:pPr>
        <w:pStyle w:val="10"/>
        <w:spacing w:line="440" w:lineRule="exact"/>
        <w:ind w:firstLine="480"/>
        <w:outlineLvl w:val="0"/>
        <w:rPr>
          <w:rFonts w:ascii="宋体" w:hAnsi="宋体"/>
          <w:b/>
          <w:szCs w:val="24"/>
        </w:rPr>
      </w:pPr>
      <w:r>
        <w:rPr>
          <w:rStyle w:val="14"/>
          <w:rFonts w:hint="eastAsia"/>
          <w:sz w:val="24"/>
          <w:szCs w:val="20"/>
          <w:lang w:val="en-US" w:eastAsia="zh-CN"/>
        </w:rPr>
        <w:t>采购文件附件廉洁合规承诺书</w:t>
      </w:r>
    </w:p>
    <w:p w14:paraId="1B963885">
      <w:pPr>
        <w:spacing w:line="560" w:lineRule="exact"/>
        <w:jc w:val="center"/>
        <w:rPr>
          <w:rFonts w:ascii="宋体" w:hAnsi="宋体" w:eastAsia="宋体"/>
          <w:b/>
          <w:sz w:val="24"/>
          <w:szCs w:val="24"/>
        </w:rPr>
      </w:pPr>
      <w:r>
        <w:rPr>
          <w:rFonts w:hint="eastAsia" w:ascii="宋体" w:hAnsi="宋体" w:eastAsia="宋体"/>
          <w:b/>
          <w:sz w:val="24"/>
          <w:szCs w:val="24"/>
        </w:rPr>
        <w:t>廉洁合规承诺书</w:t>
      </w:r>
    </w:p>
    <w:p w14:paraId="3044A0BB">
      <w:pPr>
        <w:spacing w:line="560" w:lineRule="exact"/>
        <w:ind w:firstLine="480" w:firstLineChars="200"/>
        <w:rPr>
          <w:rFonts w:ascii="宋体" w:hAnsi="宋体" w:eastAsia="宋体"/>
          <w:sz w:val="24"/>
          <w:szCs w:val="24"/>
        </w:rPr>
      </w:pPr>
      <w:r>
        <w:rPr>
          <w:rFonts w:hint="eastAsia" w:ascii="宋体" w:hAnsi="宋体" w:eastAsia="宋体"/>
          <w:sz w:val="24"/>
          <w:szCs w:val="24"/>
        </w:rPr>
        <w:t>一、不向华润员工及其亲属和其他特定关系人赠送礼品、礼金、消费卡（券）、有价证券、股权、其他金融产品等财物。</w:t>
      </w:r>
    </w:p>
    <w:p w14:paraId="47CC3BA5">
      <w:pPr>
        <w:spacing w:line="560" w:lineRule="exact"/>
        <w:ind w:firstLine="480" w:firstLineChars="200"/>
        <w:rPr>
          <w:rFonts w:ascii="宋体" w:hAnsi="宋体" w:eastAsia="宋体"/>
          <w:sz w:val="24"/>
          <w:szCs w:val="24"/>
        </w:rPr>
      </w:pPr>
      <w:r>
        <w:rPr>
          <w:rFonts w:hint="eastAsia" w:ascii="宋体" w:hAnsi="宋体" w:eastAsia="宋体"/>
          <w:sz w:val="24"/>
          <w:szCs w:val="24"/>
        </w:rPr>
        <w:t>二、不向华润员工及其亲属和其他特定关系人出借钱款、住房、车辆等财物。</w:t>
      </w:r>
    </w:p>
    <w:p w14:paraId="549D8AAA">
      <w:pPr>
        <w:spacing w:line="560" w:lineRule="exact"/>
        <w:ind w:firstLine="480" w:firstLineChars="200"/>
        <w:rPr>
          <w:rFonts w:ascii="宋体" w:hAnsi="宋体" w:eastAsia="宋体"/>
          <w:sz w:val="24"/>
          <w:szCs w:val="24"/>
        </w:rPr>
      </w:pPr>
      <w:r>
        <w:rPr>
          <w:rFonts w:hint="eastAsia" w:ascii="宋体" w:hAnsi="宋体" w:eastAsia="宋体"/>
          <w:sz w:val="24"/>
          <w:szCs w:val="24"/>
        </w:rPr>
        <w:t>三、不向华润员工及其亲属和其他特定关系人提供可能影响公正履职的宴请或者旅游、健身、娱乐等活动安排。</w:t>
      </w:r>
    </w:p>
    <w:p w14:paraId="71AB4647">
      <w:pPr>
        <w:spacing w:line="560" w:lineRule="exact"/>
        <w:ind w:firstLine="480" w:firstLineChars="200"/>
        <w:rPr>
          <w:rFonts w:ascii="宋体" w:hAnsi="宋体" w:eastAsia="宋体"/>
          <w:sz w:val="24"/>
          <w:szCs w:val="24"/>
        </w:rPr>
      </w:pPr>
      <w:r>
        <w:rPr>
          <w:rFonts w:hint="eastAsia" w:ascii="宋体" w:hAnsi="宋体" w:eastAsia="宋体"/>
          <w:sz w:val="24"/>
          <w:szCs w:val="24"/>
        </w:rPr>
        <w:t>四、不替华润员工及其亲属和其他特定关系人支付或报销任何费用。</w:t>
      </w:r>
    </w:p>
    <w:p w14:paraId="05BAE190">
      <w:pPr>
        <w:spacing w:line="560" w:lineRule="exact"/>
        <w:ind w:firstLine="480" w:firstLineChars="200"/>
        <w:rPr>
          <w:rFonts w:ascii="宋体" w:hAnsi="宋体" w:eastAsia="宋体"/>
          <w:sz w:val="24"/>
          <w:szCs w:val="24"/>
        </w:rPr>
      </w:pPr>
      <w:r>
        <w:rPr>
          <w:rFonts w:hint="eastAsia" w:ascii="宋体" w:hAnsi="宋体" w:eastAsia="宋体"/>
          <w:sz w:val="24"/>
          <w:szCs w:val="24"/>
        </w:rPr>
        <w:t>五、不替华润员工及其亲属和其他特定关系人代持股份。</w:t>
      </w:r>
    </w:p>
    <w:p w14:paraId="108E2B66">
      <w:pPr>
        <w:spacing w:line="560" w:lineRule="exact"/>
        <w:ind w:firstLine="480" w:firstLineChars="200"/>
        <w:rPr>
          <w:rFonts w:ascii="宋体" w:hAnsi="宋体" w:eastAsia="宋体"/>
          <w:sz w:val="24"/>
          <w:szCs w:val="24"/>
        </w:rPr>
      </w:pPr>
      <w:r>
        <w:rPr>
          <w:rFonts w:hint="eastAsia" w:ascii="宋体" w:hAnsi="宋体" w:eastAsia="宋体"/>
          <w:sz w:val="24"/>
          <w:szCs w:val="24"/>
        </w:rPr>
        <w:t>六、不与华润员工或者其他单位和个人串通投标或者串通报价，</w:t>
      </w:r>
      <w:r>
        <w:rPr>
          <w:rFonts w:ascii="宋体" w:hAnsi="宋体" w:eastAsia="宋体"/>
          <w:sz w:val="24"/>
          <w:szCs w:val="24"/>
        </w:rPr>
        <w:t>不采取恶性竞争等不正当手段竞争业务。</w:t>
      </w:r>
    </w:p>
    <w:p w14:paraId="78400E55">
      <w:pPr>
        <w:spacing w:line="560" w:lineRule="exact"/>
        <w:ind w:firstLine="480" w:firstLineChars="200"/>
        <w:rPr>
          <w:rFonts w:ascii="宋体" w:hAnsi="宋体" w:eastAsia="宋体"/>
          <w:sz w:val="24"/>
          <w:szCs w:val="24"/>
        </w:rPr>
      </w:pPr>
      <w:r>
        <w:rPr>
          <w:rFonts w:hint="eastAsia" w:ascii="宋体" w:hAnsi="宋体" w:eastAsia="宋体"/>
          <w:sz w:val="24"/>
          <w:szCs w:val="24"/>
        </w:rPr>
        <w:t>七、</w:t>
      </w:r>
      <w:r>
        <w:rPr>
          <w:rFonts w:ascii="宋体" w:hAnsi="宋体" w:eastAsia="宋体"/>
          <w:sz w:val="24"/>
          <w:szCs w:val="24"/>
        </w:rPr>
        <w:t>不与华润员工就标底、其他</w:t>
      </w:r>
      <w:r>
        <w:rPr>
          <w:rFonts w:hint="eastAsia" w:ascii="宋体" w:hAnsi="宋体" w:eastAsia="宋体"/>
          <w:sz w:val="24"/>
          <w:szCs w:val="24"/>
        </w:rPr>
        <w:t>供应商</w:t>
      </w:r>
      <w:r>
        <w:rPr>
          <w:rFonts w:ascii="宋体" w:hAnsi="宋体" w:eastAsia="宋体"/>
          <w:sz w:val="24"/>
          <w:szCs w:val="24"/>
        </w:rPr>
        <w:t>的</w:t>
      </w:r>
      <w:r>
        <w:rPr>
          <w:rFonts w:hint="eastAsia" w:ascii="宋体" w:hAnsi="宋体" w:eastAsia="宋体"/>
          <w:sz w:val="24"/>
          <w:szCs w:val="24"/>
        </w:rPr>
        <w:t>响应文件</w:t>
      </w:r>
      <w:r>
        <w:rPr>
          <w:rFonts w:ascii="宋体" w:hAnsi="宋体" w:eastAsia="宋体"/>
          <w:sz w:val="24"/>
          <w:szCs w:val="24"/>
        </w:rPr>
        <w:t>等商业秘密及合同中的条款进行私下商谈或者达成默契。</w:t>
      </w:r>
    </w:p>
    <w:p w14:paraId="1308E70B">
      <w:pPr>
        <w:spacing w:line="560" w:lineRule="exact"/>
        <w:ind w:firstLine="480" w:firstLineChars="200"/>
        <w:rPr>
          <w:rFonts w:ascii="宋体" w:hAnsi="宋体" w:eastAsia="宋体"/>
          <w:sz w:val="24"/>
          <w:szCs w:val="24"/>
        </w:rPr>
      </w:pPr>
      <w:r>
        <w:rPr>
          <w:rFonts w:hint="eastAsia" w:ascii="宋体" w:hAnsi="宋体" w:eastAsia="宋体"/>
          <w:sz w:val="24"/>
          <w:szCs w:val="24"/>
        </w:rPr>
        <w:t>八、不违法转包、分包项目。</w:t>
      </w:r>
    </w:p>
    <w:p w14:paraId="42ABB5FF">
      <w:pPr>
        <w:spacing w:line="560" w:lineRule="exact"/>
        <w:ind w:firstLine="480" w:firstLineChars="200"/>
        <w:rPr>
          <w:rFonts w:ascii="宋体" w:hAnsi="宋体" w:eastAsia="宋体"/>
          <w:sz w:val="24"/>
          <w:szCs w:val="24"/>
        </w:rPr>
      </w:pPr>
      <w:r>
        <w:rPr>
          <w:rFonts w:hint="eastAsia" w:ascii="宋体" w:hAnsi="宋体" w:eastAsia="宋体"/>
          <w:sz w:val="24"/>
          <w:szCs w:val="24"/>
        </w:rPr>
        <w:t>九、严格执行合同约定，不弄虚作假。</w:t>
      </w:r>
    </w:p>
    <w:p w14:paraId="3605F3E7">
      <w:pPr>
        <w:spacing w:line="560" w:lineRule="exact"/>
        <w:ind w:firstLine="480" w:firstLineChars="200"/>
        <w:rPr>
          <w:rFonts w:ascii="宋体" w:hAnsi="宋体" w:eastAsia="宋体"/>
          <w:sz w:val="24"/>
          <w:szCs w:val="24"/>
        </w:rPr>
      </w:pPr>
      <w:r>
        <w:rPr>
          <w:rFonts w:hint="eastAsia" w:ascii="宋体" w:hAnsi="宋体" w:eastAsia="宋体"/>
          <w:sz w:val="24"/>
          <w:szCs w:val="24"/>
        </w:rPr>
        <w:t>十、如实向华润方通报本单位股东和员工与华润方存在亲属或者其他特定关系的情况。</w:t>
      </w:r>
    </w:p>
    <w:p w14:paraId="42EA339E">
      <w:pPr>
        <w:spacing w:line="560" w:lineRule="exact"/>
        <w:ind w:firstLine="480" w:firstLineChars="200"/>
        <w:rPr>
          <w:rFonts w:ascii="宋体" w:hAnsi="宋体" w:eastAsia="宋体"/>
          <w:sz w:val="24"/>
          <w:szCs w:val="24"/>
        </w:rPr>
      </w:pPr>
      <w:r>
        <w:rPr>
          <w:rFonts w:hint="eastAsia" w:ascii="宋体" w:hAnsi="宋体" w:eastAsia="宋体"/>
          <w:sz w:val="24"/>
          <w:szCs w:val="24"/>
        </w:rPr>
        <w:t>发现本单位人员有违反上述行为的，及时制止、批评教育；发现华润员工有索贿、受贿行为的，坚决拒绝，并向华润相关领导或纪检监察部门举报。</w:t>
      </w:r>
    </w:p>
    <w:p w14:paraId="219CAD48">
      <w:pPr>
        <w:spacing w:line="560" w:lineRule="exact"/>
        <w:ind w:firstLine="480" w:firstLineChars="200"/>
        <w:rPr>
          <w:rFonts w:ascii="宋体" w:hAnsi="宋体" w:eastAsia="宋体"/>
          <w:sz w:val="24"/>
          <w:szCs w:val="24"/>
        </w:rPr>
      </w:pPr>
      <w:r>
        <w:rPr>
          <w:rFonts w:hint="eastAsia" w:ascii="宋体" w:hAnsi="宋体" w:eastAsia="宋体"/>
          <w:sz w:val="24"/>
          <w:szCs w:val="24"/>
        </w:rPr>
        <w:t>（一）华润雪花采购管理</w:t>
      </w:r>
      <w:r>
        <w:rPr>
          <w:rFonts w:hint="eastAsia" w:ascii="宋体" w:hAnsi="宋体" w:eastAsia="宋体"/>
          <w:sz w:val="24"/>
          <w:szCs w:val="24"/>
          <w:lang w:val="en-US" w:eastAsia="zh-CN"/>
        </w:rPr>
        <w:t>部</w:t>
      </w:r>
      <w:r>
        <w:rPr>
          <w:rFonts w:hint="eastAsia" w:ascii="宋体" w:hAnsi="宋体" w:eastAsia="宋体"/>
          <w:sz w:val="24"/>
          <w:szCs w:val="24"/>
        </w:rPr>
        <w:t>受理采购投诉及举报途径：</w:t>
      </w:r>
    </w:p>
    <w:p w14:paraId="63408E11">
      <w:pPr>
        <w:spacing w:line="560" w:lineRule="exact"/>
        <w:ind w:firstLine="480" w:firstLineChars="200"/>
        <w:rPr>
          <w:rFonts w:ascii="宋体" w:hAnsi="宋体" w:eastAsia="宋体"/>
          <w:sz w:val="24"/>
          <w:szCs w:val="24"/>
        </w:rPr>
      </w:pPr>
      <w:r>
        <w:rPr>
          <w:rFonts w:hint="eastAsia" w:ascii="宋体" w:hAnsi="宋体" w:eastAsia="宋体"/>
          <w:sz w:val="24"/>
          <w:szCs w:val="24"/>
        </w:rPr>
        <w:t>举报邮箱：</w:t>
      </w:r>
      <w:r>
        <w:rPr>
          <w:rFonts w:ascii="宋体" w:hAnsi="宋体" w:eastAsia="宋体"/>
          <w:sz w:val="24"/>
          <w:szCs w:val="24"/>
        </w:rPr>
        <w:t>CRB_PMC_GW@crb.cn</w:t>
      </w:r>
    </w:p>
    <w:p w14:paraId="1BBA9493">
      <w:pPr>
        <w:spacing w:line="560" w:lineRule="exact"/>
        <w:ind w:firstLine="480" w:firstLineChars="200"/>
        <w:rPr>
          <w:rFonts w:ascii="宋体" w:hAnsi="宋体" w:eastAsia="宋体"/>
          <w:sz w:val="24"/>
          <w:szCs w:val="24"/>
        </w:rPr>
      </w:pPr>
      <w:r>
        <w:rPr>
          <w:rFonts w:hint="eastAsia" w:ascii="宋体" w:hAnsi="宋体" w:eastAsia="宋体"/>
          <w:sz w:val="24"/>
          <w:szCs w:val="24"/>
        </w:rPr>
        <w:t>（二）华润啤酒纪委办公室受理廉洁投诉及举报途径：</w:t>
      </w:r>
    </w:p>
    <w:p w14:paraId="6E93C281">
      <w:pPr>
        <w:spacing w:line="560" w:lineRule="exact"/>
        <w:ind w:firstLine="480" w:firstLineChars="200"/>
        <w:rPr>
          <w:rFonts w:ascii="宋体" w:hAnsi="宋体"/>
          <w:sz w:val="24"/>
          <w:szCs w:val="24"/>
        </w:rPr>
      </w:pPr>
      <w:r>
        <w:rPr>
          <w:rFonts w:hint="eastAsia" w:ascii="宋体" w:hAnsi="宋体" w:eastAsia="宋体"/>
          <w:sz w:val="24"/>
          <w:szCs w:val="24"/>
        </w:rPr>
        <w:t>举报邮箱：</w:t>
      </w:r>
      <w:r>
        <w:rPr>
          <w:rFonts w:ascii="宋体" w:hAnsi="宋体" w:eastAsia="宋体"/>
          <w:sz w:val="24"/>
          <w:szCs w:val="24"/>
        </w:rPr>
        <w:t>lianjie@crb.cn</w:t>
      </w:r>
      <w:r>
        <w:rPr>
          <w:rFonts w:hint="eastAsia" w:ascii="宋体" w:hAnsi="宋体" w:eastAsia="宋体"/>
          <w:sz w:val="24"/>
          <w:szCs w:val="24"/>
        </w:rPr>
        <w:t xml:space="preserve"> </w:t>
      </w:r>
    </w:p>
    <w:p w14:paraId="6301BF4A">
      <w:pPr>
        <w:spacing w:line="560" w:lineRule="exact"/>
        <w:ind w:firstLine="480" w:firstLineChars="200"/>
        <w:rPr>
          <w:rFonts w:ascii="宋体" w:hAnsi="宋体" w:eastAsia="宋体"/>
          <w:sz w:val="24"/>
          <w:szCs w:val="24"/>
        </w:rPr>
      </w:pPr>
    </w:p>
    <w:p w14:paraId="2AAF97F2">
      <w:pPr>
        <w:tabs>
          <w:tab w:val="left" w:pos="3075"/>
        </w:tabs>
        <w:spacing w:line="440" w:lineRule="exact"/>
        <w:ind w:firstLine="480" w:firstLineChars="200"/>
        <w:jc w:val="left"/>
      </w:pPr>
      <w:r>
        <w:rPr>
          <w:rFonts w:hint="eastAsia" w:ascii="宋体" w:hAnsi="宋体" w:eastAsia="宋体"/>
          <w:sz w:val="24"/>
          <w:szCs w:val="24"/>
        </w:rPr>
        <w:t>单位名称（盖章）：</w:t>
      </w:r>
    </w:p>
    <w:sectPr>
      <w:headerReference r:id="rId3" w:type="default"/>
      <w:footerReference r:id="rId4" w:type="default"/>
      <w:pgSz w:w="11906" w:h="16838"/>
      <w:pgMar w:top="1440" w:right="1803" w:bottom="1440" w:left="1803" w:header="851" w:footer="992" w:gutter="0"/>
      <w:cols w:space="0" w:num="1"/>
      <w:rtlGutter w:val="0"/>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MS Song">
    <w:altName w:val="宋体"/>
    <w:panose1 w:val="02010609030101010101"/>
    <w:charset w:val="86"/>
    <w:family w:val="auto"/>
    <w:pitch w:val="default"/>
    <w:sig w:usb0="00000000" w:usb1="00000000" w:usb2="00000000" w:usb3="00000000" w:csb0="00040000" w:csb1="00000000"/>
  </w:font>
  <w:font w:name="MS Gothic">
    <w:panose1 w:val="020B0609070205080204"/>
    <w:charset w:val="80"/>
    <w:family w:val="modern"/>
    <w:pitch w:val="default"/>
    <w:sig w:usb0="E00002FF" w:usb1="6AC7FDFB" w:usb2="08000012" w:usb3="00000000" w:csb0="4002009F" w:csb1="DFD70000"/>
  </w:font>
  <w:font w:name="Wingdings 2">
    <w:altName w:val="Wingdings"/>
    <w:panose1 w:val="05020102010507070707"/>
    <w:charset w:val="02"/>
    <w:family w:val="roman"/>
    <w:pitch w:val="default"/>
    <w:sig w:usb0="00000000" w:usb1="00000000" w:usb2="00000000" w:usb3="00000000" w:csb0="80000000"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6BEAC3">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11FECE">
    <w:pPr>
      <w:pStyle w:val="4"/>
    </w:pPr>
    <w:r>
      <w:rPr>
        <w:sz w:val="18"/>
      </w:rPr>
      <w:pict>
        <v:shape id="PowerPlusWaterMarkObject10064424" o:spid="_x0000_s4097" o:spt="136" type="#_x0000_t136" style="position:absolute;left:0pt;margin-left:424.4pt;margin-top:522.75pt;height:9pt;width:239pt;mso-position-horizontal-relative:margin;mso-position-vertical-relative:margin;rotation:-2949120f;z-index:-251639808;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9196005" o:spid="_x0000_s4098" o:spt="136" type="#_x0000_t136" style="position:absolute;left:0pt;margin-left:241.3pt;margin-top:705.9pt;height:9pt;width:239pt;mso-position-horizontal-relative:margin;mso-position-vertical-relative:margin;rotation:-2949120f;z-index:-251640832;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8363534" o:spid="_x0000_s4099" o:spt="136" type="#_x0000_t136" style="position:absolute;left:0pt;margin-left:424.4pt;margin-top:317.45pt;height:9pt;width:239pt;mso-position-horizontal-relative:margin;mso-position-vertical-relative:margin;rotation:-2949120f;z-index:-251641856;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7994120" o:spid="_x0000_s4100" o:spt="136" type="#_x0000_t136" style="position:absolute;left:0pt;margin-left:241.3pt;margin-top:500.6pt;height:9pt;width:239pt;mso-position-horizontal-relative:margin;mso-position-vertical-relative:margin;rotation:-2949120f;z-index:-251642880;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7357673" o:spid="_x0000_s4101" o:spt="136" type="#_x0000_t136" style="position:absolute;left:0pt;margin-left:58.15pt;margin-top:683.75pt;height:9pt;width:239pt;mso-position-horizontal-relative:margin;mso-position-vertical-relative:margin;rotation:-2949120f;z-index:-251643904;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6588606" o:spid="_x0000_s4102" o:spt="136" type="#_x0000_t136" style="position:absolute;left:0pt;margin-left:424.4pt;margin-top:112.15pt;height:9pt;width:239pt;mso-position-horizontal-relative:margin;mso-position-vertical-relative:margin;rotation:-2949120f;z-index:-251644928;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6031526" o:spid="_x0000_s4103" o:spt="136" type="#_x0000_t136" style="position:absolute;left:0pt;margin-left:241.3pt;margin-top:295.3pt;height:9pt;width:239pt;mso-position-horizontal-relative:margin;mso-position-vertical-relative:margin;rotation:-2949120f;z-index:-251645952;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5885982" o:spid="_x0000_s4104" o:spt="136" type="#_x0000_t136" style="position:absolute;left:0pt;margin-left:58.15pt;margin-top:478.4pt;height:9pt;width:239pt;mso-position-horizontal-relative:margin;mso-position-vertical-relative:margin;rotation:-2949120f;z-index:-251646976;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5720107" o:spid="_x0000_s4105" o:spt="136" type="#_x0000_t136" style="position:absolute;left:0pt;margin-left:-125pt;margin-top:661.55pt;height:9pt;width:239pt;mso-position-horizontal-relative:margin;mso-position-vertical-relative:margin;rotation:-2949120f;z-index:-251648000;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5046288" o:spid="_x0000_s4106" o:spt="136" type="#_x0000_t136" style="position:absolute;left:0pt;margin-left:424.4pt;margin-top:-93.2pt;height:9pt;width:239pt;mso-position-horizontal-relative:margin;mso-position-vertical-relative:margin;rotation:-2949120f;z-index:-251649024;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4086753" o:spid="_x0000_s4107" o:spt="136" type="#_x0000_t136" style="position:absolute;left:0pt;margin-left:241.3pt;margin-top:89.95pt;height:9pt;width:239pt;mso-position-horizontal-relative:margin;mso-position-vertical-relative:margin;rotation:-2949120f;z-index:-251650048;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3753581" o:spid="_x0000_s4108" o:spt="136" type="#_x0000_t136" style="position:absolute;left:0pt;margin-left:58.15pt;margin-top:273.1pt;height:9pt;width:239pt;mso-position-horizontal-relative:margin;mso-position-vertical-relative:margin;rotation:-2949120f;z-index:-251651072;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3144826" o:spid="_x0000_s4109" o:spt="136" type="#_x0000_t136" style="position:absolute;left:0pt;margin-left:-125pt;margin-top:456.25pt;height:9pt;width:239pt;mso-position-horizontal-relative:margin;mso-position-vertical-relative:margin;rotation:-2949120f;z-index:-251652096;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2885249" o:spid="_x0000_s4110" o:spt="136" type="#_x0000_t136" style="position:absolute;left:0pt;margin-left:241.3pt;margin-top:-115.35pt;height:9pt;width:239pt;mso-position-horizontal-relative:margin;mso-position-vertical-relative:margin;rotation:-2949120f;z-index:-251653120;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2466021" o:spid="_x0000_s4111" o:spt="136" type="#_x0000_t136" style="position:absolute;left:0pt;margin-left:58.15pt;margin-top:67.8pt;height:9pt;width:239pt;mso-position-horizontal-relative:margin;mso-position-vertical-relative:margin;rotation:-2949120f;z-index:-251654144;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1897362" o:spid="_x0000_s4112" o:spt="136" type="#_x0000_t136" style="position:absolute;left:0pt;margin-left:-125pt;margin-top:250.95pt;height:9pt;width:239pt;mso-position-horizontal-relative:margin;mso-position-vertical-relative:margin;rotation:-2949120f;z-index:-251655168;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1748796" o:spid="_x0000_s4113" o:spt="136" type="#_x0000_t136" style="position:absolute;left:0pt;margin-left:58.15pt;margin-top:-137.55pt;height:9pt;width:239pt;mso-position-horizontal-relative:margin;mso-position-vertical-relative:margin;rotation:-2949120f;z-index:-251656192;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r>
      <w:rPr>
        <w:sz w:val="18"/>
      </w:rPr>
      <w:pict>
        <v:shape id="PowerPlusWaterMarkObject982627" o:spid="_x0000_s4114" o:spt="136" type="#_x0000_t136" style="position:absolute;left:0pt;margin-left:-125pt;margin-top:45.6pt;height:9pt;width:239pt;mso-position-horizontal-relative:margin;mso-position-vertical-relative:margin;rotation:-2949120f;z-index:-251657216;mso-width-relative:page;mso-height-relative:page;" fillcolor="#D9D9D9" filled="t" stroked="f" coordsize="21600,21600" adj="10800">
          <v:path/>
          <v:fill on="t" opacity="39321f" focussize="0,0"/>
          <v:stroke on="f"/>
          <v:imagedata o:title=""/>
          <o:lock v:ext="edit" aspectratio="t"/>
          <v:textpath on="t" fitshape="t" fitpath="t" trim="t" xscale="f" string="华润雪花/华润雪花总部/生产中心/华北生产部/河北工厂/采购部 李岳 10:29:06" style="font-family:汉仪旗黑KW 55S;font-size:9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07D133"/>
    <w:multiLevelType w:val="multilevel"/>
    <w:tmpl w:val="9307D133"/>
    <w:lvl w:ilvl="0" w:tentative="0">
      <w:start w:val="1"/>
      <w:numFmt w:val="chineseCountingThousand"/>
      <w:suff w:val="nothing"/>
      <w:lvlText w:val="(%1)"/>
      <w:lvlJc w:val="left"/>
      <w:pPr>
        <w:ind w:left="1385" w:hanging="440"/>
      </w:pPr>
      <w:rPr>
        <w:rFonts w:hint="eastAsia" w:ascii="宋体" w:hAnsi="宋体" w:eastAsia="宋体" w:cs="宋体"/>
        <w:color w:val="auto"/>
        <w:sz w:val="24"/>
        <w:szCs w:val="24"/>
      </w:rPr>
    </w:lvl>
    <w:lvl w:ilvl="1" w:tentative="0">
      <w:start w:val="1"/>
      <w:numFmt w:val="lowerLetter"/>
      <w:lvlText w:val="%2)"/>
      <w:lvlJc w:val="left"/>
      <w:pPr>
        <w:ind w:left="1825" w:hanging="440"/>
      </w:pPr>
      <w:rPr>
        <w:rFonts w:hint="eastAsia"/>
      </w:rPr>
    </w:lvl>
    <w:lvl w:ilvl="2" w:tentative="0">
      <w:start w:val="1"/>
      <w:numFmt w:val="lowerRoman"/>
      <w:lvlText w:val="%3."/>
      <w:lvlJc w:val="right"/>
      <w:pPr>
        <w:ind w:left="2265" w:hanging="440"/>
      </w:pPr>
      <w:rPr>
        <w:rFonts w:hint="eastAsia"/>
      </w:rPr>
    </w:lvl>
    <w:lvl w:ilvl="3" w:tentative="0">
      <w:start w:val="1"/>
      <w:numFmt w:val="decimal"/>
      <w:lvlText w:val="%4."/>
      <w:lvlJc w:val="left"/>
      <w:pPr>
        <w:ind w:left="2705" w:hanging="440"/>
      </w:pPr>
      <w:rPr>
        <w:rFonts w:hint="eastAsia"/>
      </w:rPr>
    </w:lvl>
    <w:lvl w:ilvl="4" w:tentative="0">
      <w:start w:val="1"/>
      <w:numFmt w:val="lowerLetter"/>
      <w:lvlText w:val="%5)"/>
      <w:lvlJc w:val="left"/>
      <w:pPr>
        <w:ind w:left="3145" w:hanging="440"/>
      </w:pPr>
      <w:rPr>
        <w:rFonts w:hint="eastAsia"/>
      </w:rPr>
    </w:lvl>
    <w:lvl w:ilvl="5" w:tentative="0">
      <w:start w:val="1"/>
      <w:numFmt w:val="lowerRoman"/>
      <w:lvlText w:val="%6."/>
      <w:lvlJc w:val="right"/>
      <w:pPr>
        <w:ind w:left="3585" w:hanging="440"/>
      </w:pPr>
      <w:rPr>
        <w:rFonts w:hint="eastAsia"/>
      </w:rPr>
    </w:lvl>
    <w:lvl w:ilvl="6" w:tentative="0">
      <w:start w:val="1"/>
      <w:numFmt w:val="decimal"/>
      <w:lvlText w:val="%7."/>
      <w:lvlJc w:val="left"/>
      <w:pPr>
        <w:ind w:left="4025" w:hanging="440"/>
      </w:pPr>
      <w:rPr>
        <w:rFonts w:hint="eastAsia"/>
      </w:rPr>
    </w:lvl>
    <w:lvl w:ilvl="7" w:tentative="0">
      <w:start w:val="1"/>
      <w:numFmt w:val="lowerLetter"/>
      <w:lvlText w:val="%8)"/>
      <w:lvlJc w:val="left"/>
      <w:pPr>
        <w:ind w:left="4465" w:hanging="440"/>
      </w:pPr>
      <w:rPr>
        <w:rFonts w:hint="eastAsia"/>
      </w:rPr>
    </w:lvl>
    <w:lvl w:ilvl="8" w:tentative="0">
      <w:start w:val="1"/>
      <w:numFmt w:val="lowerRoman"/>
      <w:lvlText w:val="%9."/>
      <w:lvlJc w:val="right"/>
      <w:pPr>
        <w:ind w:left="4905" w:hanging="440"/>
      </w:pPr>
      <w:rPr>
        <w:rFonts w:hint="eastAsia"/>
      </w:rPr>
    </w:lvl>
  </w:abstractNum>
  <w:abstractNum w:abstractNumId="1">
    <w:nsid w:val="A7C7B059"/>
    <w:multiLevelType w:val="multilevel"/>
    <w:tmpl w:val="A7C7B059"/>
    <w:lvl w:ilvl="0" w:tentative="0">
      <w:start w:val="1"/>
      <w:numFmt w:val="chineseCounting"/>
      <w:suff w:val="nothing"/>
      <w:lvlText w:val="%1、"/>
      <w:lvlJc w:val="left"/>
      <w:rPr>
        <w:rFonts w:hint="default"/>
        <w:u w:val="none"/>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2">
    <w:nsid w:val="B0472923"/>
    <w:multiLevelType w:val="multilevel"/>
    <w:tmpl w:val="B0472923"/>
    <w:lvl w:ilvl="0" w:tentative="0">
      <w:start w:val="1"/>
      <w:numFmt w:val="chineseCountingThousand"/>
      <w:lvlText w:val="(%1)"/>
      <w:lvlJc w:val="left"/>
      <w:pPr>
        <w:ind w:left="900" w:hanging="420"/>
      </w:pPr>
      <w:rPr>
        <w:rFonts w:hint="eastAsia"/>
        <w:b w:val="0"/>
        <w:bCs w:val="0"/>
        <w:color w:val="000000" w:themeColor="text1"/>
        <w14:textFill>
          <w14:solidFill>
            <w14:schemeClr w14:val="tx1"/>
          </w14:solidFill>
        </w14:textFill>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3">
    <w:nsid w:val="C1990D5A"/>
    <w:multiLevelType w:val="singleLevel"/>
    <w:tmpl w:val="C1990D5A"/>
    <w:lvl w:ilvl="0" w:tentative="0">
      <w:start w:val="1"/>
      <w:numFmt w:val="decimal"/>
      <w:lvlText w:val="%1."/>
      <w:lvlJc w:val="left"/>
      <w:pPr>
        <w:tabs>
          <w:tab w:val="left" w:pos="312"/>
        </w:tabs>
      </w:pPr>
    </w:lvl>
  </w:abstractNum>
  <w:abstractNum w:abstractNumId="4">
    <w:nsid w:val="00000044"/>
    <w:multiLevelType w:val="multilevel"/>
    <w:tmpl w:val="00000044"/>
    <w:lvl w:ilvl="0" w:tentative="0">
      <w:start w:val="1"/>
      <w:numFmt w:val="decimal"/>
      <w:suff w:val="nothing"/>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5">
    <w:nsid w:val="02E94E7A"/>
    <w:multiLevelType w:val="multilevel"/>
    <w:tmpl w:val="02E94E7A"/>
    <w:lvl w:ilvl="0" w:tentative="0">
      <w:start w:val="1"/>
      <w:numFmt w:val="decimal"/>
      <w:lvlText w:val="1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6">
    <w:nsid w:val="03ED5B0E"/>
    <w:multiLevelType w:val="multilevel"/>
    <w:tmpl w:val="03ED5B0E"/>
    <w:lvl w:ilvl="0" w:tentative="0">
      <w:start w:val="1"/>
      <w:numFmt w:val="decimal"/>
      <w:lvlText w:val="1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7">
    <w:nsid w:val="0764306A"/>
    <w:multiLevelType w:val="multilevel"/>
    <w:tmpl w:val="0764306A"/>
    <w:lvl w:ilvl="0" w:tentative="0">
      <w:start w:val="1"/>
      <w:numFmt w:val="decimal"/>
      <w:lvlText w:val="2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07724BF7"/>
    <w:multiLevelType w:val="multilevel"/>
    <w:tmpl w:val="07724BF7"/>
    <w:lvl w:ilvl="0" w:tentative="0">
      <w:start w:val="1"/>
      <w:numFmt w:val="decimal"/>
      <w:lvlText w:val="1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9">
    <w:nsid w:val="088332BF"/>
    <w:multiLevelType w:val="multilevel"/>
    <w:tmpl w:val="088332BF"/>
    <w:lvl w:ilvl="0" w:tentative="0">
      <w:start w:val="1"/>
      <w:numFmt w:val="decimal"/>
      <w:lvlText w:val="%1."/>
      <w:lvlJc w:val="left"/>
      <w:pPr>
        <w:ind w:left="420" w:hanging="420"/>
      </w:pPr>
    </w:lvl>
    <w:lvl w:ilvl="1" w:tentative="0">
      <w:start w:val="1"/>
      <w:numFmt w:val="decimal"/>
      <w:lvlText w:val="（%2）"/>
      <w:lvlJc w:val="left"/>
      <w:pPr>
        <w:ind w:left="1140" w:hanging="720"/>
      </w:pPr>
      <w:rPr>
        <w:rFonts w:hint="default"/>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0">
    <w:nsid w:val="0C234050"/>
    <w:multiLevelType w:val="multilevel"/>
    <w:tmpl w:val="0C234050"/>
    <w:lvl w:ilvl="0" w:tentative="0">
      <w:start w:val="1"/>
      <w:numFmt w:val="decimal"/>
      <w:lvlText w:val="1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1">
    <w:nsid w:val="0FAB5377"/>
    <w:multiLevelType w:val="multilevel"/>
    <w:tmpl w:val="0FAB5377"/>
    <w:lvl w:ilvl="0" w:tentative="0">
      <w:start w:val="1"/>
      <w:numFmt w:val="decimal"/>
      <w:lvlText w:val="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10F83833"/>
    <w:multiLevelType w:val="multilevel"/>
    <w:tmpl w:val="10F83833"/>
    <w:lvl w:ilvl="0" w:tentative="0">
      <w:start w:val="1"/>
      <w:numFmt w:val="decimal"/>
      <w:lvlText w:val="1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3">
    <w:nsid w:val="1236648B"/>
    <w:multiLevelType w:val="multilevel"/>
    <w:tmpl w:val="1236648B"/>
    <w:lvl w:ilvl="0" w:tentative="0">
      <w:start w:val="1"/>
      <w:numFmt w:val="decimal"/>
      <w:lvlText w:val="2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4">
    <w:nsid w:val="13DC20B4"/>
    <w:multiLevelType w:val="multilevel"/>
    <w:tmpl w:val="13DC20B4"/>
    <w:lvl w:ilvl="0" w:tentative="0">
      <w:start w:val="1"/>
      <w:numFmt w:val="decimal"/>
      <w:lvlText w:val="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5">
    <w:nsid w:val="1B234FEF"/>
    <w:multiLevelType w:val="multilevel"/>
    <w:tmpl w:val="1B234FEF"/>
    <w:lvl w:ilvl="0" w:tentative="0">
      <w:start w:val="1"/>
      <w:numFmt w:val="decimal"/>
      <w:lvlText w:val="3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6">
    <w:nsid w:val="1D767533"/>
    <w:multiLevelType w:val="multilevel"/>
    <w:tmpl w:val="1D767533"/>
    <w:lvl w:ilvl="0" w:tentative="0">
      <w:start w:val="1"/>
      <w:numFmt w:val="decimal"/>
      <w:lvlText w:val="16.2.%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17">
    <w:nsid w:val="200773B2"/>
    <w:multiLevelType w:val="multilevel"/>
    <w:tmpl w:val="200773B2"/>
    <w:lvl w:ilvl="0" w:tentative="0">
      <w:start w:val="1"/>
      <w:numFmt w:val="chineseCountingThousand"/>
      <w:lvlText w:val="(%1)"/>
      <w:lvlJc w:val="left"/>
      <w:pPr>
        <w:ind w:left="980" w:hanging="420"/>
      </w:p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18">
    <w:nsid w:val="220B307B"/>
    <w:multiLevelType w:val="multilevel"/>
    <w:tmpl w:val="220B307B"/>
    <w:lvl w:ilvl="0" w:tentative="0">
      <w:start w:val="1"/>
      <w:numFmt w:val="decimal"/>
      <w:lvlText w:val="1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9">
    <w:nsid w:val="23523FD3"/>
    <w:multiLevelType w:val="multilevel"/>
    <w:tmpl w:val="23523FD3"/>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0">
    <w:nsid w:val="274E2263"/>
    <w:multiLevelType w:val="multilevel"/>
    <w:tmpl w:val="274E2263"/>
    <w:lvl w:ilvl="0" w:tentative="0">
      <w:start w:val="1"/>
      <w:numFmt w:val="decimal"/>
      <w:lvlText w:val="21.%1"/>
      <w:lvlJc w:val="left"/>
      <w:pPr>
        <w:ind w:left="2486" w:hanging="360"/>
      </w:pPr>
      <w:rPr>
        <w:rFonts w:hint="eastAsia"/>
        <w:b w:val="0"/>
      </w:rPr>
    </w:lvl>
    <w:lvl w:ilvl="1" w:tentative="0">
      <w:start w:val="1"/>
      <w:numFmt w:val="lowerLetter"/>
      <w:lvlText w:val="%2."/>
      <w:lvlJc w:val="left"/>
      <w:pPr>
        <w:ind w:left="3206" w:hanging="360"/>
      </w:pPr>
    </w:lvl>
    <w:lvl w:ilvl="2" w:tentative="0">
      <w:start w:val="1"/>
      <w:numFmt w:val="lowerRoman"/>
      <w:lvlText w:val="%3."/>
      <w:lvlJc w:val="right"/>
      <w:pPr>
        <w:ind w:left="3926" w:hanging="180"/>
      </w:pPr>
    </w:lvl>
    <w:lvl w:ilvl="3" w:tentative="0">
      <w:start w:val="1"/>
      <w:numFmt w:val="decimal"/>
      <w:lvlText w:val="%4."/>
      <w:lvlJc w:val="left"/>
      <w:pPr>
        <w:ind w:left="4646" w:hanging="360"/>
      </w:pPr>
    </w:lvl>
    <w:lvl w:ilvl="4" w:tentative="0">
      <w:start w:val="1"/>
      <w:numFmt w:val="lowerLetter"/>
      <w:lvlText w:val="%5."/>
      <w:lvlJc w:val="left"/>
      <w:pPr>
        <w:ind w:left="5366" w:hanging="360"/>
      </w:pPr>
    </w:lvl>
    <w:lvl w:ilvl="5" w:tentative="0">
      <w:start w:val="1"/>
      <w:numFmt w:val="lowerRoman"/>
      <w:lvlText w:val="%6."/>
      <w:lvlJc w:val="right"/>
      <w:pPr>
        <w:ind w:left="6086" w:hanging="180"/>
      </w:pPr>
    </w:lvl>
    <w:lvl w:ilvl="6" w:tentative="0">
      <w:start w:val="1"/>
      <w:numFmt w:val="decimal"/>
      <w:lvlText w:val="%7."/>
      <w:lvlJc w:val="left"/>
      <w:pPr>
        <w:ind w:left="6806" w:hanging="360"/>
      </w:pPr>
    </w:lvl>
    <w:lvl w:ilvl="7" w:tentative="0">
      <w:start w:val="1"/>
      <w:numFmt w:val="lowerLetter"/>
      <w:lvlText w:val="%8."/>
      <w:lvlJc w:val="left"/>
      <w:pPr>
        <w:ind w:left="7526" w:hanging="360"/>
      </w:pPr>
    </w:lvl>
    <w:lvl w:ilvl="8" w:tentative="0">
      <w:start w:val="1"/>
      <w:numFmt w:val="lowerRoman"/>
      <w:lvlText w:val="%9."/>
      <w:lvlJc w:val="right"/>
      <w:pPr>
        <w:ind w:left="8246" w:hanging="180"/>
      </w:pPr>
    </w:lvl>
  </w:abstractNum>
  <w:abstractNum w:abstractNumId="21">
    <w:nsid w:val="290C7A95"/>
    <w:multiLevelType w:val="multilevel"/>
    <w:tmpl w:val="290C7A95"/>
    <w:lvl w:ilvl="0" w:tentative="0">
      <w:start w:val="1"/>
      <w:numFmt w:val="decimal"/>
      <w:lvlText w:val="33.1.%1"/>
      <w:lvlJc w:val="left"/>
      <w:pPr>
        <w:ind w:left="1215" w:hanging="360"/>
      </w:pPr>
      <w:rPr>
        <w:rFonts w:hint="eastAsia"/>
        <w:b w:val="0"/>
      </w:rPr>
    </w:lvl>
    <w:lvl w:ilvl="1" w:tentative="0">
      <w:start w:val="1"/>
      <w:numFmt w:val="bullet"/>
      <w:lvlText w:val="o"/>
      <w:lvlJc w:val="left"/>
      <w:pPr>
        <w:ind w:left="1935" w:hanging="360"/>
      </w:pPr>
      <w:rPr>
        <w:rFonts w:hint="default" w:ascii="Courier New" w:hAnsi="Courier New" w:cs="Courier New"/>
      </w:rPr>
    </w:lvl>
    <w:lvl w:ilvl="2" w:tentative="0">
      <w:start w:val="1"/>
      <w:numFmt w:val="bullet"/>
      <w:lvlText w:val=""/>
      <w:lvlJc w:val="left"/>
      <w:pPr>
        <w:ind w:left="2655" w:hanging="360"/>
      </w:pPr>
      <w:rPr>
        <w:rFonts w:hint="default" w:ascii="Wingdings" w:hAnsi="Wingdings"/>
      </w:rPr>
    </w:lvl>
    <w:lvl w:ilvl="3" w:tentative="0">
      <w:start w:val="1"/>
      <w:numFmt w:val="bullet"/>
      <w:lvlText w:val=""/>
      <w:lvlJc w:val="left"/>
      <w:pPr>
        <w:ind w:left="3375" w:hanging="360"/>
      </w:pPr>
      <w:rPr>
        <w:rFonts w:hint="default" w:ascii="Symbol" w:hAnsi="Symbol"/>
      </w:rPr>
    </w:lvl>
    <w:lvl w:ilvl="4" w:tentative="0">
      <w:start w:val="1"/>
      <w:numFmt w:val="bullet"/>
      <w:lvlText w:val="o"/>
      <w:lvlJc w:val="left"/>
      <w:pPr>
        <w:ind w:left="4095" w:hanging="360"/>
      </w:pPr>
      <w:rPr>
        <w:rFonts w:hint="default" w:ascii="Courier New" w:hAnsi="Courier New" w:cs="Courier New"/>
      </w:rPr>
    </w:lvl>
    <w:lvl w:ilvl="5" w:tentative="0">
      <w:start w:val="1"/>
      <w:numFmt w:val="bullet"/>
      <w:lvlText w:val=""/>
      <w:lvlJc w:val="left"/>
      <w:pPr>
        <w:ind w:left="4815" w:hanging="360"/>
      </w:pPr>
      <w:rPr>
        <w:rFonts w:hint="default" w:ascii="Wingdings" w:hAnsi="Wingdings"/>
      </w:rPr>
    </w:lvl>
    <w:lvl w:ilvl="6" w:tentative="0">
      <w:start w:val="1"/>
      <w:numFmt w:val="bullet"/>
      <w:lvlText w:val=""/>
      <w:lvlJc w:val="left"/>
      <w:pPr>
        <w:ind w:left="5535" w:hanging="360"/>
      </w:pPr>
      <w:rPr>
        <w:rFonts w:hint="default" w:ascii="Symbol" w:hAnsi="Symbol"/>
      </w:rPr>
    </w:lvl>
    <w:lvl w:ilvl="7" w:tentative="0">
      <w:start w:val="1"/>
      <w:numFmt w:val="bullet"/>
      <w:lvlText w:val="o"/>
      <w:lvlJc w:val="left"/>
      <w:pPr>
        <w:ind w:left="6255" w:hanging="360"/>
      </w:pPr>
      <w:rPr>
        <w:rFonts w:hint="default" w:ascii="Courier New" w:hAnsi="Courier New" w:cs="Courier New"/>
      </w:rPr>
    </w:lvl>
    <w:lvl w:ilvl="8" w:tentative="0">
      <w:start w:val="1"/>
      <w:numFmt w:val="bullet"/>
      <w:lvlText w:val=""/>
      <w:lvlJc w:val="left"/>
      <w:pPr>
        <w:ind w:left="6975" w:hanging="360"/>
      </w:pPr>
      <w:rPr>
        <w:rFonts w:hint="default" w:ascii="Wingdings" w:hAnsi="Wingdings"/>
      </w:rPr>
    </w:lvl>
  </w:abstractNum>
  <w:abstractNum w:abstractNumId="22">
    <w:nsid w:val="2BD53AC9"/>
    <w:multiLevelType w:val="multilevel"/>
    <w:tmpl w:val="2BD53AC9"/>
    <w:lvl w:ilvl="0" w:tentative="0">
      <w:start w:val="1"/>
      <w:numFmt w:val="decimal"/>
      <w:lvlText w:val="2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3">
    <w:nsid w:val="2D740339"/>
    <w:multiLevelType w:val="multilevel"/>
    <w:tmpl w:val="2D740339"/>
    <w:lvl w:ilvl="0" w:tentative="0">
      <w:start w:val="1"/>
      <w:numFmt w:val="decimal"/>
      <w:lvlText w:val="3.%1"/>
      <w:lvlJc w:val="left"/>
      <w:pPr>
        <w:ind w:left="0" w:firstLine="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4">
    <w:nsid w:val="2FFD493F"/>
    <w:multiLevelType w:val="multilevel"/>
    <w:tmpl w:val="2FFD493F"/>
    <w:lvl w:ilvl="0" w:tentative="0">
      <w:start w:val="1"/>
      <w:numFmt w:val="decimal"/>
      <w:lvlText w:val="%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5">
    <w:nsid w:val="30F1495B"/>
    <w:multiLevelType w:val="multilevel"/>
    <w:tmpl w:val="30F1495B"/>
    <w:lvl w:ilvl="0" w:tentative="0">
      <w:start w:val="1"/>
      <w:numFmt w:val="decimal"/>
      <w:lvlText w:val="2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6">
    <w:nsid w:val="311A7B4A"/>
    <w:multiLevelType w:val="multilevel"/>
    <w:tmpl w:val="311A7B4A"/>
    <w:lvl w:ilvl="0" w:tentative="0">
      <w:start w:val="1"/>
      <w:numFmt w:val="decimal"/>
      <w:lvlText w:val="%1"/>
      <w:lvlJc w:val="left"/>
      <w:pPr>
        <w:ind w:left="425" w:hanging="425"/>
      </w:pPr>
      <w:rPr>
        <w:rFonts w:hint="eastAsia"/>
      </w:rPr>
    </w:lvl>
    <w:lvl w:ilvl="1" w:tentative="0">
      <w:start w:val="1"/>
      <w:numFmt w:val="decimal"/>
      <w:lvlText w:val="4.%2"/>
      <w:lvlJc w:val="left"/>
      <w:pPr>
        <w:ind w:left="5103" w:hanging="567"/>
      </w:pPr>
      <w:rPr>
        <w:rFonts w:hint="eastAsia"/>
      </w:rPr>
    </w:lvl>
    <w:lvl w:ilvl="2" w:tentative="0">
      <w:start w:val="1"/>
      <w:numFmt w:val="decimal"/>
      <w:lvlText w:val="%1.%2.%3"/>
      <w:lvlJc w:val="left"/>
      <w:pPr>
        <w:ind w:left="1418" w:hanging="567"/>
      </w:pPr>
      <w:rPr>
        <w:rFonts w:hint="eastAsia"/>
      </w:rPr>
    </w:lvl>
    <w:lvl w:ilvl="3" w:tentative="0">
      <w:start w:val="1"/>
      <w:numFmt w:val="decimal"/>
      <w:lvlText w:val="%1.%2.%3.%4"/>
      <w:lvlJc w:val="left"/>
      <w:pPr>
        <w:ind w:left="1984" w:hanging="708"/>
      </w:pPr>
      <w:rPr>
        <w:rFonts w:hint="eastAsia"/>
      </w:rPr>
    </w:lvl>
    <w:lvl w:ilvl="4" w:tentative="0">
      <w:start w:val="1"/>
      <w:numFmt w:val="decimal"/>
      <w:lvlText w:val="%1.%2.%3.%4.%5"/>
      <w:lvlJc w:val="left"/>
      <w:pPr>
        <w:ind w:left="2551" w:hanging="850"/>
      </w:pPr>
      <w:rPr>
        <w:rFonts w:hint="eastAsia"/>
      </w:rPr>
    </w:lvl>
    <w:lvl w:ilvl="5" w:tentative="0">
      <w:start w:val="1"/>
      <w:numFmt w:val="decimal"/>
      <w:lvlText w:val="%1.%2.%3.%4.%5.%6"/>
      <w:lvlJc w:val="left"/>
      <w:pPr>
        <w:ind w:left="3260" w:hanging="1134"/>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27">
    <w:nsid w:val="31C762CC"/>
    <w:multiLevelType w:val="multilevel"/>
    <w:tmpl w:val="31C762CC"/>
    <w:lvl w:ilvl="0" w:tentative="0">
      <w:start w:val="1"/>
      <w:numFmt w:val="decimal"/>
      <w:lvlText w:val="2.%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8">
    <w:nsid w:val="31F95F0F"/>
    <w:multiLevelType w:val="multilevel"/>
    <w:tmpl w:val="31F95F0F"/>
    <w:lvl w:ilvl="0" w:tentative="0">
      <w:start w:val="1"/>
      <w:numFmt w:val="decimal"/>
      <w:lvlText w:val="8.%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9">
    <w:nsid w:val="3564755D"/>
    <w:multiLevelType w:val="multilevel"/>
    <w:tmpl w:val="3564755D"/>
    <w:lvl w:ilvl="0" w:tentative="0">
      <w:start w:val="1"/>
      <w:numFmt w:val="decimal"/>
      <w:lvlText w:val="2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0">
    <w:nsid w:val="35F047BC"/>
    <w:multiLevelType w:val="singleLevel"/>
    <w:tmpl w:val="35F047BC"/>
    <w:lvl w:ilvl="0" w:tentative="0">
      <w:start w:val="1"/>
      <w:numFmt w:val="decimal"/>
      <w:lvlText w:val="%1."/>
      <w:lvlJc w:val="left"/>
      <w:pPr>
        <w:tabs>
          <w:tab w:val="left" w:pos="312"/>
        </w:tabs>
      </w:pPr>
    </w:lvl>
  </w:abstractNum>
  <w:abstractNum w:abstractNumId="31">
    <w:nsid w:val="36760182"/>
    <w:multiLevelType w:val="multilevel"/>
    <w:tmpl w:val="3676018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3BBE2FDD"/>
    <w:multiLevelType w:val="multilevel"/>
    <w:tmpl w:val="3BBE2FDD"/>
    <w:lvl w:ilvl="0" w:tentative="0">
      <w:start w:val="1"/>
      <w:numFmt w:val="decimal"/>
      <w:lvlText w:val="22.%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3">
    <w:nsid w:val="40205280"/>
    <w:multiLevelType w:val="multilevel"/>
    <w:tmpl w:val="40205280"/>
    <w:lvl w:ilvl="0" w:tentative="0">
      <w:start w:val="1"/>
      <w:numFmt w:val="japaneseCounting"/>
      <w:lvlText w:val="（%1）"/>
      <w:lvlJc w:val="left"/>
      <w:pPr>
        <w:ind w:left="980" w:hanging="420"/>
      </w:pPr>
      <w:rPr>
        <w:rFonts w:hint="default"/>
      </w:rPr>
    </w:lvl>
    <w:lvl w:ilvl="1" w:tentative="0">
      <w:start w:val="1"/>
      <w:numFmt w:val="lowerLetter"/>
      <w:lvlText w:val="%2)"/>
      <w:lvlJc w:val="left"/>
      <w:pPr>
        <w:ind w:left="1400" w:hanging="420"/>
      </w:pPr>
    </w:lvl>
    <w:lvl w:ilvl="2" w:tentative="0">
      <w:start w:val="1"/>
      <w:numFmt w:val="lowerRoman"/>
      <w:lvlText w:val="%3."/>
      <w:lvlJc w:val="right"/>
      <w:pPr>
        <w:ind w:left="1820" w:hanging="420"/>
      </w:pPr>
    </w:lvl>
    <w:lvl w:ilvl="3" w:tentative="0">
      <w:start w:val="1"/>
      <w:numFmt w:val="decimal"/>
      <w:lvlText w:val="%4."/>
      <w:lvlJc w:val="left"/>
      <w:pPr>
        <w:ind w:left="2240" w:hanging="420"/>
      </w:pPr>
    </w:lvl>
    <w:lvl w:ilvl="4" w:tentative="0">
      <w:start w:val="1"/>
      <w:numFmt w:val="lowerLetter"/>
      <w:lvlText w:val="%5)"/>
      <w:lvlJc w:val="left"/>
      <w:pPr>
        <w:ind w:left="2660" w:hanging="420"/>
      </w:pPr>
    </w:lvl>
    <w:lvl w:ilvl="5" w:tentative="0">
      <w:start w:val="1"/>
      <w:numFmt w:val="lowerRoman"/>
      <w:lvlText w:val="%6."/>
      <w:lvlJc w:val="right"/>
      <w:pPr>
        <w:ind w:left="3080" w:hanging="420"/>
      </w:pPr>
    </w:lvl>
    <w:lvl w:ilvl="6" w:tentative="0">
      <w:start w:val="1"/>
      <w:numFmt w:val="decimal"/>
      <w:lvlText w:val="%7."/>
      <w:lvlJc w:val="left"/>
      <w:pPr>
        <w:ind w:left="3500" w:hanging="420"/>
      </w:pPr>
    </w:lvl>
    <w:lvl w:ilvl="7" w:tentative="0">
      <w:start w:val="1"/>
      <w:numFmt w:val="lowerLetter"/>
      <w:lvlText w:val="%8)"/>
      <w:lvlJc w:val="left"/>
      <w:pPr>
        <w:ind w:left="3920" w:hanging="420"/>
      </w:pPr>
    </w:lvl>
    <w:lvl w:ilvl="8" w:tentative="0">
      <w:start w:val="1"/>
      <w:numFmt w:val="lowerRoman"/>
      <w:lvlText w:val="%9."/>
      <w:lvlJc w:val="right"/>
      <w:pPr>
        <w:ind w:left="4340" w:hanging="420"/>
      </w:pPr>
    </w:lvl>
  </w:abstractNum>
  <w:abstractNum w:abstractNumId="34">
    <w:nsid w:val="405C4D66"/>
    <w:multiLevelType w:val="multilevel"/>
    <w:tmpl w:val="405C4D66"/>
    <w:lvl w:ilvl="0" w:tentative="0">
      <w:start w:val="1"/>
      <w:numFmt w:val="decimal"/>
      <w:lvlText w:val="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5">
    <w:nsid w:val="45DA10BF"/>
    <w:multiLevelType w:val="multilevel"/>
    <w:tmpl w:val="45DA10BF"/>
    <w:lvl w:ilvl="0" w:tentative="0">
      <w:start w:val="1"/>
      <w:numFmt w:val="decimal"/>
      <w:lvlText w:val="15.2.%1"/>
      <w:lvlJc w:val="left"/>
      <w:pPr>
        <w:ind w:left="2346" w:hanging="360"/>
      </w:pPr>
      <w:rPr>
        <w:rFonts w:hint="eastAsia"/>
        <w:b w:val="0"/>
      </w:rPr>
    </w:lvl>
    <w:lvl w:ilvl="1" w:tentative="0">
      <w:start w:val="1"/>
      <w:numFmt w:val="bullet"/>
      <w:lvlText w:val="o"/>
      <w:lvlJc w:val="left"/>
      <w:pPr>
        <w:ind w:left="3066" w:hanging="360"/>
      </w:pPr>
      <w:rPr>
        <w:rFonts w:hint="default" w:ascii="Courier New" w:hAnsi="Courier New" w:cs="Courier New"/>
      </w:rPr>
    </w:lvl>
    <w:lvl w:ilvl="2" w:tentative="0">
      <w:start w:val="1"/>
      <w:numFmt w:val="bullet"/>
      <w:lvlText w:val=""/>
      <w:lvlJc w:val="left"/>
      <w:pPr>
        <w:ind w:left="3786" w:hanging="360"/>
      </w:pPr>
      <w:rPr>
        <w:rFonts w:hint="default" w:ascii="Wingdings" w:hAnsi="Wingdings"/>
      </w:rPr>
    </w:lvl>
    <w:lvl w:ilvl="3" w:tentative="0">
      <w:start w:val="1"/>
      <w:numFmt w:val="bullet"/>
      <w:lvlText w:val=""/>
      <w:lvlJc w:val="left"/>
      <w:pPr>
        <w:ind w:left="4506" w:hanging="360"/>
      </w:pPr>
      <w:rPr>
        <w:rFonts w:hint="default" w:ascii="Symbol" w:hAnsi="Symbol"/>
      </w:rPr>
    </w:lvl>
    <w:lvl w:ilvl="4" w:tentative="0">
      <w:start w:val="1"/>
      <w:numFmt w:val="bullet"/>
      <w:lvlText w:val="o"/>
      <w:lvlJc w:val="left"/>
      <w:pPr>
        <w:ind w:left="5226" w:hanging="360"/>
      </w:pPr>
      <w:rPr>
        <w:rFonts w:hint="default" w:ascii="Courier New" w:hAnsi="Courier New" w:cs="Courier New"/>
      </w:rPr>
    </w:lvl>
    <w:lvl w:ilvl="5" w:tentative="0">
      <w:start w:val="1"/>
      <w:numFmt w:val="bullet"/>
      <w:lvlText w:val=""/>
      <w:lvlJc w:val="left"/>
      <w:pPr>
        <w:ind w:left="5946" w:hanging="360"/>
      </w:pPr>
      <w:rPr>
        <w:rFonts w:hint="default" w:ascii="Wingdings" w:hAnsi="Wingdings"/>
      </w:rPr>
    </w:lvl>
    <w:lvl w:ilvl="6" w:tentative="0">
      <w:start w:val="1"/>
      <w:numFmt w:val="bullet"/>
      <w:lvlText w:val=""/>
      <w:lvlJc w:val="left"/>
      <w:pPr>
        <w:ind w:left="6666" w:hanging="360"/>
      </w:pPr>
      <w:rPr>
        <w:rFonts w:hint="default" w:ascii="Symbol" w:hAnsi="Symbol"/>
      </w:rPr>
    </w:lvl>
    <w:lvl w:ilvl="7" w:tentative="0">
      <w:start w:val="1"/>
      <w:numFmt w:val="bullet"/>
      <w:lvlText w:val="o"/>
      <w:lvlJc w:val="left"/>
      <w:pPr>
        <w:ind w:left="7386" w:hanging="360"/>
      </w:pPr>
      <w:rPr>
        <w:rFonts w:hint="default" w:ascii="Courier New" w:hAnsi="Courier New" w:cs="Courier New"/>
      </w:rPr>
    </w:lvl>
    <w:lvl w:ilvl="8" w:tentative="0">
      <w:start w:val="1"/>
      <w:numFmt w:val="bullet"/>
      <w:lvlText w:val=""/>
      <w:lvlJc w:val="left"/>
      <w:pPr>
        <w:ind w:left="8106" w:hanging="360"/>
      </w:pPr>
      <w:rPr>
        <w:rFonts w:hint="default" w:ascii="Wingdings" w:hAnsi="Wingdings"/>
      </w:rPr>
    </w:lvl>
  </w:abstractNum>
  <w:abstractNum w:abstractNumId="36">
    <w:nsid w:val="49051B0C"/>
    <w:multiLevelType w:val="multilevel"/>
    <w:tmpl w:val="49051B0C"/>
    <w:lvl w:ilvl="0" w:tentative="0">
      <w:start w:val="1"/>
      <w:numFmt w:val="decimal"/>
      <w:lvlText w:val="17.%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7">
    <w:nsid w:val="4A4E4A4E"/>
    <w:multiLevelType w:val="multilevel"/>
    <w:tmpl w:val="4A4E4A4E"/>
    <w:lvl w:ilvl="0" w:tentative="0">
      <w:start w:val="1"/>
      <w:numFmt w:val="decimal"/>
      <w:lvlText w:val="（%1）"/>
      <w:lvlJc w:val="left"/>
      <w:pPr>
        <w:ind w:left="420" w:hanging="420"/>
      </w:pPr>
      <w:rPr>
        <w:rFonts w:hint="eastAsia"/>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8">
    <w:nsid w:val="4B2E72FA"/>
    <w:multiLevelType w:val="multilevel"/>
    <w:tmpl w:val="4B2E72FA"/>
    <w:lvl w:ilvl="0" w:tentative="0">
      <w:start w:val="1"/>
      <w:numFmt w:val="decimal"/>
      <w:lvlText w:val="33.%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39">
    <w:nsid w:val="540E529C"/>
    <w:multiLevelType w:val="multilevel"/>
    <w:tmpl w:val="540E529C"/>
    <w:lvl w:ilvl="0" w:tentative="0">
      <w:start w:val="1"/>
      <w:numFmt w:val="decimal"/>
      <w:suff w:val="space"/>
      <w:lvlText w:val="1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0">
    <w:nsid w:val="5BF8156B"/>
    <w:multiLevelType w:val="multilevel"/>
    <w:tmpl w:val="5BF8156B"/>
    <w:lvl w:ilvl="0" w:tentative="0">
      <w:start w:val="1"/>
      <w:numFmt w:val="decimal"/>
      <w:lvlText w:val="19.%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1">
    <w:nsid w:val="5C24279D"/>
    <w:multiLevelType w:val="multilevel"/>
    <w:tmpl w:val="5C24279D"/>
    <w:lvl w:ilvl="0" w:tentative="0">
      <w:start w:val="1"/>
      <w:numFmt w:val="decimal"/>
      <w:lvlText w:val="25.%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2">
    <w:nsid w:val="5E3A48CD"/>
    <w:multiLevelType w:val="multilevel"/>
    <w:tmpl w:val="5E3A48CD"/>
    <w:lvl w:ilvl="0" w:tentative="0">
      <w:start w:val="1"/>
      <w:numFmt w:val="chineseCountingThousand"/>
      <w:lvlText w:val="(%1)"/>
      <w:lvlJc w:val="left"/>
      <w:pPr>
        <w:ind w:left="420" w:hanging="420"/>
      </w:pPr>
    </w:lvl>
    <w:lvl w:ilvl="1" w:tentative="0">
      <w:start w:val="1"/>
      <w:numFmt w:val="chineseCountingThousand"/>
      <w:suff w:val="nothing"/>
      <w:lvlText w:val="(%2)"/>
      <w:lvlJc w:val="left"/>
      <w:pPr>
        <w:ind w:left="902" w:hanging="420"/>
      </w:pPr>
      <w:rPr>
        <w:rFonts w:hint="eastAsia"/>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3">
    <w:nsid w:val="6AB85F94"/>
    <w:multiLevelType w:val="multilevel"/>
    <w:tmpl w:val="6AB85F94"/>
    <w:lvl w:ilvl="0" w:tentative="0">
      <w:start w:val="1"/>
      <w:numFmt w:val="decimal"/>
      <w:lvlText w:val="1.%1"/>
      <w:lvlJc w:val="left"/>
      <w:pPr>
        <w:ind w:left="644" w:hanging="36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4">
    <w:nsid w:val="6C6E0EEC"/>
    <w:multiLevelType w:val="multilevel"/>
    <w:tmpl w:val="6C6E0EEC"/>
    <w:lvl w:ilvl="0" w:tentative="0">
      <w:start w:val="1"/>
      <w:numFmt w:val="decimal"/>
      <w:lvlText w:val="6.%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5">
    <w:nsid w:val="71837A13"/>
    <w:multiLevelType w:val="multilevel"/>
    <w:tmpl w:val="71837A13"/>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6">
    <w:nsid w:val="72F148E9"/>
    <w:multiLevelType w:val="multilevel"/>
    <w:tmpl w:val="72F148E9"/>
    <w:lvl w:ilvl="0" w:tentative="0">
      <w:start w:val="1"/>
      <w:numFmt w:val="decimal"/>
      <w:lvlText w:val="4.%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47">
    <w:nsid w:val="7627188E"/>
    <w:multiLevelType w:val="multilevel"/>
    <w:tmpl w:val="7627188E"/>
    <w:lvl w:ilvl="0" w:tentative="0">
      <w:start w:val="1"/>
      <w:numFmt w:val="decimal"/>
      <w:lvlText w:val="29.%1"/>
      <w:lvlJc w:val="left"/>
      <w:pPr>
        <w:ind w:left="786" w:hanging="360"/>
      </w:pPr>
      <w:rPr>
        <w:rFonts w:hint="eastAsia"/>
        <w:b w:val="0"/>
      </w:rPr>
    </w:lvl>
    <w:lvl w:ilvl="1" w:tentative="0">
      <w:start w:val="1"/>
      <w:numFmt w:val="lowerLetter"/>
      <w:lvlText w:val="%2."/>
      <w:lvlJc w:val="left"/>
      <w:pPr>
        <w:ind w:left="1506" w:hanging="360"/>
      </w:pPr>
    </w:lvl>
    <w:lvl w:ilvl="2" w:tentative="0">
      <w:start w:val="1"/>
      <w:numFmt w:val="lowerRoman"/>
      <w:lvlText w:val="%3."/>
      <w:lvlJc w:val="right"/>
      <w:pPr>
        <w:ind w:left="2226" w:hanging="180"/>
      </w:pPr>
    </w:lvl>
    <w:lvl w:ilvl="3" w:tentative="0">
      <w:start w:val="1"/>
      <w:numFmt w:val="decimal"/>
      <w:lvlText w:val="%4."/>
      <w:lvlJc w:val="left"/>
      <w:pPr>
        <w:ind w:left="2946" w:hanging="360"/>
      </w:pPr>
    </w:lvl>
    <w:lvl w:ilvl="4" w:tentative="0">
      <w:start w:val="1"/>
      <w:numFmt w:val="lowerLetter"/>
      <w:lvlText w:val="%5."/>
      <w:lvlJc w:val="left"/>
      <w:pPr>
        <w:ind w:left="3666" w:hanging="360"/>
      </w:pPr>
    </w:lvl>
    <w:lvl w:ilvl="5" w:tentative="0">
      <w:start w:val="1"/>
      <w:numFmt w:val="lowerRoman"/>
      <w:lvlText w:val="%6."/>
      <w:lvlJc w:val="right"/>
      <w:pPr>
        <w:ind w:left="4386" w:hanging="180"/>
      </w:pPr>
    </w:lvl>
    <w:lvl w:ilvl="6" w:tentative="0">
      <w:start w:val="1"/>
      <w:numFmt w:val="decimal"/>
      <w:lvlText w:val="%7."/>
      <w:lvlJc w:val="left"/>
      <w:pPr>
        <w:ind w:left="5106" w:hanging="360"/>
      </w:pPr>
    </w:lvl>
    <w:lvl w:ilvl="7" w:tentative="0">
      <w:start w:val="1"/>
      <w:numFmt w:val="lowerLetter"/>
      <w:lvlText w:val="%8."/>
      <w:lvlJc w:val="left"/>
      <w:pPr>
        <w:ind w:left="5826" w:hanging="360"/>
      </w:pPr>
    </w:lvl>
    <w:lvl w:ilvl="8" w:tentative="0">
      <w:start w:val="1"/>
      <w:numFmt w:val="lowerRoman"/>
      <w:lvlText w:val="%9."/>
      <w:lvlJc w:val="right"/>
      <w:pPr>
        <w:ind w:left="6546" w:hanging="180"/>
      </w:pPr>
    </w:lvl>
  </w:abstractNum>
  <w:abstractNum w:abstractNumId="48">
    <w:nsid w:val="793423B7"/>
    <w:multiLevelType w:val="multilevel"/>
    <w:tmpl w:val="793423B7"/>
    <w:lvl w:ilvl="0" w:tentative="0">
      <w:start w:val="1"/>
      <w:numFmt w:val="decimal"/>
      <w:lvlText w:val="%1."/>
      <w:lvlJc w:val="left"/>
      <w:pPr>
        <w:ind w:left="420" w:hanging="420"/>
      </w:pPr>
      <w:rPr>
        <w:rFonts w:hint="default"/>
        <w:color w:val="auto"/>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49">
    <w:nsid w:val="7AD220A8"/>
    <w:multiLevelType w:val="multilevel"/>
    <w:tmpl w:val="7AD220A8"/>
    <w:lvl w:ilvl="0" w:tentative="0">
      <w:start w:val="1"/>
      <w:numFmt w:val="decimal"/>
      <w:lvlText w:val="11.%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0">
    <w:nsid w:val="7BB35608"/>
    <w:multiLevelType w:val="multilevel"/>
    <w:tmpl w:val="7BB35608"/>
    <w:lvl w:ilvl="0" w:tentative="0">
      <w:start w:val="1"/>
      <w:numFmt w:val="decimal"/>
      <w:lvlText w:val="30.%1"/>
      <w:lvlJc w:val="left"/>
      <w:pPr>
        <w:ind w:left="720" w:hanging="360"/>
      </w:pPr>
      <w:rPr>
        <w:rFonts w:hint="eastAsia"/>
        <w:b w:val="0"/>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51">
    <w:nsid w:val="7BB825B7"/>
    <w:multiLevelType w:val="multilevel"/>
    <w:tmpl w:val="7BB825B7"/>
    <w:lvl w:ilvl="0" w:tentative="0">
      <w:start w:val="1"/>
      <w:numFmt w:val="japaneseCounting"/>
      <w:lvlText w:val="（%1）"/>
      <w:lvlJc w:val="left"/>
      <w:pPr>
        <w:ind w:left="1200" w:hanging="72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2">
    <w:nsid w:val="7F652801"/>
    <w:multiLevelType w:val="multilevel"/>
    <w:tmpl w:val="7F652801"/>
    <w:lvl w:ilvl="0" w:tentative="0">
      <w:start w:val="1"/>
      <w:numFmt w:val="decimal"/>
      <w:lvlText w:val="%1."/>
      <w:lvlJc w:val="left"/>
      <w:pPr>
        <w:ind w:left="425" w:hanging="425"/>
      </w:pPr>
    </w:lvl>
    <w:lvl w:ilvl="1" w:tentative="0">
      <w:start w:val="1"/>
      <w:numFmt w:val="decimal"/>
      <w:lvlText w:val="%1.%2."/>
      <w:lvlJc w:val="left"/>
      <w:pPr>
        <w:ind w:left="567" w:hanging="567"/>
      </w:pPr>
    </w:lvl>
    <w:lvl w:ilvl="2" w:tentative="0">
      <w:start w:val="1"/>
      <w:numFmt w:val="decimal"/>
      <w:lvlText w:val="（%3）"/>
      <w:lvlJc w:val="left"/>
      <w:pPr>
        <w:ind w:left="709" w:hanging="709"/>
      </w:pPr>
      <w:rPr>
        <w:rFonts w:hint="default"/>
      </w:rPr>
    </w:lvl>
    <w:lvl w:ilvl="3" w:tentative="0">
      <w:start w:val="1"/>
      <w:numFmt w:val="decimal"/>
      <w:lvlText w:val="%1.%2.%3.%4."/>
      <w:lvlJc w:val="left"/>
      <w:pPr>
        <w:ind w:left="851" w:hanging="851"/>
      </w:pPr>
    </w:lvl>
    <w:lvl w:ilvl="4" w:tentative="0">
      <w:start w:val="1"/>
      <w:numFmt w:val="decimal"/>
      <w:lvlText w:val="%1.%2.%3.%4.%5."/>
      <w:lvlJc w:val="left"/>
      <w:pPr>
        <w:ind w:left="992" w:hanging="992"/>
      </w:pPr>
    </w:lvl>
    <w:lvl w:ilvl="5" w:tentative="0">
      <w:start w:val="1"/>
      <w:numFmt w:val="decimal"/>
      <w:lvlText w:val="%1.%2.%3.%4.%5.%6."/>
      <w:lvlJc w:val="left"/>
      <w:pPr>
        <w:ind w:left="1134" w:hanging="1134"/>
      </w:pPr>
    </w:lvl>
    <w:lvl w:ilvl="6" w:tentative="0">
      <w:start w:val="1"/>
      <w:numFmt w:val="decimal"/>
      <w:lvlText w:val="%1.%2.%3.%4.%5.%6.%7."/>
      <w:lvlJc w:val="left"/>
      <w:pPr>
        <w:ind w:left="1276" w:hanging="1276"/>
      </w:pPr>
    </w:lvl>
    <w:lvl w:ilvl="7" w:tentative="0">
      <w:start w:val="1"/>
      <w:numFmt w:val="decimal"/>
      <w:lvlText w:val="%1.%2.%3.%4.%5.%6.%7.%8."/>
      <w:lvlJc w:val="left"/>
      <w:pPr>
        <w:ind w:left="1418" w:hanging="1418"/>
      </w:pPr>
    </w:lvl>
    <w:lvl w:ilvl="8" w:tentative="0">
      <w:start w:val="1"/>
      <w:numFmt w:val="decimal"/>
      <w:lvlText w:val="%1.%2.%3.%4.%5.%6.%7.%8.%9."/>
      <w:lvlJc w:val="left"/>
      <w:pPr>
        <w:ind w:left="1559" w:hanging="1559"/>
      </w:pPr>
    </w:lvl>
  </w:abstractNum>
  <w:num w:numId="1">
    <w:abstractNumId w:val="30"/>
  </w:num>
  <w:num w:numId="2">
    <w:abstractNumId w:val="9"/>
  </w:num>
  <w:num w:numId="3">
    <w:abstractNumId w:val="0"/>
  </w:num>
  <w:num w:numId="4">
    <w:abstractNumId w:val="37"/>
  </w:num>
  <w:num w:numId="5">
    <w:abstractNumId w:val="17"/>
  </w:num>
  <w:num w:numId="6">
    <w:abstractNumId w:val="31"/>
  </w:num>
  <w:num w:numId="7">
    <w:abstractNumId w:val="45"/>
  </w:num>
  <w:num w:numId="8">
    <w:abstractNumId w:val="48"/>
  </w:num>
  <w:num w:numId="9">
    <w:abstractNumId w:val="19"/>
  </w:num>
  <w:num w:numId="10">
    <w:abstractNumId w:val="2"/>
  </w:num>
  <w:num w:numId="11">
    <w:abstractNumId w:val="3"/>
  </w:num>
  <w:num w:numId="12">
    <w:abstractNumId w:val="33"/>
  </w:num>
  <w:num w:numId="13">
    <w:abstractNumId w:val="52"/>
  </w:num>
  <w:num w:numId="14">
    <w:abstractNumId w:val="26"/>
  </w:num>
  <w:num w:numId="15">
    <w:abstractNumId w:val="1"/>
  </w:num>
  <w:num w:numId="16">
    <w:abstractNumId w:val="24"/>
  </w:num>
  <w:num w:numId="17">
    <w:abstractNumId w:val="43"/>
  </w:num>
  <w:num w:numId="18">
    <w:abstractNumId w:val="27"/>
  </w:num>
  <w:num w:numId="19">
    <w:abstractNumId w:val="23"/>
  </w:num>
  <w:num w:numId="20">
    <w:abstractNumId w:val="46"/>
  </w:num>
  <w:num w:numId="21">
    <w:abstractNumId w:val="34"/>
  </w:num>
  <w:num w:numId="22">
    <w:abstractNumId w:val="44"/>
  </w:num>
  <w:num w:numId="23">
    <w:abstractNumId w:val="11"/>
  </w:num>
  <w:num w:numId="24">
    <w:abstractNumId w:val="28"/>
  </w:num>
  <w:num w:numId="25">
    <w:abstractNumId w:val="14"/>
  </w:num>
  <w:num w:numId="26">
    <w:abstractNumId w:val="39"/>
  </w:num>
  <w:num w:numId="27">
    <w:abstractNumId w:val="49"/>
  </w:num>
  <w:num w:numId="28">
    <w:abstractNumId w:val="8"/>
  </w:num>
  <w:num w:numId="29">
    <w:abstractNumId w:val="5"/>
  </w:num>
  <w:num w:numId="30">
    <w:abstractNumId w:val="18"/>
  </w:num>
  <w:num w:numId="31">
    <w:abstractNumId w:val="10"/>
  </w:num>
  <w:num w:numId="32">
    <w:abstractNumId w:val="35"/>
  </w:num>
  <w:num w:numId="33">
    <w:abstractNumId w:val="6"/>
  </w:num>
  <w:num w:numId="34">
    <w:abstractNumId w:val="16"/>
  </w:num>
  <w:num w:numId="35">
    <w:abstractNumId w:val="36"/>
  </w:num>
  <w:num w:numId="36">
    <w:abstractNumId w:val="12"/>
  </w:num>
  <w:num w:numId="37">
    <w:abstractNumId w:val="40"/>
  </w:num>
  <w:num w:numId="38">
    <w:abstractNumId w:val="25"/>
  </w:num>
  <w:num w:numId="39">
    <w:abstractNumId w:val="20"/>
  </w:num>
  <w:num w:numId="40">
    <w:abstractNumId w:val="32"/>
  </w:num>
  <w:num w:numId="41">
    <w:abstractNumId w:val="29"/>
  </w:num>
  <w:num w:numId="42">
    <w:abstractNumId w:val="22"/>
  </w:num>
  <w:num w:numId="43">
    <w:abstractNumId w:val="41"/>
  </w:num>
  <w:num w:numId="44">
    <w:abstractNumId w:val="13"/>
  </w:num>
  <w:num w:numId="45">
    <w:abstractNumId w:val="7"/>
  </w:num>
  <w:num w:numId="46">
    <w:abstractNumId w:val="47"/>
  </w:num>
  <w:num w:numId="47">
    <w:abstractNumId w:val="50"/>
  </w:num>
  <w:num w:numId="48">
    <w:abstractNumId w:val="15"/>
  </w:num>
  <w:num w:numId="49">
    <w:abstractNumId w:val="38"/>
  </w:num>
  <w:num w:numId="50">
    <w:abstractNumId w:val="21"/>
  </w:num>
  <w:num w:numId="51">
    <w:abstractNumId w:val="51"/>
  </w:num>
  <w:num w:numId="52">
    <w:abstractNumId w:val="42"/>
  </w:num>
  <w:num w:numId="5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382640"/>
    <w:rsid w:val="47DF4D84"/>
    <w:rsid w:val="4D50779A"/>
    <w:rsid w:val="5B38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3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等线" w:hAnsi="等线" w:eastAsia="宋体" w:cs="Times New Roman"/>
      <w:kern w:val="2"/>
      <w:sz w:val="24"/>
      <w:szCs w:val="32"/>
      <w:lang w:val="en-US" w:eastAsia="zh-CN" w:bidi="ar-SA"/>
    </w:rPr>
  </w:style>
  <w:style w:type="paragraph" w:styleId="2">
    <w:name w:val="heading 1"/>
    <w:basedOn w:val="1"/>
    <w:next w:val="1"/>
    <w:link w:val="14"/>
    <w:qFormat/>
    <w:uiPriority w:val="9"/>
    <w:pPr>
      <w:keepNext/>
      <w:keepLines/>
      <w:spacing w:before="340" w:beforeLines="0" w:beforeAutospacing="0" w:after="330" w:afterLines="0" w:afterAutospacing="0" w:line="576" w:lineRule="auto"/>
      <w:outlineLvl w:val="0"/>
    </w:pPr>
    <w:rPr>
      <w:b/>
      <w:kern w:val="44"/>
      <w:sz w:val="44"/>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table" w:styleId="6">
    <w:name w:val="Table Grid"/>
    <w:basedOn w:val="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page number"/>
    <w:basedOn w:val="7"/>
    <w:qFormat/>
    <w:uiPriority w:val="0"/>
  </w:style>
  <w:style w:type="character" w:styleId="9">
    <w:name w:val="Hyperlink"/>
    <w:basedOn w:val="7"/>
    <w:semiHidden/>
    <w:unhideWhenUsed/>
    <w:qFormat/>
    <w:uiPriority w:val="99"/>
    <w:rPr>
      <w:color w:val="0000FF"/>
      <w:u w:val="single"/>
    </w:rPr>
  </w:style>
  <w:style w:type="paragraph" w:styleId="10">
    <w:name w:val="List Paragraph"/>
    <w:basedOn w:val="1"/>
    <w:qFormat/>
    <w:uiPriority w:val="34"/>
    <w:pPr>
      <w:ind w:firstLine="420" w:firstLineChars="200"/>
    </w:pPr>
  </w:style>
  <w:style w:type="character" w:customStyle="1" w:styleId="11">
    <w:name w:val="10"/>
    <w:basedOn w:val="7"/>
    <w:qFormat/>
    <w:uiPriority w:val="0"/>
    <w:rPr>
      <w:rFonts w:hint="default" w:ascii="Times New Roman" w:hAnsi="Times New Roman" w:cs="Times New Roman"/>
    </w:rPr>
  </w:style>
  <w:style w:type="paragraph" w:customStyle="1" w:styleId="12">
    <w:name w:val="正文_20_0"/>
    <w:basedOn w:val="1"/>
    <w:qFormat/>
    <w:uiPriority w:val="0"/>
    <w:rPr>
      <w:rFonts w:ascii="Times New Roman" w:hAnsi="Times New Roman" w:eastAsia="宋体" w:cs="Times New Roman"/>
      <w:kern w:val="0"/>
      <w:sz w:val="24"/>
      <w:szCs w:val="24"/>
    </w:rPr>
  </w:style>
  <w:style w:type="paragraph" w:customStyle="1" w:styleId="13">
    <w:name w:val="Default"/>
    <w:qFormat/>
    <w:uiPriority w:val="0"/>
    <w:pPr>
      <w:widowControl w:val="0"/>
      <w:autoSpaceDE w:val="0"/>
      <w:autoSpaceDN w:val="0"/>
      <w:adjustRightInd w:val="0"/>
    </w:pPr>
    <w:rPr>
      <w:rFonts w:ascii="Calibri" w:hAnsi="Calibri" w:eastAsia="宋体" w:cs="Calibri"/>
      <w:color w:val="000000"/>
      <w:sz w:val="24"/>
      <w:szCs w:val="24"/>
      <w:lang w:val="en-US" w:eastAsia="zh-CN" w:bidi="ar-SA"/>
    </w:rPr>
  </w:style>
  <w:style w:type="character" w:customStyle="1" w:styleId="14">
    <w:name w:val="标题 1 Char"/>
    <w:link w:val="2"/>
    <w:qFormat/>
    <w:uiPriority w:val="0"/>
    <w:rPr>
      <w:b/>
      <w:kern w:val="44"/>
      <w:sz w:val="44"/>
    </w:rPr>
  </w:style>
  <w:style w:type="paragraph" w:customStyle="1" w:styleId="15">
    <w:name w:val="_Style 16"/>
    <w:basedOn w:val="1"/>
    <w:next w:val="10"/>
    <w:qFormat/>
    <w:uiPriority w:val="34"/>
    <w:pPr>
      <w:ind w:firstLine="420" w:firstLineChars="200"/>
    </w:pPr>
    <w:rPr>
      <w:rFonts w:ascii="Times New Roman" w:hAnsi="Times New Roman" w:eastAsia="宋体" w:cs="Times New Roman"/>
      <w:szCs w:val="24"/>
    </w:rPr>
  </w:style>
  <w:style w:type="table" w:customStyle="1" w:styleId="16">
    <w:name w:val="网格型1"/>
    <w:basedOn w:val="5"/>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7">
    <w:name w:val="Normal_5"/>
    <w:autoRedefine/>
    <w:qFormat/>
    <w:uiPriority w:val="0"/>
    <w:pPr>
      <w:widowControl w:val="0"/>
      <w:adjustRightInd w:val="0"/>
      <w:spacing w:line="360" w:lineRule="atLeast"/>
      <w:jc w:val="both"/>
      <w:textAlignment w:val="baseline"/>
    </w:pPr>
    <w:rPr>
      <w:rFonts w:ascii="Times New Roman" w:hAnsi="Times New Roman" w:eastAsia="宋体" w:cs="Times New Roman"/>
      <w:lang w:val="en-US" w:eastAsia="zh-CN" w:bidi="ar-SA"/>
    </w:rPr>
  </w:style>
  <w:style w:type="paragraph" w:customStyle="1" w:styleId="18">
    <w:name w:val="List Paragraph_0"/>
    <w:basedOn w:val="17"/>
    <w:autoRedefine/>
    <w:qFormat/>
    <w:uiPriority w:val="34"/>
    <w:pPr>
      <w:ind w:firstLine="420" w:firstLineChars="200"/>
    </w:pPr>
  </w:style>
  <w:style w:type="paragraph" w:customStyle="1" w:styleId="19">
    <w:name w:val="Table Text"/>
    <w:basedOn w:val="1"/>
    <w:semiHidden/>
    <w:qFormat/>
    <w:uiPriority w:val="0"/>
    <w:rPr>
      <w:rFonts w:ascii="宋体" w:hAnsi="宋体" w:eastAsia="宋体" w:cs="宋体"/>
      <w:sz w:val="24"/>
      <w:szCs w:val="24"/>
      <w:lang w:val="en-US" w:eastAsia="en-US" w:bidi="ar-SA"/>
    </w:rPr>
  </w:style>
  <w:style w:type="table" w:customStyle="1" w:styleId="20">
    <w:name w:val="Table Normal"/>
    <w:semiHidden/>
    <w:unhideWhenUsed/>
    <w:qFormat/>
    <w:uiPriority w:val="0"/>
    <w:tblPr>
      <w:tblCellMar>
        <w:top w:w="0" w:type="dxa"/>
        <w:left w:w="0" w:type="dxa"/>
        <w:bottom w:w="0" w:type="dxa"/>
        <w:right w:w="0" w:type="dxa"/>
      </w:tblCellMar>
    </w:tblPr>
  </w:style>
  <w:style w:type="paragraph" w:customStyle="1" w:styleId="21">
    <w:name w:val="Blockquote"/>
    <w:basedOn w:val="1"/>
    <w:qFormat/>
    <w:uiPriority w:val="0"/>
    <w:pPr>
      <w:autoSpaceDE w:val="0"/>
      <w:autoSpaceDN w:val="0"/>
      <w:adjustRightInd w:val="0"/>
      <w:spacing w:before="100" w:after="100"/>
      <w:ind w:left="360" w:right="360"/>
      <w:jc w:val="left"/>
    </w:pPr>
    <w:rPr>
      <w:kern w:val="0"/>
      <w:sz w:val="24"/>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4.jpeg"/><Relationship Id="rId8" Type="http://schemas.openxmlformats.org/officeDocument/2006/relationships/image" Target="media/image3.jpeg"/><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0" Type="http://schemas.openxmlformats.org/officeDocument/2006/relationships/fontTable" Target="fontTable.xml"/><Relationship Id="rId4" Type="http://schemas.openxmlformats.org/officeDocument/2006/relationships/footer" Target="footer1.xml"/><Relationship Id="rId39" Type="http://schemas.openxmlformats.org/officeDocument/2006/relationships/numbering" Target="numbering.xml"/><Relationship Id="rId38" Type="http://schemas.openxmlformats.org/officeDocument/2006/relationships/customXml" Target="../customXml/item1.xml"/><Relationship Id="rId37" Type="http://schemas.openxmlformats.org/officeDocument/2006/relationships/image" Target="media/image32.png"/><Relationship Id="rId36" Type="http://schemas.openxmlformats.org/officeDocument/2006/relationships/image" Target="media/image31.png"/><Relationship Id="rId35" Type="http://schemas.openxmlformats.org/officeDocument/2006/relationships/image" Target="media/image30.jpeg"/><Relationship Id="rId34" Type="http://schemas.openxmlformats.org/officeDocument/2006/relationships/image" Target="media/image29.jpeg"/><Relationship Id="rId33" Type="http://schemas.openxmlformats.org/officeDocument/2006/relationships/image" Target="media/image28.jpeg"/><Relationship Id="rId32" Type="http://schemas.openxmlformats.org/officeDocument/2006/relationships/image" Target="media/image27.jpeg"/><Relationship Id="rId31" Type="http://schemas.openxmlformats.org/officeDocument/2006/relationships/image" Target="media/image26.png"/><Relationship Id="rId30" Type="http://schemas.openxmlformats.org/officeDocument/2006/relationships/image" Target="media/image25.jpeg"/><Relationship Id="rId3" Type="http://schemas.openxmlformats.org/officeDocument/2006/relationships/header" Target="header1.xml"/><Relationship Id="rId29" Type="http://schemas.openxmlformats.org/officeDocument/2006/relationships/image" Target="media/image24.jpeg"/><Relationship Id="rId28" Type="http://schemas.openxmlformats.org/officeDocument/2006/relationships/image" Target="media/image23.jpeg"/><Relationship Id="rId27" Type="http://schemas.openxmlformats.org/officeDocument/2006/relationships/image" Target="media/image22.jpeg"/><Relationship Id="rId26" Type="http://schemas.openxmlformats.org/officeDocument/2006/relationships/image" Target="media/image21.png"/><Relationship Id="rId25" Type="http://schemas.openxmlformats.org/officeDocument/2006/relationships/image" Target="media/image20.png"/><Relationship Id="rId24" Type="http://schemas.openxmlformats.org/officeDocument/2006/relationships/image" Target="media/image19.jpeg"/><Relationship Id="rId23" Type="http://schemas.openxmlformats.org/officeDocument/2006/relationships/image" Target="media/image18.jpeg"/><Relationship Id="rId22" Type="http://schemas.openxmlformats.org/officeDocument/2006/relationships/image" Target="media/image17.png"/><Relationship Id="rId21" Type="http://schemas.openxmlformats.org/officeDocument/2006/relationships/image" Target="media/image16.jpeg"/><Relationship Id="rId20" Type="http://schemas.openxmlformats.org/officeDocument/2006/relationships/image" Target="media/image15.jpeg"/><Relationship Id="rId2" Type="http://schemas.openxmlformats.org/officeDocument/2006/relationships/settings" Target="settings.xml"/><Relationship Id="rId19" Type="http://schemas.openxmlformats.org/officeDocument/2006/relationships/image" Target="media/image14.png"/><Relationship Id="rId18" Type="http://schemas.openxmlformats.org/officeDocument/2006/relationships/image" Target="media/image13.png"/><Relationship Id="rId17" Type="http://schemas.openxmlformats.org/officeDocument/2006/relationships/image" Target="media/image12.jpeg"/><Relationship Id="rId16" Type="http://schemas.openxmlformats.org/officeDocument/2006/relationships/image" Target="media/image11.jpeg"/><Relationship Id="rId15" Type="http://schemas.openxmlformats.org/officeDocument/2006/relationships/image" Target="media/image10.jpeg"/><Relationship Id="rId14" Type="http://schemas.openxmlformats.org/officeDocument/2006/relationships/image" Target="media/image9.jpeg"/><Relationship Id="rId13" Type="http://schemas.openxmlformats.org/officeDocument/2006/relationships/image" Target="media/image8.jpeg"/><Relationship Id="rId12" Type="http://schemas.openxmlformats.org/officeDocument/2006/relationships/image" Target="media/image7.png"/><Relationship Id="rId11" Type="http://schemas.openxmlformats.org/officeDocument/2006/relationships/image" Target="media/image6.jpeg"/><Relationship Id="rId10" Type="http://schemas.openxmlformats.org/officeDocument/2006/relationships/image" Target="media/image5.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7"/>
    <customShpInfo spid="_x0000_s4098"/>
    <customShpInfo spid="_x0000_s4099"/>
    <customShpInfo spid="_x0000_s4100"/>
    <customShpInfo spid="_x0000_s4101"/>
    <customShpInfo spid="_x0000_s4102"/>
    <customShpInfo spid="_x0000_s4103"/>
    <customShpInfo spid="_x0000_s4104"/>
    <customShpInfo spid="_x0000_s4105"/>
    <customShpInfo spid="_x0000_s4106"/>
    <customShpInfo spid="_x0000_s4107"/>
    <customShpInfo spid="_x0000_s4108"/>
    <customShpInfo spid="_x0000_s4109"/>
    <customShpInfo spid="_x0000_s4110"/>
    <customShpInfo spid="_x0000_s4111"/>
    <customShpInfo spid="_x0000_s4112"/>
    <customShpInfo spid="_x0000_s4113"/>
    <customShpInfo spid="_x0000_s4114"/>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43</Pages>
  <Words>3202</Words>
  <Characters>3307</Characters>
  <Lines>0</Lines>
  <Paragraphs>0</Paragraphs>
  <TotalTime>1</TotalTime>
  <ScaleCrop>false</ScaleCrop>
  <LinksUpToDate>false</LinksUpToDate>
  <CharactersWithSpaces>3359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2026-04-29T07:28:00Z</dcterms:created>
  <dc:creator>17503</dc:creator>
  <cp:lastModifiedBy>17503</cp:lastModifiedBy>
  <dcterms:modified xsi:type="dcterms:W3CDTF">2026-05-11T01:56:57Z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DCA6C247E7E0481F9CA675F7CCFAE188_11</vt:lpwstr>
  </property>
  <property fmtid="{D5CDD505-2E9C-101B-9397-08002B2CF9AE}" pid="4" name="KSOTemplateDocerSaveRecord">
    <vt:lpwstr>eyJoZGlkIjoiMzEwNTM5NzYwMDRjMzkwZTVkZjY2ODkwMGIxNGU0OTUiLCJ1c2VySWQiOiIyNTYwNDM2MzIifQ==</vt:lpwstr>
  </property>
</Properties>
</file>