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有害生物防治采购需求</w:t>
      </w:r>
    </w:p>
    <w:p>
      <w:pPr>
        <w:widowControl w:val="0"/>
        <w:adjustRightInd/>
        <w:snapToGrid/>
        <w:spacing w:after="0" w:line="312" w:lineRule="auto"/>
        <w:ind w:firstLine="480" w:firstLineChars="20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</w:rPr>
        <w:t>防治对象：老鼠、蟑螂、蚊蝇等有害生物。</w:t>
      </w:r>
    </w:p>
    <w:p>
      <w:pPr>
        <w:widowControl w:val="0"/>
        <w:adjustRightInd/>
        <w:snapToGrid/>
        <w:spacing w:after="0" w:line="312" w:lineRule="auto"/>
        <w:ind w:firstLine="480" w:firstLineChars="20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（二）防治范围：长康监狱全狱范围。</w:t>
      </w:r>
    </w:p>
    <w:p>
      <w:pPr>
        <w:widowControl w:val="0"/>
        <w:adjustRightInd/>
        <w:snapToGrid/>
        <w:spacing w:after="0" w:line="312" w:lineRule="auto"/>
        <w:ind w:firstLine="480" w:firstLineChars="20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（三）服务标准：（参照全国爱卫办标准执行）</w:t>
      </w:r>
    </w:p>
    <w:p>
      <w:pPr>
        <w:widowControl w:val="0"/>
        <w:adjustRightInd/>
        <w:snapToGrid/>
        <w:spacing w:after="0" w:line="312" w:lineRule="auto"/>
        <w:ind w:firstLine="480" w:firstLineChars="20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1.按要求采取物理除鼠方式，经三个月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</w:rPr>
        <w:t>治理后达到国家标准。有鼠洞、鼠粪、鼠咬痕等鼠迹的房间不超过2%，</w:t>
      </w:r>
    </w:p>
    <w:p>
      <w:pPr>
        <w:widowControl w:val="0"/>
        <w:adjustRightInd/>
        <w:snapToGrid/>
        <w:spacing w:after="0" w:line="312" w:lineRule="auto"/>
        <w:ind w:firstLine="480" w:firstLineChars="20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2.鼠密度测定粉块法阳性反应３％以下；外环境累计2000米，鼠迹不超过5处。</w:t>
      </w:r>
    </w:p>
    <w:p>
      <w:pPr>
        <w:widowControl w:val="0"/>
        <w:adjustRightInd/>
        <w:snapToGrid/>
        <w:spacing w:after="0" w:line="312" w:lineRule="auto"/>
        <w:ind w:firstLine="480" w:firstLineChars="20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3.蚊在室内各种存水容器和积水中，蚊幼及蛹的阳性率不超过3%； 用500ml收集勺采集样本，阳性率不超过3%，阳性勺内不超过5只。</w:t>
      </w:r>
    </w:p>
    <w:p>
      <w:pPr>
        <w:widowControl w:val="0"/>
        <w:adjustRightInd/>
        <w:snapToGrid/>
        <w:spacing w:after="0" w:line="312" w:lineRule="auto"/>
        <w:ind w:firstLine="480" w:firstLineChars="20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4.蝇在普通房间阳性率3%以下，阳性房间每间在3个以下；幼虫和蛹的检出率不超过3%。</w:t>
      </w:r>
    </w:p>
    <w:p>
      <w:pPr>
        <w:widowControl w:val="0"/>
        <w:adjustRightInd/>
        <w:snapToGrid/>
        <w:spacing w:after="0"/>
        <w:ind w:firstLine="360" w:firstLineChars="15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5.蟑螂阳性率3%以下，用二氯苯醚菊酯液喷洒激出数大蠊不超过5个，小蠊不超过10个；有活蟑螂卵鞘房间不超过2%，平均每间不超过4只；有蟑螂粪便、蜕皮等蟑迹的房间不超过5%。</w:t>
      </w:r>
    </w:p>
    <w:p>
      <w:pPr>
        <w:widowControl w:val="0"/>
        <w:adjustRightInd/>
        <w:snapToGrid/>
        <w:spacing w:after="0"/>
        <w:ind w:firstLine="360" w:firstLineChars="150"/>
        <w:jc w:val="both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（四）作业次数及时间要求：</w:t>
      </w:r>
    </w:p>
    <w:p>
      <w:pPr>
        <w:pStyle w:val="6"/>
        <w:ind w:left="0" w:leftChars="0" w:firstLine="480" w:firstLineChars="20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6月至9月防治工作每月至少2次，其余月份每月至少1次。</w:t>
      </w:r>
    </w:p>
    <w:p>
      <w:pPr>
        <w:pStyle w:val="6"/>
        <w:ind w:left="0" w:leftChars="0"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全年预算金额：8000元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46554"/>
    <w:rsid w:val="0C697FEB"/>
    <w:rsid w:val="0CC14750"/>
    <w:rsid w:val="28932FAC"/>
    <w:rsid w:val="3A6A50C5"/>
    <w:rsid w:val="565F67E1"/>
    <w:rsid w:val="61E9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黑体_GBK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K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2025-03-04T01:09:00Z</dcterms:created>
  <dc:creator>Acer</dc:creator>
  <cp:lastModifiedBy>Acer</cp:lastModifiedBy>
  <dcterms:modified xsi:type="dcterms:W3CDTF">2026-05-11T07:18:41Z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B1C6361B698C4A3B8981616B8EC8E674_12</vt:lpwstr>
  </property>
</Properties>
</file>