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18FFC">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吉安县2026年度城区文昌苑等89个住宅小区白蚁防治服务采购项目</w:t>
      </w:r>
      <w:r>
        <w:rPr>
          <w:rFonts w:hint="eastAsia" w:ascii="宋体" w:hAnsi="宋体" w:eastAsia="宋体" w:cs="宋体"/>
          <w:b/>
          <w:bCs/>
          <w:sz w:val="32"/>
          <w:szCs w:val="32"/>
          <w:lang w:val="en-US" w:eastAsia="zh-CN"/>
        </w:rPr>
        <w:t>竞价文件</w:t>
      </w:r>
    </w:p>
    <w:p w14:paraId="392CBE8D">
      <w:pPr>
        <w:jc w:val="center"/>
        <w:rPr>
          <w:rFonts w:hint="eastAsia" w:ascii="宋体" w:hAnsi="宋体" w:eastAsia="宋体" w:cs="宋体"/>
          <w:b/>
          <w:bCs/>
          <w:sz w:val="28"/>
          <w:szCs w:val="28"/>
          <w:lang w:val="en-US" w:eastAsia="zh-CN"/>
        </w:rPr>
      </w:pPr>
    </w:p>
    <w:p w14:paraId="23BF0AB5">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一、项目基本信息</w:t>
      </w:r>
    </w:p>
    <w:p w14:paraId="2BFD0D64">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1、项目名称：吉安县2026年度城区文昌苑等89个住宅小区白蚁防治服务采购项目</w:t>
      </w:r>
    </w:p>
    <w:p w14:paraId="1695C829">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2、期望总价：255523.75元</w:t>
      </w:r>
    </w:p>
    <w:p w14:paraId="2102DEF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3、采购方式：电子卖场竞价，报价金额低于期望总价且符合我方要求的为有效报价,符合全部响应的供应商中最低报价中标。</w:t>
      </w:r>
    </w:p>
    <w:p w14:paraId="567FA46F">
      <w:p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4、招标代理服务费3500元由中标单位支付。</w:t>
      </w:r>
    </w:p>
    <w:tbl>
      <w:tblPr>
        <w:tblStyle w:val="7"/>
        <w:tblpPr w:leftFromText="180" w:rightFromText="180" w:vertAnchor="text" w:horzAnchor="page" w:tblpX="2034" w:tblpY="751"/>
        <w:tblOverlap w:val="never"/>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898"/>
      </w:tblGrid>
      <w:tr w14:paraId="4F7F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13" w:type="dxa"/>
            <w:vAlign w:val="center"/>
          </w:tcPr>
          <w:p w14:paraId="637C2EA1">
            <w:pPr>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w:t>
            </w:r>
          </w:p>
        </w:tc>
        <w:tc>
          <w:tcPr>
            <w:tcW w:w="6898" w:type="dxa"/>
            <w:vAlign w:val="center"/>
          </w:tcPr>
          <w:p w14:paraId="2793BAA2">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吉安县2026年度城区文昌苑等89个住宅小区白蚁</w:t>
            </w:r>
          </w:p>
          <w:p w14:paraId="7A98A1F5">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防治</w:t>
            </w:r>
            <w:r>
              <w:rPr>
                <w:rFonts w:hint="eastAsia" w:asciiTheme="minorEastAsia" w:hAnsiTheme="minorEastAsia" w:eastAsiaTheme="minorEastAsia" w:cstheme="minorEastAsia"/>
                <w:b w:val="0"/>
                <w:bCs w:val="0"/>
                <w:sz w:val="24"/>
                <w:szCs w:val="24"/>
              </w:rPr>
              <w:t>服务采购项目</w:t>
            </w:r>
          </w:p>
        </w:tc>
      </w:tr>
      <w:tr w14:paraId="2656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vAlign w:val="center"/>
          </w:tcPr>
          <w:p w14:paraId="1FDC0EC1">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数量</w:t>
            </w:r>
          </w:p>
        </w:tc>
        <w:tc>
          <w:tcPr>
            <w:tcW w:w="6898" w:type="dxa"/>
            <w:vAlign w:val="center"/>
          </w:tcPr>
          <w:p w14:paraId="052B113B">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1项</w:t>
            </w:r>
          </w:p>
        </w:tc>
      </w:tr>
      <w:tr w14:paraId="7AF6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13" w:type="dxa"/>
            <w:vAlign w:val="center"/>
          </w:tcPr>
          <w:p w14:paraId="72728525">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服务期</w:t>
            </w:r>
          </w:p>
        </w:tc>
        <w:tc>
          <w:tcPr>
            <w:tcW w:w="6898" w:type="dxa"/>
            <w:vAlign w:val="center"/>
          </w:tcPr>
          <w:p w14:paraId="4C8C1038">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三年（治理期一年，预防期一年，监测养护期一年）</w:t>
            </w:r>
          </w:p>
        </w:tc>
      </w:tr>
      <w:tr w14:paraId="446A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3" w:type="dxa"/>
            <w:vAlign w:val="center"/>
          </w:tcPr>
          <w:p w14:paraId="0AA38CD1">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服务地点</w:t>
            </w:r>
          </w:p>
        </w:tc>
        <w:tc>
          <w:tcPr>
            <w:tcW w:w="6898" w:type="dxa"/>
            <w:vAlign w:val="center"/>
          </w:tcPr>
          <w:p w14:paraId="3AEAF33B">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城区文昌苑等89个住宅小区</w:t>
            </w:r>
          </w:p>
        </w:tc>
      </w:tr>
      <w:tr w14:paraId="1D6F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313" w:type="dxa"/>
            <w:vAlign w:val="center"/>
          </w:tcPr>
          <w:p w14:paraId="4B37358C">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p>
          <w:p w14:paraId="6D1E43BE">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w:t>
            </w:r>
            <w:r>
              <w:rPr>
                <w:rFonts w:hint="eastAsia" w:asciiTheme="minorEastAsia" w:hAnsiTheme="minorEastAsia" w:eastAsiaTheme="minorEastAsia" w:cstheme="minorEastAsia"/>
                <w:b w:val="0"/>
                <w:bCs w:val="0"/>
                <w:sz w:val="24"/>
                <w:szCs w:val="24"/>
                <w:lang w:val="en-US"/>
              </w:rPr>
              <w:t xml:space="preserve">  </w:t>
            </w:r>
            <w:r>
              <w:rPr>
                <w:rFonts w:hint="eastAsia" w:asciiTheme="minorEastAsia" w:hAnsiTheme="minorEastAsia" w:eastAsiaTheme="minorEastAsia" w:cstheme="minorEastAsia"/>
                <w:b w:val="0"/>
                <w:bCs w:val="0"/>
                <w:sz w:val="24"/>
                <w:szCs w:val="24"/>
              </w:rPr>
              <w:t>注</w:t>
            </w:r>
          </w:p>
        </w:tc>
        <w:tc>
          <w:tcPr>
            <w:tcW w:w="6898" w:type="dxa"/>
            <w:vAlign w:val="center"/>
          </w:tcPr>
          <w:p w14:paraId="6D21B5E4">
            <w:pPr>
              <w:pStyle w:val="5"/>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包含白蚁防治</w:t>
            </w:r>
            <w:bookmarkStart w:id="0" w:name="_GoBack"/>
            <w:r>
              <w:rPr>
                <w:rFonts w:hint="eastAsia" w:asciiTheme="minorEastAsia" w:hAnsiTheme="minorEastAsia" w:eastAsiaTheme="minorEastAsia" w:cstheme="minorEastAsia"/>
                <w:b w:val="0"/>
                <w:bCs w:val="0"/>
                <w:sz w:val="24"/>
                <w:szCs w:val="24"/>
                <w:lang w:val="en-US" w:eastAsia="zh-CN"/>
              </w:rPr>
              <w:t>施工</w:t>
            </w:r>
            <w:bookmarkEnd w:id="0"/>
            <w:r>
              <w:rPr>
                <w:rFonts w:hint="eastAsia" w:asciiTheme="minorEastAsia" w:hAnsiTheme="minorEastAsia" w:eastAsiaTheme="minorEastAsia" w:cstheme="minorEastAsia"/>
                <w:b w:val="0"/>
                <w:bCs w:val="0"/>
                <w:sz w:val="24"/>
                <w:szCs w:val="24"/>
                <w:lang w:val="en-US" w:eastAsia="zh-CN"/>
              </w:rPr>
              <w:t>所需药剂（吡虫啉、联苯菊酯、白蚁引诱箱、氟铃脲浓饵剂、氟虫腈等）、辅助材料（诱杀包、诱杀装置、等）、机械设备、防治车辆、配件、存储、运输、保险、劳保、税费、人工等一切费用，采购人不支付其他费用。</w:t>
            </w:r>
          </w:p>
        </w:tc>
      </w:tr>
    </w:tbl>
    <w:p w14:paraId="1DE46634">
      <w:pPr>
        <w:jc w:val="left"/>
        <w:rPr>
          <w:rFonts w:hint="default"/>
          <w:b/>
          <w:bCs/>
          <w:sz w:val="24"/>
          <w:szCs w:val="24"/>
          <w:lang w:val="en-US" w:eastAsia="zh-CN"/>
        </w:rPr>
      </w:pPr>
      <w:r>
        <w:rPr>
          <w:rFonts w:hint="eastAsia"/>
          <w:b/>
          <w:bCs/>
          <w:sz w:val="24"/>
          <w:szCs w:val="24"/>
          <w:lang w:val="en-US" w:eastAsia="zh-CN"/>
        </w:rPr>
        <w:t>二、项目采购需求</w:t>
      </w:r>
    </w:p>
    <w:p w14:paraId="546A78C0">
      <w:pPr>
        <w:pStyle w:val="5"/>
        <w:rPr>
          <w:rFonts w:hint="default"/>
          <w:sz w:val="24"/>
          <w:szCs w:val="24"/>
          <w:lang w:val="en-US" w:eastAsia="zh-CN"/>
        </w:rPr>
      </w:pPr>
      <w:r>
        <w:rPr>
          <w:rFonts w:hint="eastAsia"/>
          <w:sz w:val="24"/>
          <w:szCs w:val="24"/>
          <w:lang w:val="en-US" w:eastAsia="zh-CN"/>
        </w:rPr>
        <w:t>（一）基本情况内容</w:t>
      </w:r>
    </w:p>
    <w:p w14:paraId="1F1828B8">
      <w:pPr>
        <w:rPr>
          <w:rFonts w:hint="default"/>
          <w:b/>
          <w:bCs/>
          <w:sz w:val="24"/>
          <w:szCs w:val="24"/>
          <w:lang w:val="en-US" w:eastAsia="zh-CN"/>
        </w:rPr>
      </w:pPr>
      <w:r>
        <w:rPr>
          <w:rFonts w:hint="eastAsia"/>
          <w:b/>
          <w:bCs/>
          <w:sz w:val="24"/>
          <w:szCs w:val="24"/>
          <w:lang w:val="en-US" w:eastAsia="zh-CN"/>
        </w:rPr>
        <w:t>（二）项目需求计划</w:t>
      </w:r>
    </w:p>
    <w:p w14:paraId="07EE3F1D">
      <w:pPr>
        <w:pStyle w:val="5"/>
        <w:rPr>
          <w:rFonts w:hint="default"/>
          <w:b w:val="0"/>
          <w:bCs w:val="0"/>
          <w:sz w:val="24"/>
          <w:szCs w:val="24"/>
          <w:lang w:val="en-US" w:eastAsia="zh-CN"/>
        </w:rPr>
      </w:pPr>
      <w:r>
        <w:rPr>
          <w:rFonts w:hint="default"/>
          <w:b w:val="0"/>
          <w:bCs w:val="0"/>
          <w:sz w:val="24"/>
          <w:szCs w:val="24"/>
          <w:lang w:val="en-US" w:eastAsia="zh-CN"/>
        </w:rPr>
        <w:t>1、防控内容:白蚁防治</w:t>
      </w:r>
    </w:p>
    <w:p w14:paraId="41823EDA">
      <w:pPr>
        <w:pStyle w:val="5"/>
        <w:rPr>
          <w:rFonts w:hint="default"/>
          <w:b w:val="0"/>
          <w:bCs w:val="0"/>
          <w:sz w:val="24"/>
          <w:szCs w:val="24"/>
          <w:lang w:val="en-US" w:eastAsia="zh-CN"/>
        </w:rPr>
      </w:pPr>
      <w:r>
        <w:rPr>
          <w:rFonts w:hint="default"/>
          <w:b w:val="0"/>
          <w:bCs w:val="0"/>
          <w:sz w:val="24"/>
          <w:szCs w:val="24"/>
          <w:lang w:val="en-US" w:eastAsia="zh-CN"/>
        </w:rPr>
        <w:t>2、防控工作范围及面积</w:t>
      </w:r>
    </w:p>
    <w:p w14:paraId="0AECFBEB">
      <w:pPr>
        <w:pStyle w:val="5"/>
        <w:rPr>
          <w:rFonts w:hint="default"/>
          <w:b w:val="0"/>
          <w:bCs w:val="0"/>
          <w:sz w:val="24"/>
          <w:szCs w:val="24"/>
          <w:lang w:val="en-US" w:eastAsia="zh-CN"/>
        </w:rPr>
      </w:pPr>
      <w:r>
        <w:rPr>
          <w:rFonts w:hint="default"/>
          <w:b w:val="0"/>
          <w:bCs w:val="0"/>
          <w:sz w:val="24"/>
          <w:szCs w:val="24"/>
          <w:lang w:val="en-US" w:eastAsia="zh-CN"/>
        </w:rPr>
        <w:t>2.1</w:t>
      </w:r>
      <w:r>
        <w:rPr>
          <w:rFonts w:hint="eastAsia"/>
          <w:b w:val="0"/>
          <w:bCs w:val="0"/>
          <w:sz w:val="24"/>
          <w:szCs w:val="24"/>
          <w:lang w:val="en-US" w:eastAsia="zh-CN"/>
        </w:rPr>
        <w:t>、</w:t>
      </w:r>
      <w:r>
        <w:rPr>
          <w:rFonts w:hint="default"/>
          <w:b w:val="0"/>
          <w:bCs w:val="0"/>
          <w:sz w:val="24"/>
          <w:szCs w:val="24"/>
          <w:lang w:val="en-US" w:eastAsia="zh-CN"/>
        </w:rPr>
        <w:t>工作范围：吉安县城区文昌苑等89个住宅小区</w:t>
      </w:r>
    </w:p>
    <w:tbl>
      <w:tblPr>
        <w:tblStyle w:val="6"/>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719"/>
        <w:gridCol w:w="2557"/>
        <w:gridCol w:w="2156"/>
        <w:gridCol w:w="1193"/>
        <w:gridCol w:w="1003"/>
        <w:gridCol w:w="333"/>
      </w:tblGrid>
      <w:tr w14:paraId="7FA8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D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C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8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小区名称</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小区位置</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E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小区面积(m²)</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1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小区树木数量</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3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F22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8F6B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D58A30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E5E778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16D3558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文山路65号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2C431A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5E336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A21D36">
            <w:pPr>
              <w:jc w:val="center"/>
              <w:rPr>
                <w:rFonts w:hint="eastAsia" w:ascii="宋体" w:hAnsi="宋体" w:eastAsia="宋体" w:cs="宋体"/>
                <w:i w:val="0"/>
                <w:iCs w:val="0"/>
                <w:color w:val="000000"/>
                <w:sz w:val="24"/>
                <w:szCs w:val="24"/>
                <w:u w:val="none"/>
              </w:rPr>
            </w:pPr>
          </w:p>
        </w:tc>
      </w:tr>
      <w:tr w14:paraId="3D25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154A2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42B9DEB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4BF87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文明小区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AEE3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文山路61号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271D70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6464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EBA7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23805A3">
            <w:pPr>
              <w:jc w:val="center"/>
              <w:rPr>
                <w:rFonts w:hint="eastAsia" w:ascii="宋体" w:hAnsi="宋体" w:eastAsia="宋体" w:cs="宋体"/>
                <w:i w:val="0"/>
                <w:iCs w:val="0"/>
                <w:color w:val="000000"/>
                <w:sz w:val="24"/>
                <w:szCs w:val="24"/>
                <w:u w:val="none"/>
              </w:rPr>
            </w:pPr>
          </w:p>
        </w:tc>
      </w:tr>
      <w:tr w14:paraId="551D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2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庐陵商业大世界(1-2栋)</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E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6D19AF9">
            <w:pPr>
              <w:jc w:val="center"/>
              <w:rPr>
                <w:rFonts w:hint="eastAsia" w:ascii="宋体" w:hAnsi="宋体" w:eastAsia="宋体" w:cs="宋体"/>
                <w:i w:val="0"/>
                <w:iCs w:val="0"/>
                <w:color w:val="000000"/>
                <w:sz w:val="24"/>
                <w:szCs w:val="24"/>
                <w:u w:val="none"/>
              </w:rPr>
            </w:pPr>
          </w:p>
        </w:tc>
      </w:tr>
      <w:tr w14:paraId="6B75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7691C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8DBDA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11B5EE5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厚丰开发房连片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DB593A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庐陵大道附46号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7FE1BE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900B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ADE0BD1">
            <w:pPr>
              <w:jc w:val="center"/>
              <w:rPr>
                <w:rFonts w:hint="eastAsia" w:ascii="宋体" w:hAnsi="宋体" w:eastAsia="宋体" w:cs="宋体"/>
                <w:i w:val="0"/>
                <w:iCs w:val="0"/>
                <w:color w:val="000000"/>
                <w:sz w:val="24"/>
                <w:szCs w:val="24"/>
                <w:u w:val="none"/>
              </w:rPr>
            </w:pPr>
          </w:p>
        </w:tc>
      </w:tr>
      <w:tr w14:paraId="0216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A5A69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4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7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福利佳苑</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F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吉州路24号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3B769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6BABF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39B0CCF">
            <w:pPr>
              <w:jc w:val="center"/>
              <w:rPr>
                <w:rFonts w:hint="eastAsia" w:ascii="宋体" w:hAnsi="宋体" w:eastAsia="宋体" w:cs="宋体"/>
                <w:i w:val="0"/>
                <w:iCs w:val="0"/>
                <w:color w:val="000000"/>
                <w:sz w:val="24"/>
                <w:szCs w:val="24"/>
                <w:u w:val="none"/>
              </w:rPr>
            </w:pPr>
          </w:p>
        </w:tc>
      </w:tr>
      <w:tr w14:paraId="7871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E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9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老工商局宿舍连片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D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吉州路与凤凰路交汇处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4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1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F06481">
            <w:pPr>
              <w:jc w:val="center"/>
              <w:rPr>
                <w:rFonts w:hint="eastAsia" w:ascii="宋体" w:hAnsi="宋体" w:eastAsia="宋体" w:cs="宋体"/>
                <w:i w:val="0"/>
                <w:iCs w:val="0"/>
                <w:color w:val="000000"/>
                <w:sz w:val="24"/>
                <w:szCs w:val="24"/>
                <w:u w:val="none"/>
              </w:rPr>
            </w:pPr>
          </w:p>
        </w:tc>
      </w:tr>
      <w:tr w14:paraId="07E8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E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5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9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敦厚镇政府老宿舍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F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高昌路2号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6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E9E22A1">
            <w:pPr>
              <w:jc w:val="center"/>
              <w:rPr>
                <w:rFonts w:hint="eastAsia" w:ascii="宋体" w:hAnsi="宋体" w:eastAsia="宋体" w:cs="宋体"/>
                <w:i w:val="0"/>
                <w:iCs w:val="0"/>
                <w:color w:val="000000"/>
                <w:sz w:val="24"/>
                <w:szCs w:val="24"/>
                <w:u w:val="none"/>
              </w:rPr>
            </w:pPr>
          </w:p>
        </w:tc>
      </w:tr>
      <w:tr w14:paraId="15C1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28885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F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B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农行连片小区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D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BDB25F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7371FC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0750099">
            <w:pPr>
              <w:jc w:val="center"/>
              <w:rPr>
                <w:rFonts w:hint="eastAsia" w:ascii="宋体" w:hAnsi="宋体" w:eastAsia="宋体" w:cs="宋体"/>
                <w:i w:val="0"/>
                <w:iCs w:val="0"/>
                <w:color w:val="000000"/>
                <w:sz w:val="24"/>
                <w:szCs w:val="24"/>
                <w:u w:val="none"/>
              </w:rPr>
            </w:pPr>
          </w:p>
        </w:tc>
      </w:tr>
      <w:tr w14:paraId="4337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7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F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7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庐陵大道23号至附19号、白云路55号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E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3B84C41">
            <w:pPr>
              <w:jc w:val="center"/>
              <w:rPr>
                <w:rFonts w:hint="eastAsia" w:ascii="宋体" w:hAnsi="宋体" w:eastAsia="宋体" w:cs="宋体"/>
                <w:i w:val="0"/>
                <w:iCs w:val="0"/>
                <w:color w:val="000000"/>
                <w:sz w:val="24"/>
                <w:szCs w:val="24"/>
                <w:u w:val="none"/>
              </w:rPr>
            </w:pPr>
          </w:p>
        </w:tc>
      </w:tr>
      <w:tr w14:paraId="5199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9845F5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E2187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C1DAF7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原外贸小区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F4B6C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C963AB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B52D8F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EC0C8B9">
            <w:pPr>
              <w:jc w:val="center"/>
              <w:rPr>
                <w:rFonts w:hint="eastAsia" w:ascii="宋体" w:hAnsi="宋体" w:eastAsia="宋体" w:cs="宋体"/>
                <w:i w:val="0"/>
                <w:iCs w:val="0"/>
                <w:color w:val="000000"/>
                <w:sz w:val="24"/>
                <w:szCs w:val="24"/>
                <w:u w:val="none"/>
              </w:rPr>
            </w:pPr>
          </w:p>
        </w:tc>
      </w:tr>
      <w:tr w14:paraId="01AF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BE0585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2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4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建行宿舍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E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8659E6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B145B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B3116C7">
            <w:pPr>
              <w:jc w:val="center"/>
              <w:rPr>
                <w:rFonts w:hint="eastAsia" w:ascii="宋体" w:hAnsi="宋体" w:eastAsia="宋体" w:cs="宋体"/>
                <w:i w:val="0"/>
                <w:iCs w:val="0"/>
                <w:color w:val="000000"/>
                <w:sz w:val="24"/>
                <w:szCs w:val="24"/>
                <w:u w:val="none"/>
              </w:rPr>
            </w:pPr>
          </w:p>
        </w:tc>
      </w:tr>
      <w:tr w14:paraId="1FDB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FCBE5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8DC78E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BA5326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金庐陵步行街</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DBE7AD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06BF0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4E64A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A29F5F1">
            <w:pPr>
              <w:jc w:val="center"/>
              <w:rPr>
                <w:rFonts w:hint="eastAsia" w:ascii="宋体" w:hAnsi="宋体" w:eastAsia="宋体" w:cs="宋体"/>
                <w:i w:val="0"/>
                <w:iCs w:val="0"/>
                <w:color w:val="000000"/>
                <w:sz w:val="24"/>
                <w:szCs w:val="24"/>
                <w:u w:val="none"/>
              </w:rPr>
            </w:pPr>
          </w:p>
        </w:tc>
      </w:tr>
      <w:tr w14:paraId="5F9E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700326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107C4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668F87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工商银行</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4DDD7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文山路23号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A54E36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3F18C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153DD4">
            <w:pPr>
              <w:jc w:val="center"/>
              <w:rPr>
                <w:rFonts w:hint="eastAsia" w:ascii="宋体" w:hAnsi="宋体" w:eastAsia="宋体" w:cs="宋体"/>
                <w:i w:val="0"/>
                <w:iCs w:val="0"/>
                <w:color w:val="000000"/>
                <w:sz w:val="24"/>
                <w:szCs w:val="24"/>
                <w:u w:val="none"/>
              </w:rPr>
            </w:pPr>
          </w:p>
        </w:tc>
      </w:tr>
      <w:tr w14:paraId="0021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15C01C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9A4EB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4C3EA2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吉鑫时代广场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520C9C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吉州路16号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B128B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87D312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F0EF58">
            <w:pPr>
              <w:jc w:val="center"/>
              <w:rPr>
                <w:rFonts w:hint="eastAsia" w:ascii="宋体" w:hAnsi="宋体" w:eastAsia="宋体" w:cs="宋体"/>
                <w:i w:val="0"/>
                <w:iCs w:val="0"/>
                <w:color w:val="000000"/>
                <w:sz w:val="24"/>
                <w:szCs w:val="24"/>
                <w:u w:val="none"/>
              </w:rPr>
            </w:pPr>
          </w:p>
        </w:tc>
      </w:tr>
      <w:tr w14:paraId="591F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0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5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港回大楼、中国银行宿舍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2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EB948CE">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567C75A">
            <w:pPr>
              <w:jc w:val="center"/>
              <w:rPr>
                <w:rFonts w:hint="eastAsia" w:ascii="宋体" w:hAnsi="宋体" w:eastAsia="宋体" w:cs="宋体"/>
                <w:i w:val="0"/>
                <w:iCs w:val="0"/>
                <w:color w:val="000000"/>
                <w:sz w:val="24"/>
                <w:szCs w:val="24"/>
                <w:u w:val="none"/>
              </w:rPr>
            </w:pPr>
          </w:p>
        </w:tc>
      </w:tr>
      <w:tr w14:paraId="5C7C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AEE26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080180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003B98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房产局公房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65605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34EF5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01C374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E00FC0">
            <w:pPr>
              <w:jc w:val="center"/>
              <w:rPr>
                <w:rFonts w:hint="eastAsia" w:ascii="宋体" w:hAnsi="宋体" w:eastAsia="宋体" w:cs="宋体"/>
                <w:i w:val="0"/>
                <w:iCs w:val="0"/>
                <w:color w:val="000000"/>
                <w:sz w:val="24"/>
                <w:szCs w:val="24"/>
                <w:u w:val="none"/>
              </w:rPr>
            </w:pPr>
          </w:p>
        </w:tc>
      </w:tr>
      <w:tr w14:paraId="6F00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6362D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4FE4F0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2AACA2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99CF65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B1C03C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4840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455E99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3884F1">
            <w:pPr>
              <w:jc w:val="center"/>
              <w:rPr>
                <w:rFonts w:hint="eastAsia" w:ascii="宋体" w:hAnsi="宋体" w:eastAsia="宋体" w:cs="宋体"/>
                <w:i w:val="0"/>
                <w:iCs w:val="0"/>
                <w:color w:val="000000"/>
                <w:sz w:val="24"/>
                <w:szCs w:val="24"/>
                <w:u w:val="none"/>
              </w:rPr>
            </w:pPr>
          </w:p>
        </w:tc>
      </w:tr>
      <w:tr w14:paraId="4E23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CCE8BF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1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1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天华路附5号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D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B5E0BD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875.5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015451E">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81A1BE6">
            <w:pPr>
              <w:jc w:val="center"/>
              <w:rPr>
                <w:rFonts w:hint="eastAsia" w:ascii="宋体" w:hAnsi="宋体" w:eastAsia="宋体" w:cs="宋体"/>
                <w:i w:val="0"/>
                <w:iCs w:val="0"/>
                <w:color w:val="000000"/>
                <w:sz w:val="24"/>
                <w:szCs w:val="24"/>
                <w:u w:val="none"/>
              </w:rPr>
            </w:pPr>
          </w:p>
        </w:tc>
      </w:tr>
      <w:tr w14:paraId="56D0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1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1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9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人寿保险公司宿舍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7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庐陵大道附44号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A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1ECB02C">
            <w:pPr>
              <w:jc w:val="center"/>
              <w:rPr>
                <w:rFonts w:hint="eastAsia" w:ascii="宋体" w:hAnsi="宋体" w:eastAsia="宋体" w:cs="宋体"/>
                <w:i w:val="0"/>
                <w:iCs w:val="0"/>
                <w:color w:val="000000"/>
                <w:sz w:val="24"/>
                <w:szCs w:val="24"/>
                <w:u w:val="none"/>
              </w:rPr>
            </w:pPr>
          </w:p>
        </w:tc>
      </w:tr>
      <w:tr w14:paraId="581A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8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3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D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林业开发房(文山商住楼)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1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1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B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8C0A967">
            <w:pPr>
              <w:jc w:val="center"/>
              <w:rPr>
                <w:rFonts w:hint="eastAsia" w:ascii="宋体" w:hAnsi="宋体" w:eastAsia="宋体" w:cs="宋体"/>
                <w:i w:val="0"/>
                <w:iCs w:val="0"/>
                <w:color w:val="000000"/>
                <w:sz w:val="24"/>
                <w:szCs w:val="24"/>
                <w:u w:val="none"/>
              </w:rPr>
            </w:pPr>
          </w:p>
        </w:tc>
      </w:tr>
      <w:tr w14:paraId="3C55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DE3C3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2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B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武装部宿舍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E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文山路34号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18C9CD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38DA3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B0CFDCA">
            <w:pPr>
              <w:jc w:val="center"/>
              <w:rPr>
                <w:rFonts w:hint="eastAsia" w:ascii="宋体" w:hAnsi="宋体" w:eastAsia="宋体" w:cs="宋体"/>
                <w:i w:val="0"/>
                <w:iCs w:val="0"/>
                <w:color w:val="000000"/>
                <w:sz w:val="24"/>
                <w:szCs w:val="24"/>
                <w:u w:val="none"/>
              </w:rPr>
            </w:pPr>
          </w:p>
        </w:tc>
      </w:tr>
      <w:tr w14:paraId="561A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133FE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78DD6D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79F08BE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新世纪商城</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22032D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528A1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371456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E73EB14">
            <w:pPr>
              <w:jc w:val="center"/>
              <w:rPr>
                <w:rFonts w:hint="eastAsia" w:ascii="宋体" w:hAnsi="宋体" w:eastAsia="宋体" w:cs="宋体"/>
                <w:i w:val="0"/>
                <w:iCs w:val="0"/>
                <w:color w:val="000000"/>
                <w:sz w:val="24"/>
                <w:szCs w:val="24"/>
                <w:u w:val="none"/>
              </w:rPr>
            </w:pPr>
          </w:p>
        </w:tc>
      </w:tr>
      <w:tr w14:paraId="7BCB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3F2D3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0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C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自来水厂宿舍楼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9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白云路53号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8B9871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533161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80D8630">
            <w:pPr>
              <w:jc w:val="center"/>
              <w:rPr>
                <w:rFonts w:hint="eastAsia" w:ascii="宋体" w:hAnsi="宋体" w:eastAsia="宋体" w:cs="宋体"/>
                <w:i w:val="0"/>
                <w:iCs w:val="0"/>
                <w:color w:val="000000"/>
                <w:sz w:val="24"/>
                <w:szCs w:val="24"/>
                <w:u w:val="none"/>
              </w:rPr>
            </w:pPr>
          </w:p>
        </w:tc>
      </w:tr>
      <w:tr w14:paraId="74C8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76576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E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4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城关中学集资房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6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白云南路68号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86CF0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A1DC7E0">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F93DE34">
            <w:pPr>
              <w:jc w:val="center"/>
              <w:rPr>
                <w:rFonts w:hint="eastAsia" w:ascii="宋体" w:hAnsi="宋体" w:eastAsia="宋体" w:cs="宋体"/>
                <w:i w:val="0"/>
                <w:iCs w:val="0"/>
                <w:color w:val="000000"/>
                <w:sz w:val="24"/>
                <w:szCs w:val="24"/>
                <w:u w:val="none"/>
              </w:rPr>
            </w:pPr>
          </w:p>
        </w:tc>
      </w:tr>
      <w:tr w14:paraId="25DC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4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5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5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井岗岭散户、渡头粮站连片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B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白云路3号、9号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7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3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5F16E55">
            <w:pPr>
              <w:jc w:val="center"/>
              <w:rPr>
                <w:rFonts w:hint="eastAsia" w:ascii="宋体" w:hAnsi="宋体" w:eastAsia="宋体" w:cs="宋体"/>
                <w:i w:val="0"/>
                <w:iCs w:val="0"/>
                <w:color w:val="000000"/>
                <w:sz w:val="24"/>
                <w:szCs w:val="24"/>
                <w:u w:val="none"/>
              </w:rPr>
            </w:pPr>
          </w:p>
        </w:tc>
      </w:tr>
      <w:tr w14:paraId="274A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3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E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天华路以东私房4号1栋、聚友堂开发房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C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天华路附4号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9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4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88522CE">
            <w:pPr>
              <w:jc w:val="center"/>
              <w:rPr>
                <w:rFonts w:hint="eastAsia" w:ascii="宋体" w:hAnsi="宋体" w:eastAsia="宋体" w:cs="宋体"/>
                <w:i w:val="0"/>
                <w:iCs w:val="0"/>
                <w:color w:val="000000"/>
                <w:sz w:val="24"/>
                <w:szCs w:val="24"/>
                <w:u w:val="none"/>
              </w:rPr>
            </w:pPr>
          </w:p>
        </w:tc>
      </w:tr>
      <w:tr w14:paraId="6D41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9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4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天华路6号连片小区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1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天华路6号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C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5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CC5CD64">
            <w:pPr>
              <w:jc w:val="center"/>
              <w:rPr>
                <w:rFonts w:hint="eastAsia" w:ascii="宋体" w:hAnsi="宋体" w:eastAsia="宋体" w:cs="宋体"/>
                <w:i w:val="0"/>
                <w:iCs w:val="0"/>
                <w:color w:val="000000"/>
                <w:sz w:val="24"/>
                <w:szCs w:val="24"/>
                <w:u w:val="none"/>
              </w:rPr>
            </w:pPr>
          </w:p>
        </w:tc>
      </w:tr>
      <w:tr w14:paraId="33EF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2F09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3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老工贸小区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1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文山路附4号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84C4B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C48A39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F9359F">
            <w:pPr>
              <w:jc w:val="center"/>
              <w:rPr>
                <w:rFonts w:hint="eastAsia" w:ascii="宋体" w:hAnsi="宋体" w:eastAsia="宋体" w:cs="宋体"/>
                <w:i w:val="0"/>
                <w:iCs w:val="0"/>
                <w:color w:val="000000"/>
                <w:sz w:val="24"/>
                <w:szCs w:val="24"/>
                <w:u w:val="none"/>
              </w:rPr>
            </w:pPr>
          </w:p>
        </w:tc>
      </w:tr>
      <w:tr w14:paraId="490C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3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C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C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同顺楼和天华路16-18号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A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庐陵大道9号、天华路16、附16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5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4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8153FB1">
            <w:pPr>
              <w:jc w:val="center"/>
              <w:rPr>
                <w:rFonts w:hint="eastAsia" w:ascii="宋体" w:hAnsi="宋体" w:eastAsia="宋体" w:cs="宋体"/>
                <w:i w:val="0"/>
                <w:iCs w:val="0"/>
                <w:color w:val="000000"/>
                <w:sz w:val="24"/>
                <w:szCs w:val="24"/>
                <w:u w:val="none"/>
              </w:rPr>
            </w:pPr>
          </w:p>
        </w:tc>
      </w:tr>
      <w:tr w14:paraId="43D1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6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水利水电</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AF5610C">
            <w:pPr>
              <w:jc w:val="center"/>
              <w:rPr>
                <w:rFonts w:hint="eastAsia" w:ascii="宋体" w:hAnsi="宋体" w:eastAsia="宋体" w:cs="宋体"/>
                <w:i w:val="0"/>
                <w:iCs w:val="0"/>
                <w:color w:val="000000"/>
                <w:sz w:val="24"/>
                <w:szCs w:val="24"/>
                <w:u w:val="none"/>
              </w:rPr>
            </w:pPr>
          </w:p>
        </w:tc>
      </w:tr>
      <w:tr w14:paraId="7695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2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5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福华</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3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龙背巷和福华路</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E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文山路、福华路16-36号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0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3ABB07">
            <w:pPr>
              <w:jc w:val="center"/>
              <w:rPr>
                <w:rFonts w:hint="eastAsia" w:ascii="宋体" w:hAnsi="宋体" w:eastAsia="宋体" w:cs="宋体"/>
                <w:i w:val="0"/>
                <w:iCs w:val="0"/>
                <w:color w:val="000000"/>
                <w:sz w:val="24"/>
                <w:szCs w:val="24"/>
                <w:u w:val="none"/>
              </w:rPr>
            </w:pPr>
          </w:p>
        </w:tc>
      </w:tr>
      <w:tr w14:paraId="1D10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6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7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1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君山大道287-315号及富川路1-37号小区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君山大道287-315号富川路1-37号振兴路9号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3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23230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0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662BA0C">
            <w:pPr>
              <w:jc w:val="center"/>
              <w:rPr>
                <w:rFonts w:hint="eastAsia" w:ascii="宋体" w:hAnsi="宋体" w:eastAsia="宋体" w:cs="宋体"/>
                <w:i w:val="0"/>
                <w:iCs w:val="0"/>
                <w:color w:val="000000"/>
                <w:sz w:val="24"/>
                <w:szCs w:val="24"/>
                <w:u w:val="none"/>
              </w:rPr>
            </w:pPr>
          </w:p>
        </w:tc>
      </w:tr>
      <w:tr w14:paraId="323A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B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1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B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星火路、富川路、建设大道、振兴路连片散区小区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E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振兴路8-20号、星火路2-8号、10-20号建设大道24-30号、富川路39-75号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E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A7B6011">
            <w:pPr>
              <w:jc w:val="center"/>
              <w:rPr>
                <w:rFonts w:hint="eastAsia" w:ascii="宋体" w:hAnsi="宋体" w:eastAsia="宋体" w:cs="宋体"/>
                <w:i w:val="0"/>
                <w:iCs w:val="0"/>
                <w:color w:val="000000"/>
                <w:sz w:val="24"/>
                <w:szCs w:val="24"/>
                <w:u w:val="none"/>
              </w:rPr>
            </w:pPr>
          </w:p>
        </w:tc>
      </w:tr>
      <w:tr w14:paraId="2CF2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F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聚福苑连片小区(振兴路，星火路，建设大道)</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聚福苑、振兴路2号附近、曲濑、固江集资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4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D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A8C742">
            <w:pPr>
              <w:jc w:val="center"/>
              <w:rPr>
                <w:rFonts w:hint="eastAsia" w:ascii="宋体" w:hAnsi="宋体" w:eastAsia="宋体" w:cs="宋体"/>
                <w:i w:val="0"/>
                <w:iCs w:val="0"/>
                <w:color w:val="000000"/>
                <w:sz w:val="24"/>
                <w:szCs w:val="24"/>
                <w:u w:val="none"/>
              </w:rPr>
            </w:pPr>
          </w:p>
        </w:tc>
      </w:tr>
      <w:tr w14:paraId="5E26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0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D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梨山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0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君山大道261号至285号及星火路7号，兴华路、振兴路连片散区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55C492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君山大道261-285号、星火路1-13号(除5、7号)兴华路10-38号星火路7号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F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53520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F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54B474">
            <w:pPr>
              <w:jc w:val="center"/>
              <w:rPr>
                <w:rFonts w:hint="eastAsia" w:ascii="宋体" w:hAnsi="宋体" w:eastAsia="宋体" w:cs="宋体"/>
                <w:i w:val="0"/>
                <w:iCs w:val="0"/>
                <w:color w:val="000000"/>
                <w:sz w:val="24"/>
                <w:szCs w:val="24"/>
                <w:u w:val="none"/>
              </w:rPr>
            </w:pPr>
          </w:p>
        </w:tc>
      </w:tr>
      <w:tr w14:paraId="1703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F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6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月形湖周边</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君山大道290-366号(双号)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E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D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A9E42C0">
            <w:pPr>
              <w:jc w:val="center"/>
              <w:rPr>
                <w:rFonts w:hint="eastAsia" w:ascii="宋体" w:hAnsi="宋体" w:eastAsia="宋体" w:cs="宋体"/>
                <w:i w:val="0"/>
                <w:iCs w:val="0"/>
                <w:color w:val="000000"/>
                <w:sz w:val="24"/>
                <w:szCs w:val="24"/>
                <w:u w:val="none"/>
              </w:rPr>
            </w:pPr>
          </w:p>
        </w:tc>
      </w:tr>
      <w:tr w14:paraId="062B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8EF6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C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7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井冈山大市场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B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兴华路19号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FC14E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5CEB3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E1B94F4">
            <w:pPr>
              <w:jc w:val="center"/>
              <w:rPr>
                <w:rFonts w:hint="eastAsia" w:ascii="宋体" w:hAnsi="宋体" w:eastAsia="宋体" w:cs="宋体"/>
                <w:i w:val="0"/>
                <w:iCs w:val="0"/>
                <w:color w:val="000000"/>
                <w:sz w:val="24"/>
                <w:szCs w:val="24"/>
                <w:u w:val="none"/>
              </w:rPr>
            </w:pPr>
          </w:p>
        </w:tc>
      </w:tr>
      <w:tr w14:paraId="3A41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9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A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A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鼎丰大厦及附属楼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8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君山大道与吉安大道交汇处西北角</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9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7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22F53AE">
            <w:pPr>
              <w:jc w:val="center"/>
              <w:rPr>
                <w:rFonts w:hint="eastAsia" w:ascii="宋体" w:hAnsi="宋体" w:eastAsia="宋体" w:cs="宋体"/>
                <w:i w:val="0"/>
                <w:iCs w:val="0"/>
                <w:color w:val="000000"/>
                <w:sz w:val="24"/>
                <w:szCs w:val="24"/>
                <w:u w:val="none"/>
              </w:rPr>
            </w:pPr>
          </w:p>
        </w:tc>
      </w:tr>
      <w:tr w14:paraId="093C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7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2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6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物协宿舍、发改委宿舍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1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东昌路9、11号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F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4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84BA09">
            <w:pPr>
              <w:jc w:val="center"/>
              <w:rPr>
                <w:rFonts w:hint="eastAsia" w:ascii="宋体" w:hAnsi="宋体" w:eastAsia="宋体" w:cs="宋体"/>
                <w:i w:val="0"/>
                <w:iCs w:val="0"/>
                <w:color w:val="000000"/>
                <w:sz w:val="24"/>
                <w:szCs w:val="24"/>
                <w:u w:val="none"/>
              </w:rPr>
            </w:pPr>
          </w:p>
        </w:tc>
      </w:tr>
      <w:tr w14:paraId="2397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0DA9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6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8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中医院宿舍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B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6E289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A2E907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9DAD3D">
            <w:pPr>
              <w:jc w:val="center"/>
              <w:rPr>
                <w:rFonts w:hint="eastAsia" w:ascii="宋体" w:hAnsi="宋体" w:eastAsia="宋体" w:cs="宋体"/>
                <w:i w:val="0"/>
                <w:iCs w:val="0"/>
                <w:color w:val="000000"/>
                <w:sz w:val="24"/>
                <w:szCs w:val="24"/>
                <w:u w:val="none"/>
              </w:rPr>
            </w:pPr>
          </w:p>
        </w:tc>
      </w:tr>
      <w:tr w14:paraId="0B51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3A510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E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泉塘</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0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粮食局宿舍、粮食车队宿舍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东昌路8号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2321FD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423D9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F59B75">
            <w:pPr>
              <w:jc w:val="center"/>
              <w:rPr>
                <w:rFonts w:hint="eastAsia" w:ascii="宋体" w:hAnsi="宋体" w:eastAsia="宋体" w:cs="宋体"/>
                <w:i w:val="0"/>
                <w:iCs w:val="0"/>
                <w:color w:val="000000"/>
                <w:sz w:val="24"/>
                <w:szCs w:val="24"/>
                <w:u w:val="none"/>
              </w:rPr>
            </w:pPr>
          </w:p>
        </w:tc>
      </w:tr>
      <w:tr w14:paraId="0C58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F314D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A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南坑东侧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天祥路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0EBEDD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59757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23441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2A3FA73">
            <w:pPr>
              <w:jc w:val="center"/>
              <w:rPr>
                <w:rFonts w:hint="eastAsia" w:ascii="宋体" w:hAnsi="宋体" w:eastAsia="宋体" w:cs="宋体"/>
                <w:i w:val="0"/>
                <w:iCs w:val="0"/>
                <w:color w:val="000000"/>
                <w:sz w:val="24"/>
                <w:szCs w:val="24"/>
                <w:u w:val="none"/>
              </w:rPr>
            </w:pPr>
          </w:p>
        </w:tc>
      </w:tr>
      <w:tr w14:paraId="18B2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A45A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3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A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君子兰连片小区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A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赣江大道15号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82269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D99A8E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930940F">
            <w:pPr>
              <w:jc w:val="center"/>
              <w:rPr>
                <w:rFonts w:hint="eastAsia" w:ascii="宋体" w:hAnsi="宋体" w:eastAsia="宋体" w:cs="宋体"/>
                <w:i w:val="0"/>
                <w:iCs w:val="0"/>
                <w:color w:val="000000"/>
                <w:sz w:val="24"/>
                <w:szCs w:val="24"/>
                <w:u w:val="none"/>
              </w:rPr>
            </w:pPr>
          </w:p>
        </w:tc>
      </w:tr>
      <w:tr w14:paraId="6D7B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99D8E4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2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华昌</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5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兴华路西侧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3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1724EA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3440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C63345D">
            <w:pPr>
              <w:jc w:val="center"/>
              <w:rPr>
                <w:rFonts w:hint="eastAsia" w:ascii="宋体" w:hAnsi="宋体" w:eastAsia="宋体" w:cs="宋体"/>
                <w:i w:val="0"/>
                <w:iCs w:val="0"/>
                <w:color w:val="000000"/>
                <w:sz w:val="24"/>
                <w:szCs w:val="24"/>
                <w:u w:val="none"/>
              </w:rPr>
            </w:pPr>
          </w:p>
        </w:tc>
      </w:tr>
      <w:tr w14:paraId="451E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60BA84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FEEACF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60769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09207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099157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16B4C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F358406">
            <w:pPr>
              <w:jc w:val="center"/>
              <w:rPr>
                <w:rFonts w:hint="eastAsia" w:ascii="宋体" w:hAnsi="宋体" w:eastAsia="宋体" w:cs="宋体"/>
                <w:i w:val="0"/>
                <w:iCs w:val="0"/>
                <w:color w:val="000000"/>
                <w:sz w:val="24"/>
                <w:szCs w:val="24"/>
                <w:u w:val="none"/>
              </w:rPr>
            </w:pPr>
          </w:p>
        </w:tc>
      </w:tr>
      <w:tr w14:paraId="1C5E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E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0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广厦花苑周边连片小区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0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C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1825.77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A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A831915">
            <w:pPr>
              <w:jc w:val="center"/>
              <w:rPr>
                <w:rFonts w:hint="eastAsia" w:ascii="宋体" w:hAnsi="宋体" w:eastAsia="宋体" w:cs="宋体"/>
                <w:i w:val="0"/>
                <w:iCs w:val="0"/>
                <w:color w:val="000000"/>
                <w:sz w:val="24"/>
                <w:szCs w:val="24"/>
                <w:u w:val="none"/>
              </w:rPr>
            </w:pPr>
          </w:p>
        </w:tc>
      </w:tr>
      <w:tr w14:paraId="18E3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98965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AB95CA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0F3955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县中教师宿舍楼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50DD6A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11FA4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25071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877D89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F0FE06">
            <w:pPr>
              <w:jc w:val="center"/>
              <w:rPr>
                <w:rFonts w:hint="eastAsia" w:ascii="宋体" w:hAnsi="宋体" w:eastAsia="宋体" w:cs="宋体"/>
                <w:i w:val="0"/>
                <w:iCs w:val="0"/>
                <w:color w:val="000000"/>
                <w:sz w:val="24"/>
                <w:szCs w:val="24"/>
                <w:u w:val="none"/>
              </w:rPr>
            </w:pPr>
          </w:p>
        </w:tc>
      </w:tr>
      <w:tr w14:paraId="403A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3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B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3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西苑山庄</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4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吉安县314省道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与福华路交叉口</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2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1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D9B4A3">
            <w:pPr>
              <w:jc w:val="center"/>
              <w:rPr>
                <w:rFonts w:hint="eastAsia" w:ascii="宋体" w:hAnsi="宋体" w:eastAsia="宋体" w:cs="宋体"/>
                <w:i w:val="0"/>
                <w:iCs w:val="0"/>
                <w:color w:val="000000"/>
                <w:sz w:val="24"/>
                <w:szCs w:val="24"/>
                <w:u w:val="none"/>
              </w:rPr>
            </w:pPr>
          </w:p>
        </w:tc>
      </w:tr>
      <w:tr w14:paraId="130F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1C930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9CF637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1373F1C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大岭巷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73BAF9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51857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4920F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C13FFCB">
            <w:pPr>
              <w:jc w:val="center"/>
              <w:rPr>
                <w:rFonts w:hint="eastAsia" w:ascii="宋体" w:hAnsi="宋体" w:eastAsia="宋体" w:cs="宋体"/>
                <w:i w:val="0"/>
                <w:iCs w:val="0"/>
                <w:color w:val="000000"/>
                <w:sz w:val="24"/>
                <w:szCs w:val="24"/>
                <w:u w:val="none"/>
              </w:rPr>
            </w:pPr>
          </w:p>
        </w:tc>
      </w:tr>
      <w:tr w14:paraId="0557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18F12FC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5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1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老教育局</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7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51079F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56D5C8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B13D2AD">
            <w:pPr>
              <w:jc w:val="center"/>
              <w:rPr>
                <w:rFonts w:hint="eastAsia" w:ascii="宋体" w:hAnsi="宋体" w:eastAsia="宋体" w:cs="宋体"/>
                <w:i w:val="0"/>
                <w:iCs w:val="0"/>
                <w:color w:val="000000"/>
                <w:sz w:val="24"/>
                <w:szCs w:val="24"/>
                <w:u w:val="none"/>
              </w:rPr>
            </w:pPr>
          </w:p>
        </w:tc>
      </w:tr>
      <w:tr w14:paraId="1A24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A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7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白云市场周边连片小区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2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白云路36-38号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7078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B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CAF821D">
            <w:pPr>
              <w:jc w:val="center"/>
              <w:rPr>
                <w:rFonts w:hint="eastAsia" w:ascii="宋体" w:hAnsi="宋体" w:eastAsia="宋体" w:cs="宋体"/>
                <w:i w:val="0"/>
                <w:iCs w:val="0"/>
                <w:color w:val="000000"/>
                <w:sz w:val="24"/>
                <w:szCs w:val="24"/>
                <w:u w:val="none"/>
              </w:rPr>
            </w:pPr>
          </w:p>
        </w:tc>
      </w:tr>
      <w:tr w14:paraId="0E6D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B6FC90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A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金家岭</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D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金家岭小区</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3923C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78F678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8F87A1">
            <w:pPr>
              <w:jc w:val="center"/>
              <w:rPr>
                <w:rFonts w:hint="eastAsia" w:ascii="宋体" w:hAnsi="宋体" w:eastAsia="宋体" w:cs="宋体"/>
                <w:i w:val="0"/>
                <w:iCs w:val="0"/>
                <w:color w:val="000000"/>
                <w:sz w:val="24"/>
                <w:szCs w:val="24"/>
                <w:u w:val="none"/>
              </w:rPr>
            </w:pPr>
          </w:p>
        </w:tc>
      </w:tr>
      <w:tr w14:paraId="0E26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796A9D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2378BC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47D14FA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怡景楼连片小区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744FDE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白云路44号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B92E1A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8B375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318D1DA">
            <w:pPr>
              <w:jc w:val="center"/>
              <w:rPr>
                <w:rFonts w:hint="eastAsia" w:ascii="宋体" w:hAnsi="宋体" w:eastAsia="宋体" w:cs="宋体"/>
                <w:i w:val="0"/>
                <w:iCs w:val="0"/>
                <w:color w:val="000000"/>
                <w:sz w:val="24"/>
                <w:szCs w:val="24"/>
                <w:u w:val="none"/>
              </w:rPr>
            </w:pPr>
          </w:p>
        </w:tc>
      </w:tr>
      <w:tr w14:paraId="033A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9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6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C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文轩苑小区、进修学校连片小区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0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白云路17号、附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C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44BECE8">
            <w:pPr>
              <w:jc w:val="center"/>
              <w:rPr>
                <w:rFonts w:hint="eastAsia" w:ascii="宋体" w:hAnsi="宋体" w:eastAsia="宋体" w:cs="宋体"/>
                <w:i w:val="0"/>
                <w:iCs w:val="0"/>
                <w:color w:val="000000"/>
                <w:sz w:val="24"/>
                <w:szCs w:val="24"/>
                <w:u w:val="none"/>
              </w:rPr>
            </w:pPr>
          </w:p>
        </w:tc>
      </w:tr>
      <w:tr w14:paraId="3F50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B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2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文萃苑、勤办连片小区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B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白云路15号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8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B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ECF5B60">
            <w:pPr>
              <w:jc w:val="center"/>
              <w:rPr>
                <w:rFonts w:hint="eastAsia" w:ascii="宋体" w:hAnsi="宋体" w:eastAsia="宋体" w:cs="宋体"/>
                <w:i w:val="0"/>
                <w:iCs w:val="0"/>
                <w:color w:val="000000"/>
                <w:sz w:val="24"/>
                <w:szCs w:val="24"/>
                <w:u w:val="none"/>
              </w:rPr>
            </w:pPr>
          </w:p>
        </w:tc>
      </w:tr>
      <w:tr w14:paraId="78A5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D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4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卫生、疾控宿舍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庐陵大道16、18号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0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6050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C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B42DDC2">
            <w:pPr>
              <w:jc w:val="center"/>
              <w:rPr>
                <w:rFonts w:hint="eastAsia" w:ascii="宋体" w:hAnsi="宋体" w:eastAsia="宋体" w:cs="宋体"/>
                <w:i w:val="0"/>
                <w:iCs w:val="0"/>
                <w:color w:val="000000"/>
                <w:sz w:val="24"/>
                <w:szCs w:val="24"/>
                <w:u w:val="none"/>
              </w:rPr>
            </w:pPr>
          </w:p>
        </w:tc>
      </w:tr>
      <w:tr w14:paraId="35AF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13CD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FA7F9C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77C591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农资公司宿舍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8B7761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自云路13号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FDEE0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E03378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97C8A1">
            <w:pPr>
              <w:jc w:val="center"/>
              <w:rPr>
                <w:rFonts w:hint="eastAsia" w:ascii="宋体" w:hAnsi="宋体" w:eastAsia="宋体" w:cs="宋体"/>
                <w:i w:val="0"/>
                <w:iCs w:val="0"/>
                <w:color w:val="000000"/>
                <w:sz w:val="24"/>
                <w:szCs w:val="24"/>
                <w:u w:val="none"/>
              </w:rPr>
            </w:pPr>
          </w:p>
        </w:tc>
      </w:tr>
      <w:tr w14:paraId="5B4B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ACCFD5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3E13E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AD863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县医院宿舍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4CCA82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庐陵大道20号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23A877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B6723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D4B8CF">
            <w:pPr>
              <w:jc w:val="center"/>
              <w:rPr>
                <w:rFonts w:hint="eastAsia" w:ascii="宋体" w:hAnsi="宋体" w:eastAsia="宋体" w:cs="宋体"/>
                <w:i w:val="0"/>
                <w:iCs w:val="0"/>
                <w:color w:val="000000"/>
                <w:sz w:val="24"/>
                <w:szCs w:val="24"/>
                <w:u w:val="none"/>
              </w:rPr>
            </w:pPr>
          </w:p>
        </w:tc>
      </w:tr>
      <w:tr w14:paraId="102F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D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云滨苑及老建办宿舍周边连片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D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白云路33号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6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D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0F67A9A">
            <w:pPr>
              <w:jc w:val="center"/>
              <w:rPr>
                <w:rFonts w:hint="eastAsia" w:ascii="宋体" w:hAnsi="宋体" w:eastAsia="宋体" w:cs="宋体"/>
                <w:i w:val="0"/>
                <w:iCs w:val="0"/>
                <w:color w:val="000000"/>
                <w:sz w:val="24"/>
                <w:szCs w:val="24"/>
                <w:u w:val="none"/>
              </w:rPr>
            </w:pPr>
          </w:p>
        </w:tc>
      </w:tr>
      <w:tr w14:paraId="727B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C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A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7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凤凰路26号至34号双号连片小区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1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凤凰路26号周边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B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4D9C33">
            <w:pPr>
              <w:jc w:val="center"/>
              <w:rPr>
                <w:rFonts w:hint="eastAsia" w:ascii="宋体" w:hAnsi="宋体" w:eastAsia="宋体" w:cs="宋体"/>
                <w:i w:val="0"/>
                <w:iCs w:val="0"/>
                <w:color w:val="000000"/>
                <w:sz w:val="24"/>
                <w:szCs w:val="24"/>
                <w:u w:val="none"/>
              </w:rPr>
            </w:pPr>
          </w:p>
        </w:tc>
      </w:tr>
      <w:tr w14:paraId="7AA8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4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4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白云路27号至39号单号连片小区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白云路27号周边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1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D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198687">
            <w:pPr>
              <w:jc w:val="center"/>
              <w:rPr>
                <w:rFonts w:hint="eastAsia" w:ascii="宋体" w:hAnsi="宋体" w:eastAsia="宋体" w:cs="宋体"/>
                <w:i w:val="0"/>
                <w:iCs w:val="0"/>
                <w:color w:val="000000"/>
                <w:sz w:val="24"/>
                <w:szCs w:val="24"/>
                <w:u w:val="none"/>
              </w:rPr>
            </w:pPr>
          </w:p>
        </w:tc>
      </w:tr>
      <w:tr w14:paraId="7DC5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D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金家</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白云粮站至白云路57号单号连片小区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白云粮站宿舍周边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2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B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46D6C20">
            <w:pPr>
              <w:jc w:val="center"/>
              <w:rPr>
                <w:rFonts w:hint="eastAsia" w:ascii="宋体" w:hAnsi="宋体" w:eastAsia="宋体" w:cs="宋体"/>
                <w:i w:val="0"/>
                <w:iCs w:val="0"/>
                <w:color w:val="000000"/>
                <w:sz w:val="24"/>
                <w:szCs w:val="24"/>
                <w:u w:val="none"/>
              </w:rPr>
            </w:pPr>
          </w:p>
        </w:tc>
      </w:tr>
      <w:tr w14:paraId="39A9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8C38E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C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1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环卫所宿舍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7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凤凰路43号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ADD78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88C76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AE71C1">
            <w:pPr>
              <w:jc w:val="center"/>
              <w:rPr>
                <w:rFonts w:hint="eastAsia" w:ascii="宋体" w:hAnsi="宋体" w:eastAsia="宋体" w:cs="宋体"/>
                <w:i w:val="0"/>
                <w:iCs w:val="0"/>
                <w:color w:val="000000"/>
                <w:sz w:val="24"/>
                <w:szCs w:val="24"/>
                <w:u w:val="none"/>
              </w:rPr>
            </w:pPr>
          </w:p>
        </w:tc>
      </w:tr>
      <w:tr w14:paraId="7F1C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A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1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D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君山大道388-378号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15078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1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2EF7C7A">
            <w:pPr>
              <w:jc w:val="center"/>
              <w:rPr>
                <w:rFonts w:hint="eastAsia" w:ascii="宋体" w:hAnsi="宋体" w:eastAsia="宋体" w:cs="宋体"/>
                <w:i w:val="0"/>
                <w:iCs w:val="0"/>
                <w:color w:val="000000"/>
                <w:sz w:val="24"/>
                <w:szCs w:val="24"/>
                <w:u w:val="none"/>
              </w:rPr>
            </w:pPr>
          </w:p>
        </w:tc>
      </w:tr>
      <w:tr w14:paraId="6740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BAF63B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0BFBA4E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842C7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325号小区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546BF82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017A65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79B6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E7E834">
            <w:pPr>
              <w:jc w:val="center"/>
              <w:rPr>
                <w:rFonts w:hint="eastAsia" w:ascii="宋体" w:hAnsi="宋体" w:eastAsia="宋体" w:cs="宋体"/>
                <w:i w:val="0"/>
                <w:iCs w:val="0"/>
                <w:color w:val="000000"/>
                <w:sz w:val="24"/>
                <w:szCs w:val="24"/>
                <w:u w:val="none"/>
              </w:rPr>
            </w:pPr>
          </w:p>
        </w:tc>
      </w:tr>
      <w:tr w14:paraId="6B2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E17E10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BDDA31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562D91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宏源小区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3BA3CC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41FFC6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4225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6C37F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F3CC78">
            <w:pPr>
              <w:jc w:val="center"/>
              <w:rPr>
                <w:rFonts w:hint="eastAsia" w:ascii="宋体" w:hAnsi="宋体" w:eastAsia="宋体" w:cs="宋体"/>
                <w:i w:val="0"/>
                <w:iCs w:val="0"/>
                <w:color w:val="000000"/>
                <w:sz w:val="24"/>
                <w:szCs w:val="24"/>
                <w:u w:val="none"/>
              </w:rPr>
            </w:pPr>
          </w:p>
        </w:tc>
      </w:tr>
      <w:tr w14:paraId="1DAC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231E9D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D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F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开发办宿舍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4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君山大道321号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0E8E72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F5BF0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6CF02F3">
            <w:pPr>
              <w:jc w:val="center"/>
              <w:rPr>
                <w:rFonts w:hint="eastAsia" w:ascii="宋体" w:hAnsi="宋体" w:eastAsia="宋体" w:cs="宋体"/>
                <w:i w:val="0"/>
                <w:iCs w:val="0"/>
                <w:color w:val="000000"/>
                <w:sz w:val="24"/>
                <w:szCs w:val="24"/>
                <w:u w:val="none"/>
              </w:rPr>
            </w:pPr>
          </w:p>
        </w:tc>
      </w:tr>
      <w:tr w14:paraId="6644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AA7C4B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8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湖滨</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5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振兴小区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富川路102号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552FE4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5EEEE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788CD5">
            <w:pPr>
              <w:jc w:val="center"/>
              <w:rPr>
                <w:rFonts w:hint="eastAsia" w:ascii="宋体" w:hAnsi="宋体" w:eastAsia="宋体" w:cs="宋体"/>
                <w:i w:val="0"/>
                <w:iCs w:val="0"/>
                <w:color w:val="000000"/>
                <w:sz w:val="24"/>
                <w:szCs w:val="24"/>
                <w:u w:val="none"/>
              </w:rPr>
            </w:pPr>
          </w:p>
        </w:tc>
      </w:tr>
      <w:tr w14:paraId="7AF6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A807C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吉州小区连片（开放式）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1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吉州路9号到白云路5号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1C9B7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6680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3CF1E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6CB2270">
            <w:pPr>
              <w:jc w:val="center"/>
              <w:rPr>
                <w:rFonts w:hint="eastAsia" w:ascii="宋体" w:hAnsi="宋体" w:eastAsia="宋体" w:cs="宋体"/>
                <w:i w:val="0"/>
                <w:iCs w:val="0"/>
                <w:color w:val="000000"/>
                <w:sz w:val="24"/>
                <w:szCs w:val="24"/>
                <w:u w:val="none"/>
              </w:rPr>
            </w:pPr>
          </w:p>
        </w:tc>
      </w:tr>
      <w:tr w14:paraId="4B53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3B164B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老年公寓</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7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1F9E91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68F23E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677E3BF">
            <w:pPr>
              <w:jc w:val="center"/>
              <w:rPr>
                <w:rFonts w:hint="eastAsia" w:ascii="宋体" w:hAnsi="宋体" w:eastAsia="宋体" w:cs="宋体"/>
                <w:i w:val="0"/>
                <w:iCs w:val="0"/>
                <w:color w:val="000000"/>
                <w:sz w:val="24"/>
                <w:szCs w:val="24"/>
                <w:u w:val="none"/>
              </w:rPr>
            </w:pPr>
          </w:p>
        </w:tc>
      </w:tr>
      <w:tr w14:paraId="44AA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8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A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凤凰路附8号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F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凤凰路附8号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0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3E61BF8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F0CF33">
            <w:pPr>
              <w:jc w:val="center"/>
              <w:rPr>
                <w:rFonts w:hint="eastAsia" w:ascii="宋体" w:hAnsi="宋体" w:eastAsia="宋体" w:cs="宋体"/>
                <w:i w:val="0"/>
                <w:iCs w:val="0"/>
                <w:color w:val="000000"/>
                <w:sz w:val="24"/>
                <w:szCs w:val="24"/>
                <w:u w:val="none"/>
              </w:rPr>
            </w:pPr>
          </w:p>
        </w:tc>
      </w:tr>
      <w:tr w14:paraId="5819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F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7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凤凰商住楼</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0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凤凰路5号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2A362ED3">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13A1A94">
            <w:pPr>
              <w:jc w:val="center"/>
              <w:rPr>
                <w:rFonts w:hint="eastAsia" w:ascii="宋体" w:hAnsi="宋体" w:eastAsia="宋体" w:cs="宋体"/>
                <w:i w:val="0"/>
                <w:iCs w:val="0"/>
                <w:color w:val="000000"/>
                <w:sz w:val="24"/>
                <w:szCs w:val="24"/>
                <w:u w:val="none"/>
              </w:rPr>
            </w:pPr>
          </w:p>
        </w:tc>
      </w:tr>
      <w:tr w14:paraId="7396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8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8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3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凤凰佳苑连片小区(瑶前开发房、老农业银行宿舍、玉甫开发房、凤凰佳苑)(开放式)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凤凰路与吉州路交叉口</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B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A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227B08">
            <w:pPr>
              <w:jc w:val="center"/>
              <w:rPr>
                <w:rFonts w:hint="eastAsia" w:ascii="宋体" w:hAnsi="宋体" w:eastAsia="宋体" w:cs="宋体"/>
                <w:i w:val="0"/>
                <w:iCs w:val="0"/>
                <w:color w:val="000000"/>
                <w:sz w:val="24"/>
                <w:szCs w:val="24"/>
                <w:u w:val="none"/>
              </w:rPr>
            </w:pPr>
          </w:p>
        </w:tc>
      </w:tr>
      <w:tr w14:paraId="24F6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6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B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荆岭巷散户(东西侧) (开放式)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3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E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D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B155165">
            <w:pPr>
              <w:jc w:val="center"/>
              <w:rPr>
                <w:rFonts w:hint="eastAsia" w:ascii="宋体" w:hAnsi="宋体" w:eastAsia="宋体" w:cs="宋体"/>
                <w:i w:val="0"/>
                <w:iCs w:val="0"/>
                <w:color w:val="000000"/>
                <w:sz w:val="24"/>
                <w:szCs w:val="24"/>
                <w:u w:val="none"/>
              </w:rPr>
            </w:pPr>
          </w:p>
        </w:tc>
      </w:tr>
      <w:tr w14:paraId="40FB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B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吉州路21.23.25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3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6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0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CA275BA">
            <w:pPr>
              <w:jc w:val="center"/>
              <w:rPr>
                <w:rFonts w:hint="eastAsia" w:ascii="宋体" w:hAnsi="宋体" w:eastAsia="宋体" w:cs="宋体"/>
                <w:i w:val="0"/>
                <w:iCs w:val="0"/>
                <w:color w:val="000000"/>
                <w:sz w:val="24"/>
                <w:szCs w:val="24"/>
                <w:u w:val="none"/>
              </w:rPr>
            </w:pPr>
          </w:p>
        </w:tc>
      </w:tr>
      <w:tr w14:paraId="4585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F857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3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6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盘龙安置小区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吉州路附24号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16508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4260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CAACD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9D2C7C7">
            <w:pPr>
              <w:jc w:val="center"/>
              <w:rPr>
                <w:rFonts w:hint="eastAsia" w:ascii="宋体" w:hAnsi="宋体" w:eastAsia="宋体" w:cs="宋体"/>
                <w:i w:val="0"/>
                <w:iCs w:val="0"/>
                <w:color w:val="000000"/>
                <w:sz w:val="24"/>
                <w:szCs w:val="24"/>
                <w:u w:val="none"/>
              </w:rPr>
            </w:pPr>
          </w:p>
        </w:tc>
      </w:tr>
      <w:tr w14:paraId="3D46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4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D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三星岭居民点(开放式)</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7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凤凰路2号融城及二七路旁边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B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5277F77C">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345FDA9">
            <w:pPr>
              <w:jc w:val="center"/>
              <w:rPr>
                <w:rFonts w:hint="eastAsia" w:ascii="宋体" w:hAnsi="宋体" w:eastAsia="宋体" w:cs="宋体"/>
                <w:i w:val="0"/>
                <w:iCs w:val="0"/>
                <w:color w:val="000000"/>
                <w:sz w:val="24"/>
                <w:szCs w:val="24"/>
                <w:u w:val="none"/>
              </w:rPr>
            </w:pPr>
          </w:p>
        </w:tc>
      </w:tr>
      <w:tr w14:paraId="3A7D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6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A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相翰楼(新小区，入住率低)</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C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二七路三星岭30号旁</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9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6CF81D7">
            <w:pPr>
              <w:jc w:val="center"/>
              <w:rPr>
                <w:rFonts w:hint="eastAsia" w:ascii="宋体" w:hAnsi="宋体" w:eastAsia="宋体" w:cs="宋体"/>
                <w:i w:val="0"/>
                <w:iCs w:val="0"/>
                <w:color w:val="000000"/>
                <w:sz w:val="24"/>
                <w:szCs w:val="24"/>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BA2ECD6">
            <w:pPr>
              <w:jc w:val="center"/>
              <w:rPr>
                <w:rFonts w:hint="eastAsia" w:ascii="宋体" w:hAnsi="宋体" w:eastAsia="宋体" w:cs="宋体"/>
                <w:i w:val="0"/>
                <w:iCs w:val="0"/>
                <w:color w:val="000000"/>
                <w:sz w:val="24"/>
                <w:szCs w:val="24"/>
                <w:u w:val="none"/>
              </w:rPr>
            </w:pPr>
          </w:p>
        </w:tc>
      </w:tr>
      <w:tr w14:paraId="6F81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DE89BC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F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广苑小区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F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富川路1号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1EBF03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763CA5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AF931EA">
            <w:pPr>
              <w:jc w:val="center"/>
              <w:rPr>
                <w:rFonts w:hint="eastAsia" w:ascii="宋体" w:hAnsi="宋体" w:eastAsia="宋体" w:cs="宋体"/>
                <w:i w:val="0"/>
                <w:iCs w:val="0"/>
                <w:color w:val="000000"/>
                <w:sz w:val="24"/>
                <w:szCs w:val="24"/>
                <w:u w:val="none"/>
              </w:rPr>
            </w:pPr>
          </w:p>
        </w:tc>
      </w:tr>
      <w:tr w14:paraId="2F15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A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E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妇保宿舍连片小区(含妇保宿舍、原药检宿舍、工信委院内老宿舍，共计3个点 )</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0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庐陵大道48号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0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0D7B79F">
            <w:pPr>
              <w:jc w:val="center"/>
              <w:rPr>
                <w:rFonts w:hint="eastAsia" w:ascii="宋体" w:hAnsi="宋体" w:eastAsia="宋体" w:cs="宋体"/>
                <w:i w:val="0"/>
                <w:iCs w:val="0"/>
                <w:color w:val="000000"/>
                <w:sz w:val="24"/>
                <w:szCs w:val="24"/>
                <w:u w:val="none"/>
              </w:rPr>
            </w:pPr>
          </w:p>
        </w:tc>
      </w:tr>
      <w:tr w14:paraId="4498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D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3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原地税局粮贸宿舍连片小区(原粮贸宿舍、地税局宿舍、兴华路184号附近住宅 )</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A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庐陵大道52号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35035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9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73F9194">
            <w:pPr>
              <w:jc w:val="center"/>
              <w:rPr>
                <w:rFonts w:hint="eastAsia" w:ascii="宋体" w:hAnsi="宋体" w:eastAsia="宋体" w:cs="宋体"/>
                <w:i w:val="0"/>
                <w:iCs w:val="0"/>
                <w:color w:val="000000"/>
                <w:sz w:val="24"/>
                <w:szCs w:val="24"/>
                <w:u w:val="none"/>
              </w:rPr>
            </w:pPr>
          </w:p>
        </w:tc>
      </w:tr>
      <w:tr w14:paraId="38DB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3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兴华路软腰172号-176号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1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兴华路软腰处</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B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3B4F3B0B">
            <w:pPr>
              <w:jc w:val="center"/>
              <w:rPr>
                <w:rFonts w:hint="eastAsia" w:ascii="宋体" w:hAnsi="宋体" w:eastAsia="宋体" w:cs="宋体"/>
                <w:i w:val="0"/>
                <w:iCs w:val="0"/>
                <w:color w:val="000000"/>
                <w:sz w:val="24"/>
                <w:szCs w:val="24"/>
                <w:u w:val="none"/>
              </w:rPr>
            </w:pPr>
          </w:p>
        </w:tc>
      </w:tr>
      <w:tr w14:paraId="07E8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95F219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140D89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5CC7FC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丘塘小区连片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6B8707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修型岭路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C2C67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112E6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646261E">
            <w:pPr>
              <w:jc w:val="center"/>
              <w:rPr>
                <w:rFonts w:hint="eastAsia" w:ascii="宋体" w:hAnsi="宋体" w:eastAsia="宋体" w:cs="宋体"/>
                <w:i w:val="0"/>
                <w:iCs w:val="0"/>
                <w:color w:val="000000"/>
                <w:sz w:val="24"/>
                <w:szCs w:val="24"/>
                <w:u w:val="none"/>
              </w:rPr>
            </w:pPr>
          </w:p>
        </w:tc>
      </w:tr>
      <w:tr w14:paraId="10E8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F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E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C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庐陵大道信用联社宿舍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9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庐陵大道60号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8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8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1A2DBB3">
            <w:pPr>
              <w:jc w:val="center"/>
              <w:rPr>
                <w:rFonts w:hint="eastAsia" w:ascii="宋体" w:hAnsi="宋体" w:eastAsia="宋体" w:cs="宋体"/>
                <w:i w:val="0"/>
                <w:iCs w:val="0"/>
                <w:color w:val="000000"/>
                <w:sz w:val="24"/>
                <w:szCs w:val="24"/>
                <w:u w:val="none"/>
              </w:rPr>
            </w:pPr>
          </w:p>
        </w:tc>
      </w:tr>
      <w:tr w14:paraId="35F0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4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0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1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林业公司宿舍连片小区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7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兴华路73号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30599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B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42D2B0D">
            <w:pPr>
              <w:jc w:val="center"/>
              <w:rPr>
                <w:rFonts w:hint="eastAsia" w:ascii="宋体" w:hAnsi="宋体" w:eastAsia="宋体" w:cs="宋体"/>
                <w:i w:val="0"/>
                <w:iCs w:val="0"/>
                <w:color w:val="000000"/>
                <w:sz w:val="24"/>
                <w:szCs w:val="24"/>
                <w:u w:val="none"/>
              </w:rPr>
            </w:pPr>
          </w:p>
        </w:tc>
      </w:tr>
      <w:tr w14:paraId="63EA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254A0E9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9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城东市场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1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兴华路81号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3A4BBC1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4762A83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2B430DCE">
            <w:pPr>
              <w:jc w:val="center"/>
              <w:rPr>
                <w:rFonts w:hint="eastAsia" w:ascii="宋体" w:hAnsi="宋体" w:eastAsia="宋体" w:cs="宋体"/>
                <w:i w:val="0"/>
                <w:iCs w:val="0"/>
                <w:color w:val="000000"/>
                <w:sz w:val="24"/>
                <w:szCs w:val="24"/>
                <w:u w:val="none"/>
              </w:rPr>
            </w:pPr>
          </w:p>
        </w:tc>
      </w:tr>
      <w:tr w14:paraId="074F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0E7C09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8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2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渡头粮站小区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3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庐陵大道64号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20C5030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89E14F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8AB57F">
            <w:pPr>
              <w:jc w:val="center"/>
              <w:rPr>
                <w:rFonts w:hint="eastAsia" w:ascii="宋体" w:hAnsi="宋体" w:eastAsia="宋体" w:cs="宋体"/>
                <w:i w:val="0"/>
                <w:iCs w:val="0"/>
                <w:color w:val="000000"/>
                <w:sz w:val="24"/>
                <w:szCs w:val="24"/>
                <w:u w:val="none"/>
              </w:rPr>
            </w:pPr>
          </w:p>
        </w:tc>
      </w:tr>
      <w:tr w14:paraId="0216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C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9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8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庐陵大道35-43号散户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1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庐陵大道35-43号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4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16A2767">
            <w:pPr>
              <w:jc w:val="center"/>
              <w:rPr>
                <w:rFonts w:hint="eastAsia" w:ascii="宋体" w:hAnsi="宋体" w:eastAsia="宋体" w:cs="宋体"/>
                <w:i w:val="0"/>
                <w:iCs w:val="0"/>
                <w:color w:val="000000"/>
                <w:sz w:val="24"/>
                <w:szCs w:val="24"/>
                <w:u w:val="none"/>
              </w:rPr>
            </w:pPr>
          </w:p>
        </w:tc>
      </w:tr>
      <w:tr w14:paraId="4EF0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 </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3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门岭小区</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4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庐陵大道41号环保局后面</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9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3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101EAF7C">
            <w:pPr>
              <w:jc w:val="center"/>
              <w:rPr>
                <w:rFonts w:hint="eastAsia" w:ascii="宋体" w:hAnsi="宋体" w:eastAsia="宋体" w:cs="宋体"/>
                <w:i w:val="0"/>
                <w:iCs w:val="0"/>
                <w:color w:val="000000"/>
                <w:sz w:val="24"/>
                <w:szCs w:val="24"/>
                <w:u w:val="none"/>
              </w:rPr>
            </w:pPr>
          </w:p>
        </w:tc>
      </w:tr>
      <w:tr w14:paraId="4B90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E0164F0">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55363C19">
            <w:pPr>
              <w:jc w:val="center"/>
              <w:rPr>
                <w:rFonts w:hint="eastAsia" w:ascii="宋体" w:hAnsi="宋体" w:eastAsia="宋体" w:cs="宋体"/>
                <w:i w:val="0"/>
                <w:iCs w:val="0"/>
                <w:color w:val="000000"/>
                <w:sz w:val="24"/>
                <w:szCs w:val="24"/>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362C9C1D">
            <w:pPr>
              <w:jc w:val="center"/>
              <w:rPr>
                <w:rFonts w:hint="eastAsia" w:ascii="宋体" w:hAnsi="宋体" w:eastAsia="宋体" w:cs="宋体"/>
                <w:i w:val="0"/>
                <w:iCs w:val="0"/>
                <w:color w:val="000000"/>
                <w:sz w:val="24"/>
                <w:szCs w:val="24"/>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top"/>
          </w:tcPr>
          <w:p w14:paraId="2BC8586F">
            <w:pPr>
              <w:jc w:val="center"/>
              <w:rPr>
                <w:rFonts w:hint="eastAsia" w:ascii="宋体" w:hAnsi="宋体" w:eastAsia="宋体" w:cs="宋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F9CDBB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982728.27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CA24C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6264 </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D3C47B">
            <w:pPr>
              <w:jc w:val="center"/>
              <w:rPr>
                <w:rFonts w:hint="eastAsia" w:ascii="宋体" w:hAnsi="宋体" w:eastAsia="宋体" w:cs="宋体"/>
                <w:i w:val="0"/>
                <w:iCs w:val="0"/>
                <w:color w:val="000000"/>
                <w:sz w:val="24"/>
                <w:szCs w:val="24"/>
                <w:u w:val="none"/>
              </w:rPr>
            </w:pPr>
          </w:p>
        </w:tc>
      </w:tr>
    </w:tbl>
    <w:p w14:paraId="41B04B1D">
      <w:pPr>
        <w:rPr>
          <w:rFonts w:hint="default"/>
          <w:sz w:val="24"/>
          <w:szCs w:val="24"/>
          <w:lang w:val="en-US" w:eastAsia="zh-CN"/>
        </w:rPr>
      </w:pPr>
      <w:r>
        <w:rPr>
          <w:rFonts w:hint="default"/>
          <w:sz w:val="24"/>
          <w:szCs w:val="24"/>
          <w:lang w:val="en-US" w:eastAsia="zh-CN"/>
        </w:rPr>
        <w:t>2.2</w:t>
      </w:r>
      <w:r>
        <w:rPr>
          <w:rFonts w:hint="eastAsia"/>
          <w:sz w:val="24"/>
          <w:szCs w:val="24"/>
          <w:lang w:val="en-US" w:eastAsia="zh-CN"/>
        </w:rPr>
        <w:t>、</w:t>
      </w:r>
      <w:r>
        <w:rPr>
          <w:rFonts w:hint="default"/>
          <w:sz w:val="24"/>
          <w:szCs w:val="24"/>
          <w:lang w:val="en-US" w:eastAsia="zh-CN"/>
        </w:rPr>
        <w:t>防控范围：吉安县城区文昌苑等89个住宅小区，公共绿地约982728.27㎡，树木约6264株；本项目绿化治理面积、树木数量为采购人根据现有档案及现场初步勘查测算得出，实际以合同履行期间的现场核实为准；</w:t>
      </w:r>
      <w:r>
        <w:rPr>
          <w:rFonts w:hint="eastAsia"/>
          <w:sz w:val="24"/>
          <w:szCs w:val="24"/>
          <w:lang w:val="en-US" w:eastAsia="zh-CN"/>
        </w:rPr>
        <w:t>供应商</w:t>
      </w:r>
      <w:r>
        <w:rPr>
          <w:rFonts w:hint="default"/>
          <w:sz w:val="24"/>
          <w:szCs w:val="24"/>
          <w:lang w:val="en-US" w:eastAsia="zh-CN"/>
        </w:rPr>
        <w:t>报价时应充分考虑现场可能存在的工程量偏差，合同总价包干，不因实际工程量与载明量的差异调整。</w:t>
      </w:r>
    </w:p>
    <w:p w14:paraId="7DAE5B86">
      <w:pPr>
        <w:rPr>
          <w:rFonts w:hint="default"/>
          <w:sz w:val="24"/>
          <w:szCs w:val="24"/>
          <w:lang w:val="en-US" w:eastAsia="zh-CN"/>
        </w:rPr>
      </w:pPr>
      <w:r>
        <w:rPr>
          <w:rFonts w:hint="default"/>
          <w:sz w:val="24"/>
          <w:szCs w:val="24"/>
          <w:lang w:val="en-US" w:eastAsia="zh-CN"/>
        </w:rPr>
        <w:t>3、防控用药标准</w:t>
      </w:r>
    </w:p>
    <w:p w14:paraId="3EFF3E17">
      <w:pPr>
        <w:rPr>
          <w:rFonts w:hint="default"/>
          <w:sz w:val="24"/>
          <w:szCs w:val="24"/>
          <w:lang w:val="en-US" w:eastAsia="zh-CN"/>
        </w:rPr>
      </w:pPr>
      <w:r>
        <w:rPr>
          <w:rFonts w:hint="default"/>
          <w:sz w:val="24"/>
          <w:szCs w:val="24"/>
          <w:lang w:val="en-US" w:eastAsia="zh-CN"/>
        </w:rPr>
        <w:t>白蚁防控所使用的药剂必须高效、低毒、环保、三证齐全，且登记防治对象包含白蚁；</w:t>
      </w:r>
      <w:r>
        <w:rPr>
          <w:rFonts w:hint="eastAsia"/>
          <w:sz w:val="24"/>
          <w:szCs w:val="24"/>
          <w:lang w:val="en-US" w:eastAsia="zh-CN"/>
        </w:rPr>
        <w:t>供应商</w:t>
      </w:r>
      <w:r>
        <w:rPr>
          <w:rFonts w:hint="default"/>
          <w:sz w:val="24"/>
          <w:szCs w:val="24"/>
          <w:lang w:val="en-US" w:eastAsia="zh-CN"/>
        </w:rPr>
        <w:t>必须具备有效的《农药经营许可证》</w:t>
      </w:r>
      <w:r>
        <w:rPr>
          <w:rFonts w:hint="eastAsia"/>
          <w:sz w:val="24"/>
          <w:szCs w:val="24"/>
          <w:lang w:val="en-US" w:eastAsia="zh-CN"/>
        </w:rPr>
        <w:t>，</w:t>
      </w:r>
      <w:r>
        <w:rPr>
          <w:rFonts w:hint="default"/>
          <w:sz w:val="24"/>
          <w:szCs w:val="24"/>
          <w:lang w:val="en-US" w:eastAsia="zh-CN"/>
        </w:rPr>
        <w:t>能提供符合国家规定的防治药剂；</w:t>
      </w:r>
      <w:r>
        <w:rPr>
          <w:rFonts w:hint="eastAsia"/>
          <w:sz w:val="24"/>
          <w:szCs w:val="24"/>
          <w:lang w:val="en-US" w:eastAsia="zh-CN"/>
        </w:rPr>
        <w:t>竞价</w:t>
      </w:r>
      <w:r>
        <w:rPr>
          <w:rFonts w:hint="default"/>
          <w:sz w:val="24"/>
          <w:szCs w:val="24"/>
          <w:lang w:val="en-US" w:eastAsia="zh-CN"/>
        </w:rPr>
        <w:t>文件须提供本项目拟使用吡虫啉、联苯菊酯、氟虫腈防治药剂农药三证（农药登记证、农药生产许可证、农药产品标准实施证）扫描件。</w:t>
      </w:r>
    </w:p>
    <w:p w14:paraId="48B9FCC5">
      <w:pPr>
        <w:rPr>
          <w:rFonts w:hint="default"/>
          <w:sz w:val="24"/>
          <w:szCs w:val="24"/>
          <w:lang w:val="en-US" w:eastAsia="zh-CN"/>
        </w:rPr>
      </w:pPr>
      <w:r>
        <w:rPr>
          <w:rFonts w:hint="default"/>
          <w:sz w:val="24"/>
          <w:szCs w:val="24"/>
          <w:lang w:val="en-US" w:eastAsia="zh-CN"/>
        </w:rPr>
        <w:t>3.1、≥</w:t>
      </w:r>
      <w:r>
        <w:rPr>
          <w:rFonts w:hint="eastAsia"/>
          <w:sz w:val="24"/>
          <w:szCs w:val="24"/>
          <w:lang w:val="en-US" w:eastAsia="zh-CN"/>
        </w:rPr>
        <w:t>10</w:t>
      </w:r>
      <w:r>
        <w:rPr>
          <w:rFonts w:hint="default"/>
          <w:sz w:val="24"/>
          <w:szCs w:val="24"/>
          <w:lang w:val="en-US" w:eastAsia="zh-CN"/>
        </w:rPr>
        <w:t>%吡虫啉登记的防治对象：包含白蚁；</w:t>
      </w:r>
    </w:p>
    <w:p w14:paraId="3825D516">
      <w:pPr>
        <w:rPr>
          <w:rFonts w:hint="default"/>
          <w:sz w:val="24"/>
          <w:szCs w:val="24"/>
          <w:lang w:val="en-US" w:eastAsia="zh-CN"/>
        </w:rPr>
      </w:pPr>
      <w:r>
        <w:rPr>
          <w:rFonts w:hint="default"/>
          <w:sz w:val="24"/>
          <w:szCs w:val="24"/>
          <w:lang w:val="en-US" w:eastAsia="zh-CN"/>
        </w:rPr>
        <w:t>3.2、≥5%联苯菊酯登记的防治对象：包含白蚁；</w:t>
      </w:r>
    </w:p>
    <w:p w14:paraId="71F897E6">
      <w:pPr>
        <w:rPr>
          <w:rFonts w:hint="default"/>
          <w:sz w:val="24"/>
          <w:szCs w:val="24"/>
          <w:lang w:val="en-US" w:eastAsia="zh-CN"/>
        </w:rPr>
      </w:pPr>
      <w:r>
        <w:rPr>
          <w:rFonts w:hint="default"/>
          <w:sz w:val="24"/>
          <w:szCs w:val="24"/>
          <w:lang w:val="en-US" w:eastAsia="zh-CN"/>
        </w:rPr>
        <w:t>3.3、</w:t>
      </w:r>
      <w:r>
        <w:rPr>
          <w:rFonts w:hint="eastAsia"/>
          <w:sz w:val="24"/>
          <w:szCs w:val="24"/>
          <w:lang w:val="en-US" w:eastAsia="zh-CN"/>
        </w:rPr>
        <w:t>≥0.25%</w:t>
      </w:r>
      <w:r>
        <w:rPr>
          <w:rFonts w:hint="default"/>
          <w:sz w:val="24"/>
          <w:szCs w:val="24"/>
          <w:lang w:val="en-US" w:eastAsia="zh-CN"/>
        </w:rPr>
        <w:t>氟虫</w:t>
      </w:r>
      <w:r>
        <w:rPr>
          <w:rFonts w:hint="default"/>
          <w:color w:val="auto"/>
          <w:sz w:val="24"/>
          <w:szCs w:val="24"/>
          <w:highlight w:val="none"/>
          <w:lang w:val="en-US" w:eastAsia="zh-CN"/>
        </w:rPr>
        <w:t>腈</w:t>
      </w:r>
      <w:r>
        <w:rPr>
          <w:rFonts w:hint="eastAsia"/>
          <w:color w:val="auto"/>
          <w:sz w:val="24"/>
          <w:szCs w:val="24"/>
          <w:highlight w:val="none"/>
          <w:lang w:val="en-US" w:eastAsia="zh-CN"/>
        </w:rPr>
        <w:t>粉剂</w:t>
      </w:r>
      <w:r>
        <w:rPr>
          <w:rFonts w:hint="default"/>
          <w:color w:val="auto"/>
          <w:sz w:val="24"/>
          <w:szCs w:val="24"/>
          <w:highlight w:val="none"/>
          <w:lang w:val="en-US" w:eastAsia="zh-CN"/>
        </w:rPr>
        <w:t>的</w:t>
      </w:r>
      <w:r>
        <w:rPr>
          <w:rFonts w:hint="default"/>
          <w:sz w:val="24"/>
          <w:szCs w:val="24"/>
          <w:lang w:val="en-US" w:eastAsia="zh-CN"/>
        </w:rPr>
        <w:t>防治对象：包含白蚁；</w:t>
      </w:r>
    </w:p>
    <w:p w14:paraId="2A807563">
      <w:pPr>
        <w:rPr>
          <w:rFonts w:hint="default"/>
          <w:b w:val="0"/>
          <w:bCs w:val="0"/>
          <w:color w:val="auto"/>
          <w:sz w:val="24"/>
          <w:szCs w:val="24"/>
          <w:lang w:val="en-US" w:eastAsia="zh-CN"/>
        </w:rPr>
      </w:pPr>
      <w:r>
        <w:rPr>
          <w:rFonts w:hint="eastAsia"/>
          <w:sz w:val="24"/>
          <w:szCs w:val="24"/>
          <w:lang w:val="en-US" w:eastAsia="zh-CN"/>
        </w:rPr>
        <w:t>供应商</w:t>
      </w:r>
      <w:r>
        <w:rPr>
          <w:rFonts w:hint="default"/>
          <w:sz w:val="24"/>
          <w:szCs w:val="24"/>
          <w:lang w:val="en-US" w:eastAsia="zh-CN"/>
        </w:rPr>
        <w:t>要认真做好药剂的使用和管理工作，不得随意丢弃残留药剂，做到随用随清，确保人畜和环境安</w:t>
      </w:r>
      <w:r>
        <w:rPr>
          <w:rFonts w:hint="default"/>
          <w:color w:val="auto"/>
          <w:sz w:val="24"/>
          <w:szCs w:val="24"/>
          <w:lang w:val="en-US" w:eastAsia="zh-CN"/>
        </w:rPr>
        <w:t>全。</w:t>
      </w:r>
      <w:r>
        <w:rPr>
          <w:rFonts w:hint="default"/>
          <w:b w:val="0"/>
          <w:bCs w:val="0"/>
          <w:color w:val="auto"/>
          <w:sz w:val="24"/>
          <w:szCs w:val="24"/>
          <w:lang w:val="en-US" w:eastAsia="zh-CN"/>
        </w:rPr>
        <w:t>本竞价文件提出的是最低限度的要求，供应商可提供同等或优于竞价文件技术要求的产品，且符合国家有关执行标准和规范要求。</w:t>
      </w:r>
    </w:p>
    <w:p w14:paraId="4C463377">
      <w:pPr>
        <w:rPr>
          <w:rFonts w:hint="default"/>
          <w:sz w:val="24"/>
          <w:szCs w:val="24"/>
          <w:lang w:val="en-US" w:eastAsia="zh-CN"/>
        </w:rPr>
      </w:pPr>
      <w:r>
        <w:rPr>
          <w:rFonts w:hint="eastAsia"/>
          <w:sz w:val="24"/>
          <w:szCs w:val="24"/>
          <w:lang w:val="en-US" w:eastAsia="zh-CN"/>
        </w:rPr>
        <w:t>3.4、白蚁防治药物型号、数量清单</w:t>
      </w:r>
    </w:p>
    <w:tbl>
      <w:tblPr>
        <w:tblStyle w:val="6"/>
        <w:tblW w:w="7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465"/>
        <w:gridCol w:w="1189"/>
        <w:gridCol w:w="1765"/>
        <w:gridCol w:w="2169"/>
      </w:tblGrid>
      <w:tr w14:paraId="35C5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C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2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产品名称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7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3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71CC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1000373E">
            <w:pPr>
              <w:jc w:val="center"/>
              <w:rPr>
                <w:rFonts w:hint="eastAsia" w:ascii="宋体" w:hAnsi="宋体" w:eastAsia="宋体" w:cs="宋体"/>
                <w:b/>
                <w:bCs/>
                <w:i w:val="0"/>
                <w:iCs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2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绿地面积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36A32FD8">
            <w:pPr>
              <w:jc w:val="center"/>
              <w:rPr>
                <w:rFonts w:hint="eastAsia" w:ascii="宋体" w:hAnsi="宋体" w:eastAsia="宋体" w:cs="宋体"/>
                <w:b/>
                <w:bCs/>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9C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982728.27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1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m²</w:t>
            </w:r>
          </w:p>
        </w:tc>
      </w:tr>
      <w:tr w14:paraId="5430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3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1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吡虫啉</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70498C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3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765.72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B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2B78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C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8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联苯菊酯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3E90DC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3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765.72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B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4427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1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9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氟虫腈粉剂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163A64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E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31.25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A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01E1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C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氟铃脲浓饵剂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ECA4DCA">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D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31.18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kg</w:t>
            </w:r>
          </w:p>
        </w:tc>
      </w:tr>
      <w:tr w14:paraId="6B79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1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F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施药人工费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302BEFB1">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5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r w14:paraId="105F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1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桉树皮毒饵片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3FDB18C">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5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E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062D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5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2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挖巢人工费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B850A25">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E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r w14:paraId="0F08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top"/>
          </w:tcPr>
          <w:p w14:paraId="7F034B70">
            <w:pPr>
              <w:jc w:val="center"/>
              <w:rPr>
                <w:rFonts w:hint="eastAsia" w:ascii="宋体" w:hAnsi="宋体" w:eastAsia="宋体" w:cs="宋体"/>
                <w:b/>
                <w:bCs/>
                <w:i w:val="0"/>
                <w:iCs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F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树木</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F76EC6E">
            <w:pPr>
              <w:jc w:val="center"/>
              <w:rPr>
                <w:rFonts w:hint="eastAsia" w:ascii="宋体" w:hAnsi="宋体" w:eastAsia="宋体" w:cs="宋体"/>
                <w:b/>
                <w:bCs/>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33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6264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9B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棵</w:t>
            </w:r>
          </w:p>
        </w:tc>
      </w:tr>
      <w:tr w14:paraId="61C2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吡虫啉</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246429A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0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1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153D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E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联苯菊酯</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751E70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8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0468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B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白蚁引诱箱</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3E96EE36">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0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A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7B4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E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A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氟虫腈粉剂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4764E3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E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50.4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0DBF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6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6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氟铃脲浓饵剂</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6F05F35D">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19.61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r>
      <w:tr w14:paraId="73CF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7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E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施药人工费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14:paraId="0B2FA99C">
            <w:pPr>
              <w:jc w:val="center"/>
              <w:rPr>
                <w:rFonts w:hint="eastAsia" w:ascii="宋体" w:hAnsi="宋体" w:eastAsia="宋体" w:cs="宋体"/>
                <w:i w:val="0"/>
                <w:iCs w:val="0"/>
                <w:color w:val="000000"/>
                <w:sz w:val="24"/>
                <w:szCs w:val="24"/>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0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工日</w:t>
            </w:r>
          </w:p>
        </w:tc>
      </w:tr>
    </w:tbl>
    <w:p w14:paraId="34733E89">
      <w:pPr>
        <w:pStyle w:val="5"/>
        <w:rPr>
          <w:rFonts w:hint="default"/>
          <w:b w:val="0"/>
          <w:bCs w:val="0"/>
          <w:sz w:val="24"/>
          <w:szCs w:val="24"/>
          <w:lang w:val="en-US" w:eastAsia="zh-CN"/>
        </w:rPr>
      </w:pPr>
      <w:r>
        <w:rPr>
          <w:rFonts w:hint="default"/>
          <w:b w:val="0"/>
          <w:bCs w:val="0"/>
          <w:sz w:val="24"/>
          <w:szCs w:val="24"/>
          <w:lang w:val="en-US" w:eastAsia="zh-CN"/>
        </w:rPr>
        <w:t>4、防治工作技术要求</w:t>
      </w:r>
    </w:p>
    <w:p w14:paraId="7C1312BC">
      <w:pPr>
        <w:pStyle w:val="5"/>
        <w:rPr>
          <w:rFonts w:hint="default"/>
          <w:b w:val="0"/>
          <w:bCs w:val="0"/>
          <w:sz w:val="24"/>
          <w:szCs w:val="24"/>
          <w:lang w:val="en-US" w:eastAsia="zh-CN"/>
        </w:rPr>
      </w:pPr>
      <w:r>
        <w:rPr>
          <w:rFonts w:hint="default"/>
          <w:b w:val="0"/>
          <w:bCs w:val="0"/>
          <w:sz w:val="24"/>
          <w:szCs w:val="24"/>
          <w:lang w:val="en-US" w:eastAsia="zh-CN"/>
        </w:rPr>
        <w:t>4.1、总原则是以防为主、防治结合、综合治理。</w:t>
      </w:r>
    </w:p>
    <w:p w14:paraId="1682A4FE">
      <w:pPr>
        <w:pStyle w:val="5"/>
        <w:rPr>
          <w:rFonts w:hint="default"/>
          <w:b w:val="0"/>
          <w:bCs w:val="0"/>
          <w:sz w:val="24"/>
          <w:szCs w:val="24"/>
          <w:lang w:val="en-US" w:eastAsia="zh-CN"/>
        </w:rPr>
      </w:pPr>
      <w:r>
        <w:rPr>
          <w:rFonts w:hint="default"/>
          <w:b w:val="0"/>
          <w:bCs w:val="0"/>
          <w:sz w:val="24"/>
          <w:szCs w:val="24"/>
          <w:lang w:val="en-US" w:eastAsia="zh-CN"/>
        </w:rPr>
        <w:t>4.2、对防控区域内存在的白蚁种类、分布情况、白蚁危害程度、受白蚁危害的园林植物品种进行普查、摸底分析、归纳总结，形成书面材料，报送采购单位审阅、存档。</w:t>
      </w:r>
    </w:p>
    <w:p w14:paraId="71D26473">
      <w:pPr>
        <w:pStyle w:val="5"/>
        <w:rPr>
          <w:rFonts w:hint="default"/>
          <w:b w:val="0"/>
          <w:bCs w:val="0"/>
          <w:sz w:val="24"/>
          <w:szCs w:val="24"/>
          <w:lang w:val="en-US" w:eastAsia="zh-CN"/>
        </w:rPr>
      </w:pPr>
      <w:r>
        <w:rPr>
          <w:rFonts w:hint="default"/>
          <w:b w:val="0"/>
          <w:bCs w:val="0"/>
          <w:sz w:val="24"/>
          <w:szCs w:val="24"/>
          <w:lang w:val="en-US" w:eastAsia="zh-CN"/>
        </w:rPr>
        <w:t>4.3、做好白蚁防治施工记录（辅以照片），按季度将防控记录装订成册，报采购人审阅、存档。</w:t>
      </w:r>
    </w:p>
    <w:p w14:paraId="6728153D">
      <w:pPr>
        <w:pStyle w:val="5"/>
        <w:rPr>
          <w:rFonts w:hint="default"/>
          <w:b w:val="0"/>
          <w:bCs w:val="0"/>
          <w:sz w:val="24"/>
          <w:szCs w:val="24"/>
          <w:lang w:val="en-US" w:eastAsia="zh-CN"/>
        </w:rPr>
      </w:pPr>
      <w:r>
        <w:rPr>
          <w:rFonts w:hint="default"/>
          <w:b w:val="0"/>
          <w:bCs w:val="0"/>
          <w:sz w:val="24"/>
          <w:szCs w:val="24"/>
          <w:lang w:val="en-US" w:eastAsia="zh-CN"/>
        </w:rPr>
        <w:t>5、人员要求：</w:t>
      </w:r>
    </w:p>
    <w:p w14:paraId="7C1E790B">
      <w:pPr>
        <w:pStyle w:val="5"/>
        <w:rPr>
          <w:rFonts w:hint="default"/>
          <w:b w:val="0"/>
          <w:bCs w:val="0"/>
          <w:sz w:val="24"/>
          <w:szCs w:val="24"/>
          <w:lang w:val="en-US" w:eastAsia="zh-CN"/>
        </w:rPr>
      </w:pPr>
      <w:r>
        <w:rPr>
          <w:rFonts w:hint="default"/>
          <w:b w:val="0"/>
          <w:bCs w:val="0"/>
          <w:sz w:val="24"/>
          <w:szCs w:val="24"/>
          <w:lang w:val="en-US" w:eastAsia="zh-CN"/>
        </w:rPr>
        <w:t>5.1、为了保障吉安县城区文昌苑等89个住宅小区公共绿地的景观效果，预防白蚁危害花草树木、促进园林植物健康生长，</w:t>
      </w:r>
      <w:r>
        <w:rPr>
          <w:rFonts w:hint="default"/>
          <w:b w:val="0"/>
          <w:bCs w:val="0"/>
          <w:color w:val="auto"/>
          <w:sz w:val="24"/>
          <w:szCs w:val="24"/>
          <w:lang w:val="en-US" w:eastAsia="zh-CN"/>
        </w:rPr>
        <w:t>项目负责人必须具备白蚁防治或者有害生物防治或者植物病虫害防治相关工作经验，必须具有《白蚁防治员》或者《有害生物防制员》或者《林业有害生物防治员》证书(职称证书或者职业资格证书或者职业技能等级证书)，</w:t>
      </w:r>
      <w:r>
        <w:rPr>
          <w:rFonts w:hint="default"/>
          <w:b w:val="0"/>
          <w:bCs w:val="0"/>
          <w:sz w:val="24"/>
          <w:szCs w:val="24"/>
          <w:lang w:val="en-US" w:eastAsia="zh-CN"/>
        </w:rPr>
        <w:t>提供相关证书原件扫描件和相关证书的网站查询截图(相关证书查询官网为“www.12333.gov.cn"或者“zscx.osta.org.cn"或者“gjzwfw.www.gov.cn等国家行政部门官网平台)及</w:t>
      </w:r>
      <w:r>
        <w:rPr>
          <w:rFonts w:hint="eastAsia"/>
          <w:b w:val="0"/>
          <w:bCs w:val="0"/>
          <w:sz w:val="24"/>
          <w:szCs w:val="24"/>
          <w:lang w:val="en-US" w:eastAsia="zh-CN"/>
        </w:rPr>
        <w:t>竞价</w:t>
      </w:r>
      <w:r>
        <w:rPr>
          <w:rFonts w:hint="default"/>
          <w:b w:val="0"/>
          <w:bCs w:val="0"/>
          <w:sz w:val="24"/>
          <w:szCs w:val="24"/>
          <w:lang w:val="en-US" w:eastAsia="zh-CN"/>
        </w:rPr>
        <w:t>前6个月内任意1个月(不含</w:t>
      </w:r>
      <w:r>
        <w:rPr>
          <w:rFonts w:hint="eastAsia"/>
          <w:b w:val="0"/>
          <w:bCs w:val="0"/>
          <w:sz w:val="24"/>
          <w:szCs w:val="24"/>
          <w:lang w:val="en-US" w:eastAsia="zh-CN"/>
        </w:rPr>
        <w:t>竞价</w:t>
      </w:r>
      <w:r>
        <w:rPr>
          <w:rFonts w:hint="default"/>
          <w:b w:val="0"/>
          <w:bCs w:val="0"/>
          <w:sz w:val="24"/>
          <w:szCs w:val="24"/>
          <w:lang w:val="en-US" w:eastAsia="zh-CN"/>
        </w:rPr>
        <w:t>当月)响应人为证书所有人缴纳的社保证明材料。项目负责人负责合同期内对防治区域内白蚁危害情况进行跟踪、调查、防治、记录。负责随时与采购单位保持联系</w:t>
      </w:r>
      <w:r>
        <w:rPr>
          <w:rFonts w:hint="eastAsia"/>
          <w:b w:val="0"/>
          <w:bCs w:val="0"/>
          <w:sz w:val="24"/>
          <w:szCs w:val="24"/>
          <w:lang w:val="en-US" w:eastAsia="zh-CN"/>
        </w:rPr>
        <w:t>，</w:t>
      </w:r>
      <w:r>
        <w:rPr>
          <w:rFonts w:hint="default"/>
          <w:b w:val="0"/>
          <w:bCs w:val="0"/>
          <w:sz w:val="24"/>
          <w:szCs w:val="24"/>
          <w:lang w:val="en-US" w:eastAsia="zh-CN"/>
        </w:rPr>
        <w:t>定期向采购单位报告防治情况及进度与效果,发现问題及时沟通、处理。</w:t>
      </w:r>
    </w:p>
    <w:p w14:paraId="689D320D">
      <w:pPr>
        <w:pStyle w:val="5"/>
        <w:rPr>
          <w:rFonts w:hint="default"/>
          <w:b w:val="0"/>
          <w:bCs w:val="0"/>
          <w:sz w:val="24"/>
          <w:szCs w:val="24"/>
          <w:lang w:val="en-US" w:eastAsia="zh-CN"/>
        </w:rPr>
      </w:pPr>
      <w:r>
        <w:rPr>
          <w:rFonts w:hint="default"/>
          <w:b w:val="0"/>
          <w:bCs w:val="0"/>
          <w:sz w:val="24"/>
          <w:szCs w:val="24"/>
          <w:lang w:val="en-US" w:eastAsia="zh-CN"/>
        </w:rPr>
        <w:t>5.2、为了尽量减少化学药剂的使用，针对有巢的白蚁采取挖巢灭治，因为蚁巢是白蚁生活的大本营及繁殖中心，挖出蚁巢，捉出蚁王蚁后就能彻底根除一巢白蚁，减少一份危害及繁殖数量，减少来年的繁殖纷飞和扩散，能彻底消灭白蚁，达到标本兼治。挖白蚁巢穴过程破坏的绿地景观，必须1:1恢复至原状。</w:t>
      </w:r>
      <w:r>
        <w:rPr>
          <w:rFonts w:hint="eastAsia"/>
          <w:b w:val="0"/>
          <w:bCs w:val="0"/>
          <w:sz w:val="24"/>
          <w:szCs w:val="24"/>
          <w:lang w:val="en-US" w:eastAsia="zh-CN"/>
        </w:rPr>
        <w:t>供应商</w:t>
      </w:r>
      <w:r>
        <w:rPr>
          <w:rFonts w:hint="default"/>
          <w:b w:val="0"/>
          <w:bCs w:val="0"/>
          <w:sz w:val="24"/>
          <w:szCs w:val="24"/>
          <w:lang w:val="en-US" w:eastAsia="zh-CN"/>
        </w:rPr>
        <w:t>必须为本项目配备</w:t>
      </w:r>
      <w:r>
        <w:rPr>
          <w:rFonts w:hint="eastAsia"/>
          <w:b w:val="0"/>
          <w:bCs w:val="0"/>
          <w:sz w:val="24"/>
          <w:szCs w:val="24"/>
          <w:lang w:val="en-US" w:eastAsia="zh-CN"/>
        </w:rPr>
        <w:t>不少于3</w:t>
      </w:r>
      <w:r>
        <w:rPr>
          <w:rFonts w:hint="default"/>
          <w:b w:val="0"/>
          <w:bCs w:val="0"/>
          <w:sz w:val="24"/>
          <w:szCs w:val="24"/>
          <w:lang w:val="en-US" w:eastAsia="zh-CN"/>
        </w:rPr>
        <w:t>名施工</w:t>
      </w:r>
      <w:r>
        <w:rPr>
          <w:rFonts w:hint="eastAsia"/>
          <w:b w:val="0"/>
          <w:bCs w:val="0"/>
          <w:sz w:val="24"/>
          <w:szCs w:val="24"/>
          <w:lang w:val="en-US" w:eastAsia="zh-CN"/>
        </w:rPr>
        <w:t>人</w:t>
      </w:r>
      <w:r>
        <w:rPr>
          <w:rFonts w:hint="default"/>
          <w:b w:val="0"/>
          <w:bCs w:val="0"/>
          <w:sz w:val="24"/>
          <w:szCs w:val="24"/>
          <w:lang w:val="en-US" w:eastAsia="zh-CN"/>
        </w:rPr>
        <w:t>员，</w:t>
      </w:r>
      <w:r>
        <w:rPr>
          <w:rFonts w:hint="default"/>
          <w:b w:val="0"/>
          <w:bCs w:val="0"/>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p w14:paraId="31E69606">
      <w:pPr>
        <w:pStyle w:val="5"/>
        <w:rPr>
          <w:rFonts w:hint="default"/>
          <w:b w:val="0"/>
          <w:bCs w:val="0"/>
          <w:sz w:val="24"/>
          <w:szCs w:val="24"/>
          <w:lang w:val="en-US" w:eastAsia="zh-CN"/>
        </w:rPr>
      </w:pPr>
      <w:r>
        <w:rPr>
          <w:rFonts w:hint="default"/>
          <w:b w:val="0"/>
          <w:bCs w:val="0"/>
          <w:sz w:val="24"/>
          <w:szCs w:val="24"/>
          <w:lang w:val="en-US" w:eastAsia="zh-CN"/>
        </w:rPr>
        <w:t>5.3、接到采购单位需要应急处理白蚁的电话时, 必须安排专业人员在2小时内到达现场并着手处理。项目负责人或技术负责人不听指挥或不配合工作,采购单位有权要求服务方更换相关负责人；未经允许,服务方不得随意更换项目负责人和施工</w:t>
      </w:r>
      <w:r>
        <w:rPr>
          <w:rFonts w:hint="eastAsia"/>
          <w:b w:val="0"/>
          <w:bCs w:val="0"/>
          <w:sz w:val="24"/>
          <w:szCs w:val="24"/>
          <w:lang w:val="en-US" w:eastAsia="zh-CN"/>
        </w:rPr>
        <w:t>人</w:t>
      </w:r>
      <w:r>
        <w:rPr>
          <w:rFonts w:hint="default"/>
          <w:b w:val="0"/>
          <w:bCs w:val="0"/>
          <w:sz w:val="24"/>
          <w:szCs w:val="24"/>
          <w:lang w:val="en-US" w:eastAsia="zh-CN"/>
        </w:rPr>
        <w:t>员,如确实需要,须提出书面申请,经采购单位同意后方可更换。</w:t>
      </w:r>
    </w:p>
    <w:p w14:paraId="652E4E73">
      <w:pPr>
        <w:pStyle w:val="5"/>
        <w:rPr>
          <w:rFonts w:hint="default"/>
          <w:b w:val="0"/>
          <w:bCs w:val="0"/>
          <w:sz w:val="24"/>
          <w:szCs w:val="24"/>
          <w:lang w:val="en-US" w:eastAsia="zh-CN"/>
        </w:rPr>
      </w:pPr>
      <w:r>
        <w:rPr>
          <w:rFonts w:hint="default"/>
          <w:b w:val="0"/>
          <w:bCs w:val="0"/>
          <w:sz w:val="24"/>
          <w:szCs w:val="24"/>
          <w:lang w:val="en-US" w:eastAsia="zh-CN"/>
        </w:rPr>
        <w:t>6、白蚁危害常用的灭治方法与措施（包含但不限于）</w:t>
      </w:r>
    </w:p>
    <w:p w14:paraId="146A83C4">
      <w:pPr>
        <w:pStyle w:val="5"/>
        <w:rPr>
          <w:rFonts w:hint="default"/>
          <w:b w:val="0"/>
          <w:bCs w:val="0"/>
          <w:sz w:val="24"/>
          <w:szCs w:val="24"/>
          <w:lang w:val="en-US" w:eastAsia="zh-CN"/>
        </w:rPr>
      </w:pPr>
      <w:r>
        <w:rPr>
          <w:rFonts w:hint="default"/>
          <w:b w:val="0"/>
          <w:bCs w:val="0"/>
          <w:sz w:val="24"/>
          <w:szCs w:val="24"/>
          <w:lang w:val="en-US" w:eastAsia="zh-CN"/>
        </w:rPr>
        <w:t>6.1液剂药杀</w:t>
      </w:r>
    </w:p>
    <w:p w14:paraId="07223265">
      <w:pPr>
        <w:pStyle w:val="5"/>
        <w:rPr>
          <w:rFonts w:hint="default"/>
          <w:b w:val="0"/>
          <w:bCs w:val="0"/>
          <w:sz w:val="24"/>
          <w:szCs w:val="24"/>
          <w:lang w:val="en-US" w:eastAsia="zh-CN"/>
        </w:rPr>
      </w:pPr>
      <w:r>
        <w:rPr>
          <w:rFonts w:hint="default"/>
          <w:b w:val="0"/>
          <w:bCs w:val="0"/>
          <w:sz w:val="24"/>
          <w:szCs w:val="24"/>
          <w:lang w:val="en-US" w:eastAsia="zh-CN"/>
        </w:rPr>
        <w:t>主要用于散白蚁的灭治处理，在发现散白蚁的地方，全面喷洒药水，毒化散白蚁活动地区的环境，使木材、土壤都含有一定毒素，当散白蚁继续活动和危害时，因接触和吸收毒素及含毒水分就会中毒死亡;目前常用的水剂种类主要有: 吡虫啉悬浮剂、联苯菊酯悬浮剂等，根据白蚁危害轻重，土壤干湿度掌握药剂的稀释浓度和用量，如土壤干燥时，稀释浓度可低些，土壤湿度大，适当加高;蚁害严重，用药量可略微增加，蚁害轻， 可适当减少。但喷洒一定要求全面，使木材和土壤有足够的药量，否则，会影响灭蚁效果。</w:t>
      </w:r>
    </w:p>
    <w:p w14:paraId="51830C21">
      <w:pPr>
        <w:pStyle w:val="5"/>
        <w:rPr>
          <w:rFonts w:hint="default"/>
          <w:b w:val="0"/>
          <w:bCs w:val="0"/>
          <w:sz w:val="24"/>
          <w:szCs w:val="24"/>
          <w:lang w:val="en-US" w:eastAsia="zh-CN"/>
        </w:rPr>
      </w:pPr>
      <w:r>
        <w:rPr>
          <w:rFonts w:hint="default"/>
          <w:b w:val="0"/>
          <w:bCs w:val="0"/>
          <w:sz w:val="24"/>
          <w:szCs w:val="24"/>
          <w:lang w:val="en-US" w:eastAsia="zh-CN"/>
        </w:rPr>
        <w:t>6.2粉剂药杀</w:t>
      </w:r>
    </w:p>
    <w:p w14:paraId="7CD0C40F">
      <w:pPr>
        <w:pStyle w:val="5"/>
        <w:rPr>
          <w:rFonts w:hint="default"/>
          <w:b w:val="0"/>
          <w:bCs w:val="0"/>
          <w:sz w:val="24"/>
          <w:szCs w:val="24"/>
          <w:lang w:val="en-US" w:eastAsia="zh-CN"/>
        </w:rPr>
      </w:pPr>
      <w:r>
        <w:rPr>
          <w:rFonts w:hint="default"/>
          <w:b w:val="0"/>
          <w:bCs w:val="0"/>
          <w:sz w:val="24"/>
          <w:szCs w:val="24"/>
          <w:lang w:val="en-US" w:eastAsia="zh-CN"/>
        </w:rPr>
        <w:t>粉剂药杀是目前使用最广泛的方法，主要是用慢性胃毒剂型的药物，将其药粉喷到白蚁身上，通过白蚁间互通交哺、清洗等行为习性传递，使其它白蚁中毒死亡，能有效达到消灭整巢白蚁的目的。</w:t>
      </w:r>
    </w:p>
    <w:p w14:paraId="5088787C">
      <w:pPr>
        <w:pStyle w:val="5"/>
        <w:rPr>
          <w:rFonts w:hint="default"/>
          <w:b w:val="0"/>
          <w:bCs w:val="0"/>
          <w:sz w:val="24"/>
          <w:szCs w:val="24"/>
          <w:lang w:val="en-US" w:eastAsia="zh-CN"/>
        </w:rPr>
      </w:pPr>
      <w:r>
        <w:rPr>
          <w:rFonts w:hint="default"/>
          <w:b w:val="0"/>
          <w:bCs w:val="0"/>
          <w:sz w:val="24"/>
          <w:szCs w:val="24"/>
          <w:lang w:val="en-US" w:eastAsia="zh-CN"/>
        </w:rPr>
        <w:t>6.3诱杀法</w:t>
      </w:r>
    </w:p>
    <w:p w14:paraId="5ABD0F0E">
      <w:pPr>
        <w:pStyle w:val="5"/>
        <w:rPr>
          <w:rFonts w:hint="default"/>
          <w:b w:val="0"/>
          <w:bCs w:val="0"/>
          <w:sz w:val="24"/>
          <w:szCs w:val="24"/>
          <w:lang w:val="en-US" w:eastAsia="zh-CN"/>
        </w:rPr>
      </w:pPr>
      <w:r>
        <w:rPr>
          <w:rFonts w:hint="default"/>
          <w:b w:val="0"/>
          <w:bCs w:val="0"/>
          <w:sz w:val="24"/>
          <w:szCs w:val="24"/>
          <w:lang w:val="en-US" w:eastAsia="zh-CN"/>
        </w:rPr>
        <w:t>诱杀法，采用白蚁喜食的松木、或设置诱杀桩(诱杀堆)，引诱白蚁吃食，待发现白蚁活体后，再进行粉剂药杀处理，消灭整个白蚁群体。仔细寻找白蚁危害点，选择合适的诱杀位置，把握合适的诱杀季节，注意诱杀包的投放方式等是确保诱杀效果的主要操作要点。白蚁预防使用监测控制技术,在监测装置采用内置诱杀饵料的引诱装置，引诱白蚁吃食，发现白蚁危害后，通过粉剂药杀处理，达到消灭白蚁整个群体效果，同时，通过对监测装置的定时查看，可以有效对该区域的白蚁危害的种类、程度、时间、范围等情况起到监测作用，为该区域的白蚁危害状况和治理提供依据。埋设白蚁诱杀包，发现白蚁危害且施药受限情况下，埋设于土表下或有白蚁危害的树木周围。</w:t>
      </w:r>
    </w:p>
    <w:p w14:paraId="19DF4BD0">
      <w:pPr>
        <w:pStyle w:val="5"/>
        <w:rPr>
          <w:rFonts w:hint="default"/>
          <w:b w:val="0"/>
          <w:bCs w:val="0"/>
          <w:sz w:val="24"/>
          <w:szCs w:val="24"/>
          <w:lang w:val="en-US" w:eastAsia="zh-CN"/>
        </w:rPr>
      </w:pPr>
      <w:r>
        <w:rPr>
          <w:rFonts w:hint="default"/>
          <w:b w:val="0"/>
          <w:bCs w:val="0"/>
          <w:sz w:val="24"/>
          <w:szCs w:val="24"/>
          <w:lang w:val="en-US" w:eastAsia="zh-CN"/>
        </w:rPr>
        <w:t>7、人员、车辆设备要求：</w:t>
      </w:r>
    </w:p>
    <w:p w14:paraId="11788D9F">
      <w:pPr>
        <w:pStyle w:val="5"/>
        <w:rPr>
          <w:rFonts w:hint="default"/>
          <w:b w:val="0"/>
          <w:bCs w:val="0"/>
          <w:sz w:val="24"/>
          <w:szCs w:val="24"/>
          <w:lang w:val="en-US" w:eastAsia="zh-CN"/>
        </w:rPr>
      </w:pPr>
      <w:r>
        <w:rPr>
          <w:rFonts w:hint="default"/>
          <w:b w:val="0"/>
          <w:bCs w:val="0"/>
          <w:sz w:val="24"/>
          <w:szCs w:val="24"/>
          <w:lang w:val="en-US" w:eastAsia="zh-CN"/>
        </w:rPr>
        <w:t>7.1、人员要求</w:t>
      </w:r>
    </w:p>
    <w:tbl>
      <w:tblPr>
        <w:tblStyle w:val="7"/>
        <w:tblW w:w="8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17"/>
        <w:gridCol w:w="667"/>
        <w:gridCol w:w="5804"/>
      </w:tblGrid>
      <w:tr w14:paraId="42A2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0DF91386">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317" w:type="dxa"/>
            <w:vAlign w:val="center"/>
          </w:tcPr>
          <w:p w14:paraId="56F14B0A">
            <w:pPr>
              <w:jc w:val="center"/>
              <w:rPr>
                <w:rFonts w:hint="default"/>
                <w:sz w:val="24"/>
                <w:szCs w:val="24"/>
                <w:vertAlign w:val="baseline"/>
                <w:lang w:val="en-US" w:eastAsia="zh-CN"/>
              </w:rPr>
            </w:pPr>
            <w:r>
              <w:rPr>
                <w:rFonts w:hint="eastAsia"/>
                <w:sz w:val="24"/>
                <w:szCs w:val="24"/>
                <w:vertAlign w:val="baseline"/>
                <w:lang w:val="en-US" w:eastAsia="zh-CN"/>
              </w:rPr>
              <w:t>人员类别</w:t>
            </w:r>
          </w:p>
        </w:tc>
        <w:tc>
          <w:tcPr>
            <w:tcW w:w="667" w:type="dxa"/>
            <w:vAlign w:val="center"/>
          </w:tcPr>
          <w:p w14:paraId="386825C3">
            <w:pPr>
              <w:jc w:val="center"/>
              <w:rPr>
                <w:rFonts w:hint="default"/>
                <w:sz w:val="24"/>
                <w:szCs w:val="24"/>
                <w:vertAlign w:val="baseline"/>
                <w:lang w:val="en-US" w:eastAsia="zh-CN"/>
              </w:rPr>
            </w:pPr>
            <w:r>
              <w:rPr>
                <w:rFonts w:hint="eastAsia"/>
                <w:sz w:val="24"/>
                <w:szCs w:val="24"/>
                <w:vertAlign w:val="baseline"/>
                <w:lang w:val="en-US" w:eastAsia="zh-CN"/>
              </w:rPr>
              <w:t>人数</w:t>
            </w:r>
          </w:p>
        </w:tc>
        <w:tc>
          <w:tcPr>
            <w:tcW w:w="5804" w:type="dxa"/>
          </w:tcPr>
          <w:p w14:paraId="38D5B426">
            <w:pPr>
              <w:rPr>
                <w:rFonts w:hint="default"/>
                <w:sz w:val="24"/>
                <w:szCs w:val="24"/>
                <w:vertAlign w:val="baseline"/>
                <w:lang w:val="en-US" w:eastAsia="zh-CN"/>
              </w:rPr>
            </w:pPr>
            <w:r>
              <w:rPr>
                <w:rFonts w:hint="eastAsia"/>
                <w:sz w:val="24"/>
                <w:szCs w:val="24"/>
                <w:vertAlign w:val="baseline"/>
                <w:lang w:val="en-US" w:eastAsia="zh-CN"/>
              </w:rPr>
              <w:t>人员要求</w:t>
            </w:r>
          </w:p>
        </w:tc>
      </w:tr>
      <w:tr w14:paraId="52D2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7EA3E09F">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317" w:type="dxa"/>
            <w:vAlign w:val="center"/>
          </w:tcPr>
          <w:p w14:paraId="421BE69F">
            <w:pPr>
              <w:jc w:val="center"/>
              <w:rPr>
                <w:rFonts w:hint="default"/>
                <w:sz w:val="24"/>
                <w:szCs w:val="24"/>
                <w:vertAlign w:val="baseline"/>
                <w:lang w:val="en-US" w:eastAsia="zh-CN"/>
              </w:rPr>
            </w:pPr>
            <w:r>
              <w:rPr>
                <w:rFonts w:hint="eastAsia"/>
                <w:sz w:val="24"/>
                <w:szCs w:val="24"/>
                <w:vertAlign w:val="baseline"/>
                <w:lang w:val="en-US" w:eastAsia="zh-CN"/>
              </w:rPr>
              <w:t>项目负责人</w:t>
            </w:r>
          </w:p>
        </w:tc>
        <w:tc>
          <w:tcPr>
            <w:tcW w:w="667" w:type="dxa"/>
            <w:vAlign w:val="center"/>
          </w:tcPr>
          <w:p w14:paraId="712DD0A4">
            <w:pPr>
              <w:jc w:val="center"/>
              <w:rPr>
                <w:rFonts w:hint="default"/>
                <w:sz w:val="24"/>
                <w:szCs w:val="24"/>
                <w:vertAlign w:val="baseline"/>
                <w:lang w:val="en-US" w:eastAsia="zh-CN"/>
              </w:rPr>
            </w:pPr>
            <w:r>
              <w:rPr>
                <w:rFonts w:hint="eastAsia"/>
                <w:sz w:val="24"/>
                <w:szCs w:val="24"/>
                <w:vertAlign w:val="baseline"/>
                <w:lang w:val="en-US" w:eastAsia="zh-CN"/>
              </w:rPr>
              <w:t>1</w:t>
            </w:r>
          </w:p>
        </w:tc>
        <w:tc>
          <w:tcPr>
            <w:tcW w:w="5804" w:type="dxa"/>
          </w:tcPr>
          <w:p w14:paraId="0B0FAE05">
            <w:pPr>
              <w:rPr>
                <w:rFonts w:hint="default"/>
                <w:sz w:val="24"/>
                <w:szCs w:val="24"/>
                <w:vertAlign w:val="baseline"/>
                <w:lang w:val="en-US" w:eastAsia="zh-CN"/>
              </w:rPr>
            </w:pPr>
            <w:r>
              <w:rPr>
                <w:rFonts w:hint="default"/>
                <w:sz w:val="24"/>
                <w:szCs w:val="24"/>
                <w:vertAlign w:val="baseline"/>
                <w:lang w:val="en-US" w:eastAsia="zh-CN"/>
              </w:rPr>
              <w:t>供</w:t>
            </w:r>
            <w:r>
              <w:rPr>
                <w:rFonts w:hint="default"/>
                <w:color w:val="auto"/>
                <w:sz w:val="24"/>
                <w:szCs w:val="24"/>
                <w:highlight w:val="none"/>
                <w:vertAlign w:val="baseline"/>
                <w:lang w:val="en-US" w:eastAsia="zh-CN"/>
              </w:rPr>
              <w:t>应商必须为本项目配备一名专职</w:t>
            </w:r>
            <w:r>
              <w:rPr>
                <w:rFonts w:hint="eastAsia"/>
                <w:color w:val="auto"/>
                <w:sz w:val="24"/>
                <w:szCs w:val="24"/>
                <w:highlight w:val="none"/>
                <w:vertAlign w:val="baseline"/>
                <w:lang w:val="en-US" w:eastAsia="zh-CN"/>
              </w:rPr>
              <w:t>项目负责人</w:t>
            </w:r>
            <w:r>
              <w:rPr>
                <w:rFonts w:hint="default"/>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tc>
      </w:tr>
      <w:tr w14:paraId="788D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8C7DDC3">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317" w:type="dxa"/>
            <w:vAlign w:val="center"/>
          </w:tcPr>
          <w:p w14:paraId="28B065BC">
            <w:pPr>
              <w:jc w:val="center"/>
              <w:rPr>
                <w:rFonts w:hint="default"/>
                <w:sz w:val="24"/>
                <w:szCs w:val="24"/>
                <w:vertAlign w:val="baseline"/>
                <w:lang w:val="en-US" w:eastAsia="zh-CN"/>
              </w:rPr>
            </w:pPr>
            <w:r>
              <w:rPr>
                <w:rFonts w:hint="eastAsia"/>
                <w:sz w:val="24"/>
                <w:szCs w:val="24"/>
                <w:vertAlign w:val="baseline"/>
                <w:lang w:val="en-US" w:eastAsia="zh-CN"/>
              </w:rPr>
              <w:t>施工人员</w:t>
            </w:r>
          </w:p>
        </w:tc>
        <w:tc>
          <w:tcPr>
            <w:tcW w:w="667" w:type="dxa"/>
            <w:vAlign w:val="center"/>
          </w:tcPr>
          <w:p w14:paraId="592A6731">
            <w:pPr>
              <w:jc w:val="center"/>
              <w:rPr>
                <w:rFonts w:hint="default"/>
                <w:sz w:val="24"/>
                <w:szCs w:val="24"/>
                <w:vertAlign w:val="baseline"/>
                <w:lang w:val="en-US" w:eastAsia="zh-CN"/>
              </w:rPr>
            </w:pPr>
            <w:r>
              <w:rPr>
                <w:rFonts w:hint="eastAsia"/>
                <w:sz w:val="24"/>
                <w:szCs w:val="24"/>
                <w:vertAlign w:val="baseline"/>
                <w:lang w:val="en-US" w:eastAsia="zh-CN"/>
              </w:rPr>
              <w:t>≥3</w:t>
            </w:r>
          </w:p>
        </w:tc>
        <w:tc>
          <w:tcPr>
            <w:tcW w:w="5804" w:type="dxa"/>
          </w:tcPr>
          <w:p w14:paraId="10CAB0F7">
            <w:pPr>
              <w:rPr>
                <w:rFonts w:hint="default"/>
                <w:sz w:val="24"/>
                <w:szCs w:val="24"/>
                <w:vertAlign w:val="baseline"/>
                <w:lang w:val="en-US" w:eastAsia="zh-CN"/>
              </w:rPr>
            </w:pPr>
            <w:r>
              <w:rPr>
                <w:rFonts w:hint="default"/>
                <w:color w:val="auto"/>
                <w:sz w:val="24"/>
                <w:szCs w:val="24"/>
                <w:highlight w:val="none"/>
                <w:vertAlign w:val="baseline"/>
                <w:lang w:val="en-US" w:eastAsia="zh-CN"/>
              </w:rPr>
              <w:t>其必须具备白蚁防治或者有害生物防治或者植物病虫害防治相关工作经验，必须具有《白蚁防治员》或者《有害生物防制员》或者《林业有害生物防治员》证书(职称证书或者职业资格证书或者职业技能等级证书)，提供相关证书原件扫描件和相关证书的网站查询截图(相关证书查询官网为“www.12333.gov.cn"或者“zscx.osta.org.cn"或者“gjzwfw.www.gov.cn等国家行政部门官网平台)及竞价前6个月内任意1个月(不含竞价当月)响应人为证书所有人缴纳的社保证明材料。</w:t>
            </w:r>
          </w:p>
        </w:tc>
      </w:tr>
    </w:tbl>
    <w:p w14:paraId="15F81A60">
      <w:pPr>
        <w:pStyle w:val="5"/>
        <w:rPr>
          <w:rFonts w:hint="eastAsia"/>
          <w:b w:val="0"/>
          <w:bCs w:val="0"/>
          <w:sz w:val="24"/>
          <w:szCs w:val="24"/>
          <w:lang w:val="en-US" w:eastAsia="zh-CN"/>
        </w:rPr>
      </w:pPr>
    </w:p>
    <w:p w14:paraId="2351ADD8">
      <w:pPr>
        <w:pStyle w:val="5"/>
        <w:rPr>
          <w:rFonts w:hint="eastAsia"/>
          <w:b w:val="0"/>
          <w:bCs w:val="0"/>
          <w:sz w:val="24"/>
          <w:szCs w:val="24"/>
          <w:lang w:val="en-US" w:eastAsia="zh-CN"/>
        </w:rPr>
      </w:pPr>
      <w:r>
        <w:rPr>
          <w:rFonts w:hint="eastAsia"/>
          <w:b w:val="0"/>
          <w:bCs w:val="0"/>
          <w:sz w:val="24"/>
          <w:szCs w:val="24"/>
          <w:lang w:val="en-US" w:eastAsia="zh-CN"/>
        </w:rPr>
        <w:t>7.2、车辆设备要求</w:t>
      </w:r>
    </w:p>
    <w:tbl>
      <w:tblPr>
        <w:tblStyle w:val="7"/>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983"/>
        <w:gridCol w:w="1217"/>
        <w:gridCol w:w="1666"/>
        <w:gridCol w:w="2617"/>
      </w:tblGrid>
      <w:tr w14:paraId="0BE7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32" w:type="dxa"/>
            <w:vAlign w:val="center"/>
          </w:tcPr>
          <w:p w14:paraId="23D80428">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983" w:type="dxa"/>
            <w:vAlign w:val="center"/>
          </w:tcPr>
          <w:p w14:paraId="056E4A92">
            <w:pPr>
              <w:jc w:val="center"/>
              <w:rPr>
                <w:rFonts w:hint="default"/>
                <w:sz w:val="24"/>
                <w:szCs w:val="24"/>
                <w:vertAlign w:val="baseline"/>
                <w:lang w:val="en-US" w:eastAsia="zh-CN"/>
              </w:rPr>
            </w:pPr>
            <w:r>
              <w:rPr>
                <w:rFonts w:hint="eastAsia"/>
                <w:sz w:val="24"/>
                <w:szCs w:val="24"/>
                <w:vertAlign w:val="baseline"/>
                <w:lang w:val="en-US" w:eastAsia="zh-CN"/>
              </w:rPr>
              <w:t>设备名称</w:t>
            </w:r>
          </w:p>
        </w:tc>
        <w:tc>
          <w:tcPr>
            <w:tcW w:w="1217" w:type="dxa"/>
            <w:vAlign w:val="center"/>
          </w:tcPr>
          <w:p w14:paraId="35FBBAD8">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1666" w:type="dxa"/>
            <w:vAlign w:val="center"/>
          </w:tcPr>
          <w:p w14:paraId="7D2A672D">
            <w:pPr>
              <w:jc w:val="center"/>
              <w:rPr>
                <w:rFonts w:hint="default"/>
                <w:sz w:val="24"/>
                <w:szCs w:val="24"/>
                <w:vertAlign w:val="baseline"/>
                <w:lang w:val="en-US" w:eastAsia="zh-CN"/>
              </w:rPr>
            </w:pPr>
            <w:r>
              <w:rPr>
                <w:rFonts w:hint="eastAsia"/>
                <w:sz w:val="24"/>
                <w:szCs w:val="24"/>
                <w:vertAlign w:val="baseline"/>
                <w:lang w:val="en-US" w:eastAsia="zh-CN"/>
              </w:rPr>
              <w:t>参数要求</w:t>
            </w:r>
          </w:p>
        </w:tc>
        <w:tc>
          <w:tcPr>
            <w:tcW w:w="2617" w:type="dxa"/>
            <w:vAlign w:val="center"/>
          </w:tcPr>
          <w:p w14:paraId="082D3BA4">
            <w:pPr>
              <w:jc w:val="center"/>
              <w:rPr>
                <w:rFonts w:hint="default"/>
                <w:sz w:val="24"/>
                <w:szCs w:val="24"/>
                <w:vertAlign w:val="baseline"/>
                <w:lang w:val="en-US" w:eastAsia="zh-CN"/>
              </w:rPr>
            </w:pPr>
            <w:r>
              <w:rPr>
                <w:rFonts w:hint="eastAsia"/>
                <w:sz w:val="24"/>
                <w:szCs w:val="24"/>
                <w:vertAlign w:val="baseline"/>
                <w:lang w:val="en-US" w:eastAsia="zh-CN"/>
              </w:rPr>
              <w:t>用途/效果</w:t>
            </w:r>
          </w:p>
        </w:tc>
      </w:tr>
      <w:tr w14:paraId="5112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32" w:type="dxa"/>
            <w:vAlign w:val="center"/>
          </w:tcPr>
          <w:p w14:paraId="1404318D">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983" w:type="dxa"/>
            <w:vAlign w:val="center"/>
          </w:tcPr>
          <w:p w14:paraId="6323CB99">
            <w:pPr>
              <w:jc w:val="center"/>
              <w:rPr>
                <w:rFonts w:hint="default"/>
                <w:sz w:val="24"/>
                <w:szCs w:val="24"/>
                <w:vertAlign w:val="baseline"/>
                <w:lang w:val="en-US" w:eastAsia="zh-CN"/>
              </w:rPr>
            </w:pPr>
            <w:r>
              <w:rPr>
                <w:rFonts w:hint="eastAsia"/>
                <w:sz w:val="24"/>
                <w:szCs w:val="24"/>
                <w:vertAlign w:val="baseline"/>
                <w:lang w:val="en-US" w:eastAsia="zh-CN"/>
              </w:rPr>
              <w:t>服务车辆</w:t>
            </w:r>
          </w:p>
        </w:tc>
        <w:tc>
          <w:tcPr>
            <w:tcW w:w="1217" w:type="dxa"/>
            <w:vAlign w:val="center"/>
          </w:tcPr>
          <w:p w14:paraId="4834D6D5">
            <w:pPr>
              <w:jc w:val="center"/>
              <w:rPr>
                <w:rFonts w:hint="default"/>
                <w:sz w:val="24"/>
                <w:szCs w:val="24"/>
                <w:vertAlign w:val="baseline"/>
                <w:lang w:val="en-US" w:eastAsia="zh-CN"/>
              </w:rPr>
            </w:pPr>
            <w:r>
              <w:rPr>
                <w:rFonts w:hint="eastAsia"/>
                <w:sz w:val="24"/>
                <w:szCs w:val="24"/>
                <w:vertAlign w:val="baseline"/>
                <w:lang w:val="en-US" w:eastAsia="zh-CN"/>
              </w:rPr>
              <w:t>1辆</w:t>
            </w:r>
          </w:p>
        </w:tc>
        <w:tc>
          <w:tcPr>
            <w:tcW w:w="1666" w:type="dxa"/>
            <w:vAlign w:val="center"/>
          </w:tcPr>
          <w:p w14:paraId="1A0BC5B1">
            <w:pPr>
              <w:jc w:val="center"/>
              <w:rPr>
                <w:rFonts w:hint="default"/>
                <w:sz w:val="24"/>
                <w:szCs w:val="24"/>
                <w:vertAlign w:val="baseline"/>
                <w:lang w:val="en-US" w:eastAsia="zh-CN"/>
              </w:rPr>
            </w:pPr>
            <w:r>
              <w:rPr>
                <w:rFonts w:hint="eastAsia"/>
                <w:sz w:val="24"/>
                <w:szCs w:val="24"/>
                <w:vertAlign w:val="baseline"/>
                <w:lang w:val="en-US" w:eastAsia="zh-CN"/>
              </w:rPr>
              <w:t>车型不限</w:t>
            </w:r>
          </w:p>
        </w:tc>
        <w:tc>
          <w:tcPr>
            <w:tcW w:w="2617" w:type="dxa"/>
            <w:vAlign w:val="center"/>
          </w:tcPr>
          <w:p w14:paraId="656BB02A">
            <w:pPr>
              <w:jc w:val="center"/>
              <w:rPr>
                <w:rFonts w:hint="default"/>
                <w:sz w:val="24"/>
                <w:szCs w:val="24"/>
                <w:vertAlign w:val="baseline"/>
                <w:lang w:val="en-US" w:eastAsia="zh-CN"/>
              </w:rPr>
            </w:pPr>
            <w:r>
              <w:rPr>
                <w:rFonts w:hint="eastAsia"/>
                <w:sz w:val="24"/>
                <w:szCs w:val="24"/>
              </w:rPr>
              <w:t>常态化防控用</w:t>
            </w:r>
          </w:p>
        </w:tc>
      </w:tr>
      <w:tr w14:paraId="2000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32" w:type="dxa"/>
            <w:vAlign w:val="center"/>
          </w:tcPr>
          <w:p w14:paraId="3A984C4B">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983" w:type="dxa"/>
            <w:vAlign w:val="center"/>
          </w:tcPr>
          <w:p w14:paraId="0374244E">
            <w:pPr>
              <w:jc w:val="center"/>
              <w:rPr>
                <w:rFonts w:hint="default"/>
                <w:sz w:val="24"/>
                <w:szCs w:val="24"/>
                <w:vertAlign w:val="baseline"/>
                <w:lang w:val="en-US" w:eastAsia="zh-CN"/>
              </w:rPr>
            </w:pPr>
            <w:r>
              <w:rPr>
                <w:rFonts w:hint="eastAsia"/>
                <w:sz w:val="24"/>
                <w:szCs w:val="24"/>
                <w:vertAlign w:val="baseline"/>
                <w:lang w:val="en-US" w:eastAsia="zh-CN"/>
              </w:rPr>
              <w:t>电动喷雾器</w:t>
            </w:r>
          </w:p>
        </w:tc>
        <w:tc>
          <w:tcPr>
            <w:tcW w:w="1217" w:type="dxa"/>
            <w:vAlign w:val="center"/>
          </w:tcPr>
          <w:p w14:paraId="7EB993DF">
            <w:pPr>
              <w:jc w:val="center"/>
              <w:rPr>
                <w:rFonts w:hint="default"/>
                <w:sz w:val="24"/>
                <w:szCs w:val="24"/>
                <w:vertAlign w:val="baseline"/>
                <w:lang w:val="en-US" w:eastAsia="zh-CN"/>
              </w:rPr>
            </w:pPr>
            <w:r>
              <w:rPr>
                <w:rFonts w:hint="eastAsia"/>
                <w:sz w:val="24"/>
                <w:szCs w:val="24"/>
                <w:vertAlign w:val="baseline"/>
                <w:lang w:val="en-US" w:eastAsia="zh-CN"/>
              </w:rPr>
              <w:t>3台</w:t>
            </w:r>
          </w:p>
        </w:tc>
        <w:tc>
          <w:tcPr>
            <w:tcW w:w="1666" w:type="dxa"/>
            <w:vAlign w:val="center"/>
          </w:tcPr>
          <w:p w14:paraId="67755DB8">
            <w:pPr>
              <w:jc w:val="center"/>
              <w:rPr>
                <w:rFonts w:hint="default"/>
                <w:sz w:val="24"/>
                <w:szCs w:val="24"/>
                <w:vertAlign w:val="baseline"/>
                <w:lang w:val="en-US" w:eastAsia="zh-CN"/>
              </w:rPr>
            </w:pPr>
            <w:r>
              <w:rPr>
                <w:rFonts w:hint="eastAsia"/>
                <w:sz w:val="24"/>
                <w:szCs w:val="24"/>
                <w:vertAlign w:val="baseline"/>
                <w:lang w:val="en-US" w:eastAsia="zh-CN"/>
              </w:rPr>
              <w:t>≥16L</w:t>
            </w:r>
          </w:p>
        </w:tc>
        <w:tc>
          <w:tcPr>
            <w:tcW w:w="2617" w:type="dxa"/>
            <w:vAlign w:val="center"/>
          </w:tcPr>
          <w:p w14:paraId="7C1126FE">
            <w:pPr>
              <w:jc w:val="center"/>
              <w:rPr>
                <w:rFonts w:hint="default"/>
                <w:sz w:val="24"/>
                <w:szCs w:val="24"/>
                <w:vertAlign w:val="baseline"/>
                <w:lang w:val="en-US" w:eastAsia="zh-CN"/>
              </w:rPr>
            </w:pPr>
            <w:r>
              <w:rPr>
                <w:rFonts w:hint="eastAsia"/>
                <w:sz w:val="24"/>
                <w:szCs w:val="24"/>
              </w:rPr>
              <w:t>喷洒防控药剂</w:t>
            </w:r>
          </w:p>
        </w:tc>
      </w:tr>
      <w:tr w14:paraId="2636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32" w:type="dxa"/>
            <w:vAlign w:val="center"/>
          </w:tcPr>
          <w:p w14:paraId="6065577F">
            <w:pPr>
              <w:jc w:val="center"/>
              <w:rPr>
                <w:rFonts w:hint="default"/>
                <w:sz w:val="24"/>
                <w:szCs w:val="24"/>
                <w:vertAlign w:val="baseline"/>
                <w:lang w:val="en-US" w:eastAsia="zh-CN"/>
              </w:rPr>
            </w:pPr>
            <w:r>
              <w:rPr>
                <w:rFonts w:hint="eastAsia"/>
                <w:sz w:val="24"/>
                <w:szCs w:val="24"/>
                <w:vertAlign w:val="baseline"/>
                <w:lang w:val="en-US" w:eastAsia="zh-CN"/>
              </w:rPr>
              <w:t>3</w:t>
            </w:r>
          </w:p>
        </w:tc>
        <w:tc>
          <w:tcPr>
            <w:tcW w:w="1983" w:type="dxa"/>
            <w:vAlign w:val="center"/>
          </w:tcPr>
          <w:p w14:paraId="0ACD0668">
            <w:pPr>
              <w:jc w:val="center"/>
              <w:rPr>
                <w:rFonts w:hint="default"/>
                <w:sz w:val="24"/>
                <w:szCs w:val="24"/>
                <w:vertAlign w:val="baseline"/>
                <w:lang w:val="en-US" w:eastAsia="zh-CN"/>
              </w:rPr>
            </w:pPr>
            <w:r>
              <w:rPr>
                <w:rFonts w:hint="eastAsia"/>
                <w:sz w:val="24"/>
                <w:szCs w:val="24"/>
                <w:vertAlign w:val="baseline"/>
                <w:lang w:val="en-US" w:eastAsia="zh-CN"/>
              </w:rPr>
              <w:t>喷药机</w:t>
            </w:r>
          </w:p>
        </w:tc>
        <w:tc>
          <w:tcPr>
            <w:tcW w:w="1217" w:type="dxa"/>
            <w:vAlign w:val="center"/>
          </w:tcPr>
          <w:p w14:paraId="2A2682B1">
            <w:pPr>
              <w:jc w:val="center"/>
              <w:rPr>
                <w:rFonts w:hint="default"/>
                <w:sz w:val="24"/>
                <w:szCs w:val="24"/>
                <w:vertAlign w:val="baseline"/>
                <w:lang w:val="en-US" w:eastAsia="zh-CN"/>
              </w:rPr>
            </w:pPr>
            <w:r>
              <w:rPr>
                <w:rFonts w:hint="eastAsia"/>
                <w:sz w:val="24"/>
                <w:szCs w:val="24"/>
                <w:vertAlign w:val="baseline"/>
                <w:lang w:val="en-US" w:eastAsia="zh-CN"/>
              </w:rPr>
              <w:t>1台</w:t>
            </w:r>
          </w:p>
        </w:tc>
        <w:tc>
          <w:tcPr>
            <w:tcW w:w="1666" w:type="dxa"/>
            <w:vAlign w:val="center"/>
          </w:tcPr>
          <w:p w14:paraId="2AE128AB">
            <w:pPr>
              <w:jc w:val="center"/>
              <w:rPr>
                <w:rFonts w:hint="default"/>
                <w:sz w:val="24"/>
                <w:szCs w:val="24"/>
                <w:vertAlign w:val="baseline"/>
                <w:lang w:val="en-US" w:eastAsia="zh-CN"/>
              </w:rPr>
            </w:pPr>
            <w:r>
              <w:rPr>
                <w:rFonts w:hint="eastAsia"/>
                <w:sz w:val="24"/>
                <w:szCs w:val="24"/>
                <w:vertAlign w:val="baseline"/>
                <w:lang w:val="en-US" w:eastAsia="zh-CN"/>
              </w:rPr>
              <w:t>≥160L</w:t>
            </w:r>
          </w:p>
        </w:tc>
        <w:tc>
          <w:tcPr>
            <w:tcW w:w="2617" w:type="dxa"/>
            <w:vAlign w:val="center"/>
          </w:tcPr>
          <w:p w14:paraId="14425A79">
            <w:pPr>
              <w:jc w:val="center"/>
              <w:rPr>
                <w:rFonts w:hint="default"/>
                <w:sz w:val="24"/>
                <w:szCs w:val="24"/>
                <w:vertAlign w:val="baseline"/>
                <w:lang w:val="en-US" w:eastAsia="zh-CN"/>
              </w:rPr>
            </w:pPr>
            <w:r>
              <w:rPr>
                <w:rFonts w:hint="eastAsia"/>
                <w:sz w:val="24"/>
                <w:szCs w:val="24"/>
              </w:rPr>
              <w:t>喷洒防控药剂</w:t>
            </w:r>
          </w:p>
        </w:tc>
      </w:tr>
    </w:tbl>
    <w:p w14:paraId="2EC41A52">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三、商务条款</w:t>
      </w:r>
    </w:p>
    <w:p w14:paraId="46B1E69D">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1、服务期：三年（治理期一年，预防期一年，监测养护期一年）。</w:t>
      </w:r>
    </w:p>
    <w:p w14:paraId="2F9191D7">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2、服务地点：采购人指定地点。</w:t>
      </w:r>
    </w:p>
    <w:p w14:paraId="05B9BAC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3、付款方式：完成首次全面施药，经验收确认后支付合同价款的30%；治理期（12个月）结束经验收合格，支付合同价款60%；监测养护期（12个月）结束经验收合格，支付合同价款的10%。</w:t>
      </w:r>
    </w:p>
    <w:p w14:paraId="659A9D70">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现场勘查：响应供应商必须对项目实施现场和周围环境进行周密的勘查和研究，便于核算成本，合理报价，须取得采购人盖章的勘查证明；中标后签订合同时和实施过程中，响应供应商不得以不完全了解现场情况为由，提出任何形式的增加造价或索赔的要求。响应供应商在现场勘查中所发生的意外事件自行负责。响应供应商现场勘查的一切费用自理。</w:t>
      </w:r>
    </w:p>
    <w:p w14:paraId="2BC1352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5、验收：</w:t>
      </w:r>
    </w:p>
    <w:p w14:paraId="4DD93B8D">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5.1验收标准：</w:t>
      </w:r>
    </w:p>
    <w:p w14:paraId="781944D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5.1.1对防控区域内存在的白蚁种类、分布情况、白蚁危害程度、受白蚁危害的园林植物品种进行普查、摸底分析、归纳总结，形成书面材料，报送采购单位审阅、存档。 </w:t>
      </w:r>
    </w:p>
    <w:p w14:paraId="1553B4CF">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5.1.2做好白蚁防治施工记录（辅以照片），按季度将防控记录装订成册，报采购人审阅、存档。</w:t>
      </w:r>
    </w:p>
    <w:p w14:paraId="7B4C6EF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5.1.3验收时同步核查实际治理面积及树木数量。</w:t>
      </w:r>
    </w:p>
    <w:p w14:paraId="227D3BCF">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5.1.4行道树、其它树木：在服务范围内任选100株树木进行抽样检查，抽查范围内受白蚁危害树木数量≤5棵的为合格，其余为不合格。不合格时供应商须无条件按采购人要求进行补充治理，直至达到合格为止。</w:t>
      </w:r>
    </w:p>
    <w:p w14:paraId="330D2A0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5.1.5草坪、地被、花卉、绿篱等：采购人防治区域内无明显白蚁危害及活动痕迹，新发现的白蚁泥被、泥线每50平方米内不超过1处为合格，反之为不合格，需进行补充治理， 直至合格为止。</w:t>
      </w:r>
    </w:p>
    <w:p w14:paraId="2817D164">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5.1.6若采购单位的工作人员检查时发现绿地白蚁危害，通知服务方，未按采购单位要求 2小时内到达现场做出处理措施的。每次未响应将扣除人民币叁仟元整。在服务期内累计发现三次以上，采购单位无条件解除本合同。</w:t>
      </w:r>
    </w:p>
    <w:p w14:paraId="063F0F5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5.2验收步骤：</w:t>
      </w:r>
    </w:p>
    <w:p w14:paraId="6D5BC240">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5.2.1施药验收：首次全面施药后提供药剂检测报告、施药记录及现场照片，每个小区至少2张关键区域照片。</w:t>
      </w:r>
    </w:p>
    <w:p w14:paraId="7110AF60">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5.2.2治理期验收：治理结束后完成第二、四季度监测并提交合并监测报告（报告涵盖文昌苑等89个住宅小区的蚁情，抽查30%小区：新增蚁路≤5cm，无新鲜分飞孔及大型蚁巢（直径＞10cm）；智能监测显示活动频次较首次施药前降低≥70%；轻微蚁情已整改并留有记录）。</w:t>
      </w:r>
    </w:p>
    <w:p w14:paraId="4F12503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5.2.3预防期验收：文昌苑等89个住宅小区侵害率较初期降≥ 80% ，无系统性扩散；提交前期完整治理台账；所有问题已整改通过。</w:t>
      </w:r>
    </w:p>
    <w:p w14:paraId="2936550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5.2.4监测养护期验收：</w:t>
      </w:r>
    </w:p>
    <w:p w14:paraId="0D8E4FD8">
      <w:pPr>
        <w:pStyle w:val="5"/>
        <w:numPr>
          <w:ilvl w:val="0"/>
          <w:numId w:val="1"/>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蚁情控制：所有小区蚁情受控率100%，单小区集中复发点≤2处，大规模复发（单小区复发区域占比＞10%）为0；</w:t>
      </w:r>
    </w:p>
    <w:p w14:paraId="011178AF">
      <w:pPr>
        <w:pStyle w:val="5"/>
        <w:numPr>
          <w:ilvl w:val="0"/>
          <w:numId w:val="1"/>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资料归档：三年资料（含监测记录、防治台账、验收报告）归档完整率100%，电子台账支持检索、纸质档案编码可溯；</w:t>
      </w:r>
    </w:p>
    <w:p w14:paraId="0B62DCE3">
      <w:pPr>
        <w:pStyle w:val="5"/>
        <w:numPr>
          <w:ilvl w:val="0"/>
          <w:numId w:val="1"/>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问题处理：蚁情问题处理闭环率100%，最后一次处理后3个月内，同类问题复发率≤5%，“零复发”小区占比≥80%。</w:t>
      </w:r>
    </w:p>
    <w:p w14:paraId="0BE18056">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6、成交供应商应加强安全教育，在服务过程中，若服务人员出现任何安全问题或因服务人员造成的任何安全问题，由成交供应商承担所有责任，采购人不承担任何责任。</w:t>
      </w:r>
    </w:p>
    <w:p w14:paraId="15EE64BE">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成交供应商应严格按照采购人合理性要求进行相应服务。采购人有权随时检查监督成交供应商服务情况，若存在一般性问题，采购人可要求成交供应商进行整改；若存在严重问题，采购人可要求成交供应商予以赔偿或提前终止合同。</w:t>
      </w:r>
    </w:p>
    <w:p w14:paraId="76079AD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8、成交供应商在项目实施或服务过程中发生的重大责任事故或因成交供应商企业管理不善等原因造成的人员伤亡等均由成交供应商负责，采购人不承担任何法律及经济责任。</w:t>
      </w:r>
    </w:p>
    <w:p w14:paraId="23D6C8CD">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9、本项目为交钥匙工程。所需药剂、辅助材料、机械设备、防治车辆、配件、存储、运输、保险、劳保、税费、人工等一切费用均包含在响应报价中。</w:t>
      </w:r>
    </w:p>
    <w:p w14:paraId="3F9BA63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四、供应商的资格要求</w:t>
      </w:r>
    </w:p>
    <w:p w14:paraId="4D18BDF7">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说明：如供应商提供了《承诺函》的，视同提供了满足“《中华人民共和国政府采购法》第二十二条规定”的证明文件，未提供《承诺函》的，须提供下列项证明文件，证明其满足“《中华人民共和国政府采购法》第二十二条规定”。</w:t>
      </w:r>
    </w:p>
    <w:p w14:paraId="657D15E8">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1.1具有独立承担民事责任的能力；</w:t>
      </w:r>
    </w:p>
    <w:p w14:paraId="1867E5C6">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1.2具有良好的商业信誉和健全的财务会计制度；</w:t>
      </w:r>
    </w:p>
    <w:p w14:paraId="059CB0BB">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1.3具有履行合同所必需的设备和专业技术能力；</w:t>
      </w:r>
    </w:p>
    <w:p w14:paraId="0E7DA142">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1.4有依法缴纳税收和社会保障资金的良好记录；</w:t>
      </w:r>
    </w:p>
    <w:p w14:paraId="1F04BE9E">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1.5参加政府采购活动前三年内，在经营活动中没有重大违法记录；</w:t>
      </w:r>
    </w:p>
    <w:p w14:paraId="6794E21A">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1.6法律、行政法规规定的其他条件。</w:t>
      </w:r>
    </w:p>
    <w:p w14:paraId="271B7129">
      <w:pPr>
        <w:pStyle w:val="5"/>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单位负责人为同一人或者存在直接控股、管理关系的不同投标人，不得参加同一合同项下的采购活动。为本采购项目提供整体设计、规范编制或者项目管理、监理、检测等服务的，不得参加本项目的政府采购活动。</w:t>
      </w:r>
    </w:p>
    <w:p w14:paraId="3AAB8358">
      <w:pPr>
        <w:pStyle w:val="5"/>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投标人被“信用中国”网站列入失信被执行人或重大税收违法案件当事人名单或被“中国政府采购网”网站列入政府采购严重违法失信行为记录名单（处罚期限尚未届满的）的，不得参加本项目的政府采购活动。</w:t>
      </w:r>
    </w:p>
    <w:p w14:paraId="72592E7D">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五、服务商响应附件要求</w:t>
      </w:r>
    </w:p>
    <w:p w14:paraId="608B03D2">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1.承诺</w:t>
      </w:r>
      <w:r>
        <w:rPr>
          <w:rFonts w:hint="eastAsia" w:ascii="宋体" w:hAnsi="宋体" w:eastAsia="宋体" w:cs="宋体"/>
          <w:b w:val="0"/>
          <w:bCs w:val="0"/>
          <w:sz w:val="24"/>
          <w:szCs w:val="24"/>
          <w:highlight w:val="none"/>
          <w:lang w:val="en-US" w:eastAsia="zh-CN"/>
        </w:rPr>
        <w:t>函（加盖服务商公章）；</w:t>
      </w:r>
    </w:p>
    <w:p w14:paraId="6D790EE5">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2.营业执照、民办非企业证或组织机构代码证复印件（经营范围需符合项目需要或单位职责符合项目需求，加盖服务商公章）；</w:t>
      </w:r>
    </w:p>
    <w:p w14:paraId="7520B759">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3.所投药品农业部颁发的农药登记证、农药生产许可证、企业标准信息公共服务平台备案的企业标准（复印件加盖服务商公章）；</w:t>
      </w:r>
    </w:p>
    <w:p w14:paraId="697614DC">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4.法定代表人身份证或授权委托书（复印件加盖服务商公章）；</w:t>
      </w:r>
    </w:p>
    <w:p w14:paraId="2A0BB61A">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5.现场勘查证明；</w:t>
      </w:r>
    </w:p>
    <w:p w14:paraId="2C00BB2D">
      <w:pPr>
        <w:rPr>
          <w:rFonts w:hint="eastAsia"/>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default"/>
          <w:b w:val="0"/>
          <w:bCs w:val="0"/>
          <w:sz w:val="24"/>
          <w:szCs w:val="24"/>
          <w:highlight w:val="none"/>
          <w:lang w:val="en-US" w:eastAsia="zh-CN"/>
        </w:rPr>
        <w:t>必须具备有效的《农药经营许可证》</w:t>
      </w:r>
      <w:r>
        <w:rPr>
          <w:rFonts w:hint="eastAsia"/>
          <w:b w:val="0"/>
          <w:bCs w:val="0"/>
          <w:sz w:val="24"/>
          <w:szCs w:val="24"/>
          <w:highlight w:val="none"/>
          <w:lang w:val="en-US" w:eastAsia="zh-CN"/>
        </w:rPr>
        <w:t>；</w:t>
      </w:r>
    </w:p>
    <w:p w14:paraId="06F88A9A">
      <w:pPr>
        <w:rPr>
          <w:rFonts w:hint="eastAsia"/>
          <w:b w:val="0"/>
          <w:bCs w:val="0"/>
          <w:sz w:val="24"/>
          <w:szCs w:val="24"/>
          <w:highlight w:val="none"/>
          <w:lang w:val="en-US" w:eastAsia="zh-CN"/>
        </w:rPr>
      </w:pPr>
      <w:r>
        <w:rPr>
          <w:rFonts w:hint="eastAsia"/>
          <w:b w:val="0"/>
          <w:bCs w:val="0"/>
          <w:sz w:val="24"/>
          <w:szCs w:val="24"/>
          <w:highlight w:val="none"/>
          <w:lang w:val="en-US" w:eastAsia="zh-CN"/>
        </w:rPr>
        <w:t>7.项目负责人及施工人员相关证明材料（详见人员要求）；</w:t>
      </w:r>
    </w:p>
    <w:p w14:paraId="0018D2BB">
      <w:pPr>
        <w:pStyle w:val="5"/>
        <w:rPr>
          <w:rFonts w:hint="default"/>
          <w:sz w:val="24"/>
          <w:szCs w:val="24"/>
          <w:highlight w:val="none"/>
          <w:lang w:val="en-US" w:eastAsia="zh-CN"/>
        </w:rPr>
      </w:pPr>
      <w:r>
        <w:rPr>
          <w:rFonts w:hint="eastAsia"/>
          <w:b w:val="0"/>
          <w:bCs w:val="0"/>
          <w:sz w:val="24"/>
          <w:szCs w:val="24"/>
          <w:highlight w:val="none"/>
          <w:lang w:val="en-US" w:eastAsia="zh-CN"/>
        </w:rPr>
        <w:t>8.响应文件。</w:t>
      </w:r>
    </w:p>
    <w:p w14:paraId="5BDDBEDB">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六、无效报价</w:t>
      </w:r>
    </w:p>
    <w:p w14:paraId="1A84FA7C">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发生下列任何情况时，采购人有权将竞价文件按无效处理：</w:t>
      </w:r>
    </w:p>
    <w:p w14:paraId="0C8963F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1.供应商名称与营业执照、资质证书等不一致；</w:t>
      </w:r>
    </w:p>
    <w:p w14:paraId="3108DE8E">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2.法定代表人或授权委托人资格不符合招标文件要求；</w:t>
      </w:r>
    </w:p>
    <w:p w14:paraId="2FECA51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3.响应文件盖章未按响应文件要求加盖公章；</w:t>
      </w:r>
    </w:p>
    <w:p w14:paraId="49E279F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4.响应文件未按竞价文件规定的要求填写，内容不全或关键字迹模糊、无法辨认；</w:t>
      </w:r>
    </w:p>
    <w:p w14:paraId="6D92A651">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5.竞价文件内容未实质响应竞价文件的要求；</w:t>
      </w:r>
    </w:p>
    <w:p w14:paraId="575A3E78">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6.供应商的报价高于采购人期望值，或报价低于成本的：</w:t>
      </w:r>
    </w:p>
    <w:p w14:paraId="6BFC2924">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7.供应商与其他供应商串通报价或弄虚作假报价的由评审小组进行审查认定，否决其报价，暂停其本采购项目的报价资格，并按照江西省政府采购电子卖场供应商管理办法相关规定处理：</w:t>
      </w:r>
    </w:p>
    <w:p w14:paraId="00757B08">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8.供应商以他人名义报价，或者以其他方式弄虚作假；</w:t>
      </w:r>
    </w:p>
    <w:p w14:paraId="687C50E3">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9.响应文件实质性要求有负偏离或未提供实质性要求证明材料的；</w:t>
      </w:r>
    </w:p>
    <w:p w14:paraId="1F2F43D9">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10.不符合法律法规和竞价文件中规定的其它无效投标的情形。</w:t>
      </w:r>
    </w:p>
    <w:p w14:paraId="6F01C05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七、其它补充事宜</w:t>
      </w:r>
    </w:p>
    <w:p w14:paraId="43818B65">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1、本项目不接受联合体投标，不允许转包、分包。</w:t>
      </w:r>
    </w:p>
    <w:p w14:paraId="5D1C4815">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2、全部响应要求，上传扫描件且加盖公章作为服务商响应附件，必须上传，未提供或提供不符合要求作无效投标处理。</w:t>
      </w:r>
    </w:p>
    <w:p w14:paraId="23C3D15F">
      <w:pPr>
        <w:pStyle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3、参与报价的供应商须在规定的时间自行勘查</w:t>
      </w:r>
      <w:r>
        <w:rPr>
          <w:rFonts w:hint="eastAsia" w:ascii="宋体" w:hAnsi="宋体" w:eastAsia="宋体" w:cs="宋体"/>
          <w:b w:val="0"/>
          <w:bCs w:val="0"/>
          <w:color w:val="auto"/>
          <w:sz w:val="24"/>
          <w:szCs w:val="24"/>
          <w:lang w:val="en-US" w:eastAsia="zh-CN"/>
        </w:rPr>
        <w:t>，勘察时间：2026年5月9日-5月14日，参加现场勘查人员必须为供应商公司法人或法定代表授权人，且供应商法定代表人需提供法人身份证，法人授权书（含被授权人身份证）并加盖公章和法人章，勘查时须向采购人提供公司营业执照</w:t>
      </w:r>
      <w:r>
        <w:rPr>
          <w:rFonts w:hint="eastAsia" w:ascii="宋体" w:hAnsi="宋体" w:eastAsia="宋体" w:cs="宋体"/>
          <w:b w:val="0"/>
          <w:bCs w:val="0"/>
          <w:color w:val="auto"/>
          <w:sz w:val="24"/>
          <w:szCs w:val="24"/>
          <w:highlight w:val="none"/>
          <w:lang w:val="en-US" w:eastAsia="zh-CN"/>
        </w:rPr>
        <w:t>、农药经营许可证、</w:t>
      </w:r>
      <w:r>
        <w:rPr>
          <w:rFonts w:hint="eastAsia"/>
          <w:b w:val="0"/>
          <w:bCs w:val="0"/>
          <w:color w:val="auto"/>
          <w:sz w:val="24"/>
          <w:szCs w:val="24"/>
          <w:highlight w:val="none"/>
          <w:lang w:val="en-US" w:eastAsia="zh-CN"/>
        </w:rPr>
        <w:t>项目负责人及施工人员相关证明材料</w:t>
      </w:r>
      <w:r>
        <w:rPr>
          <w:rFonts w:hint="eastAsia" w:ascii="宋体" w:hAnsi="宋体" w:eastAsia="宋体" w:cs="宋体"/>
          <w:b w:val="0"/>
          <w:bCs w:val="0"/>
          <w:color w:val="auto"/>
          <w:sz w:val="24"/>
          <w:szCs w:val="24"/>
          <w:highlight w:val="none"/>
          <w:lang w:val="en-US" w:eastAsia="zh-CN"/>
        </w:rPr>
        <w:t>扫</w:t>
      </w:r>
      <w:r>
        <w:rPr>
          <w:rFonts w:hint="eastAsia" w:ascii="宋体" w:hAnsi="宋体" w:eastAsia="宋体" w:cs="宋体"/>
          <w:b w:val="0"/>
          <w:bCs w:val="0"/>
          <w:color w:val="auto"/>
          <w:sz w:val="24"/>
          <w:szCs w:val="24"/>
          <w:lang w:val="en-US" w:eastAsia="zh-CN"/>
        </w:rPr>
        <w:t>描件进</w:t>
      </w:r>
      <w:r>
        <w:rPr>
          <w:rFonts w:hint="eastAsia" w:ascii="宋体" w:hAnsi="宋体" w:eastAsia="宋体" w:cs="宋体"/>
          <w:b w:val="0"/>
          <w:bCs w:val="0"/>
          <w:sz w:val="24"/>
          <w:szCs w:val="24"/>
          <w:lang w:val="en-US" w:eastAsia="zh-CN"/>
        </w:rPr>
        <w:t>行审查，供应商在勘查前需向采购人了解清楚项目具体要求，并做好详细的勘查资料。竞价响应文件需放入经业主签字确认后的《现场踏勘证明》详见竞价文件，未按要求实施则视为无效响应。</w:t>
      </w:r>
    </w:p>
    <w:p w14:paraId="07160150">
      <w:pPr>
        <w:rPr>
          <w:rFonts w:hint="default"/>
          <w:b w:val="0"/>
          <w:bCs w:val="0"/>
          <w:sz w:val="28"/>
          <w:szCs w:val="28"/>
          <w:lang w:val="en-US" w:eastAsia="zh-CN"/>
        </w:rPr>
      </w:pPr>
      <w:r>
        <w:rPr>
          <w:rFonts w:hint="eastAsia" w:ascii="宋体" w:hAnsi="宋体" w:eastAsia="宋体" w:cs="宋体"/>
          <w:b w:val="0"/>
          <w:bCs w:val="0"/>
          <w:sz w:val="24"/>
          <w:szCs w:val="24"/>
          <w:lang w:val="en-US" w:eastAsia="zh-CN"/>
        </w:rPr>
        <w:t>4、其他未尽事宜，请与采购人联系。</w:t>
      </w:r>
    </w:p>
    <w:p w14:paraId="16736179">
      <w:pPr>
        <w:rPr>
          <w:rFonts w:hint="default"/>
          <w:b w:val="0"/>
          <w:bCs w:val="0"/>
          <w:sz w:val="28"/>
          <w:szCs w:val="28"/>
          <w:lang w:val="en-US" w:eastAsia="zh-CN"/>
        </w:rPr>
      </w:pPr>
      <w:r>
        <w:rPr>
          <w:rFonts w:hint="default"/>
          <w:b w:val="0"/>
          <w:bCs w:val="0"/>
          <w:sz w:val="28"/>
          <w:szCs w:val="28"/>
          <w:lang w:val="en-US" w:eastAsia="zh-CN"/>
        </w:rPr>
        <w:br w:type="page"/>
      </w:r>
    </w:p>
    <w:p w14:paraId="1C7487DF">
      <w:pPr>
        <w:spacing w:before="165" w:line="222" w:lineRule="auto"/>
        <w:jc w:val="center"/>
        <w:rPr>
          <w:rFonts w:ascii="宋体" w:hAnsi="宋体" w:eastAsia="宋体" w:cs="宋体"/>
          <w:b/>
          <w:bCs/>
          <w:spacing w:val="-16"/>
          <w:sz w:val="84"/>
          <w:szCs w:val="84"/>
        </w:rPr>
      </w:pPr>
    </w:p>
    <w:p w14:paraId="3464E431">
      <w:pPr>
        <w:spacing w:before="165" w:line="222" w:lineRule="auto"/>
        <w:jc w:val="center"/>
        <w:rPr>
          <w:rFonts w:ascii="宋体" w:hAnsi="宋体" w:eastAsia="宋体" w:cs="宋体"/>
          <w:sz w:val="84"/>
          <w:szCs w:val="84"/>
        </w:rPr>
      </w:pPr>
      <w:r>
        <w:rPr>
          <w:rFonts w:ascii="宋体" w:hAnsi="宋体" w:eastAsia="宋体" w:cs="宋体"/>
          <w:b/>
          <w:bCs/>
          <w:spacing w:val="-16"/>
          <w:sz w:val="84"/>
          <w:szCs w:val="84"/>
        </w:rPr>
        <w:t>响应文件</w:t>
      </w:r>
    </w:p>
    <w:p w14:paraId="4C8BA583">
      <w:pPr>
        <w:pStyle w:val="5"/>
        <w:spacing w:line="246" w:lineRule="auto"/>
        <w:rPr>
          <w:sz w:val="28"/>
          <w:szCs w:val="28"/>
        </w:rPr>
      </w:pPr>
    </w:p>
    <w:p w14:paraId="30959B56">
      <w:pPr>
        <w:pStyle w:val="5"/>
        <w:spacing w:line="247" w:lineRule="auto"/>
        <w:rPr>
          <w:sz w:val="28"/>
          <w:szCs w:val="28"/>
        </w:rPr>
      </w:pPr>
    </w:p>
    <w:p w14:paraId="44599B0A">
      <w:pPr>
        <w:pStyle w:val="5"/>
        <w:spacing w:line="247" w:lineRule="auto"/>
        <w:rPr>
          <w:sz w:val="28"/>
          <w:szCs w:val="28"/>
        </w:rPr>
      </w:pPr>
    </w:p>
    <w:p w14:paraId="7E60CD0A">
      <w:pPr>
        <w:pStyle w:val="5"/>
        <w:spacing w:line="247" w:lineRule="auto"/>
        <w:rPr>
          <w:sz w:val="28"/>
          <w:szCs w:val="28"/>
        </w:rPr>
      </w:pPr>
    </w:p>
    <w:p w14:paraId="016963BE">
      <w:pPr>
        <w:pStyle w:val="5"/>
        <w:spacing w:line="247" w:lineRule="auto"/>
        <w:rPr>
          <w:sz w:val="28"/>
          <w:szCs w:val="28"/>
        </w:rPr>
      </w:pPr>
    </w:p>
    <w:p w14:paraId="2D4BFC2B">
      <w:pPr>
        <w:pStyle w:val="5"/>
        <w:spacing w:line="247" w:lineRule="auto"/>
        <w:rPr>
          <w:sz w:val="28"/>
          <w:szCs w:val="28"/>
        </w:rPr>
      </w:pPr>
    </w:p>
    <w:p w14:paraId="282172D6">
      <w:pPr>
        <w:pStyle w:val="5"/>
        <w:spacing w:line="247" w:lineRule="auto"/>
        <w:rPr>
          <w:sz w:val="28"/>
          <w:szCs w:val="28"/>
        </w:rPr>
      </w:pPr>
    </w:p>
    <w:p w14:paraId="30590825">
      <w:pPr>
        <w:spacing w:before="101" w:line="225" w:lineRule="auto"/>
        <w:ind w:left="351"/>
        <w:rPr>
          <w:rFonts w:ascii="宋体" w:hAnsi="宋体" w:eastAsia="宋体" w:cs="宋体"/>
          <w:sz w:val="24"/>
          <w:szCs w:val="24"/>
        </w:rPr>
      </w:pPr>
      <w:r>
        <w:rPr>
          <w:rFonts w:ascii="宋体" w:hAnsi="宋体" w:eastAsia="宋体" w:cs="宋体"/>
          <w:b/>
          <w:bCs/>
          <w:spacing w:val="1"/>
          <w:sz w:val="24"/>
          <w:szCs w:val="24"/>
        </w:rPr>
        <w:t>项目名称：</w:t>
      </w:r>
    </w:p>
    <w:p w14:paraId="3EA9AE75">
      <w:pPr>
        <w:pStyle w:val="5"/>
        <w:spacing w:line="249" w:lineRule="auto"/>
        <w:rPr>
          <w:sz w:val="24"/>
          <w:szCs w:val="24"/>
        </w:rPr>
      </w:pPr>
    </w:p>
    <w:p w14:paraId="3FA82EAA">
      <w:pPr>
        <w:pStyle w:val="5"/>
        <w:spacing w:line="250" w:lineRule="auto"/>
        <w:rPr>
          <w:sz w:val="24"/>
          <w:szCs w:val="24"/>
        </w:rPr>
      </w:pPr>
    </w:p>
    <w:p w14:paraId="4852A0A1">
      <w:pPr>
        <w:pStyle w:val="5"/>
        <w:spacing w:line="250" w:lineRule="auto"/>
        <w:rPr>
          <w:sz w:val="24"/>
          <w:szCs w:val="24"/>
        </w:rPr>
      </w:pPr>
    </w:p>
    <w:p w14:paraId="0831C9EB">
      <w:pPr>
        <w:pStyle w:val="5"/>
        <w:spacing w:line="250" w:lineRule="auto"/>
        <w:rPr>
          <w:sz w:val="24"/>
          <w:szCs w:val="24"/>
        </w:rPr>
      </w:pPr>
    </w:p>
    <w:p w14:paraId="42A04F46">
      <w:pPr>
        <w:spacing w:before="101" w:line="225" w:lineRule="auto"/>
        <w:ind w:left="351"/>
        <w:rPr>
          <w:rFonts w:ascii="宋体" w:hAnsi="宋体" w:eastAsia="宋体" w:cs="宋体"/>
          <w:sz w:val="24"/>
          <w:szCs w:val="24"/>
        </w:rPr>
      </w:pPr>
      <w:r>
        <w:rPr>
          <w:rFonts w:ascii="宋体" w:hAnsi="宋体" w:eastAsia="宋体" w:cs="宋体"/>
          <w:b/>
          <w:bCs/>
          <w:spacing w:val="1"/>
          <w:sz w:val="24"/>
          <w:szCs w:val="24"/>
        </w:rPr>
        <w:t>项目编号：</w:t>
      </w:r>
    </w:p>
    <w:p w14:paraId="58734B89">
      <w:pPr>
        <w:pStyle w:val="5"/>
        <w:spacing w:line="250" w:lineRule="auto"/>
        <w:rPr>
          <w:sz w:val="24"/>
          <w:szCs w:val="24"/>
        </w:rPr>
      </w:pPr>
    </w:p>
    <w:p w14:paraId="204318C1">
      <w:pPr>
        <w:pStyle w:val="5"/>
        <w:spacing w:line="250" w:lineRule="auto"/>
        <w:rPr>
          <w:sz w:val="24"/>
          <w:szCs w:val="24"/>
        </w:rPr>
      </w:pPr>
    </w:p>
    <w:p w14:paraId="36853851">
      <w:pPr>
        <w:pStyle w:val="5"/>
        <w:spacing w:line="250" w:lineRule="auto"/>
        <w:rPr>
          <w:sz w:val="24"/>
          <w:szCs w:val="24"/>
        </w:rPr>
      </w:pPr>
    </w:p>
    <w:p w14:paraId="521EAB04">
      <w:pPr>
        <w:pStyle w:val="5"/>
        <w:spacing w:line="251" w:lineRule="auto"/>
        <w:rPr>
          <w:sz w:val="24"/>
          <w:szCs w:val="24"/>
        </w:rPr>
      </w:pPr>
    </w:p>
    <w:p w14:paraId="28057E9D">
      <w:pPr>
        <w:spacing w:before="101" w:line="224" w:lineRule="auto"/>
        <w:ind w:left="346"/>
        <w:rPr>
          <w:rFonts w:ascii="宋体" w:hAnsi="宋体" w:eastAsia="宋体" w:cs="宋体"/>
          <w:sz w:val="24"/>
          <w:szCs w:val="24"/>
        </w:rPr>
      </w:pPr>
      <w:r>
        <w:rPr>
          <w:rFonts w:ascii="宋体" w:hAnsi="宋体" w:eastAsia="宋体" w:cs="宋体"/>
          <w:b/>
          <w:bCs/>
          <w:spacing w:val="6"/>
          <w:sz w:val="24"/>
          <w:szCs w:val="24"/>
        </w:rPr>
        <w:t>供应商名称（盖章</w:t>
      </w:r>
      <w:r>
        <w:rPr>
          <w:rFonts w:ascii="宋体" w:hAnsi="宋体" w:eastAsia="宋体" w:cs="宋体"/>
          <w:b/>
          <w:bCs/>
          <w:spacing w:val="-4"/>
          <w:sz w:val="24"/>
          <w:szCs w:val="24"/>
        </w:rPr>
        <w:t>）：</w:t>
      </w:r>
    </w:p>
    <w:p w14:paraId="12EE95F4">
      <w:pPr>
        <w:pStyle w:val="5"/>
        <w:spacing w:line="249" w:lineRule="auto"/>
        <w:rPr>
          <w:sz w:val="24"/>
          <w:szCs w:val="24"/>
        </w:rPr>
      </w:pPr>
    </w:p>
    <w:p w14:paraId="4115FD7A">
      <w:pPr>
        <w:pStyle w:val="5"/>
        <w:spacing w:line="250" w:lineRule="auto"/>
        <w:rPr>
          <w:sz w:val="24"/>
          <w:szCs w:val="24"/>
        </w:rPr>
      </w:pPr>
    </w:p>
    <w:p w14:paraId="2AEB2B25">
      <w:pPr>
        <w:pStyle w:val="5"/>
        <w:spacing w:line="250" w:lineRule="auto"/>
        <w:rPr>
          <w:sz w:val="24"/>
          <w:szCs w:val="24"/>
        </w:rPr>
      </w:pPr>
    </w:p>
    <w:p w14:paraId="5806E76D">
      <w:pPr>
        <w:pStyle w:val="5"/>
        <w:spacing w:line="250" w:lineRule="auto"/>
        <w:rPr>
          <w:sz w:val="24"/>
          <w:szCs w:val="24"/>
        </w:rPr>
      </w:pPr>
    </w:p>
    <w:p w14:paraId="6B6C3725">
      <w:pPr>
        <w:spacing w:before="101" w:line="227" w:lineRule="auto"/>
        <w:ind w:left="347"/>
        <w:rPr>
          <w:rFonts w:ascii="宋体" w:hAnsi="宋体" w:eastAsia="宋体" w:cs="宋体"/>
          <w:sz w:val="24"/>
          <w:szCs w:val="24"/>
        </w:rPr>
      </w:pPr>
      <w:r>
        <w:rPr>
          <w:rFonts w:ascii="宋体" w:hAnsi="宋体" w:eastAsia="宋体" w:cs="宋体"/>
          <w:b/>
          <w:bCs/>
          <w:spacing w:val="4"/>
          <w:sz w:val="24"/>
          <w:szCs w:val="24"/>
        </w:rPr>
        <w:t>联系人及电话：</w:t>
      </w:r>
    </w:p>
    <w:p w14:paraId="425319BB">
      <w:pPr>
        <w:pStyle w:val="5"/>
        <w:spacing w:line="244" w:lineRule="auto"/>
        <w:rPr>
          <w:sz w:val="24"/>
          <w:szCs w:val="24"/>
        </w:rPr>
      </w:pPr>
    </w:p>
    <w:p w14:paraId="2A0AC0A7">
      <w:pPr>
        <w:pStyle w:val="5"/>
        <w:spacing w:line="244" w:lineRule="auto"/>
        <w:rPr>
          <w:sz w:val="24"/>
          <w:szCs w:val="24"/>
        </w:rPr>
      </w:pPr>
    </w:p>
    <w:p w14:paraId="4B5A4427">
      <w:pPr>
        <w:pStyle w:val="5"/>
        <w:spacing w:line="244" w:lineRule="auto"/>
        <w:rPr>
          <w:sz w:val="24"/>
          <w:szCs w:val="24"/>
        </w:rPr>
      </w:pPr>
    </w:p>
    <w:p w14:paraId="2ECB54FD">
      <w:pPr>
        <w:pStyle w:val="5"/>
        <w:spacing w:line="244" w:lineRule="auto"/>
        <w:rPr>
          <w:sz w:val="24"/>
          <w:szCs w:val="24"/>
        </w:rPr>
      </w:pPr>
    </w:p>
    <w:p w14:paraId="4D9B8CA7">
      <w:pPr>
        <w:pStyle w:val="5"/>
        <w:spacing w:line="244" w:lineRule="auto"/>
        <w:rPr>
          <w:sz w:val="24"/>
          <w:szCs w:val="24"/>
        </w:rPr>
      </w:pPr>
    </w:p>
    <w:p w14:paraId="53D153F2">
      <w:pPr>
        <w:pStyle w:val="5"/>
        <w:spacing w:line="244" w:lineRule="auto"/>
        <w:rPr>
          <w:sz w:val="24"/>
          <w:szCs w:val="24"/>
        </w:rPr>
      </w:pPr>
    </w:p>
    <w:p w14:paraId="39BA4515">
      <w:pPr>
        <w:pStyle w:val="5"/>
        <w:spacing w:line="244" w:lineRule="auto"/>
        <w:rPr>
          <w:sz w:val="24"/>
          <w:szCs w:val="24"/>
        </w:rPr>
      </w:pPr>
    </w:p>
    <w:p w14:paraId="3952A40B">
      <w:pPr>
        <w:pStyle w:val="5"/>
        <w:spacing w:line="244" w:lineRule="auto"/>
        <w:rPr>
          <w:sz w:val="24"/>
          <w:szCs w:val="24"/>
        </w:rPr>
      </w:pPr>
    </w:p>
    <w:p w14:paraId="75E55999">
      <w:pPr>
        <w:pStyle w:val="5"/>
        <w:spacing w:line="245" w:lineRule="auto"/>
        <w:rPr>
          <w:sz w:val="24"/>
          <w:szCs w:val="24"/>
        </w:rPr>
      </w:pPr>
    </w:p>
    <w:p w14:paraId="33317D65">
      <w:pPr>
        <w:spacing w:before="101" w:line="225" w:lineRule="auto"/>
        <w:ind w:left="401"/>
        <w:jc w:val="center"/>
        <w:rPr>
          <w:rFonts w:ascii="宋体" w:hAnsi="宋体" w:eastAsia="宋体" w:cs="宋体"/>
          <w:sz w:val="24"/>
          <w:szCs w:val="24"/>
        </w:rPr>
      </w:pPr>
      <w:r>
        <w:rPr>
          <w:rFonts w:ascii="宋体" w:hAnsi="宋体" w:eastAsia="宋体" w:cs="宋体"/>
          <w:b/>
          <w:bCs/>
          <w:spacing w:val="-15"/>
          <w:sz w:val="24"/>
          <w:szCs w:val="24"/>
        </w:rPr>
        <w:t>日</w:t>
      </w:r>
      <w:r>
        <w:rPr>
          <w:rFonts w:ascii="宋体" w:hAnsi="宋体" w:eastAsia="宋体" w:cs="宋体"/>
          <w:spacing w:val="12"/>
          <w:sz w:val="24"/>
          <w:szCs w:val="24"/>
        </w:rPr>
        <w:t xml:space="preserve">   </w:t>
      </w:r>
      <w:r>
        <w:rPr>
          <w:rFonts w:ascii="宋体" w:hAnsi="宋体" w:eastAsia="宋体" w:cs="宋体"/>
          <w:b/>
          <w:bCs/>
          <w:spacing w:val="-15"/>
          <w:sz w:val="24"/>
          <w:szCs w:val="24"/>
        </w:rPr>
        <w:t>期：</w:t>
      </w:r>
      <w:r>
        <w:rPr>
          <w:rFonts w:ascii="宋体" w:hAnsi="宋体" w:eastAsia="宋体" w:cs="宋体"/>
          <w:spacing w:val="5"/>
          <w:sz w:val="24"/>
          <w:szCs w:val="24"/>
          <w:u w:val="single" w:color="auto"/>
        </w:rPr>
        <w:t xml:space="preserve">     </w:t>
      </w:r>
      <w:r>
        <w:rPr>
          <w:rFonts w:ascii="宋体" w:hAnsi="宋体" w:eastAsia="宋体" w:cs="宋体"/>
          <w:spacing w:val="-138"/>
          <w:sz w:val="24"/>
          <w:szCs w:val="24"/>
        </w:rPr>
        <w:t xml:space="preserve"> </w:t>
      </w:r>
      <w:r>
        <w:rPr>
          <w:rFonts w:ascii="宋体" w:hAnsi="宋体" w:eastAsia="宋体" w:cs="宋体"/>
          <w:b/>
          <w:bCs/>
          <w:spacing w:val="-15"/>
          <w:sz w:val="24"/>
          <w:szCs w:val="24"/>
        </w:rPr>
        <w:t>年</w:t>
      </w:r>
      <w:r>
        <w:rPr>
          <w:rFonts w:ascii="宋体" w:hAnsi="宋体" w:eastAsia="宋体" w:cs="宋体"/>
          <w:spacing w:val="-153"/>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131"/>
          <w:sz w:val="24"/>
          <w:szCs w:val="24"/>
        </w:rPr>
        <w:t xml:space="preserve"> </w:t>
      </w:r>
      <w:r>
        <w:rPr>
          <w:rFonts w:ascii="宋体" w:hAnsi="宋体" w:eastAsia="宋体" w:cs="宋体"/>
          <w:b/>
          <w:bCs/>
          <w:spacing w:val="-15"/>
          <w:sz w:val="24"/>
          <w:szCs w:val="24"/>
        </w:rPr>
        <w:t>月</w:t>
      </w:r>
      <w:r>
        <w:rPr>
          <w:rFonts w:ascii="宋体" w:hAnsi="宋体" w:eastAsia="宋体" w:cs="宋体"/>
          <w:spacing w:val="-155"/>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b/>
          <w:bCs/>
          <w:spacing w:val="-15"/>
          <w:sz w:val="24"/>
          <w:szCs w:val="24"/>
        </w:rPr>
        <w:t>日</w:t>
      </w:r>
    </w:p>
    <w:p w14:paraId="18A2A6C6">
      <w:pPr>
        <w:spacing w:line="225" w:lineRule="auto"/>
        <w:rPr>
          <w:rFonts w:ascii="宋体" w:hAnsi="宋体" w:eastAsia="宋体" w:cs="宋体"/>
          <w:sz w:val="28"/>
          <w:szCs w:val="28"/>
        </w:rPr>
        <w:sectPr>
          <w:pgSz w:w="11900" w:h="16820"/>
          <w:pgMar w:top="1396" w:right="1785" w:bottom="1395" w:left="1785" w:header="0" w:footer="0" w:gutter="0"/>
          <w:cols w:space="720" w:num="1"/>
        </w:sectPr>
      </w:pPr>
    </w:p>
    <w:p w14:paraId="7C4E668C">
      <w:pPr>
        <w:spacing w:before="88" w:line="222" w:lineRule="auto"/>
        <w:jc w:val="center"/>
        <w:rPr>
          <w:rFonts w:ascii="宋体" w:hAnsi="宋体" w:eastAsia="宋体" w:cs="宋体"/>
          <w:sz w:val="28"/>
          <w:szCs w:val="28"/>
        </w:rPr>
      </w:pPr>
      <w:r>
        <w:rPr>
          <w:rFonts w:ascii="宋体" w:hAnsi="宋体" w:eastAsia="宋体" w:cs="宋体"/>
          <w:spacing w:val="-5"/>
          <w:sz w:val="28"/>
          <w:szCs w:val="28"/>
        </w:rPr>
        <w:t>响应书</w:t>
      </w:r>
    </w:p>
    <w:p w14:paraId="3E3F933B">
      <w:pPr>
        <w:spacing w:before="261" w:line="219" w:lineRule="auto"/>
        <w:ind w:left="24"/>
        <w:rPr>
          <w:rFonts w:ascii="宋体" w:hAnsi="宋体" w:eastAsia="宋体" w:cs="宋体"/>
          <w:sz w:val="24"/>
          <w:szCs w:val="24"/>
        </w:rPr>
      </w:pPr>
      <w:r>
        <w:rPr>
          <w:rFonts w:ascii="宋体" w:hAnsi="宋体" w:eastAsia="宋体" w:cs="宋体"/>
          <w:spacing w:val="-4"/>
          <w:sz w:val="24"/>
          <w:szCs w:val="24"/>
        </w:rPr>
        <w:t>致（采购人</w:t>
      </w:r>
      <w:r>
        <w:rPr>
          <w:rFonts w:ascii="宋体" w:hAnsi="宋体" w:eastAsia="宋体" w:cs="宋体"/>
          <w:sz w:val="24"/>
          <w:szCs w:val="24"/>
        </w:rPr>
        <w:t>）：</w:t>
      </w:r>
    </w:p>
    <w:p w14:paraId="02B1C4B2">
      <w:pPr>
        <w:spacing w:before="301" w:line="218" w:lineRule="auto"/>
        <w:ind w:left="497"/>
        <w:rPr>
          <w:rFonts w:ascii="宋体" w:hAnsi="宋体" w:eastAsia="宋体" w:cs="宋体"/>
          <w:sz w:val="24"/>
          <w:szCs w:val="24"/>
        </w:rPr>
      </w:pPr>
      <w:r>
        <w:rPr>
          <w:rFonts w:ascii="宋体" w:hAnsi="宋体" w:eastAsia="宋体" w:cs="宋体"/>
          <w:spacing w:val="-2"/>
          <w:sz w:val="24"/>
          <w:szCs w:val="24"/>
        </w:rPr>
        <w:t>根据贵方为(项目名称、项目编号)项目采购工程及</w:t>
      </w:r>
      <w:r>
        <w:rPr>
          <w:rFonts w:ascii="宋体" w:hAnsi="宋体" w:eastAsia="宋体" w:cs="宋体"/>
          <w:spacing w:val="-3"/>
          <w:sz w:val="24"/>
          <w:szCs w:val="24"/>
        </w:rPr>
        <w:t>有关服务的竞价邀请，</w:t>
      </w:r>
    </w:p>
    <w:p w14:paraId="49312CC0">
      <w:pPr>
        <w:spacing w:before="91" w:line="288" w:lineRule="auto"/>
        <w:ind w:left="66" w:right="107" w:hanging="42"/>
        <w:rPr>
          <w:rFonts w:ascii="宋体" w:hAnsi="宋体" w:eastAsia="宋体" w:cs="宋体"/>
          <w:sz w:val="24"/>
          <w:szCs w:val="24"/>
        </w:rPr>
      </w:pPr>
      <w:r>
        <w:rPr>
          <w:rFonts w:ascii="宋体" w:hAnsi="宋体" w:eastAsia="宋体" w:cs="宋体"/>
          <w:spacing w:val="-2"/>
          <w:sz w:val="24"/>
          <w:szCs w:val="24"/>
        </w:rPr>
        <w:t>签字代表(姓名、 职务)经正式授权并代表我方(单位名称、</w:t>
      </w:r>
      <w:r>
        <w:rPr>
          <w:rFonts w:ascii="宋体" w:hAnsi="宋体" w:eastAsia="宋体" w:cs="宋体"/>
          <w:spacing w:val="-3"/>
          <w:sz w:val="24"/>
          <w:szCs w:val="24"/>
        </w:rPr>
        <w:t>地址)提交下述文件( 原文件扫描上传到江西省政府采购电子卖场）:</w:t>
      </w:r>
    </w:p>
    <w:p w14:paraId="5B4AE59C">
      <w:pPr>
        <w:spacing w:line="219" w:lineRule="auto"/>
        <w:ind w:left="66"/>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31"/>
          <w:sz w:val="24"/>
          <w:szCs w:val="24"/>
        </w:rPr>
        <w:t xml:space="preserve"> </w:t>
      </w:r>
      <w:r>
        <w:rPr>
          <w:rFonts w:ascii="宋体" w:hAnsi="宋体" w:eastAsia="宋体" w:cs="宋体"/>
          <w:spacing w:val="-11"/>
          <w:sz w:val="24"/>
          <w:szCs w:val="24"/>
        </w:rPr>
        <w:t>响应文件</w:t>
      </w:r>
    </w:p>
    <w:p w14:paraId="0ED04307">
      <w:pPr>
        <w:spacing w:before="86" w:line="219" w:lineRule="auto"/>
        <w:ind w:left="66"/>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27"/>
          <w:sz w:val="24"/>
          <w:szCs w:val="24"/>
        </w:rPr>
        <w:t xml:space="preserve"> </w:t>
      </w:r>
      <w:r>
        <w:rPr>
          <w:rFonts w:ascii="宋体" w:hAnsi="宋体" w:eastAsia="宋体" w:cs="宋体"/>
          <w:spacing w:val="-14"/>
          <w:sz w:val="24"/>
          <w:szCs w:val="24"/>
        </w:rPr>
        <w:t>响应书</w:t>
      </w:r>
    </w:p>
    <w:p w14:paraId="327A0A42">
      <w:pPr>
        <w:spacing w:before="90" w:line="218" w:lineRule="auto"/>
        <w:ind w:left="66"/>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44"/>
          <w:sz w:val="24"/>
          <w:szCs w:val="24"/>
        </w:rPr>
        <w:t xml:space="preserve"> </w:t>
      </w:r>
      <w:r>
        <w:rPr>
          <w:rFonts w:ascii="宋体" w:hAnsi="宋体" w:eastAsia="宋体" w:cs="宋体"/>
          <w:spacing w:val="-8"/>
          <w:sz w:val="24"/>
          <w:szCs w:val="24"/>
        </w:rPr>
        <w:t>报价一览表</w:t>
      </w:r>
    </w:p>
    <w:p w14:paraId="30B664D5">
      <w:pPr>
        <w:spacing w:before="89" w:line="218" w:lineRule="auto"/>
        <w:ind w:left="66"/>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44"/>
          <w:sz w:val="24"/>
          <w:szCs w:val="24"/>
        </w:rPr>
        <w:t xml:space="preserve"> </w:t>
      </w:r>
      <w:r>
        <w:rPr>
          <w:rFonts w:ascii="宋体" w:hAnsi="宋体" w:eastAsia="宋体" w:cs="宋体"/>
          <w:spacing w:val="-8"/>
          <w:sz w:val="24"/>
          <w:szCs w:val="24"/>
        </w:rPr>
        <w:t>清单报价表</w:t>
      </w:r>
    </w:p>
    <w:p w14:paraId="0AFD1E90">
      <w:pPr>
        <w:spacing w:before="92" w:line="219" w:lineRule="auto"/>
        <w:ind w:left="66"/>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34"/>
          <w:sz w:val="24"/>
          <w:szCs w:val="24"/>
        </w:rPr>
        <w:t xml:space="preserve"> </w:t>
      </w:r>
      <w:r>
        <w:rPr>
          <w:rFonts w:ascii="宋体" w:hAnsi="宋体" w:eastAsia="宋体" w:cs="宋体"/>
          <w:spacing w:val="-7"/>
          <w:sz w:val="24"/>
          <w:szCs w:val="24"/>
        </w:rPr>
        <w:t>技术要求响应/偏离表</w:t>
      </w:r>
    </w:p>
    <w:p w14:paraId="48964536">
      <w:pPr>
        <w:spacing w:before="87" w:line="219" w:lineRule="auto"/>
        <w:ind w:left="66"/>
        <w:rPr>
          <w:rFonts w:ascii="宋体" w:hAnsi="宋体" w:eastAsia="宋体" w:cs="宋体"/>
          <w:sz w:val="24"/>
          <w:szCs w:val="24"/>
        </w:rPr>
      </w:pPr>
      <w:r>
        <w:rPr>
          <w:rFonts w:ascii="宋体" w:hAnsi="宋体" w:eastAsia="宋体" w:cs="宋体"/>
          <w:spacing w:val="-7"/>
          <w:sz w:val="24"/>
          <w:szCs w:val="24"/>
        </w:rPr>
        <w:t>(6)</w:t>
      </w:r>
      <w:r>
        <w:rPr>
          <w:rFonts w:ascii="宋体" w:hAnsi="宋体" w:eastAsia="宋体" w:cs="宋体"/>
          <w:spacing w:val="-34"/>
          <w:sz w:val="24"/>
          <w:szCs w:val="24"/>
        </w:rPr>
        <w:t xml:space="preserve"> </w:t>
      </w:r>
      <w:r>
        <w:rPr>
          <w:rFonts w:ascii="宋体" w:hAnsi="宋体" w:eastAsia="宋体" w:cs="宋体"/>
          <w:spacing w:val="-7"/>
          <w:sz w:val="24"/>
          <w:szCs w:val="24"/>
        </w:rPr>
        <w:t>商务要求响应/偏离表</w:t>
      </w:r>
    </w:p>
    <w:p w14:paraId="14619DDE">
      <w:pPr>
        <w:spacing w:before="89" w:line="219" w:lineRule="auto"/>
        <w:ind w:left="66"/>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29"/>
          <w:sz w:val="24"/>
          <w:szCs w:val="24"/>
        </w:rPr>
        <w:t xml:space="preserve"> </w:t>
      </w:r>
      <w:r>
        <w:rPr>
          <w:rFonts w:ascii="宋体" w:hAnsi="宋体" w:eastAsia="宋体" w:cs="宋体"/>
          <w:spacing w:val="-6"/>
          <w:sz w:val="24"/>
          <w:szCs w:val="24"/>
        </w:rPr>
        <w:t>供应商资信证明文件、授权书</w:t>
      </w:r>
    </w:p>
    <w:p w14:paraId="0E6917E3">
      <w:pPr>
        <w:spacing w:before="90" w:line="287" w:lineRule="auto"/>
        <w:ind w:left="23" w:right="4983" w:firstLine="43"/>
        <w:rPr>
          <w:rFonts w:ascii="宋体" w:hAnsi="宋体" w:eastAsia="宋体" w:cs="宋体"/>
          <w:sz w:val="24"/>
          <w:szCs w:val="24"/>
        </w:rPr>
      </w:pPr>
      <w:r>
        <w:rPr>
          <w:rFonts w:ascii="宋体" w:hAnsi="宋体" w:eastAsia="宋体" w:cs="宋体"/>
          <w:spacing w:val="-6"/>
          <w:sz w:val="24"/>
          <w:szCs w:val="24"/>
        </w:rPr>
        <w:t>(8)</w:t>
      </w:r>
      <w:r>
        <w:rPr>
          <w:rFonts w:ascii="宋体" w:hAnsi="宋体" w:eastAsia="宋体" w:cs="宋体"/>
          <w:spacing w:val="-40"/>
          <w:sz w:val="24"/>
          <w:szCs w:val="24"/>
        </w:rPr>
        <w:t xml:space="preserve"> </w:t>
      </w:r>
      <w:r>
        <w:rPr>
          <w:rFonts w:ascii="宋体" w:hAnsi="宋体" w:eastAsia="宋体" w:cs="宋体"/>
          <w:spacing w:val="-6"/>
          <w:sz w:val="24"/>
          <w:szCs w:val="24"/>
        </w:rPr>
        <w:t>供应商其他资格、证明资料</w:t>
      </w:r>
      <w:r>
        <w:rPr>
          <w:rFonts w:ascii="宋体" w:hAnsi="宋体" w:eastAsia="宋体" w:cs="宋体"/>
          <w:spacing w:val="-3"/>
          <w:sz w:val="24"/>
          <w:szCs w:val="24"/>
        </w:rPr>
        <w:t>据此函,签字代表宣布同意如下:</w:t>
      </w:r>
    </w:p>
    <w:p w14:paraId="41E09CF3">
      <w:pPr>
        <w:spacing w:line="287" w:lineRule="auto"/>
        <w:ind w:left="25" w:right="99" w:firstLine="489"/>
        <w:rPr>
          <w:rFonts w:ascii="宋体" w:hAnsi="宋体" w:eastAsia="宋体" w:cs="宋体"/>
          <w:sz w:val="24"/>
          <w:szCs w:val="24"/>
        </w:rPr>
      </w:pPr>
      <w:r>
        <w:rPr>
          <w:rFonts w:ascii="宋体" w:hAnsi="宋体" w:eastAsia="宋体" w:cs="宋体"/>
          <w:spacing w:val="-3"/>
          <w:sz w:val="24"/>
          <w:szCs w:val="24"/>
        </w:rPr>
        <w:t>1. 所附报价一览表中规定的应提交和交付项目及相关服务的总价为（用文字和  数字表示的总价）。</w:t>
      </w:r>
    </w:p>
    <w:p w14:paraId="3ECAB9DF">
      <w:pPr>
        <w:spacing w:before="1" w:line="217" w:lineRule="auto"/>
        <w:ind w:left="500"/>
        <w:rPr>
          <w:rFonts w:ascii="宋体" w:hAnsi="宋体" w:eastAsia="宋体" w:cs="宋体"/>
          <w:sz w:val="24"/>
          <w:szCs w:val="24"/>
        </w:rPr>
      </w:pPr>
      <w:r>
        <w:rPr>
          <w:rFonts w:ascii="宋体" w:hAnsi="宋体" w:eastAsia="宋体" w:cs="宋体"/>
          <w:spacing w:val="-3"/>
          <w:sz w:val="24"/>
          <w:szCs w:val="24"/>
        </w:rPr>
        <w:t>2. 我方将按竞价文件的规定履行合同责任和义务。</w:t>
      </w:r>
    </w:p>
    <w:p w14:paraId="6B45A96A">
      <w:pPr>
        <w:spacing w:before="92" w:line="287" w:lineRule="auto"/>
        <w:ind w:left="26" w:right="234" w:firstLine="475"/>
        <w:rPr>
          <w:rFonts w:ascii="宋体" w:hAnsi="宋体" w:eastAsia="宋体" w:cs="宋体"/>
          <w:sz w:val="24"/>
          <w:szCs w:val="24"/>
        </w:rPr>
      </w:pPr>
      <w:r>
        <w:rPr>
          <w:rFonts w:ascii="宋体" w:hAnsi="宋体" w:eastAsia="宋体" w:cs="宋体"/>
          <w:spacing w:val="-2"/>
          <w:sz w:val="24"/>
          <w:szCs w:val="24"/>
        </w:rPr>
        <w:t>3. 我方已详细审查全部竞价文件，包括第</w:t>
      </w:r>
      <w:r>
        <w:rPr>
          <w:rFonts w:ascii="宋体" w:hAnsi="宋体" w:eastAsia="宋体" w:cs="宋体"/>
          <w:spacing w:val="-3"/>
          <w:sz w:val="24"/>
          <w:szCs w:val="24"/>
        </w:rPr>
        <w:t>(补遗函)(如果有的话)。 我们完全理解 并同意放弃对这方面有不明及误解的权力。</w:t>
      </w:r>
    </w:p>
    <w:p w14:paraId="56AB17CD">
      <w:pPr>
        <w:spacing w:before="1" w:line="217" w:lineRule="auto"/>
        <w:ind w:left="496"/>
        <w:rPr>
          <w:rFonts w:ascii="宋体" w:hAnsi="宋体" w:eastAsia="宋体" w:cs="宋体"/>
          <w:sz w:val="24"/>
          <w:szCs w:val="24"/>
        </w:rPr>
      </w:pPr>
      <w:r>
        <w:rPr>
          <w:rFonts w:ascii="宋体" w:hAnsi="宋体" w:eastAsia="宋体" w:cs="宋体"/>
          <w:spacing w:val="-3"/>
          <w:sz w:val="24"/>
          <w:szCs w:val="24"/>
        </w:rPr>
        <w:t>4. 本竞价有效期为自竞价之日后第一个工作日起 3</w:t>
      </w:r>
      <w:r>
        <w:rPr>
          <w:rFonts w:ascii="宋体" w:hAnsi="宋体" w:eastAsia="宋体" w:cs="宋体"/>
          <w:spacing w:val="-41"/>
          <w:sz w:val="24"/>
          <w:szCs w:val="24"/>
        </w:rPr>
        <w:t xml:space="preserve"> </w:t>
      </w:r>
      <w:r>
        <w:rPr>
          <w:rFonts w:ascii="宋体" w:hAnsi="宋体" w:eastAsia="宋体" w:cs="宋体"/>
          <w:spacing w:val="-3"/>
          <w:sz w:val="24"/>
          <w:szCs w:val="24"/>
        </w:rPr>
        <w:t>工作日。</w:t>
      </w:r>
    </w:p>
    <w:p w14:paraId="53913368">
      <w:pPr>
        <w:spacing w:before="91" w:line="287" w:lineRule="auto"/>
        <w:ind w:left="23" w:right="168" w:firstLine="478"/>
        <w:rPr>
          <w:rFonts w:ascii="宋体" w:hAnsi="宋体" w:eastAsia="宋体" w:cs="宋体"/>
          <w:sz w:val="24"/>
          <w:szCs w:val="24"/>
        </w:rPr>
      </w:pPr>
      <w:r>
        <w:rPr>
          <w:rFonts w:ascii="宋体" w:hAnsi="宋体" w:eastAsia="宋体" w:cs="宋体"/>
          <w:spacing w:val="-4"/>
          <w:sz w:val="24"/>
          <w:szCs w:val="24"/>
        </w:rPr>
        <w:t>5. 如果在提交响应文件截止时间后，我方在竞价有效期内撤</w:t>
      </w:r>
      <w:r>
        <w:rPr>
          <w:rFonts w:ascii="宋体" w:hAnsi="宋体" w:eastAsia="宋体" w:cs="宋体"/>
          <w:spacing w:val="-5"/>
          <w:sz w:val="24"/>
          <w:szCs w:val="24"/>
        </w:rPr>
        <w:t>回响应文件，</w:t>
      </w:r>
      <w:r>
        <w:rPr>
          <w:rFonts w:ascii="宋体" w:hAnsi="宋体" w:eastAsia="宋体" w:cs="宋体"/>
          <w:spacing w:val="-3"/>
          <w:sz w:val="24"/>
          <w:szCs w:val="24"/>
        </w:rPr>
        <w:t>接受采购人上报财政监管部门处罚。</w:t>
      </w:r>
    </w:p>
    <w:p w14:paraId="6A29A0EC">
      <w:pPr>
        <w:spacing w:before="1" w:line="217" w:lineRule="auto"/>
        <w:ind w:left="499"/>
        <w:rPr>
          <w:rFonts w:ascii="宋体" w:hAnsi="宋体" w:eastAsia="宋体" w:cs="宋体"/>
          <w:sz w:val="24"/>
          <w:szCs w:val="24"/>
        </w:rPr>
      </w:pPr>
      <w:r>
        <w:rPr>
          <w:rFonts w:ascii="宋体" w:hAnsi="宋体" w:eastAsia="宋体" w:cs="宋体"/>
          <w:spacing w:val="-2"/>
          <w:sz w:val="24"/>
          <w:szCs w:val="24"/>
        </w:rPr>
        <w:t>6. 我方同意提供按照贵方可能要求的与其竞价有关</w:t>
      </w:r>
      <w:r>
        <w:rPr>
          <w:rFonts w:ascii="宋体" w:hAnsi="宋体" w:eastAsia="宋体" w:cs="宋体"/>
          <w:spacing w:val="-3"/>
          <w:sz w:val="24"/>
          <w:szCs w:val="24"/>
        </w:rPr>
        <w:t>的一切数据或资料。</w:t>
      </w:r>
    </w:p>
    <w:p w14:paraId="4500DF49">
      <w:pPr>
        <w:spacing w:before="91" w:line="218" w:lineRule="auto"/>
        <w:ind w:left="502"/>
        <w:rPr>
          <w:rFonts w:ascii="宋体" w:hAnsi="宋体" w:eastAsia="宋体" w:cs="宋体"/>
          <w:sz w:val="24"/>
          <w:szCs w:val="24"/>
        </w:rPr>
      </w:pPr>
      <w:r>
        <w:rPr>
          <w:rFonts w:ascii="宋体" w:hAnsi="宋体" w:eastAsia="宋体" w:cs="宋体"/>
          <w:spacing w:val="-1"/>
          <w:sz w:val="24"/>
          <w:szCs w:val="24"/>
        </w:rPr>
        <w:t>7. 与本竞价有关的一切正式往来信函请寄:</w:t>
      </w:r>
    </w:p>
    <w:p w14:paraId="0658DCA3">
      <w:pPr>
        <w:pStyle w:val="5"/>
        <w:spacing w:line="383" w:lineRule="auto"/>
        <w:rPr>
          <w:sz w:val="24"/>
          <w:szCs w:val="24"/>
        </w:rPr>
      </w:pPr>
    </w:p>
    <w:p w14:paraId="028A0DC0">
      <w:pPr>
        <w:spacing w:before="79" w:line="221" w:lineRule="auto"/>
        <w:ind w:left="24"/>
        <w:rPr>
          <w:rFonts w:ascii="宋体" w:hAnsi="宋体" w:eastAsia="宋体" w:cs="宋体"/>
          <w:sz w:val="24"/>
          <w:szCs w:val="24"/>
        </w:rPr>
      </w:pPr>
      <w:r>
        <w:rPr>
          <w:rFonts w:ascii="宋体" w:hAnsi="宋体" w:eastAsia="宋体" w:cs="宋体"/>
          <w:spacing w:val="-9"/>
          <w:sz w:val="24"/>
          <w:szCs w:val="24"/>
        </w:rPr>
        <w:t>地址：</w:t>
      </w:r>
      <w:r>
        <w:rPr>
          <w:rFonts w:ascii="宋体" w:hAnsi="宋体" w:eastAsia="宋体" w:cs="宋体"/>
          <w:spacing w:val="5"/>
          <w:sz w:val="24"/>
          <w:szCs w:val="24"/>
        </w:rPr>
        <w:t xml:space="preserve">                    </w:t>
      </w:r>
      <w:r>
        <w:rPr>
          <w:rFonts w:ascii="宋体" w:hAnsi="宋体" w:eastAsia="宋体" w:cs="宋体"/>
          <w:spacing w:val="4"/>
          <w:sz w:val="24"/>
          <w:szCs w:val="24"/>
        </w:rPr>
        <w:t xml:space="preserve">  </w:t>
      </w:r>
      <w:r>
        <w:rPr>
          <w:rFonts w:ascii="宋体" w:hAnsi="宋体" w:eastAsia="宋体" w:cs="宋体"/>
          <w:spacing w:val="-9"/>
          <w:sz w:val="24"/>
          <w:szCs w:val="24"/>
        </w:rPr>
        <w:t>电话：</w:t>
      </w:r>
    </w:p>
    <w:p w14:paraId="76C96074">
      <w:pPr>
        <w:spacing w:before="83" w:line="219" w:lineRule="auto"/>
        <w:ind w:left="22"/>
        <w:rPr>
          <w:rFonts w:ascii="宋体" w:hAnsi="宋体" w:eastAsia="宋体" w:cs="宋体"/>
          <w:sz w:val="24"/>
          <w:szCs w:val="24"/>
        </w:rPr>
      </w:pPr>
      <w:r>
        <w:rPr>
          <w:rFonts w:ascii="宋体" w:hAnsi="宋体" w:eastAsia="宋体" w:cs="宋体"/>
          <w:spacing w:val="-8"/>
          <w:sz w:val="24"/>
          <w:szCs w:val="24"/>
        </w:rPr>
        <w:t>传真：</w:t>
      </w:r>
      <w:r>
        <w:rPr>
          <w:rFonts w:ascii="宋体" w:hAnsi="宋体" w:eastAsia="宋体" w:cs="宋体"/>
          <w:spacing w:val="5"/>
          <w:sz w:val="24"/>
          <w:szCs w:val="24"/>
        </w:rPr>
        <w:t xml:space="preserve">                      </w:t>
      </w:r>
      <w:r>
        <w:rPr>
          <w:rFonts w:ascii="宋体" w:hAnsi="宋体" w:eastAsia="宋体" w:cs="宋体"/>
          <w:spacing w:val="-8"/>
          <w:sz w:val="24"/>
          <w:szCs w:val="24"/>
        </w:rPr>
        <w:t>电子邮件：</w:t>
      </w:r>
    </w:p>
    <w:p w14:paraId="58E381DF">
      <w:pPr>
        <w:pStyle w:val="5"/>
        <w:spacing w:line="249" w:lineRule="auto"/>
        <w:rPr>
          <w:sz w:val="24"/>
          <w:szCs w:val="24"/>
        </w:rPr>
      </w:pPr>
    </w:p>
    <w:p w14:paraId="3DB9153F">
      <w:pPr>
        <w:pStyle w:val="5"/>
        <w:spacing w:line="250" w:lineRule="auto"/>
        <w:rPr>
          <w:sz w:val="24"/>
          <w:szCs w:val="24"/>
        </w:rPr>
      </w:pPr>
    </w:p>
    <w:p w14:paraId="7938F341">
      <w:pPr>
        <w:pStyle w:val="5"/>
        <w:spacing w:line="250" w:lineRule="auto"/>
        <w:rPr>
          <w:sz w:val="24"/>
          <w:szCs w:val="24"/>
        </w:rPr>
      </w:pPr>
    </w:p>
    <w:p w14:paraId="55CC811F">
      <w:pPr>
        <w:pStyle w:val="5"/>
        <w:spacing w:line="250" w:lineRule="auto"/>
        <w:rPr>
          <w:sz w:val="24"/>
          <w:szCs w:val="24"/>
        </w:rPr>
      </w:pPr>
    </w:p>
    <w:p w14:paraId="7F55110C">
      <w:pPr>
        <w:pStyle w:val="5"/>
        <w:spacing w:line="250" w:lineRule="auto"/>
        <w:rPr>
          <w:sz w:val="24"/>
          <w:szCs w:val="24"/>
        </w:rPr>
      </w:pPr>
    </w:p>
    <w:p w14:paraId="245D0AE1">
      <w:pPr>
        <w:spacing w:before="79" w:line="219" w:lineRule="auto"/>
        <w:ind w:left="24"/>
        <w:rPr>
          <w:rFonts w:ascii="宋体" w:hAnsi="宋体" w:eastAsia="宋体" w:cs="宋体"/>
          <w:sz w:val="24"/>
          <w:szCs w:val="24"/>
        </w:rPr>
      </w:pPr>
      <w:r>
        <w:rPr>
          <w:rFonts w:ascii="宋体" w:hAnsi="宋体" w:eastAsia="宋体" w:cs="宋体"/>
          <w:spacing w:val="-3"/>
          <w:sz w:val="24"/>
          <w:szCs w:val="24"/>
        </w:rPr>
        <w:t>供应商代表签字或签章：</w:t>
      </w:r>
    </w:p>
    <w:p w14:paraId="5F5288B6">
      <w:pPr>
        <w:spacing w:before="181" w:line="219" w:lineRule="auto"/>
        <w:ind w:left="24"/>
        <w:rPr>
          <w:rFonts w:ascii="宋体" w:hAnsi="宋体" w:eastAsia="宋体" w:cs="宋体"/>
          <w:sz w:val="24"/>
          <w:szCs w:val="24"/>
        </w:rPr>
      </w:pPr>
      <w:r>
        <w:rPr>
          <w:rFonts w:ascii="宋体" w:hAnsi="宋体" w:eastAsia="宋体" w:cs="宋体"/>
          <w:spacing w:val="4"/>
          <w:sz w:val="24"/>
          <w:szCs w:val="24"/>
        </w:rPr>
        <w:t>供应商盖章:</w:t>
      </w:r>
    </w:p>
    <w:p w14:paraId="637671D4">
      <w:pPr>
        <w:spacing w:before="184" w:line="220" w:lineRule="auto"/>
        <w:ind w:left="65"/>
        <w:rPr>
          <w:rFonts w:ascii="宋体" w:hAnsi="宋体" w:eastAsia="宋体" w:cs="宋体"/>
          <w:sz w:val="24"/>
          <w:szCs w:val="24"/>
        </w:rPr>
      </w:pPr>
      <w:r>
        <w:rPr>
          <w:rFonts w:ascii="宋体" w:hAnsi="宋体" w:eastAsia="宋体" w:cs="宋体"/>
          <w:spacing w:val="-4"/>
          <w:sz w:val="24"/>
          <w:szCs w:val="24"/>
        </w:rPr>
        <w:t>日期:</w:t>
      </w:r>
    </w:p>
    <w:p w14:paraId="04DCFB32">
      <w:pPr>
        <w:spacing w:line="220" w:lineRule="auto"/>
        <w:rPr>
          <w:rFonts w:ascii="宋体" w:hAnsi="宋体" w:eastAsia="宋体" w:cs="宋体"/>
          <w:sz w:val="24"/>
          <w:szCs w:val="24"/>
        </w:rPr>
        <w:sectPr>
          <w:pgSz w:w="11900" w:h="16820"/>
          <w:pgMar w:top="1417" w:right="1785" w:bottom="1417" w:left="1785" w:header="0" w:footer="0" w:gutter="0"/>
          <w:cols w:space="720" w:num="1"/>
        </w:sectPr>
      </w:pPr>
    </w:p>
    <w:p w14:paraId="66B8371F">
      <w:pPr>
        <w:spacing w:before="87" w:line="222" w:lineRule="auto"/>
        <w:jc w:val="center"/>
        <w:outlineLvl w:val="2"/>
        <w:rPr>
          <w:rFonts w:ascii="宋体" w:hAnsi="宋体" w:eastAsia="宋体" w:cs="宋体"/>
          <w:sz w:val="32"/>
          <w:szCs w:val="32"/>
          <w:highlight w:val="none"/>
        </w:rPr>
      </w:pPr>
      <w:r>
        <w:rPr>
          <w:rFonts w:ascii="宋体" w:hAnsi="宋体" w:eastAsia="宋体" w:cs="宋体"/>
          <w:spacing w:val="5"/>
          <w:sz w:val="32"/>
          <w:szCs w:val="32"/>
          <w:highlight w:val="none"/>
        </w:rPr>
        <w:t>报价一览表</w:t>
      </w:r>
    </w:p>
    <w:p w14:paraId="378E1024">
      <w:pPr>
        <w:pStyle w:val="5"/>
        <w:spacing w:line="242" w:lineRule="auto"/>
        <w:rPr>
          <w:sz w:val="28"/>
          <w:szCs w:val="28"/>
          <w:highlight w:val="none"/>
        </w:rPr>
      </w:pPr>
    </w:p>
    <w:p w14:paraId="58231416">
      <w:pPr>
        <w:pStyle w:val="5"/>
        <w:spacing w:line="242" w:lineRule="auto"/>
        <w:rPr>
          <w:sz w:val="28"/>
          <w:szCs w:val="28"/>
          <w:highlight w:val="none"/>
        </w:rPr>
      </w:pPr>
    </w:p>
    <w:p w14:paraId="44AD627C">
      <w:pPr>
        <w:pStyle w:val="5"/>
        <w:spacing w:line="243" w:lineRule="auto"/>
        <w:rPr>
          <w:sz w:val="28"/>
          <w:szCs w:val="28"/>
          <w:highlight w:val="none"/>
        </w:rPr>
      </w:pPr>
    </w:p>
    <w:p w14:paraId="73F35384">
      <w:pPr>
        <w:spacing w:before="97" w:line="220" w:lineRule="auto"/>
        <w:ind w:left="129"/>
        <w:rPr>
          <w:rFonts w:ascii="宋体" w:hAnsi="宋体" w:eastAsia="宋体" w:cs="宋体"/>
          <w:sz w:val="28"/>
          <w:szCs w:val="28"/>
          <w:highlight w:val="none"/>
        </w:rPr>
      </w:pPr>
      <w:r>
        <w:rPr>
          <w:rFonts w:ascii="宋体" w:hAnsi="宋体" w:eastAsia="宋体" w:cs="宋体"/>
          <w:spacing w:val="-4"/>
          <w:sz w:val="28"/>
          <w:szCs w:val="28"/>
          <w:highlight w:val="none"/>
        </w:rPr>
        <w:t>项目名称：</w:t>
      </w:r>
    </w:p>
    <w:p w14:paraId="101B8BBD">
      <w:pPr>
        <w:spacing w:before="271" w:line="219" w:lineRule="auto"/>
        <w:ind w:left="129"/>
        <w:rPr>
          <w:rFonts w:ascii="宋体" w:hAnsi="宋体" w:eastAsia="宋体" w:cs="宋体"/>
          <w:sz w:val="28"/>
          <w:szCs w:val="28"/>
          <w:highlight w:val="none"/>
        </w:rPr>
      </w:pPr>
      <w:r>
        <w:rPr>
          <w:rFonts w:ascii="宋体" w:hAnsi="宋体" w:eastAsia="宋体" w:cs="宋体"/>
          <w:spacing w:val="-4"/>
          <w:sz w:val="28"/>
          <w:szCs w:val="28"/>
          <w:highlight w:val="none"/>
        </w:rPr>
        <w:t>项目编号：</w:t>
      </w:r>
    </w:p>
    <w:p w14:paraId="0D3F7D21">
      <w:pPr>
        <w:spacing w:before="4"/>
        <w:rPr>
          <w:sz w:val="28"/>
          <w:szCs w:val="28"/>
          <w:highlight w:val="none"/>
        </w:rPr>
      </w:pPr>
    </w:p>
    <w:p w14:paraId="08A3DCD3">
      <w:pPr>
        <w:spacing w:before="4"/>
        <w:rPr>
          <w:sz w:val="28"/>
          <w:szCs w:val="28"/>
          <w:highlight w:val="none"/>
        </w:rPr>
      </w:pPr>
    </w:p>
    <w:tbl>
      <w:tblPr>
        <w:tblStyle w:val="6"/>
        <w:tblW w:w="8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736"/>
        <w:gridCol w:w="1985"/>
        <w:gridCol w:w="1440"/>
        <w:gridCol w:w="1620"/>
        <w:gridCol w:w="1190"/>
      </w:tblGrid>
      <w:tr w14:paraId="4D1D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12" w:type="dxa"/>
            <w:tcBorders>
              <w:bottom w:val="single" w:color="000000" w:sz="6" w:space="0"/>
            </w:tcBorders>
          </w:tcPr>
          <w:p w14:paraId="28F5B52B">
            <w:pPr>
              <w:pStyle w:val="11"/>
              <w:spacing w:before="168"/>
              <w:ind w:right="157"/>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736" w:type="dxa"/>
            <w:tcBorders>
              <w:bottom w:val="single" w:color="000000" w:sz="6" w:space="0"/>
              <w:right w:val="single" w:color="000000" w:sz="6" w:space="0"/>
            </w:tcBorders>
          </w:tcPr>
          <w:p w14:paraId="716A84EA">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费用名称</w:t>
            </w:r>
          </w:p>
        </w:tc>
        <w:tc>
          <w:tcPr>
            <w:tcW w:w="1985" w:type="dxa"/>
            <w:tcBorders>
              <w:left w:val="single" w:color="000000" w:sz="6" w:space="0"/>
              <w:bottom w:val="single" w:color="000000" w:sz="6" w:space="0"/>
            </w:tcBorders>
          </w:tcPr>
          <w:p w14:paraId="21D36165">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1440" w:type="dxa"/>
            <w:tcBorders>
              <w:bottom w:val="single" w:color="000000" w:sz="6" w:space="0"/>
            </w:tcBorders>
          </w:tcPr>
          <w:p w14:paraId="72651D50">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单价（元）</w:t>
            </w:r>
          </w:p>
        </w:tc>
        <w:tc>
          <w:tcPr>
            <w:tcW w:w="1620" w:type="dxa"/>
            <w:tcBorders>
              <w:bottom w:val="single" w:color="000000" w:sz="6" w:space="0"/>
            </w:tcBorders>
          </w:tcPr>
          <w:p w14:paraId="1D00F146">
            <w:pPr>
              <w:pStyle w:val="11"/>
              <w:spacing w:before="168"/>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总价（元）</w:t>
            </w:r>
          </w:p>
        </w:tc>
        <w:tc>
          <w:tcPr>
            <w:tcW w:w="1190" w:type="dxa"/>
            <w:tcBorders>
              <w:bottom w:val="single" w:color="000000" w:sz="6" w:space="0"/>
            </w:tcBorders>
          </w:tcPr>
          <w:p w14:paraId="6544AEB8">
            <w:pPr>
              <w:pStyle w:val="11"/>
              <w:spacing w:before="168"/>
              <w:jc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备注</w:t>
            </w:r>
          </w:p>
        </w:tc>
      </w:tr>
      <w:tr w14:paraId="6BB4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912" w:type="dxa"/>
            <w:tcBorders>
              <w:top w:val="single" w:color="000000" w:sz="6" w:space="0"/>
              <w:bottom w:val="single" w:color="000000" w:sz="6" w:space="0"/>
            </w:tcBorders>
            <w:vAlign w:val="center"/>
          </w:tcPr>
          <w:p w14:paraId="482537F7">
            <w:pPr>
              <w:pStyle w:val="11"/>
              <w:spacing w:before="71" w:line="282" w:lineRule="exact"/>
              <w:ind w:left="10"/>
              <w:jc w:val="center"/>
              <w:rPr>
                <w:rFonts w:hint="eastAsia" w:asciiTheme="minorEastAsia" w:hAnsiTheme="minorEastAsia" w:eastAsiaTheme="minorEastAsia" w:cstheme="minorEastAsia"/>
                <w:sz w:val="28"/>
                <w:szCs w:val="28"/>
                <w:highlight w:val="none"/>
              </w:rPr>
            </w:pPr>
          </w:p>
          <w:p w14:paraId="6A0301DA">
            <w:pPr>
              <w:pStyle w:val="11"/>
              <w:spacing w:before="71" w:line="282" w:lineRule="exact"/>
              <w:ind w:left="1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p>
        </w:tc>
        <w:tc>
          <w:tcPr>
            <w:tcW w:w="1736" w:type="dxa"/>
            <w:tcBorders>
              <w:top w:val="single" w:color="000000" w:sz="6" w:space="0"/>
              <w:bottom w:val="single" w:color="000000" w:sz="6" w:space="0"/>
              <w:right w:val="single" w:color="000000" w:sz="6" w:space="0"/>
            </w:tcBorders>
            <w:vAlign w:val="center"/>
          </w:tcPr>
          <w:p w14:paraId="7E283670">
            <w:pPr>
              <w:pStyle w:val="11"/>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pacing w:val="-1"/>
                <w:sz w:val="28"/>
                <w:szCs w:val="28"/>
                <w:highlight w:val="none"/>
              </w:rPr>
              <w:t>吉安县2026年度城区文昌苑等89个住宅小区白蚁防治服务</w:t>
            </w:r>
          </w:p>
        </w:tc>
        <w:tc>
          <w:tcPr>
            <w:tcW w:w="1985" w:type="dxa"/>
            <w:tcBorders>
              <w:top w:val="single" w:color="000000" w:sz="6" w:space="0"/>
              <w:left w:val="single" w:color="000000" w:sz="6" w:space="0"/>
              <w:bottom w:val="single" w:color="000000" w:sz="6" w:space="0"/>
            </w:tcBorders>
            <w:vAlign w:val="center"/>
          </w:tcPr>
          <w:p w14:paraId="47311EA1">
            <w:pPr>
              <w:pStyle w:val="11"/>
              <w:jc w:val="center"/>
              <w:rPr>
                <w:rFonts w:hint="eastAsia" w:asciiTheme="minorEastAsia" w:hAnsiTheme="minorEastAsia" w:eastAsiaTheme="minorEastAsia" w:cstheme="minorEastAsia"/>
                <w:sz w:val="28"/>
                <w:szCs w:val="28"/>
                <w:highlight w:val="none"/>
              </w:rPr>
            </w:pPr>
          </w:p>
          <w:p w14:paraId="62E4ECDE">
            <w:pPr>
              <w:pStyle w:val="11"/>
              <w:jc w:val="cente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1项</w:t>
            </w:r>
          </w:p>
        </w:tc>
        <w:tc>
          <w:tcPr>
            <w:tcW w:w="1440" w:type="dxa"/>
            <w:tcBorders>
              <w:top w:val="single" w:color="000000" w:sz="6" w:space="0"/>
              <w:bottom w:val="single" w:color="000000" w:sz="6" w:space="0"/>
            </w:tcBorders>
          </w:tcPr>
          <w:p w14:paraId="288339BF">
            <w:pPr>
              <w:pStyle w:val="11"/>
              <w:jc w:val="center"/>
              <w:rPr>
                <w:rFonts w:hint="eastAsia" w:asciiTheme="minorEastAsia" w:hAnsiTheme="minorEastAsia" w:eastAsiaTheme="minorEastAsia" w:cstheme="minorEastAsia"/>
                <w:sz w:val="28"/>
                <w:szCs w:val="28"/>
                <w:highlight w:val="none"/>
                <w:lang w:val="en-US" w:eastAsia="zh-CN"/>
              </w:rPr>
            </w:pPr>
          </w:p>
        </w:tc>
        <w:tc>
          <w:tcPr>
            <w:tcW w:w="1620" w:type="dxa"/>
            <w:tcBorders>
              <w:top w:val="single" w:color="000000" w:sz="6" w:space="0"/>
              <w:bottom w:val="single" w:color="000000" w:sz="6" w:space="0"/>
            </w:tcBorders>
          </w:tcPr>
          <w:p w14:paraId="34178212">
            <w:pPr>
              <w:pStyle w:val="11"/>
              <w:jc w:val="center"/>
              <w:rPr>
                <w:rFonts w:hint="eastAsia" w:asciiTheme="minorEastAsia" w:hAnsiTheme="minorEastAsia" w:eastAsiaTheme="minorEastAsia" w:cstheme="minorEastAsia"/>
                <w:sz w:val="28"/>
                <w:szCs w:val="28"/>
                <w:highlight w:val="none"/>
                <w:lang w:val="en-US" w:eastAsia="zh-CN"/>
              </w:rPr>
            </w:pPr>
          </w:p>
        </w:tc>
        <w:tc>
          <w:tcPr>
            <w:tcW w:w="1190" w:type="dxa"/>
            <w:tcBorders>
              <w:top w:val="single" w:color="000000" w:sz="6" w:space="0"/>
              <w:bottom w:val="single" w:color="000000" w:sz="6" w:space="0"/>
            </w:tcBorders>
          </w:tcPr>
          <w:p w14:paraId="470105FB">
            <w:pPr>
              <w:pStyle w:val="11"/>
              <w:jc w:val="center"/>
              <w:rPr>
                <w:rFonts w:hint="eastAsia" w:asciiTheme="minorEastAsia" w:hAnsiTheme="minorEastAsia" w:eastAsiaTheme="minorEastAsia" w:cstheme="minorEastAsia"/>
                <w:sz w:val="28"/>
                <w:szCs w:val="28"/>
                <w:highlight w:val="none"/>
                <w:lang w:val="en-US" w:eastAsia="zh-CN"/>
              </w:rPr>
            </w:pPr>
          </w:p>
        </w:tc>
      </w:tr>
      <w:tr w14:paraId="484E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jc w:val="center"/>
        </w:trPr>
        <w:tc>
          <w:tcPr>
            <w:tcW w:w="8883" w:type="dxa"/>
            <w:gridSpan w:val="6"/>
            <w:tcBorders>
              <w:top w:val="single" w:color="000000" w:sz="6" w:space="0"/>
              <w:bottom w:val="single" w:color="000000" w:sz="6" w:space="0"/>
            </w:tcBorders>
          </w:tcPr>
          <w:p w14:paraId="5D0C1C11">
            <w:pPr>
              <w:pStyle w:val="11"/>
              <w:jc w:val="both"/>
              <w:rPr>
                <w:rFonts w:hint="eastAsia" w:asciiTheme="minorEastAsia" w:hAnsiTheme="minorEastAsia" w:eastAsiaTheme="minorEastAsia" w:cstheme="minorEastAsia"/>
                <w:sz w:val="28"/>
                <w:szCs w:val="28"/>
                <w:highlight w:val="none"/>
              </w:rPr>
            </w:pPr>
          </w:p>
          <w:p w14:paraId="3FB0E253">
            <w:pPr>
              <w:pStyle w:val="11"/>
              <w:jc w:val="both"/>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合计（大写）：</w:t>
            </w:r>
          </w:p>
        </w:tc>
      </w:tr>
    </w:tbl>
    <w:p w14:paraId="5383BFF4">
      <w:pPr>
        <w:pStyle w:val="5"/>
        <w:spacing w:before="3"/>
        <w:rPr>
          <w:rFonts w:hint="eastAsia" w:asciiTheme="minorEastAsia" w:hAnsiTheme="minorEastAsia" w:eastAsiaTheme="minorEastAsia" w:cstheme="minorEastAsia"/>
          <w:b/>
          <w:sz w:val="28"/>
          <w:szCs w:val="28"/>
          <w:highlight w:val="none"/>
        </w:rPr>
      </w:pPr>
    </w:p>
    <w:p w14:paraId="713AD584">
      <w:pPr>
        <w:pStyle w:val="5"/>
        <w:spacing w:line="264" w:lineRule="auto"/>
        <w:rPr>
          <w:sz w:val="28"/>
          <w:szCs w:val="28"/>
          <w:highlight w:val="none"/>
        </w:rPr>
      </w:pPr>
    </w:p>
    <w:p w14:paraId="7432B7A8">
      <w:pPr>
        <w:pStyle w:val="5"/>
        <w:spacing w:line="265" w:lineRule="auto"/>
        <w:rPr>
          <w:sz w:val="28"/>
          <w:szCs w:val="28"/>
          <w:highlight w:val="none"/>
        </w:rPr>
      </w:pPr>
    </w:p>
    <w:p w14:paraId="3E02EBCC">
      <w:pPr>
        <w:spacing w:before="91" w:line="519" w:lineRule="auto"/>
        <w:ind w:left="124" w:right="6394" w:hanging="1"/>
        <w:jc w:val="both"/>
        <w:rPr>
          <w:rFonts w:ascii="宋体" w:hAnsi="宋体" w:eastAsia="宋体" w:cs="宋体"/>
          <w:sz w:val="28"/>
          <w:szCs w:val="28"/>
          <w:highlight w:val="none"/>
        </w:rPr>
      </w:pPr>
      <w:r>
        <w:rPr>
          <w:rFonts w:ascii="宋体" w:hAnsi="宋体" w:eastAsia="宋体" w:cs="宋体"/>
          <w:spacing w:val="-10"/>
          <w:sz w:val="28"/>
          <w:szCs w:val="28"/>
          <w:highlight w:val="none"/>
        </w:rPr>
        <w:t>供应商名称盖章：</w:t>
      </w:r>
      <w:r>
        <w:rPr>
          <w:rFonts w:ascii="宋体" w:hAnsi="宋体" w:eastAsia="宋体" w:cs="宋体"/>
          <w:spacing w:val="-4"/>
          <w:sz w:val="28"/>
          <w:szCs w:val="28"/>
          <w:highlight w:val="none"/>
        </w:rPr>
        <w:t>日期：</w:t>
      </w:r>
    </w:p>
    <w:p w14:paraId="77CD93F9">
      <w:pPr>
        <w:spacing w:line="519" w:lineRule="auto"/>
        <w:rPr>
          <w:rFonts w:ascii="宋体" w:hAnsi="宋体" w:eastAsia="宋体" w:cs="宋体"/>
          <w:sz w:val="28"/>
          <w:szCs w:val="28"/>
          <w:highlight w:val="none"/>
        </w:rPr>
        <w:sectPr>
          <w:pgSz w:w="11900" w:h="16820"/>
          <w:pgMar w:top="1417" w:right="1529" w:bottom="0" w:left="1687" w:header="0" w:footer="0" w:gutter="0"/>
          <w:cols w:space="720" w:num="1"/>
        </w:sectPr>
      </w:pPr>
    </w:p>
    <w:p w14:paraId="144BFA40">
      <w:pPr>
        <w:spacing w:before="88" w:line="223" w:lineRule="auto"/>
        <w:jc w:val="center"/>
        <w:rPr>
          <w:rFonts w:ascii="宋体" w:hAnsi="宋体" w:eastAsia="宋体" w:cs="宋体"/>
          <w:sz w:val="32"/>
          <w:szCs w:val="32"/>
        </w:rPr>
      </w:pPr>
      <w:r>
        <w:rPr>
          <w:rFonts w:ascii="宋体" w:hAnsi="宋体" w:eastAsia="宋体" w:cs="宋体"/>
          <w:spacing w:val="7"/>
          <w:sz w:val="32"/>
          <w:szCs w:val="32"/>
        </w:rPr>
        <w:t>技术规格响应/偏离表</w:t>
      </w:r>
    </w:p>
    <w:p w14:paraId="68D07BC6">
      <w:pPr>
        <w:spacing w:before="64"/>
        <w:rPr>
          <w:sz w:val="28"/>
          <w:szCs w:val="28"/>
        </w:rPr>
      </w:pPr>
    </w:p>
    <w:p w14:paraId="73374D02">
      <w:pPr>
        <w:spacing w:before="63"/>
        <w:rPr>
          <w:sz w:val="28"/>
          <w:szCs w:val="28"/>
        </w:rPr>
      </w:pPr>
    </w:p>
    <w:tbl>
      <w:tblPr>
        <w:tblStyle w:val="10"/>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662"/>
        <w:gridCol w:w="2313"/>
        <w:gridCol w:w="1432"/>
        <w:gridCol w:w="1367"/>
      </w:tblGrid>
      <w:tr w14:paraId="27BF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6" w:type="dxa"/>
            <w:vAlign w:val="top"/>
          </w:tcPr>
          <w:p w14:paraId="5DB00E11">
            <w:pPr>
              <w:pStyle w:val="9"/>
              <w:spacing w:before="273" w:line="221" w:lineRule="auto"/>
              <w:ind w:left="139"/>
              <w:rPr>
                <w:sz w:val="28"/>
                <w:szCs w:val="28"/>
              </w:rPr>
            </w:pPr>
            <w:r>
              <w:rPr>
                <w:spacing w:val="-5"/>
                <w:sz w:val="28"/>
                <w:szCs w:val="28"/>
              </w:rPr>
              <w:t>序号</w:t>
            </w:r>
          </w:p>
        </w:tc>
        <w:tc>
          <w:tcPr>
            <w:tcW w:w="2662" w:type="dxa"/>
            <w:vAlign w:val="top"/>
          </w:tcPr>
          <w:p w14:paraId="4AC0A596">
            <w:pPr>
              <w:pStyle w:val="9"/>
              <w:spacing w:before="273" w:line="218" w:lineRule="auto"/>
              <w:ind w:left="379"/>
              <w:rPr>
                <w:sz w:val="28"/>
                <w:szCs w:val="28"/>
              </w:rPr>
            </w:pPr>
            <w:r>
              <w:rPr>
                <w:spacing w:val="-2"/>
                <w:sz w:val="28"/>
                <w:szCs w:val="28"/>
              </w:rPr>
              <w:t>竞价文件技术规格</w:t>
            </w:r>
          </w:p>
        </w:tc>
        <w:tc>
          <w:tcPr>
            <w:tcW w:w="2313" w:type="dxa"/>
            <w:vAlign w:val="top"/>
          </w:tcPr>
          <w:p w14:paraId="0AB3C4BE">
            <w:pPr>
              <w:pStyle w:val="9"/>
              <w:spacing w:before="41" w:line="343" w:lineRule="auto"/>
              <w:ind w:left="220" w:leftChars="0" w:right="194" w:firstLine="0" w:firstLineChars="0"/>
              <w:rPr>
                <w:sz w:val="28"/>
                <w:szCs w:val="28"/>
              </w:rPr>
            </w:pPr>
            <w:r>
              <w:rPr>
                <w:spacing w:val="-3"/>
                <w:sz w:val="28"/>
                <w:szCs w:val="28"/>
              </w:rPr>
              <w:t>响应文件响应的具</w:t>
            </w:r>
            <w:r>
              <w:rPr>
                <w:spacing w:val="-4"/>
                <w:sz w:val="28"/>
                <w:szCs w:val="28"/>
              </w:rPr>
              <w:t>体内容</w:t>
            </w:r>
          </w:p>
        </w:tc>
        <w:tc>
          <w:tcPr>
            <w:tcW w:w="1432" w:type="dxa"/>
            <w:vAlign w:val="top"/>
          </w:tcPr>
          <w:p w14:paraId="03987149">
            <w:pPr>
              <w:pStyle w:val="9"/>
              <w:spacing w:before="274" w:line="219" w:lineRule="auto"/>
              <w:ind w:left="196"/>
              <w:rPr>
                <w:sz w:val="28"/>
                <w:szCs w:val="28"/>
              </w:rPr>
            </w:pPr>
            <w:r>
              <w:rPr>
                <w:spacing w:val="-5"/>
                <w:sz w:val="28"/>
                <w:szCs w:val="28"/>
              </w:rPr>
              <w:t>响应/偏离</w:t>
            </w:r>
          </w:p>
        </w:tc>
        <w:tc>
          <w:tcPr>
            <w:tcW w:w="1367" w:type="dxa"/>
            <w:vAlign w:val="top"/>
          </w:tcPr>
          <w:p w14:paraId="0877C980">
            <w:pPr>
              <w:pStyle w:val="9"/>
              <w:spacing w:before="274" w:line="219" w:lineRule="auto"/>
              <w:ind w:left="452"/>
              <w:rPr>
                <w:sz w:val="28"/>
                <w:szCs w:val="28"/>
              </w:rPr>
            </w:pPr>
            <w:r>
              <w:rPr>
                <w:spacing w:val="-7"/>
                <w:sz w:val="28"/>
                <w:szCs w:val="28"/>
              </w:rPr>
              <w:t>说明</w:t>
            </w:r>
          </w:p>
        </w:tc>
      </w:tr>
      <w:tr w14:paraId="7B3A9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26C02E3E">
            <w:pPr>
              <w:rPr>
                <w:rFonts w:ascii="Arial"/>
                <w:sz w:val="28"/>
                <w:szCs w:val="28"/>
              </w:rPr>
            </w:pPr>
          </w:p>
        </w:tc>
        <w:tc>
          <w:tcPr>
            <w:tcW w:w="2662" w:type="dxa"/>
            <w:vAlign w:val="top"/>
          </w:tcPr>
          <w:p w14:paraId="650293E0">
            <w:pPr>
              <w:rPr>
                <w:rFonts w:ascii="Arial"/>
                <w:sz w:val="28"/>
                <w:szCs w:val="28"/>
              </w:rPr>
            </w:pPr>
          </w:p>
        </w:tc>
        <w:tc>
          <w:tcPr>
            <w:tcW w:w="2313" w:type="dxa"/>
            <w:vAlign w:val="top"/>
          </w:tcPr>
          <w:p w14:paraId="324DA7A2">
            <w:pPr>
              <w:rPr>
                <w:rFonts w:ascii="Arial"/>
                <w:sz w:val="28"/>
                <w:szCs w:val="28"/>
              </w:rPr>
            </w:pPr>
          </w:p>
        </w:tc>
        <w:tc>
          <w:tcPr>
            <w:tcW w:w="1432" w:type="dxa"/>
            <w:vAlign w:val="top"/>
          </w:tcPr>
          <w:p w14:paraId="5434C66A">
            <w:pPr>
              <w:rPr>
                <w:rFonts w:ascii="Arial"/>
                <w:sz w:val="28"/>
                <w:szCs w:val="28"/>
              </w:rPr>
            </w:pPr>
          </w:p>
        </w:tc>
        <w:tc>
          <w:tcPr>
            <w:tcW w:w="1367" w:type="dxa"/>
            <w:vAlign w:val="top"/>
          </w:tcPr>
          <w:p w14:paraId="71B03509">
            <w:pPr>
              <w:rPr>
                <w:rFonts w:ascii="Arial"/>
                <w:sz w:val="28"/>
                <w:szCs w:val="28"/>
              </w:rPr>
            </w:pPr>
          </w:p>
        </w:tc>
      </w:tr>
      <w:tr w14:paraId="68D5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0" w:hRule="atLeast"/>
        </w:trPr>
        <w:tc>
          <w:tcPr>
            <w:tcW w:w="746" w:type="dxa"/>
            <w:vAlign w:val="top"/>
          </w:tcPr>
          <w:p w14:paraId="486DB7BB">
            <w:pPr>
              <w:rPr>
                <w:rFonts w:ascii="Arial"/>
                <w:sz w:val="28"/>
                <w:szCs w:val="28"/>
              </w:rPr>
            </w:pPr>
          </w:p>
        </w:tc>
        <w:tc>
          <w:tcPr>
            <w:tcW w:w="2662" w:type="dxa"/>
            <w:vAlign w:val="top"/>
          </w:tcPr>
          <w:p w14:paraId="108F7200">
            <w:pPr>
              <w:rPr>
                <w:rFonts w:ascii="Arial"/>
                <w:sz w:val="28"/>
                <w:szCs w:val="28"/>
              </w:rPr>
            </w:pPr>
          </w:p>
        </w:tc>
        <w:tc>
          <w:tcPr>
            <w:tcW w:w="2313" w:type="dxa"/>
            <w:vAlign w:val="top"/>
          </w:tcPr>
          <w:p w14:paraId="33EEFA0D">
            <w:pPr>
              <w:rPr>
                <w:rFonts w:ascii="Arial"/>
                <w:sz w:val="28"/>
                <w:szCs w:val="28"/>
              </w:rPr>
            </w:pPr>
          </w:p>
        </w:tc>
        <w:tc>
          <w:tcPr>
            <w:tcW w:w="1432" w:type="dxa"/>
            <w:vAlign w:val="top"/>
          </w:tcPr>
          <w:p w14:paraId="47EB2791">
            <w:pPr>
              <w:rPr>
                <w:rFonts w:ascii="Arial"/>
                <w:sz w:val="28"/>
                <w:szCs w:val="28"/>
              </w:rPr>
            </w:pPr>
          </w:p>
        </w:tc>
        <w:tc>
          <w:tcPr>
            <w:tcW w:w="1367" w:type="dxa"/>
            <w:vAlign w:val="top"/>
          </w:tcPr>
          <w:p w14:paraId="5499321A">
            <w:pPr>
              <w:rPr>
                <w:rFonts w:ascii="Arial"/>
                <w:sz w:val="28"/>
                <w:szCs w:val="28"/>
              </w:rPr>
            </w:pPr>
          </w:p>
        </w:tc>
      </w:tr>
      <w:tr w14:paraId="2A88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24FBAD6A">
            <w:pPr>
              <w:rPr>
                <w:rFonts w:ascii="Arial"/>
                <w:sz w:val="28"/>
                <w:szCs w:val="28"/>
              </w:rPr>
            </w:pPr>
          </w:p>
        </w:tc>
        <w:tc>
          <w:tcPr>
            <w:tcW w:w="2662" w:type="dxa"/>
            <w:vAlign w:val="top"/>
          </w:tcPr>
          <w:p w14:paraId="49D632B7">
            <w:pPr>
              <w:rPr>
                <w:rFonts w:ascii="Arial"/>
                <w:sz w:val="28"/>
                <w:szCs w:val="28"/>
              </w:rPr>
            </w:pPr>
          </w:p>
        </w:tc>
        <w:tc>
          <w:tcPr>
            <w:tcW w:w="2313" w:type="dxa"/>
            <w:vAlign w:val="top"/>
          </w:tcPr>
          <w:p w14:paraId="2824D411">
            <w:pPr>
              <w:rPr>
                <w:rFonts w:ascii="Arial"/>
                <w:sz w:val="28"/>
                <w:szCs w:val="28"/>
              </w:rPr>
            </w:pPr>
          </w:p>
        </w:tc>
        <w:tc>
          <w:tcPr>
            <w:tcW w:w="1432" w:type="dxa"/>
            <w:vAlign w:val="top"/>
          </w:tcPr>
          <w:p w14:paraId="72D0C863">
            <w:pPr>
              <w:rPr>
                <w:rFonts w:ascii="Arial"/>
                <w:sz w:val="28"/>
                <w:szCs w:val="28"/>
              </w:rPr>
            </w:pPr>
          </w:p>
        </w:tc>
        <w:tc>
          <w:tcPr>
            <w:tcW w:w="1367" w:type="dxa"/>
            <w:vAlign w:val="top"/>
          </w:tcPr>
          <w:p w14:paraId="1F85812B">
            <w:pPr>
              <w:rPr>
                <w:rFonts w:ascii="Arial"/>
                <w:sz w:val="28"/>
                <w:szCs w:val="28"/>
              </w:rPr>
            </w:pPr>
          </w:p>
        </w:tc>
      </w:tr>
      <w:tr w14:paraId="14D2A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68510B42">
            <w:pPr>
              <w:rPr>
                <w:rFonts w:ascii="Arial"/>
                <w:sz w:val="28"/>
                <w:szCs w:val="28"/>
              </w:rPr>
            </w:pPr>
          </w:p>
        </w:tc>
        <w:tc>
          <w:tcPr>
            <w:tcW w:w="2662" w:type="dxa"/>
            <w:vAlign w:val="top"/>
          </w:tcPr>
          <w:p w14:paraId="0154DA99">
            <w:pPr>
              <w:rPr>
                <w:rFonts w:ascii="Arial"/>
                <w:sz w:val="28"/>
                <w:szCs w:val="28"/>
              </w:rPr>
            </w:pPr>
          </w:p>
        </w:tc>
        <w:tc>
          <w:tcPr>
            <w:tcW w:w="2313" w:type="dxa"/>
            <w:vAlign w:val="top"/>
          </w:tcPr>
          <w:p w14:paraId="47CF22D9">
            <w:pPr>
              <w:rPr>
                <w:rFonts w:ascii="Arial"/>
                <w:sz w:val="28"/>
                <w:szCs w:val="28"/>
              </w:rPr>
            </w:pPr>
          </w:p>
        </w:tc>
        <w:tc>
          <w:tcPr>
            <w:tcW w:w="1432" w:type="dxa"/>
            <w:vAlign w:val="top"/>
          </w:tcPr>
          <w:p w14:paraId="6C461B1A">
            <w:pPr>
              <w:rPr>
                <w:rFonts w:ascii="Arial"/>
                <w:sz w:val="28"/>
                <w:szCs w:val="28"/>
              </w:rPr>
            </w:pPr>
          </w:p>
        </w:tc>
        <w:tc>
          <w:tcPr>
            <w:tcW w:w="1367" w:type="dxa"/>
            <w:vAlign w:val="top"/>
          </w:tcPr>
          <w:p w14:paraId="13EEED69">
            <w:pPr>
              <w:rPr>
                <w:rFonts w:ascii="Arial"/>
                <w:sz w:val="28"/>
                <w:szCs w:val="28"/>
              </w:rPr>
            </w:pPr>
          </w:p>
        </w:tc>
      </w:tr>
      <w:tr w14:paraId="51C0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3DB1D35C">
            <w:pPr>
              <w:rPr>
                <w:rFonts w:ascii="Arial"/>
                <w:sz w:val="28"/>
                <w:szCs w:val="28"/>
              </w:rPr>
            </w:pPr>
          </w:p>
        </w:tc>
        <w:tc>
          <w:tcPr>
            <w:tcW w:w="2662" w:type="dxa"/>
            <w:vAlign w:val="top"/>
          </w:tcPr>
          <w:p w14:paraId="5FDFAA61">
            <w:pPr>
              <w:rPr>
                <w:rFonts w:ascii="Arial"/>
                <w:sz w:val="28"/>
                <w:szCs w:val="28"/>
              </w:rPr>
            </w:pPr>
          </w:p>
        </w:tc>
        <w:tc>
          <w:tcPr>
            <w:tcW w:w="2313" w:type="dxa"/>
            <w:vAlign w:val="top"/>
          </w:tcPr>
          <w:p w14:paraId="20659AD0">
            <w:pPr>
              <w:rPr>
                <w:rFonts w:ascii="Arial"/>
                <w:sz w:val="28"/>
                <w:szCs w:val="28"/>
              </w:rPr>
            </w:pPr>
          </w:p>
        </w:tc>
        <w:tc>
          <w:tcPr>
            <w:tcW w:w="1432" w:type="dxa"/>
            <w:vAlign w:val="top"/>
          </w:tcPr>
          <w:p w14:paraId="74C5B73F">
            <w:pPr>
              <w:rPr>
                <w:rFonts w:ascii="Arial"/>
                <w:sz w:val="28"/>
                <w:szCs w:val="28"/>
              </w:rPr>
            </w:pPr>
          </w:p>
        </w:tc>
        <w:tc>
          <w:tcPr>
            <w:tcW w:w="1367" w:type="dxa"/>
            <w:vAlign w:val="top"/>
          </w:tcPr>
          <w:p w14:paraId="5F305FD1">
            <w:pPr>
              <w:rPr>
                <w:rFonts w:ascii="Arial"/>
                <w:sz w:val="28"/>
                <w:szCs w:val="28"/>
              </w:rPr>
            </w:pPr>
          </w:p>
        </w:tc>
      </w:tr>
      <w:tr w14:paraId="3B1B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4DEF3742">
            <w:pPr>
              <w:rPr>
                <w:rFonts w:ascii="Arial"/>
                <w:sz w:val="28"/>
                <w:szCs w:val="28"/>
              </w:rPr>
            </w:pPr>
          </w:p>
        </w:tc>
        <w:tc>
          <w:tcPr>
            <w:tcW w:w="2662" w:type="dxa"/>
            <w:vAlign w:val="top"/>
          </w:tcPr>
          <w:p w14:paraId="5F888A90">
            <w:pPr>
              <w:rPr>
                <w:rFonts w:ascii="Arial"/>
                <w:sz w:val="28"/>
                <w:szCs w:val="28"/>
              </w:rPr>
            </w:pPr>
          </w:p>
        </w:tc>
        <w:tc>
          <w:tcPr>
            <w:tcW w:w="2313" w:type="dxa"/>
            <w:vAlign w:val="top"/>
          </w:tcPr>
          <w:p w14:paraId="5BC507DA">
            <w:pPr>
              <w:rPr>
                <w:rFonts w:ascii="Arial"/>
                <w:sz w:val="28"/>
                <w:szCs w:val="28"/>
              </w:rPr>
            </w:pPr>
          </w:p>
        </w:tc>
        <w:tc>
          <w:tcPr>
            <w:tcW w:w="1432" w:type="dxa"/>
            <w:vAlign w:val="top"/>
          </w:tcPr>
          <w:p w14:paraId="6F319E9F">
            <w:pPr>
              <w:rPr>
                <w:rFonts w:ascii="Arial"/>
                <w:sz w:val="28"/>
                <w:szCs w:val="28"/>
              </w:rPr>
            </w:pPr>
          </w:p>
        </w:tc>
        <w:tc>
          <w:tcPr>
            <w:tcW w:w="1367" w:type="dxa"/>
            <w:vAlign w:val="top"/>
          </w:tcPr>
          <w:p w14:paraId="678108B3">
            <w:pPr>
              <w:rPr>
                <w:rFonts w:ascii="Arial"/>
                <w:sz w:val="28"/>
                <w:szCs w:val="28"/>
              </w:rPr>
            </w:pPr>
          </w:p>
        </w:tc>
      </w:tr>
      <w:tr w14:paraId="35DB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46" w:type="dxa"/>
            <w:vAlign w:val="top"/>
          </w:tcPr>
          <w:p w14:paraId="220B5059">
            <w:pPr>
              <w:rPr>
                <w:rFonts w:ascii="Arial"/>
                <w:sz w:val="28"/>
                <w:szCs w:val="28"/>
              </w:rPr>
            </w:pPr>
          </w:p>
        </w:tc>
        <w:tc>
          <w:tcPr>
            <w:tcW w:w="2662" w:type="dxa"/>
            <w:vAlign w:val="top"/>
          </w:tcPr>
          <w:p w14:paraId="1361F2F6">
            <w:pPr>
              <w:rPr>
                <w:rFonts w:ascii="Arial"/>
                <w:sz w:val="28"/>
                <w:szCs w:val="28"/>
              </w:rPr>
            </w:pPr>
          </w:p>
        </w:tc>
        <w:tc>
          <w:tcPr>
            <w:tcW w:w="2313" w:type="dxa"/>
            <w:vAlign w:val="top"/>
          </w:tcPr>
          <w:p w14:paraId="2D988A7D">
            <w:pPr>
              <w:rPr>
                <w:rFonts w:ascii="Arial"/>
                <w:sz w:val="28"/>
                <w:szCs w:val="28"/>
              </w:rPr>
            </w:pPr>
          </w:p>
        </w:tc>
        <w:tc>
          <w:tcPr>
            <w:tcW w:w="1432" w:type="dxa"/>
            <w:vAlign w:val="top"/>
          </w:tcPr>
          <w:p w14:paraId="77B01A61">
            <w:pPr>
              <w:rPr>
                <w:rFonts w:ascii="Arial"/>
                <w:sz w:val="28"/>
                <w:szCs w:val="28"/>
              </w:rPr>
            </w:pPr>
          </w:p>
        </w:tc>
        <w:tc>
          <w:tcPr>
            <w:tcW w:w="1367" w:type="dxa"/>
            <w:vAlign w:val="top"/>
          </w:tcPr>
          <w:p w14:paraId="2A4FA4C5">
            <w:pPr>
              <w:rPr>
                <w:rFonts w:ascii="Arial"/>
                <w:sz w:val="28"/>
                <w:szCs w:val="28"/>
              </w:rPr>
            </w:pPr>
          </w:p>
        </w:tc>
      </w:tr>
    </w:tbl>
    <w:p w14:paraId="649A0EA6">
      <w:pPr>
        <w:pStyle w:val="5"/>
        <w:spacing w:line="299" w:lineRule="auto"/>
        <w:rPr>
          <w:sz w:val="28"/>
          <w:szCs w:val="28"/>
        </w:rPr>
      </w:pPr>
    </w:p>
    <w:p w14:paraId="373E6E35">
      <w:pPr>
        <w:spacing w:before="91" w:line="224" w:lineRule="auto"/>
        <w:ind w:left="101"/>
        <w:rPr>
          <w:rFonts w:ascii="宋体" w:hAnsi="宋体" w:eastAsia="宋体" w:cs="宋体"/>
          <w:sz w:val="28"/>
          <w:szCs w:val="28"/>
        </w:rPr>
      </w:pPr>
      <w:r>
        <w:rPr>
          <w:rFonts w:ascii="宋体" w:hAnsi="宋体" w:eastAsia="宋体" w:cs="宋体"/>
          <w:spacing w:val="-5"/>
          <w:sz w:val="28"/>
          <w:szCs w:val="28"/>
        </w:rPr>
        <w:t>注：</w:t>
      </w:r>
    </w:p>
    <w:p w14:paraId="71CCB2E5">
      <w:pPr>
        <w:spacing w:before="59" w:line="266" w:lineRule="auto"/>
        <w:ind w:left="106" w:right="313" w:firstLine="3"/>
        <w:rPr>
          <w:rFonts w:hint="eastAsia" w:ascii="宋体" w:hAnsi="宋体" w:eastAsia="宋体" w:cs="宋体"/>
          <w:sz w:val="28"/>
          <w:szCs w:val="28"/>
          <w:lang w:eastAsia="zh-CN"/>
        </w:rPr>
      </w:pPr>
      <w:r>
        <w:rPr>
          <w:rFonts w:ascii="宋体" w:hAnsi="宋体" w:eastAsia="宋体" w:cs="宋体"/>
          <w:spacing w:val="-1"/>
          <w:sz w:val="28"/>
          <w:szCs w:val="28"/>
        </w:rPr>
        <w:t>（1）响应/偏离内容项下应按下列规定填写：优于的，填写“正偏</w:t>
      </w:r>
      <w:r>
        <w:rPr>
          <w:rFonts w:ascii="宋体" w:hAnsi="宋体" w:eastAsia="宋体" w:cs="宋体"/>
          <w:spacing w:val="-3"/>
          <w:sz w:val="28"/>
          <w:szCs w:val="28"/>
        </w:rPr>
        <w:t>离</w:t>
      </w:r>
      <w:r>
        <w:rPr>
          <w:rFonts w:ascii="宋体" w:hAnsi="宋体" w:eastAsia="宋体" w:cs="宋体"/>
          <w:spacing w:val="-102"/>
          <w:sz w:val="28"/>
          <w:szCs w:val="28"/>
        </w:rPr>
        <w:t xml:space="preserve"> </w:t>
      </w:r>
      <w:r>
        <w:rPr>
          <w:rFonts w:ascii="宋体" w:hAnsi="宋体" w:eastAsia="宋体" w:cs="宋体"/>
          <w:spacing w:val="-3"/>
          <w:sz w:val="28"/>
          <w:szCs w:val="28"/>
        </w:rPr>
        <w:t>”；符合的， 填写“无偏离</w:t>
      </w:r>
      <w:r>
        <w:rPr>
          <w:rFonts w:ascii="宋体" w:hAnsi="宋体" w:eastAsia="宋体" w:cs="宋体"/>
          <w:spacing w:val="-103"/>
          <w:sz w:val="28"/>
          <w:szCs w:val="28"/>
        </w:rPr>
        <w:t xml:space="preserve"> </w:t>
      </w:r>
      <w:r>
        <w:rPr>
          <w:rFonts w:ascii="宋体" w:hAnsi="宋体" w:eastAsia="宋体" w:cs="宋体"/>
          <w:spacing w:val="-3"/>
          <w:sz w:val="28"/>
          <w:szCs w:val="28"/>
        </w:rPr>
        <w:t>”；低于的</w:t>
      </w:r>
      <w:r>
        <w:rPr>
          <w:rFonts w:ascii="宋体" w:hAnsi="宋体" w:eastAsia="宋体" w:cs="宋体"/>
          <w:spacing w:val="-4"/>
          <w:sz w:val="28"/>
          <w:szCs w:val="28"/>
        </w:rPr>
        <w:t>，填写“负偏离</w:t>
      </w:r>
      <w:r>
        <w:rPr>
          <w:rFonts w:ascii="宋体" w:hAnsi="宋体" w:eastAsia="宋体" w:cs="宋体"/>
          <w:spacing w:val="-103"/>
          <w:sz w:val="28"/>
          <w:szCs w:val="28"/>
        </w:rPr>
        <w:t xml:space="preserve"> </w:t>
      </w:r>
      <w:r>
        <w:rPr>
          <w:rFonts w:ascii="宋体" w:hAnsi="宋体" w:eastAsia="宋体" w:cs="宋体"/>
          <w:spacing w:val="-4"/>
          <w:sz w:val="28"/>
          <w:szCs w:val="28"/>
        </w:rPr>
        <w:t>”</w:t>
      </w:r>
      <w:r>
        <w:rPr>
          <w:rFonts w:hint="eastAsia" w:ascii="宋体" w:hAnsi="宋体" w:eastAsia="宋体" w:cs="宋体"/>
          <w:spacing w:val="-4"/>
          <w:sz w:val="28"/>
          <w:szCs w:val="28"/>
          <w:lang w:eastAsia="zh-CN"/>
        </w:rPr>
        <w:t>。</w:t>
      </w:r>
    </w:p>
    <w:p w14:paraId="7FB64201">
      <w:pPr>
        <w:spacing w:before="233" w:line="264" w:lineRule="auto"/>
        <w:ind w:left="105" w:right="173" w:firstLine="4"/>
        <w:rPr>
          <w:rFonts w:ascii="宋体" w:hAnsi="宋体" w:eastAsia="宋体" w:cs="宋体"/>
          <w:sz w:val="28"/>
          <w:szCs w:val="28"/>
        </w:rPr>
      </w:pPr>
      <w:r>
        <w:rPr>
          <w:rFonts w:ascii="宋体" w:hAnsi="宋体" w:eastAsia="宋体" w:cs="宋体"/>
          <w:spacing w:val="-2"/>
          <w:sz w:val="28"/>
          <w:szCs w:val="28"/>
        </w:rPr>
        <w:t>（2）供应商应当如实填写“响应文件响应的具体内容</w:t>
      </w:r>
      <w:r>
        <w:rPr>
          <w:rFonts w:ascii="宋体" w:hAnsi="宋体" w:eastAsia="宋体" w:cs="宋体"/>
          <w:spacing w:val="-100"/>
          <w:sz w:val="28"/>
          <w:szCs w:val="28"/>
        </w:rPr>
        <w:t xml:space="preserve"> </w:t>
      </w:r>
      <w:r>
        <w:rPr>
          <w:rFonts w:ascii="宋体" w:hAnsi="宋体" w:eastAsia="宋体" w:cs="宋体"/>
          <w:spacing w:val="-2"/>
          <w:sz w:val="28"/>
          <w:szCs w:val="28"/>
        </w:rPr>
        <w:t>”处内容，对</w:t>
      </w:r>
      <w:r>
        <w:rPr>
          <w:rFonts w:ascii="宋体" w:hAnsi="宋体" w:eastAsia="宋体" w:cs="宋体"/>
          <w:spacing w:val="-1"/>
          <w:sz w:val="28"/>
          <w:szCs w:val="28"/>
        </w:rPr>
        <w:t>竞价文件提出的要求和条件做出明确的响应。</w:t>
      </w:r>
    </w:p>
    <w:p w14:paraId="500AAABE">
      <w:pPr>
        <w:spacing w:before="238" w:line="266" w:lineRule="auto"/>
        <w:ind w:left="102" w:right="215" w:firstLine="6"/>
        <w:rPr>
          <w:rFonts w:ascii="宋体" w:hAnsi="宋体" w:eastAsia="宋体" w:cs="宋体"/>
          <w:sz w:val="28"/>
          <w:szCs w:val="28"/>
        </w:rPr>
      </w:pPr>
      <w:r>
        <w:rPr>
          <w:rFonts w:ascii="宋体" w:hAnsi="宋体" w:eastAsia="宋体" w:cs="宋体"/>
          <w:spacing w:val="-2"/>
          <w:sz w:val="28"/>
          <w:szCs w:val="28"/>
        </w:rPr>
        <w:t>（3）供应商不按上述表格填写，所产生的一切后果由供应商承担。本项目不接受负偏离。</w:t>
      </w:r>
    </w:p>
    <w:p w14:paraId="2B5CE7AC">
      <w:pPr>
        <w:pStyle w:val="5"/>
        <w:spacing w:line="244" w:lineRule="auto"/>
        <w:rPr>
          <w:sz w:val="28"/>
          <w:szCs w:val="28"/>
        </w:rPr>
      </w:pPr>
    </w:p>
    <w:p w14:paraId="2AA6D716">
      <w:pPr>
        <w:pStyle w:val="5"/>
        <w:spacing w:line="245" w:lineRule="auto"/>
        <w:rPr>
          <w:sz w:val="28"/>
          <w:szCs w:val="28"/>
        </w:rPr>
      </w:pPr>
    </w:p>
    <w:p w14:paraId="52007ADE">
      <w:pPr>
        <w:spacing w:before="91" w:line="219" w:lineRule="auto"/>
        <w:ind w:left="34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
          <w:sz w:val="28"/>
          <w:szCs w:val="28"/>
        </w:rPr>
        <w:t>）：</w:t>
      </w:r>
    </w:p>
    <w:p w14:paraId="616697AF">
      <w:pPr>
        <w:spacing w:before="269" w:line="221" w:lineRule="auto"/>
        <w:ind w:left="392"/>
        <w:rPr>
          <w:rFonts w:ascii="宋体" w:hAnsi="宋体" w:eastAsia="宋体" w:cs="宋体"/>
          <w:sz w:val="28"/>
          <w:szCs w:val="28"/>
        </w:rPr>
      </w:pPr>
      <w:r>
        <w:rPr>
          <w:rFonts w:ascii="宋体" w:hAnsi="宋体" w:eastAsia="宋体" w:cs="宋体"/>
          <w:spacing w:val="-20"/>
          <w:sz w:val="28"/>
          <w:szCs w:val="28"/>
        </w:rPr>
        <w:t>日期：</w:t>
      </w:r>
    </w:p>
    <w:p w14:paraId="3C373A6F">
      <w:pPr>
        <w:spacing w:line="221" w:lineRule="auto"/>
        <w:rPr>
          <w:rFonts w:ascii="宋体" w:hAnsi="宋体" w:eastAsia="宋体" w:cs="宋体"/>
          <w:sz w:val="28"/>
          <w:szCs w:val="28"/>
        </w:rPr>
        <w:sectPr>
          <w:pgSz w:w="11900" w:h="16820"/>
          <w:pgMar w:top="1417" w:right="1665" w:bottom="0" w:left="1709" w:header="0" w:footer="0" w:gutter="0"/>
          <w:cols w:space="720" w:num="1"/>
        </w:sectPr>
      </w:pPr>
    </w:p>
    <w:p w14:paraId="0C2DF3FB">
      <w:pPr>
        <w:spacing w:before="88" w:line="223" w:lineRule="auto"/>
        <w:jc w:val="center"/>
        <w:rPr>
          <w:rFonts w:ascii="宋体" w:hAnsi="宋体" w:eastAsia="宋体" w:cs="宋体"/>
          <w:sz w:val="32"/>
          <w:szCs w:val="32"/>
        </w:rPr>
      </w:pPr>
      <w:r>
        <w:rPr>
          <w:rFonts w:ascii="宋体" w:hAnsi="宋体" w:eastAsia="宋体" w:cs="宋体"/>
          <w:spacing w:val="6"/>
          <w:sz w:val="32"/>
          <w:szCs w:val="32"/>
        </w:rPr>
        <w:t>商务条款响应/偏离表</w:t>
      </w:r>
    </w:p>
    <w:p w14:paraId="381AEC62">
      <w:pPr>
        <w:spacing w:before="64"/>
        <w:rPr>
          <w:sz w:val="28"/>
          <w:szCs w:val="28"/>
        </w:rPr>
      </w:pPr>
    </w:p>
    <w:p w14:paraId="265024B2">
      <w:pPr>
        <w:spacing w:before="63"/>
        <w:rPr>
          <w:sz w:val="28"/>
          <w:szCs w:val="28"/>
        </w:rPr>
      </w:pPr>
    </w:p>
    <w:tbl>
      <w:tblPr>
        <w:tblStyle w:val="10"/>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662"/>
        <w:gridCol w:w="2313"/>
        <w:gridCol w:w="1432"/>
        <w:gridCol w:w="1367"/>
      </w:tblGrid>
      <w:tr w14:paraId="3523B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6" w:type="dxa"/>
            <w:vAlign w:val="top"/>
          </w:tcPr>
          <w:p w14:paraId="60236AB5">
            <w:pPr>
              <w:pStyle w:val="9"/>
              <w:spacing w:before="273" w:line="221" w:lineRule="auto"/>
              <w:ind w:left="139"/>
              <w:rPr>
                <w:sz w:val="28"/>
                <w:szCs w:val="28"/>
              </w:rPr>
            </w:pPr>
            <w:r>
              <w:rPr>
                <w:spacing w:val="-5"/>
                <w:sz w:val="28"/>
                <w:szCs w:val="28"/>
              </w:rPr>
              <w:t>序号</w:t>
            </w:r>
          </w:p>
        </w:tc>
        <w:tc>
          <w:tcPr>
            <w:tcW w:w="2662" w:type="dxa"/>
            <w:vAlign w:val="top"/>
          </w:tcPr>
          <w:p w14:paraId="164DF2C2">
            <w:pPr>
              <w:pStyle w:val="9"/>
              <w:spacing w:before="273" w:line="218" w:lineRule="auto"/>
              <w:ind w:left="379"/>
              <w:rPr>
                <w:sz w:val="28"/>
                <w:szCs w:val="28"/>
              </w:rPr>
            </w:pPr>
            <w:r>
              <w:rPr>
                <w:spacing w:val="-2"/>
                <w:sz w:val="28"/>
                <w:szCs w:val="28"/>
              </w:rPr>
              <w:t>竞价文件商务条款</w:t>
            </w:r>
          </w:p>
        </w:tc>
        <w:tc>
          <w:tcPr>
            <w:tcW w:w="2313" w:type="dxa"/>
            <w:vAlign w:val="top"/>
          </w:tcPr>
          <w:p w14:paraId="61F0854E">
            <w:pPr>
              <w:pStyle w:val="9"/>
              <w:spacing w:before="41" w:line="343" w:lineRule="auto"/>
              <w:ind w:left="202" w:leftChars="0" w:right="194" w:firstLine="13" w:firstLineChars="0"/>
              <w:rPr>
                <w:sz w:val="28"/>
                <w:szCs w:val="28"/>
              </w:rPr>
            </w:pPr>
            <w:r>
              <w:rPr>
                <w:spacing w:val="-3"/>
                <w:sz w:val="28"/>
                <w:szCs w:val="28"/>
              </w:rPr>
              <w:t>响应文件响应的具</w:t>
            </w:r>
            <w:r>
              <w:rPr>
                <w:spacing w:val="-4"/>
                <w:sz w:val="28"/>
                <w:szCs w:val="28"/>
              </w:rPr>
              <w:t>体内容</w:t>
            </w:r>
          </w:p>
        </w:tc>
        <w:tc>
          <w:tcPr>
            <w:tcW w:w="1432" w:type="dxa"/>
            <w:vAlign w:val="top"/>
          </w:tcPr>
          <w:p w14:paraId="518792C6">
            <w:pPr>
              <w:pStyle w:val="9"/>
              <w:spacing w:before="274" w:line="219" w:lineRule="auto"/>
              <w:ind w:left="196"/>
              <w:rPr>
                <w:sz w:val="28"/>
                <w:szCs w:val="28"/>
              </w:rPr>
            </w:pPr>
            <w:r>
              <w:rPr>
                <w:spacing w:val="-5"/>
                <w:sz w:val="28"/>
                <w:szCs w:val="28"/>
              </w:rPr>
              <w:t>响应/偏离</w:t>
            </w:r>
          </w:p>
        </w:tc>
        <w:tc>
          <w:tcPr>
            <w:tcW w:w="1367" w:type="dxa"/>
            <w:vAlign w:val="top"/>
          </w:tcPr>
          <w:p w14:paraId="43525D4B">
            <w:pPr>
              <w:pStyle w:val="9"/>
              <w:spacing w:before="274" w:line="219" w:lineRule="auto"/>
              <w:ind w:left="452"/>
              <w:rPr>
                <w:sz w:val="28"/>
                <w:szCs w:val="28"/>
              </w:rPr>
            </w:pPr>
            <w:r>
              <w:rPr>
                <w:spacing w:val="-7"/>
                <w:sz w:val="28"/>
                <w:szCs w:val="28"/>
              </w:rPr>
              <w:t>说明</w:t>
            </w:r>
          </w:p>
        </w:tc>
      </w:tr>
      <w:tr w14:paraId="67D92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69445A9A">
            <w:pPr>
              <w:rPr>
                <w:rFonts w:ascii="Arial"/>
                <w:sz w:val="28"/>
                <w:szCs w:val="28"/>
              </w:rPr>
            </w:pPr>
          </w:p>
        </w:tc>
        <w:tc>
          <w:tcPr>
            <w:tcW w:w="2662" w:type="dxa"/>
            <w:vAlign w:val="top"/>
          </w:tcPr>
          <w:p w14:paraId="6CE8AF16">
            <w:pPr>
              <w:rPr>
                <w:rFonts w:ascii="Arial"/>
                <w:sz w:val="28"/>
                <w:szCs w:val="28"/>
              </w:rPr>
            </w:pPr>
          </w:p>
        </w:tc>
        <w:tc>
          <w:tcPr>
            <w:tcW w:w="2313" w:type="dxa"/>
            <w:vAlign w:val="top"/>
          </w:tcPr>
          <w:p w14:paraId="6692488B">
            <w:pPr>
              <w:rPr>
                <w:rFonts w:ascii="Arial"/>
                <w:sz w:val="28"/>
                <w:szCs w:val="28"/>
              </w:rPr>
            </w:pPr>
          </w:p>
        </w:tc>
        <w:tc>
          <w:tcPr>
            <w:tcW w:w="1432" w:type="dxa"/>
            <w:vAlign w:val="top"/>
          </w:tcPr>
          <w:p w14:paraId="3C8EC2F3">
            <w:pPr>
              <w:rPr>
                <w:rFonts w:ascii="Arial"/>
                <w:sz w:val="28"/>
                <w:szCs w:val="28"/>
              </w:rPr>
            </w:pPr>
          </w:p>
        </w:tc>
        <w:tc>
          <w:tcPr>
            <w:tcW w:w="1367" w:type="dxa"/>
            <w:vAlign w:val="top"/>
          </w:tcPr>
          <w:p w14:paraId="7257F257">
            <w:pPr>
              <w:rPr>
                <w:rFonts w:ascii="Arial"/>
                <w:sz w:val="28"/>
                <w:szCs w:val="28"/>
              </w:rPr>
            </w:pPr>
          </w:p>
        </w:tc>
      </w:tr>
      <w:tr w14:paraId="6ED2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77174C31">
            <w:pPr>
              <w:rPr>
                <w:rFonts w:ascii="Arial"/>
                <w:sz w:val="28"/>
                <w:szCs w:val="28"/>
              </w:rPr>
            </w:pPr>
          </w:p>
        </w:tc>
        <w:tc>
          <w:tcPr>
            <w:tcW w:w="2662" w:type="dxa"/>
            <w:vAlign w:val="top"/>
          </w:tcPr>
          <w:p w14:paraId="3F20A605">
            <w:pPr>
              <w:rPr>
                <w:rFonts w:ascii="Arial"/>
                <w:sz w:val="28"/>
                <w:szCs w:val="28"/>
              </w:rPr>
            </w:pPr>
          </w:p>
        </w:tc>
        <w:tc>
          <w:tcPr>
            <w:tcW w:w="2313" w:type="dxa"/>
            <w:vAlign w:val="top"/>
          </w:tcPr>
          <w:p w14:paraId="0929B9BF">
            <w:pPr>
              <w:rPr>
                <w:rFonts w:ascii="Arial"/>
                <w:sz w:val="28"/>
                <w:szCs w:val="28"/>
              </w:rPr>
            </w:pPr>
          </w:p>
        </w:tc>
        <w:tc>
          <w:tcPr>
            <w:tcW w:w="1432" w:type="dxa"/>
            <w:vAlign w:val="top"/>
          </w:tcPr>
          <w:p w14:paraId="03768960">
            <w:pPr>
              <w:rPr>
                <w:rFonts w:ascii="Arial"/>
                <w:sz w:val="28"/>
                <w:szCs w:val="28"/>
              </w:rPr>
            </w:pPr>
          </w:p>
        </w:tc>
        <w:tc>
          <w:tcPr>
            <w:tcW w:w="1367" w:type="dxa"/>
            <w:vAlign w:val="top"/>
          </w:tcPr>
          <w:p w14:paraId="44F2B792">
            <w:pPr>
              <w:rPr>
                <w:rFonts w:ascii="Arial"/>
                <w:sz w:val="28"/>
                <w:szCs w:val="28"/>
              </w:rPr>
            </w:pPr>
          </w:p>
        </w:tc>
      </w:tr>
      <w:tr w14:paraId="66A3E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46" w:type="dxa"/>
            <w:vAlign w:val="top"/>
          </w:tcPr>
          <w:p w14:paraId="46AD2457">
            <w:pPr>
              <w:rPr>
                <w:rFonts w:ascii="Arial"/>
                <w:sz w:val="28"/>
                <w:szCs w:val="28"/>
              </w:rPr>
            </w:pPr>
          </w:p>
        </w:tc>
        <w:tc>
          <w:tcPr>
            <w:tcW w:w="2662" w:type="dxa"/>
            <w:vAlign w:val="top"/>
          </w:tcPr>
          <w:p w14:paraId="27E082A0">
            <w:pPr>
              <w:rPr>
                <w:rFonts w:ascii="Arial"/>
                <w:sz w:val="28"/>
                <w:szCs w:val="28"/>
              </w:rPr>
            </w:pPr>
          </w:p>
        </w:tc>
        <w:tc>
          <w:tcPr>
            <w:tcW w:w="2313" w:type="dxa"/>
            <w:vAlign w:val="top"/>
          </w:tcPr>
          <w:p w14:paraId="52F97877">
            <w:pPr>
              <w:rPr>
                <w:rFonts w:ascii="Arial"/>
                <w:sz w:val="28"/>
                <w:szCs w:val="28"/>
              </w:rPr>
            </w:pPr>
          </w:p>
        </w:tc>
        <w:tc>
          <w:tcPr>
            <w:tcW w:w="1432" w:type="dxa"/>
            <w:vAlign w:val="top"/>
          </w:tcPr>
          <w:p w14:paraId="673EC1C3">
            <w:pPr>
              <w:rPr>
                <w:rFonts w:ascii="Arial"/>
                <w:sz w:val="28"/>
                <w:szCs w:val="28"/>
              </w:rPr>
            </w:pPr>
          </w:p>
        </w:tc>
        <w:tc>
          <w:tcPr>
            <w:tcW w:w="1367" w:type="dxa"/>
            <w:vAlign w:val="top"/>
          </w:tcPr>
          <w:p w14:paraId="3A2F4504">
            <w:pPr>
              <w:rPr>
                <w:rFonts w:ascii="Arial"/>
                <w:sz w:val="28"/>
                <w:szCs w:val="28"/>
              </w:rPr>
            </w:pPr>
          </w:p>
        </w:tc>
      </w:tr>
      <w:tr w14:paraId="7727C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7476FCE0">
            <w:pPr>
              <w:rPr>
                <w:rFonts w:ascii="Arial"/>
                <w:sz w:val="28"/>
                <w:szCs w:val="28"/>
              </w:rPr>
            </w:pPr>
          </w:p>
        </w:tc>
        <w:tc>
          <w:tcPr>
            <w:tcW w:w="2662" w:type="dxa"/>
            <w:vAlign w:val="top"/>
          </w:tcPr>
          <w:p w14:paraId="743FAFD8">
            <w:pPr>
              <w:rPr>
                <w:rFonts w:ascii="Arial"/>
                <w:sz w:val="28"/>
                <w:szCs w:val="28"/>
              </w:rPr>
            </w:pPr>
          </w:p>
        </w:tc>
        <w:tc>
          <w:tcPr>
            <w:tcW w:w="2313" w:type="dxa"/>
            <w:vAlign w:val="top"/>
          </w:tcPr>
          <w:p w14:paraId="3A5700CE">
            <w:pPr>
              <w:rPr>
                <w:rFonts w:ascii="Arial"/>
                <w:sz w:val="28"/>
                <w:szCs w:val="28"/>
              </w:rPr>
            </w:pPr>
          </w:p>
        </w:tc>
        <w:tc>
          <w:tcPr>
            <w:tcW w:w="1432" w:type="dxa"/>
            <w:vAlign w:val="top"/>
          </w:tcPr>
          <w:p w14:paraId="12895D3F">
            <w:pPr>
              <w:rPr>
                <w:rFonts w:ascii="Arial"/>
                <w:sz w:val="28"/>
                <w:szCs w:val="28"/>
              </w:rPr>
            </w:pPr>
          </w:p>
        </w:tc>
        <w:tc>
          <w:tcPr>
            <w:tcW w:w="1367" w:type="dxa"/>
            <w:vAlign w:val="top"/>
          </w:tcPr>
          <w:p w14:paraId="5435CC1E">
            <w:pPr>
              <w:rPr>
                <w:rFonts w:ascii="Arial"/>
                <w:sz w:val="28"/>
                <w:szCs w:val="28"/>
              </w:rPr>
            </w:pPr>
          </w:p>
        </w:tc>
      </w:tr>
      <w:tr w14:paraId="171C7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70936380">
            <w:pPr>
              <w:rPr>
                <w:rFonts w:ascii="Arial"/>
                <w:sz w:val="28"/>
                <w:szCs w:val="28"/>
              </w:rPr>
            </w:pPr>
          </w:p>
        </w:tc>
        <w:tc>
          <w:tcPr>
            <w:tcW w:w="2662" w:type="dxa"/>
            <w:vAlign w:val="top"/>
          </w:tcPr>
          <w:p w14:paraId="7F06ADDD">
            <w:pPr>
              <w:rPr>
                <w:rFonts w:ascii="Arial"/>
                <w:sz w:val="28"/>
                <w:szCs w:val="28"/>
              </w:rPr>
            </w:pPr>
          </w:p>
        </w:tc>
        <w:tc>
          <w:tcPr>
            <w:tcW w:w="2313" w:type="dxa"/>
            <w:vAlign w:val="top"/>
          </w:tcPr>
          <w:p w14:paraId="0AF5367C">
            <w:pPr>
              <w:rPr>
                <w:rFonts w:ascii="Arial"/>
                <w:sz w:val="28"/>
                <w:szCs w:val="28"/>
              </w:rPr>
            </w:pPr>
          </w:p>
        </w:tc>
        <w:tc>
          <w:tcPr>
            <w:tcW w:w="1432" w:type="dxa"/>
            <w:vAlign w:val="top"/>
          </w:tcPr>
          <w:p w14:paraId="7D41C429">
            <w:pPr>
              <w:rPr>
                <w:rFonts w:ascii="Arial"/>
                <w:sz w:val="28"/>
                <w:szCs w:val="28"/>
              </w:rPr>
            </w:pPr>
          </w:p>
        </w:tc>
        <w:tc>
          <w:tcPr>
            <w:tcW w:w="1367" w:type="dxa"/>
            <w:vAlign w:val="top"/>
          </w:tcPr>
          <w:p w14:paraId="2796A529">
            <w:pPr>
              <w:rPr>
                <w:rFonts w:ascii="Arial"/>
                <w:sz w:val="28"/>
                <w:szCs w:val="28"/>
              </w:rPr>
            </w:pPr>
          </w:p>
        </w:tc>
      </w:tr>
      <w:tr w14:paraId="6F039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6" w:type="dxa"/>
            <w:vAlign w:val="top"/>
          </w:tcPr>
          <w:p w14:paraId="15412566">
            <w:pPr>
              <w:rPr>
                <w:rFonts w:ascii="Arial"/>
                <w:sz w:val="28"/>
                <w:szCs w:val="28"/>
              </w:rPr>
            </w:pPr>
          </w:p>
        </w:tc>
        <w:tc>
          <w:tcPr>
            <w:tcW w:w="2662" w:type="dxa"/>
            <w:vAlign w:val="top"/>
          </w:tcPr>
          <w:p w14:paraId="6D79D5E8">
            <w:pPr>
              <w:rPr>
                <w:rFonts w:ascii="Arial"/>
                <w:sz w:val="28"/>
                <w:szCs w:val="28"/>
              </w:rPr>
            </w:pPr>
          </w:p>
        </w:tc>
        <w:tc>
          <w:tcPr>
            <w:tcW w:w="2313" w:type="dxa"/>
            <w:vAlign w:val="top"/>
          </w:tcPr>
          <w:p w14:paraId="167479A7">
            <w:pPr>
              <w:rPr>
                <w:rFonts w:ascii="Arial"/>
                <w:sz w:val="28"/>
                <w:szCs w:val="28"/>
              </w:rPr>
            </w:pPr>
          </w:p>
        </w:tc>
        <w:tc>
          <w:tcPr>
            <w:tcW w:w="1432" w:type="dxa"/>
            <w:vAlign w:val="top"/>
          </w:tcPr>
          <w:p w14:paraId="32EF34FE">
            <w:pPr>
              <w:rPr>
                <w:rFonts w:ascii="Arial"/>
                <w:sz w:val="28"/>
                <w:szCs w:val="28"/>
              </w:rPr>
            </w:pPr>
          </w:p>
        </w:tc>
        <w:tc>
          <w:tcPr>
            <w:tcW w:w="1367" w:type="dxa"/>
            <w:vAlign w:val="top"/>
          </w:tcPr>
          <w:p w14:paraId="1F254614">
            <w:pPr>
              <w:rPr>
                <w:rFonts w:ascii="Arial"/>
                <w:sz w:val="28"/>
                <w:szCs w:val="28"/>
              </w:rPr>
            </w:pPr>
          </w:p>
        </w:tc>
      </w:tr>
      <w:tr w14:paraId="1B6E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46" w:type="dxa"/>
            <w:vAlign w:val="top"/>
          </w:tcPr>
          <w:p w14:paraId="03656E92">
            <w:pPr>
              <w:rPr>
                <w:rFonts w:ascii="Arial"/>
                <w:sz w:val="28"/>
                <w:szCs w:val="28"/>
              </w:rPr>
            </w:pPr>
          </w:p>
        </w:tc>
        <w:tc>
          <w:tcPr>
            <w:tcW w:w="2662" w:type="dxa"/>
            <w:vAlign w:val="top"/>
          </w:tcPr>
          <w:p w14:paraId="08081D70">
            <w:pPr>
              <w:rPr>
                <w:rFonts w:ascii="Arial"/>
                <w:sz w:val="28"/>
                <w:szCs w:val="28"/>
              </w:rPr>
            </w:pPr>
          </w:p>
        </w:tc>
        <w:tc>
          <w:tcPr>
            <w:tcW w:w="2313" w:type="dxa"/>
            <w:vAlign w:val="top"/>
          </w:tcPr>
          <w:p w14:paraId="591E70DE">
            <w:pPr>
              <w:rPr>
                <w:rFonts w:ascii="Arial"/>
                <w:sz w:val="28"/>
                <w:szCs w:val="28"/>
              </w:rPr>
            </w:pPr>
          </w:p>
        </w:tc>
        <w:tc>
          <w:tcPr>
            <w:tcW w:w="1432" w:type="dxa"/>
            <w:vAlign w:val="top"/>
          </w:tcPr>
          <w:p w14:paraId="5BA19C87">
            <w:pPr>
              <w:rPr>
                <w:rFonts w:ascii="Arial"/>
                <w:sz w:val="28"/>
                <w:szCs w:val="28"/>
              </w:rPr>
            </w:pPr>
          </w:p>
        </w:tc>
        <w:tc>
          <w:tcPr>
            <w:tcW w:w="1367" w:type="dxa"/>
            <w:vAlign w:val="top"/>
          </w:tcPr>
          <w:p w14:paraId="74C8F825">
            <w:pPr>
              <w:rPr>
                <w:rFonts w:ascii="Arial"/>
                <w:sz w:val="28"/>
                <w:szCs w:val="28"/>
              </w:rPr>
            </w:pPr>
          </w:p>
        </w:tc>
      </w:tr>
    </w:tbl>
    <w:p w14:paraId="57AD1314">
      <w:pPr>
        <w:pStyle w:val="5"/>
        <w:spacing w:line="299" w:lineRule="auto"/>
        <w:rPr>
          <w:sz w:val="28"/>
          <w:szCs w:val="28"/>
        </w:rPr>
      </w:pPr>
    </w:p>
    <w:p w14:paraId="6C66AE61">
      <w:pPr>
        <w:spacing w:before="91" w:line="224" w:lineRule="auto"/>
        <w:ind w:left="101"/>
        <w:rPr>
          <w:rFonts w:ascii="宋体" w:hAnsi="宋体" w:eastAsia="宋体" w:cs="宋体"/>
          <w:sz w:val="28"/>
          <w:szCs w:val="28"/>
        </w:rPr>
      </w:pPr>
      <w:r>
        <w:rPr>
          <w:rFonts w:ascii="宋体" w:hAnsi="宋体" w:eastAsia="宋体" w:cs="宋体"/>
          <w:spacing w:val="-5"/>
          <w:sz w:val="28"/>
          <w:szCs w:val="28"/>
        </w:rPr>
        <w:t>注：</w:t>
      </w:r>
    </w:p>
    <w:p w14:paraId="2D38A831">
      <w:pPr>
        <w:spacing w:before="59" w:line="266" w:lineRule="auto"/>
        <w:ind w:left="106" w:right="313" w:firstLine="3"/>
        <w:rPr>
          <w:rFonts w:hint="eastAsia" w:ascii="宋体" w:hAnsi="宋体" w:eastAsia="宋体" w:cs="宋体"/>
          <w:sz w:val="28"/>
          <w:szCs w:val="28"/>
          <w:lang w:eastAsia="zh-CN"/>
        </w:rPr>
      </w:pPr>
      <w:r>
        <w:rPr>
          <w:rFonts w:ascii="宋体" w:hAnsi="宋体" w:eastAsia="宋体" w:cs="宋体"/>
          <w:spacing w:val="-1"/>
          <w:sz w:val="28"/>
          <w:szCs w:val="28"/>
        </w:rPr>
        <w:t>（2）响应/偏离内容项下应按下列规定填写：优于的，填写“正偏</w:t>
      </w:r>
      <w:r>
        <w:rPr>
          <w:rFonts w:ascii="宋体" w:hAnsi="宋体" w:eastAsia="宋体" w:cs="宋体"/>
          <w:spacing w:val="-3"/>
          <w:sz w:val="28"/>
          <w:szCs w:val="28"/>
        </w:rPr>
        <w:t>离</w:t>
      </w:r>
      <w:r>
        <w:rPr>
          <w:rFonts w:ascii="宋体" w:hAnsi="宋体" w:eastAsia="宋体" w:cs="宋体"/>
          <w:spacing w:val="-102"/>
          <w:sz w:val="28"/>
          <w:szCs w:val="28"/>
        </w:rPr>
        <w:t xml:space="preserve"> </w:t>
      </w:r>
      <w:r>
        <w:rPr>
          <w:rFonts w:ascii="宋体" w:hAnsi="宋体" w:eastAsia="宋体" w:cs="宋体"/>
          <w:spacing w:val="-3"/>
          <w:sz w:val="28"/>
          <w:szCs w:val="28"/>
        </w:rPr>
        <w:t>”；符合的， 填写“无偏离</w:t>
      </w:r>
      <w:r>
        <w:rPr>
          <w:rFonts w:ascii="宋体" w:hAnsi="宋体" w:eastAsia="宋体" w:cs="宋体"/>
          <w:spacing w:val="-103"/>
          <w:sz w:val="28"/>
          <w:szCs w:val="28"/>
        </w:rPr>
        <w:t xml:space="preserve"> </w:t>
      </w:r>
      <w:r>
        <w:rPr>
          <w:rFonts w:ascii="宋体" w:hAnsi="宋体" w:eastAsia="宋体" w:cs="宋体"/>
          <w:spacing w:val="-3"/>
          <w:sz w:val="28"/>
          <w:szCs w:val="28"/>
        </w:rPr>
        <w:t>”；低于的</w:t>
      </w:r>
      <w:r>
        <w:rPr>
          <w:rFonts w:ascii="宋体" w:hAnsi="宋体" w:eastAsia="宋体" w:cs="宋体"/>
          <w:spacing w:val="-4"/>
          <w:sz w:val="28"/>
          <w:szCs w:val="28"/>
        </w:rPr>
        <w:t>，填写“负偏离</w:t>
      </w:r>
      <w:r>
        <w:rPr>
          <w:rFonts w:ascii="宋体" w:hAnsi="宋体" w:eastAsia="宋体" w:cs="宋体"/>
          <w:spacing w:val="-103"/>
          <w:sz w:val="28"/>
          <w:szCs w:val="28"/>
        </w:rPr>
        <w:t xml:space="preserve"> </w:t>
      </w:r>
      <w:r>
        <w:rPr>
          <w:rFonts w:ascii="宋体" w:hAnsi="宋体" w:eastAsia="宋体" w:cs="宋体"/>
          <w:spacing w:val="-4"/>
          <w:sz w:val="28"/>
          <w:szCs w:val="28"/>
        </w:rPr>
        <w:t>”</w:t>
      </w:r>
      <w:r>
        <w:rPr>
          <w:rFonts w:hint="eastAsia" w:ascii="宋体" w:hAnsi="宋体" w:eastAsia="宋体" w:cs="宋体"/>
          <w:spacing w:val="-4"/>
          <w:sz w:val="28"/>
          <w:szCs w:val="28"/>
          <w:lang w:eastAsia="zh-CN"/>
        </w:rPr>
        <w:t>。</w:t>
      </w:r>
    </w:p>
    <w:p w14:paraId="6BB6E8E6">
      <w:pPr>
        <w:spacing w:before="234" w:line="265" w:lineRule="auto"/>
        <w:ind w:left="102" w:right="173" w:firstLine="6"/>
        <w:rPr>
          <w:rFonts w:ascii="宋体" w:hAnsi="宋体" w:eastAsia="宋体" w:cs="宋体"/>
          <w:sz w:val="28"/>
          <w:szCs w:val="28"/>
        </w:rPr>
      </w:pPr>
      <w:r>
        <w:rPr>
          <w:rFonts w:ascii="宋体" w:hAnsi="宋体" w:eastAsia="宋体" w:cs="宋体"/>
          <w:spacing w:val="-1"/>
          <w:sz w:val="28"/>
          <w:szCs w:val="28"/>
        </w:rPr>
        <w:t>（2）以上商务偏离表须按顺序逐一响应，未按顺序逐一响应按无效</w:t>
      </w:r>
      <w:r>
        <w:rPr>
          <w:rFonts w:ascii="宋体" w:hAnsi="宋体" w:eastAsia="宋体" w:cs="宋体"/>
          <w:spacing w:val="-3"/>
          <w:sz w:val="28"/>
          <w:szCs w:val="28"/>
        </w:rPr>
        <w:t>标处理。</w:t>
      </w:r>
    </w:p>
    <w:p w14:paraId="645F172E">
      <w:pPr>
        <w:spacing w:before="234" w:line="266" w:lineRule="auto"/>
        <w:ind w:left="102" w:right="215" w:firstLine="6"/>
        <w:rPr>
          <w:rFonts w:ascii="宋体" w:hAnsi="宋体" w:eastAsia="宋体" w:cs="宋体"/>
          <w:sz w:val="28"/>
          <w:szCs w:val="28"/>
        </w:rPr>
      </w:pPr>
      <w:r>
        <w:rPr>
          <w:rFonts w:ascii="宋体" w:hAnsi="宋体" w:eastAsia="宋体" w:cs="宋体"/>
          <w:spacing w:val="-2"/>
          <w:sz w:val="28"/>
          <w:szCs w:val="28"/>
        </w:rPr>
        <w:t>（3）供应商不按上述表格填写，所产生的一切后果由供应商承担。本项目不接受负偏离。</w:t>
      </w:r>
    </w:p>
    <w:p w14:paraId="09B4BE1B">
      <w:pPr>
        <w:pStyle w:val="5"/>
        <w:spacing w:line="244" w:lineRule="auto"/>
        <w:rPr>
          <w:sz w:val="28"/>
          <w:szCs w:val="28"/>
        </w:rPr>
      </w:pPr>
    </w:p>
    <w:p w14:paraId="13575A2D">
      <w:pPr>
        <w:pStyle w:val="5"/>
        <w:spacing w:line="245" w:lineRule="auto"/>
        <w:rPr>
          <w:sz w:val="28"/>
          <w:szCs w:val="28"/>
        </w:rPr>
      </w:pPr>
    </w:p>
    <w:p w14:paraId="708635FB">
      <w:pPr>
        <w:spacing w:before="91" w:line="219" w:lineRule="auto"/>
        <w:ind w:left="34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
          <w:sz w:val="28"/>
          <w:szCs w:val="28"/>
        </w:rPr>
        <w:t>）：</w:t>
      </w:r>
    </w:p>
    <w:p w14:paraId="1BDF3928">
      <w:pPr>
        <w:spacing w:before="269" w:line="221" w:lineRule="auto"/>
        <w:ind w:left="392"/>
        <w:rPr>
          <w:rFonts w:ascii="宋体" w:hAnsi="宋体" w:eastAsia="宋体" w:cs="宋体"/>
          <w:sz w:val="28"/>
          <w:szCs w:val="28"/>
        </w:rPr>
      </w:pPr>
      <w:r>
        <w:rPr>
          <w:rFonts w:ascii="宋体" w:hAnsi="宋体" w:eastAsia="宋体" w:cs="宋体"/>
          <w:spacing w:val="-20"/>
          <w:sz w:val="28"/>
          <w:szCs w:val="28"/>
        </w:rPr>
        <w:t>日期：</w:t>
      </w:r>
    </w:p>
    <w:p w14:paraId="06A4C9F7">
      <w:pPr>
        <w:spacing w:line="221" w:lineRule="auto"/>
        <w:rPr>
          <w:rFonts w:ascii="宋体" w:hAnsi="宋体" w:eastAsia="宋体" w:cs="宋体"/>
          <w:sz w:val="28"/>
          <w:szCs w:val="28"/>
        </w:rPr>
        <w:sectPr>
          <w:pgSz w:w="11900" w:h="16820"/>
          <w:pgMar w:top="1417" w:right="1665" w:bottom="0" w:left="1709" w:header="0" w:footer="0" w:gutter="0"/>
          <w:cols w:space="720" w:num="1"/>
        </w:sectPr>
      </w:pPr>
    </w:p>
    <w:p w14:paraId="53CFEC3E">
      <w:pPr>
        <w:spacing w:before="88" w:line="222" w:lineRule="auto"/>
        <w:jc w:val="center"/>
        <w:rPr>
          <w:rFonts w:ascii="宋体" w:hAnsi="宋体" w:eastAsia="宋体" w:cs="宋体"/>
          <w:sz w:val="28"/>
          <w:szCs w:val="28"/>
        </w:rPr>
      </w:pPr>
      <w:r>
        <w:rPr>
          <w:rFonts w:ascii="宋体" w:hAnsi="宋体" w:eastAsia="宋体" w:cs="宋体"/>
          <w:spacing w:val="7"/>
          <w:sz w:val="28"/>
          <w:szCs w:val="28"/>
        </w:rPr>
        <w:t>法定代表人授权书</w:t>
      </w:r>
    </w:p>
    <w:p w14:paraId="78E293D0">
      <w:pPr>
        <w:pStyle w:val="5"/>
        <w:spacing w:line="397" w:lineRule="auto"/>
        <w:rPr>
          <w:sz w:val="28"/>
          <w:szCs w:val="28"/>
        </w:rPr>
      </w:pPr>
    </w:p>
    <w:p w14:paraId="44ADC4C8">
      <w:pPr>
        <w:spacing w:before="91" w:line="221" w:lineRule="auto"/>
        <w:rPr>
          <w:rFonts w:ascii="宋体" w:hAnsi="宋体" w:eastAsia="宋体" w:cs="宋体"/>
          <w:sz w:val="28"/>
          <w:szCs w:val="28"/>
        </w:rPr>
      </w:pPr>
      <w:r>
        <w:rPr>
          <w:rFonts w:ascii="宋体" w:hAnsi="宋体" w:eastAsia="宋体" w:cs="宋体"/>
          <w:spacing w:val="-5"/>
          <w:sz w:val="28"/>
          <w:szCs w:val="28"/>
        </w:rPr>
        <w:t>致</w:t>
      </w:r>
      <w:r>
        <w:rPr>
          <w:rFonts w:hint="eastAsia" w:ascii="宋体" w:hAnsi="宋体" w:eastAsia="宋体" w:cs="宋体"/>
          <w:spacing w:val="-5"/>
          <w:sz w:val="28"/>
          <w:szCs w:val="28"/>
          <w:lang w:val="en-US" w:eastAsia="zh-CN"/>
        </w:rPr>
        <w:t xml:space="preserve">  </w:t>
      </w:r>
      <w:r>
        <w:rPr>
          <w:rFonts w:ascii="宋体" w:hAnsi="宋体" w:eastAsia="宋体" w:cs="宋体"/>
          <w:spacing w:val="-5"/>
          <w:sz w:val="28"/>
          <w:szCs w:val="28"/>
        </w:rPr>
        <w:t>：</w:t>
      </w:r>
    </w:p>
    <w:p w14:paraId="4EC1FD8A">
      <w:pPr>
        <w:spacing w:before="139" w:line="311" w:lineRule="auto"/>
        <w:ind w:left="24" w:right="13" w:firstLine="609"/>
        <w:jc w:val="both"/>
        <w:rPr>
          <w:rFonts w:ascii="宋体" w:hAnsi="宋体" w:eastAsia="宋体" w:cs="宋体"/>
          <w:sz w:val="28"/>
          <w:szCs w:val="28"/>
        </w:rPr>
      </w:pPr>
      <w:r>
        <w:rPr>
          <w:rFonts w:ascii="宋体" w:hAnsi="宋体" w:eastAsia="宋体" w:cs="宋体"/>
          <w:spacing w:val="-1"/>
          <w:sz w:val="28"/>
          <w:szCs w:val="28"/>
        </w:rPr>
        <w:t>（供应商全称）法定代表人授权（全权代表姓名）为全权代表,</w:t>
      </w:r>
      <w:r>
        <w:rPr>
          <w:rFonts w:ascii="宋体" w:hAnsi="宋体" w:eastAsia="宋体" w:cs="宋体"/>
          <w:spacing w:val="6"/>
          <w:sz w:val="28"/>
          <w:szCs w:val="28"/>
        </w:rPr>
        <w:t>参加贵处组织的项目竞价活动，全权代表我方处理竞价活</w:t>
      </w:r>
      <w:r>
        <w:rPr>
          <w:rFonts w:ascii="宋体" w:hAnsi="宋体" w:eastAsia="宋体" w:cs="宋体"/>
          <w:spacing w:val="5"/>
          <w:sz w:val="28"/>
          <w:szCs w:val="28"/>
        </w:rPr>
        <w:t>动中的一</w:t>
      </w:r>
      <w:r>
        <w:rPr>
          <w:rFonts w:ascii="宋体" w:hAnsi="宋体" w:eastAsia="宋体" w:cs="宋体"/>
          <w:spacing w:val="-3"/>
          <w:sz w:val="28"/>
          <w:szCs w:val="28"/>
        </w:rPr>
        <w:t>切事宜。</w:t>
      </w:r>
    </w:p>
    <w:p w14:paraId="1F3F8924">
      <w:pPr>
        <w:spacing w:line="219" w:lineRule="auto"/>
        <w:ind w:left="627"/>
        <w:rPr>
          <w:rFonts w:ascii="宋体" w:hAnsi="宋体" w:eastAsia="宋体" w:cs="宋体"/>
          <w:sz w:val="28"/>
          <w:szCs w:val="28"/>
        </w:rPr>
      </w:pPr>
      <w:r>
        <w:rPr>
          <w:rFonts w:ascii="宋体" w:hAnsi="宋体" w:eastAsia="宋体" w:cs="宋体"/>
          <w:spacing w:val="-2"/>
          <w:sz w:val="28"/>
          <w:szCs w:val="28"/>
        </w:rPr>
        <w:t>法定代表人签字和签章：</w:t>
      </w:r>
    </w:p>
    <w:p w14:paraId="72A68301">
      <w:pPr>
        <w:spacing w:before="138" w:line="219" w:lineRule="auto"/>
        <w:ind w:left="625"/>
        <w:rPr>
          <w:rFonts w:ascii="宋体" w:hAnsi="宋体" w:eastAsia="宋体" w:cs="宋体"/>
          <w:sz w:val="28"/>
          <w:szCs w:val="28"/>
        </w:rPr>
      </w:pPr>
      <w:r>
        <w:rPr>
          <w:rFonts w:ascii="宋体" w:hAnsi="宋体" w:eastAsia="宋体" w:cs="宋体"/>
          <w:spacing w:val="-2"/>
          <w:sz w:val="28"/>
          <w:szCs w:val="28"/>
        </w:rPr>
        <w:t>供应商签章：</w:t>
      </w:r>
    </w:p>
    <w:p w14:paraId="1C85AB96">
      <w:pPr>
        <w:spacing w:before="139" w:line="221" w:lineRule="auto"/>
        <w:ind w:left="674"/>
        <w:rPr>
          <w:rFonts w:ascii="宋体" w:hAnsi="宋体" w:eastAsia="宋体" w:cs="宋体"/>
          <w:sz w:val="28"/>
          <w:szCs w:val="28"/>
        </w:rPr>
      </w:pPr>
      <w:r>
        <w:rPr>
          <w:rFonts w:ascii="宋体" w:hAnsi="宋体" w:eastAsia="宋体" w:cs="宋体"/>
          <w:spacing w:val="-20"/>
          <w:sz w:val="28"/>
          <w:szCs w:val="28"/>
        </w:rPr>
        <w:t>日期：</w:t>
      </w:r>
    </w:p>
    <w:p w14:paraId="60C2757A">
      <w:pPr>
        <w:spacing w:before="139" w:line="219" w:lineRule="auto"/>
        <w:ind w:left="647"/>
        <w:rPr>
          <w:rFonts w:ascii="宋体" w:hAnsi="宋体" w:eastAsia="宋体" w:cs="宋体"/>
          <w:sz w:val="28"/>
          <w:szCs w:val="28"/>
        </w:rPr>
      </w:pPr>
      <w:r>
        <w:rPr>
          <w:rFonts w:ascii="宋体" w:hAnsi="宋体" w:eastAsia="宋体" w:cs="宋体"/>
          <w:spacing w:val="-16"/>
          <w:sz w:val="28"/>
          <w:szCs w:val="28"/>
        </w:rPr>
        <w:t>附：</w:t>
      </w:r>
    </w:p>
    <w:p w14:paraId="0CB6805B">
      <w:pPr>
        <w:spacing w:before="137" w:line="220" w:lineRule="auto"/>
        <w:ind w:left="625"/>
        <w:rPr>
          <w:rFonts w:ascii="宋体" w:hAnsi="宋体" w:eastAsia="宋体" w:cs="宋体"/>
          <w:sz w:val="28"/>
          <w:szCs w:val="28"/>
        </w:rPr>
      </w:pPr>
      <w:r>
        <w:rPr>
          <w:rFonts w:ascii="宋体" w:hAnsi="宋体" w:eastAsia="宋体" w:cs="宋体"/>
          <w:spacing w:val="-1"/>
          <w:sz w:val="28"/>
          <w:szCs w:val="28"/>
        </w:rPr>
        <w:t xml:space="preserve">全权代表姓名： </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职务：</w:t>
      </w:r>
    </w:p>
    <w:p w14:paraId="0A1C14A4">
      <w:pPr>
        <w:spacing w:before="140" w:line="222" w:lineRule="auto"/>
        <w:ind w:left="658"/>
        <w:rPr>
          <w:rFonts w:ascii="宋体" w:hAnsi="宋体" w:eastAsia="宋体" w:cs="宋体"/>
          <w:spacing w:val="-15"/>
          <w:sz w:val="28"/>
          <w:szCs w:val="28"/>
        </w:rPr>
      </w:pPr>
      <w:r>
        <w:rPr>
          <w:rFonts w:ascii="宋体" w:hAnsi="宋体" w:eastAsia="宋体" w:cs="宋体"/>
          <w:spacing w:val="-15"/>
          <w:sz w:val="28"/>
          <w:szCs w:val="28"/>
        </w:rPr>
        <w:t>电话：</w:t>
      </w:r>
    </w:p>
    <w:p w14:paraId="37C850B3">
      <w:pPr>
        <w:pStyle w:val="2"/>
      </w:pPr>
    </w:p>
    <w:p w14:paraId="09057B2E">
      <w:pPr>
        <w:spacing w:before="92" w:line="219" w:lineRule="auto"/>
        <w:ind w:left="671"/>
        <w:rPr>
          <w:rFonts w:ascii="宋体" w:hAnsi="宋体" w:eastAsia="宋体" w:cs="宋体"/>
          <w:spacing w:val="7"/>
          <w:sz w:val="28"/>
          <w:szCs w:val="28"/>
        </w:rPr>
      </w:pPr>
      <w:r>
        <w:rPr>
          <w:rFonts w:ascii="宋体" w:hAnsi="宋体" w:eastAsia="宋体" w:cs="宋体"/>
          <w:spacing w:val="7"/>
          <w:sz w:val="28"/>
          <w:szCs w:val="28"/>
        </w:rPr>
        <w:t>附：供应商法定代表人及全权代表人身份证：</w:t>
      </w:r>
    </w:p>
    <w:p w14:paraId="08284898">
      <w:pPr>
        <w:jc w:val="center"/>
        <w:rPr>
          <w:sz w:val="28"/>
          <w:szCs w:val="28"/>
        </w:rPr>
      </w:pPr>
      <w:r>
        <w:rPr>
          <w:rFonts w:ascii="楷体_GB2312" w:hAnsi="宋体" w:eastAsia="楷体_GB2312" w:cs="楷体_GB2312"/>
          <w:b/>
          <w:bCs/>
          <w:color w:val="000000"/>
          <w:sz w:val="28"/>
          <w:szCs w:val="28"/>
          <w:lang w:eastAsia="zh-CN"/>
        </w:rPr>
        <w:br w:type="page"/>
      </w:r>
      <w:r>
        <w:rPr>
          <w:rFonts w:ascii="仿宋" w:hAnsi="仿宋" w:eastAsia="仿宋" w:cs="仿宋"/>
          <w:b/>
          <w:bCs/>
          <w:sz w:val="28"/>
          <w:szCs w:val="28"/>
        </w:rPr>
        <w:t>承 诺 函</w:t>
      </w:r>
    </w:p>
    <w:p w14:paraId="3836FBD7">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致：</w:t>
      </w:r>
    </w:p>
    <w:p w14:paraId="794E273A">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我公司承诺参与本次投标活动中：</w:t>
      </w:r>
    </w:p>
    <w:p w14:paraId="1D36DE1B">
      <w:pPr>
        <w:spacing w:after="29" w:line="375"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1、具有履行合同所必须的设备和专业技术能力，能够完全按照采购文件要求、商务条款及响应文件中所响应的所有条款完成全部服务内容；</w:t>
      </w:r>
    </w:p>
    <w:p w14:paraId="42824C1F">
      <w:pPr>
        <w:spacing w:after="29" w:line="375" w:lineRule="auto"/>
        <w:ind w:firstLine="552" w:firstLineChars="200"/>
        <w:rPr>
          <w:rFonts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lang w:eastAsia="zh-CN"/>
        </w:rPr>
        <w:t>2、有依法缴纳税收和社会保障资金的良好记录；</w:t>
      </w:r>
    </w:p>
    <w:p w14:paraId="58469D92">
      <w:pPr>
        <w:spacing w:after="29" w:line="375" w:lineRule="auto"/>
        <w:ind w:firstLine="552" w:firstLineChars="200"/>
        <w:rPr>
          <w:rFonts w:ascii="仿宋" w:hAnsi="仿宋" w:eastAsia="仿宋" w:cs="仿宋"/>
          <w:sz w:val="28"/>
          <w:szCs w:val="28"/>
          <w:lang w:eastAsia="zh-CN"/>
        </w:rPr>
      </w:pPr>
      <w:r>
        <w:rPr>
          <w:rFonts w:hint="eastAsia" w:ascii="仿宋" w:hAnsi="仿宋" w:eastAsia="仿宋" w:cs="仿宋"/>
          <w:color w:val="000000"/>
          <w:spacing w:val="-2"/>
          <w:sz w:val="28"/>
          <w:szCs w:val="28"/>
          <w:lang w:eastAsia="zh-CN"/>
        </w:rPr>
        <w:t>3、具有良好的商业信誉和健全的财务会计制度；</w:t>
      </w:r>
    </w:p>
    <w:p w14:paraId="01A4328F">
      <w:pPr>
        <w:spacing w:line="384" w:lineRule="auto"/>
        <w:ind w:right="113"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4、参加本次采购活动前三年内,在经营活动中没有违法违规记录。</w:t>
      </w:r>
    </w:p>
    <w:p w14:paraId="1343BA76">
      <w:pPr>
        <w:spacing w:line="384" w:lineRule="auto"/>
        <w:ind w:right="113"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如我公司提供虚假信息，将承担虚假应标及违约的全部责任，并按《中华人民共和国政府采购法》、《中华人民共和国民法典》相关法律、法规规定接受处罚。</w:t>
      </w:r>
    </w:p>
    <w:p w14:paraId="388F76FC">
      <w:pPr>
        <w:keepNext w:val="0"/>
        <w:keepLines w:val="0"/>
        <w:pageBreakBefore w:val="0"/>
        <w:widowControl w:val="0"/>
        <w:kinsoku/>
        <w:wordWrap/>
        <w:overflowPunct/>
        <w:topLinePunct w:val="0"/>
        <w:autoSpaceDE/>
        <w:autoSpaceDN/>
        <w:bidi w:val="0"/>
        <w:adjustRightInd/>
        <w:snapToGrid/>
        <w:ind w:left="697"/>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特此承诺。</w:t>
      </w:r>
    </w:p>
    <w:p w14:paraId="03C25076">
      <w:pPr>
        <w:pageBreakBefore w:val="0"/>
        <w:widowControl w:val="0"/>
        <w:kinsoku/>
        <w:wordWrap/>
        <w:overflowPunct/>
        <w:topLinePunct w:val="0"/>
        <w:autoSpaceDE/>
        <w:autoSpaceDN/>
        <w:bidi w:val="0"/>
        <w:adjustRightInd/>
        <w:snapToGrid/>
        <w:ind w:left="699"/>
        <w:jc w:val="right"/>
        <w:textAlignment w:val="auto"/>
        <w:rPr>
          <w:rFonts w:hint="eastAsia" w:ascii="仿宋" w:hAnsi="仿宋" w:eastAsia="仿宋" w:cs="仿宋"/>
          <w:sz w:val="28"/>
          <w:szCs w:val="28"/>
          <w:lang w:eastAsia="zh-CN"/>
        </w:rPr>
      </w:pPr>
    </w:p>
    <w:p w14:paraId="47759C34">
      <w:pPr>
        <w:pageBreakBefore w:val="0"/>
        <w:widowControl w:val="0"/>
        <w:kinsoku/>
        <w:wordWrap/>
        <w:overflowPunct/>
        <w:topLinePunct w:val="0"/>
        <w:autoSpaceDE/>
        <w:autoSpaceDN/>
        <w:bidi w:val="0"/>
        <w:adjustRightInd/>
        <w:snapToGrid/>
        <w:jc w:val="right"/>
        <w:textAlignment w:val="auto"/>
        <w:rPr>
          <w:rFonts w:ascii="仿宋" w:hAnsi="仿宋" w:eastAsia="仿宋" w:cs="仿宋"/>
          <w:sz w:val="28"/>
          <w:szCs w:val="28"/>
          <w:lang w:eastAsia="zh-CN"/>
        </w:rPr>
      </w:pPr>
      <w:r>
        <w:rPr>
          <w:rFonts w:hint="eastAsia" w:ascii="仿宋" w:hAnsi="仿宋" w:eastAsia="仿宋" w:cs="仿宋"/>
          <w:sz w:val="28"/>
          <w:szCs w:val="28"/>
          <w:lang w:eastAsia="zh-CN"/>
        </w:rPr>
        <w:t>服务商名称（盖章）：</w:t>
      </w:r>
    </w:p>
    <w:p w14:paraId="20D20895">
      <w:pPr>
        <w:keepNext w:val="0"/>
        <w:keepLines w:val="0"/>
        <w:pageBreakBefore w:val="0"/>
        <w:widowControl w:val="0"/>
        <w:kinsoku/>
        <w:wordWrap/>
        <w:overflowPunct/>
        <w:topLinePunct w:val="0"/>
        <w:autoSpaceDE/>
        <w:autoSpaceDN/>
        <w:bidi w:val="0"/>
        <w:adjustRightInd/>
        <w:snapToGrid/>
        <w:ind w:left="697"/>
        <w:jc w:val="right"/>
        <w:textAlignment w:val="auto"/>
        <w:rPr>
          <w:rFonts w:hint="eastAsia" w:ascii="仿宋" w:hAnsi="仿宋" w:eastAsia="仿宋" w:cs="仿宋"/>
          <w:sz w:val="28"/>
          <w:szCs w:val="28"/>
          <w:lang w:eastAsia="zh-CN"/>
        </w:rPr>
      </w:pPr>
    </w:p>
    <w:p w14:paraId="32C6D7F9">
      <w:pPr>
        <w:keepNext w:val="0"/>
        <w:keepLines w:val="0"/>
        <w:pageBreakBefore w:val="0"/>
        <w:widowControl w:val="0"/>
        <w:kinsoku/>
        <w:wordWrap/>
        <w:overflowPunct/>
        <w:topLinePunct w:val="0"/>
        <w:autoSpaceDE/>
        <w:autoSpaceDN/>
        <w:bidi w:val="0"/>
        <w:adjustRightInd/>
        <w:snapToGrid/>
        <w:ind w:left="697"/>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法人代表或授权代表（签字）：</w:t>
      </w:r>
    </w:p>
    <w:p w14:paraId="4F3083FC">
      <w:pPr>
        <w:pStyle w:val="2"/>
        <w:pageBreakBefore w:val="0"/>
        <w:widowControl w:val="0"/>
        <w:kinsoku/>
        <w:wordWrap/>
        <w:overflowPunct/>
        <w:topLinePunct w:val="0"/>
        <w:autoSpaceDE/>
        <w:autoSpaceDN/>
        <w:bidi w:val="0"/>
        <w:adjustRightInd/>
        <w:snapToGrid/>
        <w:spacing w:before="0" w:after="0"/>
        <w:textAlignment w:val="auto"/>
        <w:rPr>
          <w:lang w:eastAsia="zh-CN"/>
        </w:rPr>
      </w:pPr>
    </w:p>
    <w:p w14:paraId="12FFA48F">
      <w:pPr>
        <w:keepNext w:val="0"/>
        <w:keepLines w:val="0"/>
        <w:pageBreakBefore w:val="0"/>
        <w:widowControl w:val="0"/>
        <w:kinsoku/>
        <w:wordWrap/>
        <w:overflowPunct/>
        <w:topLinePunct w:val="0"/>
        <w:autoSpaceDE/>
        <w:autoSpaceDN/>
        <w:bidi w:val="0"/>
        <w:adjustRightInd/>
        <w:snapToGrid/>
        <w:ind w:left="697"/>
        <w:jc w:val="right"/>
        <w:textAlignment w:val="auto"/>
        <w:rPr>
          <w:rFonts w:ascii="楷体_GB2312" w:hAnsi="宋体" w:eastAsia="楷体_GB2312" w:cs="楷体_GB2312"/>
          <w:b/>
          <w:bCs/>
          <w:color w:val="000000"/>
          <w:sz w:val="28"/>
          <w:szCs w:val="28"/>
          <w:lang w:eastAsia="zh-CN"/>
        </w:rPr>
      </w:pPr>
      <w:r>
        <w:rPr>
          <w:rFonts w:hint="eastAsia" w:ascii="仿宋" w:hAnsi="仿宋" w:eastAsia="仿宋" w:cs="仿宋"/>
          <w:sz w:val="28"/>
          <w:szCs w:val="28"/>
          <w:lang w:eastAsia="zh-CN"/>
        </w:rPr>
        <w:t>日期：</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年</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月</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日</w:t>
      </w:r>
    </w:p>
    <w:p w14:paraId="54DF111B">
      <w:pPr>
        <w:rPr>
          <w:rFonts w:ascii="楷体_GB2312" w:hAnsi="宋体" w:eastAsia="楷体_GB2312" w:cs="楷体_GB2312"/>
          <w:b/>
          <w:bCs/>
          <w:color w:val="000000"/>
          <w:sz w:val="32"/>
          <w:szCs w:val="32"/>
          <w:lang w:eastAsia="zh-CN"/>
        </w:rPr>
      </w:pPr>
      <w:r>
        <w:rPr>
          <w:rFonts w:ascii="楷体_GB2312" w:hAnsi="宋体" w:eastAsia="楷体_GB2312" w:cs="楷体_GB2312"/>
          <w:b/>
          <w:bCs/>
          <w:color w:val="000000"/>
          <w:sz w:val="32"/>
          <w:szCs w:val="32"/>
          <w:lang w:eastAsia="zh-CN"/>
        </w:rPr>
        <w:br w:type="page"/>
      </w:r>
    </w:p>
    <w:p w14:paraId="43F19FD1">
      <w:pPr>
        <w:jc w:val="center"/>
        <w:rPr>
          <w:sz w:val="28"/>
          <w:szCs w:val="28"/>
        </w:rPr>
      </w:pPr>
      <w:r>
        <w:rPr>
          <w:rFonts w:ascii="楷体_GB2312" w:hAnsi="宋体" w:eastAsia="楷体_GB2312" w:cs="楷体_GB2312"/>
          <w:b/>
          <w:bCs/>
          <w:color w:val="000000"/>
          <w:sz w:val="32"/>
          <w:szCs w:val="32"/>
          <w:lang w:eastAsia="zh-CN"/>
        </w:rPr>
        <w:t>现场</w:t>
      </w:r>
      <w:r>
        <w:rPr>
          <w:rFonts w:hint="eastAsia" w:ascii="楷体_GB2312" w:hAnsi="宋体" w:eastAsia="楷体_GB2312" w:cs="楷体_GB2312"/>
          <w:b/>
          <w:bCs/>
          <w:color w:val="000000"/>
          <w:sz w:val="32"/>
          <w:szCs w:val="32"/>
          <w:lang w:eastAsia="zh-CN"/>
        </w:rPr>
        <w:t>勘查</w:t>
      </w:r>
      <w:r>
        <w:rPr>
          <w:rFonts w:ascii="楷体_GB2312" w:hAnsi="宋体" w:eastAsia="楷体_GB2312" w:cs="楷体_GB2312"/>
          <w:b/>
          <w:bCs/>
          <w:color w:val="000000"/>
          <w:sz w:val="32"/>
          <w:szCs w:val="32"/>
          <w:lang w:eastAsia="zh-CN"/>
        </w:rPr>
        <w:t>证明</w:t>
      </w:r>
    </w:p>
    <w:p w14:paraId="06F42D61">
      <w:pPr>
        <w:ind w:firstLine="560" w:firstLineChars="200"/>
        <w:rPr>
          <w:rFonts w:ascii="仿宋_GB2312" w:hAnsi="宋体" w:eastAsia="仿宋_GB2312" w:cs="仿宋_GB2312"/>
          <w:color w:val="000000"/>
          <w:sz w:val="28"/>
          <w:szCs w:val="28"/>
          <w:lang w:eastAsia="zh-CN"/>
        </w:rPr>
      </w:pPr>
    </w:p>
    <w:p w14:paraId="7B79953F">
      <w:pPr>
        <w:ind w:firstLine="560" w:firstLineChars="200"/>
        <w:rPr>
          <w:sz w:val="28"/>
          <w:szCs w:val="28"/>
        </w:rPr>
      </w:pPr>
      <w:r>
        <w:rPr>
          <w:rFonts w:hint="eastAsia" w:ascii="仿宋_GB2312" w:hAnsi="宋体" w:eastAsia="仿宋_GB2312" w:cs="仿宋_GB2312"/>
          <w:color w:val="000000"/>
          <w:sz w:val="28"/>
          <w:szCs w:val="28"/>
          <w:lang w:eastAsia="zh-CN"/>
        </w:rPr>
        <w:t>兹有我单位（</w:t>
      </w:r>
      <w:r>
        <w:rPr>
          <w:rFonts w:hint="eastAsia" w:ascii="Wingdings 2" w:hAnsi="Wingdings 2" w:eastAsia="Wingdings 2" w:cs="Wingdings 2"/>
          <w:color w:val="000000"/>
          <w:sz w:val="28"/>
          <w:szCs w:val="28"/>
          <w:lang w:eastAsia="zh-CN"/>
        </w:rPr>
        <w:sym w:font="Wingdings" w:char="00A8"/>
      </w:r>
      <w:r>
        <w:rPr>
          <w:rFonts w:hint="eastAsia" w:ascii="仿宋_GB2312" w:hAnsi="宋体" w:eastAsia="仿宋_GB2312" w:cs="仿宋_GB2312"/>
          <w:color w:val="000000"/>
          <w:sz w:val="28"/>
          <w:szCs w:val="28"/>
          <w:lang w:eastAsia="zh-CN"/>
        </w:rPr>
        <w:t xml:space="preserve">法定代表人 </w:t>
      </w:r>
      <w:r>
        <w:rPr>
          <w:rFonts w:ascii="Wingdings 2" w:hAnsi="Wingdings 2" w:eastAsia="Wingdings 2" w:cs="Wingdings 2"/>
          <w:color w:val="000000"/>
          <w:sz w:val="28"/>
          <w:szCs w:val="28"/>
          <w:lang w:eastAsia="zh-CN"/>
        </w:rPr>
        <w:sym w:font="Wingdings" w:char="00A8"/>
      </w:r>
      <w:r>
        <w:rPr>
          <w:rFonts w:hint="eastAsia" w:ascii="仿宋_GB2312" w:hAnsi="宋体" w:eastAsia="仿宋_GB2312" w:cs="仿宋_GB2312"/>
          <w:color w:val="000000"/>
          <w:sz w:val="28"/>
          <w:szCs w:val="28"/>
          <w:lang w:eastAsia="zh-CN"/>
        </w:rPr>
        <w:t xml:space="preserve">委托代理人）于   年  月 日对吉安县2026年度城区文昌苑等89个住宅小区白蚁防治服务采购项目进行现场勘查，经详细了解已熟悉项目内容、采购需求及项目实施相关条件等状况。 </w:t>
      </w:r>
    </w:p>
    <w:p w14:paraId="0A9D48A4">
      <w:pPr>
        <w:jc w:val="center"/>
        <w:rPr>
          <w:sz w:val="28"/>
          <w:szCs w:val="28"/>
        </w:rPr>
      </w:pPr>
      <w:r>
        <w:rPr>
          <w:rFonts w:hint="eastAsia" w:ascii="仿宋_GB2312" w:hAnsi="宋体" w:eastAsia="仿宋_GB2312" w:cs="仿宋_GB2312"/>
          <w:color w:val="000000"/>
          <w:sz w:val="28"/>
          <w:szCs w:val="28"/>
          <w:lang w:eastAsia="zh-CN"/>
        </w:rPr>
        <w:t>特此证明！</w:t>
      </w:r>
    </w:p>
    <w:p w14:paraId="31EA79C3">
      <w:pPr>
        <w:rPr>
          <w:rFonts w:ascii="仿宋_GB2312" w:hAnsi="宋体" w:eastAsia="仿宋_GB2312" w:cs="仿宋_GB2312"/>
          <w:color w:val="000000"/>
          <w:sz w:val="28"/>
          <w:szCs w:val="28"/>
          <w:lang w:eastAsia="zh-CN"/>
        </w:rPr>
      </w:pPr>
    </w:p>
    <w:p w14:paraId="288501C9">
      <w:pPr>
        <w:rPr>
          <w:rFonts w:ascii="仿宋_GB2312" w:hAnsi="宋体" w:eastAsia="仿宋_GB2312" w:cs="仿宋_GB2312"/>
          <w:color w:val="000000"/>
          <w:sz w:val="28"/>
          <w:szCs w:val="28"/>
          <w:lang w:eastAsia="zh-CN"/>
        </w:rPr>
      </w:pPr>
    </w:p>
    <w:p w14:paraId="75EE64CC">
      <w:pPr>
        <w:rPr>
          <w:sz w:val="28"/>
          <w:szCs w:val="28"/>
        </w:rPr>
      </w:pPr>
      <w:r>
        <w:rPr>
          <w:rFonts w:hint="eastAsia" w:ascii="仿宋_GB2312" w:hAnsi="宋体" w:eastAsia="仿宋_GB2312" w:cs="仿宋_GB2312"/>
          <w:color w:val="000000"/>
          <w:sz w:val="28"/>
          <w:szCs w:val="28"/>
          <w:lang w:eastAsia="zh-CN"/>
        </w:rPr>
        <w:t xml:space="preserve">勘查单位（盖章）： </w:t>
      </w:r>
    </w:p>
    <w:p w14:paraId="78648267">
      <w:pPr>
        <w:rPr>
          <w:rFonts w:ascii="仿宋_GB2312" w:hAnsi="宋体" w:eastAsia="仿宋_GB2312" w:cs="仿宋_GB2312"/>
          <w:color w:val="000000"/>
          <w:sz w:val="28"/>
          <w:szCs w:val="28"/>
          <w:lang w:eastAsia="zh-CN"/>
        </w:rPr>
      </w:pPr>
    </w:p>
    <w:p w14:paraId="02EAA612">
      <w:pPr>
        <w:rPr>
          <w:sz w:val="28"/>
          <w:szCs w:val="28"/>
        </w:rPr>
      </w:pPr>
      <w:r>
        <w:rPr>
          <w:rFonts w:hint="eastAsia" w:ascii="仿宋_GB2312" w:hAnsi="宋体" w:eastAsia="仿宋_GB2312" w:cs="仿宋_GB2312"/>
          <w:color w:val="000000"/>
          <w:sz w:val="28"/>
          <w:szCs w:val="28"/>
          <w:lang w:eastAsia="zh-CN"/>
        </w:rPr>
        <w:t xml:space="preserve">现场勘查人（签字）： </w:t>
      </w:r>
    </w:p>
    <w:p w14:paraId="686DD80F">
      <w:pPr>
        <w:rPr>
          <w:rFonts w:ascii="仿宋_GB2312" w:hAnsi="宋体" w:eastAsia="仿宋_GB2312" w:cs="仿宋_GB2312"/>
          <w:color w:val="000000"/>
          <w:sz w:val="28"/>
          <w:szCs w:val="28"/>
          <w:lang w:eastAsia="zh-CN"/>
        </w:rPr>
      </w:pPr>
    </w:p>
    <w:p w14:paraId="3A028FFE">
      <w:pPr>
        <w:rPr>
          <w:sz w:val="28"/>
          <w:szCs w:val="28"/>
        </w:rPr>
      </w:pPr>
      <w:r>
        <w:rPr>
          <w:rFonts w:hint="eastAsia" w:ascii="仿宋_GB2312" w:hAnsi="宋体" w:eastAsia="仿宋_GB2312" w:cs="仿宋_GB2312"/>
          <w:color w:val="000000"/>
          <w:sz w:val="28"/>
          <w:szCs w:val="28"/>
          <w:lang w:eastAsia="zh-CN"/>
        </w:rPr>
        <w:t xml:space="preserve">联系电话： </w:t>
      </w:r>
    </w:p>
    <w:p w14:paraId="2E662C69">
      <w:pPr>
        <w:rPr>
          <w:rFonts w:ascii="仿宋_GB2312" w:hAnsi="宋体" w:eastAsia="仿宋_GB2312" w:cs="仿宋_GB2312"/>
          <w:color w:val="000000"/>
          <w:sz w:val="28"/>
          <w:szCs w:val="28"/>
          <w:lang w:eastAsia="zh-CN"/>
        </w:rPr>
      </w:pPr>
    </w:p>
    <w:p w14:paraId="115F665F">
      <w:pPr>
        <w:rPr>
          <w:sz w:val="28"/>
          <w:szCs w:val="28"/>
        </w:rPr>
      </w:pPr>
      <w:r>
        <w:rPr>
          <w:rFonts w:hint="eastAsia" w:ascii="仿宋_GB2312" w:hAnsi="宋体" w:eastAsia="仿宋_GB2312" w:cs="仿宋_GB2312"/>
          <w:color w:val="000000"/>
          <w:sz w:val="28"/>
          <w:szCs w:val="28"/>
          <w:lang w:eastAsia="zh-CN"/>
        </w:rPr>
        <w:t xml:space="preserve">日期： </w:t>
      </w:r>
    </w:p>
    <w:p w14:paraId="73F5694F">
      <w:pPr>
        <w:rPr>
          <w:rFonts w:ascii="仿宋_GB2312" w:hAnsi="宋体" w:eastAsia="仿宋_GB2312" w:cs="仿宋_GB2312"/>
          <w:color w:val="000000"/>
          <w:sz w:val="28"/>
          <w:szCs w:val="28"/>
          <w:lang w:eastAsia="zh-CN"/>
        </w:rPr>
      </w:pPr>
    </w:p>
    <w:p w14:paraId="471CDFBB">
      <w:pPr>
        <w:rPr>
          <w:rFonts w:ascii="仿宋_GB2312" w:hAnsi="宋体" w:eastAsia="仿宋_GB2312" w:cs="仿宋_GB2312"/>
          <w:color w:val="000000"/>
          <w:sz w:val="28"/>
          <w:szCs w:val="28"/>
          <w:lang w:eastAsia="zh-CN"/>
        </w:rPr>
      </w:pPr>
    </w:p>
    <w:p w14:paraId="7A485CEB">
      <w:pPr>
        <w:rPr>
          <w:rFonts w:ascii="仿宋_GB2312" w:hAnsi="宋体" w:eastAsia="仿宋_GB2312" w:cs="仿宋_GB2312"/>
          <w:color w:val="000000"/>
          <w:sz w:val="28"/>
          <w:szCs w:val="28"/>
          <w:lang w:eastAsia="zh-CN"/>
        </w:rPr>
      </w:pPr>
    </w:p>
    <w:p w14:paraId="50B20BAE">
      <w:pPr>
        <w:rPr>
          <w:sz w:val="28"/>
          <w:szCs w:val="28"/>
        </w:rPr>
      </w:pPr>
      <w:r>
        <w:rPr>
          <w:rFonts w:hint="eastAsia" w:ascii="仿宋_GB2312" w:hAnsi="宋体" w:eastAsia="仿宋_GB2312" w:cs="仿宋_GB2312"/>
          <w:color w:val="000000"/>
          <w:sz w:val="28"/>
          <w:szCs w:val="28"/>
          <w:lang w:eastAsia="zh-CN"/>
        </w:rPr>
        <w:t xml:space="preserve">业主单位（盖章）： </w:t>
      </w:r>
    </w:p>
    <w:p w14:paraId="487725C7">
      <w:pPr>
        <w:rPr>
          <w:rFonts w:ascii="仿宋_GB2312" w:hAnsi="宋体" w:eastAsia="仿宋_GB2312" w:cs="仿宋_GB2312"/>
          <w:color w:val="000000"/>
          <w:sz w:val="28"/>
          <w:szCs w:val="28"/>
          <w:lang w:eastAsia="zh-CN"/>
        </w:rPr>
      </w:pPr>
    </w:p>
    <w:p w14:paraId="297B203E">
      <w:pPr>
        <w:rPr>
          <w:rFonts w:hint="default"/>
          <w:sz w:val="28"/>
          <w:szCs w:val="28"/>
          <w:lang w:val="en-US" w:eastAsia="zh-CN"/>
        </w:rPr>
      </w:pPr>
      <w:r>
        <w:rPr>
          <w:rFonts w:hint="eastAsia" w:ascii="仿宋_GB2312" w:hAnsi="宋体" w:eastAsia="仿宋_GB2312" w:cs="仿宋_GB2312"/>
          <w:color w:val="000000"/>
          <w:sz w:val="28"/>
          <w:szCs w:val="28"/>
          <w:lang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7B92C"/>
    <w:multiLevelType w:val="singleLevel"/>
    <w:tmpl w:val="8BF7B9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E4C4F"/>
    <w:rsid w:val="00BE32F3"/>
    <w:rsid w:val="04730898"/>
    <w:rsid w:val="06167EA8"/>
    <w:rsid w:val="062A31D9"/>
    <w:rsid w:val="066E7569"/>
    <w:rsid w:val="0687687D"/>
    <w:rsid w:val="0A24550B"/>
    <w:rsid w:val="0EB21FBD"/>
    <w:rsid w:val="121F3E0E"/>
    <w:rsid w:val="13280AA0"/>
    <w:rsid w:val="139B2C71"/>
    <w:rsid w:val="13BB7B66"/>
    <w:rsid w:val="165B550C"/>
    <w:rsid w:val="16777D74"/>
    <w:rsid w:val="17885FB1"/>
    <w:rsid w:val="17977680"/>
    <w:rsid w:val="17FF4BF3"/>
    <w:rsid w:val="1AE45BF4"/>
    <w:rsid w:val="1B216501"/>
    <w:rsid w:val="1BD87507"/>
    <w:rsid w:val="1BF0006A"/>
    <w:rsid w:val="1C166281"/>
    <w:rsid w:val="1E470974"/>
    <w:rsid w:val="22230DB0"/>
    <w:rsid w:val="22E5075C"/>
    <w:rsid w:val="258F1457"/>
    <w:rsid w:val="264B2FCC"/>
    <w:rsid w:val="26926505"/>
    <w:rsid w:val="26E825C8"/>
    <w:rsid w:val="27AC5CEC"/>
    <w:rsid w:val="29E4176D"/>
    <w:rsid w:val="2C536736"/>
    <w:rsid w:val="2C974875"/>
    <w:rsid w:val="2CCB6C14"/>
    <w:rsid w:val="2DCA6ECC"/>
    <w:rsid w:val="31264419"/>
    <w:rsid w:val="322070BA"/>
    <w:rsid w:val="33FD3B57"/>
    <w:rsid w:val="34831B82"/>
    <w:rsid w:val="366A4DA8"/>
    <w:rsid w:val="36B97ADD"/>
    <w:rsid w:val="380A4A95"/>
    <w:rsid w:val="38C5276A"/>
    <w:rsid w:val="391A60AE"/>
    <w:rsid w:val="39692405"/>
    <w:rsid w:val="3A53023B"/>
    <w:rsid w:val="3ED656D0"/>
    <w:rsid w:val="40F55BB6"/>
    <w:rsid w:val="410302D3"/>
    <w:rsid w:val="41DD28D2"/>
    <w:rsid w:val="44E4666D"/>
    <w:rsid w:val="454F3AE7"/>
    <w:rsid w:val="475278BE"/>
    <w:rsid w:val="483671E0"/>
    <w:rsid w:val="48C60564"/>
    <w:rsid w:val="496B4C67"/>
    <w:rsid w:val="4DBF37D4"/>
    <w:rsid w:val="4DF571F5"/>
    <w:rsid w:val="4EA2737D"/>
    <w:rsid w:val="4F4B4081"/>
    <w:rsid w:val="4FA54AB6"/>
    <w:rsid w:val="50EF2622"/>
    <w:rsid w:val="516E3547"/>
    <w:rsid w:val="517D52EA"/>
    <w:rsid w:val="51F31C9E"/>
    <w:rsid w:val="530C3017"/>
    <w:rsid w:val="57BD5228"/>
    <w:rsid w:val="59142C25"/>
    <w:rsid w:val="5C5D48E3"/>
    <w:rsid w:val="5C62639E"/>
    <w:rsid w:val="5D32786B"/>
    <w:rsid w:val="5EC87B01"/>
    <w:rsid w:val="605B738C"/>
    <w:rsid w:val="60BD28D4"/>
    <w:rsid w:val="618E553F"/>
    <w:rsid w:val="64833FCA"/>
    <w:rsid w:val="65705687"/>
    <w:rsid w:val="65F71905"/>
    <w:rsid w:val="671958AB"/>
    <w:rsid w:val="673821D5"/>
    <w:rsid w:val="673929D0"/>
    <w:rsid w:val="67FC1454"/>
    <w:rsid w:val="692844CB"/>
    <w:rsid w:val="6AFF4E00"/>
    <w:rsid w:val="6BD97AFD"/>
    <w:rsid w:val="6D2465DD"/>
    <w:rsid w:val="6D655CEE"/>
    <w:rsid w:val="6DB36A59"/>
    <w:rsid w:val="6E095305"/>
    <w:rsid w:val="6EA6002D"/>
    <w:rsid w:val="71C84E11"/>
    <w:rsid w:val="71D60F68"/>
    <w:rsid w:val="71E74F23"/>
    <w:rsid w:val="73522870"/>
    <w:rsid w:val="73AE4C4F"/>
    <w:rsid w:val="741E09A4"/>
    <w:rsid w:val="7B767318"/>
    <w:rsid w:val="7BF30969"/>
    <w:rsid w:val="7D722D98"/>
    <w:rsid w:val="7F9B559F"/>
    <w:rsid w:val="7FFC2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
    <w:pPr>
      <w:keepNext/>
      <w:keepLines/>
      <w:spacing w:after="3" w:line="265" w:lineRule="auto"/>
      <w:ind w:left="701" w:hanging="10"/>
      <w:outlineLvl w:val="0"/>
    </w:pPr>
    <w:rPr>
      <w:rFonts w:ascii="黑体" w:hAnsi="黑体" w:eastAsia="黑体" w:cs="黑体"/>
      <w:color w:val="000000"/>
      <w:kern w:val="2"/>
      <w:sz w:val="28"/>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b/>
      <w:bCs/>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8"/>
      <w:szCs w:val="2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8153</Words>
  <Characters>9222</Characters>
  <Lines>0</Lines>
  <Paragraphs>0</Paragraphs>
  <TotalTime>5</TotalTime>
  <ScaleCrop>false</ScaleCrop>
  <LinksUpToDate>false</LinksUpToDate>
  <CharactersWithSpaces>9625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2026-04-24T03:33:00Z</dcterms:created>
  <dc:creator>ZC</dc:creator>
  <cp:lastModifiedBy>芳</cp:lastModifiedBy>
  <dcterms:modified xsi:type="dcterms:W3CDTF">2026-05-09T07:21:43Z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041FB5F2B4424AC5B71593DE232E3AC5_11</vt:lpwstr>
  </property>
  <property fmtid="{D5CDD505-2E9C-101B-9397-08002B2CF9AE}" pid="4" name="KSOTemplateDocerSaveRecord">
    <vt:lpwstr>eyJoZGlkIjoiZDcwMmE5YjJkZDdkY2IyZjYwMzhiOGFhZGFkNDU1NDQiLCJ1c2VySWQiOiI5MTA3NTc2MjcifQ==</vt:lpwstr>
  </property>
</Properties>
</file>