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0F75">
      <w:pPr>
        <w:pStyle w:val="2"/>
        <w:numPr>
          <w:numId w:val="0"/>
        </w:numPr>
        <w:bidi w:val="0"/>
        <w:spacing w:line="240" w:lineRule="auto"/>
        <w:jc w:val="center"/>
        <w:rPr>
          <w:rFonts w:hint="eastAsia"/>
        </w:rPr>
      </w:pPr>
      <w:bookmarkStart w:id="0" w:name="_Toc882"/>
      <w:r>
        <w:rPr>
          <w:rFonts w:hint="eastAsia" w:ascii="微软雅黑" w:hAnsi="微软雅黑" w:eastAsia="微软雅黑" w:cs="微软雅黑"/>
          <w:b/>
          <w:sz w:val="24"/>
          <w:szCs w:val="24"/>
          <w:highlight w:val="none"/>
          <w:lang w:val="en-US" w:eastAsia="en-US"/>
        </w:rPr>
        <w:t>铅山县城202</w:t>
      </w:r>
      <w:r>
        <w:rPr>
          <w:rFonts w:hint="eastAsia" w:ascii="微软雅黑" w:hAnsi="微软雅黑" w:eastAsia="微软雅黑" w:cs="微软雅黑"/>
          <w:b/>
          <w:sz w:val="24"/>
          <w:szCs w:val="24"/>
          <w:highlight w:val="none"/>
          <w:lang w:val="en-US" w:eastAsia="zh-CN"/>
        </w:rPr>
        <w:t>6</w:t>
      </w:r>
      <w:r>
        <w:rPr>
          <w:rFonts w:hint="eastAsia" w:ascii="微软雅黑" w:hAnsi="微软雅黑" w:eastAsia="微软雅黑" w:cs="微软雅黑"/>
          <w:b/>
          <w:sz w:val="24"/>
          <w:szCs w:val="24"/>
          <w:highlight w:val="none"/>
          <w:lang w:val="en-US" w:eastAsia="en-US"/>
        </w:rPr>
        <w:t>年病媒生物防制服务项目</w:t>
      </w:r>
      <w:r>
        <w:rPr>
          <w:rFonts w:hint="eastAsia" w:ascii="微软雅黑" w:hAnsi="微软雅黑" w:eastAsia="微软雅黑" w:cs="微软雅黑"/>
          <w:b/>
          <w:sz w:val="24"/>
          <w:szCs w:val="24"/>
          <w:highlight w:val="none"/>
          <w:lang w:val="en-US" w:eastAsia="zh-CN"/>
        </w:rPr>
        <w:t>采购要</w:t>
      </w:r>
      <w:r>
        <w:rPr>
          <w:rFonts w:hint="eastAsia" w:ascii="微软雅黑" w:hAnsi="微软雅黑" w:eastAsia="微软雅黑" w:cs="微软雅黑"/>
          <w:b/>
          <w:sz w:val="24"/>
          <w:szCs w:val="24"/>
          <w:highlight w:val="none"/>
        </w:rPr>
        <w:t>求</w:t>
      </w:r>
      <w:bookmarkEnd w:id="0"/>
      <w:bookmarkStart w:id="6" w:name="_GoBack"/>
      <w:bookmarkEnd w:id="6"/>
      <w:r>
        <w:rPr>
          <w:rFonts w:hint="eastAsia" w:ascii="微软雅黑" w:hAnsi="微软雅黑" w:eastAsia="微软雅黑" w:cs="微软雅黑"/>
          <w:b/>
          <w:sz w:val="24"/>
          <w:szCs w:val="24"/>
          <w:highlight w:val="none"/>
          <w:lang w:val="en-US" w:eastAsia="zh-CN"/>
        </w:rPr>
        <w:t>及商务要求</w:t>
      </w:r>
    </w:p>
    <w:p w14:paraId="72FA36DF">
      <w:pPr>
        <w:numPr>
          <w:ilvl w:val="0"/>
          <w:numId w:val="1"/>
        </w:numPr>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清单</w:t>
      </w:r>
    </w:p>
    <w:tbl>
      <w:tblPr>
        <w:tblStyle w:val="9"/>
        <w:tblW w:w="49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8"/>
        <w:gridCol w:w="5402"/>
        <w:gridCol w:w="1780"/>
      </w:tblGrid>
      <w:tr w14:paraId="618A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63" w:type="pct"/>
            <w:tcBorders>
              <w:top w:val="single" w:color="000000" w:sz="2" w:space="0"/>
              <w:left w:val="single" w:color="000000" w:sz="2" w:space="0"/>
              <w:right w:val="single" w:color="000000" w:sz="2" w:space="0"/>
            </w:tcBorders>
            <w:vAlign w:val="top"/>
          </w:tcPr>
          <w:p w14:paraId="579A38E7">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序号</w:t>
            </w:r>
          </w:p>
        </w:tc>
        <w:tc>
          <w:tcPr>
            <w:tcW w:w="3261" w:type="pct"/>
            <w:tcBorders>
              <w:top w:val="single" w:color="000000" w:sz="2" w:space="0"/>
              <w:left w:val="single" w:color="000000" w:sz="2" w:space="0"/>
            </w:tcBorders>
            <w:vAlign w:val="top"/>
          </w:tcPr>
          <w:p w14:paraId="2C3243BF">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费用名称</w:t>
            </w:r>
          </w:p>
        </w:tc>
        <w:tc>
          <w:tcPr>
            <w:tcW w:w="1074" w:type="pct"/>
            <w:tcBorders>
              <w:top w:val="single" w:color="000000" w:sz="2" w:space="0"/>
              <w:right w:val="single" w:color="000000" w:sz="2" w:space="0"/>
            </w:tcBorders>
            <w:vAlign w:val="top"/>
          </w:tcPr>
          <w:p w14:paraId="62A1C021">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数量</w:t>
            </w:r>
          </w:p>
        </w:tc>
      </w:tr>
      <w:tr w14:paraId="02DAC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63" w:type="pct"/>
            <w:tcBorders>
              <w:left w:val="single" w:color="000000" w:sz="2" w:space="0"/>
              <w:right w:val="single" w:color="000000" w:sz="2" w:space="0"/>
            </w:tcBorders>
            <w:vAlign w:val="center"/>
          </w:tcPr>
          <w:p w14:paraId="07301074">
            <w:pPr>
              <w:pStyle w:val="10"/>
              <w:spacing w:before="152" w:line="172" w:lineRule="auto"/>
              <w:ind w:firstLine="672" w:firstLineChars="300"/>
              <w:jc w:val="both"/>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w:t>
            </w:r>
          </w:p>
        </w:tc>
        <w:tc>
          <w:tcPr>
            <w:tcW w:w="3261" w:type="pct"/>
            <w:tcBorders>
              <w:left w:val="single" w:color="000000" w:sz="2" w:space="0"/>
            </w:tcBorders>
            <w:vAlign w:val="center"/>
          </w:tcPr>
          <w:p w14:paraId="4440E467">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溴敌隆毒饵</w:t>
            </w:r>
          </w:p>
        </w:tc>
        <w:tc>
          <w:tcPr>
            <w:tcW w:w="1074" w:type="pct"/>
            <w:tcBorders>
              <w:right w:val="single" w:color="000000" w:sz="2" w:space="0"/>
            </w:tcBorders>
            <w:vAlign w:val="center"/>
          </w:tcPr>
          <w:p w14:paraId="6BE72114">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1394KG</w:t>
            </w:r>
          </w:p>
        </w:tc>
      </w:tr>
      <w:tr w14:paraId="4244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663" w:type="pct"/>
            <w:tcBorders>
              <w:left w:val="single" w:color="000000" w:sz="2" w:space="0"/>
              <w:right w:val="single" w:color="000000" w:sz="2" w:space="0"/>
            </w:tcBorders>
            <w:vAlign w:val="center"/>
          </w:tcPr>
          <w:p w14:paraId="68545DAD">
            <w:pPr>
              <w:pStyle w:val="10"/>
              <w:spacing w:before="152" w:line="172" w:lineRule="auto"/>
              <w:ind w:firstLine="672" w:firstLineChars="300"/>
              <w:jc w:val="both"/>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2</w:t>
            </w:r>
          </w:p>
        </w:tc>
        <w:tc>
          <w:tcPr>
            <w:tcW w:w="3261" w:type="pct"/>
            <w:tcBorders>
              <w:left w:val="single" w:color="000000" w:sz="2" w:space="0"/>
            </w:tcBorders>
            <w:vAlign w:val="center"/>
          </w:tcPr>
          <w:p w14:paraId="04105DC9">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氯菊.四氟醚</w:t>
            </w:r>
          </w:p>
        </w:tc>
        <w:tc>
          <w:tcPr>
            <w:tcW w:w="1074" w:type="pct"/>
            <w:tcBorders>
              <w:right w:val="single" w:color="000000" w:sz="2" w:space="0"/>
            </w:tcBorders>
            <w:vAlign w:val="center"/>
          </w:tcPr>
          <w:p w14:paraId="3038BFBE">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284KG</w:t>
            </w:r>
          </w:p>
        </w:tc>
      </w:tr>
      <w:tr w14:paraId="5C60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4B385A5B">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3</w:t>
            </w:r>
          </w:p>
        </w:tc>
        <w:tc>
          <w:tcPr>
            <w:tcW w:w="3261" w:type="pct"/>
            <w:tcBorders>
              <w:left w:val="single" w:color="000000" w:sz="2" w:space="0"/>
            </w:tcBorders>
            <w:vAlign w:val="center"/>
          </w:tcPr>
          <w:p w14:paraId="5E30D092">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高氯.残杀威</w:t>
            </w:r>
          </w:p>
        </w:tc>
        <w:tc>
          <w:tcPr>
            <w:tcW w:w="1074" w:type="pct"/>
            <w:tcBorders>
              <w:right w:val="single" w:color="000000" w:sz="2" w:space="0"/>
            </w:tcBorders>
            <w:vAlign w:val="center"/>
          </w:tcPr>
          <w:p w14:paraId="2BF784D5">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310KG</w:t>
            </w:r>
          </w:p>
        </w:tc>
      </w:tr>
      <w:tr w14:paraId="59CB0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78452CFD">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4</w:t>
            </w:r>
          </w:p>
        </w:tc>
        <w:tc>
          <w:tcPr>
            <w:tcW w:w="3261" w:type="pct"/>
            <w:tcBorders>
              <w:left w:val="single" w:color="000000" w:sz="2" w:space="0"/>
            </w:tcBorders>
            <w:vAlign w:val="center"/>
          </w:tcPr>
          <w:p w14:paraId="552EE600">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吡丙醚杀虫颗粒剂</w:t>
            </w:r>
          </w:p>
        </w:tc>
        <w:tc>
          <w:tcPr>
            <w:tcW w:w="1074" w:type="pct"/>
            <w:tcBorders>
              <w:right w:val="single" w:color="000000" w:sz="2" w:space="0"/>
            </w:tcBorders>
            <w:vAlign w:val="center"/>
          </w:tcPr>
          <w:p w14:paraId="7277A61E">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100KG</w:t>
            </w:r>
          </w:p>
        </w:tc>
      </w:tr>
      <w:tr w14:paraId="32B5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76C28263">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5</w:t>
            </w:r>
          </w:p>
        </w:tc>
        <w:tc>
          <w:tcPr>
            <w:tcW w:w="3261" w:type="pct"/>
            <w:tcBorders>
              <w:left w:val="single" w:color="000000" w:sz="2" w:space="0"/>
            </w:tcBorders>
            <w:vAlign w:val="center"/>
          </w:tcPr>
          <w:p w14:paraId="40D39CCA">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2.15%吡虫啉饵剂</w:t>
            </w:r>
          </w:p>
        </w:tc>
        <w:tc>
          <w:tcPr>
            <w:tcW w:w="1074" w:type="pct"/>
            <w:tcBorders>
              <w:right w:val="single" w:color="000000" w:sz="2" w:space="0"/>
            </w:tcBorders>
            <w:vAlign w:val="center"/>
          </w:tcPr>
          <w:p w14:paraId="3B0D1B74">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310KG</w:t>
            </w:r>
          </w:p>
        </w:tc>
      </w:tr>
      <w:tr w14:paraId="2B502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6F7F85AF">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6</w:t>
            </w:r>
          </w:p>
        </w:tc>
        <w:tc>
          <w:tcPr>
            <w:tcW w:w="3261" w:type="pct"/>
            <w:tcBorders>
              <w:left w:val="single" w:color="000000" w:sz="2" w:space="0"/>
            </w:tcBorders>
            <w:vAlign w:val="center"/>
          </w:tcPr>
          <w:p w14:paraId="238A71B4">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公共设施维护费</w:t>
            </w:r>
          </w:p>
        </w:tc>
        <w:tc>
          <w:tcPr>
            <w:tcW w:w="1074" w:type="pct"/>
            <w:tcBorders>
              <w:right w:val="single" w:color="000000" w:sz="2" w:space="0"/>
            </w:tcBorders>
            <w:vAlign w:val="center"/>
          </w:tcPr>
          <w:p w14:paraId="191342BC">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1年</w:t>
            </w:r>
          </w:p>
        </w:tc>
      </w:tr>
      <w:tr w14:paraId="2C6A9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018FC599">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7</w:t>
            </w:r>
          </w:p>
        </w:tc>
        <w:tc>
          <w:tcPr>
            <w:tcW w:w="3261" w:type="pct"/>
            <w:tcBorders>
              <w:left w:val="single" w:color="000000" w:sz="2" w:space="0"/>
            </w:tcBorders>
            <w:vAlign w:val="center"/>
          </w:tcPr>
          <w:p w14:paraId="173D55A1">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专业技术服务费</w:t>
            </w:r>
          </w:p>
        </w:tc>
        <w:tc>
          <w:tcPr>
            <w:tcW w:w="1074" w:type="pct"/>
            <w:tcBorders>
              <w:right w:val="single" w:color="000000" w:sz="2" w:space="0"/>
            </w:tcBorders>
            <w:vAlign w:val="center"/>
          </w:tcPr>
          <w:p w14:paraId="3BE33F02">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1年</w:t>
            </w:r>
          </w:p>
        </w:tc>
      </w:tr>
      <w:tr w14:paraId="7F1A4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34F04271">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8</w:t>
            </w:r>
          </w:p>
        </w:tc>
        <w:tc>
          <w:tcPr>
            <w:tcW w:w="3261" w:type="pct"/>
            <w:tcBorders>
              <w:left w:val="single" w:color="000000" w:sz="2" w:space="0"/>
            </w:tcBorders>
            <w:vAlign w:val="center"/>
          </w:tcPr>
          <w:p w14:paraId="50836A64">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项目经理</w:t>
            </w:r>
          </w:p>
        </w:tc>
        <w:tc>
          <w:tcPr>
            <w:tcW w:w="1074" w:type="pct"/>
            <w:tcBorders>
              <w:right w:val="single" w:color="000000" w:sz="2" w:space="0"/>
            </w:tcBorders>
            <w:vAlign w:val="center"/>
          </w:tcPr>
          <w:p w14:paraId="47F90815">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1年</w:t>
            </w:r>
          </w:p>
        </w:tc>
      </w:tr>
      <w:tr w14:paraId="7DB3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1035BD0B">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9</w:t>
            </w:r>
          </w:p>
        </w:tc>
        <w:tc>
          <w:tcPr>
            <w:tcW w:w="3261" w:type="pct"/>
            <w:tcBorders>
              <w:left w:val="single" w:color="000000" w:sz="2" w:space="0"/>
            </w:tcBorders>
            <w:vAlign w:val="center"/>
          </w:tcPr>
          <w:p w14:paraId="45DFD6C5">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项目技术负责人</w:t>
            </w:r>
          </w:p>
        </w:tc>
        <w:tc>
          <w:tcPr>
            <w:tcW w:w="1074" w:type="pct"/>
            <w:tcBorders>
              <w:right w:val="single" w:color="000000" w:sz="2" w:space="0"/>
            </w:tcBorders>
            <w:vAlign w:val="center"/>
          </w:tcPr>
          <w:p w14:paraId="1F067448">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1年</w:t>
            </w:r>
          </w:p>
        </w:tc>
      </w:tr>
      <w:tr w14:paraId="1745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3" w:type="pct"/>
            <w:tcBorders>
              <w:left w:val="single" w:color="000000" w:sz="2" w:space="0"/>
              <w:right w:val="single" w:color="000000" w:sz="2" w:space="0"/>
            </w:tcBorders>
            <w:vAlign w:val="center"/>
          </w:tcPr>
          <w:p w14:paraId="32B3B9FA">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10</w:t>
            </w:r>
          </w:p>
        </w:tc>
        <w:tc>
          <w:tcPr>
            <w:tcW w:w="3261" w:type="pct"/>
            <w:tcBorders>
              <w:left w:val="single" w:color="000000" w:sz="2" w:space="0"/>
            </w:tcBorders>
            <w:vAlign w:val="center"/>
          </w:tcPr>
          <w:p w14:paraId="7BB20A85">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施工员</w:t>
            </w:r>
          </w:p>
        </w:tc>
        <w:tc>
          <w:tcPr>
            <w:tcW w:w="1074" w:type="pct"/>
            <w:tcBorders>
              <w:right w:val="single" w:color="000000" w:sz="2" w:space="0"/>
            </w:tcBorders>
            <w:vAlign w:val="center"/>
          </w:tcPr>
          <w:p w14:paraId="3B1CDBD4">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4人/年</w:t>
            </w:r>
          </w:p>
        </w:tc>
      </w:tr>
      <w:tr w14:paraId="43C44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63" w:type="pct"/>
            <w:tcBorders>
              <w:left w:val="single" w:color="000000" w:sz="2" w:space="0"/>
              <w:right w:val="single" w:color="000000" w:sz="2" w:space="0"/>
            </w:tcBorders>
            <w:vAlign w:val="center"/>
          </w:tcPr>
          <w:p w14:paraId="5D4F9E4E">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11</w:t>
            </w:r>
          </w:p>
        </w:tc>
        <w:tc>
          <w:tcPr>
            <w:tcW w:w="3261" w:type="pct"/>
            <w:tcBorders>
              <w:left w:val="single" w:color="000000" w:sz="2" w:space="0"/>
            </w:tcBorders>
            <w:vAlign w:val="center"/>
          </w:tcPr>
          <w:p w14:paraId="242FA9E6">
            <w:pPr>
              <w:keepNext w:val="0"/>
              <w:keepLines w:val="0"/>
              <w:widowControl/>
              <w:suppressLineNumbers w:val="0"/>
              <w:jc w:val="left"/>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运输费</w:t>
            </w:r>
          </w:p>
        </w:tc>
        <w:tc>
          <w:tcPr>
            <w:tcW w:w="1074" w:type="pct"/>
            <w:tcBorders>
              <w:right w:val="single" w:color="000000" w:sz="2" w:space="0"/>
            </w:tcBorders>
            <w:vAlign w:val="center"/>
          </w:tcPr>
          <w:p w14:paraId="1741D958">
            <w:pPr>
              <w:keepNext w:val="0"/>
              <w:keepLines w:val="0"/>
              <w:widowControl/>
              <w:suppressLineNumbers w:val="0"/>
              <w:jc w:val="center"/>
              <w:textAlignment w:val="center"/>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1年</w:t>
            </w:r>
          </w:p>
        </w:tc>
      </w:tr>
    </w:tbl>
    <w:p w14:paraId="68783EFF">
      <w:pPr>
        <w:numPr>
          <w:ilvl w:val="0"/>
          <w:numId w:val="0"/>
        </w:numPr>
        <w:rPr>
          <w:rFonts w:hint="default" w:ascii="微软雅黑" w:hAnsi="微软雅黑" w:eastAsia="微软雅黑" w:cs="微软雅黑"/>
          <w:b/>
          <w:sz w:val="24"/>
          <w:szCs w:val="24"/>
          <w:highlight w:val="none"/>
          <w:lang w:val="en-US" w:eastAsia="zh-CN"/>
        </w:rPr>
      </w:pPr>
    </w:p>
    <w:p w14:paraId="127586EE">
      <w:pPr>
        <w:pStyle w:val="3"/>
        <w:numPr>
          <w:ilvl w:val="0"/>
          <w:numId w:val="1"/>
        </w:numPr>
        <w:bidi w:val="0"/>
        <w:spacing w:line="240" w:lineRule="auto"/>
        <w:ind w:left="0" w:leftChars="0" w:firstLine="0" w:firstLineChars="0"/>
        <w:rPr>
          <w:rFonts w:hint="eastAsia" w:ascii="宋体" w:hAnsi="宋体" w:eastAsia="宋体" w:cs="宋体"/>
          <w:b/>
          <w:bCs/>
          <w:snapToGrid w:val="0"/>
          <w:color w:val="000000"/>
          <w:spacing w:val="-8"/>
          <w:kern w:val="0"/>
          <w:sz w:val="24"/>
          <w:szCs w:val="24"/>
          <w:lang w:val="en-US" w:eastAsia="en-US" w:bidi="ar-SA"/>
        </w:rPr>
      </w:pPr>
      <w:bookmarkStart w:id="1" w:name="_Toc24762"/>
      <w:r>
        <w:rPr>
          <w:rFonts w:hint="eastAsia" w:ascii="宋体" w:hAnsi="宋体" w:eastAsia="宋体" w:cs="宋体"/>
          <w:b/>
          <w:bCs/>
          <w:snapToGrid w:val="0"/>
          <w:color w:val="000000"/>
          <w:spacing w:val="-8"/>
          <w:kern w:val="0"/>
          <w:sz w:val="24"/>
          <w:szCs w:val="24"/>
          <w:lang w:val="en-US" w:eastAsia="en-US" w:bidi="ar-SA"/>
        </w:rPr>
        <w:t>服务需求</w:t>
      </w:r>
      <w:bookmarkEnd w:id="1"/>
    </w:p>
    <w:p w14:paraId="38A97D97">
      <w:pPr>
        <w:pStyle w:val="3"/>
        <w:numPr>
          <w:ilvl w:val="0"/>
          <w:numId w:val="0"/>
        </w:numPr>
        <w:bidi w:val="0"/>
        <w:spacing w:line="240" w:lineRule="auto"/>
        <w:ind w:leftChars="0"/>
        <w:rPr>
          <w:rFonts w:hint="eastAsia" w:ascii="宋体" w:hAnsi="宋体" w:eastAsia="宋体" w:cs="宋体"/>
          <w:b/>
          <w:bCs/>
          <w:snapToGrid w:val="0"/>
          <w:color w:val="000000"/>
          <w:spacing w:val="-8"/>
          <w:kern w:val="0"/>
          <w:sz w:val="24"/>
          <w:szCs w:val="24"/>
          <w:lang w:val="en-US" w:eastAsia="en-US" w:bidi="ar-SA"/>
        </w:rPr>
      </w:pPr>
      <w:r>
        <w:rPr>
          <w:rFonts w:hint="eastAsia" w:ascii="宋体" w:hAnsi="宋体" w:eastAsia="宋体" w:cs="宋体"/>
          <w:b/>
          <w:bCs/>
          <w:snapToGrid w:val="0"/>
          <w:color w:val="000000"/>
          <w:spacing w:val="-8"/>
          <w:kern w:val="0"/>
          <w:sz w:val="24"/>
          <w:szCs w:val="24"/>
          <w:lang w:val="en-US" w:eastAsia="en-US" w:bidi="ar-SA"/>
        </w:rPr>
        <w:t>(</w:t>
      </w:r>
      <w:r>
        <w:rPr>
          <w:rFonts w:hint="eastAsia" w:ascii="宋体" w:hAnsi="宋体" w:eastAsia="宋体" w:cs="宋体"/>
          <w:b/>
          <w:bCs/>
          <w:snapToGrid w:val="0"/>
          <w:color w:val="000000"/>
          <w:spacing w:val="-8"/>
          <w:kern w:val="0"/>
          <w:sz w:val="24"/>
          <w:szCs w:val="24"/>
          <w:lang w:val="en-US" w:eastAsia="zh-CN" w:bidi="ar-SA"/>
        </w:rPr>
        <w:t>1</w:t>
      </w:r>
      <w:r>
        <w:rPr>
          <w:rFonts w:hint="eastAsia" w:ascii="宋体" w:hAnsi="宋体" w:eastAsia="宋体" w:cs="宋体"/>
          <w:b/>
          <w:bCs/>
          <w:snapToGrid w:val="0"/>
          <w:color w:val="000000"/>
          <w:spacing w:val="-8"/>
          <w:kern w:val="0"/>
          <w:sz w:val="24"/>
          <w:szCs w:val="24"/>
          <w:lang w:val="en-US" w:eastAsia="en-US" w:bidi="ar-SA"/>
        </w:rPr>
        <w:t>)项目概况</w:t>
      </w:r>
    </w:p>
    <w:p w14:paraId="693F3652">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1、项目名称:铅山县城202</w:t>
      </w:r>
      <w:r>
        <w:rPr>
          <w:rFonts w:hint="eastAsia" w:ascii="宋体" w:hAnsi="宋体" w:eastAsia="宋体" w:cs="宋体"/>
          <w:b w:val="0"/>
          <w:snapToGrid w:val="0"/>
          <w:color w:val="000000"/>
          <w:spacing w:val="-8"/>
          <w:kern w:val="0"/>
          <w:sz w:val="24"/>
          <w:szCs w:val="24"/>
          <w:lang w:val="en-US" w:eastAsia="zh-CN" w:bidi="ar-SA"/>
        </w:rPr>
        <w:t>6</w:t>
      </w:r>
      <w:r>
        <w:rPr>
          <w:rFonts w:hint="eastAsia" w:ascii="宋体" w:hAnsi="宋体" w:eastAsia="宋体" w:cs="宋体"/>
          <w:b w:val="0"/>
          <w:snapToGrid w:val="0"/>
          <w:color w:val="000000"/>
          <w:spacing w:val="-8"/>
          <w:kern w:val="0"/>
          <w:sz w:val="24"/>
          <w:szCs w:val="24"/>
          <w:lang w:val="en-US" w:eastAsia="en-US" w:bidi="ar-SA"/>
        </w:rPr>
        <w:t>年病媒生物防制服务项目</w:t>
      </w:r>
    </w:p>
    <w:p w14:paraId="756C97B9">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2、服务范围:服务期限内开展县城建成区(约15.6平方公里，具体以实际测量为准)公共外环境和部分重点场所、单位的“除四害”消杀服务，并承担所需要的药品费、毒饵盒建设费、人工费等费用。</w:t>
      </w:r>
    </w:p>
    <w:p w14:paraId="36686CB5">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3、本招标文件提出的是最低限度的要求，响应服务商的方案应达到或优于本招标文件要求，且符合国家有关标准和规范要求。</w:t>
      </w:r>
    </w:p>
    <w:p w14:paraId="48A98121">
      <w:pPr>
        <w:pStyle w:val="3"/>
        <w:numPr>
          <w:ilvl w:val="0"/>
          <w:numId w:val="0"/>
        </w:numPr>
        <w:bidi w:val="0"/>
        <w:spacing w:line="240" w:lineRule="auto"/>
        <w:ind w:leftChars="0"/>
        <w:rPr>
          <w:rFonts w:hint="eastAsia" w:ascii="宋体" w:hAnsi="宋体" w:eastAsia="宋体" w:cs="宋体"/>
          <w:b/>
          <w:bCs/>
          <w:snapToGrid w:val="0"/>
          <w:color w:val="000000"/>
          <w:spacing w:val="-8"/>
          <w:kern w:val="0"/>
          <w:sz w:val="24"/>
          <w:szCs w:val="24"/>
          <w:lang w:val="en-US" w:eastAsia="en-US" w:bidi="ar-SA"/>
        </w:rPr>
      </w:pPr>
      <w:r>
        <w:rPr>
          <w:rFonts w:hint="eastAsia" w:ascii="宋体" w:hAnsi="宋体" w:eastAsia="宋体" w:cs="宋体"/>
          <w:b/>
          <w:bCs/>
          <w:snapToGrid w:val="0"/>
          <w:color w:val="000000"/>
          <w:spacing w:val="-8"/>
          <w:kern w:val="0"/>
          <w:sz w:val="24"/>
          <w:szCs w:val="24"/>
          <w:lang w:val="en-US" w:eastAsia="en-US" w:bidi="ar-SA"/>
        </w:rPr>
        <w:t>(</w:t>
      </w:r>
      <w:r>
        <w:rPr>
          <w:rFonts w:hint="eastAsia" w:ascii="宋体" w:hAnsi="宋体" w:eastAsia="宋体" w:cs="宋体"/>
          <w:b/>
          <w:bCs/>
          <w:snapToGrid w:val="0"/>
          <w:color w:val="000000"/>
          <w:spacing w:val="-8"/>
          <w:kern w:val="0"/>
          <w:sz w:val="24"/>
          <w:szCs w:val="24"/>
          <w:lang w:val="en-US" w:eastAsia="zh-CN" w:bidi="ar-SA"/>
        </w:rPr>
        <w:t>2</w:t>
      </w:r>
      <w:r>
        <w:rPr>
          <w:rFonts w:hint="eastAsia" w:ascii="宋体" w:hAnsi="宋体" w:eastAsia="宋体" w:cs="宋体"/>
          <w:b/>
          <w:bCs/>
          <w:snapToGrid w:val="0"/>
          <w:color w:val="000000"/>
          <w:spacing w:val="-8"/>
          <w:kern w:val="0"/>
          <w:sz w:val="24"/>
          <w:szCs w:val="24"/>
          <w:lang w:val="en-US" w:eastAsia="en-US" w:bidi="ar-SA"/>
        </w:rPr>
        <w:t>)服务内容</w:t>
      </w:r>
    </w:p>
    <w:p w14:paraId="3A78A503">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1、主要服务项:</w:t>
      </w:r>
    </w:p>
    <w:p w14:paraId="1C002717">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1.1、在服务区内全面开展病媒生物防制，投放灭鼠药饵，开展蚊、蝇、的药物消杀，包括喷洒灭蚊蝇药物，下水道灭蟑螂，道路两侧灭蚊、蝇，公共区域积水等水体灭蚊子，垃圾等孳生地灭蝇幼虫。按相关要求布放灭鼠毒饵站，并及时封堵服务区内的鼠洞、消除鼠迹，清理外溢毒饵，以确保灭鼠效果，毒饵站应根据孳生地调查设置在有鼠迹、位置隐蔽、人员稀少、不引人注目的地方沿墙等位置布放，在主次街路、人行道等人员集中的地方布放时应慎重:布放毒饵站时应张贴醒目警示标志，毒饵施放应准确到位防止人、畜、禽、鸟等误食误服。</w:t>
      </w:r>
    </w:p>
    <w:p w14:paraId="56FC0FA3">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1.2、灭鼠:规范设置毒饵盒不少于3000个，在春、秋两季以三次饱和投放毒饵原则投放毒饵:同时在客井、下水道悬挂蜡块毒饵:毒饵盒药物有效投放率下水道蜡块悬挂率要保持在90%以上。</w:t>
      </w:r>
    </w:p>
    <w:p w14:paraId="58E4812A">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1.3、灭蚊、蝇、蟑螂:冬季开展一轮越冬蚊、蝇消杀服务，4-11月份,每月对公共外环境和部分重点场所、单位蚊、蝇、蟑螂孳生栖息场所喷药消杀一次。</w:t>
      </w:r>
    </w:p>
    <w:p w14:paraId="5D1AF216">
      <w:pPr>
        <w:pStyle w:val="3"/>
        <w:numPr>
          <w:ilvl w:val="0"/>
          <w:numId w:val="0"/>
        </w:numPr>
        <w:bidi w:val="0"/>
        <w:spacing w:line="240" w:lineRule="auto"/>
        <w:ind w:leftChars="0"/>
        <w:rPr>
          <w:rFonts w:hint="default"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zh-CN" w:bidi="ar-SA"/>
        </w:rPr>
        <w:t>2、服务区域：</w:t>
      </w:r>
    </w:p>
    <w:p w14:paraId="2D5B11D9">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2.1、公共外环境包括:公共街道、公共绿地(公园、广场、主次干道绿化带等)、公共水域(沪水河、护城河、水塘等)岸坡、居民区(括无物业管理小区)等公共环境。</w:t>
      </w:r>
    </w:p>
    <w:p w14:paraId="3CE3D1E7">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2.2、部分重点场所、单位包括:建筑工地、待建(闲置)工地、拆迁</w:t>
      </w:r>
      <w:r>
        <w:rPr>
          <w:rFonts w:hint="eastAsia" w:ascii="宋体" w:hAnsi="宋体" w:eastAsia="宋体" w:cs="宋体"/>
          <w:b w:val="0"/>
          <w:snapToGrid w:val="0"/>
          <w:color w:val="000000"/>
          <w:spacing w:val="-8"/>
          <w:kern w:val="0"/>
          <w:sz w:val="24"/>
          <w:szCs w:val="24"/>
          <w:lang w:val="en-US" w:eastAsia="zh-CN" w:bidi="ar-SA"/>
        </w:rPr>
        <w:t>工地，</w:t>
      </w:r>
      <w:r>
        <w:rPr>
          <w:rFonts w:hint="eastAsia" w:ascii="宋体" w:hAnsi="宋体" w:eastAsia="宋体" w:cs="宋体"/>
          <w:b w:val="0"/>
          <w:snapToGrid w:val="0"/>
          <w:color w:val="000000"/>
          <w:spacing w:val="-8"/>
          <w:kern w:val="0"/>
          <w:sz w:val="24"/>
          <w:szCs w:val="24"/>
          <w:lang w:val="en-US" w:eastAsia="en-US" w:bidi="ar-SA"/>
        </w:rPr>
        <w:t>垃圾中转站、公厕、市政管井(下水道)，食品生产经营单位(宾招、</w:t>
      </w:r>
      <w:r>
        <w:rPr>
          <w:rFonts w:hint="eastAsia" w:ascii="宋体" w:hAnsi="宋体" w:eastAsia="宋体" w:cs="宋体"/>
          <w:b w:val="0"/>
          <w:snapToGrid w:val="0"/>
          <w:color w:val="000000"/>
          <w:spacing w:val="-8"/>
          <w:kern w:val="0"/>
          <w:sz w:val="24"/>
          <w:szCs w:val="24"/>
          <w:lang w:val="en-US" w:eastAsia="zh-CN" w:bidi="ar-SA"/>
        </w:rPr>
        <w:t>餐饮、</w:t>
      </w:r>
      <w:r>
        <w:rPr>
          <w:rFonts w:hint="eastAsia" w:ascii="宋体" w:hAnsi="宋体" w:eastAsia="宋体" w:cs="宋体"/>
          <w:b w:val="0"/>
          <w:snapToGrid w:val="0"/>
          <w:color w:val="000000"/>
          <w:spacing w:val="-8"/>
          <w:kern w:val="0"/>
          <w:sz w:val="24"/>
          <w:szCs w:val="24"/>
          <w:lang w:val="en-US" w:eastAsia="en-US" w:bidi="ar-SA"/>
        </w:rPr>
        <w:t>超市、屠宰场、食品加工作坊等)周边，汽车站等。</w:t>
      </w:r>
    </w:p>
    <w:p w14:paraId="057DBB3C">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2.3、医院、食品生产经营单位、学校及其它行政机关、企事业单位庭院范围</w:t>
      </w:r>
      <w:r>
        <w:rPr>
          <w:rFonts w:hint="eastAsia" w:ascii="宋体" w:hAnsi="宋体" w:eastAsia="宋体" w:cs="宋体"/>
          <w:b w:val="0"/>
          <w:snapToGrid w:val="0"/>
          <w:color w:val="000000"/>
          <w:spacing w:val="-8"/>
          <w:kern w:val="0"/>
          <w:sz w:val="24"/>
          <w:szCs w:val="24"/>
          <w:lang w:val="en-US" w:eastAsia="zh-CN" w:bidi="ar-SA"/>
        </w:rPr>
        <w:t>内</w:t>
      </w:r>
      <w:r>
        <w:rPr>
          <w:rFonts w:hint="eastAsia" w:ascii="宋体" w:hAnsi="宋体" w:eastAsia="宋体" w:cs="宋体"/>
          <w:b w:val="0"/>
          <w:snapToGrid w:val="0"/>
          <w:color w:val="000000"/>
          <w:spacing w:val="-8"/>
          <w:kern w:val="0"/>
          <w:sz w:val="24"/>
          <w:szCs w:val="24"/>
          <w:lang w:val="en-US" w:eastAsia="en-US" w:bidi="ar-SA"/>
        </w:rPr>
        <w:t>的“除四害”消杀服务，由其自行洽谈购买服务。</w:t>
      </w:r>
    </w:p>
    <w:p w14:paraId="68E7747D">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3、服务要求:</w:t>
      </w:r>
    </w:p>
    <w:p w14:paraId="7CBD6627">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3.1、在采购人的配合下，认真开展建成区“四害”孳生地环境调查，收集</w:t>
      </w:r>
      <w:r>
        <w:rPr>
          <w:rFonts w:hint="eastAsia" w:ascii="宋体" w:hAnsi="宋体" w:eastAsia="宋体" w:cs="宋体"/>
          <w:b w:val="0"/>
          <w:snapToGrid w:val="0"/>
          <w:color w:val="000000"/>
          <w:spacing w:val="-8"/>
          <w:kern w:val="0"/>
          <w:sz w:val="24"/>
          <w:szCs w:val="24"/>
          <w:lang w:val="en-US" w:eastAsia="zh-CN" w:bidi="ar-SA"/>
        </w:rPr>
        <w:t>基础</w:t>
      </w:r>
      <w:r>
        <w:rPr>
          <w:rFonts w:hint="eastAsia" w:ascii="宋体" w:hAnsi="宋体" w:eastAsia="宋体" w:cs="宋体"/>
          <w:b w:val="0"/>
          <w:snapToGrid w:val="0"/>
          <w:color w:val="000000"/>
          <w:spacing w:val="-8"/>
          <w:kern w:val="0"/>
          <w:sz w:val="24"/>
          <w:szCs w:val="24"/>
          <w:lang w:val="en-US" w:eastAsia="en-US" w:bidi="ar-SA"/>
        </w:rPr>
        <w:t>数据，制定全面科学规范的防制方案，提出环境治理任务清单，由采购人下达至职能部门或网格单位落实。</w:t>
      </w:r>
    </w:p>
    <w:p w14:paraId="6526A942">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3.2、配合采购方对城区病媒生物防制工作进行技术指导和宣传培训，在</w:t>
      </w:r>
      <w:r>
        <w:rPr>
          <w:rFonts w:hint="eastAsia" w:ascii="宋体" w:hAnsi="宋体" w:eastAsia="宋体" w:cs="宋体"/>
          <w:b w:val="0"/>
          <w:snapToGrid w:val="0"/>
          <w:color w:val="000000"/>
          <w:spacing w:val="-8"/>
          <w:kern w:val="0"/>
          <w:sz w:val="24"/>
          <w:szCs w:val="24"/>
          <w:lang w:val="en-US" w:eastAsia="zh-CN" w:bidi="ar-SA"/>
        </w:rPr>
        <w:t>消</w:t>
      </w:r>
      <w:r>
        <w:rPr>
          <w:rFonts w:hint="eastAsia" w:ascii="宋体" w:hAnsi="宋体" w:eastAsia="宋体" w:cs="宋体"/>
          <w:b w:val="0"/>
          <w:snapToGrid w:val="0"/>
          <w:color w:val="000000"/>
          <w:spacing w:val="-8"/>
          <w:kern w:val="0"/>
          <w:sz w:val="24"/>
          <w:szCs w:val="24"/>
          <w:lang w:val="en-US" w:eastAsia="en-US" w:bidi="ar-SA"/>
        </w:rPr>
        <w:t>杀作业中发现小型积水、小的卫生死角和散在垃圾、蟑迹鼠迹等应现场予以清理。</w:t>
      </w:r>
    </w:p>
    <w:p w14:paraId="1AAE05CC">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3.3、配合县疾控中心开展密度监测工作，尤其是全方位消杀服务前后密度监测，以及时掌握消杀效果。</w:t>
      </w:r>
    </w:p>
    <w:p w14:paraId="21C08A45">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3.4、科学规范设置毒饵盒，毒饵盒设置应突出问题导向，布放的数量要</w:t>
      </w:r>
      <w:r>
        <w:rPr>
          <w:rFonts w:hint="eastAsia" w:ascii="宋体" w:hAnsi="宋体" w:eastAsia="宋体" w:cs="宋体"/>
          <w:b w:val="0"/>
          <w:snapToGrid w:val="0"/>
          <w:color w:val="000000"/>
          <w:spacing w:val="-8"/>
          <w:kern w:val="0"/>
          <w:sz w:val="24"/>
          <w:szCs w:val="24"/>
          <w:lang w:val="en-US" w:eastAsia="zh-CN" w:bidi="ar-SA"/>
        </w:rPr>
        <w:t>适合。</w:t>
      </w:r>
      <w:r>
        <w:rPr>
          <w:rFonts w:hint="eastAsia" w:ascii="宋体" w:hAnsi="宋体" w:eastAsia="宋体" w:cs="宋体"/>
          <w:b w:val="0"/>
          <w:snapToGrid w:val="0"/>
          <w:color w:val="000000"/>
          <w:spacing w:val="-8"/>
          <w:kern w:val="0"/>
          <w:sz w:val="24"/>
          <w:szCs w:val="24"/>
          <w:lang w:val="en-US" w:eastAsia="en-US" w:bidi="ar-SA"/>
        </w:rPr>
        <w:t>如发生毒饵引起人畜中毒事件，须立即响应处置，并承担相关费用。</w:t>
      </w:r>
    </w:p>
    <w:p w14:paraId="58CD2CC4">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3.5、消杀工作必须严格执行国家相关技术规范、技术指南，并主动接受采购方的监督，各项工作记录、痕迹资料齐全。</w:t>
      </w:r>
    </w:p>
    <w:p w14:paraId="22F186C5">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3.6、成交服务商服务期限内应在县城设办公场所，保证人员常驻，配合</w:t>
      </w:r>
      <w:r>
        <w:rPr>
          <w:rFonts w:hint="eastAsia" w:ascii="宋体" w:hAnsi="宋体" w:eastAsia="宋体" w:cs="宋体"/>
          <w:b w:val="0"/>
          <w:snapToGrid w:val="0"/>
          <w:color w:val="000000"/>
          <w:spacing w:val="-8"/>
          <w:kern w:val="0"/>
          <w:sz w:val="24"/>
          <w:szCs w:val="24"/>
          <w:lang w:val="en-US" w:eastAsia="zh-CN" w:bidi="ar-SA"/>
        </w:rPr>
        <w:t>做好</w:t>
      </w:r>
      <w:r>
        <w:rPr>
          <w:rFonts w:hint="eastAsia" w:ascii="宋体" w:hAnsi="宋体" w:eastAsia="宋体" w:cs="宋体"/>
          <w:b w:val="0"/>
          <w:snapToGrid w:val="0"/>
          <w:color w:val="000000"/>
          <w:spacing w:val="-8"/>
          <w:kern w:val="0"/>
          <w:sz w:val="24"/>
          <w:szCs w:val="24"/>
          <w:lang w:val="en-US" w:eastAsia="en-US" w:bidi="ar-SA"/>
        </w:rPr>
        <w:t>防制工作的技术指导、药品供应、消杀服务。参与消杀的工作人员必须经过培训持证上岗，并统一着装。</w:t>
      </w:r>
    </w:p>
    <w:p w14:paraId="3683A386">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3.7、确保建成区鼠、蚊、蝇、蟑螂的密度达到国家病媒生物密度控制水平标准C级要求，如病媒生物防制工作不达标，影响国家卫生县城创建，将扣除合同金额的30%资金作为处罚。</w:t>
      </w:r>
    </w:p>
    <w:p w14:paraId="3A1338DF">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4、服务标准:</w:t>
      </w:r>
    </w:p>
    <w:p w14:paraId="7D1A301F">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4.1、病媒生物防制质量标准监测标准:</w:t>
      </w:r>
    </w:p>
    <w:p w14:paraId="07E261EC">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中华人民共和国国家标准(GB/T23796-2009)病媒生物密度监测方法蝇类》、《中华人民共和国国家标准(GB/T23797-2009)病媒生物密度监测方法蚊虫》、《中华人民共和国国家标准(GB/T23798-2009)病媒生物密度监测方法鼠类》、《中华人民共和国国家标准(GB/T23795-2009)病媒生物密度监测方法蜚蠊》</w:t>
      </w:r>
    </w:p>
    <w:p w14:paraId="1025471D">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4.2控制水平标准:</w:t>
      </w:r>
    </w:p>
    <w:p w14:paraId="09B92D18">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中华人民共和国国家标准(GB/T27773-2011)病媒生物密度控制水平蜚蠊》、《中华人民共和国国家标准(GB/T27772-2011)病媒生物密度控制水平蝇类》、《中华人民共和国国家标准(GB/T27771-2011)病媒生物密度控制水平蚊虫》、《中华人民共和国国家标准(GB/T27770-2011)病媒生物密度控制水平鼠类》。注:上述国家标准如有更新则以最新版本为准。</w:t>
      </w:r>
    </w:p>
    <w:p w14:paraId="725AFD5E">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4.3、蚊、蝇消杀:孳生地投放灭幼药剂，重点部位及害虫栖息场所进行药物滞留喷洒和空间喷雾，药品均采用国家相关部门批准使用的高效低毒卫生杀虫药剂;宣传并指导相关村民和居民做好防蚊、防蝇工作，消除孳生地，做到重点区域重点监控，发现问题及时处理的施工原则。</w:t>
      </w:r>
    </w:p>
    <w:p w14:paraId="01CC0AAC">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4.4、灭鼠药械统一投放，进行多轮统一投药，即:灭鼠重点区域为老鼠活动和容易孳生栖息的地点等作为灭鼠防鼠工作重点，原则上投药必须投入固定鼠穴、毒鼠屋或相对隐蔽的区域和地点，选用药物为第二代抗凝血剂灭鼠毒饵确保安全高效，严禁使用国家禁止使用的灭鼠药物，并将加大对服务范围内各单位、各居民区人员的宣传介绍，提供药物保障和24小时的技术支撑。灭鼠服务在每月10日前对所有毒饵站进行药物添加，在每月1-10号确保毒饵站投放覆盖率、到位率、饱和率达到95%，在11-13号由甲方对毒饵站进行抽查(每镇街各抽查样本数100个)，抽查时保证毒饵站无药率在5%以下，超出甲方有权对超出部分进行扣款处理,对5%-10%(含)无药的毒饵站每个扣10元，10%-20%(含)无药的毒饵站每个扣20元，20%以上无药的毒饵站每个扣40元处理。在创卫迎检期间或上级检查病媒生物工作期间保证毒饵站有药。</w:t>
      </w:r>
    </w:p>
    <w:p w14:paraId="657664BC">
      <w:pPr>
        <w:pStyle w:val="3"/>
        <w:numPr>
          <w:ilvl w:val="0"/>
          <w:numId w:val="0"/>
        </w:numPr>
        <w:bidi w:val="0"/>
        <w:spacing w:line="240" w:lineRule="auto"/>
        <w:ind w:leftChars="0"/>
        <w:rPr>
          <w:rFonts w:hint="eastAsia" w:ascii="宋体" w:hAnsi="宋体" w:eastAsia="宋体" w:cs="宋体"/>
          <w:b w:val="0"/>
          <w:snapToGrid w:val="0"/>
          <w:color w:val="000000"/>
          <w:spacing w:val="-2"/>
          <w:kern w:val="0"/>
          <w:sz w:val="24"/>
          <w:szCs w:val="24"/>
          <w:lang w:val="en-US" w:eastAsia="en-US" w:bidi="ar-SA"/>
        </w:rPr>
      </w:pPr>
      <w:r>
        <w:rPr>
          <w:rFonts w:hint="eastAsia" w:ascii="宋体" w:hAnsi="宋体" w:eastAsia="宋体" w:cs="宋体"/>
          <w:b w:val="0"/>
          <w:snapToGrid w:val="0"/>
          <w:color w:val="000000"/>
          <w:spacing w:val="-2"/>
          <w:kern w:val="0"/>
          <w:sz w:val="24"/>
          <w:szCs w:val="24"/>
          <w:lang w:val="en-US" w:eastAsia="en-US" w:bidi="ar-SA"/>
        </w:rPr>
        <w:t>4.5、下水道的灭:害虫侵犯点需进行下水道的灭工作，药品采用国家</w:t>
      </w:r>
      <w:r>
        <w:rPr>
          <w:rFonts w:hint="eastAsia" w:ascii="宋体" w:hAnsi="宋体" w:eastAsia="宋体" w:cs="宋体"/>
          <w:b w:val="0"/>
          <w:snapToGrid w:val="0"/>
          <w:color w:val="000000"/>
          <w:spacing w:val="-2"/>
          <w:kern w:val="0"/>
          <w:sz w:val="24"/>
          <w:szCs w:val="24"/>
          <w:lang w:val="en-US" w:eastAsia="zh-CN" w:bidi="ar-SA"/>
        </w:rPr>
        <w:t>相</w:t>
      </w:r>
      <w:r>
        <w:rPr>
          <w:rFonts w:hint="eastAsia" w:ascii="宋体" w:hAnsi="宋体" w:eastAsia="宋体" w:cs="宋体"/>
          <w:b w:val="0"/>
          <w:snapToGrid w:val="0"/>
          <w:color w:val="000000"/>
          <w:spacing w:val="-2"/>
          <w:kern w:val="0"/>
          <w:sz w:val="24"/>
          <w:szCs w:val="24"/>
          <w:lang w:val="en-US" w:eastAsia="en-US" w:bidi="ar-SA"/>
        </w:rPr>
        <w:t>关部门批准使用的卫生杀虫药剂;街道四害孳生的点主要是下水道、公厕、垃圾中转站及周边、公共绿化带及周边等。</w:t>
      </w:r>
    </w:p>
    <w:p w14:paraId="28FC6569">
      <w:pPr>
        <w:pStyle w:val="3"/>
        <w:numPr>
          <w:ilvl w:val="0"/>
          <w:numId w:val="0"/>
        </w:numPr>
        <w:bidi w:val="0"/>
        <w:spacing w:line="240" w:lineRule="auto"/>
        <w:ind w:leftChars="0"/>
        <w:rPr>
          <w:rFonts w:hint="eastAsia" w:ascii="宋体" w:hAnsi="宋体" w:eastAsia="宋体" w:cs="宋体"/>
          <w:b w:val="0"/>
          <w:snapToGrid w:val="0"/>
          <w:color w:val="000000"/>
          <w:spacing w:val="-2"/>
          <w:kern w:val="0"/>
          <w:sz w:val="24"/>
          <w:szCs w:val="24"/>
          <w:lang w:val="en-US" w:eastAsia="en-US" w:bidi="ar-SA"/>
        </w:rPr>
      </w:pPr>
      <w:r>
        <w:rPr>
          <w:rFonts w:hint="eastAsia" w:ascii="宋体" w:hAnsi="宋体" w:eastAsia="宋体" w:cs="宋体"/>
          <w:b w:val="0"/>
          <w:snapToGrid w:val="0"/>
          <w:color w:val="000000"/>
          <w:spacing w:val="-2"/>
          <w:kern w:val="0"/>
          <w:sz w:val="24"/>
          <w:szCs w:val="24"/>
          <w:lang w:val="en-US" w:eastAsia="en-US" w:bidi="ar-SA"/>
        </w:rPr>
        <w:t>4.6、具体质量要求:服务外包区域发现主要问题导致病媒生物防制工作不能通过国家卫生城创建的，扣除总服务外包服务费的50%，且立即整改，开展消杀防制，直至达到国家、省、市的检查标准要求为止。在整个服务外包服务期间内，对以下情况进行约定:发生市级以上相关部门通报或新闻媒体曝光造成不良影响，每发生一起扣除服务外包服务总经费的5%。</w:t>
      </w:r>
    </w:p>
    <w:p w14:paraId="4E940F84">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en-US" w:bidi="ar-SA"/>
        </w:rPr>
      </w:pPr>
      <w:r>
        <w:rPr>
          <w:rFonts w:hint="eastAsia" w:ascii="宋体" w:hAnsi="宋体" w:eastAsia="宋体" w:cs="宋体"/>
          <w:b w:val="0"/>
          <w:snapToGrid w:val="0"/>
          <w:color w:val="000000"/>
          <w:spacing w:val="-8"/>
          <w:kern w:val="0"/>
          <w:sz w:val="24"/>
          <w:szCs w:val="24"/>
          <w:lang w:val="en-US" w:eastAsia="en-US" w:bidi="ar-SA"/>
        </w:rPr>
        <w:t>5、药剂使用要求:</w:t>
      </w:r>
    </w:p>
    <w:p w14:paraId="47B4FA79">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en-US" w:bidi="ar-SA"/>
        </w:rPr>
        <w:t>5.1、</w:t>
      </w:r>
      <w:r>
        <w:rPr>
          <w:rFonts w:hint="eastAsia" w:ascii="宋体" w:hAnsi="宋体" w:eastAsia="宋体" w:cs="宋体"/>
          <w:b w:val="0"/>
          <w:snapToGrid w:val="0"/>
          <w:color w:val="000000"/>
          <w:spacing w:val="-2"/>
          <w:kern w:val="0"/>
          <w:sz w:val="24"/>
          <w:szCs w:val="24"/>
          <w:lang w:val="en-US" w:eastAsia="en-US" w:bidi="ar-SA"/>
        </w:rPr>
        <w:t>必须注重科学合理用药，不得使用国家禁用的药物，并须确保药物来源和质量正当可靠,使用的药物和器械必须符合国家规定的相关要求</w:t>
      </w:r>
      <w:r>
        <w:rPr>
          <w:rFonts w:hint="eastAsia" w:ascii="宋体" w:hAnsi="宋体" w:eastAsia="宋体" w:cs="宋体"/>
          <w:b w:val="0"/>
          <w:snapToGrid w:val="0"/>
          <w:color w:val="000000"/>
          <w:spacing w:val="-2"/>
          <w:kern w:val="0"/>
          <w:sz w:val="24"/>
          <w:szCs w:val="24"/>
          <w:lang w:val="en-US" w:eastAsia="zh-CN" w:bidi="ar-SA"/>
        </w:rPr>
        <w:t>。</w:t>
      </w:r>
    </w:p>
    <w:p w14:paraId="231DE3DF">
      <w:pPr>
        <w:pStyle w:val="3"/>
        <w:numPr>
          <w:ilvl w:val="0"/>
          <w:numId w:val="0"/>
        </w:numPr>
        <w:bidi w:val="0"/>
        <w:spacing w:line="240" w:lineRule="auto"/>
        <w:ind w:leftChars="0"/>
        <w:rPr>
          <w:rFonts w:hint="eastAsia" w:ascii="宋体" w:hAnsi="宋体" w:eastAsia="宋体" w:cs="宋体"/>
          <w:b w:val="0"/>
          <w:snapToGrid w:val="0"/>
          <w:color w:val="000000"/>
          <w:spacing w:val="-8"/>
          <w:kern w:val="0"/>
          <w:sz w:val="24"/>
          <w:szCs w:val="24"/>
          <w:lang w:val="en-US" w:eastAsia="zh-CN" w:bidi="ar-SA"/>
        </w:rPr>
      </w:pPr>
      <w:r>
        <w:rPr>
          <w:rFonts w:hint="eastAsia" w:ascii="宋体" w:hAnsi="宋体" w:eastAsia="宋体" w:cs="宋体"/>
          <w:b w:val="0"/>
          <w:snapToGrid w:val="0"/>
          <w:color w:val="000000"/>
          <w:spacing w:val="-8"/>
          <w:kern w:val="0"/>
          <w:sz w:val="24"/>
          <w:szCs w:val="24"/>
          <w:lang w:val="en-US" w:eastAsia="en-US" w:bidi="ar-SA"/>
        </w:rPr>
        <w:t>5.2、</w:t>
      </w:r>
      <w:r>
        <w:rPr>
          <w:rFonts w:hint="eastAsia" w:ascii="宋体" w:hAnsi="宋体" w:eastAsia="宋体" w:cs="宋体"/>
          <w:b w:val="0"/>
          <w:snapToGrid w:val="0"/>
          <w:color w:val="000000"/>
          <w:spacing w:val="-2"/>
          <w:kern w:val="0"/>
          <w:sz w:val="24"/>
          <w:szCs w:val="24"/>
          <w:lang w:val="en-US" w:eastAsia="en-US" w:bidi="ar-SA"/>
        </w:rPr>
        <w:t>必须注重科学合理用药，不得使用国家禁用的药物，使用的药物须</w:t>
      </w:r>
      <w:r>
        <w:rPr>
          <w:rFonts w:hint="eastAsia" w:ascii="宋体" w:hAnsi="宋体" w:eastAsia="宋体" w:cs="宋体"/>
          <w:b w:val="0"/>
          <w:snapToGrid w:val="0"/>
          <w:color w:val="000000"/>
          <w:spacing w:val="-2"/>
          <w:kern w:val="0"/>
          <w:sz w:val="24"/>
          <w:szCs w:val="24"/>
          <w:lang w:val="en-US" w:eastAsia="zh-CN" w:bidi="ar-SA"/>
        </w:rPr>
        <w:t>符</w:t>
      </w:r>
      <w:r>
        <w:rPr>
          <w:rFonts w:hint="eastAsia" w:ascii="宋体" w:hAnsi="宋体" w:eastAsia="宋体" w:cs="宋体"/>
          <w:b w:val="0"/>
          <w:snapToGrid w:val="0"/>
          <w:color w:val="000000"/>
          <w:spacing w:val="-2"/>
          <w:kern w:val="0"/>
          <w:sz w:val="24"/>
          <w:szCs w:val="24"/>
          <w:lang w:val="en-US" w:eastAsia="en-US" w:bidi="ar-SA"/>
        </w:rPr>
        <w:t>合GB/T27777-2011《杀鼠剂安全使用准则》与GB/T27779-2011《卫生杀虫剂安全使用准则》的要求并须确保药物来源和质量正当可靠。使用的药物和</w:t>
      </w:r>
      <w:r>
        <w:rPr>
          <w:rFonts w:hint="eastAsia" w:ascii="宋体" w:hAnsi="宋体" w:eastAsia="宋体" w:cs="宋体"/>
          <w:b w:val="0"/>
          <w:snapToGrid w:val="0"/>
          <w:color w:val="000000"/>
          <w:spacing w:val="-2"/>
          <w:kern w:val="0"/>
          <w:sz w:val="24"/>
          <w:szCs w:val="24"/>
          <w:lang w:val="en-US" w:eastAsia="zh-CN" w:bidi="ar-SA"/>
        </w:rPr>
        <w:t>器械必须</w:t>
      </w:r>
      <w:r>
        <w:rPr>
          <w:rFonts w:hint="eastAsia" w:ascii="宋体" w:hAnsi="宋体" w:eastAsia="宋体" w:cs="宋体"/>
          <w:b w:val="0"/>
          <w:snapToGrid w:val="0"/>
          <w:color w:val="000000"/>
          <w:spacing w:val="-2"/>
          <w:kern w:val="0"/>
          <w:sz w:val="24"/>
          <w:szCs w:val="24"/>
          <w:lang w:val="en-US" w:eastAsia="en-US" w:bidi="ar-SA"/>
        </w:rPr>
        <w:t>符合国家规定的相关要求，达到“科学、安全、高效、环保”</w:t>
      </w:r>
      <w:r>
        <w:rPr>
          <w:rFonts w:hint="eastAsia" w:ascii="宋体" w:hAnsi="宋体" w:eastAsia="宋体" w:cs="宋体"/>
          <w:b w:val="0"/>
          <w:snapToGrid w:val="0"/>
          <w:color w:val="000000"/>
          <w:spacing w:val="-2"/>
          <w:kern w:val="0"/>
          <w:sz w:val="24"/>
          <w:szCs w:val="24"/>
          <w:lang w:val="en-US" w:eastAsia="zh-CN" w:bidi="ar-SA"/>
        </w:rPr>
        <w:t>。</w:t>
      </w:r>
    </w:p>
    <w:p w14:paraId="4AC58343">
      <w:pPr>
        <w:keepNext w:val="0"/>
        <w:keepLines w:val="0"/>
        <w:pageBreakBefore w:val="0"/>
        <w:widowControl/>
        <w:kinsoku w:val="0"/>
        <w:wordWrap/>
        <w:overflowPunct/>
        <w:topLinePunct w:val="0"/>
        <w:autoSpaceDE w:val="0"/>
        <w:autoSpaceDN w:val="0"/>
        <w:bidi w:val="0"/>
        <w:adjustRightInd w:val="0"/>
        <w:snapToGrid w:val="0"/>
        <w:spacing w:before="27" w:line="440" w:lineRule="exact"/>
        <w:textAlignment w:val="baseline"/>
        <w:rPr>
          <w:rFonts w:ascii="宋体" w:hAnsi="宋体" w:eastAsia="宋体" w:cs="宋体"/>
          <w:sz w:val="24"/>
          <w:szCs w:val="24"/>
        </w:rPr>
      </w:pP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用药要求</w:t>
      </w:r>
    </w:p>
    <w:p w14:paraId="56D39A5D">
      <w:pPr>
        <w:keepNext w:val="0"/>
        <w:keepLines w:val="0"/>
        <w:pageBreakBefore w:val="0"/>
        <w:widowControl/>
        <w:kinsoku w:val="0"/>
        <w:wordWrap/>
        <w:overflowPunct/>
        <w:topLinePunct w:val="0"/>
        <w:autoSpaceDE w:val="0"/>
        <w:autoSpaceDN w:val="0"/>
        <w:bidi w:val="0"/>
        <w:adjustRightInd w:val="0"/>
        <w:snapToGrid w:val="0"/>
        <w:spacing w:before="25" w:line="440" w:lineRule="exact"/>
        <w:ind w:left="23" w:right="223" w:firstLine="475"/>
        <w:textAlignment w:val="baseline"/>
        <w:rPr>
          <w:rFonts w:ascii="宋体" w:hAnsi="宋体" w:eastAsia="宋体" w:cs="宋体"/>
          <w:sz w:val="24"/>
          <w:szCs w:val="24"/>
        </w:rPr>
      </w:pPr>
      <w:r>
        <w:rPr>
          <w:rFonts w:ascii="宋体" w:hAnsi="宋体" w:eastAsia="宋体" w:cs="宋体"/>
          <w:spacing w:val="-2"/>
          <w:sz w:val="24"/>
          <w:szCs w:val="24"/>
        </w:rPr>
        <w:t>供应商必须注重科学合理用药，不得使用假药、国家</w:t>
      </w:r>
      <w:r>
        <w:rPr>
          <w:rFonts w:ascii="宋体" w:hAnsi="宋体" w:eastAsia="宋体" w:cs="宋体"/>
          <w:spacing w:val="-3"/>
          <w:sz w:val="24"/>
          <w:szCs w:val="24"/>
        </w:rPr>
        <w:t>禁用的药物，并须确</w:t>
      </w:r>
      <w:r>
        <w:rPr>
          <w:rFonts w:ascii="宋体" w:hAnsi="宋体" w:eastAsia="宋体" w:cs="宋体"/>
          <w:spacing w:val="-2"/>
          <w:sz w:val="24"/>
          <w:szCs w:val="24"/>
        </w:rPr>
        <w:t>保药物来源和质量正当可靠。使用的药物必须符合GB/T27777-2011《杀鼠剂安</w:t>
      </w:r>
      <w:r>
        <w:rPr>
          <w:rFonts w:ascii="宋体" w:hAnsi="宋体" w:eastAsia="宋体" w:cs="宋体"/>
          <w:spacing w:val="-5"/>
          <w:sz w:val="24"/>
          <w:szCs w:val="24"/>
        </w:rPr>
        <w:t>全使用准则》与GB/T27779-2011《卫生杀虫剂安全使用准则》的要求，达到“安</w:t>
      </w:r>
      <w:r>
        <w:rPr>
          <w:rFonts w:ascii="宋体" w:hAnsi="宋体" w:eastAsia="宋体" w:cs="宋体"/>
          <w:spacing w:val="-3"/>
          <w:sz w:val="24"/>
          <w:szCs w:val="24"/>
        </w:rPr>
        <w:t>全、高效、环保</w:t>
      </w:r>
      <w:r>
        <w:rPr>
          <w:rFonts w:ascii="宋体" w:hAnsi="宋体" w:eastAsia="宋体" w:cs="宋体"/>
          <w:spacing w:val="-90"/>
          <w:sz w:val="24"/>
          <w:szCs w:val="24"/>
        </w:rPr>
        <w:t xml:space="preserve"> </w:t>
      </w:r>
      <w:r>
        <w:rPr>
          <w:rFonts w:ascii="宋体" w:hAnsi="宋体" w:eastAsia="宋体" w:cs="宋体"/>
          <w:spacing w:val="-3"/>
          <w:sz w:val="24"/>
          <w:szCs w:val="24"/>
        </w:rPr>
        <w:t>”并交替使用药物防止产生耐药性的要求。防制</w:t>
      </w:r>
      <w:r>
        <w:rPr>
          <w:rFonts w:ascii="宋体" w:hAnsi="宋体" w:eastAsia="宋体" w:cs="宋体"/>
          <w:spacing w:val="-4"/>
          <w:sz w:val="24"/>
          <w:szCs w:val="24"/>
        </w:rPr>
        <w:t>药物的技术标</w:t>
      </w:r>
      <w:r>
        <w:rPr>
          <w:rFonts w:ascii="宋体" w:hAnsi="宋体" w:eastAsia="宋体" w:cs="宋体"/>
          <w:spacing w:val="-3"/>
          <w:sz w:val="24"/>
          <w:szCs w:val="24"/>
        </w:rPr>
        <w:t>准和要求需满足以下内容：</w:t>
      </w:r>
    </w:p>
    <w:tbl>
      <w:tblPr>
        <w:tblStyle w:val="9"/>
        <w:tblW w:w="815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2760"/>
        <w:gridCol w:w="1256"/>
        <w:gridCol w:w="1761"/>
        <w:gridCol w:w="1641"/>
      </w:tblGrid>
      <w:tr w14:paraId="7046C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39" w:type="dxa"/>
            <w:vAlign w:val="top"/>
          </w:tcPr>
          <w:p w14:paraId="38DEB9E0">
            <w:pPr>
              <w:pStyle w:val="10"/>
              <w:spacing w:before="234" w:line="221" w:lineRule="auto"/>
              <w:ind w:left="123"/>
            </w:pPr>
            <w:r>
              <w:t>序号</w:t>
            </w:r>
          </w:p>
        </w:tc>
        <w:tc>
          <w:tcPr>
            <w:tcW w:w="2760" w:type="dxa"/>
            <w:vAlign w:val="top"/>
          </w:tcPr>
          <w:p w14:paraId="4612AE6B">
            <w:pPr>
              <w:pStyle w:val="10"/>
              <w:spacing w:before="234" w:line="220" w:lineRule="auto"/>
              <w:ind w:left="941"/>
            </w:pPr>
            <w:r>
              <w:rPr>
                <w:spacing w:val="4"/>
              </w:rPr>
              <w:t>药品需求</w:t>
            </w:r>
          </w:p>
        </w:tc>
        <w:tc>
          <w:tcPr>
            <w:tcW w:w="1256" w:type="dxa"/>
            <w:vAlign w:val="top"/>
          </w:tcPr>
          <w:p w14:paraId="477463B4">
            <w:pPr>
              <w:pStyle w:val="10"/>
              <w:spacing w:before="78"/>
              <w:ind w:left="115" w:right="159" w:firstLine="3"/>
            </w:pPr>
            <w:r>
              <w:rPr>
                <w:spacing w:val="3"/>
              </w:rPr>
              <w:t>总有效成</w:t>
            </w:r>
            <w:r>
              <w:rPr>
                <w:spacing w:val="2"/>
              </w:rPr>
              <w:t>分含量</w:t>
            </w:r>
          </w:p>
        </w:tc>
        <w:tc>
          <w:tcPr>
            <w:tcW w:w="1761" w:type="dxa"/>
            <w:vAlign w:val="top"/>
          </w:tcPr>
          <w:p w14:paraId="742294F9">
            <w:pPr>
              <w:pStyle w:val="10"/>
              <w:spacing w:before="235" w:line="219" w:lineRule="auto"/>
              <w:ind w:left="444"/>
            </w:pPr>
            <w:r>
              <w:rPr>
                <w:spacing w:val="3"/>
              </w:rPr>
              <w:t>灭治对象</w:t>
            </w:r>
          </w:p>
        </w:tc>
        <w:tc>
          <w:tcPr>
            <w:tcW w:w="1641" w:type="dxa"/>
            <w:vAlign w:val="top"/>
          </w:tcPr>
          <w:p w14:paraId="2D135CD4">
            <w:pPr>
              <w:pStyle w:val="10"/>
              <w:spacing w:before="235" w:line="219" w:lineRule="auto"/>
              <w:ind w:left="382"/>
            </w:pPr>
            <w:r>
              <w:rPr>
                <w:spacing w:val="4"/>
              </w:rPr>
              <w:t>使用方法</w:t>
            </w:r>
          </w:p>
        </w:tc>
      </w:tr>
      <w:tr w14:paraId="04AFB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39" w:type="dxa"/>
            <w:vAlign w:val="top"/>
          </w:tcPr>
          <w:p w14:paraId="1F317474">
            <w:pPr>
              <w:pStyle w:val="10"/>
              <w:spacing w:before="67" w:line="232" w:lineRule="auto"/>
              <w:ind w:left="329"/>
            </w:pPr>
            <w:r>
              <w:t>1</w:t>
            </w:r>
          </w:p>
        </w:tc>
        <w:tc>
          <w:tcPr>
            <w:tcW w:w="2760" w:type="dxa"/>
            <w:vAlign w:val="top"/>
          </w:tcPr>
          <w:p w14:paraId="7EA52232">
            <w:pPr>
              <w:pStyle w:val="10"/>
              <w:spacing w:before="67" w:line="219" w:lineRule="auto"/>
              <w:ind w:left="116"/>
            </w:pPr>
            <w:r>
              <w:rPr>
                <w:spacing w:val="3"/>
              </w:rPr>
              <w:t>灭鼠毒饵</w:t>
            </w:r>
          </w:p>
        </w:tc>
        <w:tc>
          <w:tcPr>
            <w:tcW w:w="1256" w:type="dxa"/>
            <w:vAlign w:val="top"/>
          </w:tcPr>
          <w:p w14:paraId="2ED3B23C">
            <w:pPr>
              <w:pStyle w:val="10"/>
              <w:spacing w:before="67" w:line="219" w:lineRule="auto"/>
              <w:ind w:left="114"/>
            </w:pPr>
            <w:r>
              <w:rPr>
                <w:spacing w:val="4"/>
              </w:rPr>
              <w:t>符合准则</w:t>
            </w:r>
          </w:p>
        </w:tc>
        <w:tc>
          <w:tcPr>
            <w:tcW w:w="1761" w:type="dxa"/>
            <w:vAlign w:val="top"/>
          </w:tcPr>
          <w:p w14:paraId="1D85A259">
            <w:pPr>
              <w:pStyle w:val="10"/>
              <w:spacing w:before="67" w:line="223" w:lineRule="auto"/>
              <w:ind w:left="843"/>
            </w:pPr>
            <w:r>
              <w:t>鼠</w:t>
            </w:r>
          </w:p>
        </w:tc>
        <w:tc>
          <w:tcPr>
            <w:tcW w:w="1641" w:type="dxa"/>
            <w:vAlign w:val="top"/>
          </w:tcPr>
          <w:p w14:paraId="7AE04D8F">
            <w:pPr>
              <w:pStyle w:val="10"/>
              <w:spacing w:before="67" w:line="220" w:lineRule="auto"/>
              <w:ind w:left="117"/>
            </w:pPr>
            <w:r>
              <w:rPr>
                <w:spacing w:val="-2"/>
              </w:rPr>
              <w:t>投饵</w:t>
            </w:r>
          </w:p>
        </w:tc>
      </w:tr>
      <w:tr w14:paraId="5EC2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39" w:type="dxa"/>
            <w:vAlign w:val="top"/>
          </w:tcPr>
          <w:p w14:paraId="5400C071">
            <w:pPr>
              <w:pStyle w:val="10"/>
              <w:spacing w:before="213" w:line="241" w:lineRule="auto"/>
              <w:ind w:left="314"/>
            </w:pPr>
            <w:r>
              <w:t>2</w:t>
            </w:r>
          </w:p>
        </w:tc>
        <w:tc>
          <w:tcPr>
            <w:tcW w:w="2760" w:type="dxa"/>
            <w:vAlign w:val="top"/>
          </w:tcPr>
          <w:p w14:paraId="41171F01">
            <w:pPr>
              <w:pStyle w:val="10"/>
              <w:spacing w:before="56" w:line="231" w:lineRule="auto"/>
              <w:ind w:left="112" w:right="163"/>
            </w:pPr>
            <w:r>
              <w:rPr>
                <w:spacing w:val="7"/>
              </w:rPr>
              <w:t>菊酯类＋四氟醚菊酯复</w:t>
            </w:r>
            <w:r>
              <w:t>配剂</w:t>
            </w:r>
          </w:p>
        </w:tc>
        <w:tc>
          <w:tcPr>
            <w:tcW w:w="1256" w:type="dxa"/>
            <w:vAlign w:val="top"/>
          </w:tcPr>
          <w:p w14:paraId="28DA5C46">
            <w:pPr>
              <w:pStyle w:val="10"/>
              <w:spacing w:before="214" w:line="219" w:lineRule="auto"/>
              <w:ind w:left="114"/>
            </w:pPr>
            <w:r>
              <w:rPr>
                <w:spacing w:val="4"/>
              </w:rPr>
              <w:t>符合准则</w:t>
            </w:r>
          </w:p>
        </w:tc>
        <w:tc>
          <w:tcPr>
            <w:tcW w:w="1761" w:type="dxa"/>
            <w:vAlign w:val="top"/>
          </w:tcPr>
          <w:p w14:paraId="0F5EA6E0">
            <w:pPr>
              <w:pStyle w:val="10"/>
              <w:spacing w:before="214" w:line="219" w:lineRule="auto"/>
              <w:ind w:left="564"/>
            </w:pPr>
            <w:r>
              <w:rPr>
                <w:spacing w:val="7"/>
              </w:rPr>
              <w:t>蚊、蝇</w:t>
            </w:r>
          </w:p>
        </w:tc>
        <w:tc>
          <w:tcPr>
            <w:tcW w:w="1641" w:type="dxa"/>
            <w:vAlign w:val="top"/>
          </w:tcPr>
          <w:p w14:paraId="5F04AA76">
            <w:pPr>
              <w:pStyle w:val="10"/>
              <w:spacing w:before="213" w:line="220" w:lineRule="auto"/>
              <w:ind w:left="113"/>
            </w:pPr>
            <w:r>
              <w:rPr>
                <w:spacing w:val="6"/>
              </w:rPr>
              <w:t>超低容量喷雾</w:t>
            </w:r>
          </w:p>
        </w:tc>
      </w:tr>
      <w:tr w14:paraId="75C03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39" w:type="dxa"/>
            <w:vAlign w:val="top"/>
          </w:tcPr>
          <w:p w14:paraId="15F6B9AC">
            <w:pPr>
              <w:pStyle w:val="10"/>
              <w:spacing w:before="213"/>
              <w:ind w:left="316"/>
            </w:pPr>
            <w:r>
              <w:t>3</w:t>
            </w:r>
          </w:p>
        </w:tc>
        <w:tc>
          <w:tcPr>
            <w:tcW w:w="2760" w:type="dxa"/>
            <w:vAlign w:val="top"/>
          </w:tcPr>
          <w:p w14:paraId="2594A154">
            <w:pPr>
              <w:pStyle w:val="10"/>
              <w:spacing w:before="213" w:line="219" w:lineRule="auto"/>
              <w:ind w:left="113"/>
            </w:pPr>
            <w:r>
              <w:rPr>
                <w:spacing w:val="7"/>
              </w:rPr>
              <w:t>菊酯类＋残杀威复配剂</w:t>
            </w:r>
          </w:p>
        </w:tc>
        <w:tc>
          <w:tcPr>
            <w:tcW w:w="1256" w:type="dxa"/>
            <w:vAlign w:val="top"/>
          </w:tcPr>
          <w:p w14:paraId="7E1790BF">
            <w:pPr>
              <w:pStyle w:val="10"/>
              <w:spacing w:before="214" w:line="219" w:lineRule="auto"/>
              <w:ind w:left="114"/>
            </w:pPr>
            <w:r>
              <w:rPr>
                <w:spacing w:val="4"/>
              </w:rPr>
              <w:t>符合准则</w:t>
            </w:r>
          </w:p>
        </w:tc>
        <w:tc>
          <w:tcPr>
            <w:tcW w:w="1761" w:type="dxa"/>
            <w:vAlign w:val="top"/>
          </w:tcPr>
          <w:p w14:paraId="2578038F">
            <w:pPr>
              <w:pStyle w:val="10"/>
              <w:spacing w:before="214" w:line="219" w:lineRule="auto"/>
              <w:ind w:left="189"/>
            </w:pPr>
            <w:r>
              <w:rPr>
                <w:spacing w:val="6"/>
              </w:rPr>
              <w:t>蚊、蝇、蜚蠊</w:t>
            </w:r>
          </w:p>
        </w:tc>
        <w:tc>
          <w:tcPr>
            <w:tcW w:w="1641" w:type="dxa"/>
            <w:vAlign w:val="top"/>
          </w:tcPr>
          <w:p w14:paraId="55B78DAF">
            <w:pPr>
              <w:pStyle w:val="10"/>
              <w:spacing w:before="213" w:line="220" w:lineRule="auto"/>
              <w:ind w:left="113"/>
            </w:pPr>
            <w:r>
              <w:rPr>
                <w:spacing w:val="5"/>
              </w:rPr>
              <w:t>滞留喷洒</w:t>
            </w:r>
          </w:p>
        </w:tc>
      </w:tr>
      <w:tr w14:paraId="4D0F4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9" w:type="dxa"/>
            <w:vAlign w:val="top"/>
          </w:tcPr>
          <w:p w14:paraId="60363725">
            <w:pPr>
              <w:pStyle w:val="10"/>
              <w:spacing w:before="193" w:line="241" w:lineRule="auto"/>
              <w:ind w:left="310"/>
            </w:pPr>
            <w:r>
              <w:t>4</w:t>
            </w:r>
          </w:p>
        </w:tc>
        <w:tc>
          <w:tcPr>
            <w:tcW w:w="2760" w:type="dxa"/>
            <w:vAlign w:val="top"/>
          </w:tcPr>
          <w:p w14:paraId="59149B86">
            <w:pPr>
              <w:pStyle w:val="10"/>
              <w:spacing w:before="192" w:line="219" w:lineRule="auto"/>
              <w:ind w:left="122"/>
            </w:pPr>
            <w:r>
              <w:rPr>
                <w:spacing w:val="5"/>
              </w:rPr>
              <w:t>吡丙醚颗粒剂</w:t>
            </w:r>
          </w:p>
        </w:tc>
        <w:tc>
          <w:tcPr>
            <w:tcW w:w="1256" w:type="dxa"/>
            <w:vAlign w:val="top"/>
          </w:tcPr>
          <w:p w14:paraId="6DFD35C1">
            <w:pPr>
              <w:pStyle w:val="10"/>
              <w:spacing w:before="193" w:line="219" w:lineRule="auto"/>
              <w:ind w:left="114"/>
            </w:pPr>
            <w:r>
              <w:rPr>
                <w:spacing w:val="4"/>
              </w:rPr>
              <w:t>符合准则</w:t>
            </w:r>
          </w:p>
        </w:tc>
        <w:tc>
          <w:tcPr>
            <w:tcW w:w="1761" w:type="dxa"/>
            <w:vAlign w:val="top"/>
          </w:tcPr>
          <w:p w14:paraId="78651C50">
            <w:pPr>
              <w:pStyle w:val="10"/>
              <w:spacing w:before="193" w:line="219" w:lineRule="auto"/>
              <w:jc w:val="right"/>
            </w:pPr>
            <w:r>
              <w:rPr>
                <w:spacing w:val="-7"/>
              </w:rPr>
              <w:t>孑孓（蚊幼虫）</w:t>
            </w:r>
          </w:p>
        </w:tc>
        <w:tc>
          <w:tcPr>
            <w:tcW w:w="1641" w:type="dxa"/>
            <w:vAlign w:val="top"/>
          </w:tcPr>
          <w:p w14:paraId="1081FECA">
            <w:pPr>
              <w:pStyle w:val="10"/>
              <w:spacing w:before="193" w:line="220" w:lineRule="auto"/>
              <w:ind w:left="113"/>
            </w:pPr>
            <w:r>
              <w:t>撒施</w:t>
            </w:r>
          </w:p>
        </w:tc>
      </w:tr>
      <w:tr w14:paraId="534D3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39" w:type="dxa"/>
            <w:vAlign w:val="top"/>
          </w:tcPr>
          <w:p w14:paraId="2C411186">
            <w:pPr>
              <w:pStyle w:val="10"/>
              <w:spacing w:before="171"/>
              <w:ind w:left="316"/>
            </w:pPr>
            <w:r>
              <w:t>5</w:t>
            </w:r>
          </w:p>
        </w:tc>
        <w:tc>
          <w:tcPr>
            <w:tcW w:w="2760" w:type="dxa"/>
            <w:vAlign w:val="top"/>
          </w:tcPr>
          <w:p w14:paraId="1FCFC80A">
            <w:pPr>
              <w:pStyle w:val="10"/>
              <w:spacing w:before="171" w:line="219" w:lineRule="auto"/>
              <w:ind w:left="116"/>
            </w:pPr>
            <w:r>
              <w:rPr>
                <w:spacing w:val="6"/>
              </w:rPr>
              <w:t>灭蟑饵剂或饵粒</w:t>
            </w:r>
          </w:p>
        </w:tc>
        <w:tc>
          <w:tcPr>
            <w:tcW w:w="1256" w:type="dxa"/>
            <w:vAlign w:val="top"/>
          </w:tcPr>
          <w:p w14:paraId="51677C82">
            <w:pPr>
              <w:pStyle w:val="10"/>
              <w:spacing w:before="172" w:line="219" w:lineRule="auto"/>
              <w:ind w:left="114"/>
            </w:pPr>
            <w:r>
              <w:rPr>
                <w:spacing w:val="4"/>
              </w:rPr>
              <w:t>符合准则</w:t>
            </w:r>
          </w:p>
        </w:tc>
        <w:tc>
          <w:tcPr>
            <w:tcW w:w="1761" w:type="dxa"/>
            <w:vAlign w:val="top"/>
          </w:tcPr>
          <w:p w14:paraId="09176FA6">
            <w:pPr>
              <w:pStyle w:val="10"/>
              <w:spacing w:before="172" w:line="220" w:lineRule="auto"/>
              <w:ind w:left="699"/>
            </w:pPr>
            <w:r>
              <w:rPr>
                <w:spacing w:val="-5"/>
              </w:rPr>
              <w:t>蜚蠊</w:t>
            </w:r>
          </w:p>
        </w:tc>
        <w:tc>
          <w:tcPr>
            <w:tcW w:w="1641" w:type="dxa"/>
            <w:vAlign w:val="top"/>
          </w:tcPr>
          <w:p w14:paraId="284F1122">
            <w:pPr>
              <w:pStyle w:val="10"/>
              <w:spacing w:before="172" w:line="220" w:lineRule="auto"/>
              <w:ind w:left="117"/>
            </w:pPr>
            <w:r>
              <w:rPr>
                <w:spacing w:val="-2"/>
              </w:rPr>
              <w:t>投放</w:t>
            </w:r>
          </w:p>
        </w:tc>
      </w:tr>
    </w:tbl>
    <w:p w14:paraId="69F41822">
      <w:pPr>
        <w:keepNext w:val="0"/>
        <w:keepLines w:val="0"/>
        <w:pageBreakBefore w:val="0"/>
        <w:widowControl/>
        <w:kinsoku w:val="0"/>
        <w:wordWrap/>
        <w:overflowPunct/>
        <w:topLinePunct w:val="0"/>
        <w:autoSpaceDE w:val="0"/>
        <w:autoSpaceDN w:val="0"/>
        <w:bidi w:val="0"/>
        <w:adjustRightInd w:val="0"/>
        <w:snapToGrid w:val="0"/>
        <w:spacing w:before="34" w:line="440" w:lineRule="exact"/>
        <w:textAlignment w:val="baseline"/>
        <w:rPr>
          <w:rFonts w:ascii="宋体" w:hAnsi="宋体" w:eastAsia="宋体" w:cs="宋体"/>
          <w:sz w:val="24"/>
          <w:szCs w:val="24"/>
        </w:rPr>
      </w:pPr>
      <w:r>
        <w:rPr>
          <w:rFonts w:ascii="宋体" w:hAnsi="宋体" w:eastAsia="宋体" w:cs="宋体"/>
          <w:b/>
          <w:bCs/>
          <w:spacing w:val="-11"/>
          <w:sz w:val="24"/>
          <w:szCs w:val="24"/>
        </w:rPr>
        <w:t>（</w:t>
      </w:r>
      <w:r>
        <w:rPr>
          <w:rFonts w:hint="eastAsia" w:ascii="宋体" w:hAnsi="宋体" w:eastAsia="宋体" w:cs="宋体"/>
          <w:b/>
          <w:bCs/>
          <w:spacing w:val="-11"/>
          <w:sz w:val="24"/>
          <w:szCs w:val="24"/>
          <w:lang w:val="en-US" w:eastAsia="zh-CN"/>
        </w:rPr>
        <w:t>3</w:t>
      </w:r>
      <w:r>
        <w:rPr>
          <w:rFonts w:ascii="宋体" w:hAnsi="宋体" w:eastAsia="宋体" w:cs="宋体"/>
          <w:b/>
          <w:bCs/>
          <w:spacing w:val="-11"/>
          <w:sz w:val="24"/>
          <w:szCs w:val="24"/>
        </w:rPr>
        <w:t>）人员配备</w:t>
      </w:r>
    </w:p>
    <w:p w14:paraId="057A87D5">
      <w:pPr>
        <w:keepNext w:val="0"/>
        <w:keepLines w:val="0"/>
        <w:pageBreakBefore w:val="0"/>
        <w:widowControl/>
        <w:kinsoku w:val="0"/>
        <w:wordWrap/>
        <w:overflowPunct/>
        <w:topLinePunct w:val="0"/>
        <w:autoSpaceDE w:val="0"/>
        <w:autoSpaceDN w:val="0"/>
        <w:bidi w:val="0"/>
        <w:adjustRightInd w:val="0"/>
        <w:snapToGrid w:val="0"/>
        <w:spacing w:before="25" w:line="440" w:lineRule="exact"/>
        <w:ind w:left="443"/>
        <w:textAlignment w:val="baseline"/>
        <w:rPr>
          <w:rFonts w:ascii="宋体" w:hAnsi="宋体" w:eastAsia="宋体" w:cs="宋体"/>
          <w:sz w:val="24"/>
          <w:szCs w:val="24"/>
        </w:rPr>
      </w:pPr>
      <w:r>
        <w:rPr>
          <w:rFonts w:ascii="宋体" w:hAnsi="宋体" w:eastAsia="宋体" w:cs="宋体"/>
          <w:spacing w:val="-7"/>
          <w:sz w:val="24"/>
          <w:szCs w:val="24"/>
        </w:rPr>
        <w:t>服务团队人员≥5人。</w:t>
      </w:r>
    </w:p>
    <w:p w14:paraId="6CFD71B0">
      <w:pPr>
        <w:keepNext w:val="0"/>
        <w:keepLines w:val="0"/>
        <w:pageBreakBefore w:val="0"/>
        <w:widowControl/>
        <w:kinsoku w:val="0"/>
        <w:wordWrap/>
        <w:overflowPunct/>
        <w:topLinePunct w:val="0"/>
        <w:autoSpaceDE w:val="0"/>
        <w:autoSpaceDN w:val="0"/>
        <w:bidi w:val="0"/>
        <w:adjustRightInd w:val="0"/>
        <w:snapToGrid w:val="0"/>
        <w:spacing w:before="27" w:line="440" w:lineRule="exact"/>
        <w:ind w:left="528"/>
        <w:textAlignment w:val="baseline"/>
        <w:rPr>
          <w:rFonts w:ascii="宋体" w:hAnsi="宋体" w:eastAsia="宋体" w:cs="宋体"/>
          <w:b/>
          <w:bCs/>
          <w:spacing w:val="-10"/>
          <w:sz w:val="24"/>
          <w:szCs w:val="24"/>
        </w:rPr>
      </w:pPr>
      <w:r>
        <w:rPr>
          <w:rFonts w:ascii="宋体" w:hAnsi="宋体" w:eastAsia="宋体" w:cs="宋体"/>
          <w:b/>
          <w:bCs/>
          <w:spacing w:val="-10"/>
          <w:sz w:val="24"/>
          <w:szCs w:val="24"/>
        </w:rPr>
        <w:t>提供承诺函佐证。</w:t>
      </w:r>
    </w:p>
    <w:p w14:paraId="04579FEA">
      <w:pPr>
        <w:keepNext w:val="0"/>
        <w:keepLines w:val="0"/>
        <w:pageBreakBefore w:val="0"/>
        <w:widowControl/>
        <w:kinsoku w:val="0"/>
        <w:wordWrap/>
        <w:overflowPunct/>
        <w:topLinePunct w:val="0"/>
        <w:autoSpaceDE w:val="0"/>
        <w:autoSpaceDN w:val="0"/>
        <w:bidi w:val="0"/>
        <w:adjustRightInd w:val="0"/>
        <w:snapToGrid w:val="0"/>
        <w:spacing w:before="27" w:line="440" w:lineRule="exact"/>
        <w:textAlignment w:val="baseline"/>
        <w:rPr>
          <w:rFonts w:ascii="宋体" w:hAnsi="宋体" w:eastAsia="宋体" w:cs="宋体"/>
          <w:spacing w:val="-10"/>
          <w:sz w:val="24"/>
          <w:szCs w:val="24"/>
        </w:rPr>
      </w:pPr>
      <w:r>
        <w:rPr>
          <w:rFonts w:ascii="宋体" w:hAnsi="宋体" w:eastAsia="宋体" w:cs="宋体"/>
          <w:spacing w:val="-10"/>
          <w:sz w:val="24"/>
          <w:szCs w:val="24"/>
        </w:rPr>
        <w:t>（</w:t>
      </w:r>
      <w:r>
        <w:rPr>
          <w:rFonts w:hint="eastAsia" w:ascii="宋体" w:hAnsi="宋体" w:eastAsia="宋体" w:cs="宋体"/>
          <w:spacing w:val="-10"/>
          <w:sz w:val="24"/>
          <w:szCs w:val="24"/>
          <w:lang w:val="en-US" w:eastAsia="zh-CN"/>
        </w:rPr>
        <w:t>4</w:t>
      </w:r>
      <w:r>
        <w:rPr>
          <w:rFonts w:ascii="宋体" w:hAnsi="宋体" w:eastAsia="宋体" w:cs="宋体"/>
          <w:spacing w:val="-10"/>
          <w:sz w:val="24"/>
          <w:szCs w:val="24"/>
        </w:rPr>
        <w:t>）服务设备</w:t>
      </w:r>
    </w:p>
    <w:p w14:paraId="2537BAD2">
      <w:pPr>
        <w:keepNext w:val="0"/>
        <w:keepLines w:val="0"/>
        <w:pageBreakBefore w:val="0"/>
        <w:widowControl/>
        <w:kinsoku w:val="0"/>
        <w:wordWrap/>
        <w:overflowPunct/>
        <w:topLinePunct w:val="0"/>
        <w:autoSpaceDE w:val="0"/>
        <w:autoSpaceDN w:val="0"/>
        <w:bidi w:val="0"/>
        <w:adjustRightInd w:val="0"/>
        <w:snapToGrid w:val="0"/>
        <w:spacing w:before="27" w:line="440" w:lineRule="exact"/>
        <w:ind w:left="528"/>
        <w:textAlignment w:val="baseline"/>
        <w:rPr>
          <w:rFonts w:ascii="宋体" w:hAnsi="宋体" w:eastAsia="宋体" w:cs="宋体"/>
          <w:spacing w:val="-10"/>
          <w:sz w:val="24"/>
          <w:szCs w:val="24"/>
        </w:rPr>
      </w:pPr>
      <w:r>
        <w:rPr>
          <w:rFonts w:ascii="宋体" w:hAnsi="宋体" w:eastAsia="宋体" w:cs="宋体"/>
          <w:spacing w:val="-10"/>
          <w:sz w:val="24"/>
          <w:szCs w:val="24"/>
        </w:rPr>
        <w:t>(1)配备至少1辆皮卡或面包车或货车等服务车用于消杀工作。</w:t>
      </w:r>
    </w:p>
    <w:p w14:paraId="0C38168D">
      <w:pPr>
        <w:keepNext w:val="0"/>
        <w:keepLines w:val="0"/>
        <w:pageBreakBefore w:val="0"/>
        <w:widowControl/>
        <w:kinsoku w:val="0"/>
        <w:wordWrap/>
        <w:overflowPunct/>
        <w:topLinePunct w:val="0"/>
        <w:autoSpaceDE w:val="0"/>
        <w:autoSpaceDN w:val="0"/>
        <w:bidi w:val="0"/>
        <w:adjustRightInd w:val="0"/>
        <w:snapToGrid w:val="0"/>
        <w:spacing w:before="27" w:line="440" w:lineRule="exact"/>
        <w:ind w:left="528"/>
        <w:textAlignment w:val="baseline"/>
        <w:rPr>
          <w:rFonts w:ascii="宋体" w:hAnsi="宋体" w:eastAsia="宋体" w:cs="宋体"/>
          <w:spacing w:val="-10"/>
          <w:sz w:val="24"/>
          <w:szCs w:val="24"/>
        </w:rPr>
      </w:pPr>
      <w:r>
        <w:rPr>
          <w:rFonts w:ascii="宋体" w:hAnsi="宋体" w:eastAsia="宋体" w:cs="宋体"/>
          <w:spacing w:val="-10"/>
          <w:sz w:val="24"/>
          <w:szCs w:val="24"/>
        </w:rPr>
        <w:t>(2)配备热烟雾机1台。</w:t>
      </w:r>
    </w:p>
    <w:p w14:paraId="6829B7EC">
      <w:pPr>
        <w:keepNext w:val="0"/>
        <w:keepLines w:val="0"/>
        <w:pageBreakBefore w:val="0"/>
        <w:widowControl/>
        <w:kinsoku w:val="0"/>
        <w:wordWrap/>
        <w:overflowPunct/>
        <w:topLinePunct w:val="0"/>
        <w:autoSpaceDE w:val="0"/>
        <w:autoSpaceDN w:val="0"/>
        <w:bidi w:val="0"/>
        <w:adjustRightInd w:val="0"/>
        <w:snapToGrid w:val="0"/>
        <w:spacing w:before="27" w:line="440" w:lineRule="exact"/>
        <w:ind w:left="528"/>
        <w:textAlignment w:val="baseline"/>
        <w:rPr>
          <w:rFonts w:ascii="宋体" w:hAnsi="宋体" w:eastAsia="宋体" w:cs="宋体"/>
          <w:spacing w:val="-10"/>
          <w:sz w:val="24"/>
          <w:szCs w:val="24"/>
        </w:rPr>
      </w:pPr>
      <w:r>
        <w:rPr>
          <w:rFonts w:ascii="宋体" w:hAnsi="宋体" w:eastAsia="宋体" w:cs="宋体"/>
          <w:spacing w:val="-10"/>
          <w:sz w:val="24"/>
          <w:szCs w:val="24"/>
        </w:rPr>
        <w:t>(3)配备背负式电动或机动超低容量喷雾器1台。</w:t>
      </w:r>
    </w:p>
    <w:p w14:paraId="48DFC60B">
      <w:pPr>
        <w:keepNext w:val="0"/>
        <w:keepLines w:val="0"/>
        <w:pageBreakBefore w:val="0"/>
        <w:widowControl/>
        <w:kinsoku w:val="0"/>
        <w:wordWrap/>
        <w:overflowPunct/>
        <w:topLinePunct w:val="0"/>
        <w:autoSpaceDE w:val="0"/>
        <w:autoSpaceDN w:val="0"/>
        <w:bidi w:val="0"/>
        <w:adjustRightInd w:val="0"/>
        <w:snapToGrid w:val="0"/>
        <w:spacing w:before="27" w:line="440" w:lineRule="exact"/>
        <w:ind w:left="528"/>
        <w:textAlignment w:val="baseline"/>
        <w:rPr>
          <w:rFonts w:ascii="宋体" w:hAnsi="宋体" w:eastAsia="宋体" w:cs="宋体"/>
          <w:spacing w:val="-10"/>
          <w:sz w:val="24"/>
          <w:szCs w:val="24"/>
        </w:rPr>
      </w:pPr>
      <w:r>
        <w:rPr>
          <w:rFonts w:ascii="宋体" w:hAnsi="宋体" w:eastAsia="宋体" w:cs="宋体"/>
          <w:spacing w:val="-10"/>
          <w:sz w:val="24"/>
          <w:szCs w:val="24"/>
        </w:rPr>
        <w:t>(4)配备车载式雾炮机1台。</w:t>
      </w:r>
    </w:p>
    <w:p w14:paraId="4F4A7A80">
      <w:pPr>
        <w:keepNext w:val="0"/>
        <w:keepLines w:val="0"/>
        <w:pageBreakBefore w:val="0"/>
        <w:widowControl/>
        <w:kinsoku w:val="0"/>
        <w:wordWrap/>
        <w:overflowPunct/>
        <w:topLinePunct w:val="0"/>
        <w:autoSpaceDE w:val="0"/>
        <w:autoSpaceDN w:val="0"/>
        <w:bidi w:val="0"/>
        <w:adjustRightInd w:val="0"/>
        <w:snapToGrid w:val="0"/>
        <w:spacing w:before="27" w:line="440" w:lineRule="exact"/>
        <w:ind w:left="528"/>
        <w:textAlignment w:val="baseline"/>
        <w:rPr>
          <w:rFonts w:ascii="宋体" w:hAnsi="宋体" w:eastAsia="宋体" w:cs="宋体"/>
          <w:b/>
          <w:bCs/>
          <w:spacing w:val="-10"/>
          <w:sz w:val="24"/>
          <w:szCs w:val="24"/>
        </w:rPr>
      </w:pPr>
      <w:r>
        <w:rPr>
          <w:rFonts w:ascii="宋体" w:hAnsi="宋体" w:eastAsia="宋体" w:cs="宋体"/>
          <w:b/>
          <w:bCs/>
          <w:spacing w:val="-10"/>
          <w:sz w:val="24"/>
          <w:szCs w:val="24"/>
        </w:rPr>
        <w:t>提供以上(1)-(4)承诺函佐证。</w:t>
      </w:r>
    </w:p>
    <w:p w14:paraId="57C4737A">
      <w:pPr>
        <w:keepNext w:val="0"/>
        <w:keepLines w:val="0"/>
        <w:pageBreakBefore w:val="0"/>
        <w:widowControl/>
        <w:kinsoku w:val="0"/>
        <w:wordWrap/>
        <w:overflowPunct/>
        <w:topLinePunct w:val="0"/>
        <w:autoSpaceDE w:val="0"/>
        <w:autoSpaceDN w:val="0"/>
        <w:bidi w:val="0"/>
        <w:adjustRightInd w:val="0"/>
        <w:snapToGrid w:val="0"/>
        <w:spacing w:before="25" w:line="440" w:lineRule="exact"/>
        <w:textAlignment w:val="baseline"/>
        <w:rPr>
          <w:rFonts w:ascii="宋体" w:hAnsi="宋体" w:eastAsia="宋体" w:cs="宋体"/>
          <w:sz w:val="24"/>
          <w:szCs w:val="24"/>
        </w:rPr>
      </w:pPr>
      <w:r>
        <w:rPr>
          <w:rFonts w:ascii="宋体" w:hAnsi="宋体" w:eastAsia="宋体" w:cs="宋体"/>
          <w:b/>
          <w:bCs/>
          <w:spacing w:val="-11"/>
          <w:sz w:val="24"/>
          <w:szCs w:val="24"/>
        </w:rPr>
        <w:t>（</w:t>
      </w:r>
      <w:r>
        <w:rPr>
          <w:rFonts w:hint="eastAsia" w:ascii="宋体" w:hAnsi="宋体" w:eastAsia="宋体" w:cs="宋体"/>
          <w:b/>
          <w:bCs/>
          <w:spacing w:val="-11"/>
          <w:sz w:val="24"/>
          <w:szCs w:val="24"/>
          <w:lang w:val="en-US" w:eastAsia="zh-CN"/>
        </w:rPr>
        <w:t>5</w:t>
      </w:r>
      <w:r>
        <w:rPr>
          <w:rFonts w:ascii="宋体" w:hAnsi="宋体" w:eastAsia="宋体" w:cs="宋体"/>
          <w:b/>
          <w:bCs/>
          <w:spacing w:val="-11"/>
          <w:sz w:val="24"/>
          <w:szCs w:val="24"/>
        </w:rPr>
        <w:t>）项目实施要求</w:t>
      </w:r>
    </w:p>
    <w:p w14:paraId="02DE2F08">
      <w:pPr>
        <w:keepNext w:val="0"/>
        <w:keepLines w:val="0"/>
        <w:pageBreakBefore w:val="0"/>
        <w:widowControl/>
        <w:kinsoku w:val="0"/>
        <w:wordWrap/>
        <w:overflowPunct/>
        <w:topLinePunct w:val="0"/>
        <w:autoSpaceDE w:val="0"/>
        <w:autoSpaceDN w:val="0"/>
        <w:bidi w:val="0"/>
        <w:adjustRightInd w:val="0"/>
        <w:snapToGrid w:val="0"/>
        <w:spacing w:before="26" w:line="440" w:lineRule="exact"/>
        <w:ind w:left="23" w:right="750" w:firstLine="480"/>
        <w:textAlignment w:val="baseline"/>
        <w:rPr>
          <w:rFonts w:hint="eastAsia" w:ascii="宋体" w:hAnsi="宋体" w:eastAsia="宋体" w:cs="宋体"/>
          <w:sz w:val="24"/>
          <w:szCs w:val="24"/>
          <w:lang w:eastAsia="zh-CN"/>
        </w:rPr>
      </w:pPr>
      <w:r>
        <w:rPr>
          <w:rFonts w:ascii="宋体" w:hAnsi="宋体" w:eastAsia="宋体" w:cs="宋体"/>
          <w:spacing w:val="-9"/>
          <w:sz w:val="24"/>
          <w:szCs w:val="24"/>
        </w:rPr>
        <w:t>1、成交供应商全面负责提供本项目所需要的灭鼠灭蟑灭蚊蝇药物消杀及技术</w:t>
      </w:r>
      <w:r>
        <w:rPr>
          <w:rFonts w:ascii="宋体" w:hAnsi="宋体" w:eastAsia="宋体" w:cs="宋体"/>
          <w:spacing w:val="-6"/>
          <w:sz w:val="24"/>
          <w:szCs w:val="24"/>
        </w:rPr>
        <w:t>服务</w:t>
      </w:r>
      <w:r>
        <w:rPr>
          <w:rFonts w:hint="eastAsia" w:ascii="宋体" w:hAnsi="宋体" w:eastAsia="宋体" w:cs="宋体"/>
          <w:spacing w:val="-6"/>
          <w:sz w:val="24"/>
          <w:szCs w:val="24"/>
          <w:lang w:eastAsia="zh-CN"/>
        </w:rPr>
        <w:t>。</w:t>
      </w:r>
    </w:p>
    <w:p w14:paraId="51CE1894">
      <w:pPr>
        <w:keepNext w:val="0"/>
        <w:keepLines w:val="0"/>
        <w:pageBreakBefore w:val="0"/>
        <w:widowControl/>
        <w:kinsoku w:val="0"/>
        <w:wordWrap/>
        <w:overflowPunct/>
        <w:topLinePunct w:val="0"/>
        <w:autoSpaceDE w:val="0"/>
        <w:autoSpaceDN w:val="0"/>
        <w:bidi w:val="0"/>
        <w:adjustRightInd w:val="0"/>
        <w:snapToGrid w:val="0"/>
        <w:spacing w:line="440" w:lineRule="exact"/>
        <w:ind w:left="489"/>
        <w:textAlignment w:val="baseline"/>
        <w:rPr>
          <w:rFonts w:ascii="宋体" w:hAnsi="宋体" w:eastAsia="宋体" w:cs="宋体"/>
          <w:sz w:val="24"/>
          <w:szCs w:val="24"/>
        </w:rPr>
      </w:pPr>
      <w:r>
        <w:rPr>
          <w:rFonts w:ascii="宋体" w:hAnsi="宋体" w:eastAsia="宋体" w:cs="宋体"/>
          <w:spacing w:val="-8"/>
          <w:sz w:val="24"/>
          <w:szCs w:val="24"/>
        </w:rPr>
        <w:t>2、成交供应商保证按响应文件中的服务承诺提供良好的服务。</w:t>
      </w:r>
    </w:p>
    <w:p w14:paraId="04219008">
      <w:pPr>
        <w:keepNext w:val="0"/>
        <w:keepLines w:val="0"/>
        <w:pageBreakBefore w:val="0"/>
        <w:widowControl/>
        <w:kinsoku w:val="0"/>
        <w:wordWrap/>
        <w:overflowPunct/>
        <w:topLinePunct w:val="0"/>
        <w:autoSpaceDE w:val="0"/>
        <w:autoSpaceDN w:val="0"/>
        <w:bidi w:val="0"/>
        <w:adjustRightInd w:val="0"/>
        <w:snapToGrid w:val="0"/>
        <w:spacing w:before="28" w:line="440" w:lineRule="exact"/>
        <w:ind w:left="46" w:right="750" w:firstLine="445"/>
        <w:textAlignment w:val="baseline"/>
        <w:rPr>
          <w:rFonts w:ascii="宋体" w:hAnsi="宋体" w:eastAsia="宋体" w:cs="宋体"/>
          <w:sz w:val="24"/>
          <w:szCs w:val="24"/>
        </w:rPr>
      </w:pPr>
      <w:r>
        <w:rPr>
          <w:rFonts w:ascii="宋体" w:hAnsi="宋体" w:eastAsia="宋体" w:cs="宋体"/>
          <w:spacing w:val="-8"/>
          <w:sz w:val="24"/>
          <w:szCs w:val="24"/>
        </w:rPr>
        <w:t>3、成交供应商工作人员在实施服务时应统一着装、佩证上岗、明确任</w:t>
      </w:r>
      <w:r>
        <w:rPr>
          <w:rFonts w:ascii="宋体" w:hAnsi="宋体" w:eastAsia="宋体" w:cs="宋体"/>
          <w:spacing w:val="-9"/>
          <w:sz w:val="24"/>
          <w:szCs w:val="24"/>
        </w:rPr>
        <w:t>务、文明作业。填写服务登记卡，并请采购人有关人员签字，作为当次服务的凭据。</w:t>
      </w:r>
    </w:p>
    <w:p w14:paraId="592A15C8">
      <w:pPr>
        <w:keepNext w:val="0"/>
        <w:keepLines w:val="0"/>
        <w:pageBreakBefore w:val="0"/>
        <w:widowControl/>
        <w:kinsoku w:val="0"/>
        <w:wordWrap/>
        <w:overflowPunct/>
        <w:topLinePunct w:val="0"/>
        <w:autoSpaceDE w:val="0"/>
        <w:autoSpaceDN w:val="0"/>
        <w:bidi w:val="0"/>
        <w:adjustRightInd w:val="0"/>
        <w:snapToGrid w:val="0"/>
        <w:spacing w:line="440" w:lineRule="exact"/>
        <w:ind w:left="38" w:right="750" w:firstLine="447"/>
        <w:textAlignment w:val="baseline"/>
        <w:rPr>
          <w:rFonts w:ascii="宋体" w:hAnsi="宋体" w:eastAsia="宋体" w:cs="宋体"/>
          <w:sz w:val="24"/>
          <w:szCs w:val="24"/>
        </w:rPr>
      </w:pPr>
      <w:r>
        <w:rPr>
          <w:rFonts w:ascii="宋体" w:hAnsi="宋体" w:eastAsia="宋体" w:cs="宋体"/>
          <w:spacing w:val="-8"/>
          <w:sz w:val="24"/>
          <w:szCs w:val="24"/>
        </w:rPr>
        <w:t>4、注意药物的使用安全，投（施）药后需防护的部位和措施，应采取有效的</w:t>
      </w:r>
      <w:r>
        <w:rPr>
          <w:rFonts w:ascii="宋体" w:hAnsi="宋体" w:eastAsia="宋体" w:cs="宋体"/>
          <w:spacing w:val="-9"/>
          <w:sz w:val="24"/>
          <w:szCs w:val="24"/>
        </w:rPr>
        <w:t>防护和措施，及时向采购人报告并适时向市民发布提醒事项。</w:t>
      </w:r>
    </w:p>
    <w:p w14:paraId="45FEFE98">
      <w:pPr>
        <w:keepNext w:val="0"/>
        <w:keepLines w:val="0"/>
        <w:pageBreakBefore w:val="0"/>
        <w:widowControl/>
        <w:kinsoku w:val="0"/>
        <w:wordWrap/>
        <w:overflowPunct/>
        <w:topLinePunct w:val="0"/>
        <w:autoSpaceDE w:val="0"/>
        <w:autoSpaceDN w:val="0"/>
        <w:bidi w:val="0"/>
        <w:adjustRightInd w:val="0"/>
        <w:snapToGrid w:val="0"/>
        <w:spacing w:line="440" w:lineRule="exact"/>
        <w:ind w:left="491"/>
        <w:textAlignment w:val="baseline"/>
        <w:rPr>
          <w:rFonts w:ascii="宋体" w:hAnsi="宋体" w:eastAsia="宋体" w:cs="宋体"/>
          <w:sz w:val="24"/>
          <w:szCs w:val="24"/>
        </w:rPr>
      </w:pPr>
      <w:r>
        <w:rPr>
          <w:rFonts w:ascii="宋体" w:hAnsi="宋体" w:eastAsia="宋体" w:cs="宋体"/>
          <w:spacing w:val="-8"/>
          <w:sz w:val="24"/>
          <w:szCs w:val="24"/>
        </w:rPr>
        <w:t>5、事先作好投药前温馨提示，不能对市民造成影响。</w:t>
      </w:r>
    </w:p>
    <w:p w14:paraId="7AC4BFF3">
      <w:pPr>
        <w:keepNext w:val="0"/>
        <w:keepLines w:val="0"/>
        <w:pageBreakBefore w:val="0"/>
        <w:widowControl/>
        <w:kinsoku w:val="0"/>
        <w:wordWrap/>
        <w:overflowPunct/>
        <w:topLinePunct w:val="0"/>
        <w:autoSpaceDE w:val="0"/>
        <w:autoSpaceDN w:val="0"/>
        <w:bidi w:val="0"/>
        <w:adjustRightInd w:val="0"/>
        <w:snapToGrid w:val="0"/>
        <w:spacing w:before="26" w:line="440" w:lineRule="exact"/>
        <w:ind w:left="488"/>
        <w:textAlignment w:val="baseline"/>
        <w:rPr>
          <w:rFonts w:ascii="宋体" w:hAnsi="宋体" w:eastAsia="宋体" w:cs="宋体"/>
          <w:sz w:val="24"/>
          <w:szCs w:val="24"/>
        </w:rPr>
      </w:pPr>
      <w:r>
        <w:rPr>
          <w:rFonts w:ascii="宋体" w:hAnsi="宋体" w:eastAsia="宋体" w:cs="宋体"/>
          <w:spacing w:val="-8"/>
          <w:sz w:val="24"/>
          <w:szCs w:val="24"/>
        </w:rPr>
        <w:t>6、确保对服务辖区内的动、植物及公共设施不造成损害。</w:t>
      </w:r>
    </w:p>
    <w:p w14:paraId="3598CD01">
      <w:pPr>
        <w:keepNext w:val="0"/>
        <w:keepLines w:val="0"/>
        <w:pageBreakBefore w:val="0"/>
        <w:widowControl/>
        <w:kinsoku w:val="0"/>
        <w:wordWrap/>
        <w:overflowPunct/>
        <w:topLinePunct w:val="0"/>
        <w:autoSpaceDE w:val="0"/>
        <w:autoSpaceDN w:val="0"/>
        <w:bidi w:val="0"/>
        <w:adjustRightInd w:val="0"/>
        <w:snapToGrid w:val="0"/>
        <w:spacing w:before="26" w:line="440" w:lineRule="exact"/>
        <w:ind w:left="23" w:right="750" w:firstLine="468"/>
        <w:textAlignment w:val="baseline"/>
        <w:rPr>
          <w:rFonts w:ascii="宋体" w:hAnsi="宋体" w:eastAsia="宋体" w:cs="宋体"/>
          <w:sz w:val="24"/>
          <w:szCs w:val="24"/>
        </w:rPr>
      </w:pPr>
      <w:r>
        <w:rPr>
          <w:rFonts w:ascii="宋体" w:hAnsi="宋体" w:eastAsia="宋体" w:cs="宋体"/>
          <w:spacing w:val="-8"/>
          <w:sz w:val="24"/>
          <w:szCs w:val="24"/>
        </w:rPr>
        <w:t>7、确保施工安全，若因施工原因造成的安全事故及存在安全隐患造</w:t>
      </w:r>
      <w:r>
        <w:rPr>
          <w:rFonts w:ascii="宋体" w:hAnsi="宋体" w:eastAsia="宋体" w:cs="宋体"/>
          <w:spacing w:val="-9"/>
          <w:sz w:val="24"/>
          <w:szCs w:val="24"/>
        </w:rPr>
        <w:t>成自身和</w:t>
      </w:r>
      <w:r>
        <w:rPr>
          <w:rFonts w:ascii="宋体" w:hAnsi="宋体" w:eastAsia="宋体" w:cs="宋体"/>
          <w:spacing w:val="-8"/>
          <w:sz w:val="24"/>
          <w:szCs w:val="24"/>
        </w:rPr>
        <w:t>他人人身财产损害，其责任均由供应商承担。</w:t>
      </w:r>
    </w:p>
    <w:p w14:paraId="1F8C7FD0">
      <w:pPr>
        <w:pStyle w:val="4"/>
        <w:spacing w:line="243" w:lineRule="auto"/>
        <w:rPr>
          <w:highlight w:val="none"/>
        </w:rPr>
      </w:pPr>
    </w:p>
    <w:p w14:paraId="310ECF22">
      <w:pPr>
        <w:pStyle w:val="3"/>
        <w:bidi w:val="0"/>
        <w:spacing w:line="240" w:lineRule="auto"/>
        <w:rPr>
          <w:rFonts w:hint="eastAsia" w:ascii="微软雅黑" w:hAnsi="微软雅黑" w:eastAsia="微软雅黑" w:cs="微软雅黑"/>
          <w:b/>
          <w:sz w:val="24"/>
          <w:szCs w:val="24"/>
          <w:highlight w:val="none"/>
        </w:rPr>
      </w:pPr>
      <w:bookmarkStart w:id="2" w:name="bookmark9"/>
      <w:bookmarkEnd w:id="2"/>
      <w:bookmarkStart w:id="3" w:name="_Toc4139"/>
      <w:r>
        <w:rPr>
          <w:rFonts w:hint="eastAsia" w:ascii="微软雅黑" w:hAnsi="微软雅黑" w:eastAsia="微软雅黑" w:cs="微软雅黑"/>
          <w:b/>
          <w:sz w:val="24"/>
          <w:szCs w:val="24"/>
          <w:highlight w:val="none"/>
        </w:rPr>
        <w:t>（</w:t>
      </w:r>
      <w:r>
        <w:rPr>
          <w:rFonts w:hint="eastAsia" w:ascii="微软雅黑" w:hAnsi="微软雅黑" w:eastAsia="微软雅黑" w:cs="微软雅黑"/>
          <w:b/>
          <w:sz w:val="24"/>
          <w:szCs w:val="24"/>
          <w:highlight w:val="none"/>
          <w:lang w:val="en-US" w:eastAsia="zh-CN"/>
        </w:rPr>
        <w:t>三</w:t>
      </w:r>
      <w:r>
        <w:rPr>
          <w:rFonts w:hint="eastAsia" w:ascii="微软雅黑" w:hAnsi="微软雅黑" w:eastAsia="微软雅黑" w:cs="微软雅黑"/>
          <w:b/>
          <w:sz w:val="24"/>
          <w:szCs w:val="24"/>
          <w:highlight w:val="none"/>
        </w:rPr>
        <w:t>） 商务条件</w:t>
      </w:r>
      <w:bookmarkEnd w:id="3"/>
    </w:p>
    <w:p w14:paraId="644F967C">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1、服务地点：采购人指定地点。</w:t>
      </w:r>
    </w:p>
    <w:p w14:paraId="0133648D">
      <w:pPr>
        <w:spacing w:before="183" w:line="360" w:lineRule="auto"/>
        <w:ind w:left="220" w:leftChars="0" w:firstLine="224" w:firstLineChars="100"/>
        <w:jc w:val="both"/>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2、服务时间：本项目服务期为1年。</w:t>
      </w:r>
    </w:p>
    <w:p w14:paraId="3F5BB329">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付款方式：本项目款项的支付共分为四个阶段:一、甲乙双方签订合同后乙方在第一季度内完成第一次集中消杀后，甲方支付合同总金额的30%进度款;合同第6个月结束后，甲方支付合同总金额的30%进度款;三、合同第9个月结束后甲方支付合同总金额的20%;四、合同第12个月结束后，甲方支付合同总金额的20%。以上付款均为无息付款，合同期内付清。</w:t>
      </w:r>
    </w:p>
    <w:p w14:paraId="38A91E86">
      <w:pPr>
        <w:spacing w:before="183" w:line="360" w:lineRule="auto"/>
        <w:ind w:left="220" w:leftChars="0" w:firstLine="224" w:firstLineChars="100"/>
        <w:jc w:val="both"/>
        <w:rPr>
          <w:rFonts w:hint="eastAsia" w:ascii="宋体" w:hAnsi="宋体" w:eastAsia="宋体" w:cs="宋体"/>
          <w:spacing w:val="-8"/>
          <w:sz w:val="24"/>
          <w:szCs w:val="24"/>
          <w:lang w:val="en-US" w:eastAsia="zh-CN"/>
        </w:rPr>
      </w:pPr>
      <w:bookmarkStart w:id="4" w:name="heading_19"/>
      <w:r>
        <w:rPr>
          <w:rFonts w:hint="eastAsia" w:ascii="宋体" w:hAnsi="宋体" w:eastAsia="宋体" w:cs="宋体"/>
          <w:spacing w:val="-8"/>
          <w:sz w:val="24"/>
          <w:szCs w:val="24"/>
          <w:lang w:val="en-US" w:eastAsia="zh-CN"/>
        </w:rPr>
        <w:t>4、报价要求</w:t>
      </w:r>
      <w:bookmarkEnd w:id="4"/>
      <w:r>
        <w:rPr>
          <w:rFonts w:hint="eastAsia" w:ascii="宋体" w:hAnsi="宋体" w:eastAsia="宋体" w:cs="宋体"/>
          <w:spacing w:val="-8"/>
          <w:sz w:val="24"/>
          <w:szCs w:val="24"/>
          <w:lang w:val="en-US" w:eastAsia="zh-CN"/>
        </w:rPr>
        <w:t>：报价为含税总价，涵盖团队人员薪酬、社保、培训、差旅费等所有服务成本；报价不得超过采购人设定的预算控制价，超出预算的报价作无效处理。</w:t>
      </w:r>
    </w:p>
    <w:p w14:paraId="2C5E48B2">
      <w:pPr>
        <w:spacing w:before="183" w:line="360" w:lineRule="auto"/>
        <w:ind w:left="220" w:leftChars="0" w:firstLine="224" w:firstLineChars="100"/>
        <w:jc w:val="both"/>
        <w:rPr>
          <w:rFonts w:hint="eastAsia" w:ascii="宋体" w:hAnsi="宋体" w:eastAsia="宋体" w:cs="宋体"/>
          <w:spacing w:val="-8"/>
          <w:sz w:val="24"/>
          <w:szCs w:val="24"/>
          <w:lang w:val="en-US" w:eastAsia="zh-CN"/>
        </w:rPr>
      </w:pPr>
      <w:bookmarkStart w:id="5" w:name="heading_21"/>
      <w:r>
        <w:rPr>
          <w:rFonts w:hint="eastAsia" w:ascii="宋体" w:hAnsi="宋体" w:eastAsia="宋体" w:cs="宋体"/>
          <w:spacing w:val="-8"/>
          <w:sz w:val="24"/>
          <w:szCs w:val="24"/>
          <w:lang w:val="en-US" w:eastAsia="zh-CN"/>
        </w:rPr>
        <w:t>5、售后服务与保障</w:t>
      </w:r>
      <w:bookmarkEnd w:id="5"/>
    </w:p>
    <w:p w14:paraId="477AAF36">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①人员保障：服务期内人员离职、缺编的，供应商须在完成人员补充，确保服务不中断；</w:t>
      </w:r>
    </w:p>
    <w:p w14:paraId="22AF7B24">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②培训保障：供应商定期组织全员培训，培训内容涵盖业务技能、政策更新、应急处置等。</w:t>
      </w:r>
    </w:p>
    <w:p w14:paraId="64025F8A">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6、其他要求：</w:t>
      </w:r>
    </w:p>
    <w:p w14:paraId="490BE555">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①成交供应商应保证采购人在中华人民共和国使用成交供应商所提供的货物或服务的任何一部分时，免受第三方提出的侵犯其专利权、商标权的起诉；如果任何第三方提出侵权指控，成交供应商承担一切与之有关的责任。</w:t>
      </w:r>
    </w:p>
    <w:p w14:paraId="3ABDF344">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②成交供应商在履行合同时，应按照民法典用工，若出现员工不符合办理“社会保险”条件时，成交供应商应给予上述员工办理有关“商业保险中的意外伤害险”，且意外伤害险所赔付的保额不得低于当期工伤保险的赔付额。</w:t>
      </w:r>
    </w:p>
    <w:p w14:paraId="4F0EBDF9">
      <w:pPr>
        <w:spacing w:before="183" w:line="360" w:lineRule="auto"/>
        <w:ind w:left="220" w:leftChars="0" w:firstLine="224" w:firstLine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③成交供应商在履行合同期间，对因成交供应商（或其雇佣人员）的疏忽、故意或过失而造成采购人（或第三者）的直接或间接财产损失及安全责任事故等负责，并承担相应费用。</w:t>
      </w:r>
    </w:p>
    <w:p w14:paraId="0DF23570">
      <w:r>
        <w:rPr>
          <w:rFonts w:hint="eastAsia" w:ascii="宋体" w:hAnsi="宋体" w:eastAsia="宋体" w:cs="宋体"/>
          <w:spacing w:val="-8"/>
          <w:sz w:val="24"/>
          <w:szCs w:val="24"/>
          <w:lang w:val="en-US" w:eastAsia="zh-CN"/>
        </w:rPr>
        <w:t>④其他未尽事宜可在合同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03AA">
    <w:pPr>
      <w:pStyle w:val="4"/>
      <w:spacing w:line="235" w:lineRule="exact"/>
      <w:ind w:left="471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1520B">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33B1520B">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E8F98"/>
    <w:multiLevelType w:val="singleLevel"/>
    <w:tmpl w:val="EF7E8F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6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customStyle="1" w:styleId="5">
    <w:name w:val="Default"/>
    <w:qFormat/>
    <w:uiPriority w:val="0"/>
    <w:pPr>
      <w:widowControl w:val="0"/>
    </w:pPr>
    <w:rPr>
      <w:rFonts w:ascii="仿宋_GB2312" w:hAnsi="仿宋_GB2312" w:eastAsia="仿宋_GB2312" w:cs="仿宋_GB2312"/>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2026-04-23T03:56:10Z</dcterms:created>
  <dc:creator>Administrator</dc:creator>
  <cp:lastModifiedBy>末年、</cp:lastModifiedBy>
  <dcterms:modified xsi:type="dcterms:W3CDTF">2026-04-23T03:56:43Z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eyJoZGlkIjoiMDg2NmUyZmEwYTYzMWM2ZDIwY2MxNDQ0YTA0Y2NjM2MiLCJ1c2VySWQiOiI0NDc1MzQwMDQifQ==</vt:lpwstr>
  </property>
  <property fmtid="{D5CDD505-2E9C-101B-9397-08002B2CF9AE}" pid="4" name="ICV">
    <vt:lpwstr>BFAEA81E484447568CC0640029F5EFE2_12</vt:lpwstr>
  </property>
</Properties>
</file>