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D1348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ascii="黑体" w:hAnsi="黑体" w:eastAsia="黑体"/>
          <w:sz w:val="36"/>
          <w:szCs w:val="36"/>
        </w:rPr>
        <w:t>6</w:t>
      </w:r>
      <w:r>
        <w:rPr>
          <w:rFonts w:hint="eastAsia" w:ascii="黑体" w:hAnsi="黑体" w:eastAsia="黑体"/>
          <w:sz w:val="36"/>
          <w:szCs w:val="36"/>
        </w:rPr>
        <w:t>年有害生物防治服务报价要求</w:t>
      </w:r>
    </w:p>
    <w:p w14:paraId="2362A94E"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一、目的</w:t>
      </w:r>
    </w:p>
    <w:p w14:paraId="03794987">
      <w:pPr>
        <w:spacing w:line="360" w:lineRule="auto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有效消除蚊、蝇、蟑螂、老鼠等“四害”、白蚁、红火蚁、蛇害及疫情防控消杀的防治工作，以创建一个良好的工作、学习、生活生产环境。为持续保持效果，现拟进行下一周期的“有害生物防治”服务招标工作。</w:t>
      </w:r>
    </w:p>
    <w:p w14:paraId="4192118A"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二、服务商要求</w:t>
      </w:r>
    </w:p>
    <w:p w14:paraId="23C3B48C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具备合法经营资质，经营范围应含有《卫生许可证》、</w:t>
      </w:r>
      <w:r>
        <w:rPr>
          <w:rFonts w:hint="eastAsia" w:ascii="仿宋" w:hAnsi="仿宋" w:eastAsia="仿宋"/>
          <w:color w:val="333333"/>
          <w:sz w:val="28"/>
          <w:szCs w:val="28"/>
        </w:rPr>
        <w:t>《病媒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生物防制服务资质证》等。</w:t>
      </w:r>
    </w:p>
    <w:p w14:paraId="687BF983"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三、防治范围</w:t>
      </w:r>
    </w:p>
    <w:p w14:paraId="4311D08D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熟料厂区含倒班楼、行政楼、智控中心及环保楼（百色垃圾处置处）、粉磨厂区、矿山厂区、骨料及华润生活区（员工住宅区）等所辖区域，合计占地约650亩。</w:t>
      </w:r>
    </w:p>
    <w:p w14:paraId="1422B7DD"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四、防治项目及措施</w:t>
      </w:r>
    </w:p>
    <w:p w14:paraId="67798C5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1、除四害（灭鼠、蝇、蚊、蟑螂）、红火蚁、白蚁及毒蛇防治等内容。</w:t>
      </w:r>
    </w:p>
    <w:p w14:paraId="7FD2A563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采用超低喷雾、热烟雾机杀、绿篱技术、滞留喷洒、药物投放、物理防治等综合治理方法进行交替施工。</w:t>
      </w:r>
    </w:p>
    <w:p w14:paraId="36E49C3B"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五、防治要求</w:t>
      </w:r>
    </w:p>
    <w:p w14:paraId="1B205385">
      <w:pPr>
        <w:pStyle w:val="9"/>
        <w:spacing w:line="360" w:lineRule="auto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1、必须根据我公司所辖区域的各种建筑设施、卫生环境状况，选择合适的灭杀及防治方式。</w:t>
      </w:r>
    </w:p>
    <w:p w14:paraId="6808F255">
      <w:pPr>
        <w:pStyle w:val="9"/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2、每月定期对虫害进行检查，根据实际情况开展灭杀及防治工作，并向我司及时反馈灭杀效果及存在问题，如有特殊情况需按协议要求高质量完成协议期内经常性和突发性的“有害生物”及疫情防控防治工作，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-10</w:t>
      </w:r>
      <w:r>
        <w:rPr>
          <w:rFonts w:hint="eastAsia" w:ascii="仿宋" w:hAnsi="仿宋" w:eastAsia="仿宋"/>
          <w:sz w:val="28"/>
          <w:szCs w:val="28"/>
        </w:rPr>
        <w:t>月每月进行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次全厂消杀工作；</w:t>
      </w:r>
      <w:r>
        <w:rPr>
          <w:rFonts w:ascii="仿宋" w:hAnsi="仿宋" w:eastAsia="仿宋"/>
          <w:sz w:val="28"/>
          <w:szCs w:val="28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-3</w:t>
      </w:r>
      <w:r>
        <w:rPr>
          <w:rFonts w:hint="eastAsia" w:ascii="仿宋" w:hAnsi="仿宋" w:eastAsia="仿宋"/>
          <w:sz w:val="28"/>
          <w:szCs w:val="28"/>
        </w:rPr>
        <w:t>月每月进行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次消杀工作，停窑期间委托方根据蚊蝇滋生情况下达消杀任务，服务方不得以任何客观条件为由拒绝，如出现蚊蝇对药品免疫情况需进行换药，直至消杀效果显著达标为准。</w:t>
      </w:r>
    </w:p>
    <w:p w14:paraId="144BAA45">
      <w:pPr>
        <w:pStyle w:val="9"/>
        <w:spacing w:line="360" w:lineRule="auto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3、每次开展灭除后须提供相关相片，并由分各部门员工在服务单上签字验收确认，达到要求效果后方可凭单据进行结算；</w:t>
      </w:r>
    </w:p>
    <w:p w14:paraId="395E4ABA">
      <w:pPr>
        <w:pStyle w:val="9"/>
        <w:spacing w:line="360" w:lineRule="auto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4、保证所使用的药物均符合国家法律法规所允许的范围，并在有效期内使用，如在用药及履行过程中造成我司人员中毒、食品安全事故、财产损失的，要承担全部赔偿责任；</w:t>
      </w:r>
    </w:p>
    <w:p w14:paraId="5BC59F1C">
      <w:pPr>
        <w:pStyle w:val="9"/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5、在合同期内，如有突发性虫害，在接到我司电话</w:t>
      </w:r>
      <w:r>
        <w:rPr>
          <w:rFonts w:ascii="仿宋" w:hAnsi="仿宋" w:eastAsia="仿宋"/>
          <w:sz w:val="28"/>
          <w:szCs w:val="28"/>
        </w:rPr>
        <w:t>24</w:t>
      </w:r>
      <w:r>
        <w:rPr>
          <w:rFonts w:hint="eastAsia" w:ascii="仿宋" w:hAnsi="仿宋" w:eastAsia="仿宋"/>
          <w:sz w:val="28"/>
          <w:szCs w:val="28"/>
        </w:rPr>
        <w:t>小时内做出响应并到现场进行处理，并向我司及时反馈灭杀效果及存在问题。</w:t>
      </w:r>
    </w:p>
    <w:p w14:paraId="0B199177">
      <w:pPr>
        <w:pStyle w:val="9"/>
        <w:spacing w:line="360" w:lineRule="auto"/>
        <w:ind w:firstLine="56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六、防治效果：</w:t>
      </w:r>
    </w:p>
    <w:p w14:paraId="47B51A2E">
      <w:pPr>
        <w:pStyle w:val="9"/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 有效投诉认定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以现场核实、相片、视频记录或书面登记为准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投诉须真实反映虫害、蛇害影响生产办公及人员安全。</w:t>
      </w:r>
    </w:p>
    <w:p w14:paraId="74D72FFB">
      <w:pPr>
        <w:pStyle w:val="9"/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 整改要求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每次有效投诉发生后，服务方须在24小时内完成整改（包括但不限于强化消杀频次、更换药剂、调整方案等），并留存整改记录。</w:t>
      </w:r>
    </w:p>
    <w:p w14:paraId="40ABFEC6">
      <w:pPr>
        <w:pStyle w:val="9"/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 不达标记录认定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在月度内，针对同一防治项目（灭鼠、灭蚊蝇、驱蛇），同一区域出现第2次有效投诉的，记为1次不达标记录，若出现第3次投诉，记为2次不达标记录，以此类推。（第1次投诉仅触发整改，不计入不达标记录。）</w:t>
      </w:r>
    </w:p>
    <w:p w14:paraId="39027CCA">
      <w:pPr>
        <w:pStyle w:val="9"/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 月度管理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每月5日前，委托方汇总上月有效投诉情况。若某单项当月出现第1次投诉，</w:t>
      </w:r>
      <w:r>
        <w:rPr>
          <w:rFonts w:hint="eastAsia" w:ascii="仿宋" w:hAnsi="仿宋" w:eastAsia="仿宋"/>
          <w:sz w:val="28"/>
          <w:szCs w:val="28"/>
        </w:rPr>
        <w:t>下达</w:t>
      </w:r>
      <w:r>
        <w:rPr>
          <w:rFonts w:ascii="仿宋" w:hAnsi="仿宋" w:eastAsia="仿宋"/>
          <w:sz w:val="28"/>
          <w:szCs w:val="28"/>
        </w:rPr>
        <w:t>书面通知整改；若出现第2次投诉，认定为不达标记录并下达整改要求，服务方须在24小时内完成整改</w:t>
      </w:r>
      <w:r>
        <w:rPr>
          <w:rFonts w:hint="eastAsia" w:ascii="仿宋" w:hAnsi="仿宋" w:eastAsia="仿宋"/>
          <w:sz w:val="28"/>
          <w:szCs w:val="28"/>
        </w:rPr>
        <w:t>，若服务方</w:t>
      </w:r>
      <w:r>
        <w:rPr>
          <w:rFonts w:hint="eastAsia" w:ascii="仿宋" w:hAnsi="仿宋" w:eastAsia="仿宋"/>
          <w:color w:val="0F1115"/>
          <w:sz w:val="28"/>
          <w:szCs w:val="28"/>
        </w:rPr>
        <w:t>在</w:t>
      </w:r>
      <w:r>
        <w:rPr>
          <w:rStyle w:val="6"/>
          <w:rFonts w:hint="eastAsia" w:ascii="仿宋" w:hAnsi="仿宋" w:eastAsia="仿宋"/>
          <w:b w:val="0"/>
          <w:color w:val="0F1115"/>
          <w:sz w:val="28"/>
          <w:szCs w:val="28"/>
        </w:rPr>
        <w:t>24小时内</w:t>
      </w:r>
      <w:r>
        <w:rPr>
          <w:rFonts w:hint="eastAsia" w:ascii="仿宋" w:hAnsi="仿宋" w:eastAsia="仿宋"/>
          <w:color w:val="0F1115"/>
          <w:sz w:val="28"/>
          <w:szCs w:val="28"/>
        </w:rPr>
        <w:t>未进行任何</w:t>
      </w:r>
      <w:r>
        <w:rPr>
          <w:rFonts w:hint="eastAsia" w:ascii="仿宋" w:hAnsi="仿宋" w:eastAsia="仿宋"/>
          <w:sz w:val="28"/>
          <w:szCs w:val="28"/>
        </w:rPr>
        <w:t>响</w:t>
      </w:r>
      <w:r>
        <w:rPr>
          <w:rFonts w:hint="eastAsia" w:ascii="仿宋" w:hAnsi="仿宋" w:eastAsia="仿宋"/>
          <w:color w:val="0F1115"/>
          <w:sz w:val="28"/>
          <w:szCs w:val="28"/>
        </w:rPr>
        <w:t>应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color w:val="0F1115"/>
          <w:sz w:val="28"/>
          <w:szCs w:val="28"/>
        </w:rPr>
        <w:t>委托方</w:t>
      </w:r>
      <w:r>
        <w:rPr>
          <w:rFonts w:hint="eastAsia" w:ascii="仿宋" w:hAnsi="仿宋" w:eastAsia="仿宋"/>
          <w:sz w:val="28"/>
          <w:szCs w:val="28"/>
        </w:rPr>
        <w:t>除对其进行考核外，可立即委托第三方进行处理，期间所产生的一切费用（包括但不限于第三方服务费、材料费、差旅费等）由服务方承担，委托方可从应付服务费中直接抵扣，同时该不响应行为计为3次不达标记录</w:t>
      </w:r>
      <w:r>
        <w:rPr>
          <w:rFonts w:ascii="仿宋" w:hAnsi="仿宋" w:eastAsia="仿宋"/>
          <w:sz w:val="28"/>
          <w:szCs w:val="28"/>
        </w:rPr>
        <w:t>。</w:t>
      </w:r>
    </w:p>
    <w:p w14:paraId="71F518F0">
      <w:pPr>
        <w:pStyle w:val="9"/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 合同解除条件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服务方在一个季度内，累计出现 5次不达标记录，扣除当季度服务费用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服务期内</w:t>
      </w:r>
      <w:r>
        <w:rPr>
          <w:rFonts w:ascii="仿宋" w:hAnsi="仿宋" w:eastAsia="仿宋"/>
          <w:sz w:val="28"/>
          <w:szCs w:val="28"/>
        </w:rPr>
        <w:t>累计达到12次不达标记录，</w:t>
      </w:r>
      <w:r>
        <w:rPr>
          <w:rFonts w:hint="eastAsia" w:ascii="仿宋" w:hAnsi="仿宋" w:eastAsia="仿宋"/>
          <w:sz w:val="28"/>
          <w:szCs w:val="28"/>
        </w:rPr>
        <w:t>视为无履约能力，</w:t>
      </w:r>
      <w:r>
        <w:rPr>
          <w:rFonts w:ascii="仿宋" w:hAnsi="仿宋" w:eastAsia="仿宋"/>
          <w:sz w:val="28"/>
          <w:szCs w:val="28"/>
        </w:rPr>
        <w:t>委托方有权单方提前解除服务合同</w:t>
      </w:r>
      <w:r>
        <w:rPr>
          <w:rFonts w:hint="eastAsia" w:ascii="仿宋" w:hAnsi="仿宋" w:eastAsia="仿宋"/>
          <w:sz w:val="28"/>
          <w:szCs w:val="28"/>
        </w:rPr>
        <w:t>且无需承担任何赔偿</w:t>
      </w:r>
      <w:r>
        <w:rPr>
          <w:rFonts w:ascii="仿宋" w:hAnsi="仿宋" w:eastAsia="仿宋"/>
          <w:sz w:val="28"/>
          <w:szCs w:val="28"/>
        </w:rPr>
        <w:t>。</w:t>
      </w:r>
    </w:p>
    <w:p w14:paraId="2B5F58DE"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七、防治期限</w:t>
      </w:r>
    </w:p>
    <w:p w14:paraId="09854C61">
      <w:pPr>
        <w:spacing w:line="360" w:lineRule="auto"/>
        <w:ind w:firstLine="420" w:firstLineChars="1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月1日—202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月3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日。</w:t>
      </w:r>
    </w:p>
    <w:p w14:paraId="1483E6E3"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八、结算方式</w:t>
      </w:r>
    </w:p>
    <w:p w14:paraId="4C8B9611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凭每月的验收效果单，按合同约定的发票种类据实开具发票进行结算，每季度进行结算。</w:t>
      </w:r>
    </w:p>
    <w:p w14:paraId="6C5089D1"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九、开票要求</w:t>
      </w:r>
    </w:p>
    <w:p w14:paraId="604859F4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每个季度按照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yellow"/>
        </w:rPr>
        <w:t>%</w:t>
      </w:r>
      <w:r>
        <w:rPr>
          <w:rFonts w:hint="eastAsia" w:ascii="仿宋" w:hAnsi="仿宋" w:eastAsia="仿宋"/>
          <w:sz w:val="28"/>
          <w:szCs w:val="28"/>
        </w:rPr>
        <w:t>增值税专用发票开具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中标税率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B12B6E6"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十、报价要求</w:t>
      </w:r>
    </w:p>
    <w:p w14:paraId="6CFB4D3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报价前服务方需提前到公司详细了解具体情况。</w:t>
      </w:r>
    </w:p>
    <w:p w14:paraId="6FC220F4"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</w:p>
    <w:p w14:paraId="12132408"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</w:p>
    <w:p w14:paraId="77AD909C"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</w:p>
    <w:p w14:paraId="644C6197"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十一、考核标准</w:t>
      </w:r>
    </w:p>
    <w:p w14:paraId="18C9F0CE"/>
    <w:tbl>
      <w:tblPr>
        <w:tblStyle w:val="4"/>
        <w:tblW w:w="9356" w:type="dxa"/>
        <w:tblInd w:w="-6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18"/>
        <w:gridCol w:w="3019"/>
        <w:gridCol w:w="1104"/>
        <w:gridCol w:w="1090"/>
        <w:gridCol w:w="1118"/>
        <w:gridCol w:w="1083"/>
      </w:tblGrid>
      <w:tr w14:paraId="68DDA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CFC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编号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DA5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3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ADF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工作要求及验收标准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E7B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检查结果描述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5CF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考核部门人员确认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77D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扣款金额(元）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13F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供应商确认签名</w:t>
            </w:r>
          </w:p>
        </w:tc>
      </w:tr>
      <w:tr w14:paraId="3B9CF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7E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768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药物使用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446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所用药物符合国家规定，如不符合国家规定及稀释要求的1样药品扣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00元/次。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A5DA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A4ADB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9668F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30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02DA4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C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F5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每月检查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774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每月至少2次对甲方的四害区域检查，如发现有防治遗漏之处，及时采取加强措施加以控制，低于检查次数的每月扣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300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元。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E10AB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C6E17"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C4A2E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30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6817A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CC5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04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消杀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FE2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甲方在乙方完成单次消杀服务后，若发现仍存在 “四害”（含合同约定的灭蛇等相关有害生物）侵扰问题，应及时通知乙方，乙方须在以下约定时限内派员进行免费加强消杀：</w:t>
            </w:r>
          </w:p>
          <w:p w14:paraId="46C755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（1）灭鼠：首次消杀后10日内；</w:t>
            </w:r>
          </w:p>
          <w:p w14:paraId="32B26F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（2）灭蟑螂、灭蝇、灭蚊：首次消杀后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日内；</w:t>
            </w:r>
          </w:p>
          <w:p w14:paraId="3CDC1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（3）灭蛇、灭蚁：首次消杀后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0日内。</w:t>
            </w:r>
          </w:p>
          <w:p w14:paraId="45A5929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（4）月度如不按合同次数进行消杀的。</w:t>
            </w:r>
          </w:p>
          <w:p w14:paraId="0307B2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若乙方经加强消杀后仍未解决“四害”侵扰问题，应免费增加消杀频次或调整消杀方案，直至达到合同约定标准；乙方不得因以提供当次周期消杀服务而拒绝履行前述加强消杀义务，否则甲方有权按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00元/次的标准对乙方进行扣款，如无应急性措施的扣1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元/次。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44913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B848A"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2B00E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A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36365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4CB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014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施工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DC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在不影响甲方正常工作、生活秩序、不损害甲方利益前提下，遵照甲方的规章制度进行文明施工。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6230D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2C032"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AE7F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48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5E559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23C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72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服务反馈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3E0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如果有目标（鼠、蛇）出现，服务方将在收到信息后的24小时内做出反馈，规定时间内无做出反馈的扣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00元/次。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05C7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0DFE0"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2B22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6A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14:paraId="1DA795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01"/>
    <w:rsid w:val="000916DC"/>
    <w:rsid w:val="00726D24"/>
    <w:rsid w:val="00A12FAB"/>
    <w:rsid w:val="00AA3301"/>
    <w:rsid w:val="00E153C6"/>
    <w:rsid w:val="00E541A8"/>
    <w:rsid w:val="30C2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22"/>
    <w:rPr>
      <w:b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1914</Words>
  <Characters>1955</Characters>
  <Lines>14</Lines>
  <Paragraphs>4</Paragraphs>
  <TotalTime>2</TotalTime>
  <ScaleCrop>false</ScaleCrop>
  <LinksUpToDate>false</LinksUpToDate>
  <CharactersWithSpaces>1980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2026-04-23T07:46:00Z</dcterms:created>
  <dc:creator>黄燕芳</dc:creator>
  <cp:lastModifiedBy>磊油接接</cp:lastModifiedBy>
  <dcterms:modified xsi:type="dcterms:W3CDTF">2026-04-28T11:52:59Z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eyJoZGlkIjoiNDllZDZjM2UyZjgxNjlkM2YwZDFlZmZjNDFlNzA0YmQiLCJ1c2VySWQiOiIyNjU3Mzk0MTEifQ==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4D2D8C394D6E42CAB20FB5F7C54BF81D_12</vt:lpwstr>
  </property>
</Properties>
</file>