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4297F">
      <w:pPr>
        <w:jc w:val="center"/>
        <w:rPr>
          <w:rFonts w:hint="eastAsia" w:ascii="宋体" w:hAnsi="宋体" w:eastAsia="宋体" w:cs="宋体"/>
          <w:b/>
          <w:sz w:val="72"/>
          <w:szCs w:val="24"/>
        </w:rPr>
      </w:pPr>
    </w:p>
    <w:p w14:paraId="6A351827">
      <w:pPr>
        <w:jc w:val="center"/>
        <w:rPr>
          <w:rFonts w:hint="eastAsia" w:ascii="宋体" w:hAnsi="宋体" w:eastAsia="宋体" w:cs="宋体"/>
          <w:b/>
          <w:sz w:val="72"/>
          <w:szCs w:val="24"/>
        </w:rPr>
      </w:pPr>
    </w:p>
    <w:p w14:paraId="58FD133C">
      <w:pPr>
        <w:jc w:val="center"/>
        <w:rPr>
          <w:rFonts w:hint="eastAsia" w:ascii="宋体" w:hAnsi="宋体" w:eastAsia="宋体" w:cs="宋体"/>
          <w:b/>
          <w:sz w:val="40"/>
          <w:szCs w:val="40"/>
        </w:rPr>
      </w:pPr>
      <w:r>
        <w:rPr>
          <w:rFonts w:hint="eastAsia" w:ascii="宋体" w:hAnsi="宋体" w:eastAsia="宋体" w:cs="宋体"/>
          <w:b/>
          <w:sz w:val="40"/>
          <w:szCs w:val="40"/>
        </w:rPr>
        <w:t>询比</w:t>
      </w:r>
      <w:r>
        <w:rPr>
          <w:rFonts w:hint="eastAsia" w:ascii="宋体" w:hAnsi="宋体" w:eastAsia="宋体" w:cs="宋体"/>
          <w:b/>
          <w:sz w:val="40"/>
          <w:szCs w:val="40"/>
          <w:lang w:val="en-US" w:eastAsia="zh-CN"/>
        </w:rPr>
        <w:t>采购</w:t>
      </w:r>
      <w:r>
        <w:rPr>
          <w:rFonts w:hint="eastAsia" w:ascii="宋体" w:hAnsi="宋体" w:eastAsia="宋体" w:cs="宋体"/>
          <w:b/>
          <w:sz w:val="40"/>
          <w:szCs w:val="40"/>
        </w:rPr>
        <w:t>文件</w:t>
      </w:r>
    </w:p>
    <w:p w14:paraId="2138E481">
      <w:pPr>
        <w:jc w:val="center"/>
        <w:rPr>
          <w:rFonts w:hint="eastAsia" w:ascii="宋体" w:hAnsi="宋体" w:eastAsia="宋体" w:cs="宋体"/>
          <w:b/>
          <w:sz w:val="72"/>
          <w:szCs w:val="24"/>
        </w:rPr>
      </w:pPr>
    </w:p>
    <w:p w14:paraId="22E1C812">
      <w:pPr>
        <w:jc w:val="center"/>
        <w:rPr>
          <w:rFonts w:hint="eastAsia" w:ascii="宋体" w:hAnsi="宋体" w:eastAsia="宋体" w:cs="宋体"/>
          <w:b/>
          <w:sz w:val="96"/>
          <w:szCs w:val="24"/>
        </w:rPr>
      </w:pPr>
    </w:p>
    <w:p w14:paraId="7FD7BE1C">
      <w:pPr>
        <w:keepNext w:val="0"/>
        <w:keepLines w:val="0"/>
        <w:pageBreakBefore w:val="0"/>
        <w:widowControl w:val="0"/>
        <w:tabs>
          <w:tab w:val="left" w:pos="8222"/>
        </w:tabs>
        <w:kinsoku/>
        <w:wordWrap/>
        <w:overflowPunct/>
        <w:topLinePunct w:val="0"/>
        <w:autoSpaceDE/>
        <w:autoSpaceDN/>
        <w:bidi w:val="0"/>
        <w:adjustRightInd/>
        <w:snapToGrid/>
        <w:spacing w:line="600" w:lineRule="exact"/>
        <w:jc w:val="center"/>
        <w:textAlignment w:val="auto"/>
        <w:rPr>
          <w:rFonts w:hint="eastAsia" w:ascii="宋体" w:hAnsi="宋体" w:eastAsia="宋体" w:cs="宋体"/>
          <w:b/>
          <w:sz w:val="28"/>
          <w:szCs w:val="24"/>
        </w:rPr>
      </w:pPr>
    </w:p>
    <w:p w14:paraId="4F6A014D">
      <w:pPr>
        <w:jc w:val="center"/>
        <w:rPr>
          <w:rFonts w:hint="eastAsia" w:ascii="宋体" w:hAnsi="宋体" w:eastAsia="宋体" w:cs="宋体"/>
          <w:color w:val="000000" w:themeColor="text1"/>
          <w:sz w:val="28"/>
          <w:szCs w:val="24"/>
          <w:highlight w:val="yellow"/>
          <w14:textFill>
            <w14:solidFill>
              <w14:schemeClr w14:val="tx1"/>
            </w14:solidFill>
          </w14:textFill>
        </w:rPr>
      </w:pPr>
      <w:r>
        <w:rPr>
          <w:rFonts w:hint="eastAsia" w:ascii="宋体" w:hAnsi="宋体" w:eastAsia="宋体" w:cs="宋体"/>
          <w:sz w:val="28"/>
          <w:szCs w:val="24"/>
          <w:highlight w:val="yellow"/>
        </w:rPr>
        <w:t>项目名称：2026年4月-田阳水泥-2026-2028年有害生物防治-公开询比项目</w:t>
      </w:r>
    </w:p>
    <w:p w14:paraId="6C053A3F">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宋体" w:hAnsi="宋体" w:eastAsia="宋体" w:cs="宋体"/>
          <w:sz w:val="28"/>
          <w:szCs w:val="24"/>
          <w:highlight w:val="yellow"/>
        </w:rPr>
      </w:pPr>
    </w:p>
    <w:p w14:paraId="1296A120">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宋体" w:hAnsi="宋体" w:eastAsia="宋体" w:cs="宋体"/>
          <w:sz w:val="28"/>
          <w:szCs w:val="24"/>
          <w:highlight w:val="yellow"/>
          <w:lang w:val="en-US" w:eastAsia="zh-CN"/>
        </w:rPr>
      </w:pPr>
      <w:r>
        <w:rPr>
          <w:rFonts w:hint="eastAsia" w:ascii="宋体" w:hAnsi="宋体" w:eastAsia="宋体" w:cs="宋体"/>
          <w:sz w:val="28"/>
          <w:szCs w:val="24"/>
          <w:highlight w:val="yellow"/>
        </w:rPr>
        <w:t>寻源单号：S12520260426000020</w:t>
      </w:r>
    </w:p>
    <w:p w14:paraId="34B6AF9E">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宋体" w:hAnsi="宋体" w:eastAsia="宋体" w:cs="宋体"/>
          <w:sz w:val="28"/>
          <w:szCs w:val="24"/>
          <w:highlight w:val="yellow"/>
          <w:lang w:val="en-US" w:eastAsia="zh-CN"/>
        </w:rPr>
      </w:pPr>
    </w:p>
    <w:p w14:paraId="79F547DC">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宋体" w:hAnsi="宋体" w:eastAsia="宋体" w:cs="宋体"/>
          <w:sz w:val="28"/>
          <w:szCs w:val="24"/>
        </w:rPr>
      </w:pPr>
      <w:bookmarkStart w:id="0" w:name="_Toc396388193"/>
      <w:r>
        <w:rPr>
          <w:rFonts w:hint="eastAsia" w:ascii="宋体" w:hAnsi="宋体" w:eastAsia="宋体" w:cs="宋体"/>
          <w:sz w:val="28"/>
          <w:szCs w:val="24"/>
          <w:highlight w:val="yellow"/>
        </w:rPr>
        <w:t>编制单位：</w:t>
      </w:r>
      <w:bookmarkEnd w:id="0"/>
      <w:r>
        <w:rPr>
          <w:rFonts w:hint="eastAsia" w:ascii="宋体" w:hAnsi="宋体" w:eastAsia="宋体" w:cs="宋体"/>
          <w:sz w:val="28"/>
          <w:szCs w:val="24"/>
          <w:highlight w:val="yellow"/>
          <w:lang w:val="en-US" w:eastAsia="zh-CN"/>
        </w:rPr>
        <w:t>华润水泥（田阳）有限</w:t>
      </w:r>
      <w:r>
        <w:rPr>
          <w:rFonts w:hint="eastAsia" w:ascii="宋体" w:hAnsi="宋体" w:eastAsia="宋体" w:cs="宋体"/>
          <w:sz w:val="28"/>
          <w:szCs w:val="24"/>
          <w:highlight w:val="yellow"/>
        </w:rPr>
        <w:t>公司</w:t>
      </w:r>
      <w:r>
        <w:rPr>
          <w:rFonts w:hint="eastAsia" w:ascii="宋体" w:hAnsi="宋体" w:eastAsia="宋体" w:cs="宋体"/>
          <w:sz w:val="28"/>
          <w:szCs w:val="24"/>
        </w:rPr>
        <w:t xml:space="preserve"> </w:t>
      </w:r>
    </w:p>
    <w:p w14:paraId="4D0DC586">
      <w:pPr>
        <w:rPr>
          <w:rFonts w:hint="eastAsia" w:ascii="宋体" w:hAnsi="宋体" w:eastAsia="宋体" w:cs="宋体"/>
          <w:sz w:val="28"/>
          <w:szCs w:val="24"/>
        </w:rPr>
      </w:pPr>
    </w:p>
    <w:p w14:paraId="31113C93">
      <w:pPr>
        <w:rPr>
          <w:rFonts w:hint="eastAsia" w:ascii="宋体" w:hAnsi="宋体" w:eastAsia="宋体" w:cs="宋体"/>
          <w:sz w:val="28"/>
          <w:szCs w:val="24"/>
        </w:rPr>
      </w:pPr>
    </w:p>
    <w:p w14:paraId="184BE6A6">
      <w:pPr>
        <w:rPr>
          <w:rFonts w:hint="eastAsia" w:ascii="宋体" w:hAnsi="宋体" w:eastAsia="宋体" w:cs="宋体"/>
          <w:sz w:val="28"/>
          <w:szCs w:val="24"/>
        </w:rPr>
      </w:pPr>
    </w:p>
    <w:p w14:paraId="7F1233F0">
      <w:pPr>
        <w:rPr>
          <w:rFonts w:hint="eastAsia" w:ascii="宋体" w:hAnsi="宋体" w:eastAsia="宋体" w:cs="宋体"/>
          <w:sz w:val="28"/>
          <w:szCs w:val="24"/>
        </w:rPr>
      </w:pPr>
    </w:p>
    <w:p w14:paraId="19349E0B">
      <w:pPr>
        <w:jc w:val="right"/>
        <w:rPr>
          <w:rFonts w:hint="eastAsia" w:ascii="宋体" w:hAnsi="宋体" w:eastAsia="宋体" w:cs="宋体"/>
          <w:sz w:val="28"/>
          <w:szCs w:val="24"/>
          <w:highlight w:val="yellow"/>
          <w:lang w:val="en-US" w:eastAsia="zh-CN"/>
        </w:rPr>
      </w:pPr>
      <w:bookmarkStart w:id="1" w:name="_Toc396388192"/>
      <w:r>
        <w:rPr>
          <w:rFonts w:hint="eastAsia" w:ascii="宋体" w:hAnsi="宋体" w:eastAsia="宋体" w:cs="宋体"/>
          <w:spacing w:val="280"/>
          <w:kern w:val="0"/>
          <w:sz w:val="28"/>
          <w:szCs w:val="24"/>
          <w:highlight w:val="yellow"/>
          <w:fitText w:val="1120" w:id="-764780032"/>
        </w:rPr>
        <w:t>日</w:t>
      </w:r>
      <w:r>
        <w:rPr>
          <w:rFonts w:hint="eastAsia" w:ascii="宋体" w:hAnsi="宋体" w:eastAsia="宋体" w:cs="宋体"/>
          <w:spacing w:val="0"/>
          <w:kern w:val="0"/>
          <w:sz w:val="28"/>
          <w:szCs w:val="24"/>
          <w:highlight w:val="yellow"/>
          <w:fitText w:val="1120" w:id="-764780032"/>
        </w:rPr>
        <w:t>期</w:t>
      </w:r>
      <w:r>
        <w:rPr>
          <w:rFonts w:hint="eastAsia" w:ascii="宋体" w:hAnsi="宋体" w:eastAsia="宋体" w:cs="宋体"/>
          <w:sz w:val="28"/>
          <w:szCs w:val="24"/>
          <w:highlight w:val="yellow"/>
        </w:rPr>
        <w:t>：</w:t>
      </w:r>
      <w:bookmarkEnd w:id="1"/>
      <w:r>
        <w:rPr>
          <w:rFonts w:hint="eastAsia" w:ascii="宋体" w:hAnsi="宋体" w:eastAsia="宋体" w:cs="宋体"/>
          <w:sz w:val="28"/>
          <w:szCs w:val="24"/>
          <w:highlight w:val="yellow"/>
          <w:lang w:val="en-US" w:eastAsia="zh-CN"/>
        </w:rPr>
        <w:t>2026年4月29日</w:t>
      </w:r>
    </w:p>
    <w:p w14:paraId="3F76CC2F">
      <w:pPr>
        <w:tabs>
          <w:tab w:val="left" w:pos="8222"/>
        </w:tabs>
        <w:jc w:val="center"/>
        <w:rPr>
          <w:rFonts w:hint="eastAsia" w:ascii="宋体" w:hAnsi="宋体" w:eastAsia="宋体" w:cs="宋体"/>
          <w:sz w:val="24"/>
          <w:szCs w:val="24"/>
        </w:rPr>
      </w:pPr>
      <w:r>
        <w:rPr>
          <w:rFonts w:hint="eastAsia" w:ascii="宋体" w:hAnsi="宋体" w:eastAsia="宋体" w:cs="宋体"/>
          <w:sz w:val="24"/>
          <w:szCs w:val="24"/>
        </w:rPr>
        <w:br w:type="page"/>
      </w:r>
    </w:p>
    <w:p w14:paraId="2CFA11EF">
      <w:pPr>
        <w:pStyle w:val="2"/>
        <w:adjustRightInd w:val="0"/>
        <w:spacing w:before="312" w:after="312" w:line="240" w:lineRule="auto"/>
        <w:ind w:left="1077"/>
        <w:jc w:val="center"/>
        <w:rPr>
          <w:rFonts w:hint="eastAsia" w:ascii="宋体" w:hAnsi="宋体" w:eastAsia="宋体" w:cs="宋体"/>
          <w:sz w:val="28"/>
          <w:szCs w:val="28"/>
        </w:rPr>
      </w:pPr>
      <w:r>
        <w:rPr>
          <w:rFonts w:hint="eastAsia" w:ascii="宋体" w:hAnsi="宋体" w:eastAsia="宋体" w:cs="宋体"/>
          <w:sz w:val="28"/>
          <w:szCs w:val="28"/>
        </w:rPr>
        <w:t>目  录</w:t>
      </w:r>
    </w:p>
    <w:p w14:paraId="011CE921">
      <w:pPr>
        <w:pStyle w:val="50"/>
        <w:numPr>
          <w:ilvl w:val="0"/>
          <w:numId w:val="0"/>
        </w:numPr>
        <w:tabs>
          <w:tab w:val="left" w:pos="8222"/>
        </w:tabs>
        <w:ind w:leftChars="0"/>
        <w:jc w:val="left"/>
        <w:rPr>
          <w:rFonts w:hint="eastAsia" w:ascii="宋体" w:hAnsi="宋体" w:eastAsia="宋体" w:cs="宋体"/>
          <w:sz w:val="28"/>
          <w:szCs w:val="28"/>
        </w:rPr>
      </w:pPr>
      <w:r>
        <w:rPr>
          <w:rFonts w:hint="eastAsia" w:ascii="宋体" w:hAnsi="宋体" w:eastAsia="宋体" w:cs="宋体"/>
          <w:sz w:val="28"/>
          <w:szCs w:val="28"/>
          <w:lang w:val="en-US" w:eastAsia="zh-CN"/>
        </w:rPr>
        <w:t xml:space="preserve">第一章    </w:t>
      </w:r>
      <w:r>
        <w:rPr>
          <w:rFonts w:hint="eastAsia" w:ascii="宋体" w:hAnsi="宋体" w:eastAsia="宋体" w:cs="宋体"/>
          <w:sz w:val="28"/>
          <w:szCs w:val="28"/>
        </w:rPr>
        <w:t>采购项目</w:t>
      </w:r>
    </w:p>
    <w:p w14:paraId="3DAAC435">
      <w:pPr>
        <w:pStyle w:val="50"/>
        <w:numPr>
          <w:ilvl w:val="0"/>
          <w:numId w:val="0"/>
        </w:numPr>
        <w:tabs>
          <w:tab w:val="left" w:pos="8222"/>
        </w:tabs>
        <w:ind w:leftChars="0"/>
        <w:jc w:val="left"/>
        <w:rPr>
          <w:rFonts w:hint="eastAsia" w:ascii="宋体" w:hAnsi="宋体" w:eastAsia="宋体" w:cs="宋体"/>
          <w:sz w:val="28"/>
          <w:szCs w:val="28"/>
        </w:rPr>
      </w:pPr>
      <w:r>
        <w:rPr>
          <w:rFonts w:hint="eastAsia" w:ascii="宋体" w:hAnsi="宋体" w:eastAsia="宋体" w:cs="宋体"/>
          <w:sz w:val="28"/>
          <w:szCs w:val="28"/>
          <w:lang w:val="en-US" w:eastAsia="zh-CN"/>
        </w:rPr>
        <w:t xml:space="preserve">第二章    </w:t>
      </w:r>
      <w:r>
        <w:rPr>
          <w:rFonts w:hint="eastAsia" w:ascii="宋体" w:hAnsi="宋体" w:eastAsia="宋体" w:cs="宋体"/>
          <w:sz w:val="28"/>
          <w:szCs w:val="28"/>
        </w:rPr>
        <w:t>报价人须知</w:t>
      </w:r>
    </w:p>
    <w:p w14:paraId="0ADAE3C7">
      <w:pPr>
        <w:pStyle w:val="50"/>
        <w:numPr>
          <w:ilvl w:val="0"/>
          <w:numId w:val="0"/>
        </w:numPr>
        <w:tabs>
          <w:tab w:val="left" w:pos="8222"/>
        </w:tabs>
        <w:ind w:leftChars="0"/>
        <w:jc w:val="left"/>
        <w:rPr>
          <w:rFonts w:hint="eastAsia" w:ascii="宋体" w:hAnsi="宋体" w:eastAsia="宋体" w:cs="宋体"/>
          <w:sz w:val="28"/>
          <w:szCs w:val="28"/>
        </w:rPr>
      </w:pPr>
      <w:r>
        <w:rPr>
          <w:rFonts w:hint="eastAsia" w:ascii="宋体" w:hAnsi="宋体" w:eastAsia="宋体" w:cs="宋体"/>
          <w:sz w:val="28"/>
          <w:szCs w:val="28"/>
          <w:lang w:val="en-US" w:eastAsia="zh-CN"/>
        </w:rPr>
        <w:t xml:space="preserve">第三章    </w:t>
      </w:r>
      <w:r>
        <w:rPr>
          <w:rFonts w:hint="eastAsia" w:ascii="宋体" w:hAnsi="宋体" w:eastAsia="宋体" w:cs="宋体"/>
          <w:sz w:val="28"/>
          <w:szCs w:val="28"/>
        </w:rPr>
        <w:t>技术标准及要求</w:t>
      </w:r>
    </w:p>
    <w:p w14:paraId="6F4C4F77">
      <w:pPr>
        <w:pStyle w:val="50"/>
        <w:numPr>
          <w:ilvl w:val="0"/>
          <w:numId w:val="0"/>
        </w:numPr>
        <w:tabs>
          <w:tab w:val="left" w:pos="8222"/>
        </w:tabs>
        <w:ind w:leftChars="0"/>
        <w:jc w:val="left"/>
        <w:rPr>
          <w:rFonts w:hint="eastAsia" w:ascii="宋体" w:hAnsi="宋体" w:eastAsia="宋体" w:cs="宋体"/>
          <w:sz w:val="28"/>
          <w:szCs w:val="28"/>
        </w:rPr>
      </w:pPr>
      <w:r>
        <w:rPr>
          <w:rFonts w:hint="eastAsia" w:ascii="宋体" w:hAnsi="宋体" w:eastAsia="宋体" w:cs="宋体"/>
          <w:sz w:val="28"/>
          <w:szCs w:val="28"/>
          <w:lang w:val="en-US" w:eastAsia="zh-CN"/>
        </w:rPr>
        <w:t xml:space="preserve">第四章    </w:t>
      </w:r>
      <w:r>
        <w:rPr>
          <w:rFonts w:hint="eastAsia" w:ascii="宋体" w:hAnsi="宋体" w:eastAsia="宋体" w:cs="宋体"/>
          <w:sz w:val="28"/>
          <w:szCs w:val="28"/>
        </w:rPr>
        <w:t>否决情形</w:t>
      </w:r>
    </w:p>
    <w:p w14:paraId="3A5166DD">
      <w:pPr>
        <w:pStyle w:val="50"/>
        <w:numPr>
          <w:ilvl w:val="0"/>
          <w:numId w:val="0"/>
        </w:numPr>
        <w:tabs>
          <w:tab w:val="left" w:pos="8222"/>
        </w:tabs>
        <w:ind w:leftChars="0"/>
        <w:jc w:val="left"/>
        <w:rPr>
          <w:rFonts w:hint="eastAsia" w:ascii="宋体" w:hAnsi="宋体" w:eastAsia="宋体" w:cs="宋体"/>
          <w:sz w:val="28"/>
          <w:szCs w:val="28"/>
        </w:rPr>
      </w:pPr>
      <w:r>
        <w:rPr>
          <w:rFonts w:hint="eastAsia" w:ascii="宋体" w:hAnsi="宋体" w:eastAsia="宋体" w:cs="宋体"/>
          <w:sz w:val="28"/>
          <w:szCs w:val="28"/>
          <w:lang w:val="en-US" w:eastAsia="zh-CN"/>
        </w:rPr>
        <w:t xml:space="preserve">第五章    </w:t>
      </w:r>
      <w:r>
        <w:rPr>
          <w:rFonts w:hint="eastAsia" w:ascii="宋体" w:hAnsi="宋体" w:eastAsia="宋体" w:cs="宋体"/>
          <w:sz w:val="28"/>
          <w:szCs w:val="28"/>
        </w:rPr>
        <w:t>附件</w:t>
      </w:r>
    </w:p>
    <w:p w14:paraId="22CB3579">
      <w:pPr>
        <w:pStyle w:val="50"/>
        <w:numPr>
          <w:ilvl w:val="0"/>
          <w:numId w:val="0"/>
        </w:numPr>
        <w:tabs>
          <w:tab w:val="left" w:pos="8222"/>
        </w:tabs>
        <w:ind w:left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第六章    </w:t>
      </w:r>
      <w:r>
        <w:rPr>
          <w:rFonts w:hint="eastAsia" w:ascii="宋体" w:hAnsi="宋体" w:eastAsia="宋体" w:cs="宋体"/>
          <w:sz w:val="28"/>
          <w:szCs w:val="28"/>
        </w:rPr>
        <w:t>供应商列黑</w:t>
      </w:r>
      <w:r>
        <w:rPr>
          <w:rFonts w:hint="eastAsia" w:ascii="宋体" w:hAnsi="宋体" w:eastAsia="宋体" w:cs="宋体"/>
          <w:sz w:val="28"/>
          <w:szCs w:val="28"/>
          <w:lang w:val="en-US" w:eastAsia="zh-CN"/>
        </w:rPr>
        <w:t>须知</w:t>
      </w:r>
    </w:p>
    <w:p w14:paraId="14055566">
      <w:pPr>
        <w:tabs>
          <w:tab w:val="left" w:pos="8222"/>
        </w:tabs>
        <w:jc w:val="left"/>
        <w:rPr>
          <w:rFonts w:hint="eastAsia" w:ascii="宋体" w:hAnsi="宋体" w:eastAsia="宋体" w:cs="宋体"/>
          <w:sz w:val="28"/>
          <w:szCs w:val="24"/>
        </w:rPr>
      </w:pPr>
    </w:p>
    <w:p w14:paraId="3BC2080F">
      <w:pPr>
        <w:tabs>
          <w:tab w:val="left" w:pos="8222"/>
        </w:tabs>
        <w:jc w:val="center"/>
        <w:rPr>
          <w:rFonts w:hint="eastAsia" w:ascii="宋体" w:hAnsi="宋体" w:eastAsia="宋体" w:cs="宋体"/>
          <w:sz w:val="24"/>
          <w:szCs w:val="24"/>
        </w:rPr>
      </w:pPr>
    </w:p>
    <w:p w14:paraId="5427B189">
      <w:pPr>
        <w:tabs>
          <w:tab w:val="left" w:pos="8222"/>
        </w:tabs>
        <w:jc w:val="center"/>
        <w:rPr>
          <w:rFonts w:hint="eastAsia" w:ascii="宋体" w:hAnsi="宋体" w:eastAsia="宋体" w:cs="宋体"/>
          <w:sz w:val="24"/>
          <w:szCs w:val="24"/>
        </w:rPr>
      </w:pPr>
    </w:p>
    <w:p w14:paraId="2E962C34">
      <w:pPr>
        <w:rPr>
          <w:rFonts w:hint="eastAsia" w:ascii="宋体" w:hAnsi="宋体" w:eastAsia="宋体" w:cs="宋体"/>
          <w:bCs/>
          <w:spacing w:val="2"/>
          <w:kern w:val="11"/>
          <w:position w:val="2"/>
          <w:sz w:val="24"/>
          <w:szCs w:val="24"/>
        </w:rPr>
      </w:pPr>
      <w:bookmarkStart w:id="2" w:name="_Toc409973576"/>
      <w:bookmarkStart w:id="3" w:name="_Toc409972913"/>
    </w:p>
    <w:p w14:paraId="1CBA0084">
      <w:pPr>
        <w:rPr>
          <w:rFonts w:hint="eastAsia" w:ascii="宋体" w:hAnsi="宋体" w:eastAsia="宋体" w:cs="宋体"/>
          <w:bCs/>
          <w:spacing w:val="2"/>
          <w:kern w:val="11"/>
          <w:position w:val="2"/>
          <w:sz w:val="24"/>
          <w:szCs w:val="24"/>
        </w:rPr>
      </w:pPr>
    </w:p>
    <w:p w14:paraId="0681BD3F">
      <w:pPr>
        <w:rPr>
          <w:rFonts w:hint="eastAsia" w:ascii="宋体" w:hAnsi="宋体" w:eastAsia="宋体" w:cs="宋体"/>
          <w:bCs/>
          <w:spacing w:val="2"/>
          <w:kern w:val="11"/>
          <w:position w:val="2"/>
          <w:sz w:val="24"/>
          <w:szCs w:val="24"/>
        </w:rPr>
      </w:pPr>
    </w:p>
    <w:p w14:paraId="53126E63">
      <w:pPr>
        <w:rPr>
          <w:rFonts w:hint="eastAsia" w:ascii="宋体" w:hAnsi="宋体" w:eastAsia="宋体" w:cs="宋体"/>
          <w:bCs/>
          <w:spacing w:val="2"/>
          <w:kern w:val="11"/>
          <w:position w:val="2"/>
          <w:sz w:val="24"/>
          <w:szCs w:val="24"/>
        </w:rPr>
      </w:pPr>
    </w:p>
    <w:p w14:paraId="7178EEB8">
      <w:pPr>
        <w:rPr>
          <w:rFonts w:hint="eastAsia" w:ascii="宋体" w:hAnsi="宋体" w:eastAsia="宋体" w:cs="宋体"/>
          <w:bCs/>
          <w:spacing w:val="2"/>
          <w:kern w:val="11"/>
          <w:position w:val="2"/>
          <w:sz w:val="24"/>
          <w:szCs w:val="24"/>
        </w:rPr>
      </w:pPr>
    </w:p>
    <w:p w14:paraId="7491AC86">
      <w:pPr>
        <w:rPr>
          <w:rFonts w:hint="eastAsia" w:ascii="宋体" w:hAnsi="宋体" w:eastAsia="宋体" w:cs="宋体"/>
          <w:bCs/>
          <w:spacing w:val="2"/>
          <w:kern w:val="11"/>
          <w:position w:val="2"/>
          <w:sz w:val="24"/>
          <w:szCs w:val="24"/>
        </w:rPr>
      </w:pPr>
    </w:p>
    <w:p w14:paraId="6DDE592E">
      <w:pPr>
        <w:rPr>
          <w:rFonts w:hint="eastAsia" w:ascii="宋体" w:hAnsi="宋体" w:eastAsia="宋体" w:cs="宋体"/>
          <w:bCs/>
          <w:spacing w:val="2"/>
          <w:kern w:val="11"/>
          <w:position w:val="2"/>
          <w:sz w:val="24"/>
          <w:szCs w:val="24"/>
        </w:rPr>
      </w:pPr>
    </w:p>
    <w:p w14:paraId="0ED33F2F">
      <w:pPr>
        <w:rPr>
          <w:rFonts w:hint="eastAsia" w:ascii="宋体" w:hAnsi="宋体" w:eastAsia="宋体" w:cs="宋体"/>
          <w:bCs/>
          <w:spacing w:val="2"/>
          <w:kern w:val="11"/>
          <w:position w:val="2"/>
          <w:sz w:val="24"/>
          <w:szCs w:val="24"/>
        </w:rPr>
      </w:pPr>
    </w:p>
    <w:p w14:paraId="3197D796">
      <w:pPr>
        <w:rPr>
          <w:rFonts w:hint="eastAsia" w:ascii="宋体" w:hAnsi="宋体" w:eastAsia="宋体" w:cs="宋体"/>
          <w:bCs/>
          <w:spacing w:val="2"/>
          <w:kern w:val="11"/>
          <w:position w:val="2"/>
          <w:sz w:val="24"/>
          <w:szCs w:val="24"/>
        </w:rPr>
      </w:pPr>
    </w:p>
    <w:p w14:paraId="6D27A6AA">
      <w:pPr>
        <w:rPr>
          <w:rFonts w:hint="eastAsia" w:ascii="宋体" w:hAnsi="宋体" w:eastAsia="宋体" w:cs="宋体"/>
          <w:bCs/>
          <w:spacing w:val="2"/>
          <w:kern w:val="11"/>
          <w:position w:val="2"/>
          <w:sz w:val="24"/>
          <w:szCs w:val="24"/>
        </w:rPr>
      </w:pPr>
    </w:p>
    <w:p w14:paraId="7AEDC9A5">
      <w:pPr>
        <w:rPr>
          <w:rFonts w:hint="eastAsia" w:ascii="宋体" w:hAnsi="宋体" w:eastAsia="宋体" w:cs="宋体"/>
          <w:bCs/>
          <w:spacing w:val="2"/>
          <w:kern w:val="11"/>
          <w:position w:val="2"/>
          <w:sz w:val="24"/>
          <w:szCs w:val="24"/>
        </w:rPr>
      </w:pPr>
    </w:p>
    <w:p w14:paraId="54AF2F15">
      <w:pPr>
        <w:rPr>
          <w:rFonts w:hint="eastAsia" w:ascii="宋体" w:hAnsi="宋体" w:eastAsia="宋体" w:cs="宋体"/>
          <w:bCs/>
          <w:spacing w:val="2"/>
          <w:kern w:val="11"/>
          <w:position w:val="2"/>
          <w:sz w:val="24"/>
          <w:szCs w:val="24"/>
        </w:rPr>
      </w:pPr>
    </w:p>
    <w:p w14:paraId="3DB2F999">
      <w:pPr>
        <w:rPr>
          <w:rFonts w:hint="eastAsia" w:ascii="宋体" w:hAnsi="宋体" w:eastAsia="宋体" w:cs="宋体"/>
          <w:bCs/>
          <w:spacing w:val="2"/>
          <w:kern w:val="11"/>
          <w:position w:val="2"/>
          <w:sz w:val="24"/>
          <w:szCs w:val="24"/>
        </w:rPr>
      </w:pPr>
    </w:p>
    <w:p w14:paraId="60AE49F1">
      <w:pPr>
        <w:rPr>
          <w:rFonts w:hint="eastAsia" w:ascii="宋体" w:hAnsi="宋体" w:eastAsia="宋体" w:cs="宋体"/>
          <w:bCs/>
          <w:spacing w:val="2"/>
          <w:kern w:val="11"/>
          <w:position w:val="2"/>
          <w:sz w:val="24"/>
          <w:szCs w:val="24"/>
        </w:rPr>
      </w:pPr>
    </w:p>
    <w:p w14:paraId="46E6769C">
      <w:pPr>
        <w:rPr>
          <w:rFonts w:hint="eastAsia" w:ascii="宋体" w:hAnsi="宋体" w:eastAsia="宋体" w:cs="宋体"/>
          <w:bCs/>
          <w:spacing w:val="2"/>
          <w:kern w:val="11"/>
          <w:position w:val="2"/>
          <w:sz w:val="24"/>
          <w:szCs w:val="24"/>
        </w:rPr>
      </w:pPr>
    </w:p>
    <w:p w14:paraId="66FEE967">
      <w:pPr>
        <w:rPr>
          <w:rFonts w:hint="eastAsia" w:ascii="宋体" w:hAnsi="宋体" w:eastAsia="宋体" w:cs="宋体"/>
          <w:bCs/>
          <w:spacing w:val="2"/>
          <w:kern w:val="11"/>
          <w:position w:val="2"/>
          <w:sz w:val="24"/>
          <w:szCs w:val="24"/>
        </w:rPr>
      </w:pPr>
    </w:p>
    <w:p w14:paraId="7907F063">
      <w:pPr>
        <w:rPr>
          <w:rFonts w:hint="eastAsia" w:ascii="宋体" w:hAnsi="宋体" w:eastAsia="宋体" w:cs="宋体"/>
          <w:bCs/>
          <w:spacing w:val="2"/>
          <w:kern w:val="11"/>
          <w:position w:val="2"/>
          <w:sz w:val="24"/>
          <w:szCs w:val="24"/>
        </w:rPr>
      </w:pPr>
    </w:p>
    <w:p w14:paraId="778C32DA">
      <w:pPr>
        <w:rPr>
          <w:rFonts w:hint="eastAsia" w:ascii="宋体" w:hAnsi="宋体" w:eastAsia="宋体" w:cs="宋体"/>
          <w:bCs/>
          <w:spacing w:val="2"/>
          <w:kern w:val="11"/>
          <w:position w:val="2"/>
          <w:sz w:val="24"/>
          <w:szCs w:val="24"/>
        </w:rPr>
      </w:pPr>
    </w:p>
    <w:p w14:paraId="6D1059BA">
      <w:pPr>
        <w:pStyle w:val="2"/>
        <w:numPr>
          <w:ilvl w:val="0"/>
          <w:numId w:val="1"/>
        </w:numPr>
        <w:adjustRightInd w:val="0"/>
        <w:spacing w:before="312" w:after="312" w:line="240" w:lineRule="auto"/>
        <w:ind w:left="1077" w:hanging="1077"/>
        <w:jc w:val="center"/>
        <w:rPr>
          <w:rFonts w:hint="eastAsia" w:ascii="宋体" w:hAnsi="宋体" w:eastAsia="宋体" w:cs="宋体"/>
          <w:sz w:val="28"/>
          <w:szCs w:val="24"/>
        </w:rPr>
      </w:pPr>
      <w:bookmarkStart w:id="4" w:name="_Toc144900066"/>
      <w:r>
        <w:rPr>
          <w:rFonts w:hint="eastAsia" w:ascii="宋体" w:hAnsi="宋体" w:eastAsia="宋体" w:cs="宋体"/>
          <w:sz w:val="28"/>
          <w:szCs w:val="24"/>
        </w:rPr>
        <w:t>采购项目</w:t>
      </w:r>
      <w:bookmarkEnd w:id="2"/>
      <w:bookmarkEnd w:id="3"/>
      <w:bookmarkEnd w:id="4"/>
    </w:p>
    <w:p w14:paraId="274F32AD">
      <w:pPr>
        <w:pStyle w:val="10"/>
        <w:adjustRightInd w:val="0"/>
        <w:spacing w:line="240" w:lineRule="auto"/>
        <w:ind w:firstLine="565" w:firstLineChars="202"/>
        <w:jc w:val="left"/>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1.</w:t>
      </w:r>
      <w:r>
        <w:rPr>
          <w:rFonts w:hint="eastAsia" w:ascii="宋体" w:hAnsi="宋体" w:eastAsia="宋体" w:cs="宋体"/>
          <w:snapToGrid w:val="0"/>
          <w:color w:val="auto"/>
          <w:kern w:val="0"/>
          <w:szCs w:val="24"/>
          <w:highlight w:val="yellow"/>
          <w:lang w:val="en-US" w:eastAsia="zh-CN"/>
        </w:rPr>
        <w:t>华润水泥（田阳）有限</w:t>
      </w:r>
      <w:r>
        <w:rPr>
          <w:rFonts w:hint="eastAsia" w:ascii="宋体" w:hAnsi="宋体" w:eastAsia="宋体" w:cs="宋体"/>
          <w:snapToGrid w:val="0"/>
          <w:color w:val="auto"/>
          <w:kern w:val="0"/>
          <w:szCs w:val="24"/>
        </w:rPr>
        <w:t>公司是华润建材科技控股有限公司（香港联合交易所股份代码：HK1313）全资子公司，华润建材科技控股有限公司是华润集团一级利润中心，是华南地区领先的水泥及混凝土生产商，是国家重点支持的大型水泥企业集团之一。现拟开展</w:t>
      </w:r>
      <w:r>
        <w:rPr>
          <w:rFonts w:hint="eastAsia" w:ascii="宋体" w:hAnsi="宋体" w:eastAsia="宋体" w:cs="宋体"/>
          <w:snapToGrid w:val="0"/>
          <w:color w:val="auto"/>
          <w:kern w:val="0"/>
          <w:szCs w:val="24"/>
          <w:highlight w:val="yellow"/>
        </w:rPr>
        <w:t>2026年4月-田阳水泥-2026-2028年有害生物防治-</w:t>
      </w:r>
      <w:r>
        <w:rPr>
          <w:rFonts w:hint="eastAsia" w:ascii="宋体" w:hAnsi="宋体" w:eastAsia="宋体" w:cs="宋体"/>
          <w:snapToGrid w:val="0"/>
          <w:color w:val="auto"/>
          <w:kern w:val="0"/>
          <w:szCs w:val="24"/>
          <w:highlight w:val="none"/>
        </w:rPr>
        <w:t>公开询比采购工作</w:t>
      </w:r>
      <w:r>
        <w:rPr>
          <w:rFonts w:hint="eastAsia" w:ascii="宋体" w:hAnsi="宋体" w:eastAsia="宋体" w:cs="宋体"/>
          <w:snapToGrid w:val="0"/>
          <w:color w:val="auto"/>
          <w:kern w:val="0"/>
          <w:szCs w:val="24"/>
        </w:rPr>
        <w:t>。</w:t>
      </w:r>
    </w:p>
    <w:p w14:paraId="2457E54D">
      <w:pPr>
        <w:pStyle w:val="10"/>
        <w:adjustRightInd w:val="0"/>
        <w:spacing w:line="240" w:lineRule="auto"/>
        <w:ind w:firstLine="568" w:firstLineChars="202"/>
        <w:jc w:val="left"/>
        <w:rPr>
          <w:rFonts w:hint="eastAsia" w:ascii="宋体" w:hAnsi="宋体" w:eastAsia="宋体" w:cs="宋体"/>
          <w:snapToGrid w:val="0"/>
          <w:color w:val="auto"/>
          <w:kern w:val="0"/>
          <w:szCs w:val="24"/>
        </w:rPr>
      </w:pPr>
      <w:r>
        <w:rPr>
          <w:rFonts w:hint="eastAsia" w:ascii="宋体" w:hAnsi="宋体" w:eastAsia="宋体" w:cs="宋体"/>
          <w:b/>
          <w:bCs w:val="0"/>
          <w:snapToGrid w:val="0"/>
          <w:color w:val="auto"/>
          <w:kern w:val="0"/>
          <w:szCs w:val="24"/>
        </w:rPr>
        <w:t>2.采购方式</w:t>
      </w:r>
      <w:r>
        <w:rPr>
          <w:rFonts w:hint="eastAsia" w:ascii="宋体" w:hAnsi="宋体" w:eastAsia="宋体" w:cs="宋体"/>
          <w:snapToGrid w:val="0"/>
          <w:color w:val="auto"/>
          <w:kern w:val="0"/>
          <w:szCs w:val="24"/>
        </w:rPr>
        <w:t>：采用公开询比，采购公告在华润集团守正电子招标平台（http://szecp.crc.com.cn）上发布。</w:t>
      </w:r>
    </w:p>
    <w:p w14:paraId="5B047544">
      <w:pPr>
        <w:pStyle w:val="10"/>
        <w:adjustRightInd w:val="0"/>
        <w:spacing w:line="240" w:lineRule="auto"/>
        <w:ind w:firstLine="568" w:firstLineChars="202"/>
        <w:jc w:val="left"/>
        <w:rPr>
          <w:rFonts w:hint="eastAsia" w:ascii="宋体" w:hAnsi="宋体" w:eastAsia="宋体" w:cs="宋体"/>
          <w:snapToGrid w:val="0"/>
          <w:color w:val="auto"/>
          <w:kern w:val="0"/>
          <w:szCs w:val="24"/>
        </w:rPr>
      </w:pPr>
      <w:r>
        <w:rPr>
          <w:rFonts w:hint="eastAsia" w:ascii="宋体" w:hAnsi="宋体" w:eastAsia="宋体" w:cs="宋体"/>
          <w:b/>
          <w:bCs w:val="0"/>
          <w:snapToGrid w:val="0"/>
          <w:color w:val="auto"/>
          <w:kern w:val="0"/>
          <w:szCs w:val="24"/>
        </w:rPr>
        <w:t>3.采购信息：</w:t>
      </w:r>
    </w:p>
    <w:p w14:paraId="78C62CF1">
      <w:pPr>
        <w:pStyle w:val="10"/>
        <w:adjustRightInd w:val="0"/>
        <w:spacing w:line="240" w:lineRule="auto"/>
        <w:ind w:firstLine="565" w:firstLineChars="202"/>
        <w:jc w:val="left"/>
        <w:rPr>
          <w:rFonts w:hint="eastAsia" w:ascii="宋体" w:hAnsi="宋体" w:eastAsia="宋体" w:cs="宋体"/>
          <w:snapToGrid w:val="0"/>
          <w:color w:val="auto"/>
          <w:kern w:val="0"/>
          <w:szCs w:val="24"/>
          <w:lang w:eastAsia="zh-CN"/>
        </w:rPr>
      </w:pPr>
      <w:r>
        <w:rPr>
          <w:rFonts w:hint="eastAsia" w:ascii="宋体" w:hAnsi="宋体" w:eastAsia="宋体" w:cs="宋体"/>
          <w:snapToGrid w:val="0"/>
          <w:color w:val="auto"/>
          <w:kern w:val="0"/>
          <w:szCs w:val="24"/>
        </w:rPr>
        <w:t>3.1需求情况</w:t>
      </w:r>
      <w:r>
        <w:rPr>
          <w:rFonts w:hint="eastAsia" w:ascii="宋体" w:hAnsi="宋体" w:eastAsia="宋体" w:cs="宋体"/>
          <w:snapToGrid w:val="0"/>
          <w:color w:val="auto"/>
          <w:kern w:val="0"/>
          <w:szCs w:val="24"/>
          <w:lang w:eastAsia="zh-CN"/>
        </w:rPr>
        <w:t>：</w:t>
      </w:r>
      <w:r>
        <w:rPr>
          <w:rFonts w:hint="eastAsia" w:ascii="宋体" w:hAnsi="宋体" w:eastAsia="宋体" w:cs="宋体"/>
          <w:sz w:val="28"/>
          <w:szCs w:val="24"/>
          <w:highlight w:val="yellow"/>
        </w:rPr>
        <w:t>2026年4月-田阳水泥-2026-2028年有害生物防治-公开询比项目</w:t>
      </w:r>
      <w:r>
        <w:rPr>
          <w:rFonts w:hint="eastAsia" w:ascii="宋体" w:hAnsi="宋体" w:eastAsia="宋体" w:cs="宋体"/>
          <w:snapToGrid w:val="0"/>
          <w:color w:val="auto"/>
          <w:kern w:val="0"/>
          <w:szCs w:val="24"/>
          <w:lang w:eastAsia="zh-CN"/>
        </w:rPr>
        <w:t>。</w:t>
      </w:r>
    </w:p>
    <w:p w14:paraId="3BB6E916">
      <w:pPr>
        <w:pStyle w:val="10"/>
        <w:adjustRightInd w:val="0"/>
        <w:spacing w:line="240" w:lineRule="auto"/>
        <w:ind w:firstLine="1120" w:firstLineChars="400"/>
        <w:jc w:val="left"/>
        <w:rPr>
          <w:rFonts w:hint="eastAsia" w:ascii="宋体" w:hAnsi="宋体" w:eastAsia="宋体" w:cs="宋体"/>
          <w:snapToGrid w:val="0"/>
          <w:color w:val="auto"/>
          <w:kern w:val="0"/>
          <w:szCs w:val="24"/>
          <w:lang w:val="en-US" w:eastAsia="zh-CN"/>
        </w:rPr>
      </w:pPr>
      <w:r>
        <w:rPr>
          <w:rFonts w:hint="eastAsia" w:ascii="宋体" w:hAnsi="宋体" w:eastAsia="宋体" w:cs="宋体"/>
          <w:snapToGrid w:val="0"/>
          <w:color w:val="auto"/>
          <w:kern w:val="0"/>
          <w:szCs w:val="24"/>
        </w:rPr>
        <w:t>数量：</w:t>
      </w:r>
      <w:r>
        <w:rPr>
          <w:rFonts w:hint="eastAsia" w:ascii="宋体" w:hAnsi="宋体" w:eastAsia="宋体" w:cs="宋体"/>
          <w:snapToGrid w:val="0"/>
          <w:color w:val="auto"/>
          <w:kern w:val="0"/>
          <w:szCs w:val="24"/>
          <w:lang w:val="en-US" w:eastAsia="zh-CN"/>
        </w:rPr>
        <w:t>1项。</w:t>
      </w:r>
    </w:p>
    <w:p w14:paraId="6F55881A">
      <w:pPr>
        <w:pStyle w:val="10"/>
        <w:adjustRightInd w:val="0"/>
        <w:spacing w:line="240" w:lineRule="auto"/>
        <w:ind w:firstLine="484" w:firstLineChars="202"/>
        <w:jc w:val="left"/>
        <w:rPr>
          <w:rFonts w:hint="eastAsia" w:ascii="宋体" w:hAnsi="宋体" w:eastAsia="宋体" w:cs="宋体"/>
          <w:snapToGrid w:val="0"/>
          <w:color w:val="auto"/>
          <w:kern w:val="0"/>
          <w:sz w:val="24"/>
          <w:szCs w:val="22"/>
        </w:rPr>
      </w:pPr>
      <w:r>
        <w:rPr>
          <w:rFonts w:hint="eastAsia" w:ascii="宋体" w:hAnsi="宋体" w:eastAsia="宋体" w:cs="宋体"/>
          <w:snapToGrid w:val="0"/>
          <w:color w:val="auto"/>
          <w:kern w:val="0"/>
          <w:sz w:val="24"/>
          <w:szCs w:val="22"/>
        </w:rPr>
        <w:t>注：（1）数量以实际采</w:t>
      </w:r>
      <w:r>
        <w:rPr>
          <w:rFonts w:hint="eastAsia" w:ascii="宋体" w:hAnsi="宋体" w:eastAsia="宋体" w:cs="宋体"/>
          <w:snapToGrid w:val="0"/>
          <w:color w:val="auto"/>
          <w:kern w:val="0"/>
          <w:szCs w:val="24"/>
        </w:rPr>
        <w:t>购订单为准。</w:t>
      </w:r>
    </w:p>
    <w:p w14:paraId="23009909">
      <w:pPr>
        <w:pStyle w:val="10"/>
        <w:adjustRightInd w:val="0"/>
        <w:spacing w:line="240" w:lineRule="auto"/>
        <w:ind w:firstLine="565" w:firstLineChars="202"/>
        <w:jc w:val="left"/>
        <w:rPr>
          <w:rFonts w:hint="eastAsia" w:ascii="宋体" w:hAnsi="宋体" w:eastAsia="宋体" w:cs="宋体"/>
          <w:snapToGrid w:val="0"/>
          <w:color w:val="auto"/>
          <w:kern w:val="0"/>
          <w:szCs w:val="24"/>
          <w:highlight w:val="yellow"/>
          <w:lang w:val="en-US" w:eastAsia="zh-CN"/>
        </w:rPr>
      </w:pPr>
      <w:r>
        <w:rPr>
          <w:rFonts w:hint="eastAsia" w:ascii="宋体" w:hAnsi="宋体" w:eastAsia="宋体" w:cs="宋体"/>
          <w:snapToGrid w:val="0"/>
          <w:color w:val="auto"/>
          <w:kern w:val="0"/>
          <w:szCs w:val="24"/>
        </w:rPr>
        <w:t>3.2</w:t>
      </w:r>
      <w:r>
        <w:rPr>
          <w:rFonts w:hint="eastAsia" w:ascii="宋体" w:hAnsi="宋体" w:eastAsia="宋体" w:cs="宋体"/>
          <w:snapToGrid w:val="0"/>
          <w:color w:val="auto"/>
          <w:kern w:val="0"/>
          <w:szCs w:val="24"/>
          <w:highlight w:val="yellow"/>
        </w:rPr>
        <w:t>质量要求：</w:t>
      </w:r>
      <w:r>
        <w:rPr>
          <w:rFonts w:hint="eastAsia" w:ascii="宋体" w:hAnsi="宋体" w:eastAsia="宋体" w:cs="宋体"/>
          <w:snapToGrid w:val="0"/>
          <w:color w:val="auto"/>
          <w:kern w:val="0"/>
          <w:szCs w:val="24"/>
          <w:highlight w:val="yellow"/>
          <w:lang w:val="en-US" w:eastAsia="zh-CN"/>
        </w:rPr>
        <w:t>符合甲方要求。</w:t>
      </w:r>
    </w:p>
    <w:p w14:paraId="19E924DF">
      <w:pPr>
        <w:pStyle w:val="10"/>
        <w:adjustRightInd w:val="0"/>
        <w:spacing w:line="240" w:lineRule="auto"/>
        <w:ind w:firstLine="565" w:firstLineChars="202"/>
        <w:jc w:val="left"/>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3.3合同期限：</w:t>
      </w:r>
      <w:r>
        <w:rPr>
          <w:rFonts w:hint="eastAsia" w:ascii="宋体" w:hAnsi="宋体" w:eastAsia="宋体" w:cs="宋体"/>
          <w:snapToGrid w:val="0"/>
          <w:color w:val="auto"/>
          <w:kern w:val="0"/>
          <w:szCs w:val="24"/>
          <w:highlight w:val="yellow"/>
        </w:rPr>
        <w:t>自合同签订之日起至20</w:t>
      </w:r>
      <w:r>
        <w:rPr>
          <w:rFonts w:hint="eastAsia" w:ascii="宋体" w:hAnsi="宋体" w:eastAsia="宋体" w:cs="宋体"/>
          <w:snapToGrid w:val="0"/>
          <w:color w:val="auto"/>
          <w:kern w:val="0"/>
          <w:szCs w:val="24"/>
          <w:highlight w:val="yellow"/>
          <w:lang w:val="en-US" w:eastAsia="zh-CN"/>
        </w:rPr>
        <w:t>28</w:t>
      </w:r>
      <w:r>
        <w:rPr>
          <w:rFonts w:hint="eastAsia" w:ascii="宋体" w:hAnsi="宋体" w:eastAsia="宋体" w:cs="宋体"/>
          <w:snapToGrid w:val="0"/>
          <w:color w:val="auto"/>
          <w:kern w:val="0"/>
          <w:szCs w:val="24"/>
          <w:highlight w:val="yellow"/>
        </w:rPr>
        <w:t>年</w:t>
      </w:r>
      <w:r>
        <w:rPr>
          <w:rFonts w:hint="eastAsia" w:ascii="宋体" w:hAnsi="宋体" w:eastAsia="宋体" w:cs="宋体"/>
          <w:snapToGrid w:val="0"/>
          <w:color w:val="auto"/>
          <w:kern w:val="0"/>
          <w:szCs w:val="24"/>
          <w:highlight w:val="yellow"/>
          <w:lang w:val="en-US" w:eastAsia="zh-CN"/>
        </w:rPr>
        <w:t>5</w:t>
      </w:r>
      <w:r>
        <w:rPr>
          <w:rFonts w:hint="eastAsia" w:ascii="宋体" w:hAnsi="宋体" w:eastAsia="宋体" w:cs="宋体"/>
          <w:snapToGrid w:val="0"/>
          <w:color w:val="auto"/>
          <w:kern w:val="0"/>
          <w:szCs w:val="24"/>
          <w:highlight w:val="yellow"/>
        </w:rPr>
        <w:t>月</w:t>
      </w:r>
      <w:r>
        <w:rPr>
          <w:rFonts w:hint="eastAsia" w:ascii="宋体" w:hAnsi="宋体" w:eastAsia="宋体" w:cs="宋体"/>
          <w:snapToGrid w:val="0"/>
          <w:color w:val="auto"/>
          <w:kern w:val="0"/>
          <w:szCs w:val="24"/>
          <w:highlight w:val="yellow"/>
          <w:lang w:val="en-US" w:eastAsia="zh-CN"/>
        </w:rPr>
        <w:t>31</w:t>
      </w:r>
      <w:r>
        <w:rPr>
          <w:rFonts w:hint="eastAsia" w:ascii="宋体" w:hAnsi="宋体" w:eastAsia="宋体" w:cs="宋体"/>
          <w:snapToGrid w:val="0"/>
          <w:color w:val="auto"/>
          <w:kern w:val="0"/>
          <w:szCs w:val="24"/>
          <w:highlight w:val="yellow"/>
        </w:rPr>
        <w:t>止</w:t>
      </w:r>
      <w:r>
        <w:rPr>
          <w:rFonts w:hint="eastAsia" w:ascii="宋体" w:hAnsi="宋体" w:eastAsia="宋体" w:cs="宋体"/>
          <w:snapToGrid w:val="0"/>
          <w:color w:val="auto"/>
          <w:kern w:val="0"/>
          <w:szCs w:val="24"/>
          <w:highlight w:val="yellow"/>
          <w:lang w:eastAsia="zh-CN"/>
        </w:rPr>
        <w:t>（</w:t>
      </w:r>
      <w:r>
        <w:rPr>
          <w:rFonts w:hint="eastAsia" w:ascii="宋体" w:hAnsi="宋体" w:eastAsia="宋体" w:cs="宋体"/>
          <w:snapToGrid w:val="0"/>
          <w:color w:val="auto"/>
          <w:kern w:val="0"/>
          <w:szCs w:val="24"/>
          <w:highlight w:val="yellow"/>
          <w:lang w:val="en-US" w:eastAsia="zh-CN"/>
        </w:rPr>
        <w:t>以实际签署日期为准</w:t>
      </w:r>
      <w:r>
        <w:rPr>
          <w:rFonts w:hint="eastAsia" w:ascii="宋体" w:hAnsi="宋体" w:eastAsia="宋体" w:cs="宋体"/>
          <w:snapToGrid w:val="0"/>
          <w:color w:val="auto"/>
          <w:kern w:val="0"/>
          <w:szCs w:val="24"/>
          <w:highlight w:val="yellow"/>
          <w:lang w:eastAsia="zh-CN"/>
        </w:rPr>
        <w:t>）</w:t>
      </w:r>
      <w:r>
        <w:rPr>
          <w:rFonts w:hint="eastAsia" w:ascii="宋体" w:hAnsi="宋体" w:eastAsia="宋体" w:cs="宋体"/>
          <w:snapToGrid w:val="0"/>
          <w:color w:val="auto"/>
          <w:kern w:val="0"/>
          <w:szCs w:val="24"/>
          <w:highlight w:val="yellow"/>
        </w:rPr>
        <w:t>。</w:t>
      </w:r>
    </w:p>
    <w:p w14:paraId="20383796">
      <w:pPr>
        <w:pStyle w:val="10"/>
        <w:adjustRightInd w:val="0"/>
        <w:spacing w:line="240" w:lineRule="auto"/>
        <w:ind w:firstLine="565" w:firstLineChars="202"/>
        <w:jc w:val="left"/>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4.报价人在获取到采购文件后，应按文件要求及时编写报名、报价文件。如有疑问可向本项目采购工作小组咨询。</w:t>
      </w:r>
    </w:p>
    <w:p w14:paraId="27B92E4A">
      <w:pPr>
        <w:widowControl/>
        <w:ind w:firstLine="565" w:firstLineChars="202"/>
        <w:jc w:val="left"/>
        <w:rPr>
          <w:rFonts w:hint="eastAsia" w:ascii="宋体" w:hAnsi="宋体" w:eastAsia="宋体" w:cs="宋体"/>
          <w:bCs/>
          <w:snapToGrid w:val="0"/>
          <w:color w:val="000000" w:themeColor="text1"/>
          <w:kern w:val="0"/>
          <w:sz w:val="28"/>
          <w:szCs w:val="24"/>
          <w14:textFill>
            <w14:solidFill>
              <w14:schemeClr w14:val="tx1"/>
            </w14:solidFill>
          </w14:textFill>
        </w:rPr>
      </w:pPr>
      <w:r>
        <w:rPr>
          <w:rFonts w:hint="eastAsia" w:ascii="宋体" w:hAnsi="宋体" w:eastAsia="宋体" w:cs="宋体"/>
          <w:bCs/>
          <w:snapToGrid w:val="0"/>
          <w:kern w:val="0"/>
          <w:sz w:val="28"/>
          <w:szCs w:val="24"/>
        </w:rPr>
        <w:t>5.</w:t>
      </w:r>
      <w:r>
        <w:rPr>
          <w:rFonts w:hint="eastAsia" w:ascii="宋体" w:hAnsi="宋体" w:eastAsia="宋体" w:cs="宋体"/>
          <w:bCs/>
          <w:snapToGrid w:val="0"/>
          <w:kern w:val="0"/>
          <w:sz w:val="28"/>
          <w:szCs w:val="24"/>
          <w:highlight w:val="yellow"/>
        </w:rPr>
        <w:t>在</w:t>
      </w:r>
      <w:r>
        <w:rPr>
          <w:rFonts w:hint="eastAsia" w:ascii="宋体" w:hAnsi="宋体" w:eastAsia="宋体" w:cs="宋体"/>
          <w:bCs/>
          <w:snapToGrid w:val="0"/>
          <w:kern w:val="0"/>
          <w:sz w:val="28"/>
          <w:szCs w:val="24"/>
          <w:highlight w:val="yellow"/>
          <w:lang w:val="en-US" w:eastAsia="zh-CN"/>
        </w:rPr>
        <w:t>华润守正平台</w:t>
      </w:r>
      <w:r>
        <w:rPr>
          <w:rFonts w:hint="eastAsia" w:ascii="宋体" w:hAnsi="宋体" w:eastAsia="宋体" w:cs="宋体"/>
          <w:bCs/>
          <w:snapToGrid w:val="0"/>
          <w:kern w:val="0"/>
          <w:sz w:val="28"/>
          <w:szCs w:val="24"/>
        </w:rPr>
        <w:t>开启资格审查、组织评审</w:t>
      </w:r>
      <w:r>
        <w:rPr>
          <w:rFonts w:hint="eastAsia" w:ascii="宋体" w:hAnsi="宋体" w:eastAsia="宋体" w:cs="宋体"/>
          <w:bCs/>
          <w:snapToGrid w:val="0"/>
          <w:color w:val="000000" w:themeColor="text1"/>
          <w:kern w:val="0"/>
          <w:sz w:val="28"/>
          <w:szCs w:val="24"/>
          <w14:textFill>
            <w14:solidFill>
              <w14:schemeClr w14:val="tx1"/>
            </w14:solidFill>
          </w14:textFill>
        </w:rPr>
        <w:t>（具体以华润集团守正电子招标平台发布的时间为准）。</w:t>
      </w:r>
    </w:p>
    <w:p w14:paraId="01F762EE">
      <w:pPr>
        <w:widowControl/>
        <w:ind w:firstLine="565" w:firstLineChars="202"/>
        <w:jc w:val="left"/>
        <w:rPr>
          <w:rFonts w:hint="eastAsia" w:ascii="宋体" w:hAnsi="宋体" w:eastAsia="宋体" w:cs="宋体"/>
          <w:bCs/>
          <w:snapToGrid w:val="0"/>
          <w:kern w:val="0"/>
          <w:sz w:val="28"/>
          <w:szCs w:val="24"/>
          <w:lang w:val="en-US" w:eastAsia="zh-CN"/>
        </w:rPr>
      </w:pPr>
      <w:r>
        <w:rPr>
          <w:rFonts w:hint="eastAsia" w:ascii="宋体" w:hAnsi="宋体" w:eastAsia="宋体" w:cs="宋体"/>
          <w:bCs/>
          <w:snapToGrid w:val="0"/>
          <w:kern w:val="0"/>
          <w:sz w:val="28"/>
          <w:szCs w:val="24"/>
        </w:rPr>
        <w:t>6.未尽事宜可来电来函咨询，</w:t>
      </w:r>
      <w:r>
        <w:rPr>
          <w:rFonts w:hint="eastAsia" w:ascii="宋体" w:hAnsi="宋体" w:eastAsia="宋体" w:cs="宋体"/>
          <w:bCs/>
          <w:snapToGrid w:val="0"/>
          <w:kern w:val="0"/>
          <w:sz w:val="28"/>
          <w:szCs w:val="24"/>
          <w:highlight w:val="yellow"/>
        </w:rPr>
        <w:t>联系人：</w:t>
      </w:r>
      <w:r>
        <w:rPr>
          <w:rFonts w:hint="eastAsia" w:ascii="宋体" w:hAnsi="宋体" w:eastAsia="宋体" w:cs="宋体"/>
          <w:bCs/>
          <w:snapToGrid w:val="0"/>
          <w:color w:val="000000" w:themeColor="text1"/>
          <w:kern w:val="0"/>
          <w:sz w:val="28"/>
          <w:szCs w:val="24"/>
          <w:highlight w:val="yellow"/>
          <w:lang w:val="en-US" w:eastAsia="zh-CN"/>
          <w14:textFill>
            <w14:solidFill>
              <w14:schemeClr w14:val="tx1"/>
            </w14:solidFill>
          </w14:textFill>
        </w:rPr>
        <w:t>梁哲</w:t>
      </w:r>
      <w:r>
        <w:rPr>
          <w:rFonts w:hint="eastAsia" w:ascii="宋体" w:hAnsi="宋体" w:eastAsia="宋体" w:cs="宋体"/>
          <w:bCs/>
          <w:snapToGrid w:val="0"/>
          <w:color w:val="000000" w:themeColor="text1"/>
          <w:kern w:val="0"/>
          <w:sz w:val="28"/>
          <w:szCs w:val="24"/>
          <w:highlight w:val="yellow"/>
          <w14:textFill>
            <w14:solidFill>
              <w14:schemeClr w14:val="tx1"/>
            </w14:solidFill>
          </w14:textFill>
        </w:rPr>
        <w:t>，电话：</w:t>
      </w:r>
      <w:r>
        <w:rPr>
          <w:rFonts w:hint="eastAsia" w:ascii="宋体" w:hAnsi="宋体" w:eastAsia="宋体" w:cs="宋体"/>
          <w:bCs/>
          <w:snapToGrid w:val="0"/>
          <w:color w:val="000000" w:themeColor="text1"/>
          <w:kern w:val="0"/>
          <w:sz w:val="28"/>
          <w:szCs w:val="24"/>
          <w:highlight w:val="yellow"/>
          <w:lang w:val="en-US" w:eastAsia="zh-CN"/>
          <w14:textFill>
            <w14:solidFill>
              <w14:schemeClr w14:val="tx1"/>
            </w14:solidFill>
          </w14:textFill>
        </w:rPr>
        <w:t>15878669428</w:t>
      </w:r>
      <w:r>
        <w:rPr>
          <w:rFonts w:hint="eastAsia" w:ascii="宋体" w:hAnsi="宋体" w:eastAsia="宋体" w:cs="宋体"/>
          <w:bCs/>
          <w:snapToGrid w:val="0"/>
          <w:kern w:val="0"/>
          <w:sz w:val="28"/>
          <w:szCs w:val="24"/>
          <w:highlight w:val="yellow"/>
        </w:rPr>
        <w:t>，</w:t>
      </w:r>
      <w:r>
        <w:rPr>
          <w:rFonts w:hint="eastAsia" w:ascii="宋体" w:hAnsi="宋体" w:eastAsia="宋体" w:cs="宋体"/>
          <w:bCs/>
          <w:snapToGrid w:val="0"/>
          <w:kern w:val="0"/>
          <w:sz w:val="28"/>
          <w:szCs w:val="24"/>
          <w:highlight w:val="yellow"/>
          <w:lang w:val="pt-BR"/>
        </w:rPr>
        <w:t>地址：</w:t>
      </w:r>
      <w:bookmarkStart w:id="5" w:name="_Toc409972914"/>
      <w:bookmarkStart w:id="6" w:name="_Toc409973577"/>
      <w:bookmarkStart w:id="7" w:name="_Toc396390573"/>
      <w:bookmarkStart w:id="8" w:name="_Toc396388196"/>
      <w:bookmarkStart w:id="9" w:name="_Toc396389425"/>
      <w:r>
        <w:rPr>
          <w:rFonts w:hint="eastAsia" w:ascii="宋体" w:hAnsi="宋体" w:eastAsia="宋体" w:cs="宋体"/>
          <w:bCs/>
          <w:snapToGrid w:val="0"/>
          <w:kern w:val="0"/>
          <w:sz w:val="28"/>
          <w:szCs w:val="24"/>
          <w:highlight w:val="yellow"/>
          <w:lang w:val="en-US" w:eastAsia="zh-CN"/>
        </w:rPr>
        <w:t>广西百色市田阳区那坡镇那音村</w:t>
      </w:r>
    </w:p>
    <w:p w14:paraId="3F96445E">
      <w:pPr>
        <w:pStyle w:val="2"/>
        <w:spacing w:before="312" w:after="312" w:line="240" w:lineRule="auto"/>
        <w:jc w:val="center"/>
        <w:rPr>
          <w:rFonts w:hint="eastAsia" w:ascii="宋体" w:hAnsi="宋体" w:eastAsia="宋体" w:cs="宋体"/>
          <w:sz w:val="28"/>
          <w:szCs w:val="24"/>
        </w:rPr>
      </w:pPr>
      <w:bookmarkStart w:id="10" w:name="_Toc144900067"/>
      <w:r>
        <w:rPr>
          <w:rFonts w:hint="eastAsia" w:ascii="宋体" w:hAnsi="宋体" w:eastAsia="宋体" w:cs="宋体"/>
          <w:sz w:val="28"/>
          <w:szCs w:val="24"/>
        </w:rPr>
        <w:t xml:space="preserve">第二章 </w:t>
      </w:r>
      <w:bookmarkStart w:id="11" w:name="_Toc325556082"/>
      <w:r>
        <w:rPr>
          <w:rFonts w:hint="eastAsia" w:ascii="宋体" w:hAnsi="宋体" w:eastAsia="宋体" w:cs="宋体"/>
          <w:sz w:val="28"/>
          <w:szCs w:val="24"/>
        </w:rPr>
        <w:t>报价人须知</w:t>
      </w:r>
      <w:bookmarkEnd w:id="5"/>
      <w:bookmarkEnd w:id="6"/>
      <w:bookmarkEnd w:id="7"/>
      <w:bookmarkEnd w:id="8"/>
      <w:bookmarkEnd w:id="9"/>
      <w:bookmarkEnd w:id="10"/>
      <w:bookmarkEnd w:id="11"/>
    </w:p>
    <w:p w14:paraId="02C990F6">
      <w:pPr>
        <w:pStyle w:val="3"/>
        <w:spacing w:line="240" w:lineRule="auto"/>
        <w:jc w:val="center"/>
        <w:rPr>
          <w:rFonts w:hint="eastAsia" w:ascii="宋体" w:hAnsi="宋体" w:eastAsia="宋体" w:cs="宋体"/>
          <w:sz w:val="28"/>
          <w:szCs w:val="24"/>
        </w:rPr>
      </w:pPr>
      <w:bookmarkStart w:id="12" w:name="_Toc325556083"/>
      <w:bookmarkStart w:id="13" w:name="_Toc396388197"/>
      <w:bookmarkStart w:id="14" w:name="_Toc409972915"/>
      <w:bookmarkStart w:id="15" w:name="_Toc396390574"/>
      <w:bookmarkStart w:id="16" w:name="_Toc144900068"/>
      <w:bookmarkStart w:id="17" w:name="_Toc396389426"/>
      <w:bookmarkStart w:id="18" w:name="_Toc409973578"/>
      <w:r>
        <w:rPr>
          <w:rFonts w:hint="eastAsia" w:ascii="宋体" w:hAnsi="宋体" w:eastAsia="宋体" w:cs="宋体"/>
          <w:sz w:val="28"/>
          <w:szCs w:val="24"/>
        </w:rPr>
        <w:t>A</w:t>
      </w:r>
      <w:r>
        <w:rPr>
          <w:rFonts w:hint="eastAsia" w:ascii="宋体" w:hAnsi="宋体" w:eastAsia="宋体" w:cs="宋体"/>
          <w:sz w:val="28"/>
          <w:szCs w:val="24"/>
          <w:lang w:eastAsia="zh-CN"/>
        </w:rPr>
        <w:t>.</w:t>
      </w:r>
      <w:r>
        <w:rPr>
          <w:rFonts w:hint="eastAsia" w:ascii="宋体" w:hAnsi="宋体" w:eastAsia="宋体" w:cs="宋体"/>
          <w:sz w:val="28"/>
          <w:szCs w:val="24"/>
        </w:rPr>
        <w:t>报价人</w:t>
      </w:r>
      <w:bookmarkEnd w:id="12"/>
      <w:bookmarkEnd w:id="13"/>
      <w:bookmarkEnd w:id="14"/>
      <w:bookmarkEnd w:id="15"/>
      <w:bookmarkEnd w:id="16"/>
      <w:bookmarkEnd w:id="17"/>
      <w:bookmarkEnd w:id="18"/>
    </w:p>
    <w:p w14:paraId="09CAD36F">
      <w:pPr>
        <w:pStyle w:val="4"/>
        <w:spacing w:line="240" w:lineRule="auto"/>
        <w:rPr>
          <w:rFonts w:hint="eastAsia" w:ascii="宋体" w:hAnsi="宋体" w:eastAsia="宋体" w:cs="宋体"/>
          <w:snapToGrid w:val="0"/>
          <w:kern w:val="0"/>
          <w:sz w:val="28"/>
          <w:szCs w:val="24"/>
        </w:rPr>
      </w:pPr>
      <w:bookmarkStart w:id="19" w:name="_Toc396390575"/>
      <w:bookmarkStart w:id="20" w:name="_Toc325556084"/>
      <w:bookmarkStart w:id="21" w:name="_Toc409972916"/>
      <w:bookmarkStart w:id="22" w:name="_Toc144900069"/>
      <w:bookmarkStart w:id="23" w:name="_Toc396389427"/>
      <w:bookmarkStart w:id="24" w:name="_Toc409973579"/>
      <w:bookmarkStart w:id="25" w:name="_Toc396388198"/>
      <w:r>
        <w:rPr>
          <w:rFonts w:hint="eastAsia" w:ascii="宋体" w:hAnsi="宋体" w:eastAsia="宋体" w:cs="宋体"/>
          <w:snapToGrid w:val="0"/>
          <w:kern w:val="0"/>
          <w:sz w:val="28"/>
          <w:szCs w:val="24"/>
        </w:rPr>
        <w:t>1.合格报价人的范围</w:t>
      </w:r>
      <w:bookmarkEnd w:id="19"/>
      <w:bookmarkEnd w:id="20"/>
      <w:bookmarkEnd w:id="21"/>
      <w:bookmarkEnd w:id="22"/>
      <w:bookmarkEnd w:id="23"/>
      <w:bookmarkEnd w:id="24"/>
      <w:bookmarkEnd w:id="25"/>
    </w:p>
    <w:p w14:paraId="48ED1C45">
      <w:pPr>
        <w:rPr>
          <w:rFonts w:hint="eastAsia" w:ascii="宋体" w:hAnsi="宋体" w:eastAsia="宋体" w:cs="宋体"/>
          <w:snapToGrid w:val="0"/>
          <w:kern w:val="0"/>
          <w:sz w:val="28"/>
          <w:szCs w:val="24"/>
          <w:highlight w:val="yellow"/>
          <w:lang w:val="en-US" w:eastAsia="zh-CN"/>
        </w:rPr>
      </w:pPr>
      <w:r>
        <w:rPr>
          <w:rFonts w:hint="eastAsia" w:ascii="宋体" w:hAnsi="宋体" w:eastAsia="宋体" w:cs="宋体"/>
          <w:snapToGrid w:val="0"/>
          <w:kern w:val="0"/>
          <w:sz w:val="28"/>
          <w:szCs w:val="24"/>
        </w:rPr>
        <w:t>各投标位需上传相关附件至系统，材料缺失或不符视为资质不符合，采购人有权不予通过资格审查。</w:t>
      </w:r>
      <w:r>
        <w:rPr>
          <w:rFonts w:hint="eastAsia" w:ascii="宋体" w:hAnsi="宋体" w:eastAsia="宋体" w:cs="宋体"/>
          <w:snapToGrid w:val="0"/>
          <w:kern w:val="0"/>
          <w:sz w:val="28"/>
          <w:szCs w:val="24"/>
          <w:highlight w:val="yellow"/>
          <w:lang w:val="en-US" w:eastAsia="zh-CN"/>
        </w:rPr>
        <w:t>资格审核要求具体如下：</w:t>
      </w:r>
    </w:p>
    <w:p w14:paraId="528A4D12">
      <w:pPr>
        <w:rPr>
          <w:rFonts w:hint="eastAsia" w:ascii="宋体" w:hAnsi="宋体" w:eastAsia="宋体" w:cs="宋体"/>
          <w:snapToGrid w:val="0"/>
          <w:kern w:val="0"/>
          <w:sz w:val="28"/>
          <w:szCs w:val="24"/>
          <w:highlight w:val="red"/>
        </w:rPr>
      </w:pPr>
      <w:bookmarkStart w:id="26" w:name="_Toc396389429"/>
      <w:bookmarkStart w:id="27" w:name="_Toc409973581"/>
      <w:bookmarkStart w:id="28" w:name="_Toc144900070"/>
      <w:bookmarkStart w:id="29" w:name="_Toc396390577"/>
      <w:bookmarkStart w:id="30" w:name="_Toc409972918"/>
      <w:bookmarkStart w:id="31" w:name="_Toc325556086"/>
      <w:bookmarkStart w:id="32" w:name="_Toc396388200"/>
      <w:r>
        <w:rPr>
          <w:rFonts w:hint="eastAsia" w:ascii="宋体" w:hAnsi="宋体" w:eastAsia="宋体" w:cs="宋体"/>
          <w:snapToGrid w:val="0"/>
          <w:kern w:val="0"/>
          <w:sz w:val="28"/>
          <w:szCs w:val="24"/>
          <w:highlight w:val="yellow"/>
        </w:rPr>
        <w:t>1）</w:t>
      </w:r>
      <w:r>
        <w:rPr>
          <w:rFonts w:hint="eastAsia" w:ascii="宋体" w:hAnsi="宋体" w:eastAsia="宋体" w:cs="宋体"/>
          <w:snapToGrid w:val="0"/>
          <w:kern w:val="0"/>
          <w:sz w:val="28"/>
          <w:szCs w:val="24"/>
          <w:highlight w:val="yellow"/>
          <w:lang w:val="en-US" w:eastAsia="zh-CN"/>
        </w:rPr>
        <w:t>民事行为能力</w:t>
      </w:r>
      <w:r>
        <w:rPr>
          <w:rFonts w:hint="eastAsia" w:ascii="宋体" w:hAnsi="宋体" w:eastAsia="宋体" w:cs="宋体"/>
          <w:snapToGrid w:val="0"/>
          <w:kern w:val="0"/>
          <w:sz w:val="28"/>
          <w:szCs w:val="24"/>
          <w:highlight w:val="yellow"/>
        </w:rPr>
        <w:t>：投标人是在中华人民共和国境内注册的法人、非法人组织、自然人（适用科研项目），具有独立订立合同的资格。（投标人在递交投标文件时须提供现行有效的证照资料复印件并加盖公司公章，如工商营业执照、开户许可证或基本账户信息、法定代表人身份证，授权投标代理人办理的须提供加盖公章的《法定代表人授权委托书》及被授权人身份证复印件）。</w:t>
      </w:r>
    </w:p>
    <w:p w14:paraId="6ACE7441">
      <w:pPr>
        <w:rPr>
          <w:rFonts w:hint="eastAsia" w:ascii="宋体" w:hAnsi="宋体" w:eastAsia="宋体" w:cs="宋体"/>
          <w:snapToGrid w:val="0"/>
          <w:kern w:val="0"/>
          <w:sz w:val="28"/>
          <w:szCs w:val="24"/>
          <w:highlight w:val="yellow"/>
        </w:rPr>
      </w:pPr>
      <w:r>
        <w:rPr>
          <w:rFonts w:hint="eastAsia" w:ascii="宋体" w:hAnsi="宋体" w:eastAsia="宋体" w:cs="宋体"/>
          <w:snapToGrid w:val="0"/>
          <w:kern w:val="0"/>
          <w:sz w:val="28"/>
          <w:szCs w:val="24"/>
          <w:highlight w:val="yellow"/>
        </w:rPr>
        <w:t>2）响应文件：响应报名承诺书、廉洁合规承诺书、限制投标情形，文件详见采购公告附件（请上传三份响应文件签章扫描件至资格审核文件）。</w:t>
      </w:r>
    </w:p>
    <w:p w14:paraId="65951E12">
      <w:pPr>
        <w:jc w:val="left"/>
        <w:rPr>
          <w:rFonts w:hint="eastAsia" w:ascii="宋体" w:hAnsi="宋体" w:eastAsia="宋体" w:cs="宋体"/>
          <w:snapToGrid w:val="0"/>
          <w:kern w:val="0"/>
          <w:sz w:val="28"/>
          <w:szCs w:val="24"/>
          <w:highlight w:val="yellow"/>
          <w:lang w:val="en-US" w:eastAsia="zh-CN"/>
        </w:rPr>
      </w:pPr>
      <w:r>
        <w:rPr>
          <w:rFonts w:hint="eastAsia" w:ascii="宋体" w:hAnsi="宋体" w:eastAsia="宋体" w:cs="宋体"/>
          <w:snapToGrid w:val="0"/>
          <w:kern w:val="0"/>
          <w:sz w:val="28"/>
          <w:szCs w:val="24"/>
          <w:highlight w:val="yellow"/>
          <w:lang w:val="en-US" w:eastAsia="zh-CN"/>
        </w:rPr>
        <w:t>3）业绩要求：上传生效日期为2023年1月1日后一份类似业绩，需盖章印、日期清晰（上传相应业绩支撑附件）。</w:t>
      </w:r>
    </w:p>
    <w:p w14:paraId="6B64E94A">
      <w:pPr>
        <w:keepNext w:val="0"/>
        <w:keepLines w:val="0"/>
        <w:widowControl/>
        <w:suppressLineNumbers w:val="0"/>
        <w:jc w:val="left"/>
        <w:rPr>
          <w:rFonts w:hint="eastAsia" w:ascii="宋体" w:hAnsi="宋体" w:eastAsia="宋体" w:cs="宋体"/>
          <w:snapToGrid w:val="0"/>
          <w:kern w:val="0"/>
          <w:sz w:val="28"/>
          <w:szCs w:val="24"/>
          <w:highlight w:val="yellow"/>
          <w:lang w:val="en-US" w:eastAsia="zh-CN"/>
        </w:rPr>
      </w:pPr>
      <w:r>
        <w:rPr>
          <w:rFonts w:hint="eastAsia" w:ascii="宋体" w:hAnsi="宋体" w:eastAsia="宋体" w:cs="宋体"/>
          <w:snapToGrid w:val="0"/>
          <w:kern w:val="0"/>
          <w:sz w:val="28"/>
          <w:szCs w:val="24"/>
          <w:highlight w:val="yellow"/>
          <w:lang w:val="en-US" w:eastAsia="zh-CN"/>
        </w:rPr>
        <w:t>4）资质：具备合法经营资质，可开展有害生物防制、病媒生物防制、四害消杀、消毒服务。</w:t>
      </w:r>
    </w:p>
    <w:p w14:paraId="374F61CC">
      <w:pPr>
        <w:jc w:val="left"/>
        <w:rPr>
          <w:rFonts w:hint="eastAsia" w:ascii="宋体" w:hAnsi="宋体" w:eastAsia="宋体" w:cs="宋体"/>
          <w:snapToGrid w:val="0"/>
          <w:kern w:val="0"/>
          <w:sz w:val="28"/>
          <w:szCs w:val="24"/>
          <w:highlight w:val="yellow"/>
          <w:lang w:val="en-US" w:eastAsia="zh-CN"/>
        </w:rPr>
      </w:pPr>
      <w:r>
        <w:rPr>
          <w:rFonts w:hint="eastAsia" w:ascii="宋体" w:hAnsi="宋体" w:eastAsia="宋体" w:cs="宋体"/>
          <w:snapToGrid w:val="0"/>
          <w:kern w:val="0"/>
          <w:sz w:val="28"/>
          <w:szCs w:val="24"/>
          <w:highlight w:val="yellow"/>
          <w:lang w:val="en-US" w:eastAsia="zh-CN"/>
        </w:rPr>
        <w:t>。</w:t>
      </w:r>
      <w:bookmarkStart w:id="205" w:name="_GoBack"/>
      <w:bookmarkEnd w:id="205"/>
    </w:p>
    <w:p w14:paraId="306A4EDB">
      <w:pPr>
        <w:rPr>
          <w:rFonts w:hint="eastAsia" w:ascii="宋体" w:hAnsi="宋体" w:eastAsia="宋体" w:cs="宋体"/>
          <w:snapToGrid w:val="0"/>
          <w:kern w:val="0"/>
          <w:sz w:val="28"/>
          <w:szCs w:val="24"/>
          <w:highlight w:val="yellow"/>
          <w:lang w:val="en-US" w:eastAsia="zh-CN"/>
        </w:rPr>
      </w:pPr>
    </w:p>
    <w:p w14:paraId="715C313C">
      <w:pPr>
        <w:pStyle w:val="4"/>
        <w:spacing w:line="240" w:lineRule="auto"/>
        <w:rPr>
          <w:rFonts w:hint="eastAsia" w:ascii="宋体" w:hAnsi="宋体" w:eastAsia="宋体" w:cs="宋体"/>
          <w:snapToGrid w:val="0"/>
          <w:kern w:val="0"/>
          <w:sz w:val="28"/>
          <w:szCs w:val="24"/>
        </w:rPr>
      </w:pPr>
      <w:r>
        <w:rPr>
          <w:rFonts w:hint="eastAsia" w:ascii="宋体" w:hAnsi="宋体" w:eastAsia="宋体" w:cs="宋体"/>
          <w:snapToGrid w:val="0"/>
          <w:kern w:val="0"/>
          <w:sz w:val="28"/>
          <w:szCs w:val="24"/>
        </w:rPr>
        <w:t>2.报价费用</w:t>
      </w:r>
      <w:bookmarkEnd w:id="26"/>
      <w:bookmarkEnd w:id="27"/>
      <w:bookmarkEnd w:id="28"/>
      <w:bookmarkEnd w:id="29"/>
      <w:bookmarkEnd w:id="30"/>
      <w:bookmarkEnd w:id="31"/>
      <w:bookmarkEnd w:id="32"/>
    </w:p>
    <w:p w14:paraId="78D9AEF9">
      <w:pPr>
        <w:jc w:val="left"/>
        <w:rPr>
          <w:rFonts w:hint="eastAsia" w:ascii="宋体" w:hAnsi="宋体" w:eastAsia="宋体" w:cs="宋体"/>
          <w:snapToGrid w:val="0"/>
          <w:kern w:val="0"/>
          <w:sz w:val="28"/>
          <w:szCs w:val="24"/>
        </w:rPr>
      </w:pPr>
      <w:r>
        <w:rPr>
          <w:rFonts w:hint="eastAsia" w:ascii="宋体" w:hAnsi="宋体" w:eastAsia="宋体" w:cs="宋体"/>
          <w:snapToGrid w:val="0"/>
          <w:kern w:val="0"/>
          <w:sz w:val="28"/>
          <w:szCs w:val="24"/>
        </w:rPr>
        <w:t>无论报价过程中的做法和结果如何，报价人自行承担所有与参加报价有关的费用。</w:t>
      </w:r>
      <w:bookmarkStart w:id="33" w:name="_Toc396388201"/>
      <w:bookmarkStart w:id="34" w:name="_Toc396389430"/>
      <w:bookmarkStart w:id="35" w:name="_Toc396390578"/>
      <w:bookmarkStart w:id="36" w:name="_Toc409973582"/>
      <w:bookmarkStart w:id="37" w:name="_Toc325556087"/>
      <w:bookmarkStart w:id="38" w:name="_Toc409972919"/>
    </w:p>
    <w:p w14:paraId="77E00978">
      <w:pPr>
        <w:jc w:val="left"/>
        <w:rPr>
          <w:rFonts w:hint="eastAsia" w:ascii="宋体" w:hAnsi="宋体" w:eastAsia="宋体" w:cs="宋体"/>
          <w:snapToGrid w:val="0"/>
          <w:kern w:val="0"/>
          <w:sz w:val="28"/>
          <w:szCs w:val="24"/>
        </w:rPr>
      </w:pPr>
    </w:p>
    <w:p w14:paraId="2F093D03">
      <w:pPr>
        <w:ind w:firstLine="548" w:firstLineChars="196"/>
        <w:jc w:val="left"/>
        <w:rPr>
          <w:rFonts w:hint="eastAsia" w:ascii="宋体" w:hAnsi="宋体" w:eastAsia="宋体" w:cs="宋体"/>
          <w:snapToGrid w:val="0"/>
          <w:kern w:val="0"/>
          <w:sz w:val="28"/>
          <w:szCs w:val="24"/>
        </w:rPr>
      </w:pPr>
    </w:p>
    <w:p w14:paraId="521A811D">
      <w:pPr>
        <w:pStyle w:val="3"/>
        <w:spacing w:before="156" w:beforeLines="50" w:after="156" w:afterLines="50" w:line="240" w:lineRule="auto"/>
        <w:jc w:val="center"/>
        <w:rPr>
          <w:rFonts w:hint="eastAsia" w:ascii="宋体" w:hAnsi="宋体" w:eastAsia="宋体" w:cs="宋体"/>
          <w:sz w:val="28"/>
          <w:szCs w:val="24"/>
        </w:rPr>
      </w:pPr>
      <w:bookmarkStart w:id="39" w:name="_Toc144900071"/>
      <w:r>
        <w:rPr>
          <w:rFonts w:hint="eastAsia" w:ascii="宋体" w:hAnsi="宋体" w:eastAsia="宋体" w:cs="宋体"/>
          <w:sz w:val="28"/>
          <w:szCs w:val="24"/>
        </w:rPr>
        <w:t>B</w:t>
      </w:r>
      <w:r>
        <w:rPr>
          <w:rFonts w:hint="eastAsia" w:ascii="宋体" w:hAnsi="宋体" w:eastAsia="宋体" w:cs="宋体"/>
          <w:sz w:val="28"/>
          <w:szCs w:val="24"/>
          <w:lang w:eastAsia="zh-CN"/>
        </w:rPr>
        <w:t>.</w:t>
      </w:r>
      <w:r>
        <w:rPr>
          <w:rFonts w:hint="eastAsia" w:ascii="宋体" w:hAnsi="宋体" w:eastAsia="宋体" w:cs="宋体"/>
          <w:sz w:val="28"/>
          <w:szCs w:val="24"/>
        </w:rPr>
        <w:t>采购文件</w:t>
      </w:r>
      <w:bookmarkEnd w:id="33"/>
      <w:bookmarkEnd w:id="34"/>
      <w:bookmarkEnd w:id="35"/>
      <w:bookmarkEnd w:id="36"/>
      <w:bookmarkEnd w:id="37"/>
      <w:bookmarkEnd w:id="38"/>
      <w:bookmarkEnd w:id="39"/>
    </w:p>
    <w:p w14:paraId="5DD81CB6">
      <w:pPr>
        <w:pStyle w:val="4"/>
        <w:spacing w:line="240" w:lineRule="auto"/>
        <w:rPr>
          <w:rFonts w:hint="eastAsia" w:ascii="宋体" w:hAnsi="宋体" w:eastAsia="宋体" w:cs="宋体"/>
          <w:snapToGrid w:val="0"/>
          <w:kern w:val="0"/>
          <w:sz w:val="28"/>
          <w:szCs w:val="24"/>
        </w:rPr>
      </w:pPr>
      <w:bookmarkStart w:id="40" w:name="_Toc396390579"/>
      <w:bookmarkStart w:id="41" w:name="_Toc409972920"/>
      <w:bookmarkStart w:id="42" w:name="_Toc396389431"/>
      <w:bookmarkStart w:id="43" w:name="_Toc144900072"/>
      <w:bookmarkStart w:id="44" w:name="_Toc409973583"/>
      <w:bookmarkStart w:id="45" w:name="_Toc325556088"/>
      <w:bookmarkStart w:id="46" w:name="_Toc396388202"/>
      <w:r>
        <w:rPr>
          <w:rFonts w:hint="eastAsia" w:ascii="宋体" w:hAnsi="宋体" w:eastAsia="宋体" w:cs="宋体"/>
          <w:snapToGrid w:val="0"/>
          <w:kern w:val="0"/>
          <w:sz w:val="28"/>
          <w:szCs w:val="24"/>
        </w:rPr>
        <w:t>3.采购文件</w:t>
      </w:r>
      <w:bookmarkEnd w:id="40"/>
      <w:bookmarkEnd w:id="41"/>
      <w:bookmarkEnd w:id="42"/>
      <w:bookmarkEnd w:id="43"/>
      <w:bookmarkEnd w:id="44"/>
      <w:bookmarkEnd w:id="45"/>
      <w:bookmarkEnd w:id="46"/>
    </w:p>
    <w:p w14:paraId="46D25087">
      <w:pPr>
        <w:jc w:val="left"/>
        <w:rPr>
          <w:rFonts w:hint="eastAsia" w:ascii="宋体" w:hAnsi="宋体" w:eastAsia="宋体" w:cs="宋体"/>
          <w:snapToGrid w:val="0"/>
          <w:kern w:val="0"/>
          <w:sz w:val="28"/>
          <w:szCs w:val="24"/>
        </w:rPr>
      </w:pPr>
      <w:bookmarkStart w:id="47" w:name="_Toc396390582"/>
      <w:bookmarkStart w:id="48" w:name="_Toc396389434"/>
      <w:bookmarkStart w:id="49" w:name="_Toc409972923"/>
      <w:bookmarkStart w:id="50" w:name="_Toc409973586"/>
      <w:bookmarkStart w:id="51" w:name="_Toc396388205"/>
      <w:bookmarkStart w:id="52" w:name="_Toc325556091"/>
      <w:r>
        <w:rPr>
          <w:rFonts w:hint="eastAsia" w:ascii="宋体" w:hAnsi="宋体" w:eastAsia="宋体" w:cs="宋体"/>
          <w:snapToGrid w:val="0"/>
          <w:kern w:val="0"/>
          <w:sz w:val="28"/>
          <w:szCs w:val="24"/>
        </w:rPr>
        <w:t>3.1采购文件由采购文件总目录所列内容组成。</w:t>
      </w:r>
    </w:p>
    <w:p w14:paraId="0D681FCA">
      <w:pPr>
        <w:jc w:val="left"/>
        <w:rPr>
          <w:rFonts w:hint="eastAsia" w:ascii="宋体" w:hAnsi="宋体" w:eastAsia="宋体" w:cs="宋体"/>
          <w:snapToGrid w:val="0"/>
          <w:kern w:val="0"/>
          <w:sz w:val="28"/>
          <w:szCs w:val="24"/>
        </w:rPr>
      </w:pPr>
      <w:r>
        <w:rPr>
          <w:rFonts w:hint="eastAsia" w:ascii="宋体" w:hAnsi="宋体" w:eastAsia="宋体" w:cs="宋体"/>
          <w:snapToGrid w:val="0"/>
          <w:kern w:val="0"/>
          <w:sz w:val="28"/>
          <w:szCs w:val="24"/>
        </w:rPr>
        <w:t>3.2报价人应详细阅读采购文件的全部内容，按采购文件的要求提供报价文件，对采购文件做出实质性响应，并保证所提供的全部资料的真实性，不按采购文件的要求提供的报价文件和资料，可能导致报价被拒绝。采购人保留进一步要求报价人补充提供有关材料的权利。</w:t>
      </w:r>
    </w:p>
    <w:p w14:paraId="6E984C91">
      <w:pPr>
        <w:pStyle w:val="4"/>
        <w:spacing w:line="240" w:lineRule="auto"/>
        <w:rPr>
          <w:rFonts w:hint="eastAsia" w:ascii="宋体" w:hAnsi="宋体" w:eastAsia="宋体" w:cs="宋体"/>
          <w:snapToGrid w:val="0"/>
          <w:kern w:val="0"/>
          <w:sz w:val="28"/>
          <w:szCs w:val="24"/>
        </w:rPr>
      </w:pPr>
      <w:bookmarkStart w:id="53" w:name="_Toc446683887"/>
      <w:bookmarkStart w:id="54" w:name="_Toc45542209"/>
      <w:bookmarkStart w:id="55" w:name="_Toc396389432"/>
      <w:bookmarkStart w:id="56" w:name="_Toc325556089"/>
      <w:bookmarkStart w:id="57" w:name="_Toc396390580"/>
      <w:bookmarkStart w:id="58" w:name="_Toc409973584"/>
      <w:bookmarkStart w:id="59" w:name="_Toc396388203"/>
      <w:bookmarkStart w:id="60" w:name="_Toc409972921"/>
      <w:bookmarkStart w:id="61" w:name="_Toc144900073"/>
      <w:r>
        <w:rPr>
          <w:rFonts w:hint="eastAsia" w:ascii="宋体" w:hAnsi="宋体" w:eastAsia="宋体" w:cs="宋体"/>
          <w:snapToGrid w:val="0"/>
          <w:kern w:val="0"/>
          <w:sz w:val="28"/>
          <w:szCs w:val="24"/>
        </w:rPr>
        <w:t>4.采购文件的澄清</w:t>
      </w:r>
      <w:bookmarkEnd w:id="53"/>
      <w:bookmarkEnd w:id="54"/>
      <w:bookmarkEnd w:id="55"/>
      <w:bookmarkEnd w:id="56"/>
      <w:bookmarkEnd w:id="57"/>
      <w:bookmarkEnd w:id="58"/>
      <w:bookmarkEnd w:id="59"/>
      <w:bookmarkEnd w:id="60"/>
      <w:bookmarkEnd w:id="61"/>
    </w:p>
    <w:p w14:paraId="63BE3BC1">
      <w:pPr>
        <w:rPr>
          <w:rFonts w:hint="eastAsia" w:ascii="宋体" w:hAnsi="宋体" w:eastAsia="宋体" w:cs="宋体"/>
          <w:snapToGrid w:val="0"/>
          <w:kern w:val="0"/>
          <w:sz w:val="28"/>
          <w:szCs w:val="24"/>
        </w:rPr>
      </w:pPr>
      <w:r>
        <w:rPr>
          <w:rFonts w:hint="eastAsia" w:ascii="宋体" w:hAnsi="宋体" w:eastAsia="宋体" w:cs="宋体"/>
          <w:snapToGrid w:val="0"/>
          <w:kern w:val="0"/>
          <w:sz w:val="28"/>
          <w:szCs w:val="24"/>
        </w:rPr>
        <w:t>4.1报价人对采购文件如有异议，可以书面形式提出，但不得迟于开启报价日期</w:t>
      </w:r>
      <w:r>
        <w:rPr>
          <w:rFonts w:hint="eastAsia" w:ascii="宋体" w:hAnsi="宋体" w:eastAsia="宋体" w:cs="宋体"/>
          <w:snapToGrid w:val="0"/>
          <w:kern w:val="0"/>
          <w:sz w:val="28"/>
          <w:szCs w:val="24"/>
          <w:highlight w:val="yellow"/>
        </w:rPr>
        <w:t>前2天</w:t>
      </w:r>
      <w:r>
        <w:rPr>
          <w:rFonts w:hint="eastAsia" w:ascii="宋体" w:hAnsi="宋体" w:eastAsia="宋体" w:cs="宋体"/>
          <w:snapToGrid w:val="0"/>
          <w:kern w:val="0"/>
          <w:sz w:val="28"/>
          <w:szCs w:val="24"/>
        </w:rPr>
        <w:t>。采购人将视情况确定采用适当的方式澄清或以书面形式答复。必要时，可将书面答复包括原提出的问题（不标明问题来源）分发给所有报价人。</w:t>
      </w:r>
    </w:p>
    <w:p w14:paraId="1407364E">
      <w:pPr>
        <w:pStyle w:val="4"/>
        <w:spacing w:line="240" w:lineRule="auto"/>
        <w:rPr>
          <w:rFonts w:hint="eastAsia" w:ascii="宋体" w:hAnsi="宋体" w:eastAsia="宋体" w:cs="宋体"/>
          <w:snapToGrid w:val="0"/>
          <w:kern w:val="0"/>
          <w:sz w:val="28"/>
          <w:szCs w:val="24"/>
        </w:rPr>
      </w:pPr>
      <w:bookmarkStart w:id="62" w:name="_Toc396390581"/>
      <w:bookmarkStart w:id="63" w:name="_Toc325556090"/>
      <w:bookmarkStart w:id="64" w:name="_Toc396389433"/>
      <w:bookmarkStart w:id="65" w:name="_Toc396388204"/>
      <w:bookmarkStart w:id="66" w:name="_Toc409972922"/>
      <w:bookmarkStart w:id="67" w:name="_Toc144900074"/>
      <w:bookmarkStart w:id="68" w:name="_Toc409973585"/>
      <w:bookmarkStart w:id="69" w:name="_Toc446683888"/>
      <w:bookmarkStart w:id="70" w:name="_Toc45542210"/>
      <w:r>
        <w:rPr>
          <w:rFonts w:hint="eastAsia" w:ascii="宋体" w:hAnsi="宋体" w:eastAsia="宋体" w:cs="宋体"/>
          <w:snapToGrid w:val="0"/>
          <w:kern w:val="0"/>
          <w:sz w:val="28"/>
          <w:szCs w:val="24"/>
        </w:rPr>
        <w:t>5.采购文件的修改</w:t>
      </w:r>
      <w:bookmarkEnd w:id="62"/>
      <w:bookmarkEnd w:id="63"/>
      <w:bookmarkEnd w:id="64"/>
      <w:bookmarkEnd w:id="65"/>
      <w:bookmarkEnd w:id="66"/>
      <w:bookmarkEnd w:id="67"/>
      <w:bookmarkEnd w:id="68"/>
      <w:bookmarkEnd w:id="69"/>
      <w:bookmarkEnd w:id="70"/>
    </w:p>
    <w:p w14:paraId="73BB03FB">
      <w:pPr>
        <w:rPr>
          <w:rFonts w:hint="eastAsia" w:ascii="宋体" w:hAnsi="宋体" w:eastAsia="宋体" w:cs="宋体"/>
          <w:snapToGrid w:val="0"/>
          <w:kern w:val="0"/>
          <w:sz w:val="28"/>
          <w:szCs w:val="24"/>
        </w:rPr>
      </w:pPr>
      <w:r>
        <w:rPr>
          <w:rFonts w:hint="eastAsia" w:ascii="宋体" w:hAnsi="宋体" w:eastAsia="宋体" w:cs="宋体"/>
          <w:snapToGrid w:val="0"/>
          <w:kern w:val="0"/>
          <w:sz w:val="28"/>
          <w:szCs w:val="24"/>
        </w:rPr>
        <w:t>5.1在报价截止时间前，采购人可根据需要修改采购文件，并以书面形式通知所有报价人，报价人在收到该通知后应在报价书内进行补充确认（加盖公章）。</w:t>
      </w:r>
    </w:p>
    <w:p w14:paraId="6894B67B">
      <w:pPr>
        <w:rPr>
          <w:rFonts w:hint="eastAsia" w:ascii="宋体" w:hAnsi="宋体" w:eastAsia="宋体" w:cs="宋体"/>
          <w:snapToGrid w:val="0"/>
          <w:kern w:val="0"/>
          <w:sz w:val="28"/>
          <w:szCs w:val="24"/>
        </w:rPr>
      </w:pPr>
      <w:r>
        <w:rPr>
          <w:rFonts w:hint="eastAsia" w:ascii="宋体" w:hAnsi="宋体" w:eastAsia="宋体" w:cs="宋体"/>
          <w:snapToGrid w:val="0"/>
          <w:kern w:val="0"/>
          <w:sz w:val="28"/>
          <w:szCs w:val="24"/>
        </w:rPr>
        <w:t>5.2采购文件的修改书将构成采购文件的一部分，对报价人具有同样的约束力。</w:t>
      </w:r>
    </w:p>
    <w:p w14:paraId="2C298818">
      <w:pPr>
        <w:rPr>
          <w:rFonts w:hint="eastAsia" w:ascii="宋体" w:hAnsi="宋体" w:eastAsia="宋体" w:cs="宋体"/>
          <w:snapToGrid w:val="0"/>
          <w:kern w:val="0"/>
          <w:sz w:val="28"/>
          <w:szCs w:val="24"/>
        </w:rPr>
      </w:pPr>
      <w:r>
        <w:rPr>
          <w:rFonts w:hint="eastAsia" w:ascii="宋体" w:hAnsi="宋体" w:eastAsia="宋体" w:cs="宋体"/>
          <w:snapToGrid w:val="0"/>
          <w:kern w:val="0"/>
          <w:sz w:val="28"/>
          <w:szCs w:val="24"/>
        </w:rPr>
        <w:t>5.3采购人结合实际工作情况，为使报价人有足够的时间按采购文件的修改要求修正报价文件，采购人可酌情推迟开启报价时间，并邮件、书面或系统形式通知所有报价人。</w:t>
      </w:r>
    </w:p>
    <w:p w14:paraId="5056BA6A">
      <w:pPr>
        <w:jc w:val="left"/>
        <w:rPr>
          <w:rFonts w:hint="eastAsia" w:ascii="宋体" w:hAnsi="宋体" w:eastAsia="宋体" w:cs="宋体"/>
          <w:snapToGrid w:val="0"/>
          <w:kern w:val="0"/>
          <w:sz w:val="28"/>
          <w:szCs w:val="24"/>
        </w:rPr>
      </w:pPr>
    </w:p>
    <w:p w14:paraId="2A3A491A">
      <w:pPr>
        <w:pStyle w:val="3"/>
        <w:spacing w:line="240" w:lineRule="auto"/>
        <w:jc w:val="center"/>
        <w:rPr>
          <w:rFonts w:hint="eastAsia" w:ascii="宋体" w:hAnsi="宋体" w:eastAsia="宋体" w:cs="宋体"/>
          <w:sz w:val="28"/>
          <w:szCs w:val="24"/>
        </w:rPr>
      </w:pPr>
      <w:bookmarkStart w:id="71" w:name="_Toc144900075"/>
      <w:r>
        <w:rPr>
          <w:rFonts w:hint="eastAsia" w:ascii="宋体" w:hAnsi="宋体" w:eastAsia="宋体" w:cs="宋体"/>
          <w:sz w:val="28"/>
          <w:szCs w:val="24"/>
        </w:rPr>
        <w:t>C</w:t>
      </w:r>
      <w:r>
        <w:rPr>
          <w:rFonts w:hint="eastAsia" w:ascii="宋体" w:hAnsi="宋体" w:eastAsia="宋体" w:cs="宋体"/>
          <w:sz w:val="28"/>
          <w:szCs w:val="24"/>
          <w:lang w:eastAsia="zh-CN"/>
        </w:rPr>
        <w:t>.</w:t>
      </w:r>
      <w:r>
        <w:rPr>
          <w:rFonts w:hint="eastAsia" w:ascii="宋体" w:hAnsi="宋体" w:eastAsia="宋体" w:cs="宋体"/>
          <w:sz w:val="28"/>
          <w:szCs w:val="24"/>
        </w:rPr>
        <w:t>报价文件</w:t>
      </w:r>
      <w:bookmarkEnd w:id="71"/>
    </w:p>
    <w:bookmarkEnd w:id="47"/>
    <w:bookmarkEnd w:id="48"/>
    <w:bookmarkEnd w:id="49"/>
    <w:bookmarkEnd w:id="50"/>
    <w:bookmarkEnd w:id="51"/>
    <w:bookmarkEnd w:id="52"/>
    <w:p w14:paraId="1399D169">
      <w:pPr>
        <w:pStyle w:val="4"/>
        <w:spacing w:line="240" w:lineRule="auto"/>
        <w:rPr>
          <w:rFonts w:hint="eastAsia" w:ascii="宋体" w:hAnsi="宋体" w:eastAsia="宋体" w:cs="宋体"/>
          <w:snapToGrid w:val="0"/>
          <w:kern w:val="0"/>
          <w:sz w:val="28"/>
          <w:szCs w:val="24"/>
        </w:rPr>
      </w:pPr>
      <w:bookmarkStart w:id="72" w:name="_Toc409973587"/>
      <w:bookmarkStart w:id="73" w:name="_Toc45542212"/>
      <w:bookmarkStart w:id="74" w:name="_Toc325556092"/>
      <w:bookmarkStart w:id="75" w:name="_Toc396390583"/>
      <w:bookmarkStart w:id="76" w:name="_Toc409972924"/>
      <w:bookmarkStart w:id="77" w:name="_Toc396389435"/>
      <w:bookmarkStart w:id="78" w:name="_Toc446683890"/>
      <w:bookmarkStart w:id="79" w:name="_Toc396388206"/>
      <w:bookmarkStart w:id="80" w:name="_Toc144900076"/>
      <w:r>
        <w:rPr>
          <w:rFonts w:hint="eastAsia" w:ascii="宋体" w:hAnsi="宋体" w:eastAsia="宋体" w:cs="宋体"/>
          <w:snapToGrid w:val="0"/>
          <w:kern w:val="0"/>
          <w:sz w:val="28"/>
          <w:szCs w:val="24"/>
        </w:rPr>
        <w:t>6.报价语言及计量单位</w:t>
      </w:r>
      <w:bookmarkEnd w:id="72"/>
      <w:bookmarkEnd w:id="73"/>
      <w:bookmarkEnd w:id="74"/>
      <w:bookmarkEnd w:id="75"/>
      <w:bookmarkEnd w:id="76"/>
      <w:bookmarkEnd w:id="77"/>
      <w:bookmarkEnd w:id="78"/>
      <w:bookmarkEnd w:id="79"/>
      <w:bookmarkEnd w:id="80"/>
    </w:p>
    <w:p w14:paraId="0F035D26">
      <w:pPr>
        <w:rPr>
          <w:rFonts w:hint="eastAsia" w:ascii="宋体" w:hAnsi="宋体" w:eastAsia="宋体" w:cs="宋体"/>
          <w:snapToGrid w:val="0"/>
          <w:kern w:val="0"/>
          <w:sz w:val="28"/>
          <w:szCs w:val="24"/>
        </w:rPr>
      </w:pPr>
      <w:r>
        <w:rPr>
          <w:rFonts w:hint="eastAsia" w:ascii="宋体" w:hAnsi="宋体" w:eastAsia="宋体" w:cs="宋体"/>
          <w:snapToGrid w:val="0"/>
          <w:kern w:val="0"/>
          <w:sz w:val="28"/>
          <w:szCs w:val="24"/>
        </w:rPr>
        <w:t>6.1报价文件及报价人和采购人就报价交换的文件和来往信件，以中文书写（专有名词除外）。报价人提交的支持性文件和印制的文件可以用另一种语言，但相应内容应翻译成中文，在解释报价文件时以翻译本为准。</w:t>
      </w:r>
    </w:p>
    <w:p w14:paraId="0F193088">
      <w:pPr>
        <w:jc w:val="left"/>
        <w:rPr>
          <w:rFonts w:hint="eastAsia" w:ascii="宋体" w:hAnsi="宋体" w:eastAsia="宋体" w:cs="宋体"/>
          <w:snapToGrid w:val="0"/>
          <w:kern w:val="0"/>
          <w:sz w:val="28"/>
          <w:szCs w:val="24"/>
        </w:rPr>
      </w:pPr>
      <w:r>
        <w:rPr>
          <w:rFonts w:hint="eastAsia" w:ascii="宋体" w:hAnsi="宋体" w:eastAsia="宋体" w:cs="宋体"/>
          <w:snapToGrid w:val="0"/>
          <w:kern w:val="0"/>
          <w:sz w:val="28"/>
          <w:szCs w:val="24"/>
        </w:rPr>
        <w:t>6.2</w:t>
      </w:r>
      <w:r>
        <w:rPr>
          <w:rFonts w:hint="eastAsia" w:ascii="宋体" w:hAnsi="宋体" w:eastAsia="宋体" w:cs="宋体"/>
          <w:snapToGrid w:val="0"/>
          <w:kern w:val="0"/>
          <w:sz w:val="28"/>
          <w:szCs w:val="24"/>
        </w:rPr>
        <w:tab/>
      </w:r>
      <w:r>
        <w:rPr>
          <w:rFonts w:hint="eastAsia" w:ascii="宋体" w:hAnsi="宋体" w:eastAsia="宋体" w:cs="宋体"/>
          <w:snapToGrid w:val="0"/>
          <w:kern w:val="0"/>
          <w:sz w:val="28"/>
          <w:szCs w:val="24"/>
        </w:rPr>
        <w:t>报价文件中所使用的计量单位，除询比文件中有特殊要求外，应采用国家法定计量单位。</w:t>
      </w:r>
    </w:p>
    <w:p w14:paraId="54678DF3">
      <w:pPr>
        <w:pStyle w:val="4"/>
        <w:spacing w:line="240" w:lineRule="auto"/>
        <w:rPr>
          <w:rFonts w:hint="eastAsia" w:ascii="宋体" w:hAnsi="宋体" w:eastAsia="宋体" w:cs="宋体"/>
          <w:snapToGrid w:val="0"/>
          <w:kern w:val="0"/>
          <w:sz w:val="28"/>
          <w:szCs w:val="24"/>
        </w:rPr>
      </w:pPr>
      <w:bookmarkStart w:id="81" w:name="_Toc325556093"/>
      <w:bookmarkStart w:id="82" w:name="_Toc45542213"/>
      <w:bookmarkStart w:id="83" w:name="_Toc409973588"/>
      <w:bookmarkStart w:id="84" w:name="_Toc396390584"/>
      <w:bookmarkStart w:id="85" w:name="_Toc396389436"/>
      <w:bookmarkStart w:id="86" w:name="_Toc409972925"/>
      <w:bookmarkStart w:id="87" w:name="_Toc396388207"/>
      <w:bookmarkStart w:id="88" w:name="_Toc446683891"/>
      <w:bookmarkStart w:id="89" w:name="_Toc144900077"/>
      <w:r>
        <w:rPr>
          <w:rFonts w:hint="eastAsia" w:ascii="宋体" w:hAnsi="宋体" w:eastAsia="宋体" w:cs="宋体"/>
          <w:snapToGrid w:val="0"/>
          <w:kern w:val="0"/>
          <w:sz w:val="28"/>
          <w:szCs w:val="24"/>
        </w:rPr>
        <w:t>7.报价文件的组成</w:t>
      </w:r>
      <w:bookmarkEnd w:id="81"/>
      <w:bookmarkEnd w:id="82"/>
      <w:bookmarkEnd w:id="83"/>
      <w:bookmarkEnd w:id="84"/>
      <w:bookmarkEnd w:id="85"/>
      <w:bookmarkEnd w:id="86"/>
      <w:bookmarkEnd w:id="87"/>
      <w:bookmarkEnd w:id="88"/>
      <w:bookmarkEnd w:id="89"/>
    </w:p>
    <w:p w14:paraId="23BD7421">
      <w:pPr>
        <w:pStyle w:val="14"/>
        <w:rPr>
          <w:rFonts w:hint="eastAsia" w:ascii="宋体" w:hAnsi="宋体" w:eastAsia="宋体" w:cs="宋体"/>
          <w:snapToGrid w:val="0"/>
          <w:kern w:val="0"/>
          <w:sz w:val="28"/>
          <w:szCs w:val="24"/>
        </w:rPr>
      </w:pPr>
      <w:r>
        <w:rPr>
          <w:rFonts w:hint="eastAsia" w:ascii="宋体" w:hAnsi="宋体" w:eastAsia="宋体" w:cs="宋体"/>
          <w:snapToGrid w:val="0"/>
          <w:kern w:val="0"/>
          <w:sz w:val="28"/>
          <w:szCs w:val="24"/>
        </w:rPr>
        <w:t>7.1报价文件目录包括：</w:t>
      </w:r>
    </w:p>
    <w:p w14:paraId="1747D3B0">
      <w:pPr>
        <w:pStyle w:val="14"/>
        <w:ind w:firstLine="548" w:firstLineChars="196"/>
        <w:rPr>
          <w:rFonts w:hint="eastAsia" w:ascii="宋体" w:hAnsi="宋体" w:eastAsia="宋体" w:cs="宋体"/>
          <w:snapToGrid w:val="0"/>
          <w:kern w:val="0"/>
          <w:sz w:val="28"/>
          <w:szCs w:val="24"/>
          <w:highlight w:val="yellow"/>
        </w:rPr>
      </w:pPr>
      <w:r>
        <w:rPr>
          <w:rFonts w:hint="eastAsia" w:ascii="宋体" w:hAnsi="宋体" w:eastAsia="宋体" w:cs="宋体"/>
          <w:snapToGrid w:val="0"/>
          <w:kern w:val="0"/>
          <w:sz w:val="28"/>
          <w:szCs w:val="24"/>
          <w:highlight w:val="yellow"/>
        </w:rPr>
        <w:t>(1) 报价表；</w:t>
      </w:r>
    </w:p>
    <w:p w14:paraId="62677078">
      <w:pPr>
        <w:pStyle w:val="14"/>
        <w:ind w:firstLine="548" w:firstLineChars="196"/>
        <w:rPr>
          <w:rFonts w:hint="eastAsia" w:ascii="宋体" w:hAnsi="宋体" w:eastAsia="宋体" w:cs="宋体"/>
          <w:snapToGrid w:val="0"/>
          <w:kern w:val="0"/>
          <w:sz w:val="28"/>
          <w:szCs w:val="24"/>
          <w:highlight w:val="yellow"/>
        </w:rPr>
      </w:pPr>
      <w:r>
        <w:rPr>
          <w:rFonts w:hint="eastAsia" w:ascii="宋体" w:hAnsi="宋体" w:eastAsia="宋体" w:cs="宋体"/>
          <w:snapToGrid w:val="0"/>
          <w:kern w:val="0"/>
          <w:sz w:val="28"/>
          <w:szCs w:val="24"/>
          <w:highlight w:val="yellow"/>
        </w:rPr>
        <w:t>(2) 法定代表人授权委托书；</w:t>
      </w:r>
    </w:p>
    <w:p w14:paraId="637F3E4B">
      <w:pPr>
        <w:pStyle w:val="14"/>
        <w:ind w:firstLine="560" w:firstLineChars="200"/>
        <w:rPr>
          <w:rFonts w:hint="eastAsia" w:ascii="宋体" w:hAnsi="宋体" w:eastAsia="宋体" w:cs="宋体"/>
          <w:snapToGrid w:val="0"/>
          <w:kern w:val="0"/>
          <w:sz w:val="28"/>
          <w:szCs w:val="24"/>
          <w:highlight w:val="yellow"/>
        </w:rPr>
      </w:pPr>
      <w:r>
        <w:rPr>
          <w:rFonts w:hint="eastAsia" w:ascii="宋体" w:hAnsi="宋体" w:eastAsia="宋体" w:cs="宋体"/>
          <w:snapToGrid w:val="0"/>
          <w:kern w:val="0"/>
          <w:sz w:val="28"/>
          <w:szCs w:val="24"/>
          <w:highlight w:val="yellow"/>
        </w:rPr>
        <w:t>(3) 技术偏离表；</w:t>
      </w:r>
    </w:p>
    <w:p w14:paraId="0FA425BA">
      <w:pPr>
        <w:pStyle w:val="14"/>
        <w:ind w:firstLine="560" w:firstLineChars="200"/>
        <w:rPr>
          <w:rFonts w:hint="eastAsia" w:ascii="宋体" w:hAnsi="宋体" w:eastAsia="宋体" w:cs="宋体"/>
          <w:snapToGrid w:val="0"/>
          <w:kern w:val="0"/>
          <w:sz w:val="28"/>
          <w:szCs w:val="24"/>
          <w:highlight w:val="yellow"/>
        </w:rPr>
      </w:pPr>
      <w:r>
        <w:rPr>
          <w:rFonts w:hint="eastAsia" w:ascii="宋体" w:hAnsi="宋体" w:eastAsia="宋体" w:cs="宋体"/>
          <w:snapToGrid w:val="0"/>
          <w:kern w:val="0"/>
          <w:sz w:val="28"/>
          <w:szCs w:val="24"/>
          <w:highlight w:val="yellow"/>
        </w:rPr>
        <w:t>(</w:t>
      </w:r>
      <w:r>
        <w:rPr>
          <w:rFonts w:hint="eastAsia" w:ascii="宋体" w:hAnsi="宋体" w:eastAsia="宋体" w:cs="宋体"/>
          <w:snapToGrid w:val="0"/>
          <w:kern w:val="0"/>
          <w:sz w:val="28"/>
          <w:szCs w:val="24"/>
          <w:highlight w:val="yellow"/>
          <w:lang w:val="en-US" w:eastAsia="zh-CN"/>
        </w:rPr>
        <w:t>4</w:t>
      </w:r>
      <w:r>
        <w:rPr>
          <w:rFonts w:hint="eastAsia" w:ascii="宋体" w:hAnsi="宋体" w:eastAsia="宋体" w:cs="宋体"/>
          <w:snapToGrid w:val="0"/>
          <w:kern w:val="0"/>
          <w:sz w:val="28"/>
          <w:szCs w:val="24"/>
          <w:highlight w:val="yellow"/>
        </w:rPr>
        <w:t>) 廉洁合规承诺书；</w:t>
      </w:r>
    </w:p>
    <w:p w14:paraId="2995058F">
      <w:pPr>
        <w:ind w:firstLine="560" w:firstLineChars="200"/>
        <w:rPr>
          <w:rFonts w:hint="eastAsia" w:ascii="宋体" w:hAnsi="宋体" w:eastAsia="宋体" w:cs="宋体"/>
          <w:snapToGrid w:val="0"/>
          <w:kern w:val="0"/>
          <w:sz w:val="28"/>
          <w:szCs w:val="24"/>
          <w:highlight w:val="yellow"/>
        </w:rPr>
      </w:pPr>
      <w:r>
        <w:rPr>
          <w:rFonts w:hint="eastAsia" w:ascii="宋体" w:hAnsi="宋体" w:eastAsia="宋体" w:cs="宋体"/>
          <w:snapToGrid w:val="0"/>
          <w:kern w:val="0"/>
          <w:sz w:val="28"/>
          <w:szCs w:val="24"/>
          <w:highlight w:val="yellow"/>
        </w:rPr>
        <w:t>(</w:t>
      </w:r>
      <w:r>
        <w:rPr>
          <w:rFonts w:hint="eastAsia" w:ascii="宋体" w:hAnsi="宋体" w:eastAsia="宋体" w:cs="宋体"/>
          <w:snapToGrid w:val="0"/>
          <w:kern w:val="0"/>
          <w:sz w:val="28"/>
          <w:szCs w:val="24"/>
          <w:highlight w:val="yellow"/>
          <w:lang w:val="en-US" w:eastAsia="zh-CN"/>
        </w:rPr>
        <w:t>5</w:t>
      </w:r>
      <w:r>
        <w:rPr>
          <w:rFonts w:hint="eastAsia" w:ascii="宋体" w:hAnsi="宋体" w:eastAsia="宋体" w:cs="宋体"/>
          <w:snapToGrid w:val="0"/>
          <w:kern w:val="0"/>
          <w:sz w:val="28"/>
          <w:szCs w:val="24"/>
          <w:highlight w:val="yellow"/>
        </w:rPr>
        <w:t>)****（根据项目需求新增附件）</w:t>
      </w:r>
    </w:p>
    <w:p w14:paraId="7A2818ED">
      <w:pPr>
        <w:ind w:firstLine="560" w:firstLineChars="200"/>
        <w:rPr>
          <w:rFonts w:hint="eastAsia" w:ascii="宋体" w:hAnsi="宋体" w:eastAsia="宋体" w:cs="宋体"/>
          <w:snapToGrid w:val="0"/>
          <w:kern w:val="0"/>
          <w:sz w:val="28"/>
          <w:szCs w:val="24"/>
          <w:lang w:val="zh-CN"/>
        </w:rPr>
      </w:pPr>
      <w:r>
        <w:rPr>
          <w:rFonts w:hint="eastAsia" w:ascii="宋体" w:hAnsi="宋体" w:eastAsia="宋体" w:cs="宋体"/>
          <w:snapToGrid w:val="0"/>
          <w:kern w:val="0"/>
          <w:sz w:val="28"/>
          <w:szCs w:val="24"/>
        </w:rPr>
        <w:t>报价人须严格按上述文件要求编制报价文件，按要求盖章后上传至华润集团守正电子招标采购平台（https://szecp.crc.com.cn）。</w:t>
      </w:r>
      <w:r>
        <w:rPr>
          <w:rFonts w:hint="eastAsia" w:ascii="宋体" w:hAnsi="宋体" w:eastAsia="宋体" w:cs="宋体"/>
          <w:snapToGrid w:val="0"/>
          <w:kern w:val="0"/>
          <w:sz w:val="28"/>
          <w:szCs w:val="24"/>
          <w:lang w:val="zh-CN"/>
        </w:rPr>
        <w:t>报价人须在该系统平台报价页面按要求填写报价等相关信息，并保持系统页面报价信息与所上传附件中报价信息一致，否则采购人有权取消其报价资格。</w:t>
      </w:r>
    </w:p>
    <w:p w14:paraId="17E8337F">
      <w:pPr>
        <w:pStyle w:val="14"/>
        <w:rPr>
          <w:rFonts w:hint="eastAsia" w:ascii="宋体" w:hAnsi="宋体" w:eastAsia="宋体" w:cs="宋体"/>
          <w:b/>
          <w:bCs/>
          <w:sz w:val="28"/>
          <w:szCs w:val="24"/>
          <w:lang w:eastAsia="zh-CN"/>
        </w:rPr>
      </w:pPr>
      <w:bookmarkStart w:id="90" w:name="_Toc144900078"/>
      <w:r>
        <w:rPr>
          <w:rFonts w:hint="eastAsia" w:ascii="宋体" w:hAnsi="宋体" w:eastAsia="宋体" w:cs="宋体"/>
          <w:b/>
          <w:bCs/>
          <w:snapToGrid w:val="0"/>
          <w:kern w:val="0"/>
          <w:sz w:val="28"/>
          <w:szCs w:val="24"/>
          <w:highlight w:val="yellow"/>
        </w:rPr>
        <w:t>8.</w:t>
      </w:r>
      <w:r>
        <w:rPr>
          <w:rFonts w:hint="eastAsia" w:ascii="宋体" w:hAnsi="宋体" w:eastAsia="宋体" w:cs="宋体"/>
          <w:b/>
          <w:bCs/>
          <w:sz w:val="28"/>
          <w:szCs w:val="24"/>
          <w:highlight w:val="yellow"/>
        </w:rPr>
        <w:t>履约保证金</w:t>
      </w:r>
      <w:r>
        <w:rPr>
          <w:rFonts w:hint="eastAsia" w:ascii="宋体" w:hAnsi="宋体" w:eastAsia="宋体" w:cs="宋体"/>
          <w:b/>
          <w:bCs/>
          <w:sz w:val="28"/>
          <w:szCs w:val="24"/>
          <w:highlight w:val="yellow"/>
          <w:lang w:eastAsia="zh-CN"/>
        </w:rPr>
        <w:t>（</w:t>
      </w:r>
      <w:r>
        <w:rPr>
          <w:rFonts w:hint="eastAsia" w:ascii="宋体" w:hAnsi="宋体" w:eastAsia="宋体" w:cs="宋体"/>
          <w:b/>
          <w:bCs/>
          <w:sz w:val="28"/>
          <w:szCs w:val="24"/>
          <w:highlight w:val="yellow"/>
          <w:lang w:val="en-US" w:eastAsia="zh-CN"/>
        </w:rPr>
        <w:t>本项目无履约保证金</w:t>
      </w:r>
      <w:r>
        <w:rPr>
          <w:rFonts w:hint="eastAsia" w:ascii="宋体" w:hAnsi="宋体" w:eastAsia="宋体" w:cs="宋体"/>
          <w:b/>
          <w:bCs/>
          <w:sz w:val="28"/>
          <w:szCs w:val="24"/>
          <w:highlight w:val="yellow"/>
          <w:lang w:eastAsia="zh-CN"/>
        </w:rPr>
        <w:t>）</w:t>
      </w:r>
    </w:p>
    <w:p w14:paraId="64549F04">
      <w:pPr>
        <w:ind w:firstLine="560" w:firstLineChars="200"/>
        <w:rPr>
          <w:rFonts w:hint="eastAsia" w:ascii="宋体" w:hAnsi="宋体" w:eastAsia="宋体" w:cs="宋体"/>
          <w:snapToGrid w:val="0"/>
          <w:kern w:val="0"/>
          <w:sz w:val="28"/>
          <w:szCs w:val="24"/>
        </w:rPr>
      </w:pPr>
      <w:r>
        <w:rPr>
          <w:rFonts w:hint="eastAsia" w:ascii="宋体" w:hAnsi="宋体" w:eastAsia="宋体" w:cs="宋体"/>
          <w:snapToGrid w:val="0"/>
          <w:kern w:val="0"/>
          <w:sz w:val="28"/>
          <w:szCs w:val="24"/>
        </w:rPr>
        <w:t>(1)采购人在确定合作单位后，合作单位须在《成交人通知书》发布后5个工作日内缴纳履约保证金，</w:t>
      </w:r>
      <w:bookmarkStart w:id="91" w:name="_Toc396388208"/>
      <w:bookmarkStart w:id="92" w:name="_Toc325556094"/>
      <w:bookmarkStart w:id="93" w:name="_Toc409973589"/>
      <w:bookmarkStart w:id="94" w:name="_Toc409972926"/>
      <w:bookmarkStart w:id="95" w:name="_Toc396390585"/>
      <w:bookmarkStart w:id="96" w:name="_Toc396389437"/>
      <w:r>
        <w:rPr>
          <w:rFonts w:hint="eastAsia" w:ascii="宋体" w:hAnsi="宋体" w:eastAsia="宋体" w:cs="宋体"/>
          <w:snapToGrid w:val="0"/>
          <w:kern w:val="0"/>
          <w:sz w:val="28"/>
          <w:szCs w:val="24"/>
          <w:highlight w:val="yellow"/>
        </w:rPr>
        <w:t>履约保证金：</w:t>
      </w:r>
      <w:r>
        <w:rPr>
          <w:rFonts w:hint="eastAsia" w:ascii="宋体" w:hAnsi="宋体" w:eastAsia="宋体" w:cs="宋体"/>
          <w:snapToGrid w:val="0"/>
          <w:kern w:val="0"/>
          <w:sz w:val="28"/>
          <w:szCs w:val="24"/>
          <w:highlight w:val="yellow"/>
          <w:lang w:val="en-US" w:eastAsia="zh-CN"/>
        </w:rPr>
        <w:t>***万</w:t>
      </w:r>
      <w:r>
        <w:rPr>
          <w:rFonts w:hint="eastAsia" w:ascii="宋体" w:hAnsi="宋体" w:eastAsia="宋体" w:cs="宋体"/>
          <w:snapToGrid w:val="0"/>
          <w:kern w:val="0"/>
          <w:sz w:val="28"/>
          <w:szCs w:val="24"/>
          <w:highlight w:val="yellow"/>
        </w:rPr>
        <w:t>元（人民币</w:t>
      </w:r>
      <w:r>
        <w:rPr>
          <w:rFonts w:hint="eastAsia" w:ascii="宋体" w:hAnsi="宋体" w:eastAsia="宋体" w:cs="宋体"/>
          <w:snapToGrid w:val="0"/>
          <w:kern w:val="0"/>
          <w:sz w:val="28"/>
          <w:szCs w:val="24"/>
        </w:rPr>
        <w:t>）；履约保证金用以担保合作单位在合同期内全面、适当、保质、保量的履行合同，具体条款以合同为准。</w:t>
      </w:r>
    </w:p>
    <w:p w14:paraId="46B5F0DB">
      <w:pPr>
        <w:ind w:firstLine="560" w:firstLineChars="200"/>
        <w:rPr>
          <w:rFonts w:hint="eastAsia" w:ascii="宋体" w:hAnsi="宋体" w:eastAsia="宋体" w:cs="宋体"/>
          <w:snapToGrid w:val="0"/>
          <w:kern w:val="0"/>
          <w:sz w:val="28"/>
          <w:szCs w:val="24"/>
        </w:rPr>
      </w:pPr>
      <w:r>
        <w:rPr>
          <w:rFonts w:hint="eastAsia" w:ascii="宋体" w:hAnsi="宋体" w:eastAsia="宋体" w:cs="宋体"/>
          <w:snapToGrid w:val="0"/>
          <w:kern w:val="0"/>
          <w:sz w:val="28"/>
          <w:szCs w:val="24"/>
        </w:rPr>
        <w:t xml:space="preserve">(2)履约保证金请电汇至以下账号： </w:t>
      </w:r>
    </w:p>
    <w:p w14:paraId="36D62968">
      <w:pPr>
        <w:ind w:firstLine="560" w:firstLineChars="200"/>
        <w:rPr>
          <w:rFonts w:hint="eastAsia" w:ascii="宋体" w:hAnsi="宋体" w:eastAsia="宋体" w:cs="宋体"/>
          <w:snapToGrid w:val="0"/>
          <w:kern w:val="0"/>
          <w:sz w:val="28"/>
          <w:szCs w:val="24"/>
          <w:highlight w:val="yellow"/>
        </w:rPr>
      </w:pPr>
      <w:r>
        <w:rPr>
          <w:rFonts w:hint="eastAsia" w:ascii="宋体" w:hAnsi="宋体" w:eastAsia="宋体" w:cs="宋体"/>
          <w:snapToGrid w:val="0"/>
          <w:kern w:val="0"/>
          <w:sz w:val="28"/>
          <w:szCs w:val="24"/>
          <w:highlight w:val="yellow"/>
        </w:rPr>
        <w:t>账户名称：</w:t>
      </w:r>
    </w:p>
    <w:p w14:paraId="7790B51D">
      <w:pPr>
        <w:ind w:firstLine="560" w:firstLineChars="200"/>
        <w:rPr>
          <w:rFonts w:hint="eastAsia" w:ascii="宋体" w:hAnsi="宋体" w:eastAsia="宋体" w:cs="宋体"/>
          <w:snapToGrid w:val="0"/>
          <w:kern w:val="0"/>
          <w:sz w:val="28"/>
          <w:szCs w:val="24"/>
          <w:highlight w:val="yellow"/>
        </w:rPr>
      </w:pPr>
      <w:r>
        <w:rPr>
          <w:rFonts w:hint="eastAsia" w:ascii="宋体" w:hAnsi="宋体" w:eastAsia="宋体" w:cs="宋体"/>
          <w:snapToGrid w:val="0"/>
          <w:kern w:val="0"/>
          <w:sz w:val="28"/>
          <w:szCs w:val="24"/>
          <w:highlight w:val="yellow"/>
        </w:rPr>
        <w:t>开 户 行：</w:t>
      </w:r>
    </w:p>
    <w:p w14:paraId="7AF2DD08">
      <w:pPr>
        <w:ind w:firstLine="560" w:firstLineChars="200"/>
        <w:rPr>
          <w:rFonts w:hint="eastAsia" w:ascii="宋体" w:hAnsi="宋体" w:eastAsia="宋体" w:cs="宋体"/>
          <w:snapToGrid w:val="0"/>
          <w:kern w:val="0"/>
          <w:sz w:val="28"/>
          <w:szCs w:val="24"/>
          <w:highlight w:val="yellow"/>
        </w:rPr>
      </w:pPr>
      <w:r>
        <w:rPr>
          <w:rFonts w:hint="eastAsia" w:ascii="宋体" w:hAnsi="宋体" w:eastAsia="宋体" w:cs="宋体"/>
          <w:snapToGrid w:val="0"/>
          <w:kern w:val="0"/>
          <w:sz w:val="28"/>
          <w:szCs w:val="24"/>
          <w:highlight w:val="yellow"/>
        </w:rPr>
        <w:t>账    号：</w:t>
      </w:r>
    </w:p>
    <w:bookmarkEnd w:id="91"/>
    <w:bookmarkEnd w:id="92"/>
    <w:bookmarkEnd w:id="93"/>
    <w:bookmarkEnd w:id="94"/>
    <w:bookmarkEnd w:id="95"/>
    <w:bookmarkEnd w:id="96"/>
    <w:p w14:paraId="4FE05079">
      <w:pPr>
        <w:pStyle w:val="4"/>
        <w:spacing w:line="240" w:lineRule="auto"/>
        <w:rPr>
          <w:rFonts w:hint="eastAsia" w:ascii="宋体" w:hAnsi="宋体" w:eastAsia="宋体" w:cs="宋体"/>
          <w:snapToGrid w:val="0"/>
          <w:kern w:val="0"/>
          <w:sz w:val="28"/>
          <w:szCs w:val="24"/>
        </w:rPr>
      </w:pPr>
      <w:r>
        <w:rPr>
          <w:rFonts w:hint="eastAsia" w:ascii="宋体" w:hAnsi="宋体" w:eastAsia="宋体" w:cs="宋体"/>
          <w:snapToGrid w:val="0"/>
          <w:kern w:val="0"/>
          <w:sz w:val="28"/>
          <w:szCs w:val="24"/>
        </w:rPr>
        <w:t>9.报价内容填写说明</w:t>
      </w:r>
      <w:bookmarkEnd w:id="90"/>
    </w:p>
    <w:p w14:paraId="6B7C251F">
      <w:pPr>
        <w:ind w:firstLine="560" w:firstLineChars="200"/>
        <w:jc w:val="left"/>
        <w:rPr>
          <w:rFonts w:hint="eastAsia" w:ascii="宋体" w:hAnsi="宋体" w:eastAsia="宋体" w:cs="宋体"/>
          <w:snapToGrid w:val="0"/>
          <w:kern w:val="0"/>
          <w:sz w:val="28"/>
          <w:szCs w:val="24"/>
        </w:rPr>
      </w:pPr>
      <w:r>
        <w:rPr>
          <w:rFonts w:hint="eastAsia" w:ascii="宋体" w:hAnsi="宋体" w:eastAsia="宋体" w:cs="宋体"/>
          <w:snapToGrid w:val="0"/>
          <w:kern w:val="0"/>
          <w:sz w:val="28"/>
          <w:szCs w:val="24"/>
        </w:rPr>
        <w:t>报价人应严格按采购文件要求的内容逐项填写编制报价文件，有规定格式的按规定格式填写，无规定格式的由报价人自拟。</w:t>
      </w:r>
    </w:p>
    <w:p w14:paraId="14A8F712">
      <w:pPr>
        <w:pStyle w:val="4"/>
        <w:spacing w:line="240" w:lineRule="auto"/>
        <w:rPr>
          <w:rFonts w:hint="eastAsia" w:ascii="宋体" w:hAnsi="宋体" w:eastAsia="宋体" w:cs="宋体"/>
          <w:snapToGrid w:val="0"/>
          <w:kern w:val="0"/>
          <w:sz w:val="28"/>
          <w:szCs w:val="24"/>
        </w:rPr>
      </w:pPr>
      <w:bookmarkStart w:id="97" w:name="_Toc325556095"/>
      <w:bookmarkStart w:id="98" w:name="_Toc409972927"/>
      <w:bookmarkStart w:id="99" w:name="_Toc396390586"/>
      <w:bookmarkStart w:id="100" w:name="_Toc396389438"/>
      <w:bookmarkStart w:id="101" w:name="_Toc144900079"/>
      <w:bookmarkStart w:id="102" w:name="_Toc409973590"/>
      <w:bookmarkStart w:id="103" w:name="_Toc396388209"/>
      <w:r>
        <w:rPr>
          <w:rFonts w:hint="eastAsia" w:ascii="宋体" w:hAnsi="宋体" w:eastAsia="宋体" w:cs="宋体"/>
          <w:snapToGrid w:val="0"/>
          <w:kern w:val="0"/>
          <w:sz w:val="28"/>
          <w:szCs w:val="24"/>
        </w:rPr>
        <w:t>10.采购报价</w:t>
      </w:r>
      <w:bookmarkEnd w:id="97"/>
      <w:bookmarkEnd w:id="98"/>
      <w:bookmarkEnd w:id="99"/>
      <w:bookmarkEnd w:id="100"/>
      <w:bookmarkEnd w:id="101"/>
      <w:bookmarkEnd w:id="102"/>
      <w:bookmarkEnd w:id="103"/>
    </w:p>
    <w:p w14:paraId="311B3B17">
      <w:pPr>
        <w:jc w:val="left"/>
        <w:rPr>
          <w:rFonts w:hint="eastAsia" w:ascii="宋体" w:hAnsi="宋体" w:eastAsia="宋体" w:cs="宋体"/>
          <w:snapToGrid w:val="0"/>
          <w:kern w:val="0"/>
          <w:sz w:val="28"/>
          <w:szCs w:val="24"/>
        </w:rPr>
      </w:pPr>
      <w:r>
        <w:rPr>
          <w:rFonts w:hint="eastAsia" w:ascii="宋体" w:hAnsi="宋体" w:eastAsia="宋体" w:cs="宋体"/>
          <w:snapToGrid w:val="0"/>
          <w:kern w:val="0"/>
          <w:sz w:val="28"/>
          <w:szCs w:val="24"/>
        </w:rPr>
        <w:t xml:space="preserve">10.1报价须按要求在华润集团守正电子招标平台（https://szecp.crc.com.cn）提交，并以该方式报价为准，系统与纸质报价单须保持一致； </w:t>
      </w:r>
    </w:p>
    <w:p w14:paraId="09355EF8">
      <w:pPr>
        <w:jc w:val="left"/>
        <w:rPr>
          <w:rFonts w:hint="eastAsia" w:ascii="宋体" w:hAnsi="宋体" w:eastAsia="宋体" w:cs="宋体"/>
          <w:snapToGrid w:val="0"/>
          <w:kern w:val="0"/>
          <w:sz w:val="28"/>
          <w:szCs w:val="24"/>
        </w:rPr>
      </w:pPr>
      <w:r>
        <w:rPr>
          <w:rFonts w:hint="eastAsia" w:ascii="宋体" w:hAnsi="宋体" w:eastAsia="宋体" w:cs="宋体"/>
          <w:snapToGrid w:val="0"/>
          <w:kern w:val="0"/>
          <w:sz w:val="28"/>
          <w:szCs w:val="24"/>
        </w:rPr>
        <w:t>10.2报价人要按报价函的内容详细填写货物的分项价格构成。</w:t>
      </w:r>
    </w:p>
    <w:p w14:paraId="5F890750">
      <w:pPr>
        <w:jc w:val="left"/>
        <w:rPr>
          <w:rFonts w:hint="eastAsia" w:ascii="宋体" w:hAnsi="宋体" w:eastAsia="宋体" w:cs="宋体"/>
          <w:snapToGrid w:val="0"/>
          <w:kern w:val="0"/>
          <w:sz w:val="28"/>
          <w:szCs w:val="24"/>
        </w:rPr>
      </w:pPr>
      <w:r>
        <w:rPr>
          <w:rFonts w:hint="eastAsia" w:ascii="宋体" w:hAnsi="宋体" w:eastAsia="宋体" w:cs="宋体"/>
          <w:snapToGrid w:val="0"/>
          <w:kern w:val="0"/>
          <w:sz w:val="28"/>
          <w:szCs w:val="24"/>
        </w:rPr>
        <w:t>10.3</w:t>
      </w:r>
      <w:r>
        <w:rPr>
          <w:rFonts w:hint="eastAsia" w:ascii="宋体" w:hAnsi="宋体" w:eastAsia="宋体" w:cs="宋体"/>
          <w:snapToGrid w:val="0"/>
          <w:kern w:val="0"/>
          <w:sz w:val="28"/>
          <w:szCs w:val="24"/>
          <w:highlight w:val="yellow"/>
        </w:rPr>
        <w:t>报价人如需用外汇购入某些货物，须折合成人民币计入总报价中。</w:t>
      </w:r>
    </w:p>
    <w:p w14:paraId="26EA833F">
      <w:pPr>
        <w:jc w:val="left"/>
        <w:rPr>
          <w:rFonts w:hint="eastAsia" w:ascii="宋体" w:hAnsi="宋体" w:eastAsia="宋体" w:cs="宋体"/>
          <w:snapToGrid w:val="0"/>
          <w:kern w:val="0"/>
          <w:sz w:val="28"/>
          <w:szCs w:val="24"/>
        </w:rPr>
      </w:pPr>
      <w:r>
        <w:rPr>
          <w:rFonts w:hint="eastAsia" w:ascii="宋体" w:hAnsi="宋体" w:eastAsia="宋体" w:cs="宋体"/>
          <w:snapToGrid w:val="0"/>
          <w:kern w:val="0"/>
          <w:sz w:val="28"/>
          <w:szCs w:val="24"/>
        </w:rPr>
        <w:t>10.4合作价格在供应期间原则上保持不变。</w:t>
      </w:r>
    </w:p>
    <w:p w14:paraId="0DB9D30B">
      <w:pPr>
        <w:pStyle w:val="4"/>
        <w:spacing w:line="240" w:lineRule="auto"/>
        <w:rPr>
          <w:rFonts w:hint="eastAsia" w:ascii="宋体" w:hAnsi="宋体" w:eastAsia="宋体" w:cs="宋体"/>
          <w:snapToGrid w:val="0"/>
          <w:kern w:val="0"/>
          <w:sz w:val="28"/>
          <w:szCs w:val="24"/>
        </w:rPr>
      </w:pPr>
      <w:bookmarkStart w:id="104" w:name="_Toc144900080"/>
      <w:bookmarkStart w:id="105" w:name="_Toc325556096"/>
      <w:bookmarkStart w:id="106" w:name="_Toc396390587"/>
      <w:bookmarkStart w:id="107" w:name="_Toc396389439"/>
      <w:bookmarkStart w:id="108" w:name="_Toc409973591"/>
      <w:bookmarkStart w:id="109" w:name="_Toc396388210"/>
      <w:bookmarkStart w:id="110" w:name="_Toc409972928"/>
      <w:r>
        <w:rPr>
          <w:rFonts w:hint="eastAsia" w:ascii="宋体" w:hAnsi="宋体" w:eastAsia="宋体" w:cs="宋体"/>
          <w:snapToGrid w:val="0"/>
          <w:kern w:val="0"/>
          <w:sz w:val="28"/>
          <w:szCs w:val="24"/>
        </w:rPr>
        <w:t>11.报价文件的有效期</w:t>
      </w:r>
      <w:bookmarkEnd w:id="104"/>
      <w:bookmarkEnd w:id="105"/>
      <w:bookmarkEnd w:id="106"/>
      <w:bookmarkEnd w:id="107"/>
      <w:bookmarkEnd w:id="108"/>
      <w:bookmarkEnd w:id="109"/>
      <w:bookmarkEnd w:id="110"/>
    </w:p>
    <w:p w14:paraId="2CE20797">
      <w:pPr>
        <w:jc w:val="left"/>
        <w:rPr>
          <w:rFonts w:hint="eastAsia" w:ascii="宋体" w:hAnsi="宋体" w:eastAsia="宋体" w:cs="宋体"/>
          <w:snapToGrid w:val="0"/>
          <w:kern w:val="0"/>
          <w:sz w:val="28"/>
          <w:szCs w:val="24"/>
        </w:rPr>
      </w:pPr>
      <w:r>
        <w:rPr>
          <w:rFonts w:hint="eastAsia" w:ascii="宋体" w:hAnsi="宋体" w:eastAsia="宋体" w:cs="宋体"/>
          <w:snapToGrid w:val="0"/>
          <w:kern w:val="0"/>
          <w:sz w:val="28"/>
          <w:szCs w:val="24"/>
        </w:rPr>
        <w:t>11.1自报价日起</w:t>
      </w:r>
      <w:r>
        <w:rPr>
          <w:rFonts w:hint="eastAsia" w:ascii="宋体" w:hAnsi="宋体" w:eastAsia="宋体" w:cs="宋体"/>
          <w:snapToGrid w:val="0"/>
          <w:kern w:val="0"/>
          <w:sz w:val="28"/>
          <w:szCs w:val="24"/>
          <w:highlight w:val="yellow"/>
        </w:rPr>
        <w:t>90</w:t>
      </w:r>
      <w:r>
        <w:rPr>
          <w:rFonts w:hint="eastAsia" w:ascii="宋体" w:hAnsi="宋体" w:eastAsia="宋体" w:cs="宋体"/>
          <w:snapToGrid w:val="0"/>
          <w:kern w:val="0"/>
          <w:sz w:val="28"/>
          <w:szCs w:val="24"/>
        </w:rPr>
        <w:t>天内，报价文件应保持有效。有效期短于文件要求的，将被拒绝。</w:t>
      </w:r>
    </w:p>
    <w:p w14:paraId="764A0757">
      <w:pPr>
        <w:jc w:val="left"/>
        <w:rPr>
          <w:rFonts w:hint="eastAsia" w:ascii="宋体" w:hAnsi="宋体" w:eastAsia="宋体" w:cs="宋体"/>
          <w:snapToGrid w:val="0"/>
          <w:kern w:val="0"/>
          <w:sz w:val="28"/>
          <w:szCs w:val="24"/>
        </w:rPr>
      </w:pPr>
      <w:r>
        <w:rPr>
          <w:rFonts w:hint="eastAsia" w:ascii="宋体" w:hAnsi="宋体" w:eastAsia="宋体" w:cs="宋体"/>
          <w:snapToGrid w:val="0"/>
          <w:kern w:val="0"/>
          <w:sz w:val="28"/>
          <w:szCs w:val="24"/>
        </w:rPr>
        <w:t>11.2在特殊情况下，组织方可与报价人协商延长报价有效期。此类要求和答复都应以书面形式进行确认。报价人可以拒绝接受延期要求。同意延长有效期的报价人不能修改报价文件。</w:t>
      </w:r>
    </w:p>
    <w:p w14:paraId="11088C7E">
      <w:pPr>
        <w:pStyle w:val="4"/>
        <w:spacing w:line="240" w:lineRule="auto"/>
        <w:rPr>
          <w:rFonts w:hint="eastAsia" w:ascii="宋体" w:hAnsi="宋体" w:eastAsia="宋体" w:cs="宋体"/>
          <w:snapToGrid w:val="0"/>
          <w:kern w:val="0"/>
          <w:sz w:val="28"/>
          <w:szCs w:val="24"/>
        </w:rPr>
      </w:pPr>
      <w:bookmarkStart w:id="111" w:name="_Toc45542216"/>
      <w:bookmarkStart w:id="112" w:name="_Toc396390588"/>
      <w:bookmarkStart w:id="113" w:name="_Toc325556097"/>
      <w:bookmarkStart w:id="114" w:name="_Toc409972929"/>
      <w:bookmarkStart w:id="115" w:name="_Toc446683895"/>
      <w:bookmarkStart w:id="116" w:name="_Toc144900081"/>
      <w:bookmarkStart w:id="117" w:name="_Toc396388211"/>
      <w:bookmarkStart w:id="118" w:name="_Toc396389440"/>
      <w:bookmarkStart w:id="119" w:name="_Toc409973592"/>
      <w:r>
        <w:rPr>
          <w:rFonts w:hint="eastAsia" w:ascii="宋体" w:hAnsi="宋体" w:eastAsia="宋体" w:cs="宋体"/>
          <w:snapToGrid w:val="0"/>
          <w:kern w:val="0"/>
          <w:sz w:val="28"/>
          <w:szCs w:val="24"/>
        </w:rPr>
        <w:t>12.报价文件的签署及规定</w:t>
      </w:r>
      <w:bookmarkEnd w:id="111"/>
      <w:bookmarkEnd w:id="112"/>
      <w:bookmarkEnd w:id="113"/>
      <w:bookmarkEnd w:id="114"/>
      <w:bookmarkEnd w:id="115"/>
      <w:bookmarkEnd w:id="116"/>
      <w:bookmarkEnd w:id="117"/>
      <w:bookmarkEnd w:id="118"/>
      <w:bookmarkEnd w:id="119"/>
    </w:p>
    <w:p w14:paraId="1002893B">
      <w:pPr>
        <w:jc w:val="left"/>
        <w:rPr>
          <w:rFonts w:hint="eastAsia" w:ascii="宋体" w:hAnsi="宋体" w:eastAsia="宋体" w:cs="宋体"/>
          <w:snapToGrid w:val="0"/>
          <w:kern w:val="0"/>
          <w:sz w:val="28"/>
          <w:szCs w:val="24"/>
        </w:rPr>
      </w:pPr>
      <w:r>
        <w:rPr>
          <w:rFonts w:hint="eastAsia" w:ascii="宋体" w:hAnsi="宋体" w:eastAsia="宋体" w:cs="宋体"/>
          <w:snapToGrid w:val="0"/>
          <w:kern w:val="0"/>
          <w:sz w:val="28"/>
          <w:szCs w:val="24"/>
        </w:rPr>
        <w:t>12.1组成报价文件的各项资料均应遵守本条。</w:t>
      </w:r>
    </w:p>
    <w:p w14:paraId="4C574C8A">
      <w:pPr>
        <w:jc w:val="left"/>
        <w:rPr>
          <w:rFonts w:hint="eastAsia" w:ascii="宋体" w:hAnsi="宋体" w:eastAsia="宋体" w:cs="宋体"/>
          <w:snapToGrid w:val="0"/>
          <w:kern w:val="0"/>
          <w:sz w:val="28"/>
          <w:szCs w:val="24"/>
        </w:rPr>
      </w:pPr>
      <w:r>
        <w:rPr>
          <w:rFonts w:hint="eastAsia" w:ascii="宋体" w:hAnsi="宋体" w:eastAsia="宋体" w:cs="宋体"/>
          <w:snapToGrid w:val="0"/>
          <w:kern w:val="0"/>
          <w:sz w:val="28"/>
          <w:szCs w:val="24"/>
        </w:rPr>
        <w:t>12.2报价人应填写公司全称，同时加盖公章。</w:t>
      </w:r>
    </w:p>
    <w:p w14:paraId="4C201523">
      <w:pPr>
        <w:jc w:val="left"/>
        <w:rPr>
          <w:rFonts w:hint="eastAsia" w:ascii="宋体" w:hAnsi="宋体" w:eastAsia="宋体" w:cs="宋体"/>
          <w:snapToGrid w:val="0"/>
          <w:kern w:val="0"/>
          <w:sz w:val="28"/>
          <w:szCs w:val="24"/>
        </w:rPr>
      </w:pPr>
      <w:r>
        <w:rPr>
          <w:rFonts w:hint="eastAsia" w:ascii="宋体" w:hAnsi="宋体" w:eastAsia="宋体" w:cs="宋体"/>
          <w:snapToGrid w:val="0"/>
          <w:kern w:val="0"/>
          <w:sz w:val="28"/>
          <w:szCs w:val="24"/>
        </w:rPr>
        <w:t>12.3报价文件必须由法定代表人或法人授权代表签署。</w:t>
      </w:r>
    </w:p>
    <w:p w14:paraId="05D7B2BD">
      <w:pPr>
        <w:jc w:val="left"/>
        <w:rPr>
          <w:rFonts w:hint="eastAsia" w:ascii="宋体" w:hAnsi="宋体" w:eastAsia="宋体" w:cs="宋体"/>
          <w:snapToGrid w:val="0"/>
          <w:kern w:val="0"/>
          <w:sz w:val="28"/>
          <w:szCs w:val="24"/>
        </w:rPr>
      </w:pPr>
      <w:r>
        <w:rPr>
          <w:rFonts w:hint="eastAsia" w:ascii="宋体" w:hAnsi="宋体" w:eastAsia="宋体" w:cs="宋体"/>
          <w:snapToGrid w:val="0"/>
          <w:kern w:val="0"/>
          <w:sz w:val="28"/>
          <w:szCs w:val="24"/>
        </w:rPr>
        <w:t>12.4采购人不接受以约定形式之外的报价。</w:t>
      </w:r>
      <w:bookmarkStart w:id="120" w:name="_Toc396389441"/>
      <w:bookmarkStart w:id="121" w:name="_Toc396388212"/>
      <w:bookmarkStart w:id="122" w:name="_Toc409972930"/>
      <w:bookmarkStart w:id="123" w:name="_Toc409973593"/>
      <w:bookmarkStart w:id="124" w:name="_Toc325556098"/>
      <w:bookmarkStart w:id="125" w:name="_Toc396390589"/>
    </w:p>
    <w:p w14:paraId="3EF0BA07">
      <w:pPr>
        <w:pStyle w:val="3"/>
        <w:spacing w:before="156" w:beforeLines="50" w:after="156" w:afterLines="50" w:line="240" w:lineRule="auto"/>
        <w:jc w:val="center"/>
        <w:rPr>
          <w:rFonts w:hint="eastAsia" w:ascii="宋体" w:hAnsi="宋体" w:eastAsia="宋体" w:cs="宋体"/>
          <w:sz w:val="28"/>
          <w:szCs w:val="24"/>
        </w:rPr>
      </w:pPr>
      <w:bookmarkStart w:id="126" w:name="_Toc144900082"/>
      <w:r>
        <w:rPr>
          <w:rFonts w:hint="eastAsia" w:ascii="宋体" w:hAnsi="宋体" w:eastAsia="宋体" w:cs="宋体"/>
          <w:sz w:val="28"/>
          <w:szCs w:val="24"/>
        </w:rPr>
        <w:t>D</w:t>
      </w:r>
      <w:r>
        <w:rPr>
          <w:rFonts w:hint="eastAsia" w:ascii="宋体" w:hAnsi="宋体" w:eastAsia="宋体" w:cs="宋体"/>
          <w:sz w:val="28"/>
          <w:szCs w:val="24"/>
          <w:lang w:eastAsia="zh-CN"/>
        </w:rPr>
        <w:t>.</w:t>
      </w:r>
      <w:r>
        <w:rPr>
          <w:rFonts w:hint="eastAsia" w:ascii="宋体" w:hAnsi="宋体" w:eastAsia="宋体" w:cs="宋体"/>
          <w:sz w:val="28"/>
          <w:szCs w:val="24"/>
        </w:rPr>
        <w:t>报价文件的递交</w:t>
      </w:r>
      <w:bookmarkEnd w:id="120"/>
      <w:bookmarkEnd w:id="121"/>
      <w:bookmarkEnd w:id="122"/>
      <w:bookmarkEnd w:id="123"/>
      <w:bookmarkEnd w:id="124"/>
      <w:bookmarkEnd w:id="125"/>
      <w:bookmarkEnd w:id="126"/>
    </w:p>
    <w:p w14:paraId="341D6F51">
      <w:pPr>
        <w:pStyle w:val="4"/>
        <w:spacing w:line="240" w:lineRule="auto"/>
        <w:rPr>
          <w:rFonts w:hint="eastAsia" w:ascii="宋体" w:hAnsi="宋体" w:eastAsia="宋体" w:cs="宋体"/>
          <w:snapToGrid w:val="0"/>
          <w:kern w:val="0"/>
          <w:sz w:val="28"/>
          <w:szCs w:val="24"/>
        </w:rPr>
      </w:pPr>
      <w:bookmarkStart w:id="127" w:name="_Toc396388214"/>
      <w:bookmarkStart w:id="128" w:name="_Toc325556100"/>
      <w:bookmarkStart w:id="129" w:name="_Toc144900083"/>
      <w:bookmarkStart w:id="130" w:name="_Toc396390591"/>
      <w:bookmarkStart w:id="131" w:name="_Toc409972932"/>
      <w:bookmarkStart w:id="132" w:name="_Toc396389443"/>
      <w:bookmarkStart w:id="133" w:name="_Toc409973595"/>
      <w:r>
        <w:rPr>
          <w:rFonts w:hint="eastAsia" w:ascii="宋体" w:hAnsi="宋体" w:eastAsia="宋体" w:cs="宋体"/>
          <w:snapToGrid w:val="0"/>
          <w:kern w:val="0"/>
          <w:sz w:val="28"/>
          <w:szCs w:val="24"/>
        </w:rPr>
        <w:t>13.报价截止时间</w:t>
      </w:r>
      <w:bookmarkEnd w:id="127"/>
      <w:bookmarkEnd w:id="128"/>
      <w:bookmarkEnd w:id="129"/>
      <w:bookmarkEnd w:id="130"/>
      <w:bookmarkEnd w:id="131"/>
      <w:bookmarkEnd w:id="132"/>
      <w:bookmarkEnd w:id="133"/>
    </w:p>
    <w:p w14:paraId="684448EB">
      <w:pPr>
        <w:jc w:val="left"/>
        <w:rPr>
          <w:rFonts w:hint="eastAsia" w:ascii="宋体" w:hAnsi="宋体" w:eastAsia="宋体" w:cs="宋体"/>
          <w:snapToGrid w:val="0"/>
          <w:kern w:val="0"/>
          <w:sz w:val="28"/>
          <w:szCs w:val="24"/>
        </w:rPr>
      </w:pPr>
      <w:r>
        <w:rPr>
          <w:rFonts w:hint="eastAsia" w:ascii="宋体" w:hAnsi="宋体" w:eastAsia="宋体" w:cs="宋体"/>
          <w:snapToGrid w:val="0"/>
          <w:kern w:val="0"/>
          <w:sz w:val="28"/>
          <w:szCs w:val="24"/>
        </w:rPr>
        <w:t>13.1报价文件须</w:t>
      </w:r>
      <w:r>
        <w:rPr>
          <w:rFonts w:hint="eastAsia" w:ascii="宋体" w:hAnsi="宋体" w:eastAsia="宋体" w:cs="宋体"/>
          <w:snapToGrid w:val="0"/>
          <w:kern w:val="0"/>
          <w:sz w:val="28"/>
          <w:szCs w:val="24"/>
          <w:lang w:val="en-US" w:eastAsia="zh-CN"/>
        </w:rPr>
        <w:t>在系统报价截止日前</w:t>
      </w:r>
      <w:r>
        <w:rPr>
          <w:rFonts w:hint="eastAsia" w:ascii="宋体" w:hAnsi="宋体" w:eastAsia="宋体" w:cs="宋体"/>
          <w:snapToGrid w:val="0"/>
          <w:color w:val="000000" w:themeColor="text1"/>
          <w:kern w:val="0"/>
          <w:sz w:val="28"/>
          <w:szCs w:val="24"/>
          <w14:textFill>
            <w14:solidFill>
              <w14:schemeClr w14:val="tx1"/>
            </w14:solidFill>
          </w14:textFill>
        </w:rPr>
        <w:t>由</w:t>
      </w:r>
      <w:r>
        <w:rPr>
          <w:rFonts w:hint="eastAsia" w:ascii="宋体" w:hAnsi="宋体" w:eastAsia="宋体" w:cs="宋体"/>
          <w:snapToGrid w:val="0"/>
          <w:kern w:val="0"/>
          <w:sz w:val="28"/>
          <w:szCs w:val="24"/>
        </w:rPr>
        <w:t>报价人按要求上传至华润集团守正电子招标平台（https://szecp.crc.com.cn）。</w:t>
      </w:r>
    </w:p>
    <w:p w14:paraId="1EAE5F0D">
      <w:pPr>
        <w:jc w:val="left"/>
        <w:rPr>
          <w:rFonts w:hint="eastAsia" w:ascii="宋体" w:hAnsi="宋体" w:eastAsia="宋体" w:cs="宋体"/>
          <w:snapToGrid w:val="0"/>
          <w:kern w:val="0"/>
          <w:sz w:val="28"/>
          <w:szCs w:val="24"/>
        </w:rPr>
      </w:pPr>
      <w:r>
        <w:rPr>
          <w:rFonts w:hint="eastAsia" w:ascii="宋体" w:hAnsi="宋体" w:eastAsia="宋体" w:cs="宋体"/>
          <w:snapToGrid w:val="0"/>
          <w:kern w:val="0"/>
          <w:sz w:val="28"/>
          <w:szCs w:val="24"/>
        </w:rPr>
        <w:t>13.2采购方推迟报价时间，应以书面(或传真、邮件)的形式，通知所有报价人。</w:t>
      </w:r>
    </w:p>
    <w:p w14:paraId="22813CFB">
      <w:pPr>
        <w:pStyle w:val="4"/>
        <w:spacing w:line="240" w:lineRule="auto"/>
        <w:rPr>
          <w:rFonts w:hint="eastAsia" w:ascii="宋体" w:hAnsi="宋体" w:eastAsia="宋体" w:cs="宋体"/>
          <w:snapToGrid w:val="0"/>
          <w:kern w:val="0"/>
          <w:sz w:val="28"/>
          <w:szCs w:val="24"/>
        </w:rPr>
      </w:pPr>
      <w:bookmarkStart w:id="134" w:name="_Toc144900084"/>
      <w:bookmarkStart w:id="135" w:name="_Toc45542218"/>
      <w:bookmarkStart w:id="136" w:name="_Toc396389444"/>
      <w:bookmarkStart w:id="137" w:name="_Toc396388215"/>
      <w:bookmarkStart w:id="138" w:name="_Toc396390592"/>
      <w:bookmarkStart w:id="139" w:name="_Toc409973596"/>
      <w:bookmarkStart w:id="140" w:name="_Toc409972933"/>
      <w:bookmarkStart w:id="141" w:name="_Toc446683899"/>
      <w:bookmarkStart w:id="142" w:name="_Toc325556101"/>
      <w:r>
        <w:rPr>
          <w:rFonts w:hint="eastAsia" w:ascii="宋体" w:hAnsi="宋体" w:eastAsia="宋体" w:cs="宋体"/>
          <w:snapToGrid w:val="0"/>
          <w:kern w:val="0"/>
          <w:sz w:val="28"/>
          <w:szCs w:val="24"/>
        </w:rPr>
        <w:t>14.报价文件的修改和撤回</w:t>
      </w:r>
      <w:bookmarkEnd w:id="134"/>
      <w:bookmarkEnd w:id="135"/>
      <w:bookmarkEnd w:id="136"/>
      <w:bookmarkEnd w:id="137"/>
      <w:bookmarkEnd w:id="138"/>
      <w:bookmarkEnd w:id="139"/>
      <w:bookmarkEnd w:id="140"/>
      <w:bookmarkEnd w:id="141"/>
      <w:bookmarkEnd w:id="142"/>
    </w:p>
    <w:p w14:paraId="530D390E">
      <w:pPr>
        <w:jc w:val="left"/>
        <w:rPr>
          <w:rFonts w:hint="eastAsia" w:ascii="宋体" w:hAnsi="宋体" w:eastAsia="宋体" w:cs="宋体"/>
          <w:sz w:val="28"/>
          <w:szCs w:val="24"/>
        </w:rPr>
      </w:pPr>
      <w:r>
        <w:rPr>
          <w:rFonts w:hint="eastAsia" w:ascii="宋体" w:hAnsi="宋体" w:eastAsia="宋体" w:cs="宋体"/>
          <w:snapToGrid w:val="0"/>
          <w:kern w:val="0"/>
          <w:sz w:val="28"/>
          <w:szCs w:val="24"/>
        </w:rPr>
        <w:t>开启报价后报价人不得撤回资格后审文件、报价文件。</w:t>
      </w:r>
      <w:bookmarkStart w:id="143" w:name="_Toc396388216"/>
      <w:bookmarkStart w:id="144" w:name="_Toc409973597"/>
      <w:bookmarkStart w:id="145" w:name="_Toc325556102"/>
      <w:bookmarkStart w:id="146" w:name="_Toc396390593"/>
      <w:bookmarkStart w:id="147" w:name="_Toc396389445"/>
      <w:bookmarkStart w:id="148" w:name="_Toc409972934"/>
    </w:p>
    <w:p w14:paraId="3D52C00D">
      <w:pPr>
        <w:pStyle w:val="3"/>
        <w:spacing w:before="156" w:beforeLines="50" w:after="156" w:afterLines="50" w:line="240" w:lineRule="auto"/>
        <w:jc w:val="center"/>
        <w:rPr>
          <w:rFonts w:hint="eastAsia" w:ascii="宋体" w:hAnsi="宋体" w:eastAsia="宋体" w:cs="宋体"/>
          <w:sz w:val="28"/>
          <w:szCs w:val="24"/>
        </w:rPr>
      </w:pPr>
      <w:bookmarkStart w:id="149" w:name="_Toc144900085"/>
      <w:r>
        <w:rPr>
          <w:rFonts w:hint="eastAsia" w:ascii="宋体" w:hAnsi="宋体" w:eastAsia="宋体" w:cs="宋体"/>
          <w:sz w:val="28"/>
          <w:szCs w:val="24"/>
        </w:rPr>
        <w:t>E</w:t>
      </w:r>
      <w:r>
        <w:rPr>
          <w:rFonts w:hint="eastAsia" w:ascii="宋体" w:hAnsi="宋体" w:eastAsia="宋体" w:cs="宋体"/>
          <w:sz w:val="28"/>
          <w:szCs w:val="24"/>
          <w:lang w:eastAsia="zh-CN"/>
        </w:rPr>
        <w:t>.</w:t>
      </w:r>
      <w:r>
        <w:rPr>
          <w:rFonts w:hint="eastAsia" w:ascii="宋体" w:hAnsi="宋体" w:eastAsia="宋体" w:cs="宋体"/>
          <w:sz w:val="28"/>
          <w:szCs w:val="24"/>
        </w:rPr>
        <w:t>开启报价及</w:t>
      </w:r>
      <w:bookmarkEnd w:id="143"/>
      <w:bookmarkEnd w:id="144"/>
      <w:bookmarkEnd w:id="145"/>
      <w:bookmarkEnd w:id="146"/>
      <w:bookmarkEnd w:id="147"/>
      <w:bookmarkEnd w:id="148"/>
      <w:r>
        <w:rPr>
          <w:rFonts w:hint="eastAsia" w:ascii="宋体" w:hAnsi="宋体" w:eastAsia="宋体" w:cs="宋体"/>
          <w:sz w:val="28"/>
          <w:szCs w:val="24"/>
        </w:rPr>
        <w:t>评审</w:t>
      </w:r>
      <w:bookmarkEnd w:id="149"/>
    </w:p>
    <w:p w14:paraId="2A9E9721">
      <w:pPr>
        <w:pStyle w:val="4"/>
        <w:spacing w:line="240" w:lineRule="auto"/>
        <w:rPr>
          <w:rFonts w:hint="eastAsia" w:ascii="宋体" w:hAnsi="宋体" w:eastAsia="宋体" w:cs="宋体"/>
          <w:snapToGrid w:val="0"/>
          <w:kern w:val="0"/>
          <w:sz w:val="28"/>
          <w:szCs w:val="24"/>
        </w:rPr>
      </w:pPr>
      <w:bookmarkStart w:id="150" w:name="_Toc396388217"/>
      <w:bookmarkStart w:id="151" w:name="_Toc409972935"/>
      <w:bookmarkStart w:id="152" w:name="_Toc396390594"/>
      <w:bookmarkStart w:id="153" w:name="_Toc396389446"/>
      <w:bookmarkStart w:id="154" w:name="_Toc409973598"/>
      <w:bookmarkStart w:id="155" w:name="_Toc325556103"/>
      <w:bookmarkStart w:id="156" w:name="_Toc144900086"/>
      <w:r>
        <w:rPr>
          <w:rFonts w:hint="eastAsia" w:ascii="宋体" w:hAnsi="宋体" w:eastAsia="宋体" w:cs="宋体"/>
          <w:snapToGrid w:val="0"/>
          <w:kern w:val="0"/>
          <w:sz w:val="28"/>
          <w:szCs w:val="24"/>
        </w:rPr>
        <w:t>15</w:t>
      </w:r>
      <w:bookmarkEnd w:id="150"/>
      <w:bookmarkEnd w:id="151"/>
      <w:bookmarkEnd w:id="152"/>
      <w:bookmarkEnd w:id="153"/>
      <w:bookmarkEnd w:id="154"/>
      <w:bookmarkEnd w:id="155"/>
      <w:r>
        <w:rPr>
          <w:rFonts w:hint="eastAsia" w:ascii="宋体" w:hAnsi="宋体" w:eastAsia="宋体" w:cs="宋体"/>
          <w:snapToGrid w:val="0"/>
          <w:kern w:val="0"/>
          <w:sz w:val="28"/>
          <w:szCs w:val="24"/>
        </w:rPr>
        <w:t>.开启报价</w:t>
      </w:r>
      <w:bookmarkEnd w:id="156"/>
    </w:p>
    <w:p w14:paraId="21188FC0">
      <w:pPr>
        <w:jc w:val="left"/>
        <w:rPr>
          <w:rFonts w:hint="eastAsia" w:ascii="宋体" w:hAnsi="宋体" w:eastAsia="宋体" w:cs="宋体"/>
          <w:snapToGrid w:val="0"/>
          <w:kern w:val="0"/>
          <w:sz w:val="28"/>
          <w:szCs w:val="24"/>
        </w:rPr>
      </w:pPr>
      <w:r>
        <w:rPr>
          <w:rFonts w:hint="eastAsia" w:ascii="宋体" w:hAnsi="宋体" w:eastAsia="宋体" w:cs="宋体"/>
          <w:snapToGrid w:val="0"/>
          <w:kern w:val="0"/>
          <w:sz w:val="28"/>
          <w:szCs w:val="24"/>
        </w:rPr>
        <w:t>采购人按询比文件规定的时间（具体以华润集团守正电子招标采购平台发布的报价截止时间为准）开启线上报价。</w:t>
      </w:r>
    </w:p>
    <w:p w14:paraId="464F8C85">
      <w:pPr>
        <w:pStyle w:val="4"/>
        <w:spacing w:line="240" w:lineRule="auto"/>
        <w:rPr>
          <w:rFonts w:hint="eastAsia" w:ascii="宋体" w:hAnsi="宋体" w:eastAsia="宋体" w:cs="宋体"/>
          <w:snapToGrid w:val="0"/>
          <w:kern w:val="0"/>
          <w:sz w:val="28"/>
          <w:szCs w:val="24"/>
        </w:rPr>
      </w:pPr>
      <w:bookmarkStart w:id="157" w:name="_Toc409972936"/>
      <w:bookmarkStart w:id="158" w:name="_Toc325556104"/>
      <w:bookmarkStart w:id="159" w:name="_Toc396388218"/>
      <w:bookmarkStart w:id="160" w:name="_Toc396390595"/>
      <w:bookmarkStart w:id="161" w:name="_Toc396389447"/>
      <w:bookmarkStart w:id="162" w:name="_Toc409973599"/>
      <w:bookmarkStart w:id="163" w:name="_Toc144900087"/>
      <w:r>
        <w:rPr>
          <w:rFonts w:hint="eastAsia" w:ascii="宋体" w:hAnsi="宋体" w:eastAsia="宋体" w:cs="宋体"/>
          <w:snapToGrid w:val="0"/>
          <w:kern w:val="0"/>
          <w:sz w:val="28"/>
          <w:szCs w:val="24"/>
        </w:rPr>
        <w:t>16</w:t>
      </w:r>
      <w:bookmarkEnd w:id="157"/>
      <w:bookmarkEnd w:id="158"/>
      <w:bookmarkEnd w:id="159"/>
      <w:bookmarkEnd w:id="160"/>
      <w:bookmarkEnd w:id="161"/>
      <w:bookmarkEnd w:id="162"/>
      <w:r>
        <w:rPr>
          <w:rFonts w:hint="eastAsia" w:ascii="宋体" w:hAnsi="宋体" w:eastAsia="宋体" w:cs="宋体"/>
          <w:snapToGrid w:val="0"/>
          <w:kern w:val="0"/>
          <w:sz w:val="28"/>
          <w:szCs w:val="24"/>
        </w:rPr>
        <w:t>.评审</w:t>
      </w:r>
      <w:bookmarkEnd w:id="163"/>
    </w:p>
    <w:p w14:paraId="74CEA700">
      <w:pPr>
        <w:jc w:val="left"/>
        <w:rPr>
          <w:rFonts w:hint="eastAsia" w:ascii="宋体" w:hAnsi="宋体" w:eastAsia="宋体" w:cs="宋体"/>
          <w:snapToGrid w:val="0"/>
          <w:kern w:val="0"/>
          <w:sz w:val="28"/>
          <w:szCs w:val="24"/>
        </w:rPr>
      </w:pPr>
      <w:r>
        <w:rPr>
          <w:rFonts w:hint="eastAsia" w:ascii="宋体" w:hAnsi="宋体" w:eastAsia="宋体" w:cs="宋体"/>
          <w:snapToGrid w:val="0"/>
          <w:kern w:val="0"/>
          <w:sz w:val="28"/>
          <w:szCs w:val="24"/>
        </w:rPr>
        <w:t>16.1评审小组：采购方根据项目要求组建工作小组、评审小组，对报价响应文件讲行评审。</w:t>
      </w:r>
    </w:p>
    <w:p w14:paraId="5048B703">
      <w:pPr>
        <w:jc w:val="left"/>
        <w:rPr>
          <w:rFonts w:hint="eastAsia" w:ascii="宋体" w:hAnsi="宋体" w:eastAsia="宋体" w:cs="宋体"/>
          <w:snapToGrid w:val="0"/>
          <w:kern w:val="0"/>
          <w:sz w:val="28"/>
          <w:szCs w:val="24"/>
        </w:rPr>
      </w:pPr>
      <w:r>
        <w:rPr>
          <w:rFonts w:hint="eastAsia" w:ascii="宋体" w:hAnsi="宋体" w:eastAsia="宋体" w:cs="宋体"/>
          <w:snapToGrid w:val="0"/>
          <w:kern w:val="0"/>
          <w:sz w:val="28"/>
          <w:szCs w:val="24"/>
        </w:rPr>
        <w:t>16.2评审方法：</w:t>
      </w:r>
    </w:p>
    <w:p w14:paraId="4D7A0924">
      <w:pPr>
        <w:ind w:firstLine="560" w:firstLineChars="200"/>
        <w:jc w:val="left"/>
        <w:rPr>
          <w:rFonts w:hint="eastAsia" w:ascii="宋体" w:hAnsi="宋体" w:eastAsia="宋体" w:cs="宋体"/>
          <w:snapToGrid w:val="0"/>
          <w:kern w:val="0"/>
          <w:sz w:val="28"/>
          <w:szCs w:val="24"/>
          <w:highlight w:val="yellow"/>
        </w:rPr>
      </w:pPr>
      <w:r>
        <w:rPr>
          <w:rFonts w:hint="eastAsia" w:ascii="宋体" w:hAnsi="宋体" w:eastAsia="宋体" w:cs="宋体"/>
          <w:snapToGrid w:val="0"/>
          <w:kern w:val="0"/>
          <w:sz w:val="28"/>
          <w:szCs w:val="24"/>
        </w:rPr>
        <w:t>评审小组遵循经评审后的</w:t>
      </w:r>
      <w:r>
        <w:rPr>
          <w:rFonts w:hint="eastAsia" w:ascii="宋体" w:hAnsi="宋体" w:eastAsia="宋体" w:cs="宋体"/>
          <w:snapToGrid w:val="0"/>
          <w:kern w:val="0"/>
          <w:sz w:val="28"/>
          <w:szCs w:val="24"/>
          <w:highlight w:val="yellow"/>
        </w:rPr>
        <w:t xml:space="preserve"> “最低价评审法”原则</w:t>
      </w:r>
      <w:r>
        <w:rPr>
          <w:rFonts w:hint="eastAsia" w:ascii="宋体" w:hAnsi="宋体" w:eastAsia="宋体" w:cs="宋体"/>
          <w:snapToGrid w:val="0"/>
          <w:kern w:val="0"/>
          <w:sz w:val="28"/>
          <w:szCs w:val="24"/>
        </w:rPr>
        <w:t>进行评审，以不含税总价评标，报价报含税总价，每标段推荐报价最</w:t>
      </w:r>
      <w:r>
        <w:rPr>
          <w:rFonts w:hint="eastAsia" w:ascii="宋体" w:hAnsi="宋体" w:eastAsia="宋体" w:cs="宋体"/>
          <w:snapToGrid w:val="0"/>
          <w:kern w:val="0"/>
          <w:sz w:val="28"/>
          <w:szCs w:val="24"/>
          <w:highlight w:val="yellow"/>
        </w:rPr>
        <w:t>低的1家单位为合作单位</w:t>
      </w:r>
      <w:r>
        <w:rPr>
          <w:rFonts w:hint="eastAsia" w:ascii="宋体" w:hAnsi="宋体" w:eastAsia="宋体" w:cs="宋体"/>
          <w:snapToGrid w:val="0"/>
          <w:kern w:val="0"/>
          <w:sz w:val="28"/>
          <w:szCs w:val="24"/>
        </w:rPr>
        <w:t>。</w:t>
      </w:r>
      <w:r>
        <w:rPr>
          <w:rFonts w:hint="eastAsia" w:ascii="宋体" w:hAnsi="宋体" w:eastAsia="宋体" w:cs="宋体"/>
          <w:snapToGrid w:val="0"/>
          <w:kern w:val="0"/>
          <w:sz w:val="28"/>
          <w:szCs w:val="24"/>
          <w:highlight w:val="yellow"/>
        </w:rPr>
        <w:t>若出现并列名次，优先推荐能提供2023年起与华润建材科技及其下属公司有同类型合作业绩（属于</w:t>
      </w:r>
      <w:r>
        <w:rPr>
          <w:rFonts w:hint="eastAsia" w:ascii="宋体" w:hAnsi="宋体" w:eastAsia="宋体" w:cs="宋体"/>
          <w:snapToGrid w:val="0"/>
          <w:kern w:val="0"/>
          <w:sz w:val="28"/>
          <w:szCs w:val="24"/>
          <w:highlight w:val="yellow"/>
          <w:lang w:val="en-US" w:eastAsia="zh-CN"/>
        </w:rPr>
        <w:t>服务</w:t>
      </w:r>
      <w:r>
        <w:rPr>
          <w:rFonts w:hint="eastAsia" w:ascii="宋体" w:hAnsi="宋体" w:eastAsia="宋体" w:cs="宋体"/>
          <w:snapToGrid w:val="0"/>
          <w:kern w:val="0"/>
          <w:sz w:val="28"/>
          <w:szCs w:val="24"/>
          <w:highlight w:val="yellow"/>
        </w:rPr>
        <w:t>类）的供应商为签约单位；若有前述合作业绩请在递交资格审查文件环节一并提供（合同及对应发票1份）不提供则视为无。若同为合作业绩或新的合作单位，对比报价方的营业规模、保供实力进一步评估推荐。</w:t>
      </w:r>
    </w:p>
    <w:p w14:paraId="724F864E">
      <w:pPr>
        <w:ind w:firstLine="560" w:firstLineChars="200"/>
        <w:jc w:val="left"/>
        <w:rPr>
          <w:rFonts w:hint="eastAsia" w:ascii="宋体" w:hAnsi="宋体" w:eastAsia="宋体" w:cs="宋体"/>
          <w:snapToGrid w:val="0"/>
          <w:kern w:val="0"/>
          <w:sz w:val="28"/>
          <w:szCs w:val="24"/>
          <w:lang w:eastAsia="zh-CN"/>
        </w:rPr>
      </w:pPr>
      <w:r>
        <w:rPr>
          <w:rFonts w:hint="eastAsia" w:ascii="宋体" w:hAnsi="宋体" w:eastAsia="宋体" w:cs="宋体"/>
          <w:snapToGrid w:val="0"/>
          <w:kern w:val="0"/>
          <w:sz w:val="28"/>
          <w:szCs w:val="24"/>
          <w:highlight w:val="yellow"/>
        </w:rPr>
        <w:t>本项目如出现响应文件的供应商不足 3 家，或经评审有效响应的供应商不足 3 家，采购方可参照谈判采购方式（2家供应商情形）与供应商谈判后确定成交供应商，或按专项规定审核批准后参照直接采购（ 1 家供应商情形）方式与供应商谈判、确定成交</w:t>
      </w:r>
      <w:r>
        <w:rPr>
          <w:rFonts w:hint="eastAsia" w:ascii="宋体" w:hAnsi="宋体" w:eastAsia="宋体" w:cs="宋体"/>
          <w:snapToGrid w:val="0"/>
          <w:kern w:val="0"/>
          <w:sz w:val="28"/>
          <w:szCs w:val="24"/>
          <w:highlight w:val="yellow"/>
          <w:lang w:eastAsia="zh-CN"/>
        </w:rPr>
        <w:t>。</w:t>
      </w:r>
    </w:p>
    <w:p w14:paraId="6178C340">
      <w:pPr>
        <w:jc w:val="left"/>
        <w:rPr>
          <w:rFonts w:hint="eastAsia" w:ascii="宋体" w:hAnsi="宋体" w:eastAsia="宋体" w:cs="宋体"/>
          <w:snapToGrid w:val="0"/>
          <w:kern w:val="0"/>
          <w:sz w:val="28"/>
          <w:szCs w:val="24"/>
        </w:rPr>
      </w:pPr>
      <w:r>
        <w:rPr>
          <w:rFonts w:hint="eastAsia" w:ascii="宋体" w:hAnsi="宋体" w:eastAsia="宋体" w:cs="宋体"/>
          <w:snapToGrid w:val="0"/>
          <w:kern w:val="0"/>
          <w:sz w:val="28"/>
          <w:szCs w:val="24"/>
        </w:rPr>
        <w:t>16.3评审程序：评审小组先对资格审查文件是否符合资格审查标准、报价文件是否符合采购文件的要求、内容是否完整、价格构成有无计算错误、文件签署是否齐全进行审查。</w:t>
      </w:r>
    </w:p>
    <w:p w14:paraId="38C19816">
      <w:pPr>
        <w:jc w:val="left"/>
        <w:rPr>
          <w:rFonts w:hint="eastAsia" w:ascii="宋体" w:hAnsi="宋体" w:eastAsia="宋体" w:cs="宋体"/>
          <w:b/>
          <w:bCs/>
          <w:snapToGrid w:val="0"/>
          <w:kern w:val="0"/>
          <w:sz w:val="28"/>
          <w:szCs w:val="24"/>
        </w:rPr>
      </w:pPr>
      <w:r>
        <w:rPr>
          <w:rFonts w:hint="eastAsia" w:ascii="宋体" w:hAnsi="宋体" w:eastAsia="宋体" w:cs="宋体"/>
          <w:b/>
          <w:bCs/>
          <w:snapToGrid w:val="0"/>
          <w:kern w:val="0"/>
          <w:sz w:val="28"/>
          <w:szCs w:val="24"/>
        </w:rPr>
        <w:t>16.4价格的计算错误按下述原则依次修正：</w:t>
      </w:r>
    </w:p>
    <w:p w14:paraId="33246E3E">
      <w:pPr>
        <w:adjustRightInd w:val="0"/>
        <w:snapToGrid w:val="0"/>
        <w:spacing w:line="360" w:lineRule="auto"/>
        <w:rPr>
          <w:rFonts w:hint="eastAsia" w:ascii="宋体" w:hAnsi="宋体" w:eastAsia="宋体" w:cs="宋体"/>
          <w:b w:val="0"/>
          <w:bCs/>
          <w:color w:val="000000" w:themeColor="text1"/>
          <w:kern w:val="0"/>
          <w:sz w:val="28"/>
          <w:szCs w:val="28"/>
          <w:lang w:eastAsia="zh-CN"/>
          <w14:textFill>
            <w14:solidFill>
              <w14:schemeClr w14:val="tx1"/>
            </w14:solidFill>
          </w14:textFill>
        </w:rPr>
      </w:pPr>
      <w:r>
        <w:rPr>
          <w:rFonts w:hint="eastAsia" w:ascii="宋体" w:hAnsi="宋体" w:eastAsia="宋体" w:cs="宋体"/>
          <w:b w:val="0"/>
          <w:bCs/>
          <w:color w:val="000000" w:themeColor="text1"/>
          <w:kern w:val="0"/>
          <w:sz w:val="28"/>
          <w:szCs w:val="28"/>
          <w:lang w:val="en-US" w:eastAsia="zh-CN"/>
          <w14:textFill>
            <w14:solidFill>
              <w14:schemeClr w14:val="tx1"/>
            </w14:solidFill>
          </w14:textFill>
        </w:rPr>
        <w:t>1.</w:t>
      </w:r>
      <w:r>
        <w:rPr>
          <w:rFonts w:hint="eastAsia" w:ascii="宋体" w:hAnsi="宋体" w:eastAsia="宋体" w:cs="宋体"/>
          <w:b w:val="0"/>
          <w:bCs/>
          <w:color w:val="000000" w:themeColor="text1"/>
          <w:kern w:val="0"/>
          <w:sz w:val="28"/>
          <w:szCs w:val="28"/>
          <w:lang w:eastAsia="zh-CN"/>
          <w14:textFill>
            <w14:solidFill>
              <w14:schemeClr w14:val="tx1"/>
            </w14:solidFill>
          </w14:textFill>
        </w:rPr>
        <w:t>大写金额和小写金额不一致的，以大写金额为准；</w:t>
      </w:r>
    </w:p>
    <w:p w14:paraId="5104CE20">
      <w:pPr>
        <w:adjustRightInd w:val="0"/>
        <w:snapToGrid w:val="0"/>
        <w:spacing w:line="360" w:lineRule="auto"/>
        <w:rPr>
          <w:rFonts w:hint="eastAsia" w:ascii="宋体" w:hAnsi="宋体" w:eastAsia="宋体" w:cs="宋体"/>
          <w:b w:val="0"/>
          <w:bCs/>
          <w:color w:val="000000" w:themeColor="text1"/>
          <w:kern w:val="0"/>
          <w:sz w:val="28"/>
          <w:szCs w:val="28"/>
          <w:lang w:eastAsia="zh-CN"/>
          <w14:textFill>
            <w14:solidFill>
              <w14:schemeClr w14:val="tx1"/>
            </w14:solidFill>
          </w14:textFill>
        </w:rPr>
      </w:pPr>
      <w:r>
        <w:rPr>
          <w:rFonts w:hint="eastAsia" w:ascii="宋体" w:hAnsi="宋体" w:eastAsia="宋体" w:cs="宋体"/>
          <w:b w:val="0"/>
          <w:bCs/>
          <w:color w:val="000000" w:themeColor="text1"/>
          <w:kern w:val="0"/>
          <w:sz w:val="28"/>
          <w:szCs w:val="28"/>
          <w:lang w:val="en-US" w:eastAsia="zh-CN"/>
          <w14:textFill>
            <w14:solidFill>
              <w14:schemeClr w14:val="tx1"/>
            </w14:solidFill>
          </w14:textFill>
        </w:rPr>
        <w:t>2.</w:t>
      </w:r>
      <w:r>
        <w:rPr>
          <w:rFonts w:hint="eastAsia" w:ascii="宋体" w:hAnsi="宋体" w:eastAsia="宋体" w:cs="宋体"/>
          <w:b w:val="0"/>
          <w:bCs/>
          <w:color w:val="000000" w:themeColor="text1"/>
          <w:kern w:val="0"/>
          <w:sz w:val="28"/>
          <w:szCs w:val="28"/>
          <w:lang w:eastAsia="zh-CN"/>
          <w14:textFill>
            <w14:solidFill>
              <w14:schemeClr w14:val="tx1"/>
            </w14:solidFill>
          </w14:textFill>
        </w:rPr>
        <w:t>单价金额小数点或者百分比有明显错位的，以总价为准修改单价；</w:t>
      </w:r>
    </w:p>
    <w:p w14:paraId="404E3DE5">
      <w:pPr>
        <w:adjustRightInd w:val="0"/>
        <w:snapToGrid w:val="0"/>
        <w:spacing w:line="360" w:lineRule="auto"/>
        <w:rPr>
          <w:rFonts w:hint="eastAsia" w:ascii="宋体" w:hAnsi="宋体" w:eastAsia="宋体" w:cs="宋体"/>
          <w:b w:val="0"/>
          <w:bCs/>
          <w:color w:val="000000" w:themeColor="text1"/>
          <w:kern w:val="0"/>
          <w:sz w:val="28"/>
          <w:szCs w:val="28"/>
          <w:lang w:eastAsia="zh-CN"/>
          <w14:textFill>
            <w14:solidFill>
              <w14:schemeClr w14:val="tx1"/>
            </w14:solidFill>
          </w14:textFill>
        </w:rPr>
      </w:pPr>
      <w:r>
        <w:rPr>
          <w:rFonts w:hint="eastAsia" w:ascii="宋体" w:hAnsi="宋体" w:eastAsia="宋体" w:cs="宋体"/>
          <w:b w:val="0"/>
          <w:bCs/>
          <w:color w:val="000000" w:themeColor="text1"/>
          <w:kern w:val="0"/>
          <w:sz w:val="28"/>
          <w:szCs w:val="28"/>
          <w:lang w:val="en-US" w:eastAsia="zh-CN"/>
          <w14:textFill>
            <w14:solidFill>
              <w14:schemeClr w14:val="tx1"/>
            </w14:solidFill>
          </w14:textFill>
        </w:rPr>
        <w:t>3.</w:t>
      </w:r>
      <w:r>
        <w:rPr>
          <w:rFonts w:hint="eastAsia" w:ascii="宋体" w:hAnsi="宋体" w:eastAsia="宋体" w:cs="宋体"/>
          <w:b w:val="0"/>
          <w:bCs/>
          <w:color w:val="000000" w:themeColor="text1"/>
          <w:kern w:val="0"/>
          <w:sz w:val="28"/>
          <w:szCs w:val="28"/>
          <w:lang w:eastAsia="zh-CN"/>
          <w14:textFill>
            <w14:solidFill>
              <w14:schemeClr w14:val="tx1"/>
            </w14:solidFill>
          </w14:textFill>
        </w:rPr>
        <w:t>投标/响应文件中投标/报价函报价与投标价格表总价不一致的，以投标价格表总价为准；</w:t>
      </w:r>
    </w:p>
    <w:p w14:paraId="7ECFB4A5">
      <w:pPr>
        <w:adjustRightInd w:val="0"/>
        <w:snapToGrid w:val="0"/>
        <w:spacing w:line="360" w:lineRule="auto"/>
        <w:rPr>
          <w:rFonts w:hint="eastAsia" w:ascii="宋体" w:hAnsi="宋体" w:eastAsia="宋体" w:cs="宋体"/>
          <w:b w:val="0"/>
          <w:bCs/>
          <w:color w:val="000000" w:themeColor="text1"/>
          <w:kern w:val="0"/>
          <w:sz w:val="28"/>
          <w:szCs w:val="28"/>
          <w:lang w:eastAsia="zh-CN"/>
          <w14:textFill>
            <w14:solidFill>
              <w14:schemeClr w14:val="tx1"/>
            </w14:solidFill>
          </w14:textFill>
        </w:rPr>
      </w:pPr>
      <w:r>
        <w:rPr>
          <w:rFonts w:hint="eastAsia" w:ascii="宋体" w:hAnsi="宋体" w:eastAsia="宋体" w:cs="宋体"/>
          <w:b w:val="0"/>
          <w:bCs/>
          <w:color w:val="000000" w:themeColor="text1"/>
          <w:kern w:val="0"/>
          <w:sz w:val="28"/>
          <w:szCs w:val="28"/>
          <w:lang w:val="en-US" w:eastAsia="zh-CN"/>
          <w14:textFill>
            <w14:solidFill>
              <w14:schemeClr w14:val="tx1"/>
            </w14:solidFill>
          </w14:textFill>
        </w:rPr>
        <w:t>4.</w:t>
      </w:r>
      <w:r>
        <w:rPr>
          <w:rFonts w:hint="eastAsia" w:ascii="宋体" w:hAnsi="宋体" w:eastAsia="宋体" w:cs="宋体"/>
          <w:b w:val="0"/>
          <w:bCs/>
          <w:color w:val="000000" w:themeColor="text1"/>
          <w:kern w:val="0"/>
          <w:sz w:val="28"/>
          <w:szCs w:val="28"/>
          <w:lang w:eastAsia="zh-CN"/>
          <w14:textFill>
            <w14:solidFill>
              <w14:schemeClr w14:val="tx1"/>
            </w14:solidFill>
          </w14:textFill>
        </w:rPr>
        <w:t>总价金额与依据单价计算出的结果不一致的，以依据单价计算出的结果为准。</w:t>
      </w:r>
    </w:p>
    <w:p w14:paraId="1197024B">
      <w:pPr>
        <w:adjustRightInd w:val="0"/>
        <w:snapToGrid w:val="0"/>
        <w:spacing w:line="360" w:lineRule="auto"/>
        <w:ind w:firstLine="560" w:firstLineChars="200"/>
        <w:rPr>
          <w:rFonts w:hint="eastAsia" w:ascii="宋体" w:hAnsi="宋体" w:eastAsia="宋体" w:cs="宋体"/>
          <w:b w:val="0"/>
          <w:bCs/>
          <w:color w:val="000000" w:themeColor="text1"/>
          <w:kern w:val="0"/>
          <w:sz w:val="28"/>
          <w:szCs w:val="28"/>
          <w:lang w:eastAsia="zh-CN"/>
          <w14:textFill>
            <w14:solidFill>
              <w14:schemeClr w14:val="tx1"/>
            </w14:solidFill>
          </w14:textFill>
        </w:rPr>
      </w:pPr>
      <w:r>
        <w:rPr>
          <w:rFonts w:hint="eastAsia" w:ascii="宋体" w:hAnsi="宋体" w:eastAsia="宋体" w:cs="宋体"/>
          <w:b w:val="0"/>
          <w:bCs/>
          <w:color w:val="000000" w:themeColor="text1"/>
          <w:kern w:val="0"/>
          <w:sz w:val="28"/>
          <w:szCs w:val="28"/>
          <w:lang w:eastAsia="zh-CN"/>
          <w14:textFill>
            <w14:solidFill>
              <w14:schemeClr w14:val="tx1"/>
            </w14:solidFill>
          </w14:textFill>
        </w:rPr>
        <w:t>同时出现两种以上不一致的，按照上述顺序从第一项至第四项依次修正。按此原则修正后的投标报价对投标人产生约束力。</w:t>
      </w:r>
    </w:p>
    <w:p w14:paraId="5962A845">
      <w:pPr>
        <w:widowControl/>
        <w:jc w:val="left"/>
        <w:rPr>
          <w:rFonts w:hint="eastAsia" w:ascii="宋体" w:hAnsi="宋体" w:eastAsia="宋体" w:cs="宋体"/>
          <w:snapToGrid w:val="0"/>
          <w:kern w:val="0"/>
          <w:sz w:val="28"/>
          <w:szCs w:val="24"/>
        </w:rPr>
      </w:pPr>
      <w:r>
        <w:rPr>
          <w:rFonts w:hint="eastAsia" w:ascii="宋体" w:hAnsi="宋体" w:eastAsia="宋体" w:cs="宋体"/>
          <w:snapToGrid w:val="0"/>
          <w:kern w:val="0"/>
          <w:sz w:val="28"/>
          <w:szCs w:val="24"/>
        </w:rPr>
        <w:t>16.5在评标期间，如发现围、串标情形，经查实后，采购人有权否决其报价资格，且不予退还投标保证金</w:t>
      </w:r>
      <w:r>
        <w:rPr>
          <w:rFonts w:hint="eastAsia" w:ascii="宋体" w:hAnsi="宋体" w:eastAsia="宋体" w:cs="宋体"/>
          <w:snapToGrid w:val="0"/>
          <w:kern w:val="0"/>
          <w:sz w:val="28"/>
          <w:szCs w:val="24"/>
          <w:highlight w:val="yellow"/>
        </w:rPr>
        <w:t>（如有设置收取项目投标保证金的）</w:t>
      </w:r>
      <w:r>
        <w:rPr>
          <w:rFonts w:hint="eastAsia" w:ascii="宋体" w:hAnsi="宋体" w:eastAsia="宋体" w:cs="宋体"/>
          <w:snapToGrid w:val="0"/>
          <w:kern w:val="0"/>
          <w:sz w:val="28"/>
          <w:szCs w:val="24"/>
        </w:rPr>
        <w:t>。</w:t>
      </w:r>
    </w:p>
    <w:p w14:paraId="4633DDE6">
      <w:pPr>
        <w:pStyle w:val="3"/>
        <w:spacing w:before="156" w:beforeLines="50" w:after="156" w:afterLines="50" w:line="240" w:lineRule="auto"/>
        <w:jc w:val="center"/>
        <w:rPr>
          <w:rFonts w:hint="eastAsia" w:ascii="宋体" w:hAnsi="宋体" w:eastAsia="宋体" w:cs="宋体"/>
          <w:sz w:val="28"/>
          <w:szCs w:val="24"/>
        </w:rPr>
      </w:pPr>
      <w:bookmarkStart w:id="164" w:name="_Toc144900088"/>
      <w:r>
        <w:rPr>
          <w:rFonts w:hint="eastAsia" w:ascii="宋体" w:hAnsi="宋体" w:eastAsia="宋体" w:cs="宋体"/>
          <w:sz w:val="28"/>
          <w:szCs w:val="24"/>
        </w:rPr>
        <w:t>F</w:t>
      </w:r>
      <w:r>
        <w:rPr>
          <w:rFonts w:hint="eastAsia" w:ascii="宋体" w:hAnsi="宋体" w:eastAsia="宋体" w:cs="宋体"/>
          <w:sz w:val="28"/>
          <w:szCs w:val="24"/>
          <w:lang w:eastAsia="zh-CN"/>
        </w:rPr>
        <w:t>.</w:t>
      </w:r>
      <w:r>
        <w:rPr>
          <w:rFonts w:hint="eastAsia" w:ascii="宋体" w:hAnsi="宋体" w:eastAsia="宋体" w:cs="宋体"/>
          <w:sz w:val="28"/>
          <w:szCs w:val="24"/>
        </w:rPr>
        <w:t>授予合同</w:t>
      </w:r>
      <w:bookmarkEnd w:id="164"/>
    </w:p>
    <w:p w14:paraId="4ED49646">
      <w:pPr>
        <w:pStyle w:val="4"/>
        <w:spacing w:line="240" w:lineRule="auto"/>
        <w:rPr>
          <w:rFonts w:hint="eastAsia" w:ascii="宋体" w:hAnsi="宋体" w:eastAsia="宋体" w:cs="宋体"/>
          <w:snapToGrid w:val="0"/>
          <w:kern w:val="0"/>
          <w:sz w:val="28"/>
          <w:szCs w:val="24"/>
        </w:rPr>
      </w:pPr>
      <w:bookmarkStart w:id="165" w:name="_Toc409973603"/>
      <w:bookmarkStart w:id="166" w:name="_Toc396389452"/>
      <w:bookmarkStart w:id="167" w:name="_Toc325556108"/>
      <w:bookmarkStart w:id="168" w:name="_Toc396388222"/>
      <w:bookmarkStart w:id="169" w:name="_Toc144900089"/>
      <w:bookmarkStart w:id="170" w:name="_Toc409972940"/>
      <w:bookmarkStart w:id="171" w:name="_Toc396390600"/>
      <w:r>
        <w:rPr>
          <w:rFonts w:hint="eastAsia" w:ascii="宋体" w:hAnsi="宋体" w:eastAsia="宋体" w:cs="宋体"/>
          <w:snapToGrid w:val="0"/>
          <w:kern w:val="0"/>
          <w:sz w:val="28"/>
          <w:szCs w:val="24"/>
        </w:rPr>
        <w:t>17.成交通知</w:t>
      </w:r>
      <w:bookmarkEnd w:id="165"/>
      <w:bookmarkEnd w:id="166"/>
      <w:bookmarkEnd w:id="167"/>
      <w:bookmarkEnd w:id="168"/>
      <w:bookmarkEnd w:id="169"/>
      <w:bookmarkEnd w:id="170"/>
      <w:bookmarkEnd w:id="171"/>
    </w:p>
    <w:p w14:paraId="4C95CD7A">
      <w:pPr>
        <w:jc w:val="left"/>
        <w:rPr>
          <w:rFonts w:hint="eastAsia" w:ascii="宋体" w:hAnsi="宋体" w:eastAsia="宋体" w:cs="宋体"/>
          <w:snapToGrid w:val="0"/>
          <w:kern w:val="0"/>
          <w:sz w:val="28"/>
          <w:szCs w:val="24"/>
        </w:rPr>
      </w:pPr>
      <w:r>
        <w:rPr>
          <w:rFonts w:hint="eastAsia" w:ascii="宋体" w:hAnsi="宋体" w:eastAsia="宋体" w:cs="宋体"/>
          <w:snapToGrid w:val="0"/>
          <w:kern w:val="0"/>
          <w:sz w:val="28"/>
          <w:szCs w:val="24"/>
        </w:rPr>
        <w:t>17.1在向报价人授予成交通知书时，采购方有权变更采购数量。</w:t>
      </w:r>
    </w:p>
    <w:p w14:paraId="29F89731">
      <w:pPr>
        <w:jc w:val="left"/>
        <w:rPr>
          <w:rFonts w:hint="eastAsia" w:ascii="宋体" w:hAnsi="宋体" w:eastAsia="宋体" w:cs="宋体"/>
          <w:snapToGrid w:val="0"/>
          <w:kern w:val="0"/>
          <w:sz w:val="28"/>
          <w:szCs w:val="24"/>
        </w:rPr>
      </w:pPr>
      <w:r>
        <w:rPr>
          <w:rFonts w:hint="eastAsia" w:ascii="宋体" w:hAnsi="宋体" w:eastAsia="宋体" w:cs="宋体"/>
          <w:snapToGrid w:val="0"/>
          <w:kern w:val="0"/>
          <w:sz w:val="28"/>
          <w:szCs w:val="24"/>
        </w:rPr>
        <w:t>17.2在报价有效期内，采购人以书面形式通知所选定的合作方。</w:t>
      </w:r>
    </w:p>
    <w:p w14:paraId="40CCEC6C">
      <w:pPr>
        <w:jc w:val="left"/>
        <w:rPr>
          <w:rFonts w:hint="eastAsia" w:ascii="宋体" w:hAnsi="宋体" w:eastAsia="宋体" w:cs="宋体"/>
          <w:snapToGrid w:val="0"/>
          <w:kern w:val="0"/>
          <w:sz w:val="28"/>
          <w:szCs w:val="24"/>
        </w:rPr>
      </w:pPr>
      <w:r>
        <w:rPr>
          <w:rFonts w:hint="eastAsia" w:ascii="宋体" w:hAnsi="宋体" w:eastAsia="宋体" w:cs="宋体"/>
          <w:snapToGrid w:val="0"/>
          <w:kern w:val="0"/>
          <w:sz w:val="28"/>
          <w:szCs w:val="24"/>
        </w:rPr>
        <w:t>17.3采购人对未入围的报价人不作原因解释。</w:t>
      </w:r>
    </w:p>
    <w:p w14:paraId="1096B8DD">
      <w:pPr>
        <w:jc w:val="left"/>
        <w:rPr>
          <w:rFonts w:hint="eastAsia" w:ascii="宋体" w:hAnsi="宋体" w:eastAsia="宋体" w:cs="宋体"/>
          <w:snapToGrid w:val="0"/>
          <w:kern w:val="0"/>
          <w:sz w:val="28"/>
          <w:szCs w:val="24"/>
        </w:rPr>
      </w:pPr>
      <w:r>
        <w:rPr>
          <w:rFonts w:hint="eastAsia" w:ascii="宋体" w:hAnsi="宋体" w:eastAsia="宋体" w:cs="宋体"/>
          <w:snapToGrid w:val="0"/>
          <w:kern w:val="0"/>
          <w:sz w:val="28"/>
          <w:szCs w:val="24"/>
        </w:rPr>
        <w:t>17.4成交通知书将是合同的一个组成部分。</w:t>
      </w:r>
    </w:p>
    <w:p w14:paraId="013EB0A9">
      <w:pPr>
        <w:jc w:val="left"/>
        <w:rPr>
          <w:rFonts w:hint="eastAsia" w:ascii="宋体" w:hAnsi="宋体" w:eastAsia="宋体" w:cs="宋体"/>
          <w:snapToGrid w:val="0"/>
          <w:kern w:val="0"/>
          <w:sz w:val="28"/>
          <w:szCs w:val="24"/>
        </w:rPr>
      </w:pPr>
      <w:r>
        <w:rPr>
          <w:rFonts w:hint="eastAsia" w:ascii="宋体" w:hAnsi="宋体" w:eastAsia="宋体" w:cs="宋体"/>
          <w:snapToGrid w:val="0"/>
          <w:kern w:val="0"/>
          <w:sz w:val="28"/>
          <w:szCs w:val="24"/>
        </w:rPr>
        <w:t>17.5推荐成交单位应按成交通知书中规定的时间、地点与采购人签订合同，否则按开启报价后撤回报价处理，采购人有权撤销其签约资格，签约单位所缴纳的保证金不予退还。在这种情况下，采购人可另选成交单位方或另行采购。</w:t>
      </w:r>
    </w:p>
    <w:p w14:paraId="5D0BE39D">
      <w:pPr>
        <w:jc w:val="left"/>
        <w:rPr>
          <w:rFonts w:hint="eastAsia" w:ascii="宋体" w:hAnsi="宋体" w:eastAsia="宋体" w:cs="宋体"/>
          <w:snapToGrid w:val="0"/>
          <w:kern w:val="0"/>
          <w:sz w:val="28"/>
          <w:szCs w:val="24"/>
        </w:rPr>
      </w:pPr>
      <w:r>
        <w:rPr>
          <w:rFonts w:hint="eastAsia" w:ascii="宋体" w:hAnsi="宋体" w:eastAsia="宋体" w:cs="宋体"/>
          <w:snapToGrid w:val="0"/>
          <w:kern w:val="0"/>
          <w:sz w:val="28"/>
          <w:szCs w:val="24"/>
        </w:rPr>
        <w:t>17.6采购文件、采购人的报价文件及评审过程中有关澄清文件均应作为合同附件。</w:t>
      </w:r>
    </w:p>
    <w:p w14:paraId="202F8E0F">
      <w:pPr>
        <w:jc w:val="left"/>
        <w:rPr>
          <w:rFonts w:hint="eastAsia" w:ascii="宋体" w:hAnsi="宋体" w:eastAsia="宋体" w:cs="宋体"/>
          <w:snapToGrid w:val="0"/>
          <w:kern w:val="0"/>
          <w:sz w:val="28"/>
          <w:szCs w:val="24"/>
        </w:rPr>
      </w:pPr>
      <w:r>
        <w:rPr>
          <w:rFonts w:hint="eastAsia" w:ascii="宋体" w:hAnsi="宋体" w:eastAsia="宋体" w:cs="宋体"/>
          <w:snapToGrid w:val="0"/>
          <w:kern w:val="0"/>
          <w:sz w:val="28"/>
          <w:szCs w:val="24"/>
        </w:rPr>
        <w:t>17.7签订合同后，不得私自转包，否则将视为违约并自动终止合同。</w:t>
      </w:r>
      <w:bookmarkStart w:id="172" w:name="_Toc409973604"/>
      <w:bookmarkStart w:id="173" w:name="_Toc396388224"/>
      <w:bookmarkStart w:id="174" w:name="_Toc409972941"/>
      <w:bookmarkStart w:id="175" w:name="_Toc396390601"/>
      <w:bookmarkStart w:id="176" w:name="_Toc409974897"/>
      <w:bookmarkStart w:id="177" w:name="_Toc396389453"/>
    </w:p>
    <w:p w14:paraId="798EE49B">
      <w:pPr>
        <w:widowControl/>
        <w:jc w:val="left"/>
        <w:rPr>
          <w:rFonts w:hint="eastAsia" w:ascii="宋体" w:hAnsi="宋体" w:eastAsia="宋体" w:cs="宋体"/>
          <w:snapToGrid w:val="0"/>
          <w:kern w:val="0"/>
          <w:sz w:val="28"/>
          <w:szCs w:val="24"/>
        </w:rPr>
      </w:pPr>
      <w:r>
        <w:rPr>
          <w:rFonts w:hint="eastAsia" w:ascii="宋体" w:hAnsi="宋体" w:eastAsia="宋体" w:cs="宋体"/>
          <w:snapToGrid w:val="0"/>
          <w:kern w:val="0"/>
          <w:sz w:val="28"/>
          <w:szCs w:val="24"/>
        </w:rPr>
        <w:t>17.8合同执行期间，如发现围、串标情形，经查实后，采购人有权终止合同，且不予退还合同履约保证金（如有设置收取合同履约保证金的）。</w:t>
      </w:r>
    </w:p>
    <w:p w14:paraId="36FEDE24">
      <w:pPr>
        <w:widowControl/>
        <w:jc w:val="left"/>
        <w:rPr>
          <w:rFonts w:hint="eastAsia" w:ascii="宋体" w:hAnsi="宋体" w:eastAsia="宋体" w:cs="宋体"/>
          <w:snapToGrid w:val="0"/>
          <w:kern w:val="0"/>
          <w:sz w:val="28"/>
          <w:szCs w:val="24"/>
        </w:rPr>
      </w:pPr>
      <w:r>
        <w:rPr>
          <w:rFonts w:hint="eastAsia" w:ascii="宋体" w:hAnsi="宋体" w:eastAsia="宋体" w:cs="宋体"/>
          <w:snapToGrid w:val="0"/>
          <w:kern w:val="0"/>
          <w:sz w:val="28"/>
          <w:szCs w:val="24"/>
          <w:lang w:val="en-US" w:eastAsia="zh-CN"/>
        </w:rPr>
        <w:t>17.9</w:t>
      </w:r>
      <w:r>
        <w:rPr>
          <w:rFonts w:hint="eastAsia" w:ascii="宋体" w:hAnsi="宋体" w:eastAsia="宋体" w:cs="宋体"/>
          <w:snapToGrid w:val="0"/>
          <w:kern w:val="0"/>
          <w:sz w:val="28"/>
          <w:szCs w:val="24"/>
        </w:rPr>
        <w:t>列入华润集团、华润建材科技黑名单的及在黑名单禁止合作期内其法定代表人再注册的公司</w:t>
      </w:r>
      <w:r>
        <w:rPr>
          <w:rFonts w:hint="eastAsia" w:ascii="宋体" w:hAnsi="宋体" w:eastAsia="宋体" w:cs="宋体"/>
          <w:snapToGrid w:val="0"/>
          <w:kern w:val="0"/>
          <w:sz w:val="28"/>
          <w:szCs w:val="24"/>
          <w:lang w:eastAsia="zh-CN"/>
        </w:rPr>
        <w:t>，</w:t>
      </w:r>
      <w:r>
        <w:rPr>
          <w:rFonts w:hint="eastAsia" w:ascii="宋体" w:hAnsi="宋体" w:eastAsia="宋体" w:cs="宋体"/>
          <w:snapToGrid w:val="0"/>
          <w:kern w:val="0"/>
          <w:sz w:val="28"/>
          <w:szCs w:val="24"/>
        </w:rPr>
        <w:t>不得继续参与招投标和其他采购活动，不得新签署合同。</w:t>
      </w:r>
    </w:p>
    <w:p w14:paraId="1E42A756">
      <w:pPr>
        <w:widowControl/>
        <w:jc w:val="left"/>
        <w:rPr>
          <w:rFonts w:hint="eastAsia" w:ascii="宋体" w:hAnsi="宋体" w:eastAsia="宋体" w:cs="宋体"/>
          <w:snapToGrid w:val="0"/>
          <w:kern w:val="0"/>
          <w:sz w:val="28"/>
          <w:szCs w:val="24"/>
          <w:lang w:val="en-US" w:eastAsia="zh-CN"/>
        </w:rPr>
      </w:pPr>
    </w:p>
    <w:p w14:paraId="1D022D77">
      <w:pPr>
        <w:jc w:val="left"/>
        <w:rPr>
          <w:rFonts w:hint="eastAsia" w:ascii="宋体" w:hAnsi="宋体" w:eastAsia="宋体" w:cs="宋体"/>
          <w:snapToGrid w:val="0"/>
          <w:kern w:val="0"/>
          <w:sz w:val="28"/>
          <w:szCs w:val="24"/>
        </w:rPr>
      </w:pPr>
    </w:p>
    <w:p w14:paraId="543D8F97">
      <w:pPr>
        <w:pStyle w:val="2"/>
        <w:numPr>
          <w:ilvl w:val="0"/>
          <w:numId w:val="1"/>
        </w:numPr>
        <w:spacing w:before="312" w:after="312" w:line="240" w:lineRule="auto"/>
        <w:ind w:left="1077" w:leftChars="0" w:hanging="1077" w:firstLineChars="0"/>
        <w:jc w:val="center"/>
        <w:rPr>
          <w:rFonts w:hint="eastAsia" w:ascii="宋体" w:hAnsi="宋体" w:eastAsia="宋体" w:cs="宋体"/>
          <w:sz w:val="28"/>
          <w:szCs w:val="24"/>
        </w:rPr>
      </w:pPr>
      <w:bookmarkStart w:id="178" w:name="_Toc144900090"/>
      <w:r>
        <w:rPr>
          <w:rFonts w:hint="eastAsia" w:ascii="宋体" w:hAnsi="宋体" w:eastAsia="宋体" w:cs="宋体"/>
          <w:sz w:val="28"/>
          <w:szCs w:val="24"/>
        </w:rPr>
        <w:t xml:space="preserve"> </w:t>
      </w:r>
      <w:bookmarkEnd w:id="172"/>
      <w:bookmarkEnd w:id="173"/>
      <w:bookmarkEnd w:id="174"/>
      <w:bookmarkEnd w:id="175"/>
      <w:bookmarkEnd w:id="176"/>
      <w:bookmarkEnd w:id="177"/>
      <w:bookmarkEnd w:id="178"/>
      <w:bookmarkStart w:id="179" w:name="_Toc325556120"/>
      <w:bookmarkStart w:id="180" w:name="_Toc396390602"/>
      <w:bookmarkStart w:id="181" w:name="_Toc396388225"/>
      <w:bookmarkStart w:id="182" w:name="_Toc396389454"/>
      <w:r>
        <w:rPr>
          <w:rFonts w:hint="eastAsia" w:ascii="宋体" w:hAnsi="宋体" w:eastAsia="宋体" w:cs="宋体"/>
          <w:sz w:val="28"/>
          <w:szCs w:val="24"/>
        </w:rPr>
        <w:t>技术标准及要求</w:t>
      </w:r>
    </w:p>
    <w:p w14:paraId="18884B8A">
      <w:pPr>
        <w:spacing w:line="460" w:lineRule="exact"/>
        <w:ind w:firstLine="560" w:firstLineChars="200"/>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 xml:space="preserve"> </w:t>
      </w:r>
    </w:p>
    <w:p w14:paraId="0EBB184F">
      <w:pPr>
        <w:widowControl/>
        <w:jc w:val="left"/>
        <w:rPr>
          <w:rFonts w:hint="eastAsia" w:ascii="宋体" w:hAnsi="宋体" w:eastAsia="宋体" w:cs="宋体"/>
          <w:snapToGrid w:val="0"/>
          <w:kern w:val="0"/>
          <w:sz w:val="28"/>
          <w:szCs w:val="24"/>
          <w:highlight w:val="yellow"/>
          <w:lang w:val="en-US" w:eastAsia="zh-CN"/>
        </w:rPr>
      </w:pPr>
      <w:r>
        <w:rPr>
          <w:rFonts w:hint="eastAsia" w:ascii="宋体" w:hAnsi="宋体" w:eastAsia="宋体" w:cs="宋体"/>
          <w:snapToGrid w:val="0"/>
          <w:kern w:val="0"/>
          <w:sz w:val="28"/>
          <w:szCs w:val="24"/>
          <w:lang w:val="en-US" w:eastAsia="zh-CN"/>
        </w:rPr>
        <w:t>如有疑问请联系业务部门联系人</w:t>
      </w:r>
      <w:r>
        <w:rPr>
          <w:rFonts w:hint="eastAsia" w:ascii="宋体" w:hAnsi="宋体" w:eastAsia="宋体" w:cs="宋体"/>
          <w:snapToGrid w:val="0"/>
          <w:kern w:val="0"/>
          <w:sz w:val="28"/>
          <w:szCs w:val="24"/>
          <w:highlight w:val="yellow"/>
          <w:lang w:val="en-US" w:eastAsia="zh-CN"/>
        </w:rPr>
        <w:t>：黄燕芳18977621722</w:t>
      </w:r>
    </w:p>
    <w:p w14:paraId="18C75346">
      <w:pPr>
        <w:numPr>
          <w:ilvl w:val="0"/>
          <w:numId w:val="0"/>
        </w:numPr>
        <w:ind w:leftChars="0"/>
        <w:rPr>
          <w:rFonts w:hint="eastAsia" w:ascii="宋体" w:hAnsi="宋体" w:eastAsia="宋体" w:cs="宋体"/>
        </w:rPr>
      </w:pPr>
    </w:p>
    <w:p w14:paraId="7F92D263">
      <w:pPr>
        <w:numPr>
          <w:ilvl w:val="0"/>
          <w:numId w:val="0"/>
        </w:numPr>
        <w:ind w:leftChars="0"/>
        <w:rPr>
          <w:rFonts w:hint="eastAsia" w:ascii="宋体" w:hAnsi="宋体" w:eastAsia="宋体" w:cs="宋体"/>
          <w:lang w:eastAsia="zh-CN"/>
        </w:rPr>
      </w:pPr>
    </w:p>
    <w:bookmarkEnd w:id="179"/>
    <w:bookmarkEnd w:id="180"/>
    <w:bookmarkEnd w:id="181"/>
    <w:bookmarkEnd w:id="182"/>
    <w:p w14:paraId="252DAC42">
      <w:pPr>
        <w:pStyle w:val="2"/>
        <w:pageBreakBefore w:val="0"/>
        <w:widowControl w:val="0"/>
        <w:kinsoku/>
        <w:wordWrap/>
        <w:overflowPunct/>
        <w:topLinePunct w:val="0"/>
        <w:autoSpaceDE/>
        <w:autoSpaceDN/>
        <w:bidi w:val="0"/>
        <w:adjustRightInd/>
        <w:snapToGrid/>
        <w:spacing w:before="312" w:after="312" w:line="400" w:lineRule="exact"/>
        <w:jc w:val="center"/>
        <w:textAlignment w:val="auto"/>
        <w:rPr>
          <w:rFonts w:hint="eastAsia" w:ascii="宋体" w:hAnsi="宋体" w:eastAsia="宋体" w:cs="宋体"/>
          <w:sz w:val="28"/>
          <w:szCs w:val="24"/>
        </w:rPr>
      </w:pPr>
      <w:bookmarkStart w:id="183" w:name="_Toc144900092"/>
      <w:r>
        <w:rPr>
          <w:rFonts w:hint="eastAsia" w:ascii="宋体" w:hAnsi="宋体" w:eastAsia="宋体" w:cs="宋体"/>
          <w:sz w:val="28"/>
          <w:szCs w:val="24"/>
        </w:rPr>
        <w:t>第四章  否决情形</w:t>
      </w:r>
    </w:p>
    <w:p w14:paraId="00D7A004">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425" w:leftChars="0" w:hanging="425" w:firstLineChars="0"/>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rPr>
        <w:t>投标人/报价单位不符合国家或者采购文件规定的资格条件；</w:t>
      </w:r>
    </w:p>
    <w:p w14:paraId="6B2272EC">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425" w:leftChars="0" w:hanging="425" w:firstLineChars="0"/>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rPr>
        <w:t>投标/报价低于成本或者高于采购文件设定的最高投标限价；</w:t>
      </w:r>
    </w:p>
    <w:p w14:paraId="239FADCA">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425" w:leftChars="0" w:hanging="425" w:firstLineChars="0"/>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rPr>
        <w:t>投标/报价文件没有对采购文件的实质性要求和条件作出响应，不允许报价人通过修正或撤消其不符合要求的差异或保留，使之成为具有响应性的报价，采购人有权否决其资格。</w:t>
      </w:r>
    </w:p>
    <w:p w14:paraId="3FDAEC89">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425" w:leftChars="0" w:hanging="425" w:firstLineChars="0"/>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rPr>
        <w:t>投标人/报价单位有串通投标/报价、弄虚作假、行贿等违法行为（如：不同投标/报价单位的投标/报价文件经核实IP地址相同的）；</w:t>
      </w:r>
    </w:p>
    <w:p w14:paraId="4CB1088E">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425" w:leftChars="0" w:hanging="425" w:firstLineChars="0"/>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rPr>
        <w:t>投标人/报价单位属于失信被执行人；</w:t>
      </w:r>
    </w:p>
    <w:p w14:paraId="3EA1FFAF">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425" w:leftChars="0" w:hanging="425" w:firstLineChars="0"/>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rPr>
        <w:t>投标人/报价单位被政府部门、司法机关责令停业的，或被招投标活动政府行政监督部门暂停或取消投标资格的，或财产被接管或冻结的；</w:t>
      </w:r>
    </w:p>
    <w:p w14:paraId="67DABD14">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425" w:leftChars="0" w:hanging="425" w:firstLineChars="0"/>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rPr>
        <w:t>单位负责人为同一人或者存在控股、管理关系的不同单位，参加同一标段投标/报价或者未划分标段的同一招标项目投标/报价的；</w:t>
      </w:r>
    </w:p>
    <w:p w14:paraId="4D94A6AB">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425" w:leftChars="0" w:hanging="425" w:firstLineChars="0"/>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rPr>
        <w:t>过去存在不良行为并对招标人/采购单位及所属单位造成严重影响后果的（投标人/报价单位不良行为包括：</w:t>
      </w:r>
      <w:r>
        <w:rPr>
          <w:rFonts w:hint="eastAsia" w:ascii="宋体" w:hAnsi="宋体" w:eastAsia="宋体" w:cs="宋体"/>
          <w:kern w:val="0"/>
          <w:sz w:val="28"/>
          <w:szCs w:val="28"/>
          <w:lang w:val="en-US" w:eastAsia="zh-CN"/>
        </w:rPr>
        <w:t>a</w:t>
      </w:r>
      <w:r>
        <w:rPr>
          <w:rFonts w:hint="eastAsia" w:ascii="宋体" w:hAnsi="宋体" w:eastAsia="宋体" w:cs="宋体"/>
          <w:kern w:val="0"/>
          <w:sz w:val="28"/>
          <w:szCs w:val="28"/>
        </w:rPr>
        <w:t>.招评标过程中被证实存在违法、违规行为的；</w:t>
      </w:r>
      <w:r>
        <w:rPr>
          <w:rFonts w:hint="eastAsia" w:ascii="宋体" w:hAnsi="宋体" w:eastAsia="宋体" w:cs="宋体"/>
          <w:kern w:val="0"/>
          <w:sz w:val="28"/>
          <w:szCs w:val="28"/>
          <w:lang w:val="en-US" w:eastAsia="zh-CN"/>
        </w:rPr>
        <w:t>b</w:t>
      </w:r>
      <w:r>
        <w:rPr>
          <w:rFonts w:hint="eastAsia" w:ascii="宋体" w:hAnsi="宋体" w:eastAsia="宋体" w:cs="宋体"/>
          <w:kern w:val="0"/>
          <w:sz w:val="28"/>
          <w:szCs w:val="28"/>
        </w:rPr>
        <w:t>.履约过程中出现严重违约、重大合同纠纷的；</w:t>
      </w:r>
      <w:r>
        <w:rPr>
          <w:rFonts w:hint="eastAsia" w:ascii="宋体" w:hAnsi="宋体" w:eastAsia="宋体" w:cs="宋体"/>
          <w:kern w:val="0"/>
          <w:sz w:val="28"/>
          <w:szCs w:val="28"/>
          <w:lang w:val="en-US" w:eastAsia="zh-CN"/>
        </w:rPr>
        <w:t>c</w:t>
      </w:r>
      <w:r>
        <w:rPr>
          <w:rFonts w:hint="eastAsia" w:ascii="宋体" w:hAnsi="宋体" w:eastAsia="宋体" w:cs="宋体"/>
          <w:kern w:val="0"/>
          <w:sz w:val="28"/>
          <w:szCs w:val="28"/>
        </w:rPr>
        <w:t>.中标/中选后无正当理由不签订合同的）；</w:t>
      </w:r>
    </w:p>
    <w:p w14:paraId="5ACAD85E">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425" w:leftChars="0" w:hanging="425" w:firstLineChars="0"/>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rPr>
        <w:t>经评标委员会/评审人员评定，认为所有投标/报价均明显高出市场合理价时，可以否决所有投标/报价；</w:t>
      </w:r>
    </w:p>
    <w:p w14:paraId="4CF386D0">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425" w:leftChars="0" w:hanging="425" w:firstLineChars="0"/>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rPr>
        <w:t>供应商评价：投标人/报价单位在</w:t>
      </w:r>
      <w:r>
        <w:rPr>
          <w:rFonts w:hint="eastAsia" w:ascii="宋体" w:hAnsi="宋体" w:eastAsia="宋体" w:cs="宋体"/>
          <w:kern w:val="0"/>
          <w:sz w:val="28"/>
          <w:szCs w:val="28"/>
          <w:lang w:val="en-US" w:eastAsia="zh-CN"/>
        </w:rPr>
        <w:t>服务</w:t>
      </w:r>
      <w:r>
        <w:rPr>
          <w:rFonts w:hint="eastAsia" w:ascii="宋体" w:hAnsi="宋体" w:eastAsia="宋体" w:cs="宋体"/>
          <w:kern w:val="0"/>
          <w:sz w:val="28"/>
          <w:szCs w:val="28"/>
        </w:rPr>
        <w:t>供应的同品类</w:t>
      </w:r>
      <w:r>
        <w:rPr>
          <w:rFonts w:hint="eastAsia" w:ascii="宋体" w:hAnsi="宋体" w:eastAsia="宋体" w:cs="宋体"/>
          <w:kern w:val="0"/>
          <w:sz w:val="28"/>
          <w:szCs w:val="28"/>
          <w:highlight w:val="yellow"/>
          <w:lang w:val="en-US" w:eastAsia="zh-CN"/>
        </w:rPr>
        <w:t>服务</w:t>
      </w:r>
      <w:r>
        <w:rPr>
          <w:rFonts w:hint="eastAsia" w:ascii="宋体" w:hAnsi="宋体" w:eastAsia="宋体" w:cs="宋体"/>
          <w:kern w:val="0"/>
          <w:sz w:val="28"/>
          <w:szCs w:val="28"/>
        </w:rPr>
        <w:t>自绩效评价为待淘汰之日起至淘汰流程生效之日后一年内（淘汰时间满一年，默认为合格），参与该品类采购项目将被否决；</w:t>
      </w:r>
    </w:p>
    <w:p w14:paraId="32DB7DB8">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425" w:leftChars="0" w:hanging="425" w:firstLineChars="0"/>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rPr>
        <w:t>本项目不接受列入华润集团、华润建材科技黑名单的投标人/报价单位及在黑名单禁止合作期内其法人代表再注册的公司。如果投标人/报价单位在任何时候被华润集团、华润建材科技列入黑名单企业或被发现存在应被列为黑名单企业的行为，采购单位有权拒绝其投标/报价、取消其中标/中选资格或者将投标人/报价单位的投标/报价判定为无效投标/无效报价</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双方已经签署合同的，采购单位有权以书面通知的形式立即解除合同。</w:t>
      </w:r>
    </w:p>
    <w:p w14:paraId="4686DD20">
      <w:pPr>
        <w:rPr>
          <w:rFonts w:hint="eastAsia" w:ascii="宋体" w:hAnsi="宋体" w:eastAsia="宋体" w:cs="宋体"/>
        </w:rPr>
      </w:pPr>
    </w:p>
    <w:p w14:paraId="336B0B5B">
      <w:pPr>
        <w:pStyle w:val="2"/>
        <w:spacing w:before="312" w:after="312" w:line="240" w:lineRule="auto"/>
        <w:jc w:val="center"/>
        <w:rPr>
          <w:rFonts w:hint="eastAsia" w:ascii="宋体" w:hAnsi="宋体" w:eastAsia="宋体" w:cs="宋体"/>
          <w:sz w:val="24"/>
          <w:szCs w:val="24"/>
        </w:rPr>
      </w:pPr>
    </w:p>
    <w:p w14:paraId="77DC6AD0">
      <w:pPr>
        <w:rPr>
          <w:rFonts w:hint="eastAsia" w:ascii="宋体" w:hAnsi="宋体" w:eastAsia="宋体" w:cs="宋体"/>
          <w:sz w:val="24"/>
          <w:szCs w:val="24"/>
        </w:rPr>
      </w:pPr>
    </w:p>
    <w:p w14:paraId="1E60A39E">
      <w:pPr>
        <w:rPr>
          <w:rFonts w:hint="eastAsia" w:ascii="宋体" w:hAnsi="宋体" w:eastAsia="宋体" w:cs="宋体"/>
          <w:sz w:val="24"/>
          <w:szCs w:val="24"/>
        </w:rPr>
      </w:pPr>
    </w:p>
    <w:p w14:paraId="0628202E">
      <w:pPr>
        <w:pStyle w:val="2"/>
        <w:spacing w:before="312" w:after="312" w:line="240" w:lineRule="auto"/>
        <w:jc w:val="center"/>
        <w:rPr>
          <w:rFonts w:hint="eastAsia" w:ascii="宋体" w:hAnsi="宋体" w:eastAsia="宋体" w:cs="宋体"/>
          <w:sz w:val="24"/>
          <w:szCs w:val="24"/>
        </w:rPr>
      </w:pPr>
    </w:p>
    <w:p w14:paraId="76570DF9">
      <w:pPr>
        <w:pStyle w:val="2"/>
        <w:spacing w:before="312" w:after="312" w:line="240" w:lineRule="auto"/>
        <w:jc w:val="center"/>
        <w:rPr>
          <w:rFonts w:hint="eastAsia" w:ascii="宋体" w:hAnsi="宋体" w:eastAsia="宋体" w:cs="宋体"/>
          <w:sz w:val="24"/>
          <w:szCs w:val="24"/>
        </w:rPr>
      </w:pPr>
    </w:p>
    <w:p w14:paraId="67C6BF5C">
      <w:pPr>
        <w:pStyle w:val="2"/>
        <w:spacing w:before="312" w:after="312" w:line="240" w:lineRule="auto"/>
        <w:jc w:val="center"/>
        <w:rPr>
          <w:rFonts w:hint="eastAsia" w:ascii="宋体" w:hAnsi="宋体" w:eastAsia="宋体" w:cs="宋体"/>
          <w:sz w:val="24"/>
          <w:szCs w:val="24"/>
        </w:rPr>
      </w:pPr>
    </w:p>
    <w:p w14:paraId="73171065">
      <w:pPr>
        <w:pStyle w:val="2"/>
        <w:spacing w:before="312" w:after="312" w:line="240" w:lineRule="auto"/>
        <w:jc w:val="center"/>
        <w:rPr>
          <w:rFonts w:hint="eastAsia" w:ascii="宋体" w:hAnsi="宋体" w:eastAsia="宋体" w:cs="宋体"/>
          <w:sz w:val="24"/>
          <w:szCs w:val="24"/>
        </w:rPr>
      </w:pPr>
    </w:p>
    <w:p w14:paraId="36D031D8">
      <w:pPr>
        <w:pStyle w:val="2"/>
        <w:spacing w:before="312" w:after="312" w:line="240" w:lineRule="auto"/>
        <w:jc w:val="both"/>
        <w:rPr>
          <w:rFonts w:hint="eastAsia" w:ascii="宋体" w:hAnsi="宋体" w:eastAsia="宋体" w:cs="宋体"/>
          <w:sz w:val="24"/>
          <w:szCs w:val="24"/>
        </w:rPr>
      </w:pPr>
    </w:p>
    <w:p w14:paraId="216D3107">
      <w:pPr>
        <w:pStyle w:val="2"/>
        <w:spacing w:before="312" w:after="312" w:line="240" w:lineRule="auto"/>
        <w:jc w:val="both"/>
        <w:rPr>
          <w:rFonts w:hint="eastAsia" w:ascii="宋体" w:hAnsi="宋体" w:eastAsia="宋体" w:cs="宋体"/>
          <w:sz w:val="28"/>
          <w:szCs w:val="24"/>
        </w:rPr>
      </w:pPr>
      <w:r>
        <w:rPr>
          <w:rFonts w:hint="eastAsia" w:ascii="宋体" w:hAnsi="宋体" w:eastAsia="宋体" w:cs="宋体"/>
          <w:sz w:val="24"/>
          <w:szCs w:val="24"/>
        </w:rPr>
        <w:t xml:space="preserve"> </w:t>
      </w:r>
      <w:r>
        <w:rPr>
          <w:rFonts w:hint="eastAsia" w:ascii="宋体" w:hAnsi="宋体" w:eastAsia="宋体" w:cs="宋体"/>
          <w:sz w:val="28"/>
          <w:szCs w:val="24"/>
        </w:rPr>
        <w:t>第五章  附  件</w:t>
      </w:r>
      <w:bookmarkEnd w:id="183"/>
    </w:p>
    <w:p w14:paraId="6CBE4DE2">
      <w:pPr>
        <w:tabs>
          <w:tab w:val="left" w:pos="8222"/>
        </w:tabs>
        <w:spacing w:line="480" w:lineRule="auto"/>
        <w:ind w:firstLine="280" w:firstLineChars="100"/>
        <w:jc w:val="left"/>
        <w:rPr>
          <w:rFonts w:hint="eastAsia" w:ascii="宋体" w:hAnsi="宋体" w:eastAsia="宋体" w:cs="宋体"/>
          <w:sz w:val="28"/>
          <w:szCs w:val="24"/>
        </w:rPr>
      </w:pPr>
      <w:bookmarkStart w:id="184" w:name="_Toc396388228"/>
      <w:bookmarkStart w:id="185" w:name="_Toc396390604"/>
      <w:bookmarkStart w:id="186" w:name="_Toc396389456"/>
      <w:bookmarkStart w:id="187" w:name="_Toc325556121"/>
      <w:r>
        <w:rPr>
          <w:rFonts w:hint="eastAsia" w:ascii="宋体" w:hAnsi="宋体" w:eastAsia="宋体" w:cs="宋体"/>
          <w:sz w:val="28"/>
          <w:szCs w:val="24"/>
        </w:rPr>
        <w:t>附件1：报价表</w:t>
      </w:r>
    </w:p>
    <w:p w14:paraId="4A3A7A2B">
      <w:pPr>
        <w:tabs>
          <w:tab w:val="left" w:pos="8222"/>
        </w:tabs>
        <w:spacing w:line="480" w:lineRule="auto"/>
        <w:ind w:firstLine="280" w:firstLineChars="100"/>
        <w:jc w:val="left"/>
        <w:rPr>
          <w:rFonts w:hint="eastAsia" w:ascii="宋体" w:hAnsi="宋体" w:eastAsia="宋体" w:cs="宋体"/>
          <w:sz w:val="28"/>
          <w:szCs w:val="24"/>
        </w:rPr>
      </w:pPr>
      <w:r>
        <w:rPr>
          <w:rFonts w:hint="eastAsia" w:ascii="宋体" w:hAnsi="宋体" w:eastAsia="宋体" w:cs="宋体"/>
          <w:sz w:val="28"/>
          <w:szCs w:val="24"/>
        </w:rPr>
        <w:t>附件2：法定代表人授权委托书</w:t>
      </w:r>
    </w:p>
    <w:p w14:paraId="53B966E8">
      <w:pPr>
        <w:tabs>
          <w:tab w:val="left" w:pos="8222"/>
        </w:tabs>
        <w:spacing w:line="480" w:lineRule="auto"/>
        <w:ind w:firstLine="280" w:firstLineChars="100"/>
        <w:jc w:val="left"/>
        <w:rPr>
          <w:rFonts w:hint="eastAsia" w:ascii="宋体" w:hAnsi="宋体" w:eastAsia="宋体" w:cs="宋体"/>
          <w:sz w:val="28"/>
          <w:szCs w:val="24"/>
        </w:rPr>
      </w:pPr>
      <w:r>
        <w:rPr>
          <w:rFonts w:hint="eastAsia" w:ascii="宋体" w:hAnsi="宋体" w:eastAsia="宋体" w:cs="宋体"/>
          <w:sz w:val="28"/>
          <w:szCs w:val="24"/>
        </w:rPr>
        <w:t>附件3：技术偏离表</w:t>
      </w:r>
    </w:p>
    <w:p w14:paraId="7AE83472">
      <w:pPr>
        <w:tabs>
          <w:tab w:val="left" w:pos="8222"/>
        </w:tabs>
        <w:spacing w:line="480" w:lineRule="auto"/>
        <w:ind w:firstLine="280" w:firstLineChars="100"/>
        <w:jc w:val="left"/>
        <w:rPr>
          <w:rFonts w:hint="eastAsia" w:ascii="宋体" w:hAnsi="宋体" w:eastAsia="宋体" w:cs="宋体"/>
          <w:sz w:val="28"/>
          <w:szCs w:val="24"/>
        </w:rPr>
      </w:pPr>
      <w:r>
        <w:rPr>
          <w:rFonts w:hint="eastAsia" w:ascii="宋体" w:hAnsi="宋体" w:eastAsia="宋体" w:cs="宋体"/>
          <w:sz w:val="28"/>
          <w:szCs w:val="24"/>
        </w:rPr>
        <w:t>附件4：合同</w:t>
      </w:r>
    </w:p>
    <w:p w14:paraId="1832A2A1">
      <w:pPr>
        <w:tabs>
          <w:tab w:val="left" w:pos="8222"/>
        </w:tabs>
        <w:spacing w:line="480" w:lineRule="auto"/>
        <w:ind w:firstLine="280" w:firstLineChars="100"/>
        <w:jc w:val="left"/>
        <w:rPr>
          <w:rFonts w:hint="eastAsia" w:ascii="宋体" w:hAnsi="宋体" w:eastAsia="宋体" w:cs="宋体"/>
          <w:sz w:val="28"/>
          <w:szCs w:val="24"/>
        </w:rPr>
      </w:pPr>
      <w:r>
        <w:rPr>
          <w:rFonts w:hint="eastAsia" w:ascii="宋体" w:hAnsi="宋体" w:eastAsia="宋体" w:cs="宋体"/>
          <w:sz w:val="28"/>
          <w:szCs w:val="24"/>
        </w:rPr>
        <w:t>附件5：廉洁合规承诺书</w:t>
      </w:r>
    </w:p>
    <w:p w14:paraId="28218641">
      <w:pPr>
        <w:snapToGrid w:val="0"/>
        <w:spacing w:line="276" w:lineRule="auto"/>
        <w:rPr>
          <w:rFonts w:hint="eastAsia" w:ascii="宋体" w:hAnsi="宋体" w:eastAsia="宋体" w:cs="宋体"/>
          <w:snapToGrid w:val="0"/>
          <w:kern w:val="0"/>
          <w:sz w:val="28"/>
          <w:szCs w:val="24"/>
        </w:rPr>
      </w:pPr>
      <w:r>
        <w:rPr>
          <w:rFonts w:hint="eastAsia" w:ascii="宋体" w:hAnsi="宋体" w:eastAsia="宋体" w:cs="宋体"/>
          <w:snapToGrid w:val="0"/>
          <w:sz w:val="24"/>
          <w:szCs w:val="24"/>
        </w:rPr>
        <w:br w:type="page"/>
      </w:r>
      <w:bookmarkEnd w:id="184"/>
      <w:bookmarkEnd w:id="185"/>
      <w:bookmarkEnd w:id="186"/>
      <w:bookmarkEnd w:id="187"/>
      <w:bookmarkStart w:id="188" w:name="_Toc396390606"/>
      <w:bookmarkStart w:id="189" w:name="_Toc409972947"/>
      <w:bookmarkStart w:id="190" w:name="_Toc409974381"/>
      <w:bookmarkStart w:id="191" w:name="_Toc409973610"/>
      <w:bookmarkStart w:id="192" w:name="_Toc409974904"/>
      <w:bookmarkStart w:id="193" w:name="_Toc396389458"/>
      <w:bookmarkStart w:id="194" w:name="_Toc396388230"/>
      <w:bookmarkStart w:id="195" w:name="_Toc144900093"/>
      <w:bookmarkStart w:id="196" w:name="_Toc409973613"/>
      <w:bookmarkStart w:id="197" w:name="_Toc409974385"/>
      <w:bookmarkStart w:id="198" w:name="_Toc396390608"/>
      <w:bookmarkStart w:id="199" w:name="_Toc409974908"/>
      <w:bookmarkStart w:id="200" w:name="_Toc409972948"/>
      <w:bookmarkStart w:id="201" w:name="_Toc396389465"/>
      <w:r>
        <w:rPr>
          <w:rFonts w:hint="eastAsia" w:ascii="宋体" w:hAnsi="宋体" w:eastAsia="宋体" w:cs="宋体"/>
          <w:snapToGrid w:val="0"/>
          <w:kern w:val="0"/>
          <w:sz w:val="28"/>
          <w:szCs w:val="24"/>
        </w:rPr>
        <w:t>附件</w:t>
      </w:r>
      <w:bookmarkEnd w:id="188"/>
      <w:bookmarkEnd w:id="189"/>
      <w:bookmarkEnd w:id="190"/>
      <w:bookmarkEnd w:id="191"/>
      <w:bookmarkEnd w:id="192"/>
      <w:bookmarkEnd w:id="193"/>
      <w:bookmarkEnd w:id="194"/>
      <w:r>
        <w:rPr>
          <w:rFonts w:hint="eastAsia" w:ascii="宋体" w:hAnsi="宋体" w:eastAsia="宋体" w:cs="宋体"/>
          <w:snapToGrid w:val="0"/>
          <w:kern w:val="0"/>
          <w:sz w:val="28"/>
          <w:szCs w:val="24"/>
        </w:rPr>
        <w:t>1：报价表</w:t>
      </w:r>
      <w:bookmarkEnd w:id="195"/>
      <w:r>
        <w:rPr>
          <w:rFonts w:hint="eastAsia" w:ascii="宋体" w:hAnsi="宋体" w:eastAsia="宋体" w:cs="宋体"/>
          <w:snapToGrid w:val="0"/>
          <w:kern w:val="0"/>
          <w:sz w:val="28"/>
          <w:szCs w:val="24"/>
        </w:rPr>
        <w:t>（参考）</w:t>
      </w:r>
    </w:p>
    <w:p w14:paraId="500C6309">
      <w:pPr>
        <w:rPr>
          <w:rFonts w:hint="eastAsia" w:ascii="宋体" w:hAnsi="宋体" w:eastAsia="宋体" w:cs="宋体"/>
          <w:sz w:val="22"/>
          <w:lang w:val="en-US" w:eastAsia="zh-CN"/>
        </w:rPr>
      </w:pPr>
      <w:r>
        <w:rPr>
          <w:rFonts w:hint="eastAsia" w:ascii="宋体" w:hAnsi="宋体" w:eastAsia="宋体" w:cs="宋体"/>
          <w:sz w:val="22"/>
          <w:lang w:val="en-US" w:eastAsia="zh-CN"/>
        </w:rPr>
        <w:t xml:space="preserve">                               </w:t>
      </w:r>
      <w:r>
        <w:rPr>
          <w:rFonts w:hint="eastAsia" w:ascii="宋体" w:hAnsi="宋体" w:eastAsia="宋体" w:cs="宋体"/>
          <w:b/>
          <w:bCs/>
          <w:sz w:val="22"/>
          <w:lang w:val="en-US" w:eastAsia="zh-CN"/>
        </w:rPr>
        <w:t xml:space="preserve">   </w:t>
      </w:r>
      <w:r>
        <w:rPr>
          <w:rFonts w:hint="eastAsia" w:ascii="宋体" w:hAnsi="宋体" w:eastAsia="宋体" w:cs="宋体"/>
          <w:b/>
          <w:bCs/>
          <w:snapToGrid w:val="0"/>
          <w:kern w:val="0"/>
          <w:sz w:val="28"/>
          <w:szCs w:val="24"/>
        </w:rPr>
        <w:t>报价表</w:t>
      </w:r>
      <w:r>
        <w:rPr>
          <w:rFonts w:hint="eastAsia" w:ascii="宋体" w:hAnsi="宋体" w:eastAsia="宋体" w:cs="宋体"/>
          <w:b/>
          <w:bCs/>
          <w:sz w:val="22"/>
          <w:lang w:val="en-US" w:eastAsia="zh-CN"/>
        </w:rPr>
        <w:t xml:space="preserve">  </w:t>
      </w:r>
    </w:p>
    <w:p w14:paraId="1A5F4D95">
      <w:pPr>
        <w:pStyle w:val="4"/>
        <w:spacing w:line="240" w:lineRule="auto"/>
        <w:rPr>
          <w:rFonts w:hint="eastAsia" w:ascii="宋体" w:hAnsi="宋体" w:eastAsia="宋体" w:cs="宋体"/>
          <w:snapToGrid w:val="0"/>
          <w:kern w:val="0"/>
          <w:sz w:val="28"/>
          <w:szCs w:val="24"/>
          <w:lang w:val="en-US" w:eastAsia="zh-CN"/>
        </w:rPr>
      </w:pPr>
      <w:r>
        <w:rPr>
          <w:rFonts w:hint="eastAsia" w:ascii="宋体" w:hAnsi="宋体" w:eastAsia="宋体" w:cs="宋体"/>
          <w:snapToGrid w:val="0"/>
          <w:kern w:val="0"/>
          <w:sz w:val="28"/>
          <w:szCs w:val="24"/>
          <w:highlight w:val="yellow"/>
          <w:lang w:val="en-US" w:eastAsia="zh-CN"/>
        </w:rPr>
        <w:t>详见附件2：报价单</w:t>
      </w:r>
    </w:p>
    <w:p w14:paraId="35440C5E">
      <w:pPr>
        <w:pStyle w:val="4"/>
        <w:spacing w:line="240" w:lineRule="auto"/>
        <w:rPr>
          <w:rFonts w:hint="eastAsia" w:ascii="宋体" w:hAnsi="宋体" w:eastAsia="宋体" w:cs="宋体"/>
          <w:snapToGrid w:val="0"/>
          <w:kern w:val="0"/>
          <w:sz w:val="28"/>
          <w:szCs w:val="24"/>
          <w:lang w:val="en-US" w:eastAsia="zh-CN"/>
        </w:rPr>
      </w:pPr>
    </w:p>
    <w:p w14:paraId="2161D5D6">
      <w:pPr>
        <w:pStyle w:val="4"/>
        <w:spacing w:line="240" w:lineRule="auto"/>
        <w:rPr>
          <w:rFonts w:hint="eastAsia" w:ascii="宋体" w:hAnsi="宋体" w:eastAsia="宋体" w:cs="宋体"/>
          <w:snapToGrid w:val="0"/>
          <w:kern w:val="0"/>
          <w:sz w:val="28"/>
          <w:szCs w:val="24"/>
          <w:lang w:val="en-US" w:eastAsia="zh-CN"/>
        </w:rPr>
      </w:pPr>
    </w:p>
    <w:p w14:paraId="3745A0FD">
      <w:pPr>
        <w:pStyle w:val="4"/>
        <w:spacing w:line="240" w:lineRule="auto"/>
        <w:rPr>
          <w:rFonts w:hint="eastAsia" w:ascii="宋体" w:hAnsi="宋体" w:eastAsia="宋体" w:cs="宋体"/>
          <w:snapToGrid w:val="0"/>
          <w:kern w:val="0"/>
          <w:sz w:val="28"/>
          <w:szCs w:val="24"/>
          <w:lang w:val="en-US" w:eastAsia="zh-CN"/>
        </w:rPr>
      </w:pPr>
    </w:p>
    <w:p w14:paraId="14B8798D">
      <w:pPr>
        <w:pStyle w:val="4"/>
        <w:spacing w:line="240" w:lineRule="auto"/>
        <w:rPr>
          <w:rFonts w:hint="eastAsia" w:ascii="宋体" w:hAnsi="宋体" w:eastAsia="宋体" w:cs="宋体"/>
          <w:snapToGrid w:val="0"/>
          <w:kern w:val="0"/>
          <w:sz w:val="28"/>
          <w:szCs w:val="24"/>
          <w:lang w:val="en-US" w:eastAsia="zh-CN"/>
        </w:rPr>
      </w:pPr>
    </w:p>
    <w:p w14:paraId="58822CEC">
      <w:pPr>
        <w:pStyle w:val="4"/>
        <w:spacing w:line="240" w:lineRule="auto"/>
        <w:rPr>
          <w:rFonts w:hint="eastAsia" w:ascii="宋体" w:hAnsi="宋体" w:eastAsia="宋体" w:cs="宋体"/>
          <w:snapToGrid w:val="0"/>
          <w:kern w:val="0"/>
          <w:sz w:val="28"/>
          <w:szCs w:val="24"/>
          <w:lang w:val="en-US" w:eastAsia="zh-CN"/>
        </w:rPr>
      </w:pPr>
    </w:p>
    <w:p w14:paraId="77579CBD">
      <w:pPr>
        <w:pStyle w:val="4"/>
        <w:spacing w:line="240" w:lineRule="auto"/>
        <w:rPr>
          <w:rFonts w:hint="eastAsia" w:ascii="宋体" w:hAnsi="宋体" w:eastAsia="宋体" w:cs="宋体"/>
          <w:snapToGrid w:val="0"/>
          <w:kern w:val="0"/>
          <w:sz w:val="28"/>
          <w:szCs w:val="24"/>
          <w:lang w:val="en-US" w:eastAsia="zh-CN"/>
        </w:rPr>
      </w:pPr>
    </w:p>
    <w:p w14:paraId="7F370487">
      <w:pPr>
        <w:pStyle w:val="4"/>
        <w:spacing w:line="240" w:lineRule="auto"/>
        <w:rPr>
          <w:rFonts w:hint="eastAsia" w:ascii="宋体" w:hAnsi="宋体" w:eastAsia="宋体" w:cs="宋体"/>
          <w:snapToGrid w:val="0"/>
          <w:kern w:val="0"/>
          <w:sz w:val="28"/>
          <w:szCs w:val="24"/>
          <w:lang w:val="en-US" w:eastAsia="zh-CN"/>
        </w:rPr>
      </w:pPr>
    </w:p>
    <w:p w14:paraId="3B689175">
      <w:pPr>
        <w:pStyle w:val="4"/>
        <w:spacing w:line="240" w:lineRule="auto"/>
        <w:rPr>
          <w:rFonts w:hint="eastAsia" w:ascii="宋体" w:hAnsi="宋体" w:eastAsia="宋体" w:cs="宋体"/>
          <w:snapToGrid w:val="0"/>
          <w:kern w:val="0"/>
          <w:sz w:val="28"/>
          <w:szCs w:val="24"/>
          <w:lang w:val="en-US" w:eastAsia="zh-CN"/>
        </w:rPr>
      </w:pPr>
    </w:p>
    <w:p w14:paraId="4E4F1387">
      <w:pPr>
        <w:pStyle w:val="4"/>
        <w:spacing w:line="240" w:lineRule="auto"/>
        <w:rPr>
          <w:rFonts w:hint="eastAsia" w:ascii="宋体" w:hAnsi="宋体" w:eastAsia="宋体" w:cs="宋体"/>
          <w:snapToGrid w:val="0"/>
          <w:kern w:val="0"/>
          <w:sz w:val="28"/>
          <w:szCs w:val="24"/>
          <w:lang w:val="en-US" w:eastAsia="zh-CN"/>
        </w:rPr>
      </w:pPr>
    </w:p>
    <w:p w14:paraId="6B4BF8B2">
      <w:pPr>
        <w:pStyle w:val="4"/>
        <w:spacing w:line="240" w:lineRule="auto"/>
        <w:rPr>
          <w:rFonts w:hint="eastAsia" w:ascii="宋体" w:hAnsi="宋体" w:eastAsia="宋体" w:cs="宋体"/>
          <w:snapToGrid w:val="0"/>
          <w:kern w:val="0"/>
          <w:sz w:val="28"/>
          <w:szCs w:val="24"/>
          <w:lang w:val="en-US" w:eastAsia="zh-CN"/>
        </w:rPr>
      </w:pPr>
    </w:p>
    <w:p w14:paraId="2EA358F8">
      <w:pPr>
        <w:pStyle w:val="4"/>
        <w:spacing w:line="240" w:lineRule="auto"/>
        <w:rPr>
          <w:rFonts w:hint="eastAsia" w:ascii="宋体" w:hAnsi="宋体" w:eastAsia="宋体" w:cs="宋体"/>
          <w:snapToGrid w:val="0"/>
          <w:kern w:val="0"/>
          <w:sz w:val="28"/>
          <w:szCs w:val="24"/>
          <w:lang w:val="en-US" w:eastAsia="zh-CN"/>
        </w:rPr>
      </w:pPr>
    </w:p>
    <w:p w14:paraId="00BAFE85">
      <w:pPr>
        <w:pStyle w:val="4"/>
        <w:spacing w:line="240" w:lineRule="auto"/>
        <w:rPr>
          <w:rFonts w:hint="eastAsia" w:ascii="宋体" w:hAnsi="宋体" w:eastAsia="宋体" w:cs="宋体"/>
          <w:snapToGrid w:val="0"/>
          <w:kern w:val="0"/>
          <w:sz w:val="28"/>
          <w:szCs w:val="24"/>
          <w:lang w:val="en-US" w:eastAsia="zh-CN"/>
        </w:rPr>
      </w:pPr>
    </w:p>
    <w:p w14:paraId="550DCAF6">
      <w:pPr>
        <w:pStyle w:val="4"/>
        <w:spacing w:line="240" w:lineRule="auto"/>
        <w:rPr>
          <w:rFonts w:hint="eastAsia" w:ascii="宋体" w:hAnsi="宋体" w:eastAsia="宋体" w:cs="宋体"/>
          <w:snapToGrid w:val="0"/>
          <w:kern w:val="0"/>
          <w:sz w:val="28"/>
          <w:szCs w:val="24"/>
          <w:lang w:val="en-US" w:eastAsia="zh-CN"/>
        </w:rPr>
      </w:pPr>
    </w:p>
    <w:p w14:paraId="627989BB">
      <w:pPr>
        <w:pStyle w:val="4"/>
        <w:spacing w:line="240" w:lineRule="auto"/>
        <w:rPr>
          <w:rFonts w:hint="eastAsia" w:ascii="宋体" w:hAnsi="宋体" w:eastAsia="宋体" w:cs="宋体"/>
          <w:snapToGrid w:val="0"/>
          <w:kern w:val="0"/>
          <w:sz w:val="28"/>
          <w:szCs w:val="24"/>
          <w:lang w:val="en-US" w:eastAsia="zh-CN"/>
        </w:rPr>
      </w:pPr>
    </w:p>
    <w:p w14:paraId="651E991B">
      <w:pPr>
        <w:pStyle w:val="4"/>
        <w:spacing w:line="240" w:lineRule="auto"/>
        <w:rPr>
          <w:rFonts w:hint="eastAsia" w:ascii="宋体" w:hAnsi="宋体" w:eastAsia="宋体" w:cs="宋体"/>
          <w:snapToGrid w:val="0"/>
          <w:kern w:val="0"/>
          <w:sz w:val="28"/>
          <w:szCs w:val="24"/>
          <w:lang w:val="en-US" w:eastAsia="zh-CN"/>
        </w:rPr>
      </w:pPr>
    </w:p>
    <w:p w14:paraId="18DAECD4">
      <w:pPr>
        <w:pStyle w:val="4"/>
        <w:spacing w:line="240" w:lineRule="auto"/>
        <w:rPr>
          <w:rFonts w:hint="eastAsia" w:ascii="宋体" w:hAnsi="宋体" w:eastAsia="宋体" w:cs="宋体"/>
          <w:snapToGrid w:val="0"/>
          <w:kern w:val="0"/>
          <w:sz w:val="28"/>
          <w:szCs w:val="24"/>
          <w:lang w:val="en-US" w:eastAsia="zh-CN"/>
        </w:rPr>
      </w:pPr>
    </w:p>
    <w:p w14:paraId="6A23D561">
      <w:pPr>
        <w:pStyle w:val="4"/>
        <w:spacing w:line="240" w:lineRule="auto"/>
        <w:rPr>
          <w:rFonts w:hint="eastAsia" w:ascii="宋体" w:hAnsi="宋体" w:eastAsia="宋体" w:cs="宋体"/>
          <w:snapToGrid w:val="0"/>
          <w:kern w:val="0"/>
          <w:sz w:val="28"/>
          <w:szCs w:val="24"/>
          <w:lang w:val="en-US" w:eastAsia="zh-CN"/>
        </w:rPr>
      </w:pPr>
    </w:p>
    <w:p w14:paraId="0600FD6D">
      <w:pPr>
        <w:pStyle w:val="4"/>
        <w:spacing w:line="240" w:lineRule="auto"/>
        <w:rPr>
          <w:rFonts w:hint="eastAsia" w:ascii="宋体" w:hAnsi="宋体" w:eastAsia="宋体" w:cs="宋体"/>
          <w:snapToGrid w:val="0"/>
          <w:kern w:val="0"/>
          <w:sz w:val="28"/>
          <w:szCs w:val="24"/>
          <w:lang w:val="en-US" w:eastAsia="zh-CN"/>
        </w:rPr>
      </w:pPr>
    </w:p>
    <w:p w14:paraId="04725316">
      <w:pPr>
        <w:pStyle w:val="4"/>
        <w:spacing w:line="240" w:lineRule="auto"/>
        <w:rPr>
          <w:rFonts w:hint="eastAsia" w:ascii="宋体" w:hAnsi="宋体" w:eastAsia="宋体" w:cs="宋体"/>
          <w:snapToGrid w:val="0"/>
          <w:kern w:val="0"/>
          <w:sz w:val="28"/>
          <w:szCs w:val="24"/>
        </w:rPr>
      </w:pPr>
    </w:p>
    <w:p w14:paraId="39D55CA6">
      <w:pPr>
        <w:pStyle w:val="4"/>
        <w:spacing w:line="240" w:lineRule="auto"/>
        <w:rPr>
          <w:rFonts w:hint="eastAsia" w:ascii="宋体" w:hAnsi="宋体" w:eastAsia="宋体" w:cs="宋体"/>
          <w:snapToGrid w:val="0"/>
          <w:kern w:val="0"/>
          <w:sz w:val="28"/>
          <w:szCs w:val="24"/>
        </w:rPr>
      </w:pPr>
      <w:r>
        <w:rPr>
          <w:rFonts w:hint="eastAsia" w:ascii="宋体" w:hAnsi="宋体" w:eastAsia="宋体" w:cs="宋体"/>
          <w:snapToGrid w:val="0"/>
          <w:kern w:val="0"/>
          <w:sz w:val="28"/>
          <w:szCs w:val="24"/>
        </w:rPr>
        <w:t>附件2：法定代表人授权委托书（参考）</w:t>
      </w:r>
    </w:p>
    <w:p w14:paraId="44B1F060">
      <w:pPr>
        <w:spacing w:line="480" w:lineRule="auto"/>
        <w:rPr>
          <w:rFonts w:hint="eastAsia" w:ascii="宋体" w:hAnsi="宋体" w:eastAsia="宋体" w:cs="宋体"/>
          <w:color w:val="000000" w:themeColor="text1"/>
          <w:sz w:val="28"/>
          <w:szCs w:val="24"/>
          <w14:textFill>
            <w14:solidFill>
              <w14:schemeClr w14:val="tx1"/>
            </w14:solidFill>
          </w14:textFill>
        </w:rPr>
      </w:pPr>
      <w:r>
        <w:rPr>
          <w:rFonts w:hint="eastAsia" w:ascii="宋体" w:hAnsi="宋体" w:eastAsia="宋体" w:cs="宋体"/>
          <w:sz w:val="28"/>
          <w:szCs w:val="24"/>
        </w:rPr>
        <w:t>致:</w:t>
      </w:r>
      <w:r>
        <w:rPr>
          <w:rFonts w:hint="eastAsia" w:ascii="宋体" w:hAnsi="宋体" w:eastAsia="宋体" w:cs="宋体"/>
          <w:sz w:val="28"/>
          <w:szCs w:val="24"/>
          <w:u w:val="single"/>
        </w:rPr>
        <w:t xml:space="preserve">      </w:t>
      </w:r>
      <w:r>
        <w:rPr>
          <w:rFonts w:hint="eastAsia" w:ascii="宋体" w:hAnsi="宋体" w:eastAsia="宋体" w:cs="宋体"/>
          <w:color w:val="000000" w:themeColor="text1"/>
          <w:sz w:val="28"/>
          <w:szCs w:val="24"/>
          <w:highlight w:val="yellow"/>
          <w:u w:val="single"/>
          <w14:textFill>
            <w14:solidFill>
              <w14:schemeClr w14:val="tx1"/>
            </w14:solidFill>
          </w14:textFill>
        </w:rPr>
        <w:t>***公司（填写采购人名称）</w:t>
      </w:r>
    </w:p>
    <w:p w14:paraId="59F4DB84">
      <w:pPr>
        <w:spacing w:line="480" w:lineRule="auto"/>
        <w:rPr>
          <w:rFonts w:hint="eastAsia" w:ascii="宋体" w:hAnsi="宋体" w:eastAsia="宋体" w:cs="宋体"/>
          <w:sz w:val="28"/>
          <w:szCs w:val="24"/>
        </w:rPr>
      </w:pPr>
      <w:r>
        <w:rPr>
          <w:rFonts w:hint="eastAsia" w:ascii="宋体" w:hAnsi="宋体" w:eastAsia="宋体" w:cs="宋体"/>
          <w:sz w:val="28"/>
          <w:szCs w:val="24"/>
        </w:rPr>
        <w:t xml:space="preserve">    </w:t>
      </w:r>
      <w:r>
        <w:rPr>
          <w:rFonts w:hint="eastAsia" w:ascii="宋体" w:hAnsi="宋体" w:eastAsia="宋体" w:cs="宋体"/>
          <w:sz w:val="28"/>
          <w:szCs w:val="24"/>
          <w:u w:val="single"/>
        </w:rPr>
        <w:t xml:space="preserve">    </w:t>
      </w:r>
      <w:r>
        <w:rPr>
          <w:rFonts w:hint="eastAsia" w:ascii="宋体" w:hAnsi="宋体" w:eastAsia="宋体" w:cs="宋体"/>
          <w:color w:val="000000" w:themeColor="text1"/>
          <w:sz w:val="28"/>
          <w:szCs w:val="24"/>
          <w:highlight w:val="yellow"/>
          <w:u w:val="single"/>
          <w14:textFill>
            <w14:solidFill>
              <w14:schemeClr w14:val="tx1"/>
            </w14:solidFill>
          </w14:textFill>
        </w:rPr>
        <w:t>（供应商全称）</w:t>
      </w:r>
      <w:r>
        <w:rPr>
          <w:rFonts w:hint="eastAsia" w:ascii="宋体" w:hAnsi="宋体" w:eastAsia="宋体" w:cs="宋体"/>
          <w:color w:val="000000" w:themeColor="text1"/>
          <w:sz w:val="28"/>
          <w:szCs w:val="24"/>
          <w:u w:val="single"/>
          <w14:textFill>
            <w14:solidFill>
              <w14:schemeClr w14:val="tx1"/>
            </w14:solidFill>
          </w14:textFill>
        </w:rPr>
        <w:t xml:space="preserve">    </w:t>
      </w:r>
      <w:r>
        <w:rPr>
          <w:rFonts w:hint="eastAsia" w:ascii="宋体" w:hAnsi="宋体" w:eastAsia="宋体" w:cs="宋体"/>
          <w:color w:val="000000" w:themeColor="text1"/>
          <w:sz w:val="28"/>
          <w:szCs w:val="24"/>
          <w14:textFill>
            <w14:solidFill>
              <w14:schemeClr w14:val="tx1"/>
            </w14:solidFill>
          </w14:textFill>
        </w:rPr>
        <w:t>,系中华人民共和国合法企业,注册地址</w:t>
      </w:r>
      <w:r>
        <w:rPr>
          <w:rFonts w:hint="eastAsia" w:ascii="宋体" w:hAnsi="宋体" w:eastAsia="宋体" w:cs="宋体"/>
          <w:color w:val="000000" w:themeColor="text1"/>
          <w:sz w:val="28"/>
          <w:szCs w:val="24"/>
          <w:u w:val="single"/>
          <w14:textFill>
            <w14:solidFill>
              <w14:schemeClr w14:val="tx1"/>
            </w14:solidFill>
          </w14:textFill>
        </w:rPr>
        <w:t xml:space="preserve">      </w:t>
      </w:r>
      <w:r>
        <w:rPr>
          <w:rFonts w:hint="eastAsia" w:ascii="宋体" w:hAnsi="宋体" w:eastAsia="宋体" w:cs="宋体"/>
          <w:color w:val="000000" w:themeColor="text1"/>
          <w:sz w:val="28"/>
          <w:szCs w:val="24"/>
          <w:highlight w:val="yellow"/>
          <w:u w:val="single"/>
          <w14:textFill>
            <w14:solidFill>
              <w14:schemeClr w14:val="tx1"/>
            </w14:solidFill>
          </w14:textFill>
        </w:rPr>
        <w:t xml:space="preserve">****            </w:t>
      </w:r>
      <w:r>
        <w:rPr>
          <w:rFonts w:hint="eastAsia" w:ascii="宋体" w:hAnsi="宋体" w:eastAsia="宋体" w:cs="宋体"/>
          <w:color w:val="000000" w:themeColor="text1"/>
          <w:sz w:val="28"/>
          <w:szCs w:val="24"/>
          <w:highlight w:val="yellow"/>
          <w14:textFill>
            <w14:solidFill>
              <w14:schemeClr w14:val="tx1"/>
            </w14:solidFill>
          </w14:textFill>
        </w:rPr>
        <w:t xml:space="preserve"> 。 </w:t>
      </w:r>
      <w:r>
        <w:rPr>
          <w:rFonts w:hint="eastAsia" w:ascii="宋体" w:hAnsi="宋体" w:eastAsia="宋体" w:cs="宋体"/>
          <w:color w:val="000000" w:themeColor="text1"/>
          <w:sz w:val="28"/>
          <w:szCs w:val="24"/>
          <w:highlight w:val="yellow"/>
          <w:u w:val="single"/>
          <w14:textFill>
            <w14:solidFill>
              <w14:schemeClr w14:val="tx1"/>
            </w14:solidFill>
          </w14:textFill>
        </w:rPr>
        <w:t>（授权人姓名）</w:t>
      </w:r>
      <w:r>
        <w:rPr>
          <w:rFonts w:hint="eastAsia" w:ascii="宋体" w:hAnsi="宋体" w:eastAsia="宋体" w:cs="宋体"/>
          <w:color w:val="000000" w:themeColor="text1"/>
          <w:sz w:val="28"/>
          <w:szCs w:val="24"/>
          <w14:textFill>
            <w14:solidFill>
              <w14:schemeClr w14:val="tx1"/>
            </w14:solidFill>
          </w14:textFill>
        </w:rPr>
        <w:t>特授权</w:t>
      </w:r>
      <w:r>
        <w:rPr>
          <w:rFonts w:hint="eastAsia" w:ascii="宋体" w:hAnsi="宋体" w:eastAsia="宋体" w:cs="宋体"/>
          <w:color w:val="000000" w:themeColor="text1"/>
          <w:sz w:val="28"/>
          <w:szCs w:val="24"/>
          <w:highlight w:val="yellow"/>
          <w:u w:val="single"/>
          <w14:textFill>
            <w14:solidFill>
              <w14:schemeClr w14:val="tx1"/>
            </w14:solidFill>
          </w14:textFill>
        </w:rPr>
        <w:t xml:space="preserve">（被授权人姓名、身份证号、职务）      </w:t>
      </w:r>
      <w:r>
        <w:rPr>
          <w:rFonts w:hint="eastAsia" w:ascii="宋体" w:hAnsi="宋体" w:eastAsia="宋体" w:cs="宋体"/>
          <w:color w:val="000000" w:themeColor="text1"/>
          <w:sz w:val="28"/>
          <w:szCs w:val="24"/>
          <w:highlight w:val="yellow"/>
          <w14:textFill>
            <w14:solidFill>
              <w14:schemeClr w14:val="tx1"/>
            </w14:solidFill>
          </w14:textFill>
        </w:rPr>
        <w:t>代</w:t>
      </w:r>
      <w:r>
        <w:rPr>
          <w:rFonts w:hint="eastAsia" w:ascii="宋体" w:hAnsi="宋体" w:eastAsia="宋体" w:cs="宋体"/>
          <w:color w:val="000000" w:themeColor="text1"/>
          <w:sz w:val="28"/>
          <w:szCs w:val="24"/>
          <w14:textFill>
            <w14:solidFill>
              <w14:schemeClr w14:val="tx1"/>
            </w14:solidFill>
          </w14:textFill>
        </w:rPr>
        <w:t>表我公司全权办理针对</w:t>
      </w:r>
      <w:r>
        <w:rPr>
          <w:rFonts w:hint="eastAsia" w:ascii="宋体" w:hAnsi="宋体" w:eastAsia="宋体" w:cs="宋体"/>
          <w:color w:val="000000" w:themeColor="text1"/>
          <w:sz w:val="28"/>
          <w:szCs w:val="24"/>
          <w:u w:val="single"/>
          <w14:textFill>
            <w14:solidFill>
              <w14:schemeClr w14:val="tx1"/>
            </w14:solidFill>
          </w14:textFill>
        </w:rPr>
        <w:t xml:space="preserve">             </w:t>
      </w:r>
      <w:r>
        <w:rPr>
          <w:rFonts w:hint="eastAsia" w:ascii="宋体" w:hAnsi="宋体" w:eastAsia="宋体" w:cs="宋体"/>
          <w:color w:val="000000" w:themeColor="text1"/>
          <w:sz w:val="28"/>
          <w:szCs w:val="24"/>
          <w:highlight w:val="yellow"/>
          <w:u w:val="single"/>
          <w14:textFill>
            <w14:solidFill>
              <w14:schemeClr w14:val="tx1"/>
            </w14:solidFill>
          </w14:textFill>
        </w:rPr>
        <w:t>****       （项目名称）</w:t>
      </w:r>
      <w:r>
        <w:rPr>
          <w:rFonts w:hint="eastAsia" w:ascii="宋体" w:hAnsi="宋体" w:eastAsia="宋体" w:cs="宋体"/>
          <w:color w:val="000000" w:themeColor="text1"/>
          <w:sz w:val="28"/>
          <w:szCs w:val="24"/>
          <w:highlight w:val="yellow"/>
          <w14:textFill>
            <w14:solidFill>
              <w14:schemeClr w14:val="tx1"/>
            </w14:solidFill>
          </w14:textFill>
        </w:rPr>
        <w:t>的</w:t>
      </w:r>
      <w:r>
        <w:rPr>
          <w:rFonts w:hint="eastAsia" w:ascii="宋体" w:hAnsi="宋体" w:eastAsia="宋体" w:cs="宋体"/>
          <w:color w:val="000000" w:themeColor="text1"/>
          <w:sz w:val="28"/>
          <w:szCs w:val="24"/>
          <w14:textFill>
            <w14:solidFill>
              <w14:schemeClr w14:val="tx1"/>
            </w14:solidFill>
          </w14:textFill>
        </w:rPr>
        <w:t>报价、签约等具体工作</w:t>
      </w:r>
      <w:r>
        <w:rPr>
          <w:rFonts w:hint="eastAsia" w:ascii="宋体" w:hAnsi="宋体" w:eastAsia="宋体" w:cs="宋体"/>
          <w:sz w:val="28"/>
          <w:szCs w:val="24"/>
        </w:rPr>
        <w:t>，并签署全部有关的文件、协议及合同。</w:t>
      </w:r>
    </w:p>
    <w:p w14:paraId="21964BC5">
      <w:pPr>
        <w:spacing w:line="480" w:lineRule="auto"/>
        <w:rPr>
          <w:rFonts w:hint="eastAsia" w:ascii="宋体" w:hAnsi="宋体" w:eastAsia="宋体" w:cs="宋体"/>
          <w:sz w:val="28"/>
          <w:szCs w:val="24"/>
        </w:rPr>
      </w:pPr>
      <w:r>
        <w:rPr>
          <w:rFonts w:hint="eastAsia" w:ascii="宋体" w:hAnsi="宋体" w:eastAsia="宋体" w:cs="宋体"/>
          <w:sz w:val="28"/>
          <w:szCs w:val="24"/>
        </w:rPr>
        <w:t xml:space="preserve">    我公司对被授权人的签署的所有文件负全部责任。</w:t>
      </w:r>
    </w:p>
    <w:p w14:paraId="1DE57EDD">
      <w:pPr>
        <w:spacing w:line="480" w:lineRule="auto"/>
        <w:rPr>
          <w:rFonts w:hint="eastAsia" w:ascii="宋体" w:hAnsi="宋体" w:eastAsia="宋体" w:cs="宋体"/>
          <w:sz w:val="28"/>
          <w:szCs w:val="24"/>
        </w:rPr>
      </w:pPr>
      <w:r>
        <w:rPr>
          <w:rFonts w:hint="eastAsia" w:ascii="宋体" w:hAnsi="宋体" w:eastAsia="宋体" w:cs="宋体"/>
          <w:sz w:val="28"/>
          <w:szCs w:val="24"/>
        </w:rPr>
        <w:t xml:space="preserve">    在撤销授权的书面通知到达以前，本授权书一直有效。被授权人签署的所有文件（在授权书有效期内签署的）不因授权的撤销而失效。</w:t>
      </w:r>
    </w:p>
    <w:p w14:paraId="0840A3E7">
      <w:pPr>
        <w:spacing w:line="480" w:lineRule="auto"/>
        <w:rPr>
          <w:rFonts w:hint="eastAsia" w:ascii="宋体" w:hAnsi="宋体" w:eastAsia="宋体" w:cs="宋体"/>
          <w:b/>
          <w:sz w:val="28"/>
          <w:szCs w:val="24"/>
        </w:rPr>
      </w:pPr>
      <w:r>
        <w:rPr>
          <w:rFonts w:hint="eastAsia" w:ascii="宋体" w:hAnsi="宋体" w:eastAsia="宋体" w:cs="宋体"/>
          <w:b/>
          <w:sz w:val="28"/>
          <w:szCs w:val="24"/>
        </w:rPr>
        <w:t>附：法定代表人和被授权人身份证扫描件</w:t>
      </w:r>
    </w:p>
    <w:p w14:paraId="32DC9090">
      <w:pPr>
        <w:spacing w:line="480" w:lineRule="auto"/>
        <w:rPr>
          <w:rFonts w:hint="eastAsia" w:ascii="宋体" w:hAnsi="宋体" w:eastAsia="宋体" w:cs="宋体"/>
          <w:sz w:val="28"/>
          <w:szCs w:val="24"/>
        </w:rPr>
      </w:pPr>
    </w:p>
    <w:p w14:paraId="52A2AE44">
      <w:pPr>
        <w:spacing w:line="480" w:lineRule="auto"/>
        <w:rPr>
          <w:rFonts w:hint="eastAsia" w:ascii="宋体" w:hAnsi="宋体" w:eastAsia="宋体" w:cs="宋体"/>
          <w:sz w:val="28"/>
          <w:szCs w:val="24"/>
        </w:rPr>
      </w:pPr>
      <w:r>
        <w:rPr>
          <w:rFonts w:hint="eastAsia" w:ascii="宋体" w:hAnsi="宋体" w:eastAsia="宋体" w:cs="宋体"/>
          <w:sz w:val="28"/>
          <w:szCs w:val="24"/>
        </w:rPr>
        <w:t xml:space="preserve">        </w:t>
      </w:r>
    </w:p>
    <w:p w14:paraId="46044B42">
      <w:pPr>
        <w:widowControl/>
        <w:spacing w:line="480" w:lineRule="auto"/>
        <w:jc w:val="right"/>
        <w:rPr>
          <w:rFonts w:hint="eastAsia" w:ascii="宋体" w:hAnsi="宋体" w:eastAsia="宋体" w:cs="宋体"/>
          <w:snapToGrid w:val="0"/>
          <w:kern w:val="0"/>
          <w:sz w:val="28"/>
          <w:szCs w:val="24"/>
          <w:highlight w:val="yellow"/>
        </w:rPr>
      </w:pPr>
      <w:r>
        <w:rPr>
          <w:rFonts w:hint="eastAsia" w:ascii="宋体" w:hAnsi="宋体" w:eastAsia="宋体" w:cs="宋体"/>
          <w:snapToGrid w:val="0"/>
          <w:kern w:val="0"/>
          <w:sz w:val="28"/>
          <w:szCs w:val="24"/>
        </w:rPr>
        <w:t xml:space="preserve">              </w:t>
      </w:r>
      <w:r>
        <w:rPr>
          <w:rFonts w:hint="eastAsia" w:ascii="宋体" w:hAnsi="宋体" w:eastAsia="宋体" w:cs="宋体"/>
          <w:snapToGrid w:val="0"/>
          <w:kern w:val="0"/>
          <w:sz w:val="28"/>
          <w:szCs w:val="24"/>
          <w:highlight w:val="yellow"/>
        </w:rPr>
        <w:t>单位全称（公章)：</w:t>
      </w:r>
    </w:p>
    <w:p w14:paraId="2DC7F3AD">
      <w:pPr>
        <w:widowControl/>
        <w:spacing w:line="480" w:lineRule="auto"/>
        <w:jc w:val="right"/>
        <w:rPr>
          <w:rFonts w:hint="eastAsia" w:ascii="宋体" w:hAnsi="宋体" w:eastAsia="宋体" w:cs="宋体"/>
          <w:snapToGrid w:val="0"/>
          <w:kern w:val="0"/>
          <w:sz w:val="28"/>
          <w:szCs w:val="24"/>
          <w:highlight w:val="yellow"/>
        </w:rPr>
      </w:pPr>
      <w:r>
        <w:rPr>
          <w:rFonts w:hint="eastAsia" w:ascii="宋体" w:hAnsi="宋体" w:eastAsia="宋体" w:cs="宋体"/>
          <w:snapToGrid w:val="0"/>
          <w:kern w:val="0"/>
          <w:sz w:val="28"/>
          <w:szCs w:val="24"/>
          <w:highlight w:val="yellow"/>
        </w:rPr>
        <w:t xml:space="preserve">   法定代表人或被授权人(签字)：</w:t>
      </w:r>
    </w:p>
    <w:p w14:paraId="6ADBFF60">
      <w:pPr>
        <w:spacing w:line="480" w:lineRule="auto"/>
        <w:ind w:firstLine="5880" w:firstLineChars="2100"/>
        <w:jc w:val="right"/>
        <w:rPr>
          <w:rFonts w:hint="eastAsia" w:ascii="宋体" w:hAnsi="宋体" w:eastAsia="宋体" w:cs="宋体"/>
          <w:snapToGrid w:val="0"/>
          <w:kern w:val="0"/>
          <w:sz w:val="28"/>
          <w:szCs w:val="24"/>
        </w:rPr>
      </w:pPr>
      <w:r>
        <w:rPr>
          <w:rFonts w:hint="eastAsia" w:ascii="宋体" w:hAnsi="宋体" w:eastAsia="宋体" w:cs="宋体"/>
          <w:snapToGrid w:val="0"/>
          <w:kern w:val="0"/>
          <w:sz w:val="28"/>
          <w:szCs w:val="24"/>
          <w:highlight w:val="yellow"/>
        </w:rPr>
        <w:t>日 期：</w:t>
      </w:r>
    </w:p>
    <w:p w14:paraId="39977064">
      <w:pPr>
        <w:ind w:firstLine="3840" w:firstLineChars="1600"/>
        <w:rPr>
          <w:rFonts w:hint="eastAsia" w:ascii="宋体" w:hAnsi="宋体" w:eastAsia="宋体" w:cs="宋体"/>
          <w:snapToGrid w:val="0"/>
          <w:kern w:val="0"/>
          <w:sz w:val="24"/>
          <w:szCs w:val="24"/>
        </w:rPr>
      </w:pPr>
    </w:p>
    <w:p w14:paraId="3921E598">
      <w:pPr>
        <w:ind w:firstLine="3840" w:firstLineChars="1600"/>
        <w:rPr>
          <w:rFonts w:hint="eastAsia" w:ascii="宋体" w:hAnsi="宋体" w:eastAsia="宋体" w:cs="宋体"/>
          <w:snapToGrid w:val="0"/>
          <w:kern w:val="0"/>
          <w:sz w:val="24"/>
          <w:szCs w:val="24"/>
        </w:rPr>
      </w:pPr>
    </w:p>
    <w:p w14:paraId="04FB5680">
      <w:pPr>
        <w:ind w:firstLine="3840" w:firstLineChars="1600"/>
        <w:rPr>
          <w:rFonts w:hint="eastAsia" w:ascii="宋体" w:hAnsi="宋体" w:eastAsia="宋体" w:cs="宋体"/>
          <w:snapToGrid w:val="0"/>
          <w:kern w:val="0"/>
          <w:sz w:val="24"/>
          <w:szCs w:val="24"/>
        </w:rPr>
      </w:pPr>
    </w:p>
    <w:p w14:paraId="27A2AA08">
      <w:pPr>
        <w:ind w:firstLine="3840" w:firstLineChars="1600"/>
        <w:rPr>
          <w:rFonts w:hint="eastAsia" w:ascii="宋体" w:hAnsi="宋体" w:eastAsia="宋体" w:cs="宋体"/>
          <w:snapToGrid w:val="0"/>
          <w:kern w:val="0"/>
          <w:sz w:val="24"/>
          <w:szCs w:val="24"/>
        </w:rPr>
      </w:pPr>
    </w:p>
    <w:p w14:paraId="33D19EC4">
      <w:pPr>
        <w:ind w:firstLine="3840" w:firstLineChars="1600"/>
        <w:rPr>
          <w:rFonts w:hint="eastAsia" w:ascii="宋体" w:hAnsi="宋体" w:eastAsia="宋体" w:cs="宋体"/>
          <w:snapToGrid w:val="0"/>
          <w:kern w:val="0"/>
          <w:sz w:val="24"/>
          <w:szCs w:val="24"/>
        </w:rPr>
      </w:pPr>
    </w:p>
    <w:p w14:paraId="139E438C">
      <w:pPr>
        <w:ind w:firstLine="3840" w:firstLineChars="1600"/>
        <w:rPr>
          <w:rFonts w:hint="eastAsia" w:ascii="宋体" w:hAnsi="宋体" w:eastAsia="宋体" w:cs="宋体"/>
          <w:snapToGrid w:val="0"/>
          <w:kern w:val="0"/>
          <w:sz w:val="24"/>
          <w:szCs w:val="24"/>
        </w:rPr>
      </w:pPr>
    </w:p>
    <w:p w14:paraId="75EF43C6">
      <w:pPr>
        <w:ind w:firstLine="3840" w:firstLineChars="1600"/>
        <w:rPr>
          <w:rFonts w:hint="eastAsia" w:ascii="宋体" w:hAnsi="宋体" w:eastAsia="宋体" w:cs="宋体"/>
          <w:snapToGrid w:val="0"/>
          <w:kern w:val="0"/>
          <w:sz w:val="24"/>
          <w:szCs w:val="24"/>
        </w:rPr>
      </w:pPr>
    </w:p>
    <w:p w14:paraId="0CA68B02">
      <w:pPr>
        <w:ind w:firstLine="3840" w:firstLineChars="1600"/>
        <w:rPr>
          <w:rFonts w:hint="eastAsia" w:ascii="宋体" w:hAnsi="宋体" w:eastAsia="宋体" w:cs="宋体"/>
          <w:snapToGrid w:val="0"/>
          <w:kern w:val="0"/>
          <w:sz w:val="24"/>
          <w:szCs w:val="24"/>
        </w:rPr>
      </w:pPr>
    </w:p>
    <w:p w14:paraId="27F3A2E1">
      <w:pPr>
        <w:ind w:firstLine="3840" w:firstLineChars="1600"/>
        <w:rPr>
          <w:rFonts w:hint="eastAsia" w:ascii="宋体" w:hAnsi="宋体" w:eastAsia="宋体" w:cs="宋体"/>
          <w:snapToGrid w:val="0"/>
          <w:kern w:val="0"/>
          <w:sz w:val="24"/>
          <w:szCs w:val="24"/>
        </w:rPr>
      </w:pPr>
    </w:p>
    <w:p w14:paraId="127D3B06">
      <w:pPr>
        <w:ind w:firstLine="3840" w:firstLineChars="1600"/>
        <w:rPr>
          <w:rFonts w:hint="eastAsia" w:ascii="宋体" w:hAnsi="宋体" w:eastAsia="宋体" w:cs="宋体"/>
          <w:snapToGrid w:val="0"/>
          <w:kern w:val="0"/>
          <w:sz w:val="24"/>
          <w:szCs w:val="24"/>
        </w:rPr>
      </w:pPr>
    </w:p>
    <w:p w14:paraId="69FCAF5C">
      <w:pPr>
        <w:rPr>
          <w:rFonts w:hint="eastAsia" w:ascii="宋体" w:hAnsi="宋体" w:eastAsia="宋体" w:cs="宋体"/>
          <w:sz w:val="24"/>
          <w:szCs w:val="24"/>
        </w:rPr>
      </w:pPr>
    </w:p>
    <w:p w14:paraId="02F07BA1">
      <w:pPr>
        <w:pStyle w:val="4"/>
        <w:spacing w:line="240" w:lineRule="auto"/>
        <w:rPr>
          <w:rFonts w:hint="eastAsia" w:ascii="宋体" w:hAnsi="宋体" w:eastAsia="宋体" w:cs="宋体"/>
          <w:snapToGrid w:val="0"/>
          <w:kern w:val="0"/>
          <w:sz w:val="28"/>
          <w:szCs w:val="24"/>
          <w:highlight w:val="yellow"/>
        </w:rPr>
      </w:pPr>
    </w:p>
    <w:p w14:paraId="1DE05AFA">
      <w:pPr>
        <w:pStyle w:val="4"/>
        <w:spacing w:line="240" w:lineRule="auto"/>
        <w:rPr>
          <w:rFonts w:hint="eastAsia" w:ascii="宋体" w:hAnsi="宋体" w:eastAsia="宋体" w:cs="宋体"/>
          <w:sz w:val="24"/>
          <w:szCs w:val="24"/>
        </w:rPr>
      </w:pPr>
      <w:r>
        <w:rPr>
          <w:rFonts w:hint="eastAsia" w:ascii="宋体" w:hAnsi="宋体" w:eastAsia="宋体" w:cs="宋体"/>
          <w:snapToGrid w:val="0"/>
          <w:kern w:val="0"/>
          <w:sz w:val="28"/>
          <w:szCs w:val="24"/>
          <w:highlight w:val="yellow"/>
        </w:rPr>
        <w:t>附件3：技术偏离表</w:t>
      </w:r>
    </w:p>
    <w:p w14:paraId="430EFAA4">
      <w:pPr>
        <w:pStyle w:val="57"/>
        <w:spacing w:before="156" w:beforeLines="50" w:line="240" w:lineRule="auto"/>
        <w:ind w:firstLine="560" w:firstLineChars="200"/>
        <w:rPr>
          <w:rFonts w:hint="eastAsia" w:ascii="宋体" w:hAnsi="宋体" w:eastAsia="宋体" w:cs="宋体"/>
          <w:kern w:val="2"/>
          <w:sz w:val="28"/>
        </w:rPr>
      </w:pPr>
      <w:r>
        <w:rPr>
          <w:rFonts w:hint="eastAsia" w:ascii="宋体" w:hAnsi="宋体" w:eastAsia="宋体" w:cs="宋体"/>
          <w:kern w:val="2"/>
          <w:sz w:val="28"/>
        </w:rPr>
        <w:t>供应商要将响应文件和采购文件的技术偏离之处汇集成表。若无技术偏离则视为完全满足本技术规范书的要求，且在技术偏离表中填写“否”。</w:t>
      </w:r>
    </w:p>
    <w:tbl>
      <w:tblPr>
        <w:tblStyle w:val="3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3969"/>
        <w:gridCol w:w="992"/>
        <w:gridCol w:w="3560"/>
      </w:tblGrid>
      <w:tr w14:paraId="6D559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46" w:type="dxa"/>
          </w:tcPr>
          <w:p w14:paraId="30B24CE8">
            <w:pPr>
              <w:pStyle w:val="57"/>
              <w:spacing w:before="156" w:beforeLines="50" w:line="240" w:lineRule="auto"/>
              <w:rPr>
                <w:rFonts w:hint="eastAsia" w:ascii="宋体" w:hAnsi="宋体" w:eastAsia="宋体" w:cs="宋体"/>
                <w:kern w:val="2"/>
                <w:sz w:val="24"/>
              </w:rPr>
            </w:pPr>
            <w:r>
              <w:rPr>
                <w:rFonts w:hint="eastAsia" w:ascii="宋体" w:hAnsi="宋体" w:eastAsia="宋体" w:cs="宋体"/>
                <w:kern w:val="2"/>
                <w:sz w:val="24"/>
              </w:rPr>
              <w:t>序号</w:t>
            </w:r>
          </w:p>
        </w:tc>
        <w:tc>
          <w:tcPr>
            <w:tcW w:w="3969" w:type="dxa"/>
          </w:tcPr>
          <w:p w14:paraId="433D2644">
            <w:pPr>
              <w:pStyle w:val="57"/>
              <w:spacing w:before="156" w:beforeLines="50" w:line="240" w:lineRule="auto"/>
              <w:rPr>
                <w:rFonts w:hint="eastAsia" w:ascii="宋体" w:hAnsi="宋体" w:eastAsia="宋体" w:cs="宋体"/>
                <w:kern w:val="2"/>
                <w:sz w:val="24"/>
              </w:rPr>
            </w:pPr>
            <w:r>
              <w:rPr>
                <w:rFonts w:hint="eastAsia" w:ascii="宋体" w:hAnsi="宋体" w:eastAsia="宋体" w:cs="宋体"/>
                <w:kern w:val="2"/>
                <w:sz w:val="24"/>
              </w:rPr>
              <w:t>文件对应的内容</w:t>
            </w:r>
          </w:p>
        </w:tc>
        <w:tc>
          <w:tcPr>
            <w:tcW w:w="992" w:type="dxa"/>
          </w:tcPr>
          <w:p w14:paraId="1BF1CB35">
            <w:pPr>
              <w:pStyle w:val="57"/>
              <w:spacing w:before="156" w:beforeLines="50" w:line="240" w:lineRule="auto"/>
              <w:jc w:val="center"/>
              <w:rPr>
                <w:rFonts w:hint="eastAsia" w:ascii="宋体" w:hAnsi="宋体" w:eastAsia="宋体" w:cs="宋体"/>
                <w:kern w:val="2"/>
                <w:sz w:val="24"/>
              </w:rPr>
            </w:pPr>
            <w:r>
              <w:rPr>
                <w:rFonts w:hint="eastAsia" w:ascii="宋体" w:hAnsi="宋体" w:eastAsia="宋体" w:cs="宋体"/>
                <w:kern w:val="2"/>
                <w:sz w:val="24"/>
              </w:rPr>
              <w:t>是否偏离</w:t>
            </w:r>
          </w:p>
        </w:tc>
        <w:tc>
          <w:tcPr>
            <w:tcW w:w="3560" w:type="dxa"/>
          </w:tcPr>
          <w:p w14:paraId="260D7531">
            <w:pPr>
              <w:pStyle w:val="57"/>
              <w:spacing w:before="156" w:beforeLines="50" w:line="240" w:lineRule="auto"/>
              <w:rPr>
                <w:rFonts w:hint="eastAsia" w:ascii="宋体" w:hAnsi="宋体" w:eastAsia="宋体" w:cs="宋体"/>
                <w:kern w:val="2"/>
                <w:sz w:val="24"/>
              </w:rPr>
            </w:pPr>
            <w:r>
              <w:rPr>
                <w:rFonts w:hint="eastAsia" w:ascii="宋体" w:hAnsi="宋体" w:eastAsia="宋体" w:cs="宋体"/>
                <w:kern w:val="2"/>
                <w:sz w:val="24"/>
              </w:rPr>
              <w:t>填写“是”，须填写偏离情况</w:t>
            </w:r>
          </w:p>
        </w:tc>
      </w:tr>
      <w:tr w14:paraId="24CC5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14:paraId="06944A3A">
            <w:pPr>
              <w:pStyle w:val="57"/>
              <w:spacing w:before="156" w:beforeLines="50" w:line="240" w:lineRule="auto"/>
              <w:rPr>
                <w:rFonts w:hint="eastAsia" w:ascii="宋体" w:hAnsi="宋体" w:eastAsia="宋体" w:cs="宋体"/>
                <w:kern w:val="2"/>
                <w:sz w:val="24"/>
              </w:rPr>
            </w:pPr>
            <w:r>
              <w:rPr>
                <w:rFonts w:hint="eastAsia" w:ascii="宋体" w:hAnsi="宋体" w:eastAsia="宋体" w:cs="宋体"/>
                <w:kern w:val="2"/>
                <w:sz w:val="24"/>
              </w:rPr>
              <w:t>1</w:t>
            </w:r>
          </w:p>
        </w:tc>
        <w:tc>
          <w:tcPr>
            <w:tcW w:w="3969" w:type="dxa"/>
          </w:tcPr>
          <w:p w14:paraId="01F045A7">
            <w:pPr>
              <w:pStyle w:val="57"/>
              <w:spacing w:before="156" w:beforeLines="50" w:line="240" w:lineRule="auto"/>
              <w:rPr>
                <w:rFonts w:hint="eastAsia" w:ascii="宋体" w:hAnsi="宋体" w:eastAsia="宋体" w:cs="宋体"/>
                <w:kern w:val="2"/>
                <w:sz w:val="24"/>
              </w:rPr>
            </w:pPr>
            <w:r>
              <w:rPr>
                <w:rFonts w:hint="eastAsia" w:ascii="宋体" w:hAnsi="宋体" w:eastAsia="宋体" w:cs="宋体"/>
                <w:kern w:val="2"/>
                <w:sz w:val="24"/>
                <w:highlight w:val="yellow"/>
              </w:rPr>
              <w:t>***</w:t>
            </w:r>
          </w:p>
        </w:tc>
        <w:tc>
          <w:tcPr>
            <w:tcW w:w="992" w:type="dxa"/>
          </w:tcPr>
          <w:p w14:paraId="79ACBC14">
            <w:pPr>
              <w:pStyle w:val="57"/>
              <w:spacing w:before="156" w:beforeLines="50" w:line="240" w:lineRule="auto"/>
              <w:rPr>
                <w:rFonts w:hint="eastAsia" w:ascii="宋体" w:hAnsi="宋体" w:eastAsia="宋体" w:cs="宋体"/>
                <w:kern w:val="2"/>
                <w:sz w:val="24"/>
              </w:rPr>
            </w:pPr>
            <w:r>
              <w:rPr>
                <w:rFonts w:hint="eastAsia" w:ascii="宋体" w:hAnsi="宋体" w:eastAsia="宋体" w:cs="宋体"/>
                <w:kern w:val="2"/>
                <w:sz w:val="24"/>
                <w:highlight w:val="yellow"/>
              </w:rPr>
              <w:t>***</w:t>
            </w:r>
          </w:p>
        </w:tc>
        <w:tc>
          <w:tcPr>
            <w:tcW w:w="3560" w:type="dxa"/>
          </w:tcPr>
          <w:p w14:paraId="72B8561B">
            <w:pPr>
              <w:pStyle w:val="57"/>
              <w:spacing w:before="156" w:beforeLines="50" w:line="240" w:lineRule="auto"/>
              <w:rPr>
                <w:rFonts w:hint="eastAsia" w:ascii="宋体" w:hAnsi="宋体" w:eastAsia="宋体" w:cs="宋体"/>
                <w:kern w:val="2"/>
                <w:sz w:val="24"/>
              </w:rPr>
            </w:pPr>
            <w:r>
              <w:rPr>
                <w:rFonts w:hint="eastAsia" w:ascii="宋体" w:hAnsi="宋体" w:eastAsia="宋体" w:cs="宋体"/>
                <w:kern w:val="2"/>
                <w:sz w:val="24"/>
                <w:highlight w:val="yellow"/>
              </w:rPr>
              <w:t>***</w:t>
            </w:r>
          </w:p>
        </w:tc>
      </w:tr>
      <w:tr w14:paraId="11447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14:paraId="4D489AF0">
            <w:pPr>
              <w:pStyle w:val="57"/>
              <w:spacing w:before="156" w:beforeLines="50" w:line="240" w:lineRule="auto"/>
              <w:rPr>
                <w:rFonts w:hint="eastAsia" w:ascii="宋体" w:hAnsi="宋体" w:eastAsia="宋体" w:cs="宋体"/>
                <w:kern w:val="2"/>
                <w:sz w:val="24"/>
              </w:rPr>
            </w:pPr>
            <w:r>
              <w:rPr>
                <w:rFonts w:hint="eastAsia" w:ascii="宋体" w:hAnsi="宋体" w:eastAsia="宋体" w:cs="宋体"/>
                <w:kern w:val="2"/>
                <w:sz w:val="24"/>
              </w:rPr>
              <w:t>2</w:t>
            </w:r>
          </w:p>
        </w:tc>
        <w:tc>
          <w:tcPr>
            <w:tcW w:w="3969" w:type="dxa"/>
          </w:tcPr>
          <w:p w14:paraId="756CCE0A">
            <w:pPr>
              <w:pStyle w:val="57"/>
              <w:spacing w:before="156" w:beforeLines="50" w:line="240" w:lineRule="auto"/>
              <w:rPr>
                <w:rFonts w:hint="eastAsia" w:ascii="宋体" w:hAnsi="宋体" w:eastAsia="宋体" w:cs="宋体"/>
                <w:kern w:val="2"/>
                <w:sz w:val="24"/>
              </w:rPr>
            </w:pPr>
            <w:r>
              <w:rPr>
                <w:rFonts w:hint="eastAsia" w:ascii="宋体" w:hAnsi="宋体" w:eastAsia="宋体" w:cs="宋体"/>
                <w:kern w:val="2"/>
                <w:sz w:val="24"/>
                <w:highlight w:val="yellow"/>
              </w:rPr>
              <w:t>***</w:t>
            </w:r>
          </w:p>
        </w:tc>
        <w:tc>
          <w:tcPr>
            <w:tcW w:w="992" w:type="dxa"/>
          </w:tcPr>
          <w:p w14:paraId="6A294234">
            <w:pPr>
              <w:pStyle w:val="57"/>
              <w:spacing w:before="156" w:beforeLines="50" w:line="240" w:lineRule="auto"/>
              <w:rPr>
                <w:rFonts w:hint="eastAsia" w:ascii="宋体" w:hAnsi="宋体" w:eastAsia="宋体" w:cs="宋体"/>
                <w:kern w:val="2"/>
                <w:sz w:val="24"/>
              </w:rPr>
            </w:pPr>
            <w:r>
              <w:rPr>
                <w:rFonts w:hint="eastAsia" w:ascii="宋体" w:hAnsi="宋体" w:eastAsia="宋体" w:cs="宋体"/>
                <w:kern w:val="2"/>
                <w:sz w:val="24"/>
                <w:highlight w:val="yellow"/>
              </w:rPr>
              <w:t>***</w:t>
            </w:r>
          </w:p>
        </w:tc>
        <w:tc>
          <w:tcPr>
            <w:tcW w:w="3560" w:type="dxa"/>
          </w:tcPr>
          <w:p w14:paraId="4BDDA65F">
            <w:pPr>
              <w:pStyle w:val="57"/>
              <w:spacing w:before="156" w:beforeLines="50" w:line="240" w:lineRule="auto"/>
              <w:rPr>
                <w:rFonts w:hint="eastAsia" w:ascii="宋体" w:hAnsi="宋体" w:eastAsia="宋体" w:cs="宋体"/>
                <w:kern w:val="2"/>
                <w:sz w:val="24"/>
              </w:rPr>
            </w:pPr>
            <w:r>
              <w:rPr>
                <w:rFonts w:hint="eastAsia" w:ascii="宋体" w:hAnsi="宋体" w:eastAsia="宋体" w:cs="宋体"/>
                <w:kern w:val="2"/>
                <w:sz w:val="24"/>
                <w:highlight w:val="yellow"/>
              </w:rPr>
              <w:t>***</w:t>
            </w:r>
          </w:p>
        </w:tc>
      </w:tr>
      <w:tr w14:paraId="2ADB0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67" w:type="dxa"/>
            <w:gridSpan w:val="4"/>
          </w:tcPr>
          <w:p w14:paraId="09996D8D">
            <w:pPr>
              <w:pStyle w:val="57"/>
              <w:spacing w:line="240" w:lineRule="auto"/>
              <w:rPr>
                <w:rFonts w:hint="eastAsia" w:ascii="宋体" w:hAnsi="宋体" w:eastAsia="宋体" w:cs="宋体"/>
                <w:kern w:val="2"/>
                <w:sz w:val="24"/>
              </w:rPr>
            </w:pPr>
            <w:r>
              <w:rPr>
                <w:rFonts w:hint="eastAsia" w:ascii="宋体" w:hAnsi="宋体" w:eastAsia="宋体" w:cs="宋体"/>
                <w:kern w:val="2"/>
                <w:sz w:val="24"/>
              </w:rPr>
              <w:t>说明：</w:t>
            </w:r>
          </w:p>
          <w:p w14:paraId="5E0C61EF">
            <w:pPr>
              <w:pStyle w:val="57"/>
              <w:spacing w:line="240" w:lineRule="auto"/>
              <w:rPr>
                <w:rFonts w:hint="eastAsia" w:ascii="宋体" w:hAnsi="宋体" w:eastAsia="宋体" w:cs="宋体"/>
                <w:kern w:val="2"/>
                <w:sz w:val="24"/>
              </w:rPr>
            </w:pPr>
            <w:r>
              <w:rPr>
                <w:rFonts w:hint="eastAsia" w:ascii="宋体" w:hAnsi="宋体" w:eastAsia="宋体" w:cs="宋体"/>
                <w:kern w:val="2"/>
                <w:sz w:val="24"/>
              </w:rPr>
              <w:t>（1）若响应文件技术规范书与采购文件有偏离，无论多么细微，必须在偏离表中说明；</w:t>
            </w:r>
          </w:p>
          <w:p w14:paraId="1C15F202">
            <w:pPr>
              <w:pStyle w:val="57"/>
              <w:spacing w:line="240" w:lineRule="auto"/>
              <w:rPr>
                <w:rFonts w:hint="eastAsia" w:ascii="宋体" w:hAnsi="宋体" w:eastAsia="宋体" w:cs="宋体"/>
                <w:kern w:val="2"/>
                <w:sz w:val="24"/>
              </w:rPr>
            </w:pPr>
            <w:r>
              <w:rPr>
                <w:rFonts w:hint="eastAsia" w:ascii="宋体" w:hAnsi="宋体" w:eastAsia="宋体" w:cs="宋体"/>
                <w:kern w:val="2"/>
                <w:sz w:val="24"/>
              </w:rPr>
              <w:t>（2）若技术偏离过大，可专题说明；</w:t>
            </w:r>
          </w:p>
          <w:p w14:paraId="10F1E496">
            <w:pPr>
              <w:pStyle w:val="57"/>
              <w:spacing w:before="156" w:beforeLines="50" w:line="240" w:lineRule="auto"/>
              <w:rPr>
                <w:rFonts w:hint="eastAsia" w:ascii="宋体" w:hAnsi="宋体" w:eastAsia="宋体" w:cs="宋体"/>
                <w:kern w:val="2"/>
                <w:sz w:val="24"/>
              </w:rPr>
            </w:pPr>
            <w:r>
              <w:rPr>
                <w:rFonts w:hint="eastAsia" w:ascii="宋体" w:hAnsi="宋体" w:eastAsia="宋体" w:cs="宋体"/>
                <w:kern w:val="2"/>
                <w:sz w:val="24"/>
              </w:rPr>
              <w:t>（3）响应文件未提供技术偏离表、或技术偏离表内无具体内容或未在技术偏离表中申明的内容，均视同供应商接受采购文件的条款。</w:t>
            </w:r>
          </w:p>
        </w:tc>
      </w:tr>
    </w:tbl>
    <w:p w14:paraId="2FD8CDE7">
      <w:pPr>
        <w:pStyle w:val="57"/>
        <w:spacing w:before="156" w:beforeLines="50" w:line="240" w:lineRule="auto"/>
        <w:ind w:firstLine="480" w:firstLineChars="200"/>
        <w:rPr>
          <w:rFonts w:hint="eastAsia" w:ascii="宋体" w:hAnsi="宋体" w:eastAsia="宋体" w:cs="宋体"/>
          <w:kern w:val="2"/>
          <w:sz w:val="24"/>
        </w:rPr>
      </w:pPr>
    </w:p>
    <w:p w14:paraId="2B5FEF69">
      <w:pPr>
        <w:pStyle w:val="57"/>
        <w:spacing w:before="156" w:beforeLines="50" w:line="240" w:lineRule="auto"/>
        <w:ind w:firstLine="480" w:firstLineChars="200"/>
        <w:rPr>
          <w:rFonts w:hint="eastAsia" w:ascii="宋体" w:hAnsi="宋体" w:eastAsia="宋体" w:cs="宋体"/>
          <w:kern w:val="2"/>
          <w:sz w:val="24"/>
        </w:rPr>
      </w:pPr>
    </w:p>
    <w:p w14:paraId="1A70567B">
      <w:pPr>
        <w:jc w:val="center"/>
        <w:rPr>
          <w:rFonts w:hint="eastAsia" w:ascii="宋体" w:hAnsi="宋体" w:eastAsia="宋体" w:cs="宋体"/>
          <w:snapToGrid w:val="0"/>
          <w:sz w:val="28"/>
          <w:szCs w:val="24"/>
        </w:rPr>
      </w:pPr>
      <w:r>
        <w:rPr>
          <w:rFonts w:hint="eastAsia" w:ascii="宋体" w:hAnsi="宋体" w:eastAsia="宋体" w:cs="宋体"/>
          <w:snapToGrid w:val="0"/>
          <w:sz w:val="24"/>
          <w:szCs w:val="24"/>
        </w:rPr>
        <w:t xml:space="preserve">   </w:t>
      </w:r>
      <w:r>
        <w:rPr>
          <w:rFonts w:hint="eastAsia" w:ascii="宋体" w:hAnsi="宋体" w:eastAsia="宋体" w:cs="宋体"/>
          <w:snapToGrid w:val="0"/>
          <w:sz w:val="28"/>
          <w:szCs w:val="24"/>
        </w:rPr>
        <w:t xml:space="preserve">                     </w:t>
      </w:r>
    </w:p>
    <w:p w14:paraId="62B25D29">
      <w:pPr>
        <w:spacing w:line="240" w:lineRule="auto"/>
        <w:ind w:right="0" w:rightChars="0"/>
        <w:jc w:val="center"/>
        <w:rPr>
          <w:rFonts w:hint="eastAsia" w:ascii="宋体" w:hAnsi="宋体" w:eastAsia="宋体" w:cs="宋体"/>
          <w:snapToGrid w:val="0"/>
          <w:sz w:val="28"/>
          <w:szCs w:val="24"/>
          <w:highlight w:val="yellow"/>
        </w:rPr>
      </w:pPr>
      <w:r>
        <w:rPr>
          <w:rFonts w:hint="eastAsia" w:ascii="宋体" w:hAnsi="宋体" w:eastAsia="宋体" w:cs="宋体"/>
          <w:snapToGrid w:val="0"/>
          <w:sz w:val="28"/>
          <w:szCs w:val="24"/>
          <w:highlight w:val="yellow"/>
          <w:lang w:val="en-US" w:eastAsia="zh-CN"/>
        </w:rPr>
        <w:t xml:space="preserve">            </w:t>
      </w:r>
      <w:r>
        <w:rPr>
          <w:rFonts w:hint="eastAsia" w:ascii="宋体" w:hAnsi="宋体" w:eastAsia="宋体" w:cs="宋体"/>
          <w:snapToGrid w:val="0"/>
          <w:sz w:val="28"/>
          <w:szCs w:val="24"/>
          <w:highlight w:val="yellow"/>
        </w:rPr>
        <w:t>单位名称(公章)：</w:t>
      </w:r>
    </w:p>
    <w:p w14:paraId="6FACDBBD">
      <w:pPr>
        <w:spacing w:line="480" w:lineRule="auto"/>
        <w:jc w:val="center"/>
        <w:rPr>
          <w:rFonts w:hint="eastAsia" w:ascii="宋体" w:hAnsi="宋体" w:eastAsia="宋体" w:cs="宋体"/>
          <w:snapToGrid w:val="0"/>
          <w:sz w:val="28"/>
          <w:szCs w:val="24"/>
          <w:highlight w:val="yellow"/>
        </w:rPr>
      </w:pPr>
      <w:r>
        <w:rPr>
          <w:rFonts w:hint="eastAsia" w:ascii="宋体" w:hAnsi="宋体" w:eastAsia="宋体" w:cs="宋体"/>
          <w:snapToGrid w:val="0"/>
          <w:sz w:val="28"/>
          <w:szCs w:val="24"/>
          <w:highlight w:val="yellow"/>
        </w:rPr>
        <w:t>法定代表人或被授权人(签字)：</w:t>
      </w:r>
    </w:p>
    <w:p w14:paraId="78BB6678">
      <w:pPr>
        <w:snapToGrid w:val="0"/>
        <w:spacing w:line="480" w:lineRule="auto"/>
        <w:ind w:firstLine="584"/>
        <w:jc w:val="center"/>
        <w:rPr>
          <w:rFonts w:hint="eastAsia" w:ascii="宋体" w:hAnsi="宋体" w:eastAsia="宋体" w:cs="宋体"/>
          <w:snapToGrid w:val="0"/>
          <w:kern w:val="0"/>
          <w:sz w:val="24"/>
          <w:szCs w:val="24"/>
        </w:rPr>
      </w:pPr>
      <w:r>
        <w:rPr>
          <w:rFonts w:hint="eastAsia" w:ascii="宋体" w:hAnsi="宋体" w:eastAsia="宋体" w:cs="宋体"/>
          <w:snapToGrid w:val="0"/>
          <w:sz w:val="28"/>
          <w:szCs w:val="24"/>
          <w:highlight w:val="yellow"/>
          <w:lang w:val="en-US" w:eastAsia="zh-CN"/>
        </w:rPr>
        <w:t xml:space="preserve">                </w:t>
      </w:r>
      <w:r>
        <w:rPr>
          <w:rFonts w:hint="eastAsia" w:ascii="宋体" w:hAnsi="宋体" w:eastAsia="宋体" w:cs="宋体"/>
          <w:snapToGrid w:val="0"/>
          <w:sz w:val="28"/>
          <w:szCs w:val="24"/>
          <w:highlight w:val="yellow"/>
        </w:rPr>
        <w:t>日  期：</w:t>
      </w:r>
      <w:bookmarkStart w:id="202" w:name="_Toc144900094"/>
    </w:p>
    <w:p w14:paraId="59B0A102">
      <w:pPr>
        <w:spacing w:line="480" w:lineRule="auto"/>
        <w:jc w:val="right"/>
        <w:rPr>
          <w:rFonts w:hint="eastAsia" w:ascii="宋体" w:hAnsi="宋体" w:eastAsia="宋体" w:cs="宋体"/>
          <w:snapToGrid w:val="0"/>
          <w:sz w:val="28"/>
          <w:szCs w:val="24"/>
          <w:highlight w:val="yellow"/>
        </w:rPr>
      </w:pPr>
    </w:p>
    <w:p w14:paraId="55292FEE">
      <w:pPr>
        <w:pStyle w:val="4"/>
        <w:spacing w:line="240" w:lineRule="auto"/>
        <w:jc w:val="left"/>
        <w:rPr>
          <w:rFonts w:hint="eastAsia" w:ascii="宋体" w:hAnsi="宋体" w:eastAsia="宋体" w:cs="宋体"/>
          <w:snapToGrid w:val="0"/>
          <w:kern w:val="0"/>
          <w:sz w:val="28"/>
          <w:szCs w:val="24"/>
        </w:rPr>
      </w:pPr>
    </w:p>
    <w:p w14:paraId="594890D4">
      <w:pPr>
        <w:pStyle w:val="4"/>
        <w:spacing w:line="240" w:lineRule="auto"/>
        <w:jc w:val="left"/>
        <w:rPr>
          <w:rFonts w:hint="eastAsia" w:ascii="宋体" w:hAnsi="宋体" w:eastAsia="宋体" w:cs="宋体"/>
          <w:snapToGrid w:val="0"/>
          <w:kern w:val="0"/>
          <w:sz w:val="28"/>
          <w:szCs w:val="24"/>
        </w:rPr>
      </w:pPr>
    </w:p>
    <w:bookmarkEnd w:id="196"/>
    <w:bookmarkEnd w:id="197"/>
    <w:bookmarkEnd w:id="198"/>
    <w:bookmarkEnd w:id="199"/>
    <w:bookmarkEnd w:id="200"/>
    <w:bookmarkEnd w:id="201"/>
    <w:bookmarkEnd w:id="202"/>
    <w:p w14:paraId="5BA62397">
      <w:pPr>
        <w:pStyle w:val="4"/>
        <w:spacing w:line="240" w:lineRule="auto"/>
        <w:jc w:val="left"/>
        <w:rPr>
          <w:rFonts w:hint="eastAsia" w:ascii="宋体" w:hAnsi="宋体" w:eastAsia="宋体" w:cs="宋体"/>
          <w:b w:val="0"/>
          <w:bCs/>
          <w:snapToGrid w:val="0"/>
          <w:kern w:val="0"/>
          <w:sz w:val="28"/>
          <w:szCs w:val="24"/>
        </w:rPr>
      </w:pPr>
      <w:r>
        <w:rPr>
          <w:rFonts w:hint="eastAsia" w:ascii="宋体" w:hAnsi="宋体" w:eastAsia="宋体" w:cs="宋体"/>
          <w:b w:val="0"/>
          <w:bCs/>
          <w:snapToGrid w:val="0"/>
          <w:kern w:val="0"/>
          <w:sz w:val="28"/>
          <w:szCs w:val="24"/>
        </w:rPr>
        <w:t>附件4：合同模板</w:t>
      </w:r>
    </w:p>
    <w:p w14:paraId="5B781691">
      <w:pPr>
        <w:spacing w:line="360" w:lineRule="auto"/>
        <w:ind w:firstLine="723" w:firstLineChars="200"/>
        <w:rPr>
          <w:rFonts w:hint="eastAsia" w:ascii="宋体" w:hAnsi="宋体" w:eastAsia="宋体" w:cs="宋体"/>
          <w:b/>
          <w:bCs/>
          <w:sz w:val="36"/>
          <w:szCs w:val="36"/>
        </w:rPr>
      </w:pPr>
      <w:r>
        <w:rPr>
          <w:rFonts w:hint="eastAsia" w:ascii="宋体" w:hAnsi="宋体" w:eastAsia="宋体" w:cs="宋体"/>
          <w:b/>
          <w:bCs/>
          <w:sz w:val="36"/>
          <w:szCs w:val="36"/>
        </w:rPr>
        <w:t>202</w:t>
      </w:r>
      <w:r>
        <w:rPr>
          <w:rFonts w:hint="eastAsia" w:ascii="宋体" w:hAnsi="宋体" w:eastAsia="宋体" w:cs="宋体"/>
          <w:b/>
          <w:bCs/>
          <w:sz w:val="36"/>
          <w:szCs w:val="36"/>
          <w:lang w:val="en-US" w:eastAsia="zh-CN"/>
        </w:rPr>
        <w:t>6</w:t>
      </w:r>
      <w:r>
        <w:rPr>
          <w:rFonts w:hint="eastAsia" w:ascii="宋体" w:hAnsi="宋体" w:eastAsia="宋体" w:cs="宋体"/>
          <w:b/>
          <w:bCs/>
          <w:sz w:val="36"/>
          <w:szCs w:val="36"/>
        </w:rPr>
        <w:t>年-202</w:t>
      </w:r>
      <w:r>
        <w:rPr>
          <w:rFonts w:hint="eastAsia" w:ascii="宋体" w:hAnsi="宋体" w:eastAsia="宋体" w:cs="宋体"/>
          <w:b/>
          <w:bCs/>
          <w:sz w:val="36"/>
          <w:szCs w:val="36"/>
          <w:lang w:val="en-US" w:eastAsia="zh-CN"/>
        </w:rPr>
        <w:t>8</w:t>
      </w:r>
      <w:r>
        <w:rPr>
          <w:rFonts w:hint="eastAsia" w:ascii="宋体" w:hAnsi="宋体" w:eastAsia="宋体" w:cs="宋体"/>
          <w:b/>
          <w:bCs/>
          <w:sz w:val="36"/>
          <w:szCs w:val="36"/>
        </w:rPr>
        <w:t>年田阳水泥有害生物防治合同</w:t>
      </w:r>
    </w:p>
    <w:p w14:paraId="680727A9">
      <w:pPr>
        <w:spacing w:line="360" w:lineRule="auto"/>
        <w:rPr>
          <w:rFonts w:hint="eastAsia" w:ascii="宋体" w:hAnsi="宋体" w:eastAsia="宋体" w:cs="宋体"/>
        </w:rPr>
      </w:pPr>
      <w:r>
        <w:rPr>
          <w:rFonts w:hint="eastAsia" w:ascii="宋体" w:hAnsi="宋体" w:eastAsia="宋体" w:cs="宋体"/>
          <w:b/>
          <w:bCs/>
        </w:rPr>
        <w:t>甲方：</w:t>
      </w:r>
      <w:r>
        <w:rPr>
          <w:rFonts w:hint="eastAsia" w:ascii="宋体" w:hAnsi="宋体" w:eastAsia="宋体" w:cs="宋体"/>
        </w:rPr>
        <w:t xml:space="preserve">华润水泥（田阳）有限公司      </w:t>
      </w:r>
      <w:r>
        <w:rPr>
          <w:rFonts w:hint="eastAsia" w:ascii="宋体" w:hAnsi="宋体" w:eastAsia="宋体" w:cs="宋体"/>
          <w:lang w:val="en-US" w:eastAsia="zh-CN"/>
        </w:rPr>
        <w:t xml:space="preserve">    </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b/>
          <w:bCs/>
        </w:rPr>
        <w:t>合同编号：</w:t>
      </w:r>
    </w:p>
    <w:p w14:paraId="67357675">
      <w:pPr>
        <w:spacing w:line="360" w:lineRule="auto"/>
        <w:rPr>
          <w:rFonts w:hint="eastAsia" w:ascii="宋体" w:hAnsi="宋体" w:eastAsia="宋体" w:cs="宋体"/>
        </w:rPr>
      </w:pPr>
      <w:r>
        <w:rPr>
          <w:rFonts w:hint="eastAsia" w:ascii="宋体" w:hAnsi="宋体" w:eastAsia="宋体" w:cs="宋体"/>
          <w:b/>
          <w:bCs/>
        </w:rPr>
        <w:t>乙方：</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b/>
          <w:bCs/>
        </w:rPr>
        <w:t xml:space="preserve"> 签订地点：</w:t>
      </w:r>
      <w:r>
        <w:rPr>
          <w:rFonts w:hint="eastAsia" w:ascii="宋体" w:hAnsi="宋体" w:eastAsia="宋体" w:cs="宋体"/>
        </w:rPr>
        <w:t>百色田阳区</w:t>
      </w:r>
    </w:p>
    <w:p w14:paraId="3D579CE8">
      <w:pPr>
        <w:spacing w:line="360" w:lineRule="auto"/>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b/>
          <w:bCs/>
        </w:rPr>
        <w:t>签订时间：</w:t>
      </w:r>
      <w:r>
        <w:rPr>
          <w:rFonts w:hint="eastAsia" w:ascii="宋体" w:hAnsi="宋体" w:eastAsia="宋体" w:cs="宋体"/>
          <w:lang w:val="en-US" w:eastAsia="zh-CN"/>
        </w:rPr>
        <w:t xml:space="preserve">2026年  月  日 </w:t>
      </w:r>
      <w:r>
        <w:rPr>
          <w:rFonts w:hint="eastAsia" w:ascii="宋体" w:hAnsi="宋体" w:eastAsia="宋体" w:cs="宋体"/>
        </w:rPr>
        <w:t xml:space="preserve"> </w:t>
      </w:r>
    </w:p>
    <w:p w14:paraId="07B2ADE1">
      <w:pPr>
        <w:spacing w:line="360" w:lineRule="auto"/>
        <w:rPr>
          <w:rFonts w:hint="eastAsia" w:ascii="宋体" w:hAnsi="宋体" w:eastAsia="宋体" w:cs="宋体"/>
        </w:rPr>
      </w:pPr>
    </w:p>
    <w:p w14:paraId="6E63DD3B">
      <w:pPr>
        <w:spacing w:line="360" w:lineRule="auto"/>
        <w:ind w:firstLine="420" w:firstLineChars="200"/>
        <w:rPr>
          <w:rFonts w:hint="eastAsia" w:ascii="宋体" w:hAnsi="宋体" w:eastAsia="宋体" w:cs="宋体"/>
        </w:rPr>
      </w:pPr>
      <w:r>
        <w:rPr>
          <w:rFonts w:hint="eastAsia" w:ascii="宋体" w:hAnsi="宋体" w:eastAsia="宋体" w:cs="宋体"/>
        </w:rPr>
        <w:t>为使华润水泥(田阳)有限公司更有效的消除有害生物的危害，长年达到国家有关卫生标准，创建一个良好的工作、学习、生活环境。甲方现将有害生物防治服务工程委托乙方承包，经甲乙双方友好协商议定以下条款，共同遵照执行。</w:t>
      </w:r>
    </w:p>
    <w:p w14:paraId="15613818">
      <w:pPr>
        <w:spacing w:line="360" w:lineRule="auto"/>
        <w:ind w:firstLine="422" w:firstLineChars="200"/>
        <w:rPr>
          <w:rFonts w:hint="eastAsia" w:ascii="宋体" w:hAnsi="宋体" w:eastAsia="宋体" w:cs="宋体"/>
          <w:lang w:val="en-US" w:eastAsia="zh-CN"/>
        </w:rPr>
      </w:pPr>
      <w:r>
        <w:rPr>
          <w:rFonts w:hint="eastAsia" w:ascii="宋体" w:hAnsi="宋体" w:eastAsia="宋体" w:cs="宋体"/>
          <w:b/>
          <w:bCs/>
        </w:rPr>
        <w:t>一、防治地点：</w:t>
      </w:r>
      <w:r>
        <w:rPr>
          <w:rFonts w:hint="eastAsia" w:ascii="宋体" w:hAnsi="宋体" w:eastAsia="宋体" w:cs="宋体"/>
        </w:rPr>
        <w:t>广西百色市田阳区那坡镇那音村</w:t>
      </w:r>
      <w:r>
        <w:rPr>
          <w:rFonts w:hint="eastAsia" w:ascii="宋体" w:hAnsi="宋体" w:eastAsia="宋体" w:cs="宋体"/>
          <w:lang w:eastAsia="zh-CN"/>
        </w:rPr>
        <w:t>、</w:t>
      </w:r>
      <w:r>
        <w:rPr>
          <w:rFonts w:hint="eastAsia" w:ascii="宋体" w:hAnsi="宋体" w:eastAsia="宋体" w:cs="宋体"/>
          <w:lang w:val="en-US" w:eastAsia="zh-CN"/>
        </w:rPr>
        <w:t>百色市田阳区阳光路6号。</w:t>
      </w:r>
    </w:p>
    <w:p w14:paraId="781E31FD">
      <w:pPr>
        <w:spacing w:line="360" w:lineRule="auto"/>
        <w:ind w:firstLine="422" w:firstLineChars="200"/>
        <w:rPr>
          <w:rFonts w:hint="eastAsia" w:ascii="宋体" w:hAnsi="宋体" w:eastAsia="宋体" w:cs="宋体"/>
        </w:rPr>
      </w:pPr>
      <w:r>
        <w:rPr>
          <w:rFonts w:hint="eastAsia" w:ascii="宋体" w:hAnsi="宋体" w:eastAsia="宋体" w:cs="宋体"/>
          <w:b/>
          <w:bCs/>
        </w:rPr>
        <w:t>二、防治范围：</w:t>
      </w:r>
      <w:r>
        <w:rPr>
          <w:rFonts w:hint="eastAsia" w:ascii="宋体" w:hAnsi="宋体" w:eastAsia="宋体" w:cs="宋体"/>
        </w:rPr>
        <w:t>熟料厂区含倒班楼、行政楼、智控中心及环保楼（百色垃圾处置处）、粉磨厂区、矿山厂区、骨料及华润生活区（员工住宅区）等所辖区域，合计占地约650亩。</w:t>
      </w:r>
    </w:p>
    <w:p w14:paraId="5075690D">
      <w:pPr>
        <w:spacing w:line="360" w:lineRule="auto"/>
        <w:ind w:firstLine="422" w:firstLineChars="200"/>
        <w:rPr>
          <w:rFonts w:hint="eastAsia" w:ascii="宋体" w:hAnsi="宋体" w:eastAsia="宋体" w:cs="宋体"/>
          <w:b/>
          <w:bCs/>
        </w:rPr>
      </w:pPr>
      <w:r>
        <w:rPr>
          <w:rFonts w:hint="eastAsia" w:ascii="宋体" w:hAnsi="宋体" w:eastAsia="宋体" w:cs="宋体"/>
          <w:b/>
          <w:bCs/>
        </w:rPr>
        <w:t>三、防治项目及措施：</w:t>
      </w:r>
    </w:p>
    <w:p w14:paraId="173107B9">
      <w:pPr>
        <w:spacing w:line="360" w:lineRule="auto"/>
        <w:ind w:firstLine="420" w:firstLineChars="200"/>
        <w:rPr>
          <w:rFonts w:hint="eastAsia" w:ascii="宋体" w:hAnsi="宋体" w:eastAsia="宋体" w:cs="宋体"/>
        </w:rPr>
      </w:pPr>
      <w:r>
        <w:rPr>
          <w:rFonts w:hint="eastAsia" w:ascii="宋体" w:hAnsi="宋体" w:eastAsia="宋体" w:cs="宋体"/>
        </w:rPr>
        <w:t>1、除四害（灭鼠、蝇、蚊、蟑螂）、红火蚁、白蚁及毒蛇防治等内容。</w:t>
      </w:r>
    </w:p>
    <w:p w14:paraId="1597056F">
      <w:pPr>
        <w:spacing w:line="360" w:lineRule="auto"/>
        <w:ind w:firstLine="420" w:firstLineChars="200"/>
        <w:rPr>
          <w:rFonts w:hint="eastAsia" w:ascii="宋体" w:hAnsi="宋体" w:eastAsia="宋体" w:cs="宋体"/>
        </w:rPr>
      </w:pPr>
      <w:r>
        <w:rPr>
          <w:rFonts w:hint="eastAsia" w:ascii="宋体" w:hAnsi="宋体" w:eastAsia="宋体" w:cs="宋体"/>
        </w:rPr>
        <w:t>2、采用超低喷雾、热烟雾机杀、绿篱技术、滞留喷洒、药物投放、物理防治等综合治理方法进行交替施工。</w:t>
      </w:r>
    </w:p>
    <w:p w14:paraId="49B2A64C">
      <w:pPr>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3、</w:t>
      </w:r>
      <w:r>
        <w:rPr>
          <w:rFonts w:hint="eastAsia" w:ascii="宋体" w:hAnsi="宋体" w:eastAsia="宋体" w:cs="宋体"/>
        </w:rPr>
        <w:t>乙方必须充分了解甲方所辖区域的各种建筑布局、卫生环境状况．掌握靶标害虫的孳生、栖息场所及生态习性，科学选择适宜的药品、器械和技术，组织有资质的专业技术人员实施，同时对甲方相关人员进行日常维护和操作知识进行培训指导。</w:t>
      </w:r>
    </w:p>
    <w:p w14:paraId="43ADB37A">
      <w:pPr>
        <w:spacing w:line="360" w:lineRule="auto"/>
        <w:ind w:firstLine="422" w:firstLineChars="200"/>
        <w:rPr>
          <w:rFonts w:hint="eastAsia" w:ascii="宋体" w:hAnsi="宋体" w:eastAsia="宋体" w:cs="宋体"/>
          <w:b/>
          <w:bCs/>
        </w:rPr>
      </w:pPr>
      <w:r>
        <w:rPr>
          <w:rFonts w:hint="eastAsia" w:ascii="宋体" w:hAnsi="宋体" w:eastAsia="宋体" w:cs="宋体"/>
          <w:b/>
          <w:bCs/>
        </w:rPr>
        <w:t>四、防治次数：</w:t>
      </w:r>
    </w:p>
    <w:p w14:paraId="4BDCE6BE">
      <w:pPr>
        <w:spacing w:line="360" w:lineRule="auto"/>
        <w:ind w:firstLine="420" w:firstLineChars="200"/>
        <w:rPr>
          <w:rFonts w:hint="eastAsia" w:ascii="宋体" w:hAnsi="宋体" w:eastAsia="宋体" w:cs="宋体"/>
          <w:b w:val="0"/>
          <w:bCs w:val="0"/>
        </w:rPr>
      </w:pPr>
      <w:r>
        <w:rPr>
          <w:rFonts w:hint="eastAsia" w:ascii="宋体" w:hAnsi="宋体" w:eastAsia="宋体" w:cs="宋体"/>
          <w:b w:val="0"/>
          <w:bCs w:val="0"/>
        </w:rPr>
        <w:t>1、每月正常灭鼠、白蚁、红火蚁一次，全年12次。</w:t>
      </w:r>
    </w:p>
    <w:p w14:paraId="26DD1D97">
      <w:pPr>
        <w:spacing w:line="360" w:lineRule="auto"/>
        <w:ind w:firstLine="420" w:firstLineChars="200"/>
        <w:rPr>
          <w:rFonts w:hint="eastAsia" w:ascii="宋体" w:hAnsi="宋体" w:eastAsia="宋体" w:cs="宋体"/>
          <w:b w:val="0"/>
          <w:bCs w:val="0"/>
        </w:rPr>
      </w:pPr>
      <w:r>
        <w:rPr>
          <w:rFonts w:hint="eastAsia" w:ascii="宋体" w:hAnsi="宋体" w:eastAsia="宋体" w:cs="宋体"/>
          <w:b w:val="0"/>
          <w:bCs w:val="0"/>
        </w:rPr>
        <w:t>2、每季度灭蟑螂1次，全年共4次：即每三个月对合同范围下水道、化粪池薰杀1次。</w:t>
      </w:r>
    </w:p>
    <w:p w14:paraId="373BAE5A">
      <w:pPr>
        <w:spacing w:line="360" w:lineRule="auto"/>
        <w:ind w:firstLine="420" w:firstLineChars="200"/>
        <w:rPr>
          <w:rFonts w:hint="eastAsia" w:ascii="宋体" w:hAnsi="宋体" w:eastAsia="宋体" w:cs="宋体"/>
          <w:b w:val="0"/>
          <w:bCs w:val="0"/>
        </w:rPr>
      </w:pPr>
      <w:r>
        <w:rPr>
          <w:rFonts w:hint="eastAsia" w:ascii="宋体" w:hAnsi="宋体" w:eastAsia="宋体" w:cs="宋体"/>
          <w:b w:val="0"/>
          <w:bCs w:val="0"/>
        </w:rPr>
        <w:t>3、每年灭蚊蝇4月-10月每月3次、11月-3月每月2次，停窑期间根据实际情况进行消杀及更换药品，全年共31次。</w:t>
      </w:r>
    </w:p>
    <w:p w14:paraId="43D64ED8">
      <w:pPr>
        <w:spacing w:line="360" w:lineRule="auto"/>
        <w:ind w:firstLine="420" w:firstLineChars="200"/>
        <w:rPr>
          <w:rFonts w:hint="eastAsia" w:ascii="宋体" w:hAnsi="宋体" w:eastAsia="宋体" w:cs="宋体"/>
        </w:rPr>
      </w:pPr>
      <w:r>
        <w:rPr>
          <w:rFonts w:hint="eastAsia" w:ascii="宋体" w:hAnsi="宋体" w:eastAsia="宋体" w:cs="宋体"/>
          <w:b w:val="0"/>
          <w:bCs w:val="0"/>
        </w:rPr>
        <w:t>4、夏天毒蛇出没较多，5-12月对我司范围内出现毒蛇的进行有效防治。</w:t>
      </w:r>
    </w:p>
    <w:p w14:paraId="589EC8C6">
      <w:pPr>
        <w:spacing w:line="360" w:lineRule="auto"/>
        <w:ind w:firstLine="422" w:firstLineChars="200"/>
        <w:rPr>
          <w:rFonts w:hint="eastAsia" w:ascii="宋体" w:hAnsi="宋体" w:eastAsia="宋体" w:cs="宋体"/>
          <w:b/>
          <w:bCs/>
        </w:rPr>
      </w:pPr>
      <w:r>
        <w:rPr>
          <w:rFonts w:hint="eastAsia" w:ascii="宋体" w:hAnsi="宋体" w:eastAsia="宋体" w:cs="宋体"/>
          <w:b/>
          <w:bCs/>
        </w:rPr>
        <w:t>五、防治要求</w:t>
      </w:r>
      <w:r>
        <w:rPr>
          <w:rFonts w:hint="eastAsia" w:ascii="宋体" w:hAnsi="宋体" w:eastAsia="宋体" w:cs="宋体"/>
          <w:b/>
          <w:bCs/>
          <w:lang w:val="en-US" w:eastAsia="zh-CN"/>
        </w:rPr>
        <w:t>及效果</w:t>
      </w:r>
      <w:r>
        <w:rPr>
          <w:rFonts w:hint="eastAsia" w:ascii="宋体" w:hAnsi="宋体" w:eastAsia="宋体" w:cs="宋体"/>
          <w:b/>
          <w:bCs/>
        </w:rPr>
        <w:t>：</w:t>
      </w:r>
    </w:p>
    <w:p w14:paraId="6F91678B">
      <w:pPr>
        <w:spacing w:line="360" w:lineRule="auto"/>
        <w:ind w:firstLine="422" w:firstLineChars="200"/>
        <w:rPr>
          <w:rFonts w:hint="eastAsia" w:ascii="宋体" w:hAnsi="宋体" w:eastAsia="宋体" w:cs="宋体"/>
          <w:b/>
          <w:bCs/>
          <w:lang w:eastAsia="zh-CN"/>
        </w:rPr>
      </w:pPr>
      <w:r>
        <w:rPr>
          <w:rFonts w:hint="eastAsia" w:ascii="宋体" w:hAnsi="宋体" w:eastAsia="宋体" w:cs="宋体"/>
          <w:b/>
          <w:bCs/>
        </w:rPr>
        <w:t>要求</w:t>
      </w:r>
      <w:r>
        <w:rPr>
          <w:rFonts w:hint="eastAsia" w:ascii="宋体" w:hAnsi="宋体" w:eastAsia="宋体" w:cs="宋体"/>
          <w:b/>
          <w:bCs/>
          <w:lang w:eastAsia="zh-CN"/>
        </w:rPr>
        <w:t>：</w:t>
      </w:r>
    </w:p>
    <w:p w14:paraId="3863E43F">
      <w:pPr>
        <w:pStyle w:val="50"/>
        <w:spacing w:line="360" w:lineRule="auto"/>
        <w:ind w:firstLine="560"/>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kern w:val="2"/>
          <w:sz w:val="21"/>
          <w:szCs w:val="24"/>
          <w:lang w:val="en-US" w:eastAsia="zh-CN" w:bidi="ar-SA"/>
        </w:rPr>
        <w:t>1、必须根据我公司所辖区域的各种建筑设施、卫生环境状况，选择合适的灭杀及防治方式。</w:t>
      </w:r>
    </w:p>
    <w:p w14:paraId="04760506">
      <w:pPr>
        <w:pStyle w:val="50"/>
        <w:spacing w:line="360" w:lineRule="auto"/>
        <w:ind w:firstLine="560"/>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kern w:val="2"/>
          <w:sz w:val="21"/>
          <w:szCs w:val="24"/>
          <w:lang w:val="en-US" w:eastAsia="zh-CN" w:bidi="ar-SA"/>
        </w:rPr>
        <w:t>2、每月定期对虫害进行检查，根据实际情况开展灭杀及防治工作，并向我司及时反馈灭杀效果及存在问题，如有特殊情况需按协议要求高质量完成协议期内经常性和突发性的“有害生物”及疫情防控防治工作，4月-10月每月进行3次全厂消杀工作；11月-3月每月进行2次消杀工作，停窑期间委托方根据蚊蝇滋生情况下达消杀任务，服务方不得以任何客观条件为由拒绝，如出现蚊蝇对药品免疫情况需进行换药，直至消杀效果显著达标为准。</w:t>
      </w:r>
    </w:p>
    <w:p w14:paraId="4B6ED6F6">
      <w:pPr>
        <w:pStyle w:val="50"/>
        <w:spacing w:line="360" w:lineRule="auto"/>
        <w:ind w:firstLine="560"/>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kern w:val="2"/>
          <w:sz w:val="21"/>
          <w:szCs w:val="24"/>
          <w:lang w:val="en-US" w:eastAsia="zh-CN" w:bidi="ar-SA"/>
        </w:rPr>
        <w:t>3、每次开展灭除后须提供相关相片，并由分各部门员工在服务单上签字验收确认，达到要求效果后方可凭单据进行结算；</w:t>
      </w:r>
    </w:p>
    <w:p w14:paraId="38544988">
      <w:pPr>
        <w:pStyle w:val="50"/>
        <w:spacing w:line="360" w:lineRule="auto"/>
        <w:ind w:firstLine="560"/>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kern w:val="2"/>
          <w:sz w:val="21"/>
          <w:szCs w:val="24"/>
          <w:lang w:val="en-US" w:eastAsia="zh-CN" w:bidi="ar-SA"/>
        </w:rPr>
        <w:t>4、保证所使用的药物均符合国家法律法规所允许的范围，并在有效期内使用，如在用药及履行过程中造成我司人员中毒、食品安全事故、财产损失的，要承担全部赔偿责任；</w:t>
      </w:r>
    </w:p>
    <w:p w14:paraId="7154E749">
      <w:pPr>
        <w:pStyle w:val="50"/>
        <w:spacing w:line="360" w:lineRule="auto"/>
        <w:ind w:firstLine="560"/>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kern w:val="2"/>
          <w:sz w:val="21"/>
          <w:szCs w:val="24"/>
          <w:lang w:val="en-US" w:eastAsia="zh-CN" w:bidi="ar-SA"/>
        </w:rPr>
        <w:t>5、在合同期内，如有突发性虫害，在接到我司电话24小时内做出响应并到现场进行处理，并向我司及时反馈灭杀效果及存在问题。</w:t>
      </w:r>
    </w:p>
    <w:p w14:paraId="151F1240">
      <w:pPr>
        <w:pStyle w:val="50"/>
        <w:spacing w:line="360" w:lineRule="auto"/>
        <w:ind w:firstLine="560"/>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效果：</w:t>
      </w:r>
    </w:p>
    <w:p w14:paraId="5FE786A1">
      <w:pPr>
        <w:pStyle w:val="50"/>
        <w:spacing w:line="360" w:lineRule="auto"/>
        <w:ind w:firstLine="560"/>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kern w:val="2"/>
          <w:sz w:val="21"/>
          <w:szCs w:val="24"/>
          <w:lang w:val="en-US" w:eastAsia="zh-CN" w:bidi="ar-SA"/>
        </w:rPr>
        <w:t>1. 有效投诉认定：以现场核实、相片、视频记录或书面登记为准，投诉须真实反映虫害、蛇害影响生产办公及人员安全。</w:t>
      </w:r>
    </w:p>
    <w:p w14:paraId="6F068C0B">
      <w:pPr>
        <w:pStyle w:val="50"/>
        <w:spacing w:line="360" w:lineRule="auto"/>
        <w:ind w:firstLine="560"/>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kern w:val="2"/>
          <w:sz w:val="21"/>
          <w:szCs w:val="24"/>
          <w:lang w:val="en-US" w:eastAsia="zh-CN" w:bidi="ar-SA"/>
        </w:rPr>
        <w:t>2. 整改要求：每次有效投诉发生后，服务方须在24小时内完成整改（包括但不限于强化消杀频次、更换药剂、调整方案等），并留存整改记录。</w:t>
      </w:r>
    </w:p>
    <w:p w14:paraId="5D418E25">
      <w:pPr>
        <w:pStyle w:val="50"/>
        <w:spacing w:line="360" w:lineRule="auto"/>
        <w:ind w:firstLine="560"/>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kern w:val="2"/>
          <w:sz w:val="21"/>
          <w:szCs w:val="24"/>
          <w:lang w:val="en-US" w:eastAsia="zh-CN" w:bidi="ar-SA"/>
        </w:rPr>
        <w:t>3. 不达标记录认定：在月度内，针对同一防治项目（灭鼠、灭蚊蝇、驱蛇），同一区域出现第2次有效投诉的，记为1次不达标记录，若出现第3次投诉，记为2次不达标记录，以此类推。（第1次投诉仅触发整改，不计入不达标记录。）</w:t>
      </w:r>
    </w:p>
    <w:p w14:paraId="378702C1">
      <w:pPr>
        <w:pStyle w:val="50"/>
        <w:spacing w:line="360" w:lineRule="auto"/>
        <w:ind w:firstLine="560"/>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kern w:val="2"/>
          <w:sz w:val="21"/>
          <w:szCs w:val="24"/>
          <w:lang w:val="en-US" w:eastAsia="zh-CN" w:bidi="ar-SA"/>
        </w:rPr>
        <w:t>4. 月度管理：每月5日前，委托方汇总上月有效投诉情况。若某单项当月出现第1次投诉，下达书面通知整改；若出现第2次投诉，认定为不达标记录并下达整改要求，服务方须在24小时内完成整改，若服务方在24小时内未进行任何响应，委托方除对其进行考核外，可立即委托第三方进行处理，期间所产生的一切费用（包括但不限于第三方服务费、材料费、差旅费等）由服务方承担，委托方可从应付服务费中直接抵扣，同时该不响应行为计为3次不达标记录。</w:t>
      </w:r>
    </w:p>
    <w:p w14:paraId="239FFC74">
      <w:pPr>
        <w:pStyle w:val="50"/>
        <w:spacing w:line="360" w:lineRule="auto"/>
        <w:ind w:firstLine="560"/>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kern w:val="2"/>
          <w:sz w:val="21"/>
          <w:szCs w:val="24"/>
          <w:lang w:val="en-US" w:eastAsia="zh-CN" w:bidi="ar-SA"/>
        </w:rPr>
        <w:t>5. 合同解除条件：服务方在一个季度内，累计出现 5次不达标记录，扣除当季度服务费用；在服务期内累计达到12次不达标记录，视为无履约能力，委托方有权单方提前解除服务合同且无需承担任何赔偿。</w:t>
      </w:r>
    </w:p>
    <w:p w14:paraId="7B4A2B77">
      <w:pPr>
        <w:spacing w:line="360" w:lineRule="auto"/>
        <w:ind w:firstLine="422" w:firstLineChars="200"/>
        <w:rPr>
          <w:rFonts w:hint="eastAsia" w:ascii="宋体" w:hAnsi="宋体" w:eastAsia="宋体" w:cs="宋体"/>
          <w:b/>
          <w:bCs/>
        </w:rPr>
      </w:pPr>
      <w:r>
        <w:rPr>
          <w:rFonts w:hint="eastAsia" w:ascii="宋体" w:hAnsi="宋体" w:eastAsia="宋体" w:cs="宋体"/>
          <w:b/>
          <w:bCs/>
        </w:rPr>
        <w:t>六、验收标准</w:t>
      </w:r>
      <w:r>
        <w:rPr>
          <w:rFonts w:hint="eastAsia" w:ascii="宋体" w:hAnsi="宋体" w:eastAsia="宋体" w:cs="宋体"/>
          <w:b/>
          <w:bCs/>
          <w:lang w:eastAsia="zh-CN"/>
        </w:rPr>
        <w:t>、</w:t>
      </w:r>
      <w:r>
        <w:rPr>
          <w:rFonts w:hint="eastAsia" w:ascii="宋体" w:hAnsi="宋体" w:eastAsia="宋体" w:cs="宋体"/>
          <w:b/>
          <w:bCs/>
          <w:lang w:val="en-US" w:eastAsia="zh-CN"/>
        </w:rPr>
        <w:t>考核标准</w:t>
      </w:r>
      <w:r>
        <w:rPr>
          <w:rFonts w:hint="eastAsia" w:ascii="宋体" w:hAnsi="宋体" w:eastAsia="宋体" w:cs="宋体"/>
          <w:b/>
          <w:bCs/>
        </w:rPr>
        <w:t>：</w:t>
      </w:r>
    </w:p>
    <w:p w14:paraId="260F32B9">
      <w:pPr>
        <w:spacing w:line="360" w:lineRule="auto"/>
        <w:ind w:firstLine="420" w:firstLineChars="200"/>
        <w:rPr>
          <w:rFonts w:hint="eastAsia" w:ascii="宋体" w:hAnsi="宋体" w:eastAsia="宋体" w:cs="宋体"/>
          <w:lang w:val="en-US" w:eastAsia="zh-CN"/>
        </w:rPr>
      </w:pPr>
      <w:r>
        <w:rPr>
          <w:rFonts w:hint="eastAsia" w:ascii="宋体" w:hAnsi="宋体" w:eastAsia="宋体" w:cs="宋体"/>
        </w:rPr>
        <w:t>验收以附件：全爱卫会发(1997)第5号文件《灭鼠、蚊、蝇、蟑螂标准》为标准。</w:t>
      </w:r>
      <w:r>
        <w:rPr>
          <w:rFonts w:hint="eastAsia" w:ascii="宋体" w:hAnsi="宋体" w:eastAsia="宋体" w:cs="宋体"/>
          <w:lang w:val="en-US" w:eastAsia="zh-CN"/>
        </w:rPr>
        <w:t>考核标准按合同内附件1执行。</w:t>
      </w:r>
    </w:p>
    <w:p w14:paraId="1A94959E">
      <w:pPr>
        <w:spacing w:line="360" w:lineRule="auto"/>
        <w:ind w:firstLine="422" w:firstLineChars="200"/>
        <w:rPr>
          <w:rFonts w:hint="eastAsia" w:ascii="宋体" w:hAnsi="宋体" w:eastAsia="宋体" w:cs="宋体"/>
        </w:rPr>
      </w:pPr>
      <w:r>
        <w:rPr>
          <w:rFonts w:hint="eastAsia" w:ascii="宋体" w:hAnsi="宋体" w:eastAsia="宋体" w:cs="宋体"/>
          <w:b/>
          <w:bCs/>
        </w:rPr>
        <w:t>七、防治期限</w:t>
      </w:r>
      <w:r>
        <w:rPr>
          <w:rFonts w:hint="eastAsia" w:ascii="宋体" w:hAnsi="宋体" w:eastAsia="宋体" w:cs="宋体"/>
        </w:rPr>
        <w:t>：202</w:t>
      </w:r>
      <w:r>
        <w:rPr>
          <w:rFonts w:hint="eastAsia" w:ascii="宋体" w:hAnsi="宋体" w:eastAsia="宋体" w:cs="宋体"/>
          <w:lang w:val="en-US" w:eastAsia="zh-CN"/>
        </w:rPr>
        <w:t>6</w:t>
      </w:r>
      <w:r>
        <w:rPr>
          <w:rFonts w:hint="eastAsia" w:ascii="宋体" w:hAnsi="宋体" w:eastAsia="宋体" w:cs="宋体"/>
        </w:rPr>
        <w:t>年6月1日至202</w:t>
      </w:r>
      <w:r>
        <w:rPr>
          <w:rFonts w:hint="eastAsia" w:ascii="宋体" w:hAnsi="宋体" w:eastAsia="宋体" w:cs="宋体"/>
          <w:lang w:val="en-US" w:eastAsia="zh-CN"/>
        </w:rPr>
        <w:t>8</w:t>
      </w:r>
      <w:r>
        <w:rPr>
          <w:rFonts w:hint="eastAsia" w:ascii="宋体" w:hAnsi="宋体" w:eastAsia="宋体" w:cs="宋体"/>
        </w:rPr>
        <w:t>年5月31日。</w:t>
      </w:r>
    </w:p>
    <w:p w14:paraId="7336C5FA">
      <w:pPr>
        <w:spacing w:line="360" w:lineRule="auto"/>
        <w:ind w:firstLine="422" w:firstLineChars="200"/>
        <w:rPr>
          <w:rFonts w:hint="eastAsia" w:ascii="宋体" w:hAnsi="宋体" w:eastAsia="宋体" w:cs="宋体"/>
          <w:b/>
          <w:bCs/>
        </w:rPr>
      </w:pPr>
      <w:r>
        <w:rPr>
          <w:rFonts w:hint="eastAsia" w:ascii="宋体" w:hAnsi="宋体" w:eastAsia="宋体" w:cs="宋体"/>
          <w:b/>
          <w:bCs/>
        </w:rPr>
        <w:t>八、防治服务费用及付款方式：</w:t>
      </w:r>
    </w:p>
    <w:p w14:paraId="174C7BB1">
      <w:pPr>
        <w:spacing w:line="360" w:lineRule="auto"/>
        <w:ind w:left="210" w:leftChars="100" w:firstLine="211" w:firstLineChars="100"/>
        <w:rPr>
          <w:rFonts w:hint="eastAsia" w:ascii="宋体" w:hAnsi="宋体" w:eastAsia="宋体" w:cs="宋体"/>
        </w:rPr>
      </w:pPr>
      <w:r>
        <w:rPr>
          <w:rFonts w:hint="eastAsia" w:ascii="宋体" w:hAnsi="宋体" w:eastAsia="宋体" w:cs="宋体"/>
          <w:b/>
          <w:bCs/>
        </w:rPr>
        <w:t>1、防治服务费用：</w:t>
      </w:r>
      <w:r>
        <w:rPr>
          <w:rFonts w:hint="eastAsia" w:ascii="宋体" w:hAnsi="宋体" w:eastAsia="宋体" w:cs="宋体"/>
        </w:rPr>
        <w:t>协议期限内进行的防治服务费用为两年</w:t>
      </w:r>
      <w:r>
        <w:rPr>
          <w:rFonts w:hint="eastAsia" w:ascii="宋体" w:hAnsi="宋体" w:eastAsia="宋体" w:cs="宋体"/>
          <w:lang w:val="en-US" w:eastAsia="zh-CN"/>
        </w:rPr>
        <w:t>含税</w:t>
      </w:r>
      <w:r>
        <w:rPr>
          <w:rFonts w:hint="eastAsia" w:ascii="宋体" w:hAnsi="宋体" w:eastAsia="宋体" w:cs="宋体"/>
        </w:rPr>
        <w:t>人民币:</w:t>
      </w:r>
      <w:r>
        <w:rPr>
          <w:rFonts w:hint="eastAsia" w:ascii="宋体" w:hAnsi="宋体" w:eastAsia="宋体" w:cs="宋体"/>
          <w:lang w:val="en-US" w:eastAsia="zh-CN"/>
        </w:rPr>
        <w:t>大写</w:t>
      </w:r>
      <w:r>
        <w:rPr>
          <w:rFonts w:hint="eastAsia" w:ascii="宋体" w:hAnsi="宋体" w:eastAsia="宋体" w:cs="宋体"/>
          <w:u w:val="single"/>
          <w:lang w:val="en-US" w:eastAsia="zh-CN"/>
        </w:rPr>
        <w:t xml:space="preserve">：    </w:t>
      </w:r>
      <w:r>
        <w:rPr>
          <w:rFonts w:hint="eastAsia" w:ascii="宋体" w:hAnsi="宋体" w:eastAsia="宋体" w:cs="宋体"/>
          <w:lang w:val="en-US" w:eastAsia="zh-CN"/>
        </w:rPr>
        <w:t>元，</w:t>
      </w:r>
      <w:r>
        <w:rPr>
          <w:rFonts w:hint="eastAsia" w:ascii="宋体" w:hAnsi="宋体" w:eastAsia="宋体" w:cs="宋体"/>
        </w:rPr>
        <w:t>￥</w:t>
      </w:r>
      <w:r>
        <w:rPr>
          <w:rFonts w:hint="eastAsia" w:ascii="宋体" w:hAnsi="宋体" w:eastAsia="宋体" w:cs="宋体"/>
          <w:u w:val="single"/>
        </w:rPr>
        <w:t xml:space="preserve">      </w:t>
      </w:r>
      <w:r>
        <w:rPr>
          <w:rFonts w:hint="eastAsia" w:ascii="宋体" w:hAnsi="宋体" w:eastAsia="宋体" w:cs="宋体"/>
        </w:rPr>
        <w:t>元，</w:t>
      </w:r>
      <w:r>
        <w:rPr>
          <w:rFonts w:hint="eastAsia" w:ascii="宋体" w:hAnsi="宋体" w:eastAsia="宋体" w:cs="宋体"/>
          <w:lang w:val="en-US" w:eastAsia="zh-CN"/>
        </w:rPr>
        <w:t>不含税：大写</w:t>
      </w:r>
      <w:r>
        <w:rPr>
          <w:rFonts w:hint="eastAsia" w:ascii="宋体" w:hAnsi="宋体" w:eastAsia="宋体" w:cs="宋体"/>
          <w:u w:val="single"/>
          <w:lang w:val="en-US" w:eastAsia="zh-CN"/>
        </w:rPr>
        <w:t xml:space="preserve">：    </w:t>
      </w:r>
      <w:r>
        <w:rPr>
          <w:rFonts w:hint="eastAsia" w:ascii="宋体" w:hAnsi="宋体" w:eastAsia="宋体" w:cs="宋体"/>
          <w:lang w:val="en-US" w:eastAsia="zh-CN"/>
        </w:rPr>
        <w:t>元，</w:t>
      </w:r>
      <w:r>
        <w:rPr>
          <w:rFonts w:hint="eastAsia" w:ascii="宋体" w:hAnsi="宋体" w:eastAsia="宋体" w:cs="宋体"/>
        </w:rPr>
        <w:t>￥</w:t>
      </w:r>
      <w:r>
        <w:rPr>
          <w:rFonts w:hint="eastAsia" w:ascii="宋体" w:hAnsi="宋体" w:eastAsia="宋体" w:cs="宋体"/>
          <w:u w:val="single"/>
        </w:rPr>
        <w:t xml:space="preserve">      </w:t>
      </w:r>
      <w:r>
        <w:rPr>
          <w:rFonts w:hint="eastAsia" w:ascii="宋体" w:hAnsi="宋体" w:eastAsia="宋体" w:cs="宋体"/>
        </w:rPr>
        <w:t>元</w:t>
      </w:r>
      <w:r>
        <w:rPr>
          <w:rFonts w:hint="eastAsia" w:ascii="宋体" w:hAnsi="宋体" w:eastAsia="宋体" w:cs="宋体"/>
          <w:lang w:val="en-US" w:eastAsia="zh-CN"/>
        </w:rPr>
        <w:t xml:space="preserve"> ，税率</w:t>
      </w:r>
      <w:r>
        <w:rPr>
          <w:rFonts w:hint="eastAsia" w:ascii="宋体" w:hAnsi="宋体" w:eastAsia="宋体" w:cs="宋体"/>
          <w:u w:val="single"/>
          <w:lang w:val="en-US" w:eastAsia="zh-CN"/>
        </w:rPr>
        <w:t xml:space="preserve">  </w:t>
      </w:r>
      <w:r>
        <w:rPr>
          <w:rFonts w:hint="eastAsia" w:ascii="宋体" w:hAnsi="宋体" w:eastAsia="宋体" w:cs="宋体"/>
          <w:lang w:val="en-US" w:eastAsia="zh-CN"/>
        </w:rPr>
        <w:t>%。</w:t>
      </w:r>
      <w:r>
        <w:rPr>
          <w:rFonts w:hint="eastAsia" w:ascii="宋体" w:hAnsi="宋体" w:eastAsia="宋体" w:cs="宋体"/>
        </w:rPr>
        <w:t>此价格为包干价(包括药物成本、培训指导、日常维护、施工劳务、安全措施、技术服务费、管理费、相关税费等）。并不因原材料价格变化而改变。</w:t>
      </w:r>
    </w:p>
    <w:p w14:paraId="2DCB85F5">
      <w:pPr>
        <w:spacing w:line="360" w:lineRule="auto"/>
        <w:ind w:firstLine="422" w:firstLineChars="200"/>
        <w:rPr>
          <w:rFonts w:hint="eastAsia" w:ascii="宋体" w:hAnsi="宋体" w:eastAsia="宋体" w:cs="宋体"/>
        </w:rPr>
      </w:pPr>
      <w:r>
        <w:rPr>
          <w:rFonts w:hint="eastAsia" w:ascii="宋体" w:hAnsi="宋体" w:eastAsia="宋体" w:cs="宋体"/>
          <w:b/>
          <w:bCs/>
        </w:rPr>
        <w:t>2、付款方式：</w:t>
      </w:r>
      <w:r>
        <w:rPr>
          <w:rFonts w:hint="eastAsia" w:ascii="宋体" w:hAnsi="宋体" w:eastAsia="宋体" w:cs="宋体"/>
        </w:rPr>
        <w:t>每年防治费用分四次付款，每三个月付款一次，即人民币:</w:t>
      </w:r>
      <w:r>
        <w:rPr>
          <w:rFonts w:hint="eastAsia" w:ascii="宋体" w:hAnsi="宋体" w:eastAsia="宋体" w:cs="宋体"/>
          <w:lang w:val="en-US" w:eastAsia="zh-CN"/>
        </w:rPr>
        <w:t>大写</w:t>
      </w:r>
      <w:r>
        <w:rPr>
          <w:rFonts w:hint="eastAsia" w:ascii="宋体" w:hAnsi="宋体" w:eastAsia="宋体" w:cs="宋体"/>
          <w:u w:val="single"/>
          <w:lang w:val="en-US" w:eastAsia="zh-CN"/>
        </w:rPr>
        <w:t xml:space="preserve">：    </w:t>
      </w:r>
      <w:r>
        <w:rPr>
          <w:rFonts w:hint="eastAsia" w:ascii="宋体" w:hAnsi="宋体" w:eastAsia="宋体" w:cs="宋体"/>
          <w:lang w:val="en-US" w:eastAsia="zh-CN"/>
        </w:rPr>
        <w:t>元，</w:t>
      </w:r>
      <w:r>
        <w:rPr>
          <w:rFonts w:hint="eastAsia" w:ascii="宋体" w:hAnsi="宋体" w:eastAsia="宋体" w:cs="宋体"/>
        </w:rPr>
        <w:t>￥</w:t>
      </w:r>
      <w:r>
        <w:rPr>
          <w:rFonts w:hint="eastAsia" w:ascii="宋体" w:hAnsi="宋体" w:eastAsia="宋体" w:cs="宋体"/>
          <w:u w:val="single"/>
        </w:rPr>
        <w:t xml:space="preserve">      </w:t>
      </w:r>
      <w:r>
        <w:rPr>
          <w:rFonts w:hint="eastAsia" w:ascii="宋体" w:hAnsi="宋体" w:eastAsia="宋体" w:cs="宋体"/>
        </w:rPr>
        <w:t>元，</w:t>
      </w:r>
      <w:r>
        <w:rPr>
          <w:rFonts w:hint="eastAsia" w:ascii="宋体" w:hAnsi="宋体" w:eastAsia="宋体" w:cs="宋体"/>
          <w:lang w:val="en-US" w:eastAsia="zh-CN"/>
        </w:rPr>
        <w:t>不含税：大写</w:t>
      </w:r>
      <w:r>
        <w:rPr>
          <w:rFonts w:hint="eastAsia" w:ascii="宋体" w:hAnsi="宋体" w:eastAsia="宋体" w:cs="宋体"/>
          <w:u w:val="single"/>
          <w:lang w:val="en-US" w:eastAsia="zh-CN"/>
        </w:rPr>
        <w:t xml:space="preserve">：    </w:t>
      </w:r>
      <w:r>
        <w:rPr>
          <w:rFonts w:hint="eastAsia" w:ascii="宋体" w:hAnsi="宋体" w:eastAsia="宋体" w:cs="宋体"/>
          <w:lang w:val="en-US" w:eastAsia="zh-CN"/>
        </w:rPr>
        <w:t>元，</w:t>
      </w:r>
      <w:r>
        <w:rPr>
          <w:rFonts w:hint="eastAsia" w:ascii="宋体" w:hAnsi="宋体" w:eastAsia="宋体" w:cs="宋体"/>
        </w:rPr>
        <w:t>￥</w:t>
      </w:r>
      <w:r>
        <w:rPr>
          <w:rFonts w:hint="eastAsia" w:ascii="宋体" w:hAnsi="宋体" w:eastAsia="宋体" w:cs="宋体"/>
          <w:u w:val="single"/>
        </w:rPr>
        <w:t xml:space="preserve">      </w:t>
      </w:r>
      <w:r>
        <w:rPr>
          <w:rFonts w:hint="eastAsia" w:ascii="宋体" w:hAnsi="宋体" w:eastAsia="宋体" w:cs="宋体"/>
        </w:rPr>
        <w:t>元</w:t>
      </w:r>
      <w:r>
        <w:rPr>
          <w:rFonts w:hint="eastAsia" w:ascii="宋体" w:hAnsi="宋体" w:eastAsia="宋体" w:cs="宋体"/>
          <w:lang w:val="en-US" w:eastAsia="zh-CN"/>
        </w:rPr>
        <w:t xml:space="preserve"> ，税率</w:t>
      </w:r>
      <w:r>
        <w:rPr>
          <w:rFonts w:hint="eastAsia" w:ascii="宋体" w:hAnsi="宋体" w:eastAsia="宋体" w:cs="宋体"/>
          <w:u w:val="single"/>
          <w:lang w:val="en-US" w:eastAsia="zh-CN"/>
        </w:rPr>
        <w:t xml:space="preserve">  </w:t>
      </w:r>
      <w:r>
        <w:rPr>
          <w:rFonts w:hint="eastAsia" w:ascii="宋体" w:hAnsi="宋体" w:eastAsia="宋体" w:cs="宋体"/>
          <w:lang w:val="en-US" w:eastAsia="zh-CN"/>
        </w:rPr>
        <w:t>%。</w:t>
      </w:r>
      <w:r>
        <w:rPr>
          <w:rFonts w:hint="eastAsia" w:ascii="宋体" w:hAnsi="宋体" w:eastAsia="宋体" w:cs="宋体"/>
        </w:rPr>
        <w:t>第一次付款时间为双方签订协议并收到乙方所提供</w:t>
      </w:r>
      <w:r>
        <w:rPr>
          <w:rFonts w:hint="eastAsia" w:ascii="宋体" w:hAnsi="宋体" w:eastAsia="宋体" w:cs="宋体"/>
          <w:lang w:val="en-US" w:eastAsia="zh-CN"/>
        </w:rPr>
        <w:t xml:space="preserve"> </w:t>
      </w:r>
      <w:r>
        <w:rPr>
          <w:rFonts w:hint="eastAsia" w:ascii="宋体" w:hAnsi="宋体" w:eastAsia="宋体" w:cs="宋体"/>
          <w:highlight w:val="yellow"/>
          <w:u w:val="single"/>
          <w:lang w:val="en-US" w:eastAsia="zh-CN"/>
        </w:rPr>
        <w:t xml:space="preserve">  </w:t>
      </w:r>
      <w:r>
        <w:rPr>
          <w:rFonts w:hint="eastAsia" w:ascii="宋体" w:hAnsi="宋体" w:eastAsia="宋体" w:cs="宋体"/>
          <w:highlight w:val="yellow"/>
          <w:u w:val="single"/>
        </w:rPr>
        <w:t>%</w:t>
      </w:r>
      <w:r>
        <w:rPr>
          <w:rFonts w:hint="eastAsia" w:ascii="宋体" w:hAnsi="宋体" w:eastAsia="宋体" w:cs="宋体"/>
        </w:rPr>
        <w:t>足额增值税专用发票，具有有效杀虫效果后十个工作日付款，后三次付款为甲方对乙方的防治服务进行验收并确认合格后，并在收到乙方所提供足额增值税专用发票后的十个工作日内支付至乙方在本协议所明确的银行账号。发票种类为3％的增值税专用发票。</w:t>
      </w:r>
    </w:p>
    <w:p w14:paraId="1B40B945">
      <w:pPr>
        <w:spacing w:line="360" w:lineRule="auto"/>
        <w:rPr>
          <w:rFonts w:hint="eastAsia" w:ascii="宋体" w:hAnsi="宋体" w:eastAsia="宋体" w:cs="宋体"/>
        </w:rPr>
      </w:pPr>
      <w:r>
        <w:rPr>
          <w:rFonts w:hint="eastAsia" w:ascii="宋体" w:hAnsi="宋体" w:eastAsia="宋体" w:cs="宋体"/>
        </w:rPr>
        <w:t>若乙方未按合同约定开具发票或开具的发票不合规，甲方有权拒付服务费用、有权从应付款中扣除相应损失，乙方依然须按合同履行开票义务。由此而导致甲方税务损失(不得抵扣或少抵扣进项税额、被税局罚款、补税、加收滞纳金）由乙方承担，甲方有权从应付款中扣除相应损失。</w:t>
      </w:r>
    </w:p>
    <w:p w14:paraId="523198E9">
      <w:pPr>
        <w:spacing w:line="360" w:lineRule="auto"/>
        <w:ind w:firstLine="422" w:firstLineChars="200"/>
        <w:rPr>
          <w:rFonts w:hint="eastAsia" w:ascii="宋体" w:hAnsi="宋体" w:eastAsia="宋体" w:cs="宋体"/>
          <w:b/>
          <w:bCs/>
        </w:rPr>
      </w:pPr>
      <w:r>
        <w:rPr>
          <w:rFonts w:hint="eastAsia" w:ascii="宋体" w:hAnsi="宋体" w:eastAsia="宋体" w:cs="宋体"/>
          <w:b/>
          <w:bCs/>
        </w:rPr>
        <w:t>3、乙方的银行账户信息如下：</w:t>
      </w:r>
    </w:p>
    <w:p w14:paraId="1FACC327">
      <w:pPr>
        <w:spacing w:line="360" w:lineRule="auto"/>
        <w:ind w:firstLine="422" w:firstLineChars="200"/>
        <w:rPr>
          <w:rFonts w:hint="eastAsia" w:ascii="宋体" w:hAnsi="宋体" w:eastAsia="宋体" w:cs="宋体"/>
          <w:b/>
          <w:bCs/>
        </w:rPr>
      </w:pPr>
      <w:r>
        <w:rPr>
          <w:rFonts w:hint="eastAsia" w:ascii="宋体" w:hAnsi="宋体" w:eastAsia="宋体" w:cs="宋体"/>
          <w:b/>
          <w:bCs/>
        </w:rPr>
        <w:t>开户名：</w:t>
      </w:r>
    </w:p>
    <w:p w14:paraId="4CDA4F5A">
      <w:pPr>
        <w:spacing w:line="360" w:lineRule="auto"/>
        <w:ind w:firstLine="422" w:firstLineChars="200"/>
        <w:rPr>
          <w:rFonts w:hint="eastAsia" w:ascii="宋体" w:hAnsi="宋体" w:eastAsia="宋体" w:cs="宋体"/>
          <w:b/>
          <w:bCs/>
        </w:rPr>
      </w:pPr>
      <w:r>
        <w:rPr>
          <w:rFonts w:hint="eastAsia" w:ascii="宋体" w:hAnsi="宋体" w:eastAsia="宋体" w:cs="宋体"/>
          <w:b/>
          <w:bCs/>
        </w:rPr>
        <w:t>开户行：</w:t>
      </w:r>
    </w:p>
    <w:p w14:paraId="1C3D6BEE">
      <w:pPr>
        <w:spacing w:line="360" w:lineRule="auto"/>
        <w:ind w:firstLine="422" w:firstLineChars="200"/>
        <w:rPr>
          <w:rFonts w:hint="eastAsia" w:ascii="宋体" w:hAnsi="宋体" w:eastAsia="宋体" w:cs="宋体"/>
          <w:b/>
          <w:bCs/>
        </w:rPr>
      </w:pPr>
      <w:r>
        <w:rPr>
          <w:rFonts w:hint="eastAsia" w:ascii="宋体" w:hAnsi="宋体" w:eastAsia="宋体" w:cs="宋体"/>
          <w:b/>
          <w:bCs/>
        </w:rPr>
        <w:t>银行账号：</w:t>
      </w:r>
    </w:p>
    <w:p w14:paraId="73F10C82">
      <w:pPr>
        <w:spacing w:line="360" w:lineRule="auto"/>
        <w:rPr>
          <w:rFonts w:hint="eastAsia" w:ascii="宋体" w:hAnsi="宋体" w:eastAsia="宋体" w:cs="宋体"/>
        </w:rPr>
      </w:pPr>
    </w:p>
    <w:p w14:paraId="16A39F1E">
      <w:pPr>
        <w:spacing w:line="360" w:lineRule="auto"/>
        <w:ind w:firstLine="422" w:firstLineChars="200"/>
        <w:rPr>
          <w:rFonts w:hint="eastAsia" w:ascii="宋体" w:hAnsi="宋体" w:eastAsia="宋体" w:cs="宋体"/>
          <w:b/>
          <w:bCs/>
        </w:rPr>
      </w:pPr>
      <w:r>
        <w:rPr>
          <w:rFonts w:hint="eastAsia" w:ascii="宋体" w:hAnsi="宋体" w:eastAsia="宋体" w:cs="宋体"/>
          <w:b/>
          <w:bCs/>
        </w:rPr>
        <w:t>九、双方责任：</w:t>
      </w:r>
    </w:p>
    <w:p w14:paraId="750C4F31">
      <w:pPr>
        <w:spacing w:line="360" w:lineRule="auto"/>
        <w:ind w:firstLine="422" w:firstLineChars="200"/>
        <w:rPr>
          <w:rFonts w:hint="eastAsia" w:ascii="宋体" w:hAnsi="宋体" w:eastAsia="宋体" w:cs="宋体"/>
          <w:b/>
          <w:bCs/>
        </w:rPr>
      </w:pPr>
      <w:r>
        <w:rPr>
          <w:rFonts w:hint="eastAsia" w:ascii="宋体" w:hAnsi="宋体" w:eastAsia="宋体" w:cs="宋体"/>
          <w:b/>
          <w:bCs/>
        </w:rPr>
        <w:t xml:space="preserve"> (一)甲方责任：</w:t>
      </w:r>
    </w:p>
    <w:p w14:paraId="08C20F48">
      <w:pPr>
        <w:spacing w:line="360" w:lineRule="auto"/>
        <w:ind w:firstLine="420" w:firstLineChars="200"/>
        <w:rPr>
          <w:rFonts w:hint="eastAsia" w:ascii="宋体" w:hAnsi="宋体" w:eastAsia="宋体" w:cs="宋体"/>
        </w:rPr>
      </w:pPr>
      <w:r>
        <w:rPr>
          <w:rFonts w:hint="eastAsia" w:ascii="宋体" w:hAnsi="宋体" w:eastAsia="宋体" w:cs="宋体"/>
        </w:rPr>
        <w:t>1、在承包期内，应选派熟知华润水泥(田阳)有限公司情况的若干名职工配合执行乙方的灭鼠除虫技术实施，同时尽可能为乙方开展工作提供方便。在灭鼠除虫服务施工记录单上签名确认，并协同乙方对每次施工后的效果进行检查和验收。</w:t>
      </w:r>
    </w:p>
    <w:p w14:paraId="6E6649DC">
      <w:pPr>
        <w:spacing w:line="360" w:lineRule="auto"/>
        <w:ind w:firstLine="420" w:firstLineChars="200"/>
        <w:rPr>
          <w:rFonts w:hint="eastAsia" w:ascii="宋体" w:hAnsi="宋体" w:eastAsia="宋体" w:cs="宋体"/>
        </w:rPr>
      </w:pPr>
      <w:r>
        <w:rPr>
          <w:rFonts w:hint="eastAsia" w:ascii="宋体" w:hAnsi="宋体" w:eastAsia="宋体" w:cs="宋体"/>
        </w:rPr>
        <w:t>2、组织职工宣传防“四害”知识，提供职工除“四害”意识，动员职工积极参加并支持除“四害”工作。</w:t>
      </w:r>
    </w:p>
    <w:p w14:paraId="08D3C10F">
      <w:pPr>
        <w:spacing w:line="360" w:lineRule="auto"/>
        <w:ind w:firstLine="420" w:firstLineChars="200"/>
        <w:rPr>
          <w:rFonts w:hint="eastAsia" w:ascii="宋体" w:hAnsi="宋体" w:eastAsia="宋体" w:cs="宋体"/>
        </w:rPr>
      </w:pPr>
      <w:r>
        <w:rPr>
          <w:rFonts w:hint="eastAsia" w:ascii="宋体" w:hAnsi="宋体" w:eastAsia="宋体" w:cs="宋体"/>
        </w:rPr>
        <w:t>3、为保证使鼠类达到长期有效控制，如不属修改结构上的原因，必要时须按乙方的要求在相应地方做好防鼠设施的建设和维护保养工作，进行培训指导。</w:t>
      </w:r>
    </w:p>
    <w:p w14:paraId="0234648A">
      <w:pPr>
        <w:spacing w:line="360" w:lineRule="auto"/>
        <w:ind w:firstLine="420" w:firstLineChars="200"/>
        <w:rPr>
          <w:rFonts w:hint="eastAsia" w:ascii="宋体" w:hAnsi="宋体" w:eastAsia="宋体" w:cs="宋体"/>
        </w:rPr>
      </w:pPr>
      <w:r>
        <w:rPr>
          <w:rFonts w:hint="eastAsia" w:ascii="宋体" w:hAnsi="宋体" w:eastAsia="宋体" w:cs="宋体"/>
        </w:rPr>
        <w:t>4、在协议有效期内，甲方应及时向乙方提供鼠虫害活动情况，以便乙方采取相应的措施。</w:t>
      </w:r>
    </w:p>
    <w:p w14:paraId="360D99E3">
      <w:pPr>
        <w:spacing w:line="360" w:lineRule="auto"/>
        <w:ind w:firstLine="420" w:firstLineChars="200"/>
        <w:rPr>
          <w:rFonts w:hint="eastAsia" w:ascii="宋体" w:hAnsi="宋体" w:eastAsia="宋体" w:cs="宋体"/>
        </w:rPr>
      </w:pPr>
      <w:r>
        <w:rPr>
          <w:rFonts w:hint="eastAsia" w:ascii="宋体" w:hAnsi="宋体" w:eastAsia="宋体" w:cs="宋体"/>
        </w:rPr>
        <w:t>5、负责做好本区域范围内外的环境清洁卫生，生活垃圾要做到日产日清，并做好鼠虫害孳生地的整治和清理鼠迹。</w:t>
      </w:r>
    </w:p>
    <w:p w14:paraId="144CA48C">
      <w:pPr>
        <w:spacing w:line="360" w:lineRule="auto"/>
        <w:ind w:firstLine="420" w:firstLineChars="200"/>
        <w:rPr>
          <w:rFonts w:hint="eastAsia" w:ascii="宋体" w:hAnsi="宋体" w:eastAsia="宋体" w:cs="宋体"/>
        </w:rPr>
      </w:pPr>
      <w:r>
        <w:rPr>
          <w:rFonts w:hint="eastAsia" w:ascii="宋体" w:hAnsi="宋体" w:eastAsia="宋体" w:cs="宋体"/>
        </w:rPr>
        <w:t>6、按协议要求向乙方及时支付防治服务费用，以便乙方正常开展工作。</w:t>
      </w:r>
    </w:p>
    <w:p w14:paraId="34E6B9B6">
      <w:pPr>
        <w:spacing w:line="360" w:lineRule="auto"/>
        <w:ind w:firstLine="420" w:firstLineChars="200"/>
        <w:rPr>
          <w:rFonts w:hint="eastAsia" w:ascii="宋体" w:hAnsi="宋体" w:eastAsia="宋体" w:cs="宋体"/>
        </w:rPr>
      </w:pPr>
      <w:r>
        <w:rPr>
          <w:rFonts w:hint="eastAsia" w:ascii="宋体" w:hAnsi="宋体" w:eastAsia="宋体" w:cs="宋体"/>
        </w:rPr>
        <w:t>7、为安全起见，负责配合乙方做好每次除“四害”投药的通知或公告。</w:t>
      </w:r>
    </w:p>
    <w:p w14:paraId="5A39ED84">
      <w:pPr>
        <w:spacing w:line="360" w:lineRule="auto"/>
        <w:ind w:firstLine="422" w:firstLineChars="200"/>
        <w:rPr>
          <w:rFonts w:hint="eastAsia" w:ascii="宋体" w:hAnsi="宋体" w:eastAsia="宋体" w:cs="宋体"/>
          <w:b/>
          <w:bCs/>
        </w:rPr>
      </w:pPr>
      <w:r>
        <w:rPr>
          <w:rFonts w:hint="eastAsia" w:ascii="宋体" w:hAnsi="宋体" w:eastAsia="宋体" w:cs="宋体"/>
          <w:b/>
          <w:bCs/>
        </w:rPr>
        <w:t xml:space="preserve"> (二)乙方责任：</w:t>
      </w:r>
    </w:p>
    <w:p w14:paraId="6F9E715F">
      <w:pPr>
        <w:spacing w:line="360" w:lineRule="auto"/>
        <w:ind w:firstLine="420" w:firstLineChars="200"/>
        <w:rPr>
          <w:rFonts w:hint="eastAsia" w:ascii="宋体" w:hAnsi="宋体" w:eastAsia="宋体" w:cs="宋体"/>
        </w:rPr>
      </w:pPr>
      <w:r>
        <w:rPr>
          <w:rFonts w:hint="eastAsia" w:ascii="宋体" w:hAnsi="宋体" w:eastAsia="宋体" w:cs="宋体"/>
        </w:rPr>
        <w:t>1、乙方保证在本协议中所使用的药物、产品均符合国家法规所规定许可使用范围，并在有效期内使用：如果因用药或本协议履行过程中造成中毒、食品安全事故、人员财产损失的，均由乙方承担全部赔偿等所有责任。</w:t>
      </w:r>
    </w:p>
    <w:p w14:paraId="06918D4A">
      <w:pPr>
        <w:spacing w:line="360" w:lineRule="auto"/>
        <w:ind w:firstLine="420" w:firstLineChars="200"/>
        <w:rPr>
          <w:rFonts w:hint="eastAsia" w:ascii="宋体" w:hAnsi="宋体" w:eastAsia="宋体" w:cs="宋体"/>
        </w:rPr>
      </w:pPr>
      <w:r>
        <w:rPr>
          <w:rFonts w:hint="eastAsia" w:ascii="宋体" w:hAnsi="宋体" w:eastAsia="宋体" w:cs="宋体"/>
        </w:rPr>
        <w:t>2、乙方须按照协议要求，高质量完成协议期内经常性和突发性的灭鼠除虫工作，做好每次施工的书面记录，向甲方如实及时反映消杀效果及存在问题，施工时施工队要求做到“记下自己所使用的药物、施药位置，并以文字方式告知对方。”施工过程要求有甲方人员的配合并负责在施工单上签字。</w:t>
      </w:r>
    </w:p>
    <w:p w14:paraId="47DCAD9A">
      <w:pPr>
        <w:spacing w:line="360" w:lineRule="auto"/>
        <w:ind w:firstLine="420" w:firstLineChars="200"/>
        <w:rPr>
          <w:rFonts w:hint="eastAsia" w:ascii="宋体" w:hAnsi="宋体" w:eastAsia="宋体" w:cs="宋体"/>
        </w:rPr>
      </w:pPr>
      <w:r>
        <w:rPr>
          <w:rFonts w:hint="eastAsia" w:ascii="宋体" w:hAnsi="宋体" w:eastAsia="宋体" w:cs="宋体"/>
        </w:rPr>
        <w:t>3、乙方所雇佣施工队的操作人员必须经专业培训持有效《有害生物预防控制员》上岗证，必须遵守甲方的安全协议，统一着装(有乙方公司标志）、挂牌文明施工，并应不影响甲方正常工作的情况下进行施工。</w:t>
      </w:r>
    </w:p>
    <w:p w14:paraId="69E8531E">
      <w:pPr>
        <w:spacing w:line="360" w:lineRule="auto"/>
        <w:ind w:firstLine="420" w:firstLineChars="200"/>
        <w:rPr>
          <w:rFonts w:hint="eastAsia" w:ascii="宋体" w:hAnsi="宋体" w:eastAsia="宋体" w:cs="宋体"/>
        </w:rPr>
      </w:pPr>
      <w:r>
        <w:rPr>
          <w:rFonts w:hint="eastAsia" w:ascii="宋体" w:hAnsi="宋体" w:eastAsia="宋体" w:cs="宋体"/>
        </w:rPr>
        <w:t>4、乙方按照所服务的项目内容，每月定期对甲方的鼠虫害情况进行检查，如发现有防治遗漏之处，及时采取措施加以控制，如遇突发鼠虫情，必须在接到甲方通知后24小时内做出响应并到达现场调查处理。</w:t>
      </w:r>
    </w:p>
    <w:p w14:paraId="4364D3F3">
      <w:pPr>
        <w:spacing w:line="360" w:lineRule="auto"/>
        <w:ind w:firstLine="420" w:firstLineChars="200"/>
        <w:rPr>
          <w:rFonts w:hint="eastAsia" w:ascii="宋体" w:hAnsi="宋体" w:eastAsia="宋体" w:cs="宋体"/>
        </w:rPr>
      </w:pPr>
      <w:r>
        <w:rPr>
          <w:rFonts w:hint="eastAsia" w:ascii="宋体" w:hAnsi="宋体" w:eastAsia="宋体" w:cs="宋体"/>
        </w:rPr>
        <w:t>5、乙方进行灭鼠工作在施药时要做到把所放药物的位置记录成图及注意事项提前书面告知甲方，以便相互配合确保安全。</w:t>
      </w:r>
    </w:p>
    <w:p w14:paraId="0B9CFC04">
      <w:pPr>
        <w:spacing w:line="360" w:lineRule="auto"/>
        <w:ind w:firstLine="420" w:firstLineChars="200"/>
        <w:rPr>
          <w:rFonts w:hint="eastAsia" w:ascii="宋体" w:hAnsi="宋体" w:eastAsia="宋体" w:cs="宋体"/>
        </w:rPr>
      </w:pPr>
      <w:r>
        <w:rPr>
          <w:rFonts w:hint="eastAsia" w:ascii="宋体" w:hAnsi="宋体" w:eastAsia="宋体" w:cs="宋体"/>
        </w:rPr>
        <w:t>6、乙方应在合同期内保持到达指标要求，并能通过有关单位对四害的卫生检查。</w:t>
      </w:r>
    </w:p>
    <w:p w14:paraId="795815AD">
      <w:pPr>
        <w:spacing w:line="360" w:lineRule="auto"/>
        <w:ind w:firstLine="420" w:firstLineChars="200"/>
        <w:rPr>
          <w:rFonts w:hint="eastAsia" w:ascii="宋体" w:hAnsi="宋体" w:eastAsia="宋体" w:cs="宋体"/>
        </w:rPr>
      </w:pPr>
      <w:r>
        <w:rPr>
          <w:rFonts w:hint="eastAsia" w:ascii="宋体" w:hAnsi="宋体" w:eastAsia="宋体" w:cs="宋体"/>
        </w:rPr>
        <w:t>7、乙方须在施工队中指派一名固定专职技术员队施工现场进行管理，以便责任到人，利于沟通协调。乙方自行承担与施工队成员之间的因有关劳动、雇佣关系等产生的全部法律责任。</w:t>
      </w:r>
    </w:p>
    <w:p w14:paraId="1F7DA943">
      <w:pPr>
        <w:spacing w:line="360" w:lineRule="auto"/>
        <w:ind w:firstLine="420" w:firstLineChars="200"/>
        <w:rPr>
          <w:rFonts w:hint="eastAsia" w:ascii="宋体" w:hAnsi="宋体" w:eastAsia="宋体" w:cs="宋体"/>
        </w:rPr>
      </w:pPr>
      <w:r>
        <w:rPr>
          <w:rFonts w:hint="eastAsia" w:ascii="宋体" w:hAnsi="宋体" w:eastAsia="宋体" w:cs="宋体"/>
        </w:rPr>
        <w:t>8、乙方对由于使用违禁(国家明文禁止使用)的灭鼠剂、卫生杀虫剂造成的后果负一切责任。</w:t>
      </w:r>
    </w:p>
    <w:p w14:paraId="3D5DB6ED">
      <w:pPr>
        <w:spacing w:line="360" w:lineRule="auto"/>
        <w:ind w:firstLine="420" w:firstLineChars="200"/>
        <w:rPr>
          <w:rFonts w:hint="eastAsia" w:ascii="宋体" w:hAnsi="宋体" w:eastAsia="宋体" w:cs="宋体"/>
        </w:rPr>
      </w:pPr>
      <w:r>
        <w:rPr>
          <w:rFonts w:hint="eastAsia" w:ascii="宋体" w:hAnsi="宋体" w:eastAsia="宋体" w:cs="宋体"/>
        </w:rPr>
        <w:t>9、乙方对如因施工操作或用药不当的物件损坏进行市价赔偿。</w:t>
      </w:r>
    </w:p>
    <w:p w14:paraId="0E32CBB7">
      <w:pPr>
        <w:spacing w:line="360" w:lineRule="auto"/>
        <w:ind w:firstLine="420" w:firstLineChars="200"/>
        <w:rPr>
          <w:rFonts w:hint="eastAsia" w:ascii="宋体" w:hAnsi="宋体" w:eastAsia="宋体" w:cs="宋体"/>
        </w:rPr>
      </w:pPr>
      <w:r>
        <w:rPr>
          <w:rFonts w:hint="eastAsia" w:ascii="宋体" w:hAnsi="宋体" w:eastAsia="宋体" w:cs="宋体"/>
        </w:rPr>
        <w:t>10、乙方须按月进行防治效果监测和回访，未达标时立即整改，直到达标为止并承担相关法律责任。整改措施应在实施前告知甲方。</w:t>
      </w:r>
    </w:p>
    <w:p w14:paraId="0A17A848">
      <w:pPr>
        <w:spacing w:line="360" w:lineRule="auto"/>
        <w:ind w:firstLine="420" w:firstLineChars="200"/>
        <w:rPr>
          <w:rFonts w:hint="eastAsia" w:ascii="宋体" w:hAnsi="宋体" w:eastAsia="宋体" w:cs="宋体"/>
        </w:rPr>
      </w:pPr>
      <w:r>
        <w:rPr>
          <w:rFonts w:hint="eastAsia" w:ascii="宋体" w:hAnsi="宋体" w:eastAsia="宋体" w:cs="宋体"/>
        </w:rPr>
        <w:t>11、违约责任：协议正式生效后，如甲乙双方不履行协议，造成经济损失，应由违约方向守约方支付违约金，违约金额为协议总额的10％。</w:t>
      </w:r>
    </w:p>
    <w:p w14:paraId="19AB3FE2">
      <w:pPr>
        <w:spacing w:line="360" w:lineRule="auto"/>
        <w:ind w:firstLine="420" w:firstLineChars="200"/>
        <w:rPr>
          <w:rFonts w:hint="eastAsia" w:ascii="宋体" w:hAnsi="宋体" w:eastAsia="宋体" w:cs="宋体"/>
        </w:rPr>
      </w:pPr>
      <w:r>
        <w:rPr>
          <w:rFonts w:hint="eastAsia" w:ascii="宋体" w:hAnsi="宋体" w:eastAsia="宋体" w:cs="宋体"/>
        </w:rPr>
        <w:t>12、乙方必须及时开具3%足额增值税专用发票及有效验收单给乙方，乙方根据甲方服务效果进行付款，如不符合要求的可扣除每季度30%乙方服务费，连续2个月不符合要求的甲方可单方解除服务合同而不承担任何违约责任。</w:t>
      </w:r>
    </w:p>
    <w:p w14:paraId="0CB4A09D">
      <w:pPr>
        <w:spacing w:line="360" w:lineRule="auto"/>
        <w:ind w:firstLine="422" w:firstLineChars="200"/>
        <w:rPr>
          <w:rFonts w:hint="eastAsia" w:ascii="宋体" w:hAnsi="宋体" w:eastAsia="宋体" w:cs="宋体"/>
          <w:b/>
          <w:bCs/>
        </w:rPr>
      </w:pPr>
      <w:r>
        <w:rPr>
          <w:rFonts w:hint="eastAsia" w:ascii="宋体" w:hAnsi="宋体" w:eastAsia="宋体" w:cs="宋体"/>
          <w:b/>
          <w:bCs/>
        </w:rPr>
        <w:t>十、通知、送达</w:t>
      </w:r>
    </w:p>
    <w:p w14:paraId="1D7AB910">
      <w:pPr>
        <w:spacing w:line="360" w:lineRule="auto"/>
        <w:ind w:firstLine="420" w:firstLineChars="200"/>
        <w:rPr>
          <w:rFonts w:hint="eastAsia" w:ascii="宋体" w:hAnsi="宋体" w:eastAsia="宋体" w:cs="宋体"/>
        </w:rPr>
      </w:pPr>
      <w:r>
        <w:rPr>
          <w:rFonts w:hint="eastAsia" w:ascii="宋体" w:hAnsi="宋体" w:eastAsia="宋体" w:cs="宋体"/>
        </w:rPr>
        <w:t>1、甲乙双方如发生包括且不限于公司名称变更、银行账号变更等可提前知晓的重大事项、应在该事项既定发生之日起五个工作日前书面告知对方并随附相关文件。否则，由未通知方自行承担相关的法律后果。</w:t>
      </w:r>
    </w:p>
    <w:p w14:paraId="72FB2F9F">
      <w:pPr>
        <w:spacing w:line="360" w:lineRule="auto"/>
        <w:ind w:firstLine="420" w:firstLineChars="200"/>
        <w:rPr>
          <w:rFonts w:hint="eastAsia" w:ascii="宋体" w:hAnsi="宋体" w:eastAsia="宋体" w:cs="宋体"/>
        </w:rPr>
      </w:pPr>
      <w:r>
        <w:rPr>
          <w:rFonts w:hint="eastAsia" w:ascii="宋体" w:hAnsi="宋体" w:eastAsia="宋体" w:cs="宋体"/>
        </w:rPr>
        <w:t>2、甲、乙双方在本协议所留地址(包括电子邮箱地址)为各方的收件地址，如有变更，变更方应在3个工作日内书面通知对方，否则变更方承担相关通知无法送达的责任。向对方送达的文件、通知、函件、回复等送达方可以选择通过EMS邮政特快专递或发送电子邮件方式送达。受送达方应即时签收、接收。EMS邮件特快专递邮寄凭证或电子邮件发送记录作为受送达方收悉的依据一方送达的通知自EMS寄出或电子邮件发出之日视为送达。如由于受送达方的原因不能送达、拒绝签收、未予接收的，EMS邮寄送达的费用由不能送达或拒绝签收的一方承担。</w:t>
      </w:r>
    </w:p>
    <w:p w14:paraId="042DD4FD">
      <w:pPr>
        <w:spacing w:line="360" w:lineRule="auto"/>
        <w:ind w:firstLine="422" w:firstLineChars="200"/>
        <w:rPr>
          <w:rFonts w:hint="eastAsia" w:ascii="宋体" w:hAnsi="宋体" w:eastAsia="宋体" w:cs="宋体"/>
        </w:rPr>
      </w:pPr>
      <w:r>
        <w:rPr>
          <w:rFonts w:hint="eastAsia" w:ascii="宋体" w:hAnsi="宋体" w:eastAsia="宋体" w:cs="宋体"/>
          <w:b/>
          <w:bCs/>
        </w:rPr>
        <w:t>十一、争议的处理方式：</w:t>
      </w:r>
      <w:r>
        <w:rPr>
          <w:rFonts w:hint="eastAsia" w:ascii="宋体" w:hAnsi="宋体" w:eastAsia="宋体" w:cs="宋体"/>
        </w:rPr>
        <w:t>本协议在履行过程中发生的争议。由双方当事人协商解决也可由有关部门调解：若对除“四害”效果存疑，呈请百色市爱卫会聘请有关专家按国家卫生标准到现场考核。对未能考核、考核结论不服、协商或调解不成的，各方均可向甲方所在地有管辖权的人民法院诉讼处理。</w:t>
      </w:r>
    </w:p>
    <w:p w14:paraId="6CF2198B">
      <w:pPr>
        <w:spacing w:line="360" w:lineRule="auto"/>
        <w:rPr>
          <w:rFonts w:hint="eastAsia" w:ascii="宋体" w:hAnsi="宋体" w:eastAsia="宋体" w:cs="宋体"/>
        </w:rPr>
      </w:pPr>
      <w:r>
        <w:rPr>
          <w:rFonts w:hint="eastAsia" w:ascii="宋体" w:hAnsi="宋体" w:eastAsia="宋体" w:cs="宋体"/>
          <w:b/>
          <w:bCs/>
        </w:rPr>
        <w:t>十二、诚信条款：</w:t>
      </w:r>
      <w:r>
        <w:rPr>
          <w:rFonts w:hint="eastAsia" w:ascii="宋体" w:hAnsi="宋体" w:eastAsia="宋体" w:cs="宋体"/>
        </w:rPr>
        <w:t>在本合同的签订和履行过程中，严禁乙方及其相关工作人员在谈判过程中为促成合同、或在合同履行过程中为谋取利益，向甲方的相关工作人员提供利益(包括但不限于提供金钱、物品、期权等有价物，且无论主动或被动提供）乙方承诺恪守本条款，如有违反，一经发现，甲方有权立即终止合同，退回合同标的物并追究乙方的违约责任，乙方除无条件接受全额退货立即返还货款外，还须向甲方支付合同总金额百分之三十的违约金。终止合同后，甲方实际损失大于该金额的，有权向乙方进一步索赔。在此种情况下，甲方有权留置乙方的待付款，并可直接从中扣除违约金、赔偿金等费用。在本合同签订和履行中，甲方工作人员如有主动向乙方索取财物等不诚信行为，乙方可向甲方有关部门举报。</w:t>
      </w:r>
      <w:r>
        <w:rPr>
          <w:rFonts w:hint="eastAsia" w:ascii="宋体" w:hAnsi="宋体" w:eastAsia="宋体" w:cs="宋体"/>
          <w:color w:val="auto"/>
          <w:sz w:val="24"/>
          <w:szCs w:val="24"/>
        </w:rPr>
        <w:t>举报邮箱：crmxinfang@cr-bmt.com</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举报电话：0755-82690369</w:t>
      </w:r>
      <w:r>
        <w:rPr>
          <w:rFonts w:hint="eastAsia" w:ascii="宋体" w:hAnsi="宋体" w:eastAsia="宋体" w:cs="宋体"/>
        </w:rPr>
        <w:t>。</w:t>
      </w:r>
    </w:p>
    <w:p w14:paraId="6A82732B">
      <w:pPr>
        <w:spacing w:line="360" w:lineRule="auto"/>
        <w:ind w:firstLine="422" w:firstLineChars="200"/>
        <w:rPr>
          <w:rFonts w:hint="eastAsia" w:ascii="宋体" w:hAnsi="宋体" w:eastAsia="宋体" w:cs="宋体"/>
          <w:b/>
          <w:bCs/>
          <w:lang w:val="en-US" w:eastAsia="zh-CN"/>
        </w:rPr>
      </w:pPr>
      <w:r>
        <w:rPr>
          <w:rFonts w:hint="eastAsia" w:ascii="宋体" w:hAnsi="宋体" w:eastAsia="宋体" w:cs="宋体"/>
          <w:b/>
          <w:bCs/>
        </w:rPr>
        <w:t>十三、</w:t>
      </w:r>
      <w:r>
        <w:rPr>
          <w:rFonts w:hint="eastAsia" w:ascii="宋体" w:hAnsi="宋体" w:eastAsia="宋体" w:cs="宋体"/>
          <w:b/>
          <w:bCs/>
          <w:lang w:val="en-US" w:eastAsia="zh-CN"/>
        </w:rPr>
        <w:t>其他</w:t>
      </w:r>
    </w:p>
    <w:p w14:paraId="79E0A579">
      <w:pPr>
        <w:spacing w:line="360" w:lineRule="auto"/>
        <w:ind w:firstLine="420" w:firstLineChars="200"/>
        <w:rPr>
          <w:rFonts w:hint="eastAsia" w:ascii="宋体" w:hAnsi="宋体" w:eastAsia="宋体" w:cs="宋体"/>
        </w:rPr>
      </w:pPr>
      <w:r>
        <w:rPr>
          <w:rFonts w:hint="eastAsia" w:ascii="宋体" w:hAnsi="宋体" w:eastAsia="宋体" w:cs="宋体"/>
        </w:rPr>
        <w:t>1、本协议一式肆份，甲乙双方各执贰份，各份具有同等法律效力，经甲、乙双方授权代表签字及盖公章后生效。</w:t>
      </w:r>
    </w:p>
    <w:p w14:paraId="7BFCCE35">
      <w:pPr>
        <w:spacing w:line="360" w:lineRule="auto"/>
        <w:ind w:firstLine="420" w:firstLineChars="200"/>
        <w:rPr>
          <w:rFonts w:hint="eastAsia" w:ascii="宋体" w:hAnsi="宋体" w:eastAsia="宋体" w:cs="宋体"/>
        </w:rPr>
      </w:pPr>
      <w:r>
        <w:rPr>
          <w:rFonts w:hint="eastAsia" w:ascii="宋体" w:hAnsi="宋体" w:eastAsia="宋体" w:cs="宋体"/>
        </w:rPr>
        <w:t>2、本合同未尽事宜，由甲、乙双方协商解决。</w:t>
      </w:r>
    </w:p>
    <w:p w14:paraId="0125E172">
      <w:pPr>
        <w:spacing w:line="360" w:lineRule="auto"/>
        <w:ind w:firstLine="420" w:firstLineChars="200"/>
        <w:rPr>
          <w:rFonts w:hint="eastAsia" w:ascii="宋体" w:hAnsi="宋体" w:eastAsia="宋体" w:cs="宋体"/>
        </w:rPr>
      </w:pPr>
      <w:r>
        <w:rPr>
          <w:rFonts w:hint="eastAsia" w:ascii="宋体" w:hAnsi="宋体" w:eastAsia="宋体" w:cs="宋体"/>
        </w:rPr>
        <w:t>3、本协议有效期自202</w:t>
      </w:r>
      <w:r>
        <w:rPr>
          <w:rFonts w:hint="eastAsia" w:ascii="宋体" w:hAnsi="宋体" w:eastAsia="宋体" w:cs="宋体"/>
          <w:lang w:val="en-US" w:eastAsia="zh-CN"/>
        </w:rPr>
        <w:t>6</w:t>
      </w:r>
      <w:r>
        <w:rPr>
          <w:rFonts w:hint="eastAsia" w:ascii="宋体" w:hAnsi="宋体" w:eastAsia="宋体" w:cs="宋体"/>
        </w:rPr>
        <w:t>年  月  日起至</w:t>
      </w:r>
      <w:r>
        <w:rPr>
          <w:rFonts w:hint="eastAsia" w:ascii="宋体" w:hAnsi="宋体" w:eastAsia="宋体" w:cs="宋体"/>
          <w:lang w:val="en-US" w:eastAsia="zh-CN"/>
        </w:rPr>
        <w:t>2028</w:t>
      </w:r>
      <w:r>
        <w:rPr>
          <w:rFonts w:hint="eastAsia" w:ascii="宋体" w:hAnsi="宋体" w:eastAsia="宋体" w:cs="宋体"/>
        </w:rPr>
        <w:t>年</w:t>
      </w:r>
      <w:r>
        <w:rPr>
          <w:rFonts w:hint="eastAsia" w:ascii="宋体" w:hAnsi="宋体" w:eastAsia="宋体" w:cs="宋体"/>
          <w:lang w:val="en-US" w:eastAsia="zh-CN"/>
        </w:rPr>
        <w:t>5</w:t>
      </w:r>
      <w:r>
        <w:rPr>
          <w:rFonts w:hint="eastAsia" w:ascii="宋体" w:hAnsi="宋体" w:eastAsia="宋体" w:cs="宋体"/>
        </w:rPr>
        <w:t>月</w:t>
      </w:r>
      <w:r>
        <w:rPr>
          <w:rFonts w:hint="eastAsia" w:ascii="宋体" w:hAnsi="宋体" w:eastAsia="宋体" w:cs="宋体"/>
          <w:lang w:val="en-US" w:eastAsia="zh-CN"/>
        </w:rPr>
        <w:t>31</w:t>
      </w:r>
      <w:r>
        <w:rPr>
          <w:rFonts w:hint="eastAsia" w:ascii="宋体" w:hAnsi="宋体" w:eastAsia="宋体" w:cs="宋体"/>
        </w:rPr>
        <w:t>日止。</w:t>
      </w:r>
    </w:p>
    <w:p w14:paraId="4F9EC596">
      <w:pPr>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4、考核标准：</w:t>
      </w:r>
      <w:r>
        <w:rPr>
          <w:rFonts w:hint="eastAsia" w:ascii="宋体" w:hAnsi="宋体" w:eastAsia="宋体" w:cs="宋体"/>
          <w:b/>
          <w:bCs/>
          <w:highlight w:val="red"/>
          <w:lang w:val="en-US" w:eastAsia="zh-CN"/>
        </w:rPr>
        <w:t>详见合同附件1</w:t>
      </w:r>
    </w:p>
    <w:p w14:paraId="792622F7">
      <w:pPr>
        <w:spacing w:line="360" w:lineRule="auto"/>
        <w:rPr>
          <w:rFonts w:hint="eastAsia" w:ascii="宋体" w:hAnsi="宋体" w:eastAsia="宋体" w:cs="宋体"/>
        </w:rPr>
      </w:pPr>
    </w:p>
    <w:p w14:paraId="6B5DB24C">
      <w:pPr>
        <w:spacing w:line="360" w:lineRule="auto"/>
        <w:rPr>
          <w:rFonts w:hint="eastAsia" w:ascii="宋体" w:hAnsi="宋体" w:eastAsia="宋体" w:cs="宋体"/>
        </w:rPr>
      </w:pPr>
    </w:p>
    <w:p w14:paraId="28342F73">
      <w:pPr>
        <w:spacing w:line="360" w:lineRule="auto"/>
        <w:ind w:firstLine="840" w:firstLineChars="400"/>
        <w:rPr>
          <w:rFonts w:hint="eastAsia" w:ascii="宋体" w:hAnsi="宋体" w:eastAsia="宋体" w:cs="宋体"/>
        </w:rPr>
      </w:pPr>
      <w:r>
        <w:rPr>
          <w:rFonts w:hint="eastAsia" w:ascii="宋体" w:hAnsi="宋体" w:eastAsia="宋体" w:cs="宋体"/>
        </w:rPr>
        <w:t xml:space="preserve">甲方：华润水泥（田阳）有限公司 </w:t>
      </w:r>
      <w:r>
        <w:rPr>
          <w:rFonts w:hint="eastAsia" w:ascii="宋体" w:hAnsi="宋体" w:eastAsia="宋体" w:cs="宋体"/>
          <w:lang w:val="en-US" w:eastAsia="zh-CN"/>
        </w:rPr>
        <w:t xml:space="preserve">          </w:t>
      </w:r>
      <w:r>
        <w:rPr>
          <w:rFonts w:hint="eastAsia" w:ascii="宋体" w:hAnsi="宋体" w:eastAsia="宋体" w:cs="宋体"/>
        </w:rPr>
        <w:t xml:space="preserve">乙方： </w:t>
      </w:r>
    </w:p>
    <w:p w14:paraId="3725C118">
      <w:pPr>
        <w:spacing w:line="360" w:lineRule="auto"/>
        <w:ind w:firstLine="840" w:firstLineChars="400"/>
        <w:rPr>
          <w:rFonts w:hint="eastAsia" w:ascii="宋体" w:hAnsi="宋体" w:eastAsia="宋体" w:cs="宋体"/>
        </w:rPr>
      </w:pPr>
      <w:r>
        <w:rPr>
          <w:rFonts w:hint="eastAsia" w:ascii="宋体" w:hAnsi="宋体" w:eastAsia="宋体" w:cs="宋体"/>
        </w:rPr>
        <w:t xml:space="preserve">代表：                         </w:t>
      </w:r>
      <w:r>
        <w:rPr>
          <w:rFonts w:hint="eastAsia" w:ascii="宋体" w:hAnsi="宋体" w:eastAsia="宋体" w:cs="宋体"/>
          <w:lang w:val="en-US" w:eastAsia="zh-CN"/>
        </w:rPr>
        <w:t xml:space="preserve">          </w:t>
      </w:r>
      <w:r>
        <w:rPr>
          <w:rFonts w:hint="eastAsia" w:ascii="宋体" w:hAnsi="宋体" w:eastAsia="宋体" w:cs="宋体"/>
        </w:rPr>
        <w:t>代表：</w:t>
      </w:r>
    </w:p>
    <w:p w14:paraId="3B194221">
      <w:pPr>
        <w:spacing w:line="360" w:lineRule="auto"/>
        <w:ind w:firstLine="840" w:firstLineChars="400"/>
        <w:rPr>
          <w:rFonts w:hint="default" w:ascii="宋体" w:hAnsi="宋体" w:eastAsia="宋体" w:cs="宋体"/>
          <w:lang w:val="en-US" w:eastAsia="zh-CN"/>
        </w:rPr>
      </w:pPr>
      <w:r>
        <w:rPr>
          <w:rFonts w:hint="eastAsia" w:ascii="宋体" w:hAnsi="宋体" w:eastAsia="宋体" w:cs="宋体"/>
          <w:lang w:val="en-US" w:eastAsia="zh-CN"/>
        </w:rPr>
        <w:t xml:space="preserve">签订日期：2026年  月  日             签订日期：2026年  月  日 </w:t>
      </w:r>
    </w:p>
    <w:p w14:paraId="76A9FA10">
      <w:pPr>
        <w:spacing w:line="360" w:lineRule="auto"/>
        <w:rPr>
          <w:rFonts w:hint="eastAsia" w:ascii="宋体" w:hAnsi="宋体" w:eastAsia="宋体" w:cs="宋体"/>
          <w:lang w:val="en-US" w:eastAsia="zh-CN"/>
        </w:rPr>
      </w:pPr>
    </w:p>
    <w:p w14:paraId="5E8C0A49">
      <w:pPr>
        <w:spacing w:line="360" w:lineRule="auto"/>
        <w:rPr>
          <w:rFonts w:hint="eastAsia" w:ascii="宋体" w:hAnsi="宋体" w:eastAsia="宋体" w:cs="宋体"/>
        </w:rPr>
      </w:pPr>
    </w:p>
    <w:p w14:paraId="0EE940F5">
      <w:pPr>
        <w:spacing w:line="360" w:lineRule="auto"/>
        <w:rPr>
          <w:rFonts w:hint="eastAsia" w:ascii="宋体" w:hAnsi="宋体" w:eastAsia="宋体" w:cs="宋体"/>
        </w:rPr>
      </w:pPr>
    </w:p>
    <w:p w14:paraId="0BB4A050">
      <w:pPr>
        <w:spacing w:line="360" w:lineRule="auto"/>
        <w:rPr>
          <w:rFonts w:hint="eastAsia" w:ascii="宋体" w:hAnsi="宋体" w:eastAsia="宋体" w:cs="宋体"/>
        </w:rPr>
      </w:pPr>
    </w:p>
    <w:p w14:paraId="203B18F6">
      <w:pPr>
        <w:spacing w:line="360" w:lineRule="auto"/>
        <w:rPr>
          <w:rFonts w:hint="eastAsia" w:ascii="宋体" w:hAnsi="宋体" w:eastAsia="宋体" w:cs="宋体"/>
        </w:rPr>
      </w:pPr>
    </w:p>
    <w:p w14:paraId="4DDD4FA6">
      <w:pPr>
        <w:spacing w:line="360" w:lineRule="auto"/>
        <w:rPr>
          <w:rFonts w:hint="eastAsia" w:ascii="宋体" w:hAnsi="宋体" w:eastAsia="宋体" w:cs="宋体"/>
        </w:rPr>
      </w:pPr>
    </w:p>
    <w:p w14:paraId="016A5EB7">
      <w:pPr>
        <w:spacing w:line="360" w:lineRule="auto"/>
        <w:rPr>
          <w:rFonts w:hint="eastAsia" w:ascii="宋体" w:hAnsi="宋体" w:eastAsia="宋体" w:cs="宋体"/>
        </w:rPr>
      </w:pPr>
    </w:p>
    <w:p w14:paraId="7966F88C">
      <w:pPr>
        <w:spacing w:line="360" w:lineRule="auto"/>
        <w:rPr>
          <w:rFonts w:hint="eastAsia" w:ascii="宋体" w:hAnsi="宋体" w:eastAsia="宋体" w:cs="宋体"/>
        </w:rPr>
      </w:pPr>
    </w:p>
    <w:p w14:paraId="48F6345A">
      <w:pPr>
        <w:spacing w:line="360" w:lineRule="auto"/>
        <w:rPr>
          <w:rFonts w:hint="eastAsia" w:ascii="宋体" w:hAnsi="宋体" w:eastAsia="宋体" w:cs="宋体"/>
        </w:rPr>
      </w:pPr>
    </w:p>
    <w:p w14:paraId="11C72FFE">
      <w:pPr>
        <w:spacing w:line="360" w:lineRule="auto"/>
        <w:rPr>
          <w:rFonts w:hint="eastAsia" w:ascii="宋体" w:hAnsi="宋体" w:eastAsia="宋体" w:cs="宋体"/>
        </w:rPr>
      </w:pPr>
    </w:p>
    <w:p w14:paraId="6EE6AFE1">
      <w:pPr>
        <w:spacing w:line="360" w:lineRule="auto"/>
        <w:rPr>
          <w:rFonts w:hint="eastAsia" w:ascii="宋体" w:hAnsi="宋体" w:eastAsia="宋体" w:cs="宋体"/>
        </w:rPr>
      </w:pPr>
    </w:p>
    <w:p w14:paraId="7C6D972B">
      <w:pPr>
        <w:spacing w:line="360" w:lineRule="auto"/>
        <w:rPr>
          <w:rFonts w:hint="eastAsia" w:ascii="宋体" w:hAnsi="宋体" w:eastAsia="宋体" w:cs="宋体"/>
        </w:rPr>
      </w:pPr>
    </w:p>
    <w:p w14:paraId="3E387BC1">
      <w:pPr>
        <w:spacing w:line="360" w:lineRule="auto"/>
        <w:rPr>
          <w:rFonts w:hint="eastAsia" w:ascii="宋体" w:hAnsi="宋体" w:eastAsia="宋体" w:cs="宋体"/>
        </w:rPr>
      </w:pPr>
    </w:p>
    <w:p w14:paraId="2A91D856">
      <w:pPr>
        <w:spacing w:line="360" w:lineRule="auto"/>
        <w:rPr>
          <w:rFonts w:hint="eastAsia" w:ascii="宋体" w:hAnsi="宋体" w:eastAsia="宋体" w:cs="宋体"/>
        </w:rPr>
      </w:pPr>
    </w:p>
    <w:p w14:paraId="42DB3324">
      <w:pPr>
        <w:spacing w:line="360" w:lineRule="auto"/>
        <w:rPr>
          <w:rFonts w:hint="eastAsia" w:ascii="宋体" w:hAnsi="宋体" w:eastAsia="宋体" w:cs="宋体"/>
        </w:rPr>
      </w:pPr>
    </w:p>
    <w:p w14:paraId="11EA8EC3">
      <w:pPr>
        <w:spacing w:line="360" w:lineRule="auto"/>
        <w:rPr>
          <w:rFonts w:hint="eastAsia" w:ascii="宋体" w:hAnsi="宋体" w:eastAsia="宋体" w:cs="宋体"/>
        </w:rPr>
      </w:pPr>
    </w:p>
    <w:p w14:paraId="57DDC9C0">
      <w:pPr>
        <w:spacing w:line="360" w:lineRule="auto"/>
        <w:rPr>
          <w:rFonts w:hint="eastAsia" w:ascii="宋体" w:hAnsi="宋体" w:eastAsia="宋体" w:cs="宋体"/>
        </w:rPr>
      </w:pPr>
    </w:p>
    <w:p w14:paraId="4EE3E33F">
      <w:pPr>
        <w:spacing w:line="360" w:lineRule="auto"/>
        <w:rPr>
          <w:rFonts w:hint="eastAsia" w:ascii="宋体" w:hAnsi="宋体" w:eastAsia="宋体" w:cs="宋体"/>
        </w:rPr>
      </w:pPr>
    </w:p>
    <w:p w14:paraId="61A1C76E">
      <w:pPr>
        <w:spacing w:line="540" w:lineRule="exact"/>
        <w:ind w:firstLine="560" w:firstLineChars="200"/>
        <w:rPr>
          <w:rFonts w:hint="eastAsia" w:ascii="宋体" w:hAnsi="宋体" w:eastAsia="宋体" w:cs="宋体"/>
          <w:sz w:val="28"/>
          <w:szCs w:val="28"/>
        </w:rPr>
      </w:pPr>
    </w:p>
    <w:p w14:paraId="582613A7">
      <w:pPr>
        <w:spacing w:line="360" w:lineRule="auto"/>
        <w:rPr>
          <w:rFonts w:hint="eastAsia" w:ascii="宋体" w:hAnsi="宋体" w:eastAsia="宋体" w:cs="宋体"/>
          <w:b/>
          <w:sz w:val="28"/>
          <w:szCs w:val="28"/>
        </w:rPr>
      </w:pPr>
      <w:r>
        <w:rPr>
          <w:rFonts w:hint="eastAsia" w:ascii="宋体" w:hAnsi="宋体" w:eastAsia="宋体" w:cs="宋体"/>
          <w:b/>
          <w:sz w:val="28"/>
          <w:szCs w:val="28"/>
          <w:lang w:val="en-US" w:eastAsia="zh-CN"/>
        </w:rPr>
        <w:t>附件1</w:t>
      </w:r>
      <w:r>
        <w:rPr>
          <w:rFonts w:hint="eastAsia" w:ascii="宋体" w:hAnsi="宋体" w:eastAsia="宋体" w:cs="宋体"/>
          <w:b/>
          <w:sz w:val="28"/>
          <w:szCs w:val="28"/>
        </w:rPr>
        <w:t>考核标准</w:t>
      </w:r>
    </w:p>
    <w:p w14:paraId="61EB4414">
      <w:pPr>
        <w:rPr>
          <w:rFonts w:hint="eastAsia" w:ascii="宋体" w:hAnsi="宋体" w:eastAsia="宋体" w:cs="宋体"/>
        </w:rPr>
      </w:pPr>
    </w:p>
    <w:tbl>
      <w:tblPr>
        <w:tblStyle w:val="29"/>
        <w:tblW w:w="9356" w:type="dxa"/>
        <w:tblInd w:w="-629" w:type="dxa"/>
        <w:tblLayout w:type="fixed"/>
        <w:tblCellMar>
          <w:top w:w="0" w:type="dxa"/>
          <w:left w:w="108" w:type="dxa"/>
          <w:bottom w:w="0" w:type="dxa"/>
          <w:right w:w="108" w:type="dxa"/>
        </w:tblCellMar>
      </w:tblPr>
      <w:tblGrid>
        <w:gridCol w:w="824"/>
        <w:gridCol w:w="1118"/>
        <w:gridCol w:w="3019"/>
        <w:gridCol w:w="1104"/>
        <w:gridCol w:w="1090"/>
        <w:gridCol w:w="1118"/>
        <w:gridCol w:w="1083"/>
      </w:tblGrid>
      <w:tr w14:paraId="275D54ED">
        <w:tblPrEx>
          <w:tblCellMar>
            <w:top w:w="0" w:type="dxa"/>
            <w:left w:w="108" w:type="dxa"/>
            <w:bottom w:w="0" w:type="dxa"/>
            <w:right w:w="108" w:type="dxa"/>
          </w:tblCellMar>
        </w:tblPrEx>
        <w:trPr>
          <w:trHeight w:val="480" w:hRule="atLeast"/>
        </w:trPr>
        <w:tc>
          <w:tcPr>
            <w:tcW w:w="824" w:type="dxa"/>
            <w:tcBorders>
              <w:top w:val="single" w:color="auto" w:sz="4" w:space="0"/>
              <w:left w:val="single" w:color="auto" w:sz="4" w:space="0"/>
              <w:bottom w:val="single" w:color="auto" w:sz="4" w:space="0"/>
              <w:right w:val="single" w:color="auto" w:sz="4" w:space="0"/>
            </w:tcBorders>
            <w:noWrap/>
            <w:vAlign w:val="center"/>
          </w:tcPr>
          <w:p w14:paraId="17085951">
            <w:pPr>
              <w:widowControl/>
              <w:jc w:val="center"/>
              <w:rPr>
                <w:rFonts w:hint="eastAsia" w:ascii="宋体" w:hAnsi="宋体" w:eastAsia="宋体" w:cs="宋体"/>
                <w:b/>
                <w:bCs/>
                <w:color w:val="000000"/>
                <w:kern w:val="0"/>
                <w:sz w:val="20"/>
              </w:rPr>
            </w:pPr>
            <w:r>
              <w:rPr>
                <w:rFonts w:hint="eastAsia" w:ascii="宋体" w:hAnsi="宋体" w:eastAsia="宋体" w:cs="宋体"/>
                <w:b/>
                <w:bCs/>
                <w:color w:val="000000"/>
                <w:kern w:val="0"/>
                <w:sz w:val="20"/>
              </w:rPr>
              <w:t>编号</w:t>
            </w:r>
          </w:p>
        </w:tc>
        <w:tc>
          <w:tcPr>
            <w:tcW w:w="1118" w:type="dxa"/>
            <w:tcBorders>
              <w:top w:val="single" w:color="auto" w:sz="4" w:space="0"/>
              <w:left w:val="nil"/>
              <w:bottom w:val="single" w:color="auto" w:sz="4" w:space="0"/>
              <w:right w:val="single" w:color="auto" w:sz="4" w:space="0"/>
            </w:tcBorders>
            <w:noWrap/>
            <w:vAlign w:val="center"/>
          </w:tcPr>
          <w:p w14:paraId="5B6F96C7">
            <w:pPr>
              <w:widowControl/>
              <w:jc w:val="center"/>
              <w:rPr>
                <w:rFonts w:hint="eastAsia" w:ascii="宋体" w:hAnsi="宋体" w:eastAsia="宋体" w:cs="宋体"/>
                <w:b/>
                <w:bCs/>
                <w:color w:val="000000"/>
                <w:kern w:val="0"/>
                <w:sz w:val="20"/>
              </w:rPr>
            </w:pPr>
            <w:r>
              <w:rPr>
                <w:rFonts w:hint="eastAsia" w:ascii="宋体" w:hAnsi="宋体" w:eastAsia="宋体" w:cs="宋体"/>
                <w:b/>
                <w:bCs/>
                <w:color w:val="000000"/>
                <w:kern w:val="0"/>
                <w:sz w:val="20"/>
              </w:rPr>
              <w:t>项目</w:t>
            </w:r>
          </w:p>
        </w:tc>
        <w:tc>
          <w:tcPr>
            <w:tcW w:w="3019" w:type="dxa"/>
            <w:tcBorders>
              <w:top w:val="single" w:color="auto" w:sz="4" w:space="0"/>
              <w:left w:val="nil"/>
              <w:bottom w:val="single" w:color="auto" w:sz="4" w:space="0"/>
              <w:right w:val="single" w:color="auto" w:sz="4" w:space="0"/>
            </w:tcBorders>
            <w:vAlign w:val="center"/>
          </w:tcPr>
          <w:p w14:paraId="39446FC9">
            <w:pPr>
              <w:widowControl/>
              <w:jc w:val="center"/>
              <w:rPr>
                <w:rFonts w:hint="eastAsia" w:ascii="宋体" w:hAnsi="宋体" w:eastAsia="宋体" w:cs="宋体"/>
                <w:b/>
                <w:bCs/>
                <w:color w:val="000000"/>
                <w:kern w:val="0"/>
                <w:sz w:val="20"/>
              </w:rPr>
            </w:pPr>
            <w:r>
              <w:rPr>
                <w:rFonts w:hint="eastAsia" w:ascii="宋体" w:hAnsi="宋体" w:eastAsia="宋体" w:cs="宋体"/>
                <w:b/>
                <w:bCs/>
                <w:color w:val="000000"/>
                <w:kern w:val="0"/>
                <w:sz w:val="20"/>
              </w:rPr>
              <w:t>工作要求及验收标准</w:t>
            </w:r>
          </w:p>
        </w:tc>
        <w:tc>
          <w:tcPr>
            <w:tcW w:w="1104" w:type="dxa"/>
            <w:tcBorders>
              <w:top w:val="single" w:color="auto" w:sz="4" w:space="0"/>
              <w:left w:val="nil"/>
              <w:bottom w:val="single" w:color="auto" w:sz="4" w:space="0"/>
              <w:right w:val="single" w:color="auto" w:sz="4" w:space="0"/>
            </w:tcBorders>
            <w:noWrap/>
            <w:vAlign w:val="center"/>
          </w:tcPr>
          <w:p w14:paraId="58D39FD1">
            <w:pPr>
              <w:widowControl/>
              <w:jc w:val="center"/>
              <w:rPr>
                <w:rFonts w:hint="eastAsia" w:ascii="宋体" w:hAnsi="宋体" w:eastAsia="宋体" w:cs="宋体"/>
                <w:b/>
                <w:bCs/>
                <w:color w:val="000000"/>
                <w:kern w:val="0"/>
                <w:sz w:val="20"/>
              </w:rPr>
            </w:pPr>
            <w:r>
              <w:rPr>
                <w:rFonts w:hint="eastAsia" w:ascii="宋体" w:hAnsi="宋体" w:eastAsia="宋体" w:cs="宋体"/>
                <w:b/>
                <w:bCs/>
                <w:color w:val="000000"/>
                <w:kern w:val="0"/>
                <w:sz w:val="20"/>
              </w:rPr>
              <w:t>检查结果描述</w:t>
            </w:r>
          </w:p>
        </w:tc>
        <w:tc>
          <w:tcPr>
            <w:tcW w:w="1090" w:type="dxa"/>
            <w:tcBorders>
              <w:top w:val="single" w:color="auto" w:sz="4" w:space="0"/>
              <w:left w:val="nil"/>
              <w:bottom w:val="single" w:color="auto" w:sz="4" w:space="0"/>
              <w:right w:val="single" w:color="auto" w:sz="4" w:space="0"/>
            </w:tcBorders>
            <w:vAlign w:val="center"/>
          </w:tcPr>
          <w:p w14:paraId="451EAF81">
            <w:pPr>
              <w:widowControl/>
              <w:jc w:val="center"/>
              <w:rPr>
                <w:rFonts w:hint="eastAsia" w:ascii="宋体" w:hAnsi="宋体" w:eastAsia="宋体" w:cs="宋体"/>
                <w:b/>
                <w:bCs/>
                <w:color w:val="000000"/>
                <w:kern w:val="0"/>
                <w:sz w:val="20"/>
              </w:rPr>
            </w:pPr>
            <w:r>
              <w:rPr>
                <w:rFonts w:hint="eastAsia" w:ascii="宋体" w:hAnsi="宋体" w:eastAsia="宋体" w:cs="宋体"/>
                <w:b/>
                <w:bCs/>
                <w:color w:val="000000"/>
                <w:kern w:val="0"/>
                <w:sz w:val="20"/>
              </w:rPr>
              <w:t>考核部门人员确认</w:t>
            </w:r>
          </w:p>
        </w:tc>
        <w:tc>
          <w:tcPr>
            <w:tcW w:w="1118" w:type="dxa"/>
            <w:tcBorders>
              <w:top w:val="single" w:color="auto" w:sz="4" w:space="0"/>
              <w:left w:val="nil"/>
              <w:bottom w:val="single" w:color="auto" w:sz="4" w:space="0"/>
              <w:right w:val="single" w:color="auto" w:sz="4" w:space="0"/>
            </w:tcBorders>
            <w:vAlign w:val="center"/>
          </w:tcPr>
          <w:p w14:paraId="03C444DB">
            <w:pPr>
              <w:widowControl/>
              <w:jc w:val="center"/>
              <w:rPr>
                <w:rFonts w:hint="eastAsia" w:ascii="宋体" w:hAnsi="宋体" w:eastAsia="宋体" w:cs="宋体"/>
                <w:b/>
                <w:bCs/>
                <w:color w:val="000000"/>
                <w:kern w:val="0"/>
                <w:sz w:val="20"/>
              </w:rPr>
            </w:pPr>
            <w:r>
              <w:rPr>
                <w:rFonts w:hint="eastAsia" w:ascii="宋体" w:hAnsi="宋体" w:eastAsia="宋体" w:cs="宋体"/>
                <w:b/>
                <w:bCs/>
                <w:color w:val="000000"/>
                <w:kern w:val="0"/>
                <w:sz w:val="20"/>
              </w:rPr>
              <w:t>扣款金额(元）</w:t>
            </w:r>
          </w:p>
        </w:tc>
        <w:tc>
          <w:tcPr>
            <w:tcW w:w="1083" w:type="dxa"/>
            <w:tcBorders>
              <w:top w:val="single" w:color="auto" w:sz="4" w:space="0"/>
              <w:left w:val="nil"/>
              <w:bottom w:val="single" w:color="auto" w:sz="4" w:space="0"/>
              <w:right w:val="single" w:color="auto" w:sz="4" w:space="0"/>
            </w:tcBorders>
            <w:vAlign w:val="center"/>
          </w:tcPr>
          <w:p w14:paraId="44EAAD44">
            <w:pPr>
              <w:widowControl/>
              <w:jc w:val="center"/>
              <w:rPr>
                <w:rFonts w:hint="eastAsia" w:ascii="宋体" w:hAnsi="宋体" w:eastAsia="宋体" w:cs="宋体"/>
                <w:b/>
                <w:bCs/>
                <w:color w:val="000000"/>
                <w:kern w:val="0"/>
                <w:sz w:val="20"/>
              </w:rPr>
            </w:pPr>
            <w:r>
              <w:rPr>
                <w:rFonts w:hint="eastAsia" w:ascii="宋体" w:hAnsi="宋体" w:eastAsia="宋体" w:cs="宋体"/>
                <w:b/>
                <w:bCs/>
                <w:color w:val="000000"/>
                <w:kern w:val="0"/>
                <w:sz w:val="20"/>
              </w:rPr>
              <w:t>供应商确认签名</w:t>
            </w:r>
          </w:p>
        </w:tc>
      </w:tr>
      <w:tr w14:paraId="272C6374">
        <w:tblPrEx>
          <w:tblCellMar>
            <w:top w:w="0" w:type="dxa"/>
            <w:left w:w="108" w:type="dxa"/>
            <w:bottom w:w="0" w:type="dxa"/>
            <w:right w:w="108" w:type="dxa"/>
          </w:tblCellMar>
        </w:tblPrEx>
        <w:trPr>
          <w:trHeight w:val="960" w:hRule="atLeast"/>
        </w:trPr>
        <w:tc>
          <w:tcPr>
            <w:tcW w:w="824" w:type="dxa"/>
            <w:tcBorders>
              <w:top w:val="nil"/>
              <w:left w:val="single" w:color="auto" w:sz="4" w:space="0"/>
              <w:bottom w:val="single" w:color="auto" w:sz="4" w:space="0"/>
              <w:right w:val="single" w:color="auto" w:sz="4" w:space="0"/>
            </w:tcBorders>
            <w:noWrap/>
            <w:vAlign w:val="center"/>
          </w:tcPr>
          <w:p w14:paraId="4B2A84C2">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1</w:t>
            </w:r>
          </w:p>
        </w:tc>
        <w:tc>
          <w:tcPr>
            <w:tcW w:w="1118" w:type="dxa"/>
            <w:tcBorders>
              <w:top w:val="nil"/>
              <w:left w:val="nil"/>
              <w:bottom w:val="single" w:color="auto" w:sz="4" w:space="0"/>
              <w:right w:val="single" w:color="auto" w:sz="4" w:space="0"/>
            </w:tcBorders>
            <w:noWrap/>
            <w:vAlign w:val="center"/>
          </w:tcPr>
          <w:p w14:paraId="008AE2B7">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药物使用</w:t>
            </w:r>
          </w:p>
        </w:tc>
        <w:tc>
          <w:tcPr>
            <w:tcW w:w="3019" w:type="dxa"/>
            <w:tcBorders>
              <w:top w:val="nil"/>
              <w:left w:val="nil"/>
              <w:bottom w:val="single" w:color="auto" w:sz="4" w:space="0"/>
              <w:right w:val="single" w:color="auto" w:sz="4" w:space="0"/>
            </w:tcBorders>
            <w:vAlign w:val="center"/>
          </w:tcPr>
          <w:p w14:paraId="054D7D68">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所用药物符合国家规定，如不符合国家规定及稀释要求的1样药品扣500元/次。</w:t>
            </w:r>
          </w:p>
        </w:tc>
        <w:tc>
          <w:tcPr>
            <w:tcW w:w="1104" w:type="dxa"/>
            <w:tcBorders>
              <w:top w:val="nil"/>
              <w:left w:val="nil"/>
              <w:bottom w:val="single" w:color="auto" w:sz="4" w:space="0"/>
              <w:right w:val="single" w:color="auto" w:sz="4" w:space="0"/>
            </w:tcBorders>
            <w:vAlign w:val="center"/>
          </w:tcPr>
          <w:p w14:paraId="55B54C94">
            <w:pPr>
              <w:widowControl/>
              <w:jc w:val="left"/>
              <w:rPr>
                <w:rFonts w:hint="eastAsia" w:ascii="宋体" w:hAnsi="宋体" w:eastAsia="宋体" w:cs="宋体"/>
                <w:kern w:val="0"/>
                <w:sz w:val="20"/>
              </w:rPr>
            </w:pPr>
            <w:r>
              <w:rPr>
                <w:rFonts w:hint="eastAsia" w:ascii="宋体" w:hAnsi="宋体" w:eastAsia="宋体" w:cs="宋体"/>
                <w:kern w:val="0"/>
                <w:sz w:val="20"/>
              </w:rPr>
              <w:t>　</w:t>
            </w:r>
          </w:p>
        </w:tc>
        <w:tc>
          <w:tcPr>
            <w:tcW w:w="1090" w:type="dxa"/>
            <w:tcBorders>
              <w:top w:val="nil"/>
              <w:left w:val="nil"/>
              <w:bottom w:val="single" w:color="auto" w:sz="4" w:space="0"/>
              <w:right w:val="single" w:color="auto" w:sz="4" w:space="0"/>
            </w:tcBorders>
            <w:vAlign w:val="center"/>
          </w:tcPr>
          <w:p w14:paraId="4BCA397C">
            <w:pPr>
              <w:widowControl/>
              <w:jc w:val="left"/>
              <w:rPr>
                <w:rFonts w:hint="eastAsia" w:ascii="宋体" w:hAnsi="宋体" w:eastAsia="宋体" w:cs="宋体"/>
                <w:kern w:val="0"/>
                <w:sz w:val="20"/>
              </w:rPr>
            </w:pPr>
            <w:r>
              <w:rPr>
                <w:rFonts w:hint="eastAsia" w:ascii="宋体" w:hAnsi="宋体" w:eastAsia="宋体" w:cs="宋体"/>
                <w:kern w:val="0"/>
                <w:sz w:val="20"/>
              </w:rPr>
              <w:t>　</w:t>
            </w:r>
          </w:p>
        </w:tc>
        <w:tc>
          <w:tcPr>
            <w:tcW w:w="1118" w:type="dxa"/>
            <w:tcBorders>
              <w:top w:val="nil"/>
              <w:left w:val="nil"/>
              <w:bottom w:val="single" w:color="auto" w:sz="4" w:space="0"/>
              <w:right w:val="single" w:color="auto" w:sz="4" w:space="0"/>
            </w:tcBorders>
            <w:noWrap/>
            <w:vAlign w:val="center"/>
          </w:tcPr>
          <w:p w14:paraId="7DD11151">
            <w:pPr>
              <w:widowControl/>
              <w:jc w:val="center"/>
              <w:rPr>
                <w:rFonts w:hint="eastAsia" w:ascii="宋体" w:hAnsi="宋体" w:eastAsia="宋体" w:cs="宋体"/>
                <w:kern w:val="0"/>
                <w:sz w:val="20"/>
              </w:rPr>
            </w:pPr>
            <w:r>
              <w:rPr>
                <w:rFonts w:hint="eastAsia" w:ascii="宋体" w:hAnsi="宋体" w:eastAsia="宋体" w:cs="宋体"/>
                <w:kern w:val="0"/>
                <w:sz w:val="20"/>
              </w:rPr>
              <w:t>0</w:t>
            </w:r>
          </w:p>
        </w:tc>
        <w:tc>
          <w:tcPr>
            <w:tcW w:w="1083" w:type="dxa"/>
            <w:vMerge w:val="restart"/>
            <w:tcBorders>
              <w:top w:val="nil"/>
              <w:left w:val="single" w:color="auto" w:sz="4" w:space="0"/>
              <w:bottom w:val="single" w:color="auto" w:sz="4" w:space="0"/>
              <w:right w:val="single" w:color="auto" w:sz="4" w:space="0"/>
            </w:tcBorders>
            <w:noWrap/>
            <w:vAlign w:val="center"/>
          </w:tcPr>
          <w:p w14:paraId="02D48749">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　</w:t>
            </w:r>
          </w:p>
        </w:tc>
      </w:tr>
      <w:tr w14:paraId="1CCC325E">
        <w:tblPrEx>
          <w:tblCellMar>
            <w:top w:w="0" w:type="dxa"/>
            <w:left w:w="108" w:type="dxa"/>
            <w:bottom w:w="0" w:type="dxa"/>
            <w:right w:w="108" w:type="dxa"/>
          </w:tblCellMar>
        </w:tblPrEx>
        <w:trPr>
          <w:trHeight w:val="1365" w:hRule="atLeast"/>
        </w:trPr>
        <w:tc>
          <w:tcPr>
            <w:tcW w:w="824" w:type="dxa"/>
            <w:tcBorders>
              <w:top w:val="nil"/>
              <w:left w:val="single" w:color="auto" w:sz="4" w:space="0"/>
              <w:bottom w:val="single" w:color="auto" w:sz="4" w:space="0"/>
              <w:right w:val="single" w:color="auto" w:sz="4" w:space="0"/>
            </w:tcBorders>
            <w:noWrap/>
            <w:vAlign w:val="center"/>
          </w:tcPr>
          <w:p w14:paraId="5376B550">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2</w:t>
            </w:r>
          </w:p>
        </w:tc>
        <w:tc>
          <w:tcPr>
            <w:tcW w:w="1118" w:type="dxa"/>
            <w:tcBorders>
              <w:top w:val="nil"/>
              <w:left w:val="nil"/>
              <w:bottom w:val="single" w:color="auto" w:sz="4" w:space="0"/>
              <w:right w:val="single" w:color="auto" w:sz="4" w:space="0"/>
            </w:tcBorders>
            <w:noWrap/>
            <w:vAlign w:val="center"/>
          </w:tcPr>
          <w:p w14:paraId="09E741D5">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每月检查</w:t>
            </w:r>
          </w:p>
        </w:tc>
        <w:tc>
          <w:tcPr>
            <w:tcW w:w="3019" w:type="dxa"/>
            <w:tcBorders>
              <w:top w:val="nil"/>
              <w:left w:val="nil"/>
              <w:bottom w:val="single" w:color="auto" w:sz="4" w:space="0"/>
              <w:right w:val="single" w:color="auto" w:sz="4" w:space="0"/>
            </w:tcBorders>
            <w:vAlign w:val="center"/>
          </w:tcPr>
          <w:p w14:paraId="22B45CD5">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每月至少2次对甲方的四害区域检查，如发现有防治遗漏之处，及时采取加强措施加以控制，低于检查次数的每月扣300元。</w:t>
            </w:r>
          </w:p>
        </w:tc>
        <w:tc>
          <w:tcPr>
            <w:tcW w:w="1104" w:type="dxa"/>
            <w:tcBorders>
              <w:top w:val="nil"/>
              <w:left w:val="nil"/>
              <w:bottom w:val="single" w:color="auto" w:sz="4" w:space="0"/>
              <w:right w:val="single" w:color="auto" w:sz="4" w:space="0"/>
            </w:tcBorders>
            <w:vAlign w:val="center"/>
          </w:tcPr>
          <w:p w14:paraId="411F12B9">
            <w:pPr>
              <w:widowControl/>
              <w:jc w:val="left"/>
              <w:rPr>
                <w:rFonts w:hint="eastAsia" w:ascii="宋体" w:hAnsi="宋体" w:eastAsia="宋体" w:cs="宋体"/>
                <w:kern w:val="0"/>
                <w:sz w:val="20"/>
              </w:rPr>
            </w:pPr>
            <w:r>
              <w:rPr>
                <w:rFonts w:hint="eastAsia" w:ascii="宋体" w:hAnsi="宋体" w:eastAsia="宋体" w:cs="宋体"/>
                <w:kern w:val="0"/>
                <w:sz w:val="20"/>
              </w:rPr>
              <w:t>　</w:t>
            </w:r>
          </w:p>
        </w:tc>
        <w:tc>
          <w:tcPr>
            <w:tcW w:w="1090" w:type="dxa"/>
            <w:tcBorders>
              <w:top w:val="nil"/>
              <w:left w:val="nil"/>
              <w:bottom w:val="single" w:color="auto" w:sz="4" w:space="0"/>
              <w:right w:val="single" w:color="auto" w:sz="4" w:space="0"/>
            </w:tcBorders>
            <w:vAlign w:val="center"/>
          </w:tcPr>
          <w:p w14:paraId="48CA9C17">
            <w:pPr>
              <w:widowControl/>
              <w:jc w:val="left"/>
              <w:rPr>
                <w:rFonts w:hint="eastAsia" w:ascii="宋体" w:hAnsi="宋体" w:eastAsia="宋体" w:cs="宋体"/>
                <w:kern w:val="0"/>
                <w:sz w:val="20"/>
              </w:rPr>
            </w:pPr>
            <w:r>
              <w:rPr>
                <w:rFonts w:hint="eastAsia" w:ascii="宋体" w:hAnsi="宋体" w:eastAsia="宋体" w:cs="宋体"/>
                <w:kern w:val="0"/>
                <w:sz w:val="20"/>
              </w:rPr>
              <w:t>　</w:t>
            </w:r>
          </w:p>
        </w:tc>
        <w:tc>
          <w:tcPr>
            <w:tcW w:w="1118" w:type="dxa"/>
            <w:tcBorders>
              <w:top w:val="nil"/>
              <w:left w:val="nil"/>
              <w:bottom w:val="single" w:color="auto" w:sz="4" w:space="0"/>
              <w:right w:val="single" w:color="auto" w:sz="4" w:space="0"/>
            </w:tcBorders>
            <w:noWrap/>
            <w:vAlign w:val="center"/>
          </w:tcPr>
          <w:p w14:paraId="09937E81">
            <w:pPr>
              <w:widowControl/>
              <w:jc w:val="center"/>
              <w:rPr>
                <w:rFonts w:hint="eastAsia" w:ascii="宋体" w:hAnsi="宋体" w:eastAsia="宋体" w:cs="宋体"/>
                <w:kern w:val="0"/>
                <w:sz w:val="20"/>
              </w:rPr>
            </w:pPr>
            <w:r>
              <w:rPr>
                <w:rFonts w:hint="eastAsia" w:ascii="宋体" w:hAnsi="宋体" w:eastAsia="宋体" w:cs="宋体"/>
                <w:kern w:val="0"/>
                <w:sz w:val="20"/>
              </w:rPr>
              <w:t>0</w:t>
            </w:r>
          </w:p>
        </w:tc>
        <w:tc>
          <w:tcPr>
            <w:tcW w:w="1083" w:type="dxa"/>
            <w:vMerge w:val="continue"/>
            <w:tcBorders>
              <w:top w:val="nil"/>
              <w:left w:val="single" w:color="auto" w:sz="4" w:space="0"/>
              <w:bottom w:val="single" w:color="auto" w:sz="4" w:space="0"/>
              <w:right w:val="single" w:color="auto" w:sz="4" w:space="0"/>
            </w:tcBorders>
            <w:vAlign w:val="center"/>
          </w:tcPr>
          <w:p w14:paraId="582B068F">
            <w:pPr>
              <w:widowControl/>
              <w:jc w:val="left"/>
              <w:rPr>
                <w:rFonts w:hint="eastAsia" w:ascii="宋体" w:hAnsi="宋体" w:eastAsia="宋体" w:cs="宋体"/>
                <w:color w:val="000000"/>
                <w:kern w:val="0"/>
                <w:sz w:val="20"/>
              </w:rPr>
            </w:pPr>
          </w:p>
        </w:tc>
      </w:tr>
      <w:tr w14:paraId="0FFDF9D3">
        <w:tblPrEx>
          <w:tblCellMar>
            <w:top w:w="0" w:type="dxa"/>
            <w:left w:w="108" w:type="dxa"/>
            <w:bottom w:w="0" w:type="dxa"/>
            <w:right w:w="108" w:type="dxa"/>
          </w:tblCellMar>
        </w:tblPrEx>
        <w:trPr>
          <w:trHeight w:val="1728" w:hRule="atLeast"/>
        </w:trPr>
        <w:tc>
          <w:tcPr>
            <w:tcW w:w="824" w:type="dxa"/>
            <w:tcBorders>
              <w:top w:val="nil"/>
              <w:left w:val="single" w:color="auto" w:sz="4" w:space="0"/>
              <w:bottom w:val="single" w:color="auto" w:sz="4" w:space="0"/>
              <w:right w:val="single" w:color="auto" w:sz="4" w:space="0"/>
            </w:tcBorders>
            <w:noWrap/>
            <w:vAlign w:val="center"/>
          </w:tcPr>
          <w:p w14:paraId="1137E48C">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3</w:t>
            </w:r>
          </w:p>
        </w:tc>
        <w:tc>
          <w:tcPr>
            <w:tcW w:w="1118" w:type="dxa"/>
            <w:tcBorders>
              <w:top w:val="nil"/>
              <w:left w:val="nil"/>
              <w:bottom w:val="single" w:color="auto" w:sz="4" w:space="0"/>
              <w:right w:val="single" w:color="auto" w:sz="4" w:space="0"/>
            </w:tcBorders>
            <w:vAlign w:val="center"/>
          </w:tcPr>
          <w:p w14:paraId="650673F4">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消杀</w:t>
            </w:r>
          </w:p>
        </w:tc>
        <w:tc>
          <w:tcPr>
            <w:tcW w:w="3019" w:type="dxa"/>
            <w:tcBorders>
              <w:top w:val="nil"/>
              <w:left w:val="nil"/>
              <w:bottom w:val="single" w:color="auto" w:sz="4" w:space="0"/>
              <w:right w:val="single" w:color="auto" w:sz="4" w:space="0"/>
            </w:tcBorders>
            <w:vAlign w:val="center"/>
          </w:tcPr>
          <w:p w14:paraId="2BB9E715">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甲方在乙方完成单次消杀服务后，若发现仍存在 “四害”（含合同约定的灭蛇等相关有害生物）侵扰问题，应及时通知乙方，乙方须在以下约定时限内派员进行免费加强消杀：</w:t>
            </w:r>
          </w:p>
          <w:p w14:paraId="20780A29">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（1）灭鼠：首次消杀后10日内；</w:t>
            </w:r>
          </w:p>
          <w:p w14:paraId="3FD54ADB">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（2）灭蟑螂、灭蝇、灭蚊：首次消杀后2日内；</w:t>
            </w:r>
          </w:p>
          <w:p w14:paraId="23E25A78">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（3）灭蛇、灭蚁：首次消杀后10日内。</w:t>
            </w:r>
          </w:p>
          <w:p w14:paraId="64D04246">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（4）月度如不按合同次数进行消杀的。</w:t>
            </w:r>
          </w:p>
          <w:p w14:paraId="2E1CB4AD">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若乙方经加强消杀后仍未解决“四害”侵扰问题，应免费增加消杀频次或调整消杀方案，直至达到合同约定标准；乙方不得因以提供当次周期消杀服务而拒绝履行前述加强消杀义务，否则甲方有权按500元/次的标准对乙方进行扣款，如无应急性措施的扣1000元/次。</w:t>
            </w:r>
          </w:p>
        </w:tc>
        <w:tc>
          <w:tcPr>
            <w:tcW w:w="1104" w:type="dxa"/>
            <w:tcBorders>
              <w:top w:val="nil"/>
              <w:left w:val="nil"/>
              <w:bottom w:val="single" w:color="auto" w:sz="4" w:space="0"/>
              <w:right w:val="single" w:color="auto" w:sz="4" w:space="0"/>
            </w:tcBorders>
            <w:vAlign w:val="center"/>
          </w:tcPr>
          <w:p w14:paraId="71A26F02">
            <w:pPr>
              <w:widowControl/>
              <w:jc w:val="left"/>
              <w:rPr>
                <w:rFonts w:hint="eastAsia" w:ascii="宋体" w:hAnsi="宋体" w:eastAsia="宋体" w:cs="宋体"/>
                <w:kern w:val="0"/>
                <w:sz w:val="20"/>
              </w:rPr>
            </w:pPr>
            <w:r>
              <w:rPr>
                <w:rFonts w:hint="eastAsia" w:ascii="宋体" w:hAnsi="宋体" w:eastAsia="宋体" w:cs="宋体"/>
                <w:kern w:val="0"/>
                <w:sz w:val="20"/>
              </w:rPr>
              <w:t>　</w:t>
            </w:r>
          </w:p>
        </w:tc>
        <w:tc>
          <w:tcPr>
            <w:tcW w:w="1090" w:type="dxa"/>
            <w:tcBorders>
              <w:top w:val="nil"/>
              <w:left w:val="nil"/>
              <w:bottom w:val="single" w:color="auto" w:sz="4" w:space="0"/>
              <w:right w:val="single" w:color="auto" w:sz="4" w:space="0"/>
            </w:tcBorders>
            <w:vAlign w:val="center"/>
          </w:tcPr>
          <w:p w14:paraId="1FD0B790">
            <w:pPr>
              <w:widowControl/>
              <w:jc w:val="left"/>
              <w:rPr>
                <w:rFonts w:hint="eastAsia" w:ascii="宋体" w:hAnsi="宋体" w:eastAsia="宋体" w:cs="宋体"/>
                <w:kern w:val="0"/>
                <w:sz w:val="20"/>
              </w:rPr>
            </w:pPr>
            <w:r>
              <w:rPr>
                <w:rFonts w:hint="eastAsia" w:ascii="宋体" w:hAnsi="宋体" w:eastAsia="宋体" w:cs="宋体"/>
                <w:kern w:val="0"/>
                <w:sz w:val="20"/>
              </w:rPr>
              <w:t>　</w:t>
            </w:r>
          </w:p>
        </w:tc>
        <w:tc>
          <w:tcPr>
            <w:tcW w:w="1118" w:type="dxa"/>
            <w:tcBorders>
              <w:top w:val="nil"/>
              <w:left w:val="nil"/>
              <w:bottom w:val="single" w:color="auto" w:sz="4" w:space="0"/>
              <w:right w:val="single" w:color="auto" w:sz="4" w:space="0"/>
            </w:tcBorders>
            <w:noWrap/>
            <w:vAlign w:val="center"/>
          </w:tcPr>
          <w:p w14:paraId="6C060F4B">
            <w:pPr>
              <w:widowControl/>
              <w:jc w:val="center"/>
              <w:rPr>
                <w:rFonts w:hint="eastAsia" w:ascii="宋体" w:hAnsi="宋体" w:eastAsia="宋体" w:cs="宋体"/>
                <w:kern w:val="0"/>
                <w:sz w:val="20"/>
              </w:rPr>
            </w:pPr>
            <w:r>
              <w:rPr>
                <w:rFonts w:hint="eastAsia" w:ascii="宋体" w:hAnsi="宋体" w:eastAsia="宋体" w:cs="宋体"/>
                <w:kern w:val="0"/>
                <w:sz w:val="20"/>
              </w:rPr>
              <w:t>0</w:t>
            </w:r>
          </w:p>
        </w:tc>
        <w:tc>
          <w:tcPr>
            <w:tcW w:w="1083" w:type="dxa"/>
            <w:vMerge w:val="continue"/>
            <w:tcBorders>
              <w:top w:val="nil"/>
              <w:left w:val="single" w:color="auto" w:sz="4" w:space="0"/>
              <w:bottom w:val="single" w:color="auto" w:sz="4" w:space="0"/>
              <w:right w:val="single" w:color="auto" w:sz="4" w:space="0"/>
            </w:tcBorders>
            <w:vAlign w:val="center"/>
          </w:tcPr>
          <w:p w14:paraId="19923520">
            <w:pPr>
              <w:widowControl/>
              <w:jc w:val="left"/>
              <w:rPr>
                <w:rFonts w:hint="eastAsia" w:ascii="宋体" w:hAnsi="宋体" w:eastAsia="宋体" w:cs="宋体"/>
                <w:color w:val="000000"/>
                <w:kern w:val="0"/>
                <w:sz w:val="20"/>
              </w:rPr>
            </w:pPr>
          </w:p>
        </w:tc>
      </w:tr>
      <w:tr w14:paraId="6D6EB312">
        <w:tblPrEx>
          <w:tblCellMar>
            <w:top w:w="0" w:type="dxa"/>
            <w:left w:w="108" w:type="dxa"/>
            <w:bottom w:w="0" w:type="dxa"/>
            <w:right w:w="108" w:type="dxa"/>
          </w:tblCellMar>
        </w:tblPrEx>
        <w:trPr>
          <w:trHeight w:val="1290" w:hRule="atLeast"/>
        </w:trPr>
        <w:tc>
          <w:tcPr>
            <w:tcW w:w="824" w:type="dxa"/>
            <w:tcBorders>
              <w:top w:val="nil"/>
              <w:left w:val="single" w:color="auto" w:sz="4" w:space="0"/>
              <w:bottom w:val="single" w:color="auto" w:sz="4" w:space="0"/>
              <w:right w:val="single" w:color="auto" w:sz="4" w:space="0"/>
            </w:tcBorders>
            <w:noWrap/>
            <w:vAlign w:val="center"/>
          </w:tcPr>
          <w:p w14:paraId="4CF9A634">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4</w:t>
            </w:r>
          </w:p>
        </w:tc>
        <w:tc>
          <w:tcPr>
            <w:tcW w:w="1118" w:type="dxa"/>
            <w:tcBorders>
              <w:top w:val="nil"/>
              <w:left w:val="nil"/>
              <w:bottom w:val="single" w:color="auto" w:sz="4" w:space="0"/>
              <w:right w:val="single" w:color="auto" w:sz="4" w:space="0"/>
            </w:tcBorders>
            <w:vAlign w:val="center"/>
          </w:tcPr>
          <w:p w14:paraId="32B99368">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施工</w:t>
            </w:r>
          </w:p>
        </w:tc>
        <w:tc>
          <w:tcPr>
            <w:tcW w:w="3019" w:type="dxa"/>
            <w:tcBorders>
              <w:top w:val="nil"/>
              <w:left w:val="nil"/>
              <w:bottom w:val="single" w:color="auto" w:sz="4" w:space="0"/>
              <w:right w:val="single" w:color="auto" w:sz="4" w:space="0"/>
            </w:tcBorders>
            <w:vAlign w:val="center"/>
          </w:tcPr>
          <w:p w14:paraId="0CA1FB38">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在不影响甲方正常工作、生活秩序、不损害甲方利益前提下，遵照甲方的规章制度进行文明施工。</w:t>
            </w:r>
          </w:p>
        </w:tc>
        <w:tc>
          <w:tcPr>
            <w:tcW w:w="1104" w:type="dxa"/>
            <w:tcBorders>
              <w:top w:val="nil"/>
              <w:left w:val="nil"/>
              <w:bottom w:val="single" w:color="auto" w:sz="4" w:space="0"/>
              <w:right w:val="single" w:color="auto" w:sz="4" w:space="0"/>
            </w:tcBorders>
            <w:vAlign w:val="center"/>
          </w:tcPr>
          <w:p w14:paraId="2F304389">
            <w:pPr>
              <w:widowControl/>
              <w:jc w:val="left"/>
              <w:rPr>
                <w:rFonts w:hint="eastAsia" w:ascii="宋体" w:hAnsi="宋体" w:eastAsia="宋体" w:cs="宋体"/>
                <w:kern w:val="0"/>
                <w:sz w:val="20"/>
              </w:rPr>
            </w:pPr>
            <w:r>
              <w:rPr>
                <w:rFonts w:hint="eastAsia" w:ascii="宋体" w:hAnsi="宋体" w:eastAsia="宋体" w:cs="宋体"/>
                <w:kern w:val="0"/>
                <w:sz w:val="20"/>
              </w:rPr>
              <w:t>　</w:t>
            </w:r>
          </w:p>
        </w:tc>
        <w:tc>
          <w:tcPr>
            <w:tcW w:w="1090" w:type="dxa"/>
            <w:tcBorders>
              <w:top w:val="nil"/>
              <w:left w:val="nil"/>
              <w:bottom w:val="single" w:color="auto" w:sz="4" w:space="0"/>
              <w:right w:val="single" w:color="auto" w:sz="4" w:space="0"/>
            </w:tcBorders>
            <w:vAlign w:val="center"/>
          </w:tcPr>
          <w:p w14:paraId="62F44876">
            <w:pPr>
              <w:widowControl/>
              <w:jc w:val="left"/>
              <w:rPr>
                <w:rFonts w:hint="eastAsia" w:ascii="宋体" w:hAnsi="宋体" w:eastAsia="宋体" w:cs="宋体"/>
                <w:kern w:val="0"/>
                <w:sz w:val="20"/>
              </w:rPr>
            </w:pPr>
            <w:r>
              <w:rPr>
                <w:rFonts w:hint="eastAsia" w:ascii="宋体" w:hAnsi="宋体" w:eastAsia="宋体" w:cs="宋体"/>
                <w:kern w:val="0"/>
                <w:sz w:val="20"/>
              </w:rPr>
              <w:t>　</w:t>
            </w:r>
          </w:p>
        </w:tc>
        <w:tc>
          <w:tcPr>
            <w:tcW w:w="1118" w:type="dxa"/>
            <w:tcBorders>
              <w:top w:val="nil"/>
              <w:left w:val="nil"/>
              <w:bottom w:val="single" w:color="auto" w:sz="4" w:space="0"/>
              <w:right w:val="single" w:color="auto" w:sz="4" w:space="0"/>
            </w:tcBorders>
            <w:noWrap/>
            <w:vAlign w:val="center"/>
          </w:tcPr>
          <w:p w14:paraId="0DE21547">
            <w:pPr>
              <w:widowControl/>
              <w:jc w:val="center"/>
              <w:rPr>
                <w:rFonts w:hint="eastAsia" w:ascii="宋体" w:hAnsi="宋体" w:eastAsia="宋体" w:cs="宋体"/>
                <w:kern w:val="0"/>
                <w:sz w:val="20"/>
              </w:rPr>
            </w:pPr>
            <w:r>
              <w:rPr>
                <w:rFonts w:hint="eastAsia" w:ascii="宋体" w:hAnsi="宋体" w:eastAsia="宋体" w:cs="宋体"/>
                <w:kern w:val="0"/>
                <w:sz w:val="20"/>
              </w:rPr>
              <w:t>0</w:t>
            </w:r>
          </w:p>
        </w:tc>
        <w:tc>
          <w:tcPr>
            <w:tcW w:w="1083" w:type="dxa"/>
            <w:vMerge w:val="continue"/>
            <w:tcBorders>
              <w:top w:val="nil"/>
              <w:left w:val="single" w:color="auto" w:sz="4" w:space="0"/>
              <w:bottom w:val="single" w:color="auto" w:sz="4" w:space="0"/>
              <w:right w:val="single" w:color="auto" w:sz="4" w:space="0"/>
            </w:tcBorders>
            <w:vAlign w:val="center"/>
          </w:tcPr>
          <w:p w14:paraId="570C0B05">
            <w:pPr>
              <w:widowControl/>
              <w:jc w:val="left"/>
              <w:rPr>
                <w:rFonts w:hint="eastAsia" w:ascii="宋体" w:hAnsi="宋体" w:eastAsia="宋体" w:cs="宋体"/>
                <w:color w:val="000000"/>
                <w:kern w:val="0"/>
                <w:sz w:val="20"/>
              </w:rPr>
            </w:pPr>
          </w:p>
        </w:tc>
      </w:tr>
      <w:tr w14:paraId="54CFE5E4">
        <w:tblPrEx>
          <w:tblCellMar>
            <w:top w:w="0" w:type="dxa"/>
            <w:left w:w="108" w:type="dxa"/>
            <w:bottom w:w="0" w:type="dxa"/>
            <w:right w:w="108" w:type="dxa"/>
          </w:tblCellMar>
        </w:tblPrEx>
        <w:trPr>
          <w:trHeight w:val="1200" w:hRule="atLeast"/>
        </w:trPr>
        <w:tc>
          <w:tcPr>
            <w:tcW w:w="824" w:type="dxa"/>
            <w:tcBorders>
              <w:top w:val="nil"/>
              <w:left w:val="single" w:color="auto" w:sz="4" w:space="0"/>
              <w:bottom w:val="single" w:color="auto" w:sz="4" w:space="0"/>
              <w:right w:val="single" w:color="auto" w:sz="4" w:space="0"/>
            </w:tcBorders>
            <w:noWrap/>
            <w:vAlign w:val="center"/>
          </w:tcPr>
          <w:p w14:paraId="4A724E99">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6</w:t>
            </w:r>
          </w:p>
        </w:tc>
        <w:tc>
          <w:tcPr>
            <w:tcW w:w="1118" w:type="dxa"/>
            <w:tcBorders>
              <w:top w:val="nil"/>
              <w:left w:val="nil"/>
              <w:bottom w:val="single" w:color="auto" w:sz="4" w:space="0"/>
              <w:right w:val="single" w:color="auto" w:sz="4" w:space="0"/>
            </w:tcBorders>
            <w:vAlign w:val="center"/>
          </w:tcPr>
          <w:p w14:paraId="5243F136">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服务反馈</w:t>
            </w:r>
          </w:p>
        </w:tc>
        <w:tc>
          <w:tcPr>
            <w:tcW w:w="3019" w:type="dxa"/>
            <w:tcBorders>
              <w:top w:val="nil"/>
              <w:left w:val="nil"/>
              <w:bottom w:val="single" w:color="auto" w:sz="4" w:space="0"/>
              <w:right w:val="single" w:color="auto" w:sz="4" w:space="0"/>
            </w:tcBorders>
            <w:vAlign w:val="center"/>
          </w:tcPr>
          <w:p w14:paraId="3B67AB52">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如果有目标（鼠、蛇）出现，服务方将在收到信息后的24小时内做出反馈，规定时间内无做出反馈的扣500元/次。</w:t>
            </w:r>
          </w:p>
        </w:tc>
        <w:tc>
          <w:tcPr>
            <w:tcW w:w="1104" w:type="dxa"/>
            <w:tcBorders>
              <w:top w:val="nil"/>
              <w:left w:val="nil"/>
              <w:bottom w:val="single" w:color="auto" w:sz="4" w:space="0"/>
              <w:right w:val="single" w:color="auto" w:sz="4" w:space="0"/>
            </w:tcBorders>
            <w:vAlign w:val="center"/>
          </w:tcPr>
          <w:p w14:paraId="488C46D1">
            <w:pPr>
              <w:widowControl/>
              <w:jc w:val="left"/>
              <w:rPr>
                <w:rFonts w:hint="eastAsia" w:ascii="宋体" w:hAnsi="宋体" w:eastAsia="宋体" w:cs="宋体"/>
                <w:kern w:val="0"/>
                <w:sz w:val="20"/>
              </w:rPr>
            </w:pPr>
            <w:r>
              <w:rPr>
                <w:rFonts w:hint="eastAsia" w:ascii="宋体" w:hAnsi="宋体" w:eastAsia="宋体" w:cs="宋体"/>
                <w:kern w:val="0"/>
                <w:sz w:val="20"/>
              </w:rPr>
              <w:t>　</w:t>
            </w:r>
          </w:p>
        </w:tc>
        <w:tc>
          <w:tcPr>
            <w:tcW w:w="1090" w:type="dxa"/>
            <w:tcBorders>
              <w:top w:val="nil"/>
              <w:left w:val="nil"/>
              <w:bottom w:val="single" w:color="auto" w:sz="4" w:space="0"/>
              <w:right w:val="single" w:color="auto" w:sz="4" w:space="0"/>
            </w:tcBorders>
            <w:vAlign w:val="center"/>
          </w:tcPr>
          <w:p w14:paraId="01CCA8ED">
            <w:pPr>
              <w:widowControl/>
              <w:jc w:val="left"/>
              <w:rPr>
                <w:rFonts w:hint="eastAsia" w:ascii="宋体" w:hAnsi="宋体" w:eastAsia="宋体" w:cs="宋体"/>
                <w:kern w:val="0"/>
                <w:sz w:val="20"/>
              </w:rPr>
            </w:pPr>
            <w:r>
              <w:rPr>
                <w:rFonts w:hint="eastAsia" w:ascii="宋体" w:hAnsi="宋体" w:eastAsia="宋体" w:cs="宋体"/>
                <w:kern w:val="0"/>
                <w:sz w:val="20"/>
              </w:rPr>
              <w:t>　</w:t>
            </w:r>
          </w:p>
        </w:tc>
        <w:tc>
          <w:tcPr>
            <w:tcW w:w="1118" w:type="dxa"/>
            <w:tcBorders>
              <w:top w:val="nil"/>
              <w:left w:val="nil"/>
              <w:bottom w:val="single" w:color="auto" w:sz="4" w:space="0"/>
              <w:right w:val="single" w:color="auto" w:sz="4" w:space="0"/>
            </w:tcBorders>
            <w:noWrap/>
            <w:vAlign w:val="center"/>
          </w:tcPr>
          <w:p w14:paraId="1D6752C0">
            <w:pPr>
              <w:widowControl/>
              <w:jc w:val="center"/>
              <w:rPr>
                <w:rFonts w:hint="eastAsia" w:ascii="宋体" w:hAnsi="宋体" w:eastAsia="宋体" w:cs="宋体"/>
                <w:kern w:val="0"/>
                <w:sz w:val="20"/>
              </w:rPr>
            </w:pPr>
            <w:r>
              <w:rPr>
                <w:rFonts w:hint="eastAsia" w:ascii="宋体" w:hAnsi="宋体" w:eastAsia="宋体" w:cs="宋体"/>
                <w:kern w:val="0"/>
                <w:sz w:val="20"/>
              </w:rPr>
              <w:t>0</w:t>
            </w:r>
          </w:p>
        </w:tc>
        <w:tc>
          <w:tcPr>
            <w:tcW w:w="1083" w:type="dxa"/>
            <w:vMerge w:val="continue"/>
            <w:tcBorders>
              <w:top w:val="nil"/>
              <w:left w:val="single" w:color="auto" w:sz="4" w:space="0"/>
              <w:bottom w:val="single" w:color="auto" w:sz="4" w:space="0"/>
              <w:right w:val="single" w:color="auto" w:sz="4" w:space="0"/>
            </w:tcBorders>
            <w:vAlign w:val="center"/>
          </w:tcPr>
          <w:p w14:paraId="508A5825">
            <w:pPr>
              <w:widowControl/>
              <w:jc w:val="left"/>
              <w:rPr>
                <w:rFonts w:hint="eastAsia" w:ascii="宋体" w:hAnsi="宋体" w:eastAsia="宋体" w:cs="宋体"/>
                <w:color w:val="000000"/>
                <w:kern w:val="0"/>
                <w:sz w:val="20"/>
              </w:rPr>
            </w:pPr>
          </w:p>
        </w:tc>
      </w:tr>
    </w:tbl>
    <w:p w14:paraId="51B2A18E">
      <w:pPr>
        <w:spacing w:line="540" w:lineRule="exact"/>
        <w:rPr>
          <w:rFonts w:hint="eastAsia" w:ascii="宋体" w:hAnsi="宋体" w:eastAsia="宋体" w:cs="宋体"/>
          <w:sz w:val="28"/>
          <w:szCs w:val="28"/>
          <w:lang w:val="en-US" w:eastAsia="zh-CN"/>
        </w:rPr>
      </w:pPr>
    </w:p>
    <w:p w14:paraId="0A82D6EA">
      <w:pPr>
        <w:spacing w:line="540" w:lineRule="exact"/>
        <w:rPr>
          <w:rFonts w:hint="eastAsia" w:ascii="宋体" w:hAnsi="宋体" w:eastAsia="宋体" w:cs="宋体"/>
          <w:sz w:val="28"/>
          <w:szCs w:val="28"/>
          <w:lang w:val="en-US" w:eastAsia="zh-CN"/>
        </w:rPr>
      </w:pPr>
    </w:p>
    <w:p w14:paraId="0699198D">
      <w:pPr>
        <w:spacing w:line="540" w:lineRule="exact"/>
        <w:rPr>
          <w:rFonts w:hint="eastAsia" w:ascii="宋体" w:hAnsi="宋体" w:eastAsia="宋体" w:cs="宋体"/>
          <w:sz w:val="28"/>
          <w:szCs w:val="28"/>
        </w:rPr>
      </w:pPr>
      <w:r>
        <w:rPr>
          <w:rFonts w:hint="eastAsia" w:ascii="宋体" w:hAnsi="宋体" w:eastAsia="宋体" w:cs="宋体"/>
          <w:sz w:val="28"/>
          <w:szCs w:val="28"/>
          <w:lang w:val="en-US" w:eastAsia="zh-CN"/>
        </w:rPr>
        <w:t>附件2</w:t>
      </w:r>
      <w:r>
        <w:rPr>
          <w:rFonts w:hint="eastAsia" w:ascii="宋体" w:hAnsi="宋体" w:eastAsia="宋体" w:cs="宋体"/>
          <w:sz w:val="28"/>
          <w:szCs w:val="28"/>
        </w:rPr>
        <w:t>（表2）不同场所虫害防治的药物选择、施药方法及使用工具</w:t>
      </w:r>
    </w:p>
    <w:tbl>
      <w:tblPr>
        <w:tblStyle w:val="29"/>
        <w:tblpPr w:leftFromText="180" w:rightFromText="180" w:vertAnchor="text" w:horzAnchor="page" w:tblpX="1334" w:tblpY="570"/>
        <w:tblOverlap w:val="never"/>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2117"/>
        <w:gridCol w:w="1591"/>
        <w:gridCol w:w="1776"/>
        <w:gridCol w:w="2256"/>
        <w:gridCol w:w="828"/>
      </w:tblGrid>
      <w:tr w14:paraId="7B1E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noWrap w:val="0"/>
            <w:vAlign w:val="top"/>
          </w:tcPr>
          <w:p w14:paraId="67659F08">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对象</w:t>
            </w:r>
          </w:p>
        </w:tc>
        <w:tc>
          <w:tcPr>
            <w:tcW w:w="2117" w:type="dxa"/>
            <w:noWrap w:val="0"/>
            <w:vAlign w:val="top"/>
          </w:tcPr>
          <w:p w14:paraId="5AB002DE">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使用药剂</w:t>
            </w:r>
          </w:p>
        </w:tc>
        <w:tc>
          <w:tcPr>
            <w:tcW w:w="1591" w:type="dxa"/>
            <w:noWrap w:val="0"/>
            <w:vAlign w:val="top"/>
          </w:tcPr>
          <w:p w14:paraId="5644D275">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针对对象</w:t>
            </w:r>
          </w:p>
        </w:tc>
        <w:tc>
          <w:tcPr>
            <w:tcW w:w="1776" w:type="dxa"/>
            <w:noWrap w:val="0"/>
            <w:vAlign w:val="top"/>
          </w:tcPr>
          <w:p w14:paraId="30779D19">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灭杀机理</w:t>
            </w:r>
          </w:p>
        </w:tc>
        <w:tc>
          <w:tcPr>
            <w:tcW w:w="2256" w:type="dxa"/>
            <w:noWrap w:val="0"/>
            <w:vAlign w:val="top"/>
          </w:tcPr>
          <w:p w14:paraId="28A32B38">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辅助器具</w:t>
            </w:r>
          </w:p>
        </w:tc>
        <w:tc>
          <w:tcPr>
            <w:tcW w:w="828" w:type="dxa"/>
            <w:noWrap w:val="0"/>
            <w:vAlign w:val="top"/>
          </w:tcPr>
          <w:p w14:paraId="5001C542">
            <w:pPr>
              <w:widowControl/>
              <w:jc w:val="left"/>
              <w:rPr>
                <w:rFonts w:hint="eastAsia" w:ascii="宋体" w:hAnsi="宋体" w:eastAsia="宋体" w:cs="宋体"/>
                <w:color w:val="FF0000"/>
                <w:sz w:val="28"/>
                <w:szCs w:val="28"/>
              </w:rPr>
            </w:pPr>
            <w:r>
              <w:rPr>
                <w:rFonts w:hint="eastAsia" w:ascii="宋体" w:hAnsi="宋体" w:eastAsia="宋体" w:cs="宋体"/>
                <w:color w:val="FF0000"/>
                <w:sz w:val="28"/>
                <w:szCs w:val="28"/>
              </w:rPr>
              <w:t>备用方法</w:t>
            </w:r>
          </w:p>
        </w:tc>
      </w:tr>
      <w:tr w14:paraId="5B1E2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noWrap w:val="0"/>
            <w:vAlign w:val="center"/>
          </w:tcPr>
          <w:p w14:paraId="5BEB4B39">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老鼠</w:t>
            </w:r>
          </w:p>
        </w:tc>
        <w:tc>
          <w:tcPr>
            <w:tcW w:w="2117" w:type="dxa"/>
            <w:noWrap w:val="0"/>
            <w:vAlign w:val="center"/>
          </w:tcPr>
          <w:p w14:paraId="65350561">
            <w:pPr>
              <w:spacing w:line="600" w:lineRule="exact"/>
              <w:rPr>
                <w:rFonts w:hint="eastAsia" w:ascii="宋体" w:hAnsi="宋体" w:eastAsia="宋体" w:cs="宋体"/>
                <w:sz w:val="28"/>
                <w:szCs w:val="28"/>
              </w:rPr>
            </w:pPr>
            <w:r>
              <w:rPr>
                <w:rFonts w:hint="eastAsia" w:ascii="宋体" w:hAnsi="宋体" w:eastAsia="宋体" w:cs="宋体"/>
                <w:sz w:val="28"/>
                <w:szCs w:val="28"/>
              </w:rPr>
              <w:t>第二代抗凝血灭鼠剂</w:t>
            </w:r>
          </w:p>
        </w:tc>
        <w:tc>
          <w:tcPr>
            <w:tcW w:w="1591" w:type="dxa"/>
            <w:noWrap w:val="0"/>
            <w:vAlign w:val="center"/>
          </w:tcPr>
          <w:p w14:paraId="7599D884">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成年鼠</w:t>
            </w:r>
          </w:p>
        </w:tc>
        <w:tc>
          <w:tcPr>
            <w:tcW w:w="1776" w:type="dxa"/>
            <w:noWrap w:val="0"/>
            <w:vAlign w:val="center"/>
          </w:tcPr>
          <w:p w14:paraId="17CD10C9">
            <w:pPr>
              <w:spacing w:line="600" w:lineRule="exact"/>
              <w:rPr>
                <w:rFonts w:hint="eastAsia" w:ascii="宋体" w:hAnsi="宋体" w:eastAsia="宋体" w:cs="宋体"/>
                <w:sz w:val="28"/>
                <w:szCs w:val="28"/>
              </w:rPr>
            </w:pPr>
            <w:r>
              <w:rPr>
                <w:rFonts w:hint="eastAsia" w:ascii="宋体" w:hAnsi="宋体" w:eastAsia="宋体" w:cs="宋体"/>
                <w:sz w:val="28"/>
                <w:szCs w:val="28"/>
              </w:rPr>
              <w:t>破坏凝血性</w:t>
            </w:r>
          </w:p>
        </w:tc>
        <w:tc>
          <w:tcPr>
            <w:tcW w:w="2256" w:type="dxa"/>
            <w:noWrap w:val="0"/>
            <w:vAlign w:val="center"/>
          </w:tcPr>
          <w:p w14:paraId="285AEFE5">
            <w:pPr>
              <w:spacing w:line="600" w:lineRule="exact"/>
              <w:rPr>
                <w:rFonts w:hint="eastAsia" w:ascii="宋体" w:hAnsi="宋体" w:eastAsia="宋体" w:cs="宋体"/>
                <w:sz w:val="28"/>
                <w:szCs w:val="28"/>
              </w:rPr>
            </w:pPr>
            <w:r>
              <w:rPr>
                <w:rFonts w:hint="eastAsia" w:ascii="宋体" w:hAnsi="宋体" w:eastAsia="宋体" w:cs="宋体"/>
                <w:sz w:val="28"/>
                <w:szCs w:val="28"/>
              </w:rPr>
              <w:t>毒鼠屋、粘鼠胶</w:t>
            </w:r>
          </w:p>
        </w:tc>
        <w:tc>
          <w:tcPr>
            <w:tcW w:w="828" w:type="dxa"/>
            <w:noWrap w:val="0"/>
            <w:vAlign w:val="top"/>
          </w:tcPr>
          <w:p w14:paraId="30A645B0">
            <w:pPr>
              <w:widowControl/>
              <w:jc w:val="left"/>
              <w:rPr>
                <w:rFonts w:hint="eastAsia" w:ascii="宋体" w:hAnsi="宋体" w:eastAsia="宋体" w:cs="宋体"/>
                <w:color w:val="FF0000"/>
                <w:sz w:val="28"/>
                <w:szCs w:val="28"/>
              </w:rPr>
            </w:pPr>
          </w:p>
        </w:tc>
      </w:tr>
      <w:tr w14:paraId="0D83B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noWrap w:val="0"/>
            <w:vAlign w:val="center"/>
          </w:tcPr>
          <w:p w14:paraId="1412555D">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蟑螂</w:t>
            </w:r>
          </w:p>
        </w:tc>
        <w:tc>
          <w:tcPr>
            <w:tcW w:w="2117" w:type="dxa"/>
            <w:noWrap w:val="0"/>
            <w:vAlign w:val="center"/>
          </w:tcPr>
          <w:p w14:paraId="45FF068A">
            <w:pPr>
              <w:spacing w:line="600" w:lineRule="exact"/>
              <w:rPr>
                <w:rFonts w:hint="eastAsia" w:ascii="宋体" w:hAnsi="宋体" w:eastAsia="宋体" w:cs="宋体"/>
                <w:sz w:val="28"/>
                <w:szCs w:val="28"/>
              </w:rPr>
            </w:pPr>
            <w:r>
              <w:rPr>
                <w:rFonts w:hint="eastAsia" w:ascii="宋体" w:hAnsi="宋体" w:eastAsia="宋体" w:cs="宋体"/>
                <w:sz w:val="28"/>
                <w:szCs w:val="28"/>
              </w:rPr>
              <w:t>胃毒性灭蟑药，热烟雾</w:t>
            </w:r>
          </w:p>
        </w:tc>
        <w:tc>
          <w:tcPr>
            <w:tcW w:w="1591" w:type="dxa"/>
            <w:noWrap w:val="0"/>
            <w:vAlign w:val="center"/>
          </w:tcPr>
          <w:p w14:paraId="3EED5B76">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幼虫、成虫</w:t>
            </w:r>
          </w:p>
        </w:tc>
        <w:tc>
          <w:tcPr>
            <w:tcW w:w="1776" w:type="dxa"/>
            <w:noWrap w:val="0"/>
            <w:vAlign w:val="center"/>
          </w:tcPr>
          <w:p w14:paraId="46113EE4">
            <w:pPr>
              <w:spacing w:line="600" w:lineRule="exact"/>
              <w:rPr>
                <w:rFonts w:hint="eastAsia" w:ascii="宋体" w:hAnsi="宋体" w:eastAsia="宋体" w:cs="宋体"/>
                <w:sz w:val="28"/>
                <w:szCs w:val="28"/>
              </w:rPr>
            </w:pPr>
            <w:r>
              <w:rPr>
                <w:rFonts w:hint="eastAsia" w:ascii="宋体" w:hAnsi="宋体" w:eastAsia="宋体" w:cs="宋体"/>
                <w:sz w:val="28"/>
                <w:szCs w:val="28"/>
              </w:rPr>
              <w:t>诱杀、熏蒸</w:t>
            </w:r>
          </w:p>
        </w:tc>
        <w:tc>
          <w:tcPr>
            <w:tcW w:w="2256" w:type="dxa"/>
            <w:noWrap w:val="0"/>
            <w:vAlign w:val="center"/>
          </w:tcPr>
          <w:p w14:paraId="3EFC8DBB">
            <w:pPr>
              <w:spacing w:line="600" w:lineRule="exact"/>
              <w:rPr>
                <w:rFonts w:hint="eastAsia" w:ascii="宋体" w:hAnsi="宋体" w:eastAsia="宋体" w:cs="宋体"/>
                <w:sz w:val="28"/>
                <w:szCs w:val="28"/>
              </w:rPr>
            </w:pPr>
            <w:r>
              <w:rPr>
                <w:rFonts w:hint="eastAsia" w:ascii="宋体" w:hAnsi="宋体" w:eastAsia="宋体" w:cs="宋体"/>
                <w:sz w:val="28"/>
                <w:szCs w:val="28"/>
              </w:rPr>
              <w:t>辅助粘胶针器、烟雾弹、热烟枪</w:t>
            </w:r>
          </w:p>
        </w:tc>
        <w:tc>
          <w:tcPr>
            <w:tcW w:w="828" w:type="dxa"/>
            <w:noWrap w:val="0"/>
            <w:vAlign w:val="top"/>
          </w:tcPr>
          <w:p w14:paraId="0F2F9B3D">
            <w:pPr>
              <w:widowControl/>
              <w:jc w:val="left"/>
              <w:rPr>
                <w:rFonts w:hint="eastAsia" w:ascii="宋体" w:hAnsi="宋体" w:eastAsia="宋体" w:cs="宋体"/>
                <w:color w:val="FF0000"/>
                <w:sz w:val="28"/>
                <w:szCs w:val="28"/>
              </w:rPr>
            </w:pPr>
          </w:p>
        </w:tc>
      </w:tr>
      <w:tr w14:paraId="19216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noWrap w:val="0"/>
            <w:vAlign w:val="center"/>
          </w:tcPr>
          <w:p w14:paraId="14AA2BED">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蚊、蝇</w:t>
            </w:r>
          </w:p>
        </w:tc>
        <w:tc>
          <w:tcPr>
            <w:tcW w:w="2117" w:type="dxa"/>
            <w:noWrap w:val="0"/>
            <w:vAlign w:val="center"/>
          </w:tcPr>
          <w:p w14:paraId="0CC298F7">
            <w:pPr>
              <w:spacing w:line="600" w:lineRule="exact"/>
              <w:rPr>
                <w:rFonts w:hint="eastAsia" w:ascii="宋体" w:hAnsi="宋体" w:eastAsia="宋体" w:cs="宋体"/>
                <w:sz w:val="28"/>
                <w:szCs w:val="28"/>
              </w:rPr>
            </w:pPr>
            <w:r>
              <w:rPr>
                <w:rFonts w:hint="eastAsia" w:ascii="宋体" w:hAnsi="宋体" w:eastAsia="宋体" w:cs="宋体"/>
                <w:sz w:val="28"/>
                <w:szCs w:val="28"/>
              </w:rPr>
              <w:t>触杀、胃毒性杀虫剂</w:t>
            </w:r>
          </w:p>
        </w:tc>
        <w:tc>
          <w:tcPr>
            <w:tcW w:w="1591" w:type="dxa"/>
            <w:noWrap w:val="0"/>
            <w:vAlign w:val="center"/>
          </w:tcPr>
          <w:p w14:paraId="19C83B8A">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幼虫、成虫</w:t>
            </w:r>
          </w:p>
        </w:tc>
        <w:tc>
          <w:tcPr>
            <w:tcW w:w="1776" w:type="dxa"/>
            <w:noWrap w:val="0"/>
            <w:vAlign w:val="center"/>
          </w:tcPr>
          <w:p w14:paraId="56BD61F9">
            <w:pPr>
              <w:spacing w:line="600" w:lineRule="exact"/>
              <w:rPr>
                <w:rFonts w:hint="eastAsia" w:ascii="宋体" w:hAnsi="宋体" w:eastAsia="宋体" w:cs="宋体"/>
                <w:sz w:val="28"/>
                <w:szCs w:val="28"/>
              </w:rPr>
            </w:pPr>
            <w:r>
              <w:rPr>
                <w:rFonts w:hint="eastAsia" w:ascii="宋体" w:hAnsi="宋体" w:eastAsia="宋体" w:cs="宋体"/>
                <w:sz w:val="28"/>
                <w:szCs w:val="28"/>
              </w:rPr>
              <w:t>触杀、胃毒</w:t>
            </w:r>
          </w:p>
        </w:tc>
        <w:tc>
          <w:tcPr>
            <w:tcW w:w="2256" w:type="dxa"/>
            <w:noWrap w:val="0"/>
            <w:vAlign w:val="center"/>
          </w:tcPr>
          <w:p w14:paraId="1D6AC8DA">
            <w:pPr>
              <w:spacing w:line="600" w:lineRule="exact"/>
              <w:rPr>
                <w:rFonts w:hint="eastAsia" w:ascii="宋体" w:hAnsi="宋体" w:eastAsia="宋体" w:cs="宋体"/>
                <w:sz w:val="28"/>
                <w:szCs w:val="28"/>
              </w:rPr>
            </w:pPr>
            <w:r>
              <w:rPr>
                <w:rFonts w:hint="eastAsia" w:ascii="宋体" w:hAnsi="宋体" w:eastAsia="宋体" w:cs="宋体"/>
                <w:sz w:val="28"/>
                <w:szCs w:val="28"/>
              </w:rPr>
              <w:t>常量/超低喷雾器、电动喷雾器</w:t>
            </w:r>
          </w:p>
        </w:tc>
        <w:tc>
          <w:tcPr>
            <w:tcW w:w="828" w:type="dxa"/>
            <w:noWrap w:val="0"/>
            <w:vAlign w:val="top"/>
          </w:tcPr>
          <w:p w14:paraId="31105315">
            <w:pPr>
              <w:widowControl/>
              <w:jc w:val="left"/>
              <w:rPr>
                <w:rFonts w:hint="eastAsia" w:ascii="宋体" w:hAnsi="宋体" w:eastAsia="宋体" w:cs="宋体"/>
                <w:color w:val="FF0000"/>
                <w:sz w:val="28"/>
                <w:szCs w:val="28"/>
              </w:rPr>
            </w:pPr>
          </w:p>
        </w:tc>
      </w:tr>
      <w:tr w14:paraId="6E0F7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71" w:type="dxa"/>
            <w:noWrap w:val="0"/>
            <w:vAlign w:val="top"/>
          </w:tcPr>
          <w:p w14:paraId="633F6008">
            <w:pPr>
              <w:spacing w:line="600" w:lineRule="exact"/>
              <w:rPr>
                <w:rFonts w:hint="eastAsia" w:ascii="宋体" w:hAnsi="宋体" w:eastAsia="宋体" w:cs="宋体"/>
                <w:sz w:val="28"/>
                <w:szCs w:val="28"/>
              </w:rPr>
            </w:pPr>
            <w:r>
              <w:rPr>
                <w:rFonts w:hint="eastAsia" w:ascii="宋体" w:hAnsi="宋体" w:eastAsia="宋体" w:cs="宋体"/>
                <w:sz w:val="28"/>
                <w:szCs w:val="28"/>
              </w:rPr>
              <w:t>白蚁</w:t>
            </w:r>
          </w:p>
        </w:tc>
        <w:tc>
          <w:tcPr>
            <w:tcW w:w="2117" w:type="dxa"/>
            <w:noWrap w:val="0"/>
            <w:vAlign w:val="top"/>
          </w:tcPr>
          <w:p w14:paraId="4E95875C">
            <w:pPr>
              <w:spacing w:line="600" w:lineRule="exact"/>
              <w:rPr>
                <w:rFonts w:hint="eastAsia" w:ascii="宋体" w:hAnsi="宋体" w:eastAsia="宋体" w:cs="宋体"/>
                <w:sz w:val="28"/>
                <w:szCs w:val="28"/>
              </w:rPr>
            </w:pPr>
          </w:p>
        </w:tc>
        <w:tc>
          <w:tcPr>
            <w:tcW w:w="1591" w:type="dxa"/>
            <w:noWrap w:val="0"/>
            <w:vAlign w:val="top"/>
          </w:tcPr>
          <w:p w14:paraId="62A5A043">
            <w:pPr>
              <w:spacing w:line="600" w:lineRule="exact"/>
              <w:rPr>
                <w:rFonts w:hint="eastAsia" w:ascii="宋体" w:hAnsi="宋体" w:eastAsia="宋体" w:cs="宋体"/>
                <w:sz w:val="28"/>
                <w:szCs w:val="28"/>
              </w:rPr>
            </w:pPr>
          </w:p>
        </w:tc>
        <w:tc>
          <w:tcPr>
            <w:tcW w:w="1776" w:type="dxa"/>
            <w:noWrap w:val="0"/>
            <w:vAlign w:val="top"/>
          </w:tcPr>
          <w:p w14:paraId="47476595">
            <w:pPr>
              <w:spacing w:line="600" w:lineRule="exact"/>
              <w:rPr>
                <w:rFonts w:hint="eastAsia" w:ascii="宋体" w:hAnsi="宋体" w:eastAsia="宋体" w:cs="宋体"/>
                <w:sz w:val="28"/>
                <w:szCs w:val="28"/>
              </w:rPr>
            </w:pPr>
          </w:p>
        </w:tc>
        <w:tc>
          <w:tcPr>
            <w:tcW w:w="2256" w:type="dxa"/>
            <w:noWrap w:val="0"/>
            <w:vAlign w:val="top"/>
          </w:tcPr>
          <w:p w14:paraId="00F3A8C6">
            <w:pPr>
              <w:spacing w:line="600" w:lineRule="exact"/>
              <w:rPr>
                <w:rFonts w:hint="eastAsia" w:ascii="宋体" w:hAnsi="宋体" w:eastAsia="宋体" w:cs="宋体"/>
                <w:sz w:val="28"/>
                <w:szCs w:val="28"/>
              </w:rPr>
            </w:pPr>
          </w:p>
        </w:tc>
        <w:tc>
          <w:tcPr>
            <w:tcW w:w="828" w:type="dxa"/>
            <w:noWrap w:val="0"/>
            <w:vAlign w:val="top"/>
          </w:tcPr>
          <w:p w14:paraId="41310E0F">
            <w:pPr>
              <w:widowControl/>
              <w:jc w:val="left"/>
              <w:rPr>
                <w:rFonts w:hint="eastAsia" w:ascii="宋体" w:hAnsi="宋体" w:eastAsia="宋体" w:cs="宋体"/>
                <w:color w:val="FF0000"/>
                <w:sz w:val="28"/>
                <w:szCs w:val="28"/>
              </w:rPr>
            </w:pPr>
          </w:p>
        </w:tc>
      </w:tr>
      <w:tr w14:paraId="26BB9B6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871" w:type="dxa"/>
            <w:tcBorders>
              <w:left w:val="single" w:color="auto" w:sz="4" w:space="0"/>
              <w:bottom w:val="single" w:color="auto" w:sz="4" w:space="0"/>
              <w:right w:val="single" w:color="auto" w:sz="4" w:space="0"/>
            </w:tcBorders>
            <w:noWrap w:val="0"/>
            <w:vAlign w:val="top"/>
          </w:tcPr>
          <w:p w14:paraId="3E645FDC">
            <w:pPr>
              <w:spacing w:line="600" w:lineRule="exact"/>
              <w:rPr>
                <w:rFonts w:hint="eastAsia" w:ascii="宋体" w:hAnsi="宋体" w:eastAsia="宋体" w:cs="宋体"/>
                <w:sz w:val="28"/>
                <w:szCs w:val="28"/>
              </w:rPr>
            </w:pPr>
            <w:r>
              <w:rPr>
                <w:rFonts w:hint="eastAsia" w:ascii="宋体" w:hAnsi="宋体" w:eastAsia="宋体" w:cs="宋体"/>
                <w:sz w:val="28"/>
                <w:szCs w:val="28"/>
              </w:rPr>
              <w:t>红火蚁</w:t>
            </w:r>
          </w:p>
        </w:tc>
        <w:tc>
          <w:tcPr>
            <w:tcW w:w="2117" w:type="dxa"/>
            <w:tcBorders>
              <w:left w:val="single" w:color="auto" w:sz="4" w:space="0"/>
              <w:bottom w:val="single" w:color="auto" w:sz="4" w:space="0"/>
              <w:right w:val="single" w:color="auto" w:sz="4" w:space="0"/>
            </w:tcBorders>
            <w:noWrap w:val="0"/>
            <w:vAlign w:val="top"/>
          </w:tcPr>
          <w:p w14:paraId="04B6D54A">
            <w:pPr>
              <w:spacing w:line="600" w:lineRule="exact"/>
              <w:rPr>
                <w:rFonts w:hint="eastAsia" w:ascii="宋体" w:hAnsi="宋体" w:eastAsia="宋体" w:cs="宋体"/>
                <w:sz w:val="28"/>
                <w:szCs w:val="28"/>
              </w:rPr>
            </w:pPr>
          </w:p>
        </w:tc>
        <w:tc>
          <w:tcPr>
            <w:tcW w:w="1591" w:type="dxa"/>
            <w:tcBorders>
              <w:left w:val="single" w:color="auto" w:sz="4" w:space="0"/>
              <w:bottom w:val="single" w:color="auto" w:sz="4" w:space="0"/>
              <w:right w:val="single" w:color="auto" w:sz="4" w:space="0"/>
            </w:tcBorders>
            <w:noWrap w:val="0"/>
            <w:vAlign w:val="top"/>
          </w:tcPr>
          <w:p w14:paraId="16382FB4">
            <w:pPr>
              <w:spacing w:line="600" w:lineRule="exact"/>
              <w:rPr>
                <w:rFonts w:hint="eastAsia" w:ascii="宋体" w:hAnsi="宋体" w:eastAsia="宋体" w:cs="宋体"/>
                <w:sz w:val="28"/>
                <w:szCs w:val="28"/>
              </w:rPr>
            </w:pPr>
          </w:p>
        </w:tc>
        <w:tc>
          <w:tcPr>
            <w:tcW w:w="1776" w:type="dxa"/>
            <w:tcBorders>
              <w:left w:val="single" w:color="auto" w:sz="4" w:space="0"/>
              <w:bottom w:val="single" w:color="auto" w:sz="4" w:space="0"/>
              <w:right w:val="single" w:color="auto" w:sz="4" w:space="0"/>
            </w:tcBorders>
            <w:noWrap w:val="0"/>
            <w:vAlign w:val="top"/>
          </w:tcPr>
          <w:p w14:paraId="4CAC69CF">
            <w:pPr>
              <w:spacing w:line="600" w:lineRule="exact"/>
              <w:rPr>
                <w:rFonts w:hint="eastAsia" w:ascii="宋体" w:hAnsi="宋体" w:eastAsia="宋体" w:cs="宋体"/>
                <w:sz w:val="28"/>
                <w:szCs w:val="28"/>
              </w:rPr>
            </w:pPr>
          </w:p>
        </w:tc>
        <w:tc>
          <w:tcPr>
            <w:tcW w:w="2256" w:type="dxa"/>
            <w:tcBorders>
              <w:left w:val="single" w:color="auto" w:sz="4" w:space="0"/>
              <w:bottom w:val="single" w:color="auto" w:sz="4" w:space="0"/>
              <w:right w:val="single" w:color="auto" w:sz="4" w:space="0"/>
            </w:tcBorders>
            <w:noWrap w:val="0"/>
            <w:vAlign w:val="top"/>
          </w:tcPr>
          <w:p w14:paraId="1C3F96A8">
            <w:pPr>
              <w:spacing w:line="600" w:lineRule="exact"/>
              <w:rPr>
                <w:rFonts w:hint="eastAsia" w:ascii="宋体" w:hAnsi="宋体" w:eastAsia="宋体" w:cs="宋体"/>
                <w:sz w:val="28"/>
                <w:szCs w:val="28"/>
              </w:rPr>
            </w:pPr>
          </w:p>
        </w:tc>
        <w:tc>
          <w:tcPr>
            <w:tcW w:w="828" w:type="dxa"/>
            <w:tcBorders>
              <w:top w:val="single" w:color="auto" w:sz="4" w:space="0"/>
              <w:bottom w:val="single" w:color="auto" w:sz="4" w:space="0"/>
              <w:right w:val="single" w:color="auto" w:sz="4" w:space="0"/>
            </w:tcBorders>
            <w:noWrap w:val="0"/>
            <w:vAlign w:val="top"/>
          </w:tcPr>
          <w:p w14:paraId="33FAA986">
            <w:pPr>
              <w:widowControl/>
              <w:jc w:val="left"/>
              <w:rPr>
                <w:rFonts w:hint="eastAsia" w:ascii="宋体" w:hAnsi="宋体" w:eastAsia="宋体" w:cs="宋体"/>
                <w:color w:val="FF0000"/>
                <w:sz w:val="28"/>
                <w:szCs w:val="28"/>
              </w:rPr>
            </w:pPr>
          </w:p>
        </w:tc>
      </w:tr>
    </w:tbl>
    <w:p w14:paraId="262C47BD">
      <w:pPr>
        <w:spacing w:line="360" w:lineRule="auto"/>
        <w:rPr>
          <w:rFonts w:hint="eastAsia" w:ascii="宋体" w:hAnsi="宋体" w:eastAsia="宋体" w:cs="宋体"/>
        </w:rPr>
      </w:pPr>
    </w:p>
    <w:p w14:paraId="39C048E7">
      <w:pPr>
        <w:spacing w:line="360" w:lineRule="auto"/>
        <w:rPr>
          <w:rFonts w:hint="eastAsia" w:ascii="宋体" w:hAnsi="宋体" w:eastAsia="宋体" w:cs="宋体"/>
        </w:rPr>
      </w:pPr>
    </w:p>
    <w:p w14:paraId="32D1799E">
      <w:pPr>
        <w:spacing w:line="360" w:lineRule="auto"/>
        <w:rPr>
          <w:rFonts w:hint="eastAsia" w:ascii="宋体" w:hAnsi="宋体" w:eastAsia="宋体" w:cs="宋体"/>
        </w:rPr>
      </w:pPr>
    </w:p>
    <w:p w14:paraId="102DF1DA">
      <w:pPr>
        <w:spacing w:line="360" w:lineRule="auto"/>
        <w:rPr>
          <w:rFonts w:hint="eastAsia" w:ascii="宋体" w:hAnsi="宋体" w:eastAsia="宋体" w:cs="宋体"/>
        </w:rPr>
      </w:pPr>
    </w:p>
    <w:p w14:paraId="31F03005">
      <w:pPr>
        <w:spacing w:line="360" w:lineRule="auto"/>
        <w:rPr>
          <w:rFonts w:hint="eastAsia" w:ascii="宋体" w:hAnsi="宋体" w:eastAsia="宋体" w:cs="宋体"/>
        </w:rPr>
      </w:pPr>
    </w:p>
    <w:p w14:paraId="229E9C22">
      <w:pPr>
        <w:spacing w:line="360" w:lineRule="auto"/>
        <w:rPr>
          <w:rFonts w:hint="eastAsia" w:ascii="宋体" w:hAnsi="宋体" w:eastAsia="宋体" w:cs="宋体"/>
        </w:rPr>
      </w:pPr>
    </w:p>
    <w:p w14:paraId="3B1C5F00">
      <w:pPr>
        <w:spacing w:line="360" w:lineRule="auto"/>
        <w:rPr>
          <w:rFonts w:hint="eastAsia" w:ascii="宋体" w:hAnsi="宋体" w:eastAsia="宋体" w:cs="宋体"/>
        </w:rPr>
      </w:pPr>
    </w:p>
    <w:p w14:paraId="23CEDE0A">
      <w:pPr>
        <w:spacing w:line="360" w:lineRule="auto"/>
        <w:rPr>
          <w:rFonts w:hint="eastAsia" w:ascii="宋体" w:hAnsi="宋体" w:eastAsia="宋体" w:cs="宋体"/>
        </w:rPr>
      </w:pPr>
    </w:p>
    <w:p w14:paraId="335C3C38">
      <w:pPr>
        <w:spacing w:line="360" w:lineRule="auto"/>
        <w:rPr>
          <w:rFonts w:hint="eastAsia" w:ascii="宋体" w:hAnsi="宋体" w:eastAsia="宋体" w:cs="宋体"/>
        </w:rPr>
      </w:pPr>
    </w:p>
    <w:p w14:paraId="1E13A0C7">
      <w:pPr>
        <w:spacing w:line="360" w:lineRule="auto"/>
        <w:rPr>
          <w:rFonts w:hint="eastAsia" w:ascii="宋体" w:hAnsi="宋体" w:eastAsia="宋体" w:cs="宋体"/>
        </w:rPr>
      </w:pPr>
    </w:p>
    <w:p w14:paraId="3FB93EAE">
      <w:pPr>
        <w:spacing w:line="360" w:lineRule="auto"/>
        <w:rPr>
          <w:rFonts w:hint="eastAsia" w:ascii="宋体" w:hAnsi="宋体" w:eastAsia="宋体" w:cs="宋体"/>
        </w:rPr>
      </w:pPr>
    </w:p>
    <w:p w14:paraId="20CE38B9">
      <w:pPr>
        <w:spacing w:line="360" w:lineRule="auto"/>
        <w:rPr>
          <w:rFonts w:hint="eastAsia" w:ascii="宋体" w:hAnsi="宋体" w:eastAsia="宋体" w:cs="宋体"/>
        </w:rPr>
      </w:pPr>
    </w:p>
    <w:p w14:paraId="47DDF90B">
      <w:pPr>
        <w:spacing w:line="360" w:lineRule="auto"/>
        <w:rPr>
          <w:rFonts w:hint="eastAsia" w:ascii="宋体" w:hAnsi="宋体" w:eastAsia="宋体" w:cs="宋体"/>
        </w:rPr>
      </w:pPr>
      <w:r>
        <w:rPr>
          <w:rFonts w:hint="eastAsia" w:ascii="宋体" w:hAnsi="宋体" w:eastAsia="宋体" w:cs="宋体"/>
        </w:rPr>
        <w:t xml:space="preserve">             </w:t>
      </w:r>
    </w:p>
    <w:p w14:paraId="4FC964DD">
      <w:pPr>
        <w:spacing w:before="312" w:beforeLines="100" w:line="360" w:lineRule="auto"/>
        <w:outlineLvl w:val="0"/>
        <w:rPr>
          <w:rFonts w:hint="eastAsia" w:ascii="宋体" w:hAnsi="宋体" w:eastAsia="宋体" w:cs="宋体"/>
          <w:b w:val="0"/>
          <w:bCs w:val="0"/>
          <w:sz w:val="24"/>
          <w:szCs w:val="24"/>
        </w:rPr>
      </w:pPr>
      <w:r>
        <w:rPr>
          <w:rFonts w:hint="eastAsia" w:ascii="宋体" w:hAnsi="宋体" w:eastAsia="宋体" w:cs="宋体"/>
        </w:rPr>
        <w:t xml:space="preserve">  </w:t>
      </w:r>
      <w:r>
        <w:rPr>
          <w:rFonts w:hint="eastAsia" w:ascii="宋体" w:hAnsi="宋体" w:eastAsia="宋体" w:cs="宋体"/>
          <w:b w:val="0"/>
          <w:bCs w:val="0"/>
          <w:sz w:val="24"/>
          <w:szCs w:val="24"/>
        </w:rPr>
        <w:t>‌</w:t>
      </w:r>
      <w:bookmarkStart w:id="203" w:name="_Toc14345"/>
      <w:bookmarkStart w:id="204" w:name="_Toc178957877"/>
      <w:r>
        <w:rPr>
          <w:rFonts w:hint="eastAsia" w:ascii="宋体" w:hAnsi="宋体" w:eastAsia="宋体" w:cs="宋体"/>
          <w:b w:val="0"/>
          <w:bCs w:val="0"/>
          <w:sz w:val="24"/>
          <w:szCs w:val="24"/>
        </w:rPr>
        <w:t>附件</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 xml:space="preserve"> </w:t>
      </w:r>
      <w:bookmarkEnd w:id="203"/>
      <w:r>
        <w:rPr>
          <w:rFonts w:hint="eastAsia" w:ascii="宋体" w:hAnsi="宋体" w:eastAsia="宋体" w:cs="宋体"/>
          <w:b w:val="0"/>
          <w:bCs w:val="0"/>
          <w:sz w:val="24"/>
          <w:szCs w:val="24"/>
        </w:rPr>
        <w:t>廉洁合规承诺书</w:t>
      </w:r>
      <w:bookmarkEnd w:id="204"/>
    </w:p>
    <w:p w14:paraId="4FD335A7">
      <w:pPr>
        <w:spacing w:line="360" w:lineRule="auto"/>
        <w:ind w:firstLine="2530" w:firstLineChars="700"/>
        <w:jc w:val="both"/>
        <w:rPr>
          <w:rFonts w:hint="eastAsia" w:ascii="宋体" w:hAnsi="宋体" w:eastAsia="宋体" w:cs="宋体"/>
          <w:sz w:val="36"/>
          <w:szCs w:val="36"/>
        </w:rPr>
      </w:pPr>
      <w:r>
        <w:rPr>
          <w:rFonts w:hint="eastAsia" w:ascii="宋体" w:hAnsi="宋体" w:eastAsia="宋体" w:cs="宋体"/>
          <w:b/>
          <w:sz w:val="36"/>
          <w:szCs w:val="36"/>
        </w:rPr>
        <w:t>廉洁合规承诺书</w:t>
      </w:r>
    </w:p>
    <w:p w14:paraId="2A4D63F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一、不向华润员工及其亲属和其他特定关系人赠送礼品、礼金、消费卡（券）、有价证券、股权、其他金融产品等财物。</w:t>
      </w:r>
    </w:p>
    <w:p w14:paraId="0A791B4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二、不向华润员工及其亲属和其他特定关系人出借钱款、住房、车辆等财物。</w:t>
      </w:r>
    </w:p>
    <w:p w14:paraId="4EBF88D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三、不向华润员工及其亲属和其他特定关系人提供可能影响公正履职的宴请或者旅游、健身、娱乐等活动安排。</w:t>
      </w:r>
    </w:p>
    <w:p w14:paraId="71C30D9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四、不替华润员工及其亲属和其他特定关系人支付或报销任何费用。</w:t>
      </w:r>
    </w:p>
    <w:p w14:paraId="58FD7FA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五、不替华润员工及其亲属和其他特定关系人代持股份。</w:t>
      </w:r>
    </w:p>
    <w:p w14:paraId="43AC23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六、不与华润员工或者其他单位和个人串通投标或者串通报价，不采取恶性竞争等不正当手段竞争业务。</w:t>
      </w:r>
    </w:p>
    <w:p w14:paraId="42457E5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七、不与华润员工就标底、其他供应商的响应文件等商业秘密及合同中的条款进行私下商谈或者达成默契。</w:t>
      </w:r>
    </w:p>
    <w:p w14:paraId="42C5EF8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八、不违法转包、分包项目。</w:t>
      </w:r>
    </w:p>
    <w:p w14:paraId="32C13E8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九、严格执行合同约定，不弄虚作假。</w:t>
      </w:r>
    </w:p>
    <w:p w14:paraId="0B5B780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十、如实向华润方通报本单位股东和员工与华润方存在亲属或者其他特定关系的情况。</w:t>
      </w:r>
    </w:p>
    <w:p w14:paraId="2E8B9C2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发现本单位人员有违反上述行为的，及时制止、批评教育；发现华润员工有索贿、受贿行为的，坚决拒绝，并向华润相关领导或纪检监察部门举报。</w:t>
      </w:r>
    </w:p>
    <w:p w14:paraId="5D567BE6">
      <w:pPr>
        <w:spacing w:line="360" w:lineRule="auto"/>
        <w:rPr>
          <w:rFonts w:hint="eastAsia" w:ascii="宋体" w:hAnsi="宋体" w:eastAsia="宋体" w:cs="宋体"/>
          <w:color w:val="auto"/>
          <w:sz w:val="24"/>
          <w:szCs w:val="24"/>
        </w:rPr>
      </w:pPr>
      <w:r>
        <w:rPr>
          <w:rFonts w:hint="eastAsia" w:ascii="宋体" w:hAnsi="宋体" w:eastAsia="宋体" w:cs="宋体"/>
          <w:sz w:val="24"/>
          <w:szCs w:val="24"/>
        </w:rPr>
        <w:t>（一</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华润建材科技</w:t>
      </w:r>
      <w:r>
        <w:rPr>
          <w:rFonts w:hint="eastAsia" w:ascii="宋体" w:hAnsi="宋体" w:eastAsia="宋体" w:cs="宋体"/>
          <w:color w:val="auto"/>
          <w:sz w:val="24"/>
          <w:szCs w:val="24"/>
        </w:rPr>
        <w:t>供应链管理</w:t>
      </w:r>
      <w:r>
        <w:rPr>
          <w:rFonts w:hint="eastAsia" w:ascii="宋体" w:hAnsi="宋体" w:eastAsia="宋体" w:cs="宋体"/>
          <w:color w:val="auto"/>
          <w:sz w:val="24"/>
          <w:szCs w:val="24"/>
          <w:lang w:val="en-US" w:eastAsia="zh-CN"/>
        </w:rPr>
        <w:t>部</w:t>
      </w:r>
      <w:r>
        <w:rPr>
          <w:rFonts w:hint="eastAsia" w:ascii="宋体" w:hAnsi="宋体" w:eastAsia="宋体" w:cs="宋体"/>
          <w:color w:val="auto"/>
          <w:sz w:val="24"/>
          <w:szCs w:val="24"/>
        </w:rPr>
        <w:t>受理采购投诉及举报：举报邮箱：cr0115gw@cr-bmt.com</w:t>
      </w:r>
    </w:p>
    <w:p w14:paraId="7E035DA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（二）</w:t>
      </w:r>
      <w:r>
        <w:rPr>
          <w:rFonts w:hint="eastAsia" w:ascii="宋体" w:hAnsi="宋体" w:eastAsia="宋体" w:cs="宋体"/>
          <w:color w:val="auto"/>
          <w:sz w:val="24"/>
          <w:szCs w:val="24"/>
          <w:lang w:val="en-US" w:eastAsia="zh-CN"/>
        </w:rPr>
        <w:t>华润建材科技</w:t>
      </w:r>
      <w:r>
        <w:rPr>
          <w:rFonts w:hint="eastAsia" w:ascii="宋体" w:hAnsi="宋体" w:eastAsia="宋体" w:cs="宋体"/>
          <w:color w:val="auto"/>
          <w:sz w:val="24"/>
          <w:szCs w:val="24"/>
        </w:rPr>
        <w:t>纪委信访举报：举报邮箱：crmxinfang@cr-bmt.com</w:t>
      </w:r>
    </w:p>
    <w:p w14:paraId="3E30964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举报电话：0755-82690369</w:t>
      </w:r>
    </w:p>
    <w:p w14:paraId="343426B0">
      <w:pPr>
        <w:spacing w:line="360" w:lineRule="auto"/>
        <w:rPr>
          <w:rFonts w:hint="eastAsia" w:ascii="宋体" w:hAnsi="宋体" w:eastAsia="宋体" w:cs="宋体"/>
          <w:sz w:val="24"/>
          <w:szCs w:val="24"/>
        </w:rPr>
      </w:pPr>
    </w:p>
    <w:p w14:paraId="105E54AA">
      <w:pPr>
        <w:widowControl/>
        <w:spacing w:line="240" w:lineRule="auto"/>
        <w:ind w:firstLine="1440" w:firstLineChars="6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单位名称（盖章）：</w:t>
      </w:r>
    </w:p>
    <w:p w14:paraId="27774EA8">
      <w:pPr>
        <w:widowControl/>
        <w:spacing w:line="240" w:lineRule="auto"/>
        <w:jc w:val="left"/>
        <w:rPr>
          <w:rFonts w:hint="eastAsia" w:ascii="宋体" w:hAnsi="宋体" w:eastAsia="宋体" w:cs="宋体"/>
          <w:snapToGrid w:val="0"/>
          <w:kern w:val="0"/>
          <w:sz w:val="24"/>
          <w:szCs w:val="24"/>
        </w:rPr>
      </w:pPr>
    </w:p>
    <w:p w14:paraId="01329D81">
      <w:pPr>
        <w:widowControl/>
        <w:spacing w:line="240" w:lineRule="auto"/>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法定代表人或授权代表（签字）：</w:t>
      </w:r>
    </w:p>
    <w:p w14:paraId="5F10BBC1">
      <w:pPr>
        <w:spacing w:line="240" w:lineRule="auto"/>
        <w:rPr>
          <w:rFonts w:hint="eastAsia" w:ascii="宋体" w:hAnsi="宋体" w:eastAsia="宋体" w:cs="宋体"/>
          <w:snapToGrid w:val="0"/>
          <w:kern w:val="0"/>
          <w:sz w:val="24"/>
          <w:szCs w:val="24"/>
        </w:rPr>
      </w:pPr>
    </w:p>
    <w:p w14:paraId="2C1F1939">
      <w:pPr>
        <w:spacing w:line="240" w:lineRule="auto"/>
        <w:ind w:firstLine="2880" w:firstLineChars="1200"/>
        <w:rPr>
          <w:rFonts w:hint="eastAsia" w:ascii="宋体" w:hAnsi="宋体" w:eastAsia="宋体" w:cs="宋体"/>
          <w:sz w:val="24"/>
          <w:szCs w:val="24"/>
        </w:rPr>
      </w:pPr>
      <w:r>
        <w:rPr>
          <w:rFonts w:hint="eastAsia" w:ascii="宋体" w:hAnsi="宋体" w:eastAsia="宋体" w:cs="宋体"/>
          <w:snapToGrid w:val="0"/>
          <w:kern w:val="0"/>
          <w:sz w:val="24"/>
          <w:szCs w:val="24"/>
        </w:rPr>
        <w:t>日期：</w:t>
      </w:r>
    </w:p>
    <w:p w14:paraId="50E9B92F">
      <w:pPr>
        <w:spacing w:line="360" w:lineRule="auto"/>
        <w:rPr>
          <w:rFonts w:hint="eastAsia" w:ascii="宋体" w:hAnsi="宋体" w:eastAsia="宋体" w:cs="宋体"/>
        </w:rPr>
      </w:pPr>
    </w:p>
    <w:p w14:paraId="0A12CEA5">
      <w:pPr>
        <w:tabs>
          <w:tab w:val="left" w:pos="7014"/>
        </w:tabs>
        <w:spacing w:line="480" w:lineRule="auto"/>
        <w:jc w:val="center"/>
        <w:rPr>
          <w:rFonts w:hint="eastAsia" w:ascii="宋体" w:hAnsi="宋体" w:eastAsia="宋体" w:cs="宋体"/>
        </w:rPr>
      </w:pPr>
    </w:p>
    <w:p w14:paraId="380D88CB">
      <w:pPr>
        <w:tabs>
          <w:tab w:val="left" w:pos="7014"/>
        </w:tabs>
        <w:spacing w:line="480" w:lineRule="auto"/>
        <w:jc w:val="center"/>
        <w:rPr>
          <w:rFonts w:hint="eastAsia" w:ascii="宋体" w:hAnsi="宋体" w:eastAsia="宋体" w:cs="宋体"/>
          <w:b/>
          <w:sz w:val="36"/>
          <w:szCs w:val="36"/>
        </w:rPr>
      </w:pPr>
      <w:r>
        <w:rPr>
          <w:rFonts w:hint="eastAsia" w:ascii="宋体" w:hAnsi="宋体" w:eastAsia="宋体" w:cs="宋体"/>
        </w:rPr>
        <w:t xml:space="preserve"> </w:t>
      </w:r>
      <w:r>
        <w:rPr>
          <w:rFonts w:hint="eastAsia" w:ascii="宋体" w:hAnsi="宋体" w:eastAsia="宋体" w:cs="宋体"/>
          <w:b/>
          <w:sz w:val="36"/>
          <w:szCs w:val="36"/>
        </w:rPr>
        <w:t>EHS 协 议</w:t>
      </w:r>
    </w:p>
    <w:p w14:paraId="5E549933">
      <w:pPr>
        <w:tabs>
          <w:tab w:val="left" w:pos="7014"/>
        </w:tabs>
        <w:spacing w:line="480" w:lineRule="auto"/>
        <w:jc w:val="center"/>
        <w:rPr>
          <w:rFonts w:hint="eastAsia" w:ascii="宋体" w:hAnsi="宋体" w:eastAsia="宋体" w:cs="宋体"/>
          <w:b/>
          <w:sz w:val="36"/>
          <w:szCs w:val="36"/>
          <w:u w:val="single"/>
        </w:rPr>
      </w:pPr>
    </w:p>
    <w:p w14:paraId="6F2271A0">
      <w:pPr>
        <w:spacing w:line="48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发包单位：</w:t>
      </w:r>
      <w:r>
        <w:rPr>
          <w:rFonts w:hint="eastAsia" w:ascii="宋体" w:hAnsi="宋体" w:eastAsia="宋体" w:cs="宋体"/>
          <w:b/>
          <w:color w:val="auto"/>
          <w:sz w:val="28"/>
          <w:szCs w:val="28"/>
          <w:highlight w:val="none"/>
          <w:u w:val="single"/>
          <w:lang w:val="en-US" w:eastAsia="zh-CN"/>
        </w:rPr>
        <w:t>华润水泥（田阳）有限公司</w:t>
      </w:r>
      <w:r>
        <w:rPr>
          <w:rFonts w:hint="eastAsia" w:ascii="宋体" w:hAnsi="宋体" w:eastAsia="宋体" w:cs="宋体"/>
          <w:color w:val="auto"/>
          <w:sz w:val="28"/>
          <w:szCs w:val="28"/>
          <w:highlight w:val="none"/>
        </w:rPr>
        <w:t>（以下简称甲方）</w:t>
      </w:r>
    </w:p>
    <w:p w14:paraId="281232D2">
      <w:pPr>
        <w:spacing w:line="360" w:lineRule="auto"/>
        <w:ind w:hanging="27"/>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承包单位：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（以下简称乙方）</w:t>
      </w:r>
    </w:p>
    <w:p w14:paraId="42A524CC">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项目发包给乙方实施完成，为明确双方的</w:t>
      </w:r>
      <w:r>
        <w:rPr>
          <w:rFonts w:hint="eastAsia" w:ascii="宋体" w:hAnsi="宋体" w:eastAsia="宋体" w:cs="宋体"/>
          <w:color w:val="auto"/>
          <w:sz w:val="28"/>
          <w:szCs w:val="28"/>
          <w:highlight w:val="none"/>
          <w:lang w:val="en-US" w:eastAsia="zh-CN"/>
        </w:rPr>
        <w:t>EHS</w:t>
      </w:r>
      <w:r>
        <w:rPr>
          <w:rFonts w:hint="eastAsia" w:ascii="宋体" w:hAnsi="宋体" w:eastAsia="宋体" w:cs="宋体"/>
          <w:color w:val="auto"/>
          <w:sz w:val="28"/>
          <w:szCs w:val="28"/>
          <w:highlight w:val="none"/>
        </w:rPr>
        <w:t>责任，确保乙方在项目施工建设期间的安全</w:t>
      </w:r>
      <w:r>
        <w:rPr>
          <w:rFonts w:hint="eastAsia" w:ascii="宋体" w:hAnsi="宋体" w:eastAsia="宋体" w:cs="宋体"/>
          <w:color w:val="auto"/>
          <w:sz w:val="28"/>
          <w:szCs w:val="28"/>
          <w:highlight w:val="none"/>
          <w:lang w:eastAsia="zh-CN"/>
        </w:rPr>
        <w:t>和环保合规</w:t>
      </w:r>
      <w:r>
        <w:rPr>
          <w:rFonts w:hint="eastAsia" w:ascii="宋体" w:hAnsi="宋体" w:eastAsia="宋体" w:cs="宋体"/>
          <w:color w:val="auto"/>
          <w:sz w:val="28"/>
          <w:szCs w:val="28"/>
          <w:highlight w:val="none"/>
        </w:rPr>
        <w:t>，根据国家有关法律法规和华润建材科技的</w:t>
      </w:r>
      <w:r>
        <w:rPr>
          <w:rFonts w:hint="eastAsia" w:ascii="宋体" w:hAnsi="宋体" w:eastAsia="宋体" w:cs="宋体"/>
          <w:color w:val="auto"/>
          <w:sz w:val="28"/>
          <w:szCs w:val="28"/>
          <w:highlight w:val="none"/>
          <w:lang w:val="en-US" w:eastAsia="zh-CN"/>
        </w:rPr>
        <w:t>EHS管理</w:t>
      </w:r>
      <w:r>
        <w:rPr>
          <w:rFonts w:hint="eastAsia" w:ascii="宋体" w:hAnsi="宋体" w:eastAsia="宋体" w:cs="宋体"/>
          <w:color w:val="auto"/>
          <w:sz w:val="28"/>
          <w:szCs w:val="28"/>
          <w:highlight w:val="none"/>
        </w:rPr>
        <w:t>要求，双方协商一致并自愿签订本协议。</w:t>
      </w:r>
    </w:p>
    <w:p w14:paraId="55653031">
      <w:pPr>
        <w:spacing w:line="360" w:lineRule="auto"/>
        <w:ind w:firstLine="551" w:firstLineChars="196"/>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 承包项目</w:t>
      </w:r>
    </w:p>
    <w:p w14:paraId="162619E2">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(一) 项目名称：                                        </w:t>
      </w:r>
    </w:p>
    <w:p w14:paraId="4B0C358E">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(二) 项目地址及范围：                                                                      </w:t>
      </w:r>
    </w:p>
    <w:p w14:paraId="45D108E5">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(三) 本协议期限：与主合同期限一致。        </w:t>
      </w:r>
    </w:p>
    <w:p w14:paraId="19E86D95">
      <w:pPr>
        <w:spacing w:line="360" w:lineRule="auto"/>
        <w:ind w:firstLine="551" w:firstLineChars="196"/>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二 </w:t>
      </w:r>
      <w:r>
        <w:rPr>
          <w:rFonts w:hint="eastAsia" w:ascii="宋体" w:hAnsi="宋体" w:eastAsia="宋体" w:cs="宋体"/>
          <w:b/>
          <w:bCs/>
          <w:color w:val="auto"/>
          <w:sz w:val="28"/>
          <w:szCs w:val="28"/>
          <w:highlight w:val="none"/>
          <w:lang w:val="en-US" w:eastAsia="zh-CN"/>
        </w:rPr>
        <w:t>EHS</w:t>
      </w:r>
      <w:r>
        <w:rPr>
          <w:rFonts w:hint="eastAsia" w:ascii="宋体" w:hAnsi="宋体" w:eastAsia="宋体" w:cs="宋体"/>
          <w:b/>
          <w:bCs/>
          <w:color w:val="auto"/>
          <w:sz w:val="28"/>
          <w:szCs w:val="28"/>
          <w:highlight w:val="none"/>
        </w:rPr>
        <w:t>责任</w:t>
      </w:r>
    </w:p>
    <w:p w14:paraId="1EB2786A">
      <w:pPr>
        <w:spacing w:line="360" w:lineRule="auto"/>
        <w:ind w:firstLine="560" w:firstLineChars="200"/>
        <w:jc w:val="left"/>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 xml:space="preserve">(一) </w:t>
      </w:r>
      <w:r>
        <w:rPr>
          <w:rFonts w:hint="eastAsia" w:ascii="宋体" w:hAnsi="宋体" w:eastAsia="宋体" w:cs="宋体"/>
          <w:color w:val="auto"/>
          <w:sz w:val="28"/>
          <w:szCs w:val="28"/>
          <w:highlight w:val="none"/>
          <w:lang w:val="en-US" w:eastAsia="zh-CN"/>
        </w:rPr>
        <w:t>EHS</w:t>
      </w:r>
      <w:r>
        <w:rPr>
          <w:rFonts w:hint="eastAsia" w:ascii="宋体" w:hAnsi="宋体" w:eastAsia="宋体" w:cs="宋体"/>
          <w:color w:val="auto"/>
          <w:sz w:val="28"/>
          <w:szCs w:val="28"/>
          <w:highlight w:val="none"/>
        </w:rPr>
        <w:t>责任人</w:t>
      </w:r>
    </w:p>
    <w:p w14:paraId="021F4B3F">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 甲方项目</w:t>
      </w:r>
      <w:r>
        <w:rPr>
          <w:rFonts w:hint="eastAsia" w:ascii="宋体" w:hAnsi="宋体" w:eastAsia="宋体" w:cs="宋体"/>
          <w:color w:val="auto"/>
          <w:sz w:val="28"/>
          <w:szCs w:val="28"/>
          <w:highlight w:val="none"/>
          <w:lang w:val="en-US" w:eastAsia="zh-CN"/>
        </w:rPr>
        <w:t>EHS</w:t>
      </w:r>
      <w:r>
        <w:rPr>
          <w:rFonts w:hint="eastAsia" w:ascii="宋体" w:hAnsi="宋体" w:eastAsia="宋体" w:cs="宋体"/>
          <w:color w:val="auto"/>
          <w:sz w:val="28"/>
          <w:szCs w:val="28"/>
          <w:highlight w:val="none"/>
        </w:rPr>
        <w:t xml:space="preserve">负责人：                              </w:t>
      </w:r>
    </w:p>
    <w:p w14:paraId="38937533">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指派的现场</w:t>
      </w:r>
      <w:r>
        <w:rPr>
          <w:rFonts w:hint="eastAsia" w:ascii="宋体" w:hAnsi="宋体" w:eastAsia="宋体" w:cs="宋体"/>
          <w:color w:val="auto"/>
          <w:sz w:val="28"/>
          <w:szCs w:val="28"/>
          <w:highlight w:val="none"/>
          <w:lang w:val="en-US" w:eastAsia="zh-CN"/>
        </w:rPr>
        <w:t>EHS</w:t>
      </w:r>
      <w:r>
        <w:rPr>
          <w:rFonts w:hint="eastAsia" w:ascii="宋体" w:hAnsi="宋体" w:eastAsia="宋体" w:cs="宋体"/>
          <w:color w:val="auto"/>
          <w:sz w:val="28"/>
          <w:szCs w:val="28"/>
          <w:highlight w:val="none"/>
        </w:rPr>
        <w:t xml:space="preserve">责任人：               </w:t>
      </w:r>
    </w:p>
    <w:p w14:paraId="79977CD4">
      <w:pPr>
        <w:spacing w:line="360" w:lineRule="auto"/>
        <w:ind w:left="561" w:leftChars="267"/>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 乙方项目</w:t>
      </w:r>
      <w:r>
        <w:rPr>
          <w:rFonts w:hint="eastAsia" w:ascii="宋体" w:hAnsi="宋体" w:eastAsia="宋体" w:cs="宋体"/>
          <w:color w:val="auto"/>
          <w:sz w:val="28"/>
          <w:szCs w:val="28"/>
          <w:highlight w:val="none"/>
          <w:lang w:val="en-US" w:eastAsia="zh-CN"/>
        </w:rPr>
        <w:t>EHS</w:t>
      </w:r>
      <w:r>
        <w:rPr>
          <w:rFonts w:hint="eastAsia" w:ascii="宋体" w:hAnsi="宋体" w:eastAsia="宋体" w:cs="宋体"/>
          <w:color w:val="auto"/>
          <w:sz w:val="28"/>
          <w:szCs w:val="28"/>
          <w:highlight w:val="none"/>
        </w:rPr>
        <w:t xml:space="preserve">负责人 ：                                  </w:t>
      </w:r>
    </w:p>
    <w:p w14:paraId="7B64D61B">
      <w:pPr>
        <w:spacing w:line="360" w:lineRule="auto"/>
        <w:ind w:left="561" w:leftChars="267"/>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指派的现场</w:t>
      </w:r>
      <w:r>
        <w:rPr>
          <w:rFonts w:hint="eastAsia" w:ascii="宋体" w:hAnsi="宋体" w:eastAsia="宋体" w:cs="宋体"/>
          <w:color w:val="auto"/>
          <w:sz w:val="28"/>
          <w:szCs w:val="28"/>
          <w:highlight w:val="none"/>
          <w:lang w:val="en-US" w:eastAsia="zh-CN"/>
        </w:rPr>
        <w:t>EHS</w:t>
      </w:r>
      <w:r>
        <w:rPr>
          <w:rFonts w:hint="eastAsia" w:ascii="宋体" w:hAnsi="宋体" w:eastAsia="宋体" w:cs="宋体"/>
          <w:color w:val="auto"/>
          <w:sz w:val="28"/>
          <w:szCs w:val="28"/>
          <w:highlight w:val="none"/>
        </w:rPr>
        <w:t xml:space="preserve">责任人：                </w:t>
      </w:r>
    </w:p>
    <w:p w14:paraId="5BD66668">
      <w:pPr>
        <w:spacing w:line="360" w:lineRule="auto"/>
        <w:ind w:left="561" w:leftChars="267"/>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 甲方安全责任</w:t>
      </w:r>
    </w:p>
    <w:p w14:paraId="7D9587C1">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 甲方有权对乙方安全资质、工伤保险或意外伤害险购买情况等进行审核。</w:t>
      </w:r>
    </w:p>
    <w:p w14:paraId="7B891A70">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2.4 甲方应向乙方提供作业过程中的便利，协助乙方做好安全生产、环境保护、职业病防治工作，向乙方介绍现场的状况、注意事项。</w:t>
      </w:r>
    </w:p>
    <w:p w14:paraId="1BDF0648">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 甲方安全</w:t>
      </w:r>
      <w:r>
        <w:rPr>
          <w:rFonts w:hint="eastAsia" w:ascii="宋体" w:hAnsi="宋体" w:eastAsia="宋体" w:cs="宋体"/>
          <w:color w:val="auto"/>
          <w:sz w:val="28"/>
          <w:szCs w:val="28"/>
          <w:highlight w:val="none"/>
          <w:lang w:eastAsia="zh-CN"/>
        </w:rPr>
        <w:t>环保</w:t>
      </w:r>
      <w:r>
        <w:rPr>
          <w:rFonts w:hint="eastAsia" w:ascii="宋体" w:hAnsi="宋体" w:eastAsia="宋体" w:cs="宋体"/>
          <w:color w:val="auto"/>
          <w:sz w:val="28"/>
          <w:szCs w:val="28"/>
          <w:highlight w:val="none"/>
        </w:rPr>
        <w:t>管理部门对所有的施工从业人员（包括临时雇用的民工）进行统一的安全培训。</w:t>
      </w:r>
    </w:p>
    <w:p w14:paraId="2E60EFF0">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2.6 甲方有权提出有关安全生产、环境保护</w:t>
      </w:r>
      <w:r>
        <w:rPr>
          <w:rFonts w:hint="eastAsia" w:ascii="宋体" w:hAnsi="宋体" w:eastAsia="宋体" w:cs="宋体"/>
          <w:color w:val="auto"/>
          <w:sz w:val="28"/>
          <w:szCs w:val="28"/>
          <w:highlight w:val="none"/>
          <w:lang w:eastAsia="zh-CN"/>
        </w:rPr>
        <w:t>、职业卫生</w:t>
      </w:r>
      <w:r>
        <w:rPr>
          <w:rFonts w:hint="eastAsia" w:ascii="宋体" w:hAnsi="宋体" w:eastAsia="宋体" w:cs="宋体"/>
          <w:color w:val="auto"/>
          <w:sz w:val="28"/>
          <w:szCs w:val="28"/>
          <w:highlight w:val="none"/>
        </w:rPr>
        <w:t>工作方面规定，并有权对乙方的施工现场进行监督管理，发现不符合安全生产、环境保护、职业卫生施工行为进行制止、纠正，并下发隐患整改通知书、</w:t>
      </w:r>
      <w:r>
        <w:rPr>
          <w:rFonts w:hint="eastAsia" w:ascii="宋体" w:hAnsi="宋体" w:eastAsia="宋体" w:cs="宋体"/>
          <w:color w:val="auto"/>
          <w:sz w:val="28"/>
          <w:szCs w:val="28"/>
          <w:highlight w:val="none"/>
          <w:lang w:eastAsia="zh-CN"/>
        </w:rPr>
        <w:t>考核</w:t>
      </w:r>
      <w:r>
        <w:rPr>
          <w:rFonts w:hint="eastAsia" w:ascii="宋体" w:hAnsi="宋体" w:eastAsia="宋体" w:cs="宋体"/>
          <w:color w:val="auto"/>
          <w:sz w:val="28"/>
          <w:szCs w:val="28"/>
          <w:highlight w:val="none"/>
        </w:rPr>
        <w:t>通知书给乙方，情节严重的停工整顿或终止合同清退出场。</w:t>
      </w:r>
    </w:p>
    <w:p w14:paraId="7046DB21">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 乙方安全责任</w:t>
      </w:r>
    </w:p>
    <w:p w14:paraId="07A7D287">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2.7 乙方对自己员工负有安全生产</w:t>
      </w:r>
      <w:r>
        <w:rPr>
          <w:rFonts w:hint="eastAsia" w:ascii="宋体" w:hAnsi="宋体" w:eastAsia="宋体" w:cs="宋体"/>
          <w:color w:val="auto"/>
          <w:sz w:val="28"/>
          <w:szCs w:val="28"/>
          <w:highlight w:val="none"/>
          <w:lang w:eastAsia="zh-CN"/>
        </w:rPr>
        <w:t>、环境保护、职业卫生</w:t>
      </w:r>
      <w:r>
        <w:rPr>
          <w:rFonts w:hint="eastAsia" w:ascii="宋体" w:hAnsi="宋体" w:eastAsia="宋体" w:cs="宋体"/>
          <w:color w:val="auto"/>
          <w:sz w:val="28"/>
          <w:szCs w:val="28"/>
          <w:highlight w:val="none"/>
        </w:rPr>
        <w:t>相关法规要求履行的安全</w:t>
      </w:r>
      <w:r>
        <w:rPr>
          <w:rFonts w:hint="eastAsia" w:ascii="宋体" w:hAnsi="宋体" w:eastAsia="宋体" w:cs="宋体"/>
          <w:color w:val="auto"/>
          <w:sz w:val="28"/>
          <w:szCs w:val="28"/>
          <w:highlight w:val="none"/>
          <w:lang w:eastAsia="zh-CN"/>
        </w:rPr>
        <w:t>环保</w:t>
      </w:r>
      <w:r>
        <w:rPr>
          <w:rFonts w:hint="eastAsia" w:ascii="宋体" w:hAnsi="宋体" w:eastAsia="宋体" w:cs="宋体"/>
          <w:color w:val="auto"/>
          <w:sz w:val="28"/>
          <w:szCs w:val="28"/>
          <w:highlight w:val="none"/>
        </w:rPr>
        <w:t>管理责任。承担乙方在作业过程中发生安全、环保、职业病危害事故引起的应负损失（按国家相关法律法规和事故调查报告各自承担的责任进行划分）。</w:t>
      </w:r>
    </w:p>
    <w:p w14:paraId="36860BEA">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2.8 因乙方人员违规违章指挥或操作发生安全事故而引起的政府罚款（包括对业主的部分）将由乙方承担，不予承担时，在甲方应付帐款中扣除。</w:t>
      </w:r>
    </w:p>
    <w:p w14:paraId="35276FE5">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2.9 乙方人员发生现场违章、重伤以上安全事故，接受甲方的相关</w:t>
      </w:r>
      <w:r>
        <w:rPr>
          <w:rFonts w:hint="eastAsia" w:ascii="宋体" w:hAnsi="宋体" w:eastAsia="宋体" w:cs="宋体"/>
          <w:color w:val="auto"/>
          <w:sz w:val="28"/>
          <w:szCs w:val="28"/>
          <w:highlight w:val="none"/>
          <w:lang w:eastAsia="zh-CN"/>
        </w:rPr>
        <w:t>考核</w:t>
      </w:r>
      <w:r>
        <w:rPr>
          <w:rFonts w:hint="eastAsia" w:ascii="宋体" w:hAnsi="宋体" w:eastAsia="宋体" w:cs="宋体"/>
          <w:color w:val="auto"/>
          <w:sz w:val="28"/>
          <w:szCs w:val="28"/>
          <w:highlight w:val="none"/>
        </w:rPr>
        <w:t>。</w:t>
      </w:r>
    </w:p>
    <w:p w14:paraId="54EC9B18">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2.10 乙方按要求提供相关资质证明材料（根据《华润建材科技控股有限公司承包商安全管理指引》（2024年版）执行）。</w:t>
      </w:r>
    </w:p>
    <w:p w14:paraId="0BD82C2A">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2.11 乙方所有人员进厂（场）作业前，持本《</w:t>
      </w:r>
      <w:r>
        <w:rPr>
          <w:rFonts w:hint="eastAsia" w:ascii="宋体" w:hAnsi="宋体" w:eastAsia="宋体" w:cs="宋体"/>
          <w:color w:val="auto"/>
          <w:sz w:val="28"/>
          <w:szCs w:val="28"/>
          <w:highlight w:val="none"/>
          <w:lang w:val="en-US" w:eastAsia="zh-CN"/>
        </w:rPr>
        <w:t>EHS</w:t>
      </w:r>
      <w:r>
        <w:rPr>
          <w:rFonts w:hint="eastAsia" w:ascii="宋体" w:hAnsi="宋体" w:eastAsia="宋体" w:cs="宋体"/>
          <w:color w:val="auto"/>
          <w:sz w:val="28"/>
          <w:szCs w:val="28"/>
          <w:highlight w:val="none"/>
        </w:rPr>
        <w:t>协议》、进厂人员花名册到甲方安全</w:t>
      </w:r>
      <w:r>
        <w:rPr>
          <w:rFonts w:hint="eastAsia" w:ascii="宋体" w:hAnsi="宋体" w:eastAsia="宋体" w:cs="宋体"/>
          <w:color w:val="auto"/>
          <w:sz w:val="28"/>
          <w:szCs w:val="28"/>
          <w:highlight w:val="none"/>
          <w:lang w:eastAsia="zh-CN"/>
        </w:rPr>
        <w:t>环保</w:t>
      </w:r>
      <w:r>
        <w:rPr>
          <w:rFonts w:hint="eastAsia" w:ascii="宋体" w:hAnsi="宋体" w:eastAsia="宋体" w:cs="宋体"/>
          <w:color w:val="auto"/>
          <w:sz w:val="28"/>
          <w:szCs w:val="28"/>
          <w:highlight w:val="none"/>
        </w:rPr>
        <w:t>管理部门培训。</w:t>
      </w:r>
    </w:p>
    <w:p w14:paraId="710389FA">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2.12 乙方必须遵守国家相关法律、法规及甲方的安全</w:t>
      </w:r>
      <w:r>
        <w:rPr>
          <w:rFonts w:hint="eastAsia" w:ascii="宋体" w:hAnsi="宋体" w:eastAsia="宋体" w:cs="宋体"/>
          <w:color w:val="auto"/>
          <w:sz w:val="28"/>
          <w:szCs w:val="28"/>
          <w:highlight w:val="none"/>
          <w:lang w:eastAsia="zh-CN"/>
        </w:rPr>
        <w:t>、环保、职业卫生管理</w:t>
      </w:r>
      <w:r>
        <w:rPr>
          <w:rFonts w:hint="eastAsia" w:ascii="宋体" w:hAnsi="宋体" w:eastAsia="宋体" w:cs="宋体"/>
          <w:color w:val="auto"/>
          <w:sz w:val="28"/>
          <w:szCs w:val="28"/>
          <w:highlight w:val="none"/>
        </w:rPr>
        <w:t>规定。</w:t>
      </w:r>
    </w:p>
    <w:p w14:paraId="04353FAA">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2.13 乙方为作业人员配备符合国家法律法规要求及甲方规定的个人劳动防护用品，并督促其作业人员按要求穿戴劳动防护用品。</w:t>
      </w:r>
    </w:p>
    <w:p w14:paraId="30F259AB">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2.14 乙方按要求为作业人员办理工伤保险或意外伤害保险（必须涵盖职业病赔付）。 </w:t>
      </w:r>
    </w:p>
    <w:p w14:paraId="44F6AAEA">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2.15 </w:t>
      </w:r>
      <w:r>
        <w:rPr>
          <w:rFonts w:hint="eastAsia" w:ascii="宋体" w:hAnsi="宋体" w:eastAsia="宋体" w:cs="宋体"/>
          <w:color w:val="auto"/>
          <w:sz w:val="28"/>
          <w:szCs w:val="28"/>
          <w:highlight w:val="none"/>
          <w:lang w:eastAsia="zh-CN"/>
        </w:rPr>
        <w:t>制定</w:t>
      </w:r>
      <w:r>
        <w:rPr>
          <w:rFonts w:hint="eastAsia" w:ascii="宋体" w:hAnsi="宋体" w:eastAsia="宋体" w:cs="宋体"/>
          <w:color w:val="auto"/>
          <w:sz w:val="28"/>
          <w:szCs w:val="28"/>
          <w:highlight w:val="none"/>
        </w:rPr>
        <w:t>安全施工方案及高风险作业的应急处置方案。</w:t>
      </w:r>
    </w:p>
    <w:p w14:paraId="28226FEE">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2.16 乙方有权拒绝甲方的违章指挥和使用不安全的设施。</w:t>
      </w:r>
    </w:p>
    <w:p w14:paraId="27EF59AA">
      <w:pPr>
        <w:spacing w:line="360" w:lineRule="auto"/>
        <w:ind w:firstLine="551" w:firstLineChars="196"/>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三 </w:t>
      </w:r>
      <w:r>
        <w:rPr>
          <w:rFonts w:hint="eastAsia" w:ascii="宋体" w:hAnsi="宋体" w:eastAsia="宋体" w:cs="宋体"/>
          <w:b/>
          <w:color w:val="auto"/>
          <w:sz w:val="28"/>
          <w:szCs w:val="28"/>
          <w:highlight w:val="none"/>
          <w:lang w:val="en-US" w:eastAsia="zh-CN"/>
        </w:rPr>
        <w:t>EHS</w:t>
      </w:r>
      <w:r>
        <w:rPr>
          <w:rFonts w:hint="eastAsia" w:ascii="宋体" w:hAnsi="宋体" w:eastAsia="宋体" w:cs="宋体"/>
          <w:b/>
          <w:color w:val="auto"/>
          <w:sz w:val="28"/>
          <w:szCs w:val="28"/>
          <w:highlight w:val="none"/>
        </w:rPr>
        <w:t>协议内容</w:t>
      </w:r>
    </w:p>
    <w:p w14:paraId="3E0BB013">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 约定的主要内容</w:t>
      </w:r>
    </w:p>
    <w:p w14:paraId="43F23B1B">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3.1 双方必须遵守各自的</w:t>
      </w:r>
      <w:r>
        <w:rPr>
          <w:rFonts w:hint="eastAsia" w:ascii="宋体" w:hAnsi="宋体" w:eastAsia="宋体" w:cs="宋体"/>
          <w:color w:val="auto"/>
          <w:sz w:val="28"/>
          <w:szCs w:val="28"/>
          <w:highlight w:val="none"/>
          <w:lang w:val="en-US" w:eastAsia="zh-CN"/>
        </w:rPr>
        <w:t>EHS</w:t>
      </w:r>
      <w:r>
        <w:rPr>
          <w:rFonts w:hint="eastAsia" w:ascii="宋体" w:hAnsi="宋体" w:eastAsia="宋体" w:cs="宋体"/>
          <w:color w:val="auto"/>
          <w:sz w:val="28"/>
          <w:szCs w:val="28"/>
          <w:highlight w:val="none"/>
        </w:rPr>
        <w:t>责任。乙方不得非法将工程转包、分包。</w:t>
      </w:r>
    </w:p>
    <w:p w14:paraId="15EA1117">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3.2 乙方所提供的承包项目要求的相关资质证明材料应真实、合法、有效。</w:t>
      </w:r>
    </w:p>
    <w:p w14:paraId="6BC55B86">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3.3 乙方必须使用符合国家标准的设备、工具，不准使用报废的、存在严重安全隐患的设备或工具。</w:t>
      </w:r>
    </w:p>
    <w:p w14:paraId="28DB361F">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3.4 乙方应保证全体施工人员经过甲方的安全教育培训，特种作业人员必须有国家相关部门核发的合格有效的上岗资格证书。</w:t>
      </w:r>
    </w:p>
    <w:p w14:paraId="1F0EE383">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 乙方应组织人员对施工区域、作业环境及使用甲方提供的设施设备、工器具等进行检查，确认符合安全要求，一经开工，就表示乙方已确认施工现场、作业环境、设施设备、工器具符合安全要求并处于安全状态。</w:t>
      </w:r>
    </w:p>
    <w:p w14:paraId="702B30C5">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3.6 乙方应在施工范围装设临时围栏或警告标志，不得超越指定的施工范围进行施工，禁止无关人员进入施工现场。</w:t>
      </w:r>
    </w:p>
    <w:p w14:paraId="29DAD454">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3.7 未经甲方同意，乙方不得擅自使用与施工无关的甲方设施设备；不得私拉乱接甲方的水、电、气等管路、线路；不得擅自拆除、变更甲方防护设施及</w:t>
      </w:r>
      <w:r>
        <w:rPr>
          <w:rFonts w:hint="eastAsia" w:ascii="宋体" w:hAnsi="宋体" w:eastAsia="宋体" w:cs="宋体"/>
          <w:color w:val="auto"/>
          <w:sz w:val="28"/>
          <w:szCs w:val="28"/>
          <w:highlight w:val="none"/>
          <w:lang w:eastAsia="zh-CN"/>
        </w:rPr>
        <w:t>标识</w:t>
      </w:r>
      <w:r>
        <w:rPr>
          <w:rFonts w:hint="eastAsia" w:ascii="宋体" w:hAnsi="宋体" w:eastAsia="宋体" w:cs="宋体"/>
          <w:color w:val="auto"/>
          <w:sz w:val="28"/>
          <w:szCs w:val="28"/>
          <w:highlight w:val="none"/>
        </w:rPr>
        <w:t>。</w:t>
      </w:r>
    </w:p>
    <w:p w14:paraId="3AD8175F">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3.8 乙方保证其单位安全管理体系有效运行，有制度化的安全培训，本身自带有符合国家标准和甲方要求的劳动防护用品，长期承包商根据实际情况安排接触职业病危害作业人员全过程</w:t>
      </w:r>
      <w:r>
        <w:rPr>
          <w:rFonts w:hint="eastAsia" w:ascii="宋体" w:hAnsi="宋体" w:eastAsia="宋体" w:cs="宋体"/>
          <w:color w:val="auto"/>
          <w:sz w:val="28"/>
          <w:szCs w:val="28"/>
          <w:highlight w:val="none"/>
          <w:lang w:eastAsia="zh-CN"/>
        </w:rPr>
        <w:t>职业卫生</w:t>
      </w:r>
      <w:r>
        <w:rPr>
          <w:rFonts w:hint="eastAsia" w:ascii="宋体" w:hAnsi="宋体" w:eastAsia="宋体" w:cs="宋体"/>
          <w:color w:val="auto"/>
          <w:sz w:val="28"/>
          <w:szCs w:val="28"/>
          <w:highlight w:val="none"/>
        </w:rPr>
        <w:t>体检（岗前、岗中、离岗）</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确保作业人员无职业禁忌证或职业病。</w:t>
      </w:r>
    </w:p>
    <w:p w14:paraId="420267F1">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3.9 乙方必须接受甲方的监督、检查，对甲方提出的安全整改意见必须及时整改，同时乙方不得以此作为增加工程费用及合同金额的理由。</w:t>
      </w:r>
    </w:p>
    <w:p w14:paraId="04964508">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3.10 乙</w:t>
      </w:r>
      <w:r>
        <w:rPr>
          <w:rFonts w:hint="eastAsia" w:ascii="宋体" w:hAnsi="宋体" w:eastAsia="宋体" w:cs="宋体"/>
          <w:color w:val="auto"/>
          <w:sz w:val="28"/>
          <w:szCs w:val="28"/>
          <w:highlight w:val="none"/>
          <w:lang w:eastAsia="zh-CN"/>
        </w:rPr>
        <w:t>方在</w:t>
      </w:r>
      <w:r>
        <w:rPr>
          <w:rFonts w:hint="eastAsia" w:ascii="宋体" w:hAnsi="宋体" w:eastAsia="宋体" w:cs="宋体"/>
          <w:color w:val="auto"/>
          <w:sz w:val="28"/>
          <w:szCs w:val="28"/>
          <w:highlight w:val="none"/>
        </w:rPr>
        <w:t>施工过程中发生人身伤亡、设备事故或危及生产运行的不安全情况，应立即报告甲方，并积极配合调查。</w:t>
      </w:r>
    </w:p>
    <w:p w14:paraId="3865762D">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3.11 乙方在与甲方签订协议时，已经熟知本条第（二）款约定遵守的安全、环保、职业卫生制度和程序，并愿意严格遵守这些制度和程序，如违反这些制度和程序，愿意承担相应的法律责任及经济责任。</w:t>
      </w:r>
    </w:p>
    <w:p w14:paraId="67ED9064">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3.12 乙方保证如造成甲方设施损坏，进行限期赔偿或修复。</w:t>
      </w:r>
    </w:p>
    <w:p w14:paraId="3C1DD602">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3.13 乙方保证若不能遵守本</w:t>
      </w:r>
      <w:r>
        <w:rPr>
          <w:rFonts w:hint="eastAsia" w:ascii="宋体" w:hAnsi="宋体" w:eastAsia="宋体" w:cs="宋体"/>
          <w:color w:val="auto"/>
          <w:sz w:val="28"/>
          <w:szCs w:val="28"/>
          <w:highlight w:val="none"/>
          <w:lang w:val="en-US" w:eastAsia="zh-CN"/>
        </w:rPr>
        <w:t>EHS</w:t>
      </w:r>
      <w:r>
        <w:rPr>
          <w:rFonts w:hint="eastAsia" w:ascii="宋体" w:hAnsi="宋体" w:eastAsia="宋体" w:cs="宋体"/>
          <w:color w:val="auto"/>
          <w:sz w:val="28"/>
          <w:szCs w:val="28"/>
          <w:highlight w:val="none"/>
        </w:rPr>
        <w:t>协议的内容，将无条件服从甲方停工整顿决定，并承担相应的损失。</w:t>
      </w:r>
    </w:p>
    <w:p w14:paraId="4A7287DF">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(二) </w:t>
      </w:r>
      <w:r>
        <w:rPr>
          <w:rFonts w:hint="eastAsia" w:ascii="宋体" w:hAnsi="宋体" w:eastAsia="宋体" w:cs="宋体"/>
          <w:iCs/>
          <w:color w:val="auto"/>
          <w:sz w:val="28"/>
          <w:szCs w:val="28"/>
          <w:highlight w:val="none"/>
        </w:rPr>
        <w:t>约定遵守的EHS制度和程序</w:t>
      </w:r>
    </w:p>
    <w:p w14:paraId="4BC9D8E8">
      <w:pPr>
        <w:spacing w:line="360" w:lineRule="auto"/>
        <w:ind w:firstLine="560" w:firstLineChars="200"/>
        <w:rPr>
          <w:rFonts w:hint="eastAsia" w:ascii="宋体" w:hAnsi="宋体" w:eastAsia="宋体" w:cs="宋体"/>
          <w:bCs/>
          <w:iCs/>
          <w:color w:val="auto"/>
          <w:sz w:val="28"/>
          <w:szCs w:val="28"/>
          <w:highlight w:val="none"/>
        </w:rPr>
      </w:pPr>
      <w:r>
        <w:rPr>
          <w:rFonts w:hint="eastAsia" w:ascii="宋体" w:hAnsi="宋体" w:eastAsia="宋体" w:cs="宋体"/>
          <w:bCs/>
          <w:iCs/>
          <w:color w:val="auto"/>
          <w:sz w:val="28"/>
          <w:szCs w:val="28"/>
          <w:highlight w:val="none"/>
        </w:rPr>
        <w:t>国家有关安全</w:t>
      </w:r>
      <w:r>
        <w:rPr>
          <w:rFonts w:hint="eastAsia" w:ascii="宋体" w:hAnsi="宋体" w:eastAsia="宋体" w:cs="宋体"/>
          <w:bCs/>
          <w:iCs/>
          <w:color w:val="auto"/>
          <w:sz w:val="28"/>
          <w:szCs w:val="28"/>
          <w:highlight w:val="none"/>
          <w:lang w:eastAsia="zh-CN"/>
        </w:rPr>
        <w:t>、环保、职业卫生</w:t>
      </w:r>
      <w:r>
        <w:rPr>
          <w:rFonts w:hint="eastAsia" w:ascii="宋体" w:hAnsi="宋体" w:eastAsia="宋体" w:cs="宋体"/>
          <w:bCs/>
          <w:iCs/>
          <w:color w:val="auto"/>
          <w:sz w:val="28"/>
          <w:szCs w:val="28"/>
          <w:highlight w:val="none"/>
        </w:rPr>
        <w:t>方面的法律法规；《华润建材科技控股有限公司承包商安全管理指引》（2024年版）、《</w:t>
      </w:r>
      <w:r>
        <w:rPr>
          <w:rFonts w:hint="eastAsia" w:ascii="宋体" w:hAnsi="宋体" w:eastAsia="宋体" w:cs="宋体"/>
          <w:bCs/>
          <w:iCs/>
          <w:color w:val="auto"/>
          <w:sz w:val="28"/>
          <w:szCs w:val="28"/>
          <w:highlight w:val="none"/>
          <w:lang w:val="en-US" w:eastAsia="zh-CN"/>
        </w:rPr>
        <w:t>EHS</w:t>
      </w:r>
      <w:r>
        <w:rPr>
          <w:rFonts w:hint="eastAsia" w:ascii="宋体" w:hAnsi="宋体" w:eastAsia="宋体" w:cs="宋体"/>
          <w:bCs/>
          <w:iCs/>
          <w:color w:val="auto"/>
          <w:sz w:val="28"/>
          <w:szCs w:val="28"/>
          <w:highlight w:val="none"/>
        </w:rPr>
        <w:t>协议》及公司其他安全</w:t>
      </w:r>
      <w:r>
        <w:rPr>
          <w:rFonts w:hint="eastAsia" w:ascii="宋体" w:hAnsi="宋体" w:eastAsia="宋体" w:cs="宋体"/>
          <w:bCs/>
          <w:iCs/>
          <w:color w:val="auto"/>
          <w:sz w:val="28"/>
          <w:szCs w:val="28"/>
          <w:highlight w:val="none"/>
          <w:lang w:eastAsia="zh-CN"/>
        </w:rPr>
        <w:t>、环保、职业卫生</w:t>
      </w:r>
      <w:r>
        <w:rPr>
          <w:rFonts w:hint="eastAsia" w:ascii="宋体" w:hAnsi="宋体" w:eastAsia="宋体" w:cs="宋体"/>
          <w:bCs/>
          <w:iCs/>
          <w:color w:val="auto"/>
          <w:sz w:val="28"/>
          <w:szCs w:val="28"/>
          <w:highlight w:val="none"/>
        </w:rPr>
        <w:t>管理制度等。</w:t>
      </w:r>
    </w:p>
    <w:p w14:paraId="6E1716E2">
      <w:pPr>
        <w:spacing w:line="360" w:lineRule="auto"/>
        <w:ind w:firstLine="560" w:firstLineChars="200"/>
        <w:rPr>
          <w:rFonts w:hint="eastAsia" w:ascii="宋体" w:hAnsi="宋体" w:eastAsia="宋体" w:cs="宋体"/>
          <w:bCs/>
          <w:iCs/>
          <w:color w:val="auto"/>
          <w:sz w:val="28"/>
          <w:szCs w:val="28"/>
          <w:highlight w:val="none"/>
        </w:rPr>
      </w:pPr>
      <w:r>
        <w:rPr>
          <w:rFonts w:hint="eastAsia" w:ascii="宋体" w:hAnsi="宋体" w:eastAsia="宋体" w:cs="宋体"/>
          <w:bCs/>
          <w:iCs/>
          <w:color w:val="auto"/>
          <w:sz w:val="28"/>
          <w:szCs w:val="28"/>
          <w:highlight w:val="none"/>
        </w:rPr>
        <w:t>项目实施前，双方的项目负责人、安全管理人员等相关人员应充分沟通，明确项目安全</w:t>
      </w:r>
      <w:r>
        <w:rPr>
          <w:rFonts w:hint="eastAsia" w:ascii="宋体" w:hAnsi="宋体" w:eastAsia="宋体" w:cs="宋体"/>
          <w:bCs/>
          <w:iCs/>
          <w:color w:val="auto"/>
          <w:sz w:val="28"/>
          <w:szCs w:val="28"/>
          <w:highlight w:val="none"/>
          <w:lang w:eastAsia="zh-CN"/>
        </w:rPr>
        <w:t>环保</w:t>
      </w:r>
      <w:r>
        <w:rPr>
          <w:rFonts w:hint="eastAsia" w:ascii="宋体" w:hAnsi="宋体" w:eastAsia="宋体" w:cs="宋体"/>
          <w:bCs/>
          <w:iCs/>
          <w:color w:val="auto"/>
          <w:sz w:val="28"/>
          <w:szCs w:val="28"/>
          <w:highlight w:val="none"/>
        </w:rPr>
        <w:t>工作内容。</w:t>
      </w:r>
    </w:p>
    <w:p w14:paraId="4556AFED">
      <w:pPr>
        <w:spacing w:line="360" w:lineRule="auto"/>
        <w:ind w:firstLine="551" w:firstLineChars="196"/>
        <w:rPr>
          <w:rFonts w:hint="eastAsia" w:ascii="宋体" w:hAnsi="宋体" w:eastAsia="宋体" w:cs="宋体"/>
          <w:b/>
          <w:bCs/>
          <w:color w:val="auto"/>
          <w:sz w:val="28"/>
          <w:szCs w:val="28"/>
          <w:highlight w:val="none"/>
        </w:rPr>
      </w:pPr>
      <w:r>
        <w:rPr>
          <w:rFonts w:hint="eastAsia" w:ascii="宋体" w:hAnsi="宋体" w:eastAsia="宋体" w:cs="宋体"/>
          <w:b/>
          <w:bCs/>
          <w:iCs/>
          <w:color w:val="auto"/>
          <w:sz w:val="28"/>
          <w:szCs w:val="28"/>
          <w:highlight w:val="none"/>
        </w:rPr>
        <w:t>四</w:t>
      </w:r>
      <w:r>
        <w:rPr>
          <w:rFonts w:hint="eastAsia" w:ascii="宋体" w:hAnsi="宋体" w:eastAsia="宋体" w:cs="宋体"/>
          <w:bCs/>
          <w:iCs/>
          <w:color w:val="auto"/>
          <w:sz w:val="28"/>
          <w:szCs w:val="28"/>
          <w:highlight w:val="none"/>
        </w:rPr>
        <w:t xml:space="preserve"> </w:t>
      </w:r>
      <w:r>
        <w:rPr>
          <w:rFonts w:hint="eastAsia" w:ascii="宋体" w:hAnsi="宋体" w:eastAsia="宋体" w:cs="宋体"/>
          <w:b/>
          <w:bCs/>
          <w:color w:val="auto"/>
          <w:sz w:val="28"/>
          <w:szCs w:val="28"/>
          <w:highlight w:val="none"/>
        </w:rPr>
        <w:t>约定的</w:t>
      </w:r>
      <w:r>
        <w:rPr>
          <w:rFonts w:hint="eastAsia" w:ascii="宋体" w:hAnsi="宋体" w:eastAsia="宋体" w:cs="宋体"/>
          <w:b/>
          <w:bCs/>
          <w:color w:val="auto"/>
          <w:sz w:val="28"/>
          <w:szCs w:val="28"/>
          <w:highlight w:val="none"/>
          <w:lang w:eastAsia="zh-CN"/>
        </w:rPr>
        <w:t>考核</w:t>
      </w:r>
      <w:r>
        <w:rPr>
          <w:rFonts w:hint="eastAsia" w:ascii="宋体" w:hAnsi="宋体" w:eastAsia="宋体" w:cs="宋体"/>
          <w:b/>
          <w:bCs/>
          <w:color w:val="auto"/>
          <w:sz w:val="28"/>
          <w:szCs w:val="28"/>
          <w:highlight w:val="none"/>
        </w:rPr>
        <w:t>内容</w:t>
      </w:r>
    </w:p>
    <w:p w14:paraId="5939F987">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(一) </w:t>
      </w:r>
      <w:r>
        <w:rPr>
          <w:rFonts w:hint="eastAsia" w:ascii="宋体" w:hAnsi="宋体" w:eastAsia="宋体" w:cs="宋体"/>
          <w:color w:val="auto"/>
          <w:sz w:val="28"/>
          <w:szCs w:val="28"/>
          <w:highlight w:val="none"/>
          <w:lang w:eastAsia="zh-CN"/>
        </w:rPr>
        <w:t>考核</w:t>
      </w:r>
      <w:r>
        <w:rPr>
          <w:rFonts w:hint="eastAsia" w:ascii="宋体" w:hAnsi="宋体" w:eastAsia="宋体" w:cs="宋体"/>
          <w:color w:val="auto"/>
          <w:sz w:val="28"/>
          <w:szCs w:val="28"/>
          <w:highlight w:val="none"/>
        </w:rPr>
        <w:t>原则和依据</w:t>
      </w:r>
    </w:p>
    <w:p w14:paraId="147CB8A7">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 对乙方违反甲方相关安全规定的行为，甲方可采取扣除违约金、停工整顿甚至终止合同等措施。</w:t>
      </w:r>
    </w:p>
    <w:p w14:paraId="7677048C">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 所有</w:t>
      </w:r>
      <w:r>
        <w:rPr>
          <w:rFonts w:hint="eastAsia" w:ascii="宋体" w:hAnsi="宋体" w:eastAsia="宋体" w:cs="宋体"/>
          <w:color w:val="auto"/>
          <w:sz w:val="28"/>
          <w:szCs w:val="28"/>
          <w:highlight w:val="none"/>
          <w:lang w:eastAsia="zh-CN"/>
        </w:rPr>
        <w:t>考核</w:t>
      </w:r>
      <w:r>
        <w:rPr>
          <w:rFonts w:hint="eastAsia" w:ascii="宋体" w:hAnsi="宋体" w:eastAsia="宋体" w:cs="宋体"/>
          <w:color w:val="auto"/>
          <w:sz w:val="28"/>
          <w:szCs w:val="28"/>
          <w:highlight w:val="none"/>
        </w:rPr>
        <w:t>由甲方直接对乙方发生，甲方也可以</w:t>
      </w:r>
      <w:r>
        <w:rPr>
          <w:rFonts w:hint="eastAsia" w:ascii="宋体" w:hAnsi="宋体" w:eastAsia="宋体" w:cs="宋体"/>
          <w:color w:val="auto"/>
          <w:sz w:val="28"/>
          <w:szCs w:val="28"/>
          <w:highlight w:val="none"/>
          <w:lang w:eastAsia="zh-CN"/>
        </w:rPr>
        <w:t>考核</w:t>
      </w:r>
      <w:r>
        <w:rPr>
          <w:rFonts w:hint="eastAsia" w:ascii="宋体" w:hAnsi="宋体" w:eastAsia="宋体" w:cs="宋体"/>
          <w:color w:val="auto"/>
          <w:sz w:val="28"/>
          <w:szCs w:val="28"/>
          <w:highlight w:val="none"/>
        </w:rPr>
        <w:t>乙方项目现场负责人。</w:t>
      </w:r>
    </w:p>
    <w:p w14:paraId="04FA7977">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4.3 不同的</w:t>
      </w:r>
      <w:r>
        <w:rPr>
          <w:rFonts w:hint="eastAsia" w:ascii="宋体" w:hAnsi="宋体" w:eastAsia="宋体" w:cs="宋体"/>
          <w:color w:val="auto"/>
          <w:sz w:val="28"/>
          <w:szCs w:val="28"/>
          <w:highlight w:val="none"/>
          <w:lang w:eastAsia="zh-CN"/>
        </w:rPr>
        <w:t>考核</w:t>
      </w:r>
      <w:r>
        <w:rPr>
          <w:rFonts w:hint="eastAsia" w:ascii="宋体" w:hAnsi="宋体" w:eastAsia="宋体" w:cs="宋体"/>
          <w:color w:val="auto"/>
          <w:sz w:val="28"/>
          <w:szCs w:val="28"/>
          <w:highlight w:val="none"/>
        </w:rPr>
        <w:t>方式可同时执行。</w:t>
      </w:r>
    </w:p>
    <w:p w14:paraId="25F60AC4">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4.4 </w:t>
      </w:r>
      <w:r>
        <w:rPr>
          <w:rFonts w:hint="eastAsia" w:ascii="宋体" w:hAnsi="宋体" w:eastAsia="宋体" w:cs="宋体"/>
          <w:color w:val="auto"/>
          <w:sz w:val="28"/>
          <w:szCs w:val="28"/>
          <w:highlight w:val="none"/>
          <w:lang w:eastAsia="zh-CN"/>
        </w:rPr>
        <w:t>安全环保考核</w:t>
      </w:r>
      <w:r>
        <w:rPr>
          <w:rFonts w:hint="eastAsia" w:ascii="宋体" w:hAnsi="宋体" w:eastAsia="宋体" w:cs="宋体"/>
          <w:color w:val="auto"/>
          <w:sz w:val="28"/>
          <w:szCs w:val="28"/>
          <w:highlight w:val="none"/>
        </w:rPr>
        <w:t>造成的所有损失由乙方负责。</w:t>
      </w:r>
    </w:p>
    <w:p w14:paraId="7375A437">
      <w:pPr>
        <w:tabs>
          <w:tab w:val="left" w:pos="315"/>
          <w:tab w:val="left" w:pos="840"/>
        </w:tabs>
        <w:spacing w:line="360" w:lineRule="auto"/>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 xml:space="preserve">(二) </w:t>
      </w:r>
      <w:r>
        <w:rPr>
          <w:rFonts w:hint="eastAsia" w:ascii="宋体" w:hAnsi="宋体" w:eastAsia="宋体" w:cs="宋体"/>
          <w:bCs/>
          <w:color w:val="auto"/>
          <w:sz w:val="28"/>
          <w:szCs w:val="28"/>
          <w:highlight w:val="none"/>
        </w:rPr>
        <w:t>处理程序</w:t>
      </w:r>
    </w:p>
    <w:p w14:paraId="581BDF65">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4.5 由甲方</w:t>
      </w:r>
      <w:r>
        <w:rPr>
          <w:rFonts w:hint="eastAsia" w:ascii="宋体" w:hAnsi="宋体" w:eastAsia="宋体" w:cs="宋体"/>
          <w:color w:val="auto"/>
          <w:sz w:val="28"/>
          <w:szCs w:val="28"/>
          <w:highlight w:val="none"/>
          <w:lang w:eastAsia="zh-CN"/>
        </w:rPr>
        <w:t>安全环保管理部门</w:t>
      </w:r>
      <w:r>
        <w:rPr>
          <w:rFonts w:hint="eastAsia" w:ascii="宋体" w:hAnsi="宋体" w:eastAsia="宋体" w:cs="宋体"/>
          <w:color w:val="auto"/>
          <w:sz w:val="28"/>
          <w:szCs w:val="28"/>
          <w:highlight w:val="none"/>
        </w:rPr>
        <w:t>拟定</w:t>
      </w:r>
      <w:r>
        <w:rPr>
          <w:rFonts w:hint="eastAsia" w:ascii="宋体" w:hAnsi="宋体" w:eastAsia="宋体" w:cs="宋体"/>
          <w:color w:val="auto"/>
          <w:sz w:val="28"/>
          <w:szCs w:val="28"/>
          <w:highlight w:val="none"/>
          <w:lang w:eastAsia="zh-CN"/>
        </w:rPr>
        <w:t>考核</w:t>
      </w:r>
      <w:r>
        <w:rPr>
          <w:rFonts w:hint="eastAsia" w:ascii="宋体" w:hAnsi="宋体" w:eastAsia="宋体" w:cs="宋体"/>
          <w:color w:val="auto"/>
          <w:sz w:val="28"/>
          <w:szCs w:val="28"/>
          <w:highlight w:val="none"/>
        </w:rPr>
        <w:t>单，并将</w:t>
      </w:r>
      <w:r>
        <w:rPr>
          <w:rFonts w:hint="eastAsia" w:ascii="宋体" w:hAnsi="宋体" w:eastAsia="宋体" w:cs="宋体"/>
          <w:color w:val="auto"/>
          <w:sz w:val="28"/>
          <w:szCs w:val="28"/>
          <w:highlight w:val="none"/>
          <w:lang w:eastAsia="zh-CN"/>
        </w:rPr>
        <w:t>考核</w:t>
      </w:r>
      <w:r>
        <w:rPr>
          <w:rFonts w:hint="eastAsia" w:ascii="宋体" w:hAnsi="宋体" w:eastAsia="宋体" w:cs="宋体"/>
          <w:color w:val="auto"/>
          <w:sz w:val="28"/>
          <w:szCs w:val="28"/>
          <w:highlight w:val="none"/>
        </w:rPr>
        <w:t>通知单交给乙方，乙方根据</w:t>
      </w:r>
      <w:r>
        <w:rPr>
          <w:rFonts w:hint="eastAsia" w:ascii="宋体" w:hAnsi="宋体" w:eastAsia="宋体" w:cs="宋体"/>
          <w:color w:val="auto"/>
          <w:sz w:val="28"/>
          <w:szCs w:val="28"/>
          <w:highlight w:val="none"/>
          <w:lang w:eastAsia="zh-CN"/>
        </w:rPr>
        <w:t>考核</w:t>
      </w:r>
      <w:r>
        <w:rPr>
          <w:rFonts w:hint="eastAsia" w:ascii="宋体" w:hAnsi="宋体" w:eastAsia="宋体" w:cs="宋体"/>
          <w:color w:val="auto"/>
          <w:sz w:val="28"/>
          <w:szCs w:val="28"/>
          <w:highlight w:val="none"/>
        </w:rPr>
        <w:t>单限期到甲方财务部申请执行。乙方在有违章照片等证据确凿情况下不承认违章行为，甲方可根据</w:t>
      </w:r>
      <w:r>
        <w:rPr>
          <w:rFonts w:hint="eastAsia" w:ascii="宋体" w:hAnsi="宋体" w:eastAsia="宋体" w:cs="宋体"/>
          <w:color w:val="auto"/>
          <w:sz w:val="28"/>
          <w:szCs w:val="28"/>
          <w:highlight w:val="none"/>
          <w:lang w:eastAsia="zh-CN"/>
        </w:rPr>
        <w:t>考核</w:t>
      </w:r>
      <w:r>
        <w:rPr>
          <w:rFonts w:hint="eastAsia" w:ascii="宋体" w:hAnsi="宋体" w:eastAsia="宋体" w:cs="宋体"/>
          <w:color w:val="auto"/>
          <w:sz w:val="28"/>
          <w:szCs w:val="28"/>
          <w:highlight w:val="none"/>
        </w:rPr>
        <w:t>单据支付违约金乙方款项。</w:t>
      </w:r>
    </w:p>
    <w:p w14:paraId="02F2B421">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4.6 乙方在收到安全环保</w:t>
      </w:r>
      <w:r>
        <w:rPr>
          <w:rFonts w:hint="eastAsia" w:ascii="宋体" w:hAnsi="宋体" w:eastAsia="宋体" w:cs="宋体"/>
          <w:color w:val="auto"/>
          <w:sz w:val="28"/>
          <w:szCs w:val="28"/>
          <w:highlight w:val="none"/>
          <w:lang w:eastAsia="zh-CN"/>
        </w:rPr>
        <w:t>考核</w:t>
      </w:r>
      <w:r>
        <w:rPr>
          <w:rFonts w:hint="eastAsia" w:ascii="宋体" w:hAnsi="宋体" w:eastAsia="宋体" w:cs="宋体"/>
          <w:color w:val="auto"/>
          <w:sz w:val="28"/>
          <w:szCs w:val="28"/>
          <w:highlight w:val="none"/>
        </w:rPr>
        <w:t>通知单后，15日内将</w:t>
      </w:r>
      <w:r>
        <w:rPr>
          <w:rFonts w:hint="eastAsia" w:ascii="宋体" w:hAnsi="宋体" w:eastAsia="宋体" w:cs="宋体"/>
          <w:color w:val="auto"/>
          <w:sz w:val="28"/>
          <w:szCs w:val="28"/>
          <w:highlight w:val="none"/>
          <w:lang w:eastAsia="zh-CN"/>
        </w:rPr>
        <w:t>违约金</w:t>
      </w:r>
      <w:r>
        <w:rPr>
          <w:rFonts w:hint="eastAsia" w:ascii="宋体" w:hAnsi="宋体" w:eastAsia="宋体" w:cs="宋体"/>
          <w:color w:val="auto"/>
          <w:sz w:val="28"/>
          <w:szCs w:val="28"/>
          <w:highlight w:val="none"/>
        </w:rPr>
        <w:t>打到甲方的公司账号，如未按规定支付，在工程结算时直接在工程款中扣除，乙方可以按内部规定对个人或分承包商进行相关的</w:t>
      </w:r>
      <w:r>
        <w:rPr>
          <w:rFonts w:hint="eastAsia" w:ascii="宋体" w:hAnsi="宋体" w:eastAsia="宋体" w:cs="宋体"/>
          <w:color w:val="auto"/>
          <w:sz w:val="28"/>
          <w:szCs w:val="28"/>
          <w:highlight w:val="none"/>
          <w:lang w:eastAsia="zh-CN"/>
        </w:rPr>
        <w:t>考核</w:t>
      </w:r>
      <w:r>
        <w:rPr>
          <w:rFonts w:hint="eastAsia" w:ascii="宋体" w:hAnsi="宋体" w:eastAsia="宋体" w:cs="宋体"/>
          <w:color w:val="auto"/>
          <w:sz w:val="28"/>
          <w:szCs w:val="28"/>
          <w:highlight w:val="none"/>
        </w:rPr>
        <w:t>。</w:t>
      </w:r>
    </w:p>
    <w:p w14:paraId="22D360F0">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4.7 对相关方的</w:t>
      </w:r>
      <w:r>
        <w:rPr>
          <w:rFonts w:hint="eastAsia" w:ascii="宋体" w:hAnsi="宋体" w:eastAsia="宋体" w:cs="宋体"/>
          <w:color w:val="auto"/>
          <w:sz w:val="28"/>
          <w:szCs w:val="28"/>
          <w:highlight w:val="none"/>
          <w:lang w:eastAsia="zh-CN"/>
        </w:rPr>
        <w:t>安全环保考核</w:t>
      </w:r>
      <w:r>
        <w:rPr>
          <w:rFonts w:hint="eastAsia" w:ascii="宋体" w:hAnsi="宋体" w:eastAsia="宋体" w:cs="宋体"/>
          <w:color w:val="auto"/>
          <w:sz w:val="28"/>
          <w:szCs w:val="28"/>
          <w:highlight w:val="none"/>
        </w:rPr>
        <w:t>将通过安全例会、安全公告等形式进行通报，并作为下次合作的评选条件。</w:t>
      </w:r>
    </w:p>
    <w:p w14:paraId="374C72FE">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(三) </w:t>
      </w:r>
      <w:r>
        <w:rPr>
          <w:rFonts w:hint="eastAsia" w:ascii="宋体" w:hAnsi="宋体" w:eastAsia="宋体" w:cs="宋体"/>
          <w:color w:val="auto"/>
          <w:sz w:val="28"/>
          <w:szCs w:val="28"/>
          <w:highlight w:val="none"/>
          <w:lang w:eastAsia="zh-CN"/>
        </w:rPr>
        <w:t>考核</w:t>
      </w:r>
      <w:r>
        <w:rPr>
          <w:rFonts w:hint="eastAsia" w:ascii="宋体" w:hAnsi="宋体" w:eastAsia="宋体" w:cs="宋体"/>
          <w:color w:val="auto"/>
          <w:sz w:val="28"/>
          <w:szCs w:val="28"/>
          <w:highlight w:val="none"/>
        </w:rPr>
        <w:t>种类</w:t>
      </w:r>
    </w:p>
    <w:p w14:paraId="65908CA6">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4.8 </w:t>
      </w:r>
      <w:r>
        <w:rPr>
          <w:rFonts w:hint="eastAsia" w:ascii="宋体" w:hAnsi="宋体" w:eastAsia="宋体" w:cs="宋体"/>
          <w:color w:val="auto"/>
          <w:sz w:val="28"/>
          <w:szCs w:val="28"/>
          <w:highlight w:val="none"/>
          <w:lang w:eastAsia="zh-CN"/>
        </w:rPr>
        <w:t>考核</w:t>
      </w:r>
      <w:r>
        <w:rPr>
          <w:rFonts w:hint="eastAsia" w:ascii="宋体" w:hAnsi="宋体" w:eastAsia="宋体" w:cs="宋体"/>
          <w:color w:val="auto"/>
          <w:sz w:val="28"/>
          <w:szCs w:val="28"/>
          <w:highlight w:val="none"/>
        </w:rPr>
        <w:t>的种类如下：</w:t>
      </w:r>
    </w:p>
    <w:p w14:paraId="75F689EE">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违约金考核</w:t>
      </w:r>
      <w:r>
        <w:rPr>
          <w:rFonts w:hint="eastAsia" w:ascii="宋体" w:hAnsi="宋体" w:eastAsia="宋体" w:cs="宋体"/>
          <w:color w:val="auto"/>
          <w:sz w:val="28"/>
          <w:szCs w:val="28"/>
          <w:highlight w:val="none"/>
        </w:rPr>
        <w:t xml:space="preserve">； </w:t>
      </w:r>
    </w:p>
    <w:p w14:paraId="5B9B70CA">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（2）停工整顿；</w:t>
      </w:r>
    </w:p>
    <w:p w14:paraId="1B439382">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（3）终止工程合同。</w:t>
      </w:r>
    </w:p>
    <w:p w14:paraId="7B89FDDB">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(四)违章和事故</w:t>
      </w:r>
      <w:r>
        <w:rPr>
          <w:rFonts w:hint="eastAsia" w:ascii="宋体" w:hAnsi="宋体" w:eastAsia="宋体" w:cs="宋体"/>
          <w:color w:val="auto"/>
          <w:sz w:val="28"/>
          <w:szCs w:val="28"/>
          <w:highlight w:val="none"/>
          <w:lang w:eastAsia="zh-CN"/>
        </w:rPr>
        <w:t>考核</w:t>
      </w:r>
      <w:r>
        <w:rPr>
          <w:rFonts w:hint="eastAsia" w:ascii="宋体" w:hAnsi="宋体" w:eastAsia="宋体" w:cs="宋体"/>
          <w:color w:val="auto"/>
          <w:sz w:val="28"/>
          <w:szCs w:val="28"/>
          <w:highlight w:val="none"/>
        </w:rPr>
        <w:tab/>
      </w:r>
    </w:p>
    <w:p w14:paraId="72292D6E">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4.9 </w:t>
      </w:r>
      <w:r>
        <w:rPr>
          <w:rFonts w:hint="eastAsia" w:ascii="宋体" w:hAnsi="宋体" w:eastAsia="宋体" w:cs="宋体"/>
          <w:color w:val="auto"/>
          <w:sz w:val="28"/>
          <w:szCs w:val="28"/>
          <w:highlight w:val="none"/>
          <w:lang w:eastAsia="zh-CN"/>
        </w:rPr>
        <w:t>违章考核</w:t>
      </w:r>
    </w:p>
    <w:p w14:paraId="1566685C">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（1）乙方未按规定办理进厂施工手续，如属乙方有意拖延或拒不办理的，支付违约金200～1000元，并由甲方</w:t>
      </w:r>
      <w:r>
        <w:rPr>
          <w:rFonts w:hint="eastAsia" w:ascii="宋体" w:hAnsi="宋体" w:eastAsia="宋体" w:cs="宋体"/>
          <w:color w:val="auto"/>
          <w:sz w:val="28"/>
          <w:szCs w:val="28"/>
          <w:highlight w:val="none"/>
          <w:lang w:eastAsia="zh-CN"/>
        </w:rPr>
        <w:t>安全环保管理部门</w:t>
      </w:r>
      <w:r>
        <w:rPr>
          <w:rFonts w:hint="eastAsia" w:ascii="宋体" w:hAnsi="宋体" w:eastAsia="宋体" w:cs="宋体"/>
          <w:color w:val="auto"/>
          <w:sz w:val="28"/>
          <w:szCs w:val="28"/>
          <w:highlight w:val="none"/>
        </w:rPr>
        <w:t>或合同执行部门督促其补办有关手续。</w:t>
      </w:r>
    </w:p>
    <w:p w14:paraId="766C6226">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（2）乙方进场作业人员未经甲方公司安全培训的，每人次支付违约金200元，重新进行培训并考核合格后，方可进场作业。</w:t>
      </w:r>
    </w:p>
    <w:p w14:paraId="070C684D">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（3）乙方现场作业人员未按规定穿戴劳保用品的，每人次支付违约金200元。</w:t>
      </w:r>
    </w:p>
    <w:p w14:paraId="49BAB30B">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（4）乙方所申报的特种设备安全状况与实际不符，不能满足国家法律法规要求的，每台次支付违约金500元，并重新补办手续后方可使用。</w:t>
      </w:r>
    </w:p>
    <w:p w14:paraId="6F1F7A2D">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（5）特种作业人员持证与实际不符，每人次支付违约金500元。</w:t>
      </w:r>
    </w:p>
    <w:p w14:paraId="722BE700">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（6）禁烟区内违章吸烟，每人次支付违约金200元。</w:t>
      </w:r>
    </w:p>
    <w:p w14:paraId="45906398">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（7）禁火区违章动用明火的，每次支付违约金400元，情节严重的按法律规定移交公安部门处理。</w:t>
      </w:r>
    </w:p>
    <w:p w14:paraId="32896576">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（8）高空作业未正确使用安全带的，每人次支付违约金500元。</w:t>
      </w:r>
    </w:p>
    <w:p w14:paraId="5165E48D">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（9）需要办理停电手续，但没有办理的，每次支付违约金400元。</w:t>
      </w:r>
    </w:p>
    <w:p w14:paraId="385CA6C3">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（10）违规使用气焊割：如气瓶安全距离不够或未采取防倾倒措施的每次支付违约金200元。</w:t>
      </w:r>
    </w:p>
    <w:p w14:paraId="6129C75E">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（11）起吊作业无人指挥、未设警戒，每次支付违约金200元。</w:t>
      </w:r>
    </w:p>
    <w:p w14:paraId="1118CB4F">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（12）在厂区有人行道的路段不走人行道的，每次支付违约金100元。</w:t>
      </w:r>
    </w:p>
    <w:p w14:paraId="06DB24D7">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（13）开挖基坑、路面施工、孔洞未设警戒围护的，每次支付违约金200元。</w:t>
      </w:r>
    </w:p>
    <w:p w14:paraId="52DB9B6C">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（14）有限空间作业未设监护人或监护人未履行职责的，每次支付违约金200元。</w:t>
      </w:r>
    </w:p>
    <w:p w14:paraId="2D49C5CC">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（15）使用不安全的工(器)具、高空抛物不设警戒的，每次支付违约金200-500元。</w:t>
      </w:r>
    </w:p>
    <w:p w14:paraId="5DD850C7">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（16）未经允许骑摩托车(或电动车)进入厂区施工区域，未按规定区域停放的，每次支付违约金100元。</w:t>
      </w:r>
    </w:p>
    <w:p w14:paraId="7E535C5F">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（17）搭建临时工棚未经行政管理部门批准，或虽经批准但搭建不符合安全要求的，每处支付违约金200～500元，并限期整改或拆除。</w:t>
      </w:r>
    </w:p>
    <w:p w14:paraId="30EF83D6">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（18）安装临时电源线路未经业务归口部门负责人批准或虽经批准但安装不规范的，每处扣除工程款1000～3000元，并限期整改。</w:t>
      </w:r>
    </w:p>
    <w:p w14:paraId="7076D66F">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（19）乙方人员无故到其他生产区域或擅自动用甲方的设施设备，每人次支付违约金200～1000元。</w:t>
      </w:r>
    </w:p>
    <w:p w14:paraId="0491C415">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（20）所属车辆在厂区内超速行驶或违规停放的，每次支付违约金200元。</w:t>
      </w:r>
    </w:p>
    <w:p w14:paraId="270F8C94">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（21）乙方对甲方提出的安全</w:t>
      </w:r>
      <w:r>
        <w:rPr>
          <w:rFonts w:hint="eastAsia" w:ascii="宋体" w:hAnsi="宋体" w:eastAsia="宋体" w:cs="宋体"/>
          <w:color w:val="auto"/>
          <w:sz w:val="28"/>
          <w:szCs w:val="28"/>
          <w:highlight w:val="none"/>
          <w:lang w:eastAsia="zh-CN"/>
        </w:rPr>
        <w:t>环保</w:t>
      </w:r>
      <w:r>
        <w:rPr>
          <w:rFonts w:hint="eastAsia" w:ascii="宋体" w:hAnsi="宋体" w:eastAsia="宋体" w:cs="宋体"/>
          <w:color w:val="auto"/>
          <w:sz w:val="28"/>
          <w:szCs w:val="28"/>
          <w:highlight w:val="none"/>
        </w:rPr>
        <w:t>整改意见/整改通报不及时整改的，每次支付违约金500～3000元。</w:t>
      </w:r>
    </w:p>
    <w:p w14:paraId="1E7B262C">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（22）乙方管理人员违章指挥作业，每次支付违约金800元。</w:t>
      </w:r>
    </w:p>
    <w:p w14:paraId="3E9D7ACE">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（23）相关方单位因违章作业造成发包单位设备、建筑物等损坏，负责无偿修复或照价赔偿，每发生一起支付违约金1000元。</w:t>
      </w:r>
    </w:p>
    <w:p w14:paraId="7F7C4CC3">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24）乙方运输物料进厂、或临时存放物料未进行遮盖，导致无组织扬尘的，每次支付违约金200-500元。</w:t>
      </w:r>
    </w:p>
    <w:p w14:paraId="27A55606">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（25）乙方将废水、涂料、砂浆、耐火材料等一般废物倾倒至雨水沟，或未经同意乱倒乱放的，每次支付违约金200-500元。</w:t>
      </w:r>
    </w:p>
    <w:p w14:paraId="7D4088F9">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（26）乙方将油品（含废油）、油漆等危险废物倾倒至雨水沟，或未经同意乱倒乱放的，每次支付违约金500-3000元。</w:t>
      </w:r>
    </w:p>
    <w:p w14:paraId="1A20291B">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（27）施工现场露天放置油漆桶或油桶等危险废物未采取防雨措施，每次支付违约金500-3000元。</w:t>
      </w:r>
    </w:p>
    <w:p w14:paraId="53793A9F">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（28）乙方将油桶、油漆桶等危险废物私自转移出厂外未合规处理，每次支付违约金1000-3000元。</w:t>
      </w:r>
    </w:p>
    <w:p w14:paraId="6C8CE585">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（29）现场所用设施在厂内维修后或施工结束后未清理现场的，每次支付违约金500-3000元。</w:t>
      </w:r>
    </w:p>
    <w:p w14:paraId="341FB905">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30</w:t>
      </w:r>
      <w:r>
        <w:rPr>
          <w:rFonts w:hint="eastAsia" w:ascii="宋体" w:hAnsi="宋体" w:eastAsia="宋体" w:cs="宋体"/>
          <w:color w:val="auto"/>
          <w:sz w:val="28"/>
          <w:szCs w:val="28"/>
          <w:highlight w:val="none"/>
        </w:rPr>
        <w:t>）由于乙方责任造成公司被投诉的，由乙方对相关问题进行整改并承担所产生的相应费用。</w:t>
      </w:r>
    </w:p>
    <w:p w14:paraId="18EFEC9E">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31</w:t>
      </w:r>
      <w:r>
        <w:rPr>
          <w:rFonts w:hint="eastAsia" w:ascii="宋体" w:hAnsi="宋体" w:eastAsia="宋体" w:cs="宋体"/>
          <w:color w:val="auto"/>
          <w:sz w:val="28"/>
          <w:szCs w:val="28"/>
          <w:highlight w:val="none"/>
        </w:rPr>
        <w:t>）违反甲方</w:t>
      </w:r>
      <w:r>
        <w:rPr>
          <w:rFonts w:hint="eastAsia" w:ascii="宋体" w:hAnsi="宋体" w:eastAsia="宋体" w:cs="宋体"/>
          <w:color w:val="auto"/>
          <w:sz w:val="28"/>
          <w:szCs w:val="28"/>
          <w:highlight w:val="none"/>
          <w:lang w:eastAsia="zh-CN"/>
        </w:rPr>
        <w:t>其他</w:t>
      </w:r>
      <w:r>
        <w:rPr>
          <w:rFonts w:hint="eastAsia" w:ascii="宋体" w:hAnsi="宋体" w:eastAsia="宋体" w:cs="宋体"/>
          <w:color w:val="auto"/>
          <w:sz w:val="28"/>
          <w:szCs w:val="28"/>
          <w:highlight w:val="none"/>
        </w:rPr>
        <w:t>相关安全</w:t>
      </w:r>
      <w:r>
        <w:rPr>
          <w:rFonts w:hint="eastAsia" w:ascii="宋体" w:hAnsi="宋体" w:eastAsia="宋体" w:cs="宋体"/>
          <w:color w:val="auto"/>
          <w:sz w:val="28"/>
          <w:szCs w:val="28"/>
          <w:highlight w:val="none"/>
          <w:lang w:eastAsia="zh-CN"/>
        </w:rPr>
        <w:t>环保</w:t>
      </w:r>
      <w:r>
        <w:rPr>
          <w:rFonts w:hint="eastAsia" w:ascii="宋体" w:hAnsi="宋体" w:eastAsia="宋体" w:cs="宋体"/>
          <w:color w:val="auto"/>
          <w:sz w:val="28"/>
          <w:szCs w:val="28"/>
          <w:highlight w:val="none"/>
        </w:rPr>
        <w:t>管理的，视其情节分别支付违约金200—3000元。</w:t>
      </w:r>
    </w:p>
    <w:p w14:paraId="2AE03040">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32</w:t>
      </w:r>
      <w:r>
        <w:rPr>
          <w:rFonts w:hint="eastAsia" w:ascii="宋体" w:hAnsi="宋体" w:eastAsia="宋体" w:cs="宋体"/>
          <w:color w:val="auto"/>
          <w:sz w:val="28"/>
          <w:szCs w:val="28"/>
          <w:highlight w:val="none"/>
        </w:rPr>
        <w:t>）同一作业区域或者同一作业人员一个月内连续发生3次以上安全</w:t>
      </w:r>
      <w:r>
        <w:rPr>
          <w:rFonts w:hint="eastAsia" w:ascii="宋体" w:hAnsi="宋体" w:eastAsia="宋体" w:cs="宋体"/>
          <w:color w:val="auto"/>
          <w:sz w:val="28"/>
          <w:szCs w:val="28"/>
          <w:highlight w:val="none"/>
          <w:lang w:eastAsia="zh-CN"/>
        </w:rPr>
        <w:t>环保</w:t>
      </w:r>
      <w:r>
        <w:rPr>
          <w:rFonts w:hint="eastAsia" w:ascii="宋体" w:hAnsi="宋体" w:eastAsia="宋体" w:cs="宋体"/>
          <w:color w:val="auto"/>
          <w:sz w:val="28"/>
          <w:szCs w:val="28"/>
          <w:highlight w:val="none"/>
        </w:rPr>
        <w:t>违规的，加倍</w:t>
      </w:r>
      <w:r>
        <w:rPr>
          <w:rFonts w:hint="eastAsia" w:ascii="宋体" w:hAnsi="宋体" w:eastAsia="宋体" w:cs="宋体"/>
          <w:color w:val="auto"/>
          <w:sz w:val="28"/>
          <w:szCs w:val="28"/>
          <w:highlight w:val="none"/>
          <w:lang w:eastAsia="zh-CN"/>
        </w:rPr>
        <w:t>考核</w:t>
      </w:r>
      <w:r>
        <w:rPr>
          <w:rFonts w:hint="eastAsia" w:ascii="宋体" w:hAnsi="宋体" w:eastAsia="宋体" w:cs="宋体"/>
          <w:color w:val="auto"/>
          <w:sz w:val="28"/>
          <w:szCs w:val="28"/>
          <w:highlight w:val="none"/>
        </w:rPr>
        <w:t>。</w:t>
      </w:r>
    </w:p>
    <w:p w14:paraId="1E8BE317">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33</w:t>
      </w:r>
      <w:r>
        <w:rPr>
          <w:rFonts w:hint="eastAsia" w:ascii="宋体" w:hAnsi="宋体" w:eastAsia="宋体" w:cs="宋体"/>
          <w:color w:val="auto"/>
          <w:sz w:val="28"/>
          <w:szCs w:val="28"/>
          <w:highlight w:val="none"/>
        </w:rPr>
        <w:t>）乙方作业人员违反《华润建材科技控股有限公司员工EHS行为积分制管理指引》认定的严重违章和重大违章行为，除按规定支付违约金外，违章者清退出场。</w:t>
      </w:r>
    </w:p>
    <w:p w14:paraId="467A7328">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34</w:t>
      </w:r>
      <w:r>
        <w:rPr>
          <w:rFonts w:hint="eastAsia" w:ascii="宋体" w:hAnsi="宋体" w:eastAsia="宋体" w:cs="宋体"/>
          <w:color w:val="auto"/>
          <w:sz w:val="28"/>
          <w:szCs w:val="28"/>
          <w:highlight w:val="none"/>
          <w:lang w:eastAsia="zh-CN"/>
        </w:rPr>
        <w:t>）上述考核款项，甲方直接在应付乙方工程款中予以扣除。</w:t>
      </w:r>
    </w:p>
    <w:p w14:paraId="60510B45">
      <w:pPr>
        <w:spacing w:line="360" w:lineRule="auto"/>
        <w:ind w:firstLine="560" w:firstLineChars="20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4.10 事故</w:t>
      </w:r>
      <w:r>
        <w:rPr>
          <w:rFonts w:hint="eastAsia" w:ascii="宋体" w:hAnsi="宋体" w:eastAsia="宋体" w:cs="宋体"/>
          <w:color w:val="auto"/>
          <w:sz w:val="28"/>
          <w:szCs w:val="28"/>
          <w:highlight w:val="none"/>
          <w:lang w:eastAsia="zh-CN"/>
        </w:rPr>
        <w:t>考核</w:t>
      </w:r>
    </w:p>
    <w:p w14:paraId="6B93AC91">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（1）乙方承担国家相关法规要求承担的责任范围内的所有经济损失。</w:t>
      </w:r>
    </w:p>
    <w:p w14:paraId="46B3D6EF">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（2）发生人身死亡事故，每死亡一人支付违约金5万元。</w:t>
      </w:r>
    </w:p>
    <w:p w14:paraId="452F0BD9">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（3）发生人身重伤事故，每重伤一人支付违约金2万元。</w:t>
      </w:r>
    </w:p>
    <w:p w14:paraId="1CFEA906">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4.11 停工整顿</w:t>
      </w:r>
    </w:p>
    <w:p w14:paraId="626D8E97">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（1）如乙方出现严重违章的行为或重大安全</w:t>
      </w:r>
      <w:r>
        <w:rPr>
          <w:rFonts w:hint="eastAsia" w:ascii="宋体" w:hAnsi="宋体" w:eastAsia="宋体" w:cs="宋体"/>
          <w:color w:val="auto"/>
          <w:sz w:val="28"/>
          <w:szCs w:val="28"/>
          <w:highlight w:val="none"/>
          <w:lang w:eastAsia="zh-CN"/>
        </w:rPr>
        <w:t>环保</w:t>
      </w:r>
      <w:r>
        <w:rPr>
          <w:rFonts w:hint="eastAsia" w:ascii="宋体" w:hAnsi="宋体" w:eastAsia="宋体" w:cs="宋体"/>
          <w:color w:val="auto"/>
          <w:sz w:val="28"/>
          <w:szCs w:val="28"/>
          <w:highlight w:val="none"/>
        </w:rPr>
        <w:t>风险，没有按时完成甲方规定的安全</w:t>
      </w:r>
      <w:r>
        <w:rPr>
          <w:rFonts w:hint="eastAsia" w:ascii="宋体" w:hAnsi="宋体" w:eastAsia="宋体" w:cs="宋体"/>
          <w:color w:val="auto"/>
          <w:sz w:val="28"/>
          <w:szCs w:val="28"/>
          <w:highlight w:val="none"/>
          <w:lang w:eastAsia="zh-CN"/>
        </w:rPr>
        <w:t>环保</w:t>
      </w:r>
      <w:r>
        <w:rPr>
          <w:rFonts w:hint="eastAsia" w:ascii="宋体" w:hAnsi="宋体" w:eastAsia="宋体" w:cs="宋体"/>
          <w:color w:val="auto"/>
          <w:sz w:val="28"/>
          <w:szCs w:val="28"/>
          <w:highlight w:val="none"/>
        </w:rPr>
        <w:t>整改，有出现重大伤害</w:t>
      </w:r>
      <w:r>
        <w:rPr>
          <w:rFonts w:hint="eastAsia" w:ascii="宋体" w:hAnsi="宋体" w:eastAsia="宋体" w:cs="宋体"/>
          <w:color w:val="auto"/>
          <w:sz w:val="28"/>
          <w:szCs w:val="28"/>
          <w:highlight w:val="none"/>
          <w:lang w:eastAsia="zh-CN"/>
        </w:rPr>
        <w:t>、一般环境事件</w:t>
      </w:r>
      <w:r>
        <w:rPr>
          <w:rFonts w:hint="eastAsia" w:ascii="宋体" w:hAnsi="宋体" w:eastAsia="宋体" w:cs="宋体"/>
          <w:color w:val="auto"/>
          <w:sz w:val="28"/>
          <w:szCs w:val="28"/>
          <w:highlight w:val="none"/>
        </w:rPr>
        <w:t>的潜在因素等，甲方安全</w:t>
      </w:r>
      <w:r>
        <w:rPr>
          <w:rFonts w:hint="eastAsia" w:ascii="宋体" w:hAnsi="宋体" w:eastAsia="宋体" w:cs="宋体"/>
          <w:color w:val="auto"/>
          <w:sz w:val="28"/>
          <w:szCs w:val="28"/>
          <w:highlight w:val="none"/>
          <w:lang w:eastAsia="zh-CN"/>
        </w:rPr>
        <w:t>环保管理</w:t>
      </w:r>
      <w:r>
        <w:rPr>
          <w:rFonts w:hint="eastAsia" w:ascii="宋体" w:hAnsi="宋体" w:eastAsia="宋体" w:cs="宋体"/>
          <w:color w:val="auto"/>
          <w:sz w:val="28"/>
          <w:szCs w:val="28"/>
          <w:highlight w:val="none"/>
        </w:rPr>
        <w:t>部门可根据具体情况强令其进行停工整顿。</w:t>
      </w:r>
    </w:p>
    <w:p w14:paraId="3D049895">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（2）停工整顿由</w:t>
      </w:r>
      <w:r>
        <w:rPr>
          <w:rFonts w:hint="eastAsia" w:ascii="宋体" w:hAnsi="宋体" w:eastAsia="宋体" w:cs="宋体"/>
          <w:color w:val="auto"/>
          <w:sz w:val="28"/>
          <w:szCs w:val="28"/>
          <w:highlight w:val="none"/>
          <w:lang w:eastAsia="zh-CN"/>
        </w:rPr>
        <w:t>安全环保管理部门</w:t>
      </w:r>
      <w:r>
        <w:rPr>
          <w:rFonts w:hint="eastAsia" w:ascii="宋体" w:hAnsi="宋体" w:eastAsia="宋体" w:cs="宋体"/>
          <w:color w:val="auto"/>
          <w:sz w:val="28"/>
          <w:szCs w:val="28"/>
          <w:highlight w:val="none"/>
        </w:rPr>
        <w:t>签署停工整顿通知单，送达合同执行部门、合同签订部门、乙方执行。</w:t>
      </w:r>
    </w:p>
    <w:p w14:paraId="11EEC3D9">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4.12 终止合同</w:t>
      </w:r>
    </w:p>
    <w:p w14:paraId="3C534D24">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（1）对于多次出现违章，或造成严重后果的，或可能发生重大伤亡</w:t>
      </w:r>
      <w:r>
        <w:rPr>
          <w:rFonts w:hint="eastAsia" w:ascii="宋体" w:hAnsi="宋体" w:eastAsia="宋体" w:cs="宋体"/>
          <w:color w:val="auto"/>
          <w:sz w:val="28"/>
          <w:szCs w:val="28"/>
          <w:highlight w:val="none"/>
          <w:lang w:eastAsia="zh-CN"/>
        </w:rPr>
        <w:t>、较大环境事件</w:t>
      </w:r>
      <w:r>
        <w:rPr>
          <w:rFonts w:hint="eastAsia" w:ascii="宋体" w:hAnsi="宋体" w:eastAsia="宋体" w:cs="宋体"/>
          <w:color w:val="auto"/>
          <w:sz w:val="28"/>
          <w:szCs w:val="28"/>
          <w:highlight w:val="none"/>
        </w:rPr>
        <w:t>潜在因素的，甲方有权提前终止合同而无需承担任何责任。</w:t>
      </w:r>
    </w:p>
    <w:p w14:paraId="6075C357">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（2）终止合同由公司合同签订部门实施。</w:t>
      </w:r>
    </w:p>
    <w:p w14:paraId="53A792D2">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（3）本</w:t>
      </w:r>
      <w:r>
        <w:rPr>
          <w:rFonts w:hint="eastAsia" w:ascii="宋体" w:hAnsi="宋体" w:eastAsia="宋体" w:cs="宋体"/>
          <w:b w:val="0"/>
          <w:bCs w:val="0"/>
          <w:color w:val="auto"/>
          <w:sz w:val="28"/>
          <w:szCs w:val="28"/>
          <w:highlight w:val="none"/>
          <w:lang w:eastAsia="zh-CN"/>
        </w:rPr>
        <w:t>EHS协议</w:t>
      </w:r>
      <w:r>
        <w:rPr>
          <w:rFonts w:hint="eastAsia" w:ascii="宋体" w:hAnsi="宋体" w:eastAsia="宋体" w:cs="宋体"/>
          <w:color w:val="auto"/>
          <w:sz w:val="28"/>
          <w:szCs w:val="28"/>
          <w:highlight w:val="none"/>
        </w:rPr>
        <w:t>直至乙方与甲方终止合同时失效。</w:t>
      </w:r>
    </w:p>
    <w:p w14:paraId="25DCFECE">
      <w:pPr>
        <w:spacing w:line="360" w:lineRule="auto"/>
        <w:ind w:firstLine="562" w:firstLineChars="200"/>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五、本协议一式三份，甲方发包部门和合同执行部门各执壹份,乙方执壹份，签字盖章后生效。</w:t>
      </w:r>
    </w:p>
    <w:p w14:paraId="43B59A58">
      <w:pPr>
        <w:spacing w:line="360" w:lineRule="auto"/>
        <w:rPr>
          <w:rFonts w:hint="eastAsia" w:ascii="宋体" w:hAnsi="宋体" w:eastAsia="宋体" w:cs="宋体"/>
          <w:b/>
          <w:bCs/>
          <w:color w:val="auto"/>
          <w:sz w:val="28"/>
          <w:szCs w:val="28"/>
          <w:highlight w:val="none"/>
        </w:rPr>
      </w:pPr>
    </w:p>
    <w:p w14:paraId="3D107E96">
      <w:pPr>
        <w:spacing w:line="360" w:lineRule="auto"/>
        <w:rPr>
          <w:rFonts w:hint="eastAsia" w:ascii="宋体" w:hAnsi="宋体" w:eastAsia="宋体" w:cs="宋体"/>
          <w:b/>
          <w:bCs/>
          <w:color w:val="auto"/>
          <w:sz w:val="28"/>
          <w:szCs w:val="28"/>
          <w:highlight w:val="none"/>
        </w:rPr>
      </w:pPr>
    </w:p>
    <w:p w14:paraId="448C122F">
      <w:pP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甲方：                               乙方：</w:t>
      </w:r>
    </w:p>
    <w:p w14:paraId="00DAC15C">
      <w:pP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代表签字：                           代表签字：</w:t>
      </w:r>
    </w:p>
    <w:p w14:paraId="5FACAA59">
      <w:pP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日期：     年   月   日               日期：     年   月   日</w:t>
      </w:r>
    </w:p>
    <w:p w14:paraId="4B5A53B5">
      <w:pPr>
        <w:rPr>
          <w:rFonts w:hint="eastAsia" w:ascii="宋体" w:hAnsi="宋体" w:eastAsia="宋体" w:cs="宋体"/>
        </w:rPr>
      </w:pPr>
    </w:p>
    <w:p w14:paraId="16370274">
      <w:pPr>
        <w:pStyle w:val="2"/>
        <w:spacing w:before="312" w:after="312" w:line="240" w:lineRule="auto"/>
        <w:jc w:val="center"/>
        <w:rPr>
          <w:rFonts w:hint="eastAsia" w:ascii="宋体" w:hAnsi="宋体" w:eastAsia="宋体" w:cs="宋体"/>
          <w:kern w:val="2"/>
          <w:sz w:val="28"/>
          <w:szCs w:val="28"/>
          <w:lang w:val="en-US" w:eastAsia="zh-CN" w:bidi="ar-SA"/>
        </w:rPr>
      </w:pPr>
    </w:p>
    <w:p w14:paraId="55AC4849">
      <w:pPr>
        <w:pStyle w:val="2"/>
        <w:spacing w:before="312" w:after="312" w:line="240" w:lineRule="auto"/>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第六章  供应商列黑须知</w:t>
      </w:r>
    </w:p>
    <w:p w14:paraId="7F149A34">
      <w:pPr>
        <w:spacing w:line="360" w:lineRule="auto"/>
        <w:ind w:firstLine="560" w:firstLineChars="20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（一）列黑情形</w:t>
      </w:r>
    </w:p>
    <w:p w14:paraId="546CC55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供应商发生重大不良行为的，须办理黑名单审批流程，列入华润建材科技黑名单库。重大不良行为包括情形如下：</w:t>
      </w:r>
    </w:p>
    <w:p w14:paraId="6BDB453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1.无正当理由起诉我司的；</w:t>
      </w:r>
    </w:p>
    <w:p w14:paraId="55FC1C8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2.恶意举报或投诉，干扰采购活动正常进行，经查属实的；</w:t>
      </w:r>
    </w:p>
    <w:p w14:paraId="43E08D4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3.提供虚假材料、隐瞒真实情况，骗取入围资格或谋取中标的；</w:t>
      </w:r>
    </w:p>
    <w:p w14:paraId="1898321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4.围标、串标、串通报价的；</w:t>
      </w:r>
    </w:p>
    <w:p w14:paraId="21C63B4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5.无正当理由不签订合同的；</w:t>
      </w:r>
      <w:r>
        <w:rPr>
          <w:rFonts w:hint="eastAsia" w:ascii="宋体" w:hAnsi="宋体" w:eastAsia="宋体" w:cs="宋体"/>
          <w:kern w:val="2"/>
          <w:sz w:val="28"/>
          <w:szCs w:val="28"/>
          <w:lang w:val="en-US" w:eastAsia="zh-CN" w:bidi="ar-SA"/>
        </w:rPr>
        <w:tab/>
      </w:r>
    </w:p>
    <w:p w14:paraId="4CDDD37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6.无故不执行合同的；</w:t>
      </w:r>
    </w:p>
    <w:p w14:paraId="7507261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7.中标后无正当理由涨价且在双方未达成一致意见前，未按合同约定保障供应的；</w:t>
      </w:r>
    </w:p>
    <w:p w14:paraId="2E4C5B3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8.蓄意提供以次充好的产品或服务极端恶劣的；</w:t>
      </w:r>
    </w:p>
    <w:p w14:paraId="4253ABA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9.未经同意，擅自变更所提供的产品/服务并对我司造成损失的或导致产品质量档次下降的；</w:t>
      </w:r>
    </w:p>
    <w:p w14:paraId="4BB3701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10.在合同履行或质保期间发生一般及以上安全事故或因环保事件被华润建材科技通报的或安全管理评价不符合《华润建材科技有限公司承包商安全管理指引》相关要求的；</w:t>
      </w:r>
    </w:p>
    <w:p w14:paraId="6F0E0D8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11.未经我方书面同意，将合同权利义务全部或部分转让给第三方的，或将合同债权向第三方质押的；</w:t>
      </w:r>
    </w:p>
    <w:p w14:paraId="0929005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12.存在违法违规挂靠行为，且被证实属实的；</w:t>
      </w:r>
    </w:p>
    <w:p w14:paraId="04FF6B8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13.被责令停产停业，处于破产清算状态的；</w:t>
      </w:r>
    </w:p>
    <w:p w14:paraId="55CC733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14.私刻华润建材科技所属单位公章或专用章来办理业务的；</w:t>
      </w:r>
    </w:p>
    <w:p w14:paraId="1F6D74D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15.向采购人员、招标人员、评委、收货单位相关人员等行贿超过人民币5000元（含）的或低于人民币5000元但影响极其恶劣的，或向上述相关人员提供其他不正当利益的；</w:t>
      </w:r>
    </w:p>
    <w:p w14:paraId="4527AD0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16.违反双方签订保密协议，并给公司带来重大经济损失或严重负面影响的；</w:t>
      </w:r>
    </w:p>
    <w:p w14:paraId="1E26A2D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17.华润建材科技直管经理人及（或）其利害关系人经营或参股的单位作为华润建材科技或附属企业的合作供应商，且经理人未按华润建材科技防止利益冲突相关管理规定完成相应的申报及处置手续的；或者中基层员工及（或）其利害关系人经营或参股的单位作为其所参与的采购项目的合作供应商，且其未报所在层级供应链管理委员会或经授权的委员审批的；</w:t>
      </w:r>
    </w:p>
    <w:p w14:paraId="4B42DBA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18.被华润集团列为黑名单的；</w:t>
      </w:r>
    </w:p>
    <w:p w14:paraId="5EF0F6D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19.如存在其他违规情形并经华润建材科技供应链管理委员会审议通过的。</w:t>
      </w:r>
    </w:p>
    <w:p w14:paraId="5D3BB01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（二）惩戒范围</w:t>
      </w:r>
    </w:p>
    <w:p w14:paraId="55E01FF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一般情况下，供应商自列黑审批通过之日起3年内华润建材科技范围内全部品类的采购项目，不得继续参与招投标和其他采购活动，不得新签采购合同（第18款情形按照集团要求的期限执行），再合作时需重新认证。</w:t>
      </w:r>
    </w:p>
    <w:p w14:paraId="123792B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供应商发生应当列黑情形第10款情形，供应商自列黑审批通过之日起5年内华润建材科技范围内全部品类的采购项目中，不得继续参与招投标和其他采购活动，不得新签采购合同，再合作时需重新认证。</w:t>
      </w:r>
    </w:p>
    <w:p w14:paraId="79032DB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（三）延长处理情形</w:t>
      </w:r>
    </w:p>
    <w:p w14:paraId="09FEE0F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对惩戒期结束且在期限内完成整改并承诺依法合规开展业务的黑名单供应商及个人，经原申报单位审查通过后，移出黑名单。对惩戒期结束时仍未完成整改的，自动延长一个惩戒期限。</w:t>
      </w:r>
    </w:p>
    <w:p w14:paraId="120A134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（四）减轻处理情形</w:t>
      </w:r>
    </w:p>
    <w:p w14:paraId="43545F2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列为黑名单后，供应商或个人积极整改、消除不良影响的，以及确有正当原因的，由原申报单位出具证明材料，按前序申报流程审批后，可以减轻对其的处理，提前从黑名单移出。减轻处理后，实际惩戒时间原则上不得少于原惩戒时间的二分之一。</w:t>
      </w:r>
    </w:p>
    <w:sectPr>
      <w:footerReference r:id="rId3" w:type="default"/>
      <w:type w:val="oddPage"/>
      <w:pgSz w:w="11906" w:h="16838"/>
      <w:pgMar w:top="1797" w:right="1089" w:bottom="1797" w:left="144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昆仑仿宋">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New York">
    <w:altName w:val="DejaVu Math TeX Gyre"/>
    <w:panose1 w:val="02040503060506020304"/>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1AEBA">
    <w:pPr>
      <w:pStyle w:val="1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B4A290">
                          <w:pPr>
                            <w:pStyle w:val="19"/>
                            <w:jc w:val="center"/>
                          </w:pPr>
                          <w:r>
                            <w:rPr>
                              <w:b/>
                              <w:sz w:val="24"/>
                              <w:szCs w:val="24"/>
                            </w:rPr>
                            <w:fldChar w:fldCharType="begin"/>
                          </w:r>
                          <w:r>
                            <w:rPr>
                              <w:b/>
                            </w:rPr>
                            <w:instrText xml:space="preserve">PAGE</w:instrText>
                          </w:r>
                          <w:r>
                            <w:rPr>
                              <w:b/>
                              <w:sz w:val="24"/>
                              <w:szCs w:val="24"/>
                            </w:rPr>
                            <w:fldChar w:fldCharType="separate"/>
                          </w:r>
                          <w:r>
                            <w:rPr>
                              <w:b/>
                            </w:rPr>
                            <w:t>16</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19</w:t>
                          </w:r>
                          <w:r>
                            <w:rPr>
                              <w:b/>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5B4A290">
                    <w:pPr>
                      <w:pStyle w:val="19"/>
                      <w:jc w:val="center"/>
                    </w:pPr>
                    <w:r>
                      <w:rPr>
                        <w:b/>
                        <w:sz w:val="24"/>
                        <w:szCs w:val="24"/>
                      </w:rPr>
                      <w:fldChar w:fldCharType="begin"/>
                    </w:r>
                    <w:r>
                      <w:rPr>
                        <w:b/>
                      </w:rPr>
                      <w:instrText xml:space="preserve">PAGE</w:instrText>
                    </w:r>
                    <w:r>
                      <w:rPr>
                        <w:b/>
                        <w:sz w:val="24"/>
                        <w:szCs w:val="24"/>
                      </w:rPr>
                      <w:fldChar w:fldCharType="separate"/>
                    </w:r>
                    <w:r>
                      <w:rPr>
                        <w:b/>
                      </w:rPr>
                      <w:t>16</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19</w:t>
                    </w:r>
                    <w:r>
                      <w:rPr>
                        <w:b/>
                        <w:sz w:val="24"/>
                        <w:szCs w:val="24"/>
                      </w:rPr>
                      <w:fldChar w:fldCharType="end"/>
                    </w:r>
                  </w:p>
                </w:txbxContent>
              </v:textbox>
            </v:shape>
          </w:pict>
        </mc:Fallback>
      </mc:AlternateContent>
    </w:r>
  </w:p>
  <w:p w14:paraId="22C8C9CC">
    <w:pPr>
      <w:pStyle w:val="19"/>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0EE7B7"/>
    <w:multiLevelType w:val="singleLevel"/>
    <w:tmpl w:val="E50EE7B7"/>
    <w:lvl w:ilvl="0" w:tentative="0">
      <w:start w:val="1"/>
      <w:numFmt w:val="decimal"/>
      <w:lvlText w:val="%1."/>
      <w:lvlJc w:val="left"/>
      <w:pPr>
        <w:ind w:left="425" w:hanging="425"/>
      </w:pPr>
      <w:rPr>
        <w:rFonts w:hint="default"/>
      </w:rPr>
    </w:lvl>
  </w:abstractNum>
  <w:abstractNum w:abstractNumId="1">
    <w:nsid w:val="759227F4"/>
    <w:multiLevelType w:val="multilevel"/>
    <w:tmpl w:val="759227F4"/>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E18"/>
    <w:rsid w:val="000002A8"/>
    <w:rsid w:val="0000188C"/>
    <w:rsid w:val="00001CC6"/>
    <w:rsid w:val="00002791"/>
    <w:rsid w:val="000049DE"/>
    <w:rsid w:val="00004A15"/>
    <w:rsid w:val="00004E6F"/>
    <w:rsid w:val="0000504B"/>
    <w:rsid w:val="000053EF"/>
    <w:rsid w:val="000058B3"/>
    <w:rsid w:val="00005FBE"/>
    <w:rsid w:val="00006673"/>
    <w:rsid w:val="000066E9"/>
    <w:rsid w:val="0000673F"/>
    <w:rsid w:val="00007629"/>
    <w:rsid w:val="00007D2E"/>
    <w:rsid w:val="0001054E"/>
    <w:rsid w:val="000113C2"/>
    <w:rsid w:val="00011B11"/>
    <w:rsid w:val="00011B1D"/>
    <w:rsid w:val="00014004"/>
    <w:rsid w:val="000145D3"/>
    <w:rsid w:val="00014E52"/>
    <w:rsid w:val="00014FB1"/>
    <w:rsid w:val="00016A58"/>
    <w:rsid w:val="0001776E"/>
    <w:rsid w:val="000178D4"/>
    <w:rsid w:val="00020613"/>
    <w:rsid w:val="00020623"/>
    <w:rsid w:val="00020A56"/>
    <w:rsid w:val="00020F32"/>
    <w:rsid w:val="0002104B"/>
    <w:rsid w:val="00021A75"/>
    <w:rsid w:val="00021E8F"/>
    <w:rsid w:val="00021F81"/>
    <w:rsid w:val="00023489"/>
    <w:rsid w:val="000236AE"/>
    <w:rsid w:val="000238CD"/>
    <w:rsid w:val="00024511"/>
    <w:rsid w:val="00024A91"/>
    <w:rsid w:val="00025A44"/>
    <w:rsid w:val="00026424"/>
    <w:rsid w:val="000264B5"/>
    <w:rsid w:val="00027197"/>
    <w:rsid w:val="00027888"/>
    <w:rsid w:val="00030417"/>
    <w:rsid w:val="00030501"/>
    <w:rsid w:val="00031E7E"/>
    <w:rsid w:val="000322A3"/>
    <w:rsid w:val="00032686"/>
    <w:rsid w:val="00032AFB"/>
    <w:rsid w:val="0003404F"/>
    <w:rsid w:val="0003470E"/>
    <w:rsid w:val="00035018"/>
    <w:rsid w:val="00035038"/>
    <w:rsid w:val="0003505D"/>
    <w:rsid w:val="00035F38"/>
    <w:rsid w:val="00036ACB"/>
    <w:rsid w:val="000370AD"/>
    <w:rsid w:val="00037C50"/>
    <w:rsid w:val="00040A3C"/>
    <w:rsid w:val="00040C64"/>
    <w:rsid w:val="000411DF"/>
    <w:rsid w:val="00041E45"/>
    <w:rsid w:val="00042907"/>
    <w:rsid w:val="00042AF6"/>
    <w:rsid w:val="00042FC2"/>
    <w:rsid w:val="0004408E"/>
    <w:rsid w:val="000441D6"/>
    <w:rsid w:val="000450C1"/>
    <w:rsid w:val="00046557"/>
    <w:rsid w:val="00046645"/>
    <w:rsid w:val="00047150"/>
    <w:rsid w:val="000476D0"/>
    <w:rsid w:val="00047C9B"/>
    <w:rsid w:val="0005001C"/>
    <w:rsid w:val="00050177"/>
    <w:rsid w:val="00051AE6"/>
    <w:rsid w:val="000529AC"/>
    <w:rsid w:val="000532A5"/>
    <w:rsid w:val="00053EB7"/>
    <w:rsid w:val="00054945"/>
    <w:rsid w:val="000552DC"/>
    <w:rsid w:val="00055707"/>
    <w:rsid w:val="00055915"/>
    <w:rsid w:val="00055B99"/>
    <w:rsid w:val="000566A5"/>
    <w:rsid w:val="00056B80"/>
    <w:rsid w:val="00056C3F"/>
    <w:rsid w:val="00057AF7"/>
    <w:rsid w:val="00057B5A"/>
    <w:rsid w:val="00057B8B"/>
    <w:rsid w:val="00060602"/>
    <w:rsid w:val="00060876"/>
    <w:rsid w:val="00061146"/>
    <w:rsid w:val="00063156"/>
    <w:rsid w:val="000633FE"/>
    <w:rsid w:val="000640A7"/>
    <w:rsid w:val="00064B06"/>
    <w:rsid w:val="000650AD"/>
    <w:rsid w:val="00065509"/>
    <w:rsid w:val="000668E8"/>
    <w:rsid w:val="00067BC6"/>
    <w:rsid w:val="00070B30"/>
    <w:rsid w:val="00071579"/>
    <w:rsid w:val="000716A3"/>
    <w:rsid w:val="00073A3B"/>
    <w:rsid w:val="00073D01"/>
    <w:rsid w:val="00073F8B"/>
    <w:rsid w:val="00074424"/>
    <w:rsid w:val="0007461C"/>
    <w:rsid w:val="00075121"/>
    <w:rsid w:val="00075744"/>
    <w:rsid w:val="00075888"/>
    <w:rsid w:val="00076309"/>
    <w:rsid w:val="00076BA6"/>
    <w:rsid w:val="00077017"/>
    <w:rsid w:val="000800CE"/>
    <w:rsid w:val="00080CFD"/>
    <w:rsid w:val="00080DFA"/>
    <w:rsid w:val="0008184B"/>
    <w:rsid w:val="00082D9A"/>
    <w:rsid w:val="000831EF"/>
    <w:rsid w:val="000834F5"/>
    <w:rsid w:val="0008480C"/>
    <w:rsid w:val="000856B2"/>
    <w:rsid w:val="00085846"/>
    <w:rsid w:val="00085C4A"/>
    <w:rsid w:val="000862A6"/>
    <w:rsid w:val="0008635F"/>
    <w:rsid w:val="00087A8A"/>
    <w:rsid w:val="00087C20"/>
    <w:rsid w:val="00087D7B"/>
    <w:rsid w:val="00090CB1"/>
    <w:rsid w:val="00090FBE"/>
    <w:rsid w:val="000923CC"/>
    <w:rsid w:val="00092AE5"/>
    <w:rsid w:val="00092B0A"/>
    <w:rsid w:val="00092B7F"/>
    <w:rsid w:val="00093879"/>
    <w:rsid w:val="0009421D"/>
    <w:rsid w:val="00094B21"/>
    <w:rsid w:val="00094E88"/>
    <w:rsid w:val="000960B6"/>
    <w:rsid w:val="00096686"/>
    <w:rsid w:val="0009688B"/>
    <w:rsid w:val="00096D5A"/>
    <w:rsid w:val="00097065"/>
    <w:rsid w:val="00097132"/>
    <w:rsid w:val="000A04DA"/>
    <w:rsid w:val="000A062F"/>
    <w:rsid w:val="000A0A1A"/>
    <w:rsid w:val="000A12A6"/>
    <w:rsid w:val="000A15CF"/>
    <w:rsid w:val="000A1717"/>
    <w:rsid w:val="000A1922"/>
    <w:rsid w:val="000A1D97"/>
    <w:rsid w:val="000A264E"/>
    <w:rsid w:val="000A2CE0"/>
    <w:rsid w:val="000A3E87"/>
    <w:rsid w:val="000A3F89"/>
    <w:rsid w:val="000A40D7"/>
    <w:rsid w:val="000A4686"/>
    <w:rsid w:val="000A5190"/>
    <w:rsid w:val="000A538A"/>
    <w:rsid w:val="000A5735"/>
    <w:rsid w:val="000A58BB"/>
    <w:rsid w:val="000A5B6A"/>
    <w:rsid w:val="000A645C"/>
    <w:rsid w:val="000A6BFB"/>
    <w:rsid w:val="000A6E3C"/>
    <w:rsid w:val="000B0DA2"/>
    <w:rsid w:val="000B192B"/>
    <w:rsid w:val="000B24EE"/>
    <w:rsid w:val="000B322A"/>
    <w:rsid w:val="000B359A"/>
    <w:rsid w:val="000B3B22"/>
    <w:rsid w:val="000B3BB6"/>
    <w:rsid w:val="000B4AD0"/>
    <w:rsid w:val="000B4D13"/>
    <w:rsid w:val="000B56C7"/>
    <w:rsid w:val="000B6AED"/>
    <w:rsid w:val="000B6B8A"/>
    <w:rsid w:val="000B6DBD"/>
    <w:rsid w:val="000B70B3"/>
    <w:rsid w:val="000B7982"/>
    <w:rsid w:val="000B79B3"/>
    <w:rsid w:val="000B7FFC"/>
    <w:rsid w:val="000C0F2B"/>
    <w:rsid w:val="000C13F1"/>
    <w:rsid w:val="000C3145"/>
    <w:rsid w:val="000C3C46"/>
    <w:rsid w:val="000C4345"/>
    <w:rsid w:val="000C491A"/>
    <w:rsid w:val="000C4E27"/>
    <w:rsid w:val="000C66C6"/>
    <w:rsid w:val="000C68A8"/>
    <w:rsid w:val="000C6B3B"/>
    <w:rsid w:val="000C6BF5"/>
    <w:rsid w:val="000C78E2"/>
    <w:rsid w:val="000C791E"/>
    <w:rsid w:val="000C79C9"/>
    <w:rsid w:val="000D0F86"/>
    <w:rsid w:val="000D2C50"/>
    <w:rsid w:val="000D2FFE"/>
    <w:rsid w:val="000D3808"/>
    <w:rsid w:val="000D3EC9"/>
    <w:rsid w:val="000D410B"/>
    <w:rsid w:val="000D45A7"/>
    <w:rsid w:val="000D5AB8"/>
    <w:rsid w:val="000D7458"/>
    <w:rsid w:val="000D766B"/>
    <w:rsid w:val="000D7BCD"/>
    <w:rsid w:val="000E02EF"/>
    <w:rsid w:val="000E040E"/>
    <w:rsid w:val="000E075C"/>
    <w:rsid w:val="000E08BF"/>
    <w:rsid w:val="000E0C15"/>
    <w:rsid w:val="000E1423"/>
    <w:rsid w:val="000E285B"/>
    <w:rsid w:val="000E2DD1"/>
    <w:rsid w:val="000E2F1A"/>
    <w:rsid w:val="000E392B"/>
    <w:rsid w:val="000E46DC"/>
    <w:rsid w:val="000E4C84"/>
    <w:rsid w:val="000E4CC1"/>
    <w:rsid w:val="000E4E88"/>
    <w:rsid w:val="000E5A7A"/>
    <w:rsid w:val="000E6639"/>
    <w:rsid w:val="000E722A"/>
    <w:rsid w:val="000E72BB"/>
    <w:rsid w:val="000E78BC"/>
    <w:rsid w:val="000F008B"/>
    <w:rsid w:val="000F082C"/>
    <w:rsid w:val="000F1698"/>
    <w:rsid w:val="000F22D1"/>
    <w:rsid w:val="000F2A67"/>
    <w:rsid w:val="000F2CAA"/>
    <w:rsid w:val="000F32BA"/>
    <w:rsid w:val="000F3967"/>
    <w:rsid w:val="000F3BFA"/>
    <w:rsid w:val="000F3C88"/>
    <w:rsid w:val="000F4623"/>
    <w:rsid w:val="000F482D"/>
    <w:rsid w:val="000F4F96"/>
    <w:rsid w:val="000F557D"/>
    <w:rsid w:val="000F65C5"/>
    <w:rsid w:val="000F7B1A"/>
    <w:rsid w:val="00100C41"/>
    <w:rsid w:val="00100EF7"/>
    <w:rsid w:val="00101035"/>
    <w:rsid w:val="001011BC"/>
    <w:rsid w:val="00102303"/>
    <w:rsid w:val="00102592"/>
    <w:rsid w:val="001027FB"/>
    <w:rsid w:val="00103335"/>
    <w:rsid w:val="001034F6"/>
    <w:rsid w:val="0010388A"/>
    <w:rsid w:val="00103D47"/>
    <w:rsid w:val="00104271"/>
    <w:rsid w:val="0010462D"/>
    <w:rsid w:val="0010539B"/>
    <w:rsid w:val="001069B0"/>
    <w:rsid w:val="00107D9D"/>
    <w:rsid w:val="00110D4A"/>
    <w:rsid w:val="00112184"/>
    <w:rsid w:val="00112355"/>
    <w:rsid w:val="00112AE9"/>
    <w:rsid w:val="00112CDC"/>
    <w:rsid w:val="0011356A"/>
    <w:rsid w:val="00113A48"/>
    <w:rsid w:val="0011404F"/>
    <w:rsid w:val="0011503A"/>
    <w:rsid w:val="00115463"/>
    <w:rsid w:val="0011555A"/>
    <w:rsid w:val="0011578C"/>
    <w:rsid w:val="00115C1B"/>
    <w:rsid w:val="00116179"/>
    <w:rsid w:val="001166DE"/>
    <w:rsid w:val="001169D9"/>
    <w:rsid w:val="00117432"/>
    <w:rsid w:val="00117980"/>
    <w:rsid w:val="0012051B"/>
    <w:rsid w:val="001210FB"/>
    <w:rsid w:val="00121420"/>
    <w:rsid w:val="00122DAC"/>
    <w:rsid w:val="00123C98"/>
    <w:rsid w:val="00123F47"/>
    <w:rsid w:val="00125127"/>
    <w:rsid w:val="001254B9"/>
    <w:rsid w:val="0012615A"/>
    <w:rsid w:val="0012626E"/>
    <w:rsid w:val="0012657A"/>
    <w:rsid w:val="001270E6"/>
    <w:rsid w:val="0012745B"/>
    <w:rsid w:val="00127806"/>
    <w:rsid w:val="00127CE2"/>
    <w:rsid w:val="00131177"/>
    <w:rsid w:val="001314E8"/>
    <w:rsid w:val="00131A66"/>
    <w:rsid w:val="00131FE6"/>
    <w:rsid w:val="00132559"/>
    <w:rsid w:val="001331C4"/>
    <w:rsid w:val="0013329C"/>
    <w:rsid w:val="00133DB7"/>
    <w:rsid w:val="0013451A"/>
    <w:rsid w:val="001349A3"/>
    <w:rsid w:val="00136AE3"/>
    <w:rsid w:val="00137471"/>
    <w:rsid w:val="00137FC2"/>
    <w:rsid w:val="00140203"/>
    <w:rsid w:val="00140560"/>
    <w:rsid w:val="0014069F"/>
    <w:rsid w:val="00140C7C"/>
    <w:rsid w:val="00140F9A"/>
    <w:rsid w:val="00141343"/>
    <w:rsid w:val="00141543"/>
    <w:rsid w:val="00141693"/>
    <w:rsid w:val="0014240E"/>
    <w:rsid w:val="00142442"/>
    <w:rsid w:val="001426F3"/>
    <w:rsid w:val="0014292D"/>
    <w:rsid w:val="001429A5"/>
    <w:rsid w:val="00143584"/>
    <w:rsid w:val="0014442A"/>
    <w:rsid w:val="00146EC2"/>
    <w:rsid w:val="0015101D"/>
    <w:rsid w:val="00152098"/>
    <w:rsid w:val="00152244"/>
    <w:rsid w:val="0015283B"/>
    <w:rsid w:val="001535D6"/>
    <w:rsid w:val="00153723"/>
    <w:rsid w:val="00153BD5"/>
    <w:rsid w:val="00153DEA"/>
    <w:rsid w:val="00155109"/>
    <w:rsid w:val="00155D20"/>
    <w:rsid w:val="00156011"/>
    <w:rsid w:val="00156E07"/>
    <w:rsid w:val="001571A2"/>
    <w:rsid w:val="00157549"/>
    <w:rsid w:val="001600D8"/>
    <w:rsid w:val="00160159"/>
    <w:rsid w:val="00160175"/>
    <w:rsid w:val="001607B1"/>
    <w:rsid w:val="00160969"/>
    <w:rsid w:val="00160BB2"/>
    <w:rsid w:val="001616EA"/>
    <w:rsid w:val="00162555"/>
    <w:rsid w:val="0016308D"/>
    <w:rsid w:val="0016384F"/>
    <w:rsid w:val="00163FC8"/>
    <w:rsid w:val="00164312"/>
    <w:rsid w:val="001646D9"/>
    <w:rsid w:val="00164841"/>
    <w:rsid w:val="00164923"/>
    <w:rsid w:val="0016539A"/>
    <w:rsid w:val="0016547D"/>
    <w:rsid w:val="001658B1"/>
    <w:rsid w:val="00165DD0"/>
    <w:rsid w:val="00165E68"/>
    <w:rsid w:val="00166E2F"/>
    <w:rsid w:val="001672D3"/>
    <w:rsid w:val="001676A0"/>
    <w:rsid w:val="001679E5"/>
    <w:rsid w:val="00167E3D"/>
    <w:rsid w:val="00170B0E"/>
    <w:rsid w:val="00171C55"/>
    <w:rsid w:val="0017343E"/>
    <w:rsid w:val="00173470"/>
    <w:rsid w:val="00173BC4"/>
    <w:rsid w:val="00173CB7"/>
    <w:rsid w:val="00173DE5"/>
    <w:rsid w:val="0017425B"/>
    <w:rsid w:val="00174A93"/>
    <w:rsid w:val="00174DD6"/>
    <w:rsid w:val="00174FAC"/>
    <w:rsid w:val="0017530F"/>
    <w:rsid w:val="00175339"/>
    <w:rsid w:val="00175D07"/>
    <w:rsid w:val="0017624E"/>
    <w:rsid w:val="00176758"/>
    <w:rsid w:val="0017688B"/>
    <w:rsid w:val="00176BD2"/>
    <w:rsid w:val="00176F27"/>
    <w:rsid w:val="00177731"/>
    <w:rsid w:val="00181F25"/>
    <w:rsid w:val="00182AC4"/>
    <w:rsid w:val="00182DE8"/>
    <w:rsid w:val="00183646"/>
    <w:rsid w:val="0018384B"/>
    <w:rsid w:val="00183EE6"/>
    <w:rsid w:val="0018404A"/>
    <w:rsid w:val="00184138"/>
    <w:rsid w:val="00184238"/>
    <w:rsid w:val="00184299"/>
    <w:rsid w:val="00185105"/>
    <w:rsid w:val="00185758"/>
    <w:rsid w:val="001858DF"/>
    <w:rsid w:val="00186815"/>
    <w:rsid w:val="00186B00"/>
    <w:rsid w:val="00187518"/>
    <w:rsid w:val="00187588"/>
    <w:rsid w:val="00187933"/>
    <w:rsid w:val="001900C3"/>
    <w:rsid w:val="00190C88"/>
    <w:rsid w:val="00191771"/>
    <w:rsid w:val="00191A86"/>
    <w:rsid w:val="00192C7C"/>
    <w:rsid w:val="00193993"/>
    <w:rsid w:val="00194157"/>
    <w:rsid w:val="001943AB"/>
    <w:rsid w:val="001946D8"/>
    <w:rsid w:val="00194ECA"/>
    <w:rsid w:val="00195186"/>
    <w:rsid w:val="00195204"/>
    <w:rsid w:val="0019560E"/>
    <w:rsid w:val="00195F6C"/>
    <w:rsid w:val="00195FFC"/>
    <w:rsid w:val="00196541"/>
    <w:rsid w:val="0019720E"/>
    <w:rsid w:val="0019742B"/>
    <w:rsid w:val="00197E8D"/>
    <w:rsid w:val="001A056D"/>
    <w:rsid w:val="001A07BB"/>
    <w:rsid w:val="001A16B8"/>
    <w:rsid w:val="001A1AA2"/>
    <w:rsid w:val="001A1ACB"/>
    <w:rsid w:val="001A1B14"/>
    <w:rsid w:val="001A2061"/>
    <w:rsid w:val="001A280F"/>
    <w:rsid w:val="001A29BC"/>
    <w:rsid w:val="001A2BA5"/>
    <w:rsid w:val="001A2D47"/>
    <w:rsid w:val="001A2F1C"/>
    <w:rsid w:val="001A3148"/>
    <w:rsid w:val="001A31F1"/>
    <w:rsid w:val="001A423C"/>
    <w:rsid w:val="001A488C"/>
    <w:rsid w:val="001A59F7"/>
    <w:rsid w:val="001A6F0E"/>
    <w:rsid w:val="001A79C0"/>
    <w:rsid w:val="001B07CD"/>
    <w:rsid w:val="001B0ACD"/>
    <w:rsid w:val="001B0C19"/>
    <w:rsid w:val="001B166C"/>
    <w:rsid w:val="001B23AF"/>
    <w:rsid w:val="001B36B0"/>
    <w:rsid w:val="001B3E50"/>
    <w:rsid w:val="001B4082"/>
    <w:rsid w:val="001B46A3"/>
    <w:rsid w:val="001B505A"/>
    <w:rsid w:val="001B5317"/>
    <w:rsid w:val="001B5842"/>
    <w:rsid w:val="001B597E"/>
    <w:rsid w:val="001B6DAA"/>
    <w:rsid w:val="001B6EFD"/>
    <w:rsid w:val="001C0091"/>
    <w:rsid w:val="001C0223"/>
    <w:rsid w:val="001C0615"/>
    <w:rsid w:val="001C18DB"/>
    <w:rsid w:val="001C1ABF"/>
    <w:rsid w:val="001C228F"/>
    <w:rsid w:val="001C3370"/>
    <w:rsid w:val="001C46DD"/>
    <w:rsid w:val="001C4BDC"/>
    <w:rsid w:val="001C552C"/>
    <w:rsid w:val="001C5C4C"/>
    <w:rsid w:val="001C62B3"/>
    <w:rsid w:val="001C66C2"/>
    <w:rsid w:val="001C68BD"/>
    <w:rsid w:val="001C6EAF"/>
    <w:rsid w:val="001C71E9"/>
    <w:rsid w:val="001C77D5"/>
    <w:rsid w:val="001D0B4C"/>
    <w:rsid w:val="001D155F"/>
    <w:rsid w:val="001D1AF5"/>
    <w:rsid w:val="001D1EE0"/>
    <w:rsid w:val="001D3027"/>
    <w:rsid w:val="001D33B5"/>
    <w:rsid w:val="001D36FD"/>
    <w:rsid w:val="001D505A"/>
    <w:rsid w:val="001D51F2"/>
    <w:rsid w:val="001D5207"/>
    <w:rsid w:val="001D53CF"/>
    <w:rsid w:val="001D5420"/>
    <w:rsid w:val="001D55AF"/>
    <w:rsid w:val="001D5646"/>
    <w:rsid w:val="001D575C"/>
    <w:rsid w:val="001D58A8"/>
    <w:rsid w:val="001D6FAA"/>
    <w:rsid w:val="001D79B5"/>
    <w:rsid w:val="001D7E47"/>
    <w:rsid w:val="001E0775"/>
    <w:rsid w:val="001E0829"/>
    <w:rsid w:val="001E11D7"/>
    <w:rsid w:val="001E1F1A"/>
    <w:rsid w:val="001E26C7"/>
    <w:rsid w:val="001E33D0"/>
    <w:rsid w:val="001E3411"/>
    <w:rsid w:val="001E3D6C"/>
    <w:rsid w:val="001E3D8B"/>
    <w:rsid w:val="001E411D"/>
    <w:rsid w:val="001E411E"/>
    <w:rsid w:val="001E420B"/>
    <w:rsid w:val="001E49AB"/>
    <w:rsid w:val="001E4BF3"/>
    <w:rsid w:val="001E525A"/>
    <w:rsid w:val="001E5326"/>
    <w:rsid w:val="001E5AC0"/>
    <w:rsid w:val="001E5FBF"/>
    <w:rsid w:val="001E67A4"/>
    <w:rsid w:val="001E6FF3"/>
    <w:rsid w:val="001E75F8"/>
    <w:rsid w:val="001E7C86"/>
    <w:rsid w:val="001F0733"/>
    <w:rsid w:val="001F0AAE"/>
    <w:rsid w:val="001F0CD9"/>
    <w:rsid w:val="001F1747"/>
    <w:rsid w:val="001F2282"/>
    <w:rsid w:val="001F32A2"/>
    <w:rsid w:val="001F4525"/>
    <w:rsid w:val="001F48A4"/>
    <w:rsid w:val="001F4C49"/>
    <w:rsid w:val="001F4EF3"/>
    <w:rsid w:val="001F5581"/>
    <w:rsid w:val="001F5E88"/>
    <w:rsid w:val="001F6F0F"/>
    <w:rsid w:val="001F7197"/>
    <w:rsid w:val="001F7336"/>
    <w:rsid w:val="001F7843"/>
    <w:rsid w:val="00200CEF"/>
    <w:rsid w:val="0020140D"/>
    <w:rsid w:val="00202391"/>
    <w:rsid w:val="002035DE"/>
    <w:rsid w:val="0020392C"/>
    <w:rsid w:val="00204E4A"/>
    <w:rsid w:val="002052E9"/>
    <w:rsid w:val="0020539E"/>
    <w:rsid w:val="00206DB2"/>
    <w:rsid w:val="0020745C"/>
    <w:rsid w:val="0020752C"/>
    <w:rsid w:val="00207700"/>
    <w:rsid w:val="002079CF"/>
    <w:rsid w:val="00210CF0"/>
    <w:rsid w:val="002116F5"/>
    <w:rsid w:val="002117C2"/>
    <w:rsid w:val="00211AEA"/>
    <w:rsid w:val="00211FA2"/>
    <w:rsid w:val="00212059"/>
    <w:rsid w:val="00213287"/>
    <w:rsid w:val="00213405"/>
    <w:rsid w:val="002137DD"/>
    <w:rsid w:val="0021499F"/>
    <w:rsid w:val="002162D7"/>
    <w:rsid w:val="00217512"/>
    <w:rsid w:val="002177C2"/>
    <w:rsid w:val="00220A33"/>
    <w:rsid w:val="00220F01"/>
    <w:rsid w:val="002223E0"/>
    <w:rsid w:val="00222413"/>
    <w:rsid w:val="0022248F"/>
    <w:rsid w:val="0022304B"/>
    <w:rsid w:val="00223816"/>
    <w:rsid w:val="00224080"/>
    <w:rsid w:val="0022414A"/>
    <w:rsid w:val="002243E8"/>
    <w:rsid w:val="0022449A"/>
    <w:rsid w:val="002255FA"/>
    <w:rsid w:val="00226061"/>
    <w:rsid w:val="002270CF"/>
    <w:rsid w:val="00227725"/>
    <w:rsid w:val="00231763"/>
    <w:rsid w:val="002329CE"/>
    <w:rsid w:val="002330EF"/>
    <w:rsid w:val="00233672"/>
    <w:rsid w:val="0023392D"/>
    <w:rsid w:val="0023434A"/>
    <w:rsid w:val="00235E1F"/>
    <w:rsid w:val="002364F1"/>
    <w:rsid w:val="00236D26"/>
    <w:rsid w:val="00236D69"/>
    <w:rsid w:val="0023726D"/>
    <w:rsid w:val="00237A9D"/>
    <w:rsid w:val="00237DC8"/>
    <w:rsid w:val="002401EA"/>
    <w:rsid w:val="0024043D"/>
    <w:rsid w:val="00240E95"/>
    <w:rsid w:val="0024164B"/>
    <w:rsid w:val="0024234A"/>
    <w:rsid w:val="002426AD"/>
    <w:rsid w:val="002426E1"/>
    <w:rsid w:val="00242D5D"/>
    <w:rsid w:val="00243450"/>
    <w:rsid w:val="00243547"/>
    <w:rsid w:val="00243CC6"/>
    <w:rsid w:val="0024466F"/>
    <w:rsid w:val="00245C3B"/>
    <w:rsid w:val="00246F85"/>
    <w:rsid w:val="00247F80"/>
    <w:rsid w:val="00250388"/>
    <w:rsid w:val="00250951"/>
    <w:rsid w:val="00250C24"/>
    <w:rsid w:val="00250DC9"/>
    <w:rsid w:val="00251ED6"/>
    <w:rsid w:val="00251F4C"/>
    <w:rsid w:val="00252810"/>
    <w:rsid w:val="00252B38"/>
    <w:rsid w:val="00252F91"/>
    <w:rsid w:val="00253180"/>
    <w:rsid w:val="0025372F"/>
    <w:rsid w:val="0025397E"/>
    <w:rsid w:val="0025440B"/>
    <w:rsid w:val="002544B9"/>
    <w:rsid w:val="002548F3"/>
    <w:rsid w:val="002549A7"/>
    <w:rsid w:val="00254F29"/>
    <w:rsid w:val="00255121"/>
    <w:rsid w:val="002556C8"/>
    <w:rsid w:val="0025590C"/>
    <w:rsid w:val="002564BB"/>
    <w:rsid w:val="002570DB"/>
    <w:rsid w:val="002572CD"/>
    <w:rsid w:val="00261A36"/>
    <w:rsid w:val="002622B0"/>
    <w:rsid w:val="00262F53"/>
    <w:rsid w:val="00263324"/>
    <w:rsid w:val="0026393C"/>
    <w:rsid w:val="002646FD"/>
    <w:rsid w:val="0026507B"/>
    <w:rsid w:val="00265495"/>
    <w:rsid w:val="00265A11"/>
    <w:rsid w:val="00266FCE"/>
    <w:rsid w:val="002677AF"/>
    <w:rsid w:val="00267A51"/>
    <w:rsid w:val="00267A9C"/>
    <w:rsid w:val="00270158"/>
    <w:rsid w:val="002733FE"/>
    <w:rsid w:val="00273539"/>
    <w:rsid w:val="002736A9"/>
    <w:rsid w:val="00273EAA"/>
    <w:rsid w:val="00274974"/>
    <w:rsid w:val="00275694"/>
    <w:rsid w:val="00275E06"/>
    <w:rsid w:val="00276016"/>
    <w:rsid w:val="00276538"/>
    <w:rsid w:val="00277C9B"/>
    <w:rsid w:val="00280E44"/>
    <w:rsid w:val="00280E78"/>
    <w:rsid w:val="002812FF"/>
    <w:rsid w:val="002819AB"/>
    <w:rsid w:val="00281B1F"/>
    <w:rsid w:val="0028208F"/>
    <w:rsid w:val="0028217A"/>
    <w:rsid w:val="002830C9"/>
    <w:rsid w:val="0028322C"/>
    <w:rsid w:val="00283361"/>
    <w:rsid w:val="002834DC"/>
    <w:rsid w:val="002836CB"/>
    <w:rsid w:val="0028382A"/>
    <w:rsid w:val="00283BBA"/>
    <w:rsid w:val="00283DF4"/>
    <w:rsid w:val="0028553E"/>
    <w:rsid w:val="00286129"/>
    <w:rsid w:val="0028773F"/>
    <w:rsid w:val="00287AB5"/>
    <w:rsid w:val="00290C7F"/>
    <w:rsid w:val="00291143"/>
    <w:rsid w:val="00291B3F"/>
    <w:rsid w:val="0029288F"/>
    <w:rsid w:val="00294325"/>
    <w:rsid w:val="00294AB7"/>
    <w:rsid w:val="00294F6A"/>
    <w:rsid w:val="00295098"/>
    <w:rsid w:val="002950B3"/>
    <w:rsid w:val="0029534D"/>
    <w:rsid w:val="00295560"/>
    <w:rsid w:val="00295A1A"/>
    <w:rsid w:val="00295A53"/>
    <w:rsid w:val="00295AD5"/>
    <w:rsid w:val="002974DA"/>
    <w:rsid w:val="002A0624"/>
    <w:rsid w:val="002A0771"/>
    <w:rsid w:val="002A0C33"/>
    <w:rsid w:val="002A107D"/>
    <w:rsid w:val="002A1332"/>
    <w:rsid w:val="002A14F8"/>
    <w:rsid w:val="002A1512"/>
    <w:rsid w:val="002A16EC"/>
    <w:rsid w:val="002A1BF8"/>
    <w:rsid w:val="002A2490"/>
    <w:rsid w:val="002A36A6"/>
    <w:rsid w:val="002A36FD"/>
    <w:rsid w:val="002A38F6"/>
    <w:rsid w:val="002A441D"/>
    <w:rsid w:val="002A4636"/>
    <w:rsid w:val="002A5046"/>
    <w:rsid w:val="002A5B09"/>
    <w:rsid w:val="002A5F59"/>
    <w:rsid w:val="002A64D7"/>
    <w:rsid w:val="002A6C4F"/>
    <w:rsid w:val="002A7024"/>
    <w:rsid w:val="002A7525"/>
    <w:rsid w:val="002A77A2"/>
    <w:rsid w:val="002B0404"/>
    <w:rsid w:val="002B116D"/>
    <w:rsid w:val="002B23B7"/>
    <w:rsid w:val="002B29DE"/>
    <w:rsid w:val="002B3054"/>
    <w:rsid w:val="002B31D4"/>
    <w:rsid w:val="002B3476"/>
    <w:rsid w:val="002B491F"/>
    <w:rsid w:val="002B4B2C"/>
    <w:rsid w:val="002B4F99"/>
    <w:rsid w:val="002B5D1E"/>
    <w:rsid w:val="002B6A16"/>
    <w:rsid w:val="002B790B"/>
    <w:rsid w:val="002B7B7A"/>
    <w:rsid w:val="002C070E"/>
    <w:rsid w:val="002C0D18"/>
    <w:rsid w:val="002C1174"/>
    <w:rsid w:val="002C16A2"/>
    <w:rsid w:val="002C17AC"/>
    <w:rsid w:val="002C188B"/>
    <w:rsid w:val="002C1B08"/>
    <w:rsid w:val="002C27F2"/>
    <w:rsid w:val="002C2AD2"/>
    <w:rsid w:val="002C2E5B"/>
    <w:rsid w:val="002C319A"/>
    <w:rsid w:val="002C3384"/>
    <w:rsid w:val="002C3F18"/>
    <w:rsid w:val="002C409A"/>
    <w:rsid w:val="002C4CC7"/>
    <w:rsid w:val="002C4F7E"/>
    <w:rsid w:val="002C5445"/>
    <w:rsid w:val="002C69E3"/>
    <w:rsid w:val="002C6CED"/>
    <w:rsid w:val="002C6EEB"/>
    <w:rsid w:val="002C735B"/>
    <w:rsid w:val="002C7F30"/>
    <w:rsid w:val="002D04E8"/>
    <w:rsid w:val="002D06BA"/>
    <w:rsid w:val="002D0ABA"/>
    <w:rsid w:val="002D15DF"/>
    <w:rsid w:val="002D3541"/>
    <w:rsid w:val="002D3BF3"/>
    <w:rsid w:val="002D3EFB"/>
    <w:rsid w:val="002D4232"/>
    <w:rsid w:val="002D4873"/>
    <w:rsid w:val="002D4E53"/>
    <w:rsid w:val="002D675A"/>
    <w:rsid w:val="002D6DF4"/>
    <w:rsid w:val="002D7AC0"/>
    <w:rsid w:val="002D7DBD"/>
    <w:rsid w:val="002D7EDF"/>
    <w:rsid w:val="002E03C7"/>
    <w:rsid w:val="002E05BB"/>
    <w:rsid w:val="002E0BDD"/>
    <w:rsid w:val="002E0F5D"/>
    <w:rsid w:val="002E0FDA"/>
    <w:rsid w:val="002E15FD"/>
    <w:rsid w:val="002E20C4"/>
    <w:rsid w:val="002E21F9"/>
    <w:rsid w:val="002E223C"/>
    <w:rsid w:val="002E247B"/>
    <w:rsid w:val="002E3160"/>
    <w:rsid w:val="002E486A"/>
    <w:rsid w:val="002E53B0"/>
    <w:rsid w:val="002E6A71"/>
    <w:rsid w:val="002E7410"/>
    <w:rsid w:val="002E77BC"/>
    <w:rsid w:val="002E799C"/>
    <w:rsid w:val="002E7F58"/>
    <w:rsid w:val="002E7F7C"/>
    <w:rsid w:val="002F0707"/>
    <w:rsid w:val="002F0A2B"/>
    <w:rsid w:val="002F0F47"/>
    <w:rsid w:val="002F1428"/>
    <w:rsid w:val="002F2531"/>
    <w:rsid w:val="002F3520"/>
    <w:rsid w:val="002F41C8"/>
    <w:rsid w:val="002F4364"/>
    <w:rsid w:val="002F4F4B"/>
    <w:rsid w:val="002F5774"/>
    <w:rsid w:val="002F6358"/>
    <w:rsid w:val="002F6629"/>
    <w:rsid w:val="002F666C"/>
    <w:rsid w:val="002F68E5"/>
    <w:rsid w:val="002F6B0B"/>
    <w:rsid w:val="002F6E81"/>
    <w:rsid w:val="002F6FCD"/>
    <w:rsid w:val="002F7104"/>
    <w:rsid w:val="002F7768"/>
    <w:rsid w:val="0030080F"/>
    <w:rsid w:val="003009F7"/>
    <w:rsid w:val="00300F4B"/>
    <w:rsid w:val="003013FF"/>
    <w:rsid w:val="00301641"/>
    <w:rsid w:val="003021E5"/>
    <w:rsid w:val="00302982"/>
    <w:rsid w:val="00302ED5"/>
    <w:rsid w:val="00302FDC"/>
    <w:rsid w:val="003037A8"/>
    <w:rsid w:val="00303953"/>
    <w:rsid w:val="00303B10"/>
    <w:rsid w:val="00303B98"/>
    <w:rsid w:val="003056A2"/>
    <w:rsid w:val="00306762"/>
    <w:rsid w:val="0030780D"/>
    <w:rsid w:val="003078B4"/>
    <w:rsid w:val="00310E24"/>
    <w:rsid w:val="00310EBC"/>
    <w:rsid w:val="003110C6"/>
    <w:rsid w:val="003111D0"/>
    <w:rsid w:val="00311953"/>
    <w:rsid w:val="00311CE6"/>
    <w:rsid w:val="00312087"/>
    <w:rsid w:val="00312836"/>
    <w:rsid w:val="003129E4"/>
    <w:rsid w:val="00313142"/>
    <w:rsid w:val="00313189"/>
    <w:rsid w:val="0031461C"/>
    <w:rsid w:val="0031530C"/>
    <w:rsid w:val="00315D99"/>
    <w:rsid w:val="00316A53"/>
    <w:rsid w:val="00317153"/>
    <w:rsid w:val="003175B1"/>
    <w:rsid w:val="00317798"/>
    <w:rsid w:val="00317AA5"/>
    <w:rsid w:val="00317F39"/>
    <w:rsid w:val="00320173"/>
    <w:rsid w:val="00320E1B"/>
    <w:rsid w:val="00321F64"/>
    <w:rsid w:val="003224E9"/>
    <w:rsid w:val="0032256C"/>
    <w:rsid w:val="00322DE0"/>
    <w:rsid w:val="00323003"/>
    <w:rsid w:val="00323584"/>
    <w:rsid w:val="003237D0"/>
    <w:rsid w:val="003250FA"/>
    <w:rsid w:val="00325145"/>
    <w:rsid w:val="00325A6B"/>
    <w:rsid w:val="00325ECD"/>
    <w:rsid w:val="00326357"/>
    <w:rsid w:val="00327614"/>
    <w:rsid w:val="0032783A"/>
    <w:rsid w:val="0032783C"/>
    <w:rsid w:val="00330155"/>
    <w:rsid w:val="0033062C"/>
    <w:rsid w:val="00330C59"/>
    <w:rsid w:val="00330D56"/>
    <w:rsid w:val="00331582"/>
    <w:rsid w:val="00331B02"/>
    <w:rsid w:val="00332ED5"/>
    <w:rsid w:val="003330D4"/>
    <w:rsid w:val="003340D8"/>
    <w:rsid w:val="00335D80"/>
    <w:rsid w:val="00337066"/>
    <w:rsid w:val="00337F27"/>
    <w:rsid w:val="00337F9D"/>
    <w:rsid w:val="0034058B"/>
    <w:rsid w:val="00340BA2"/>
    <w:rsid w:val="00340D6A"/>
    <w:rsid w:val="0034145A"/>
    <w:rsid w:val="00341BB9"/>
    <w:rsid w:val="00342440"/>
    <w:rsid w:val="003427C1"/>
    <w:rsid w:val="00344013"/>
    <w:rsid w:val="00344053"/>
    <w:rsid w:val="0034435B"/>
    <w:rsid w:val="0034481D"/>
    <w:rsid w:val="0034571B"/>
    <w:rsid w:val="00345837"/>
    <w:rsid w:val="00345885"/>
    <w:rsid w:val="0034612B"/>
    <w:rsid w:val="00347655"/>
    <w:rsid w:val="0034799F"/>
    <w:rsid w:val="003479D1"/>
    <w:rsid w:val="00350AFF"/>
    <w:rsid w:val="00352399"/>
    <w:rsid w:val="00353016"/>
    <w:rsid w:val="00353E9E"/>
    <w:rsid w:val="00354F35"/>
    <w:rsid w:val="003550C1"/>
    <w:rsid w:val="003560E0"/>
    <w:rsid w:val="00356E86"/>
    <w:rsid w:val="00357FE1"/>
    <w:rsid w:val="003600B2"/>
    <w:rsid w:val="0036100A"/>
    <w:rsid w:val="0036106D"/>
    <w:rsid w:val="00361680"/>
    <w:rsid w:val="00361BCB"/>
    <w:rsid w:val="00361F3D"/>
    <w:rsid w:val="00362074"/>
    <w:rsid w:val="003631D9"/>
    <w:rsid w:val="003631F5"/>
    <w:rsid w:val="00363D17"/>
    <w:rsid w:val="00363DCC"/>
    <w:rsid w:val="00364238"/>
    <w:rsid w:val="00364270"/>
    <w:rsid w:val="00365898"/>
    <w:rsid w:val="00365A05"/>
    <w:rsid w:val="0036618B"/>
    <w:rsid w:val="003663F3"/>
    <w:rsid w:val="003665B3"/>
    <w:rsid w:val="00366692"/>
    <w:rsid w:val="00366CCA"/>
    <w:rsid w:val="003673D6"/>
    <w:rsid w:val="00367775"/>
    <w:rsid w:val="003711B4"/>
    <w:rsid w:val="00371354"/>
    <w:rsid w:val="003713BE"/>
    <w:rsid w:val="00371485"/>
    <w:rsid w:val="00372188"/>
    <w:rsid w:val="00372CBE"/>
    <w:rsid w:val="00372FC5"/>
    <w:rsid w:val="003737C5"/>
    <w:rsid w:val="00374148"/>
    <w:rsid w:val="003748FB"/>
    <w:rsid w:val="0037568B"/>
    <w:rsid w:val="00380249"/>
    <w:rsid w:val="00380C6B"/>
    <w:rsid w:val="00380C72"/>
    <w:rsid w:val="00381152"/>
    <w:rsid w:val="003820B6"/>
    <w:rsid w:val="003824EA"/>
    <w:rsid w:val="003848C8"/>
    <w:rsid w:val="003853A0"/>
    <w:rsid w:val="00386E35"/>
    <w:rsid w:val="00387085"/>
    <w:rsid w:val="00387432"/>
    <w:rsid w:val="00387718"/>
    <w:rsid w:val="00390BE0"/>
    <w:rsid w:val="00390C3C"/>
    <w:rsid w:val="0039102C"/>
    <w:rsid w:val="00391C53"/>
    <w:rsid w:val="00391EAB"/>
    <w:rsid w:val="003921B2"/>
    <w:rsid w:val="003928CE"/>
    <w:rsid w:val="003942E8"/>
    <w:rsid w:val="003946BA"/>
    <w:rsid w:val="00394A07"/>
    <w:rsid w:val="003957E9"/>
    <w:rsid w:val="00395A82"/>
    <w:rsid w:val="00395B3E"/>
    <w:rsid w:val="00395DB9"/>
    <w:rsid w:val="003A1E1E"/>
    <w:rsid w:val="003A21AE"/>
    <w:rsid w:val="003A24CA"/>
    <w:rsid w:val="003A2F4F"/>
    <w:rsid w:val="003A30DD"/>
    <w:rsid w:val="003A371D"/>
    <w:rsid w:val="003A4E13"/>
    <w:rsid w:val="003A4E17"/>
    <w:rsid w:val="003A4EB5"/>
    <w:rsid w:val="003A4FD2"/>
    <w:rsid w:val="003A5B19"/>
    <w:rsid w:val="003A5F75"/>
    <w:rsid w:val="003A6347"/>
    <w:rsid w:val="003A66B4"/>
    <w:rsid w:val="003A6D3C"/>
    <w:rsid w:val="003B0331"/>
    <w:rsid w:val="003B2518"/>
    <w:rsid w:val="003B3172"/>
    <w:rsid w:val="003B4ABD"/>
    <w:rsid w:val="003B4E5D"/>
    <w:rsid w:val="003B4E7F"/>
    <w:rsid w:val="003B57D9"/>
    <w:rsid w:val="003B68A8"/>
    <w:rsid w:val="003B6B64"/>
    <w:rsid w:val="003B6E82"/>
    <w:rsid w:val="003B74CF"/>
    <w:rsid w:val="003C020F"/>
    <w:rsid w:val="003C089B"/>
    <w:rsid w:val="003C0B05"/>
    <w:rsid w:val="003C0C4A"/>
    <w:rsid w:val="003C0F2D"/>
    <w:rsid w:val="003C1880"/>
    <w:rsid w:val="003C290B"/>
    <w:rsid w:val="003C2A13"/>
    <w:rsid w:val="003C2F57"/>
    <w:rsid w:val="003C3C91"/>
    <w:rsid w:val="003C4350"/>
    <w:rsid w:val="003C46F1"/>
    <w:rsid w:val="003C4D85"/>
    <w:rsid w:val="003C4E99"/>
    <w:rsid w:val="003C50E6"/>
    <w:rsid w:val="003C53F5"/>
    <w:rsid w:val="003C5698"/>
    <w:rsid w:val="003C5BCC"/>
    <w:rsid w:val="003C672A"/>
    <w:rsid w:val="003C67FD"/>
    <w:rsid w:val="003C6F2D"/>
    <w:rsid w:val="003C7526"/>
    <w:rsid w:val="003C7A10"/>
    <w:rsid w:val="003C7B22"/>
    <w:rsid w:val="003C7CD8"/>
    <w:rsid w:val="003D120D"/>
    <w:rsid w:val="003D1640"/>
    <w:rsid w:val="003D2196"/>
    <w:rsid w:val="003D255E"/>
    <w:rsid w:val="003D28E1"/>
    <w:rsid w:val="003D294A"/>
    <w:rsid w:val="003D2C38"/>
    <w:rsid w:val="003D3344"/>
    <w:rsid w:val="003D3F3F"/>
    <w:rsid w:val="003D4455"/>
    <w:rsid w:val="003D582C"/>
    <w:rsid w:val="003D64C6"/>
    <w:rsid w:val="003D6643"/>
    <w:rsid w:val="003D69BB"/>
    <w:rsid w:val="003D6A05"/>
    <w:rsid w:val="003D6CA3"/>
    <w:rsid w:val="003D6E15"/>
    <w:rsid w:val="003D6FD5"/>
    <w:rsid w:val="003D73E5"/>
    <w:rsid w:val="003D7BC9"/>
    <w:rsid w:val="003E0754"/>
    <w:rsid w:val="003E0CCB"/>
    <w:rsid w:val="003E1073"/>
    <w:rsid w:val="003E1170"/>
    <w:rsid w:val="003E1A1C"/>
    <w:rsid w:val="003E1ABF"/>
    <w:rsid w:val="003E2DB4"/>
    <w:rsid w:val="003E2DE4"/>
    <w:rsid w:val="003E2E91"/>
    <w:rsid w:val="003E35F0"/>
    <w:rsid w:val="003E3D6E"/>
    <w:rsid w:val="003E4B23"/>
    <w:rsid w:val="003E4C49"/>
    <w:rsid w:val="003E4F6F"/>
    <w:rsid w:val="003E507D"/>
    <w:rsid w:val="003E5611"/>
    <w:rsid w:val="003E72A1"/>
    <w:rsid w:val="003E7DE1"/>
    <w:rsid w:val="003E7EBB"/>
    <w:rsid w:val="003F0058"/>
    <w:rsid w:val="003F02BD"/>
    <w:rsid w:val="003F035B"/>
    <w:rsid w:val="003F03D9"/>
    <w:rsid w:val="003F04EB"/>
    <w:rsid w:val="003F124A"/>
    <w:rsid w:val="003F14B3"/>
    <w:rsid w:val="003F24F8"/>
    <w:rsid w:val="003F2815"/>
    <w:rsid w:val="003F2BD8"/>
    <w:rsid w:val="003F2C0D"/>
    <w:rsid w:val="003F2EAD"/>
    <w:rsid w:val="003F3C89"/>
    <w:rsid w:val="003F3D93"/>
    <w:rsid w:val="003F4949"/>
    <w:rsid w:val="003F4B72"/>
    <w:rsid w:val="003F5133"/>
    <w:rsid w:val="003F5733"/>
    <w:rsid w:val="003F6972"/>
    <w:rsid w:val="003F7547"/>
    <w:rsid w:val="003F75A7"/>
    <w:rsid w:val="00401740"/>
    <w:rsid w:val="004025A4"/>
    <w:rsid w:val="004032CA"/>
    <w:rsid w:val="00403567"/>
    <w:rsid w:val="0040357E"/>
    <w:rsid w:val="00403598"/>
    <w:rsid w:val="004036D4"/>
    <w:rsid w:val="0040398F"/>
    <w:rsid w:val="004039DE"/>
    <w:rsid w:val="00404159"/>
    <w:rsid w:val="004042D6"/>
    <w:rsid w:val="0040511C"/>
    <w:rsid w:val="00405A96"/>
    <w:rsid w:val="00405B0C"/>
    <w:rsid w:val="00405E31"/>
    <w:rsid w:val="004064B2"/>
    <w:rsid w:val="0040679A"/>
    <w:rsid w:val="0040706B"/>
    <w:rsid w:val="00407E80"/>
    <w:rsid w:val="004103D0"/>
    <w:rsid w:val="00410556"/>
    <w:rsid w:val="00410753"/>
    <w:rsid w:val="00412599"/>
    <w:rsid w:val="004129C8"/>
    <w:rsid w:val="00413784"/>
    <w:rsid w:val="00413BFF"/>
    <w:rsid w:val="00413CBA"/>
    <w:rsid w:val="00413E18"/>
    <w:rsid w:val="0041470E"/>
    <w:rsid w:val="00414AAA"/>
    <w:rsid w:val="00416175"/>
    <w:rsid w:val="0041653C"/>
    <w:rsid w:val="00416D90"/>
    <w:rsid w:val="00416DB6"/>
    <w:rsid w:val="004170F9"/>
    <w:rsid w:val="0041742A"/>
    <w:rsid w:val="00417889"/>
    <w:rsid w:val="00417F90"/>
    <w:rsid w:val="00420180"/>
    <w:rsid w:val="004203D3"/>
    <w:rsid w:val="00420467"/>
    <w:rsid w:val="00420F9F"/>
    <w:rsid w:val="004212A6"/>
    <w:rsid w:val="004213E5"/>
    <w:rsid w:val="00422C06"/>
    <w:rsid w:val="00422FE7"/>
    <w:rsid w:val="004245DA"/>
    <w:rsid w:val="00424730"/>
    <w:rsid w:val="00426165"/>
    <w:rsid w:val="00426772"/>
    <w:rsid w:val="00427150"/>
    <w:rsid w:val="0042720B"/>
    <w:rsid w:val="004272EE"/>
    <w:rsid w:val="00427D63"/>
    <w:rsid w:val="00430705"/>
    <w:rsid w:val="0043073C"/>
    <w:rsid w:val="00430824"/>
    <w:rsid w:val="00430F99"/>
    <w:rsid w:val="00430FDF"/>
    <w:rsid w:val="00431575"/>
    <w:rsid w:val="004319A9"/>
    <w:rsid w:val="00432582"/>
    <w:rsid w:val="004327B3"/>
    <w:rsid w:val="0043352B"/>
    <w:rsid w:val="00433D85"/>
    <w:rsid w:val="00433DA7"/>
    <w:rsid w:val="00433ED3"/>
    <w:rsid w:val="00434D69"/>
    <w:rsid w:val="004355B8"/>
    <w:rsid w:val="00435D49"/>
    <w:rsid w:val="00436151"/>
    <w:rsid w:val="004365A6"/>
    <w:rsid w:val="00436EFA"/>
    <w:rsid w:val="0043716D"/>
    <w:rsid w:val="00437642"/>
    <w:rsid w:val="004404B4"/>
    <w:rsid w:val="0044060C"/>
    <w:rsid w:val="00441A5D"/>
    <w:rsid w:val="00441BC2"/>
    <w:rsid w:val="0044272B"/>
    <w:rsid w:val="00442B8D"/>
    <w:rsid w:val="00442DD8"/>
    <w:rsid w:val="00443049"/>
    <w:rsid w:val="00444214"/>
    <w:rsid w:val="00444694"/>
    <w:rsid w:val="004446BB"/>
    <w:rsid w:val="00445DB4"/>
    <w:rsid w:val="00445DCC"/>
    <w:rsid w:val="00445E57"/>
    <w:rsid w:val="00445EF4"/>
    <w:rsid w:val="0044663A"/>
    <w:rsid w:val="004473A7"/>
    <w:rsid w:val="004475EE"/>
    <w:rsid w:val="004502C4"/>
    <w:rsid w:val="00450869"/>
    <w:rsid w:val="0045086B"/>
    <w:rsid w:val="00450EC0"/>
    <w:rsid w:val="00452646"/>
    <w:rsid w:val="00453319"/>
    <w:rsid w:val="0045360E"/>
    <w:rsid w:val="004537A0"/>
    <w:rsid w:val="00453D0D"/>
    <w:rsid w:val="0045408C"/>
    <w:rsid w:val="004540D7"/>
    <w:rsid w:val="0045490A"/>
    <w:rsid w:val="00455B45"/>
    <w:rsid w:val="00455F6F"/>
    <w:rsid w:val="004575BE"/>
    <w:rsid w:val="00457637"/>
    <w:rsid w:val="00457B38"/>
    <w:rsid w:val="00457BEA"/>
    <w:rsid w:val="00457DF1"/>
    <w:rsid w:val="00460BB7"/>
    <w:rsid w:val="00460DF6"/>
    <w:rsid w:val="00460E85"/>
    <w:rsid w:val="00461F55"/>
    <w:rsid w:val="004620A5"/>
    <w:rsid w:val="004633DF"/>
    <w:rsid w:val="004639C3"/>
    <w:rsid w:val="00464DF0"/>
    <w:rsid w:val="00464F89"/>
    <w:rsid w:val="00465534"/>
    <w:rsid w:val="0046572B"/>
    <w:rsid w:val="00465859"/>
    <w:rsid w:val="00465CC5"/>
    <w:rsid w:val="00467654"/>
    <w:rsid w:val="00467899"/>
    <w:rsid w:val="004678E2"/>
    <w:rsid w:val="004679DB"/>
    <w:rsid w:val="00470056"/>
    <w:rsid w:val="004701DA"/>
    <w:rsid w:val="00470D34"/>
    <w:rsid w:val="00470D51"/>
    <w:rsid w:val="00470E8E"/>
    <w:rsid w:val="00471034"/>
    <w:rsid w:val="004719A6"/>
    <w:rsid w:val="00471D4C"/>
    <w:rsid w:val="0047261A"/>
    <w:rsid w:val="0047284D"/>
    <w:rsid w:val="00472E4B"/>
    <w:rsid w:val="0047380D"/>
    <w:rsid w:val="004739B0"/>
    <w:rsid w:val="00473A67"/>
    <w:rsid w:val="00473D37"/>
    <w:rsid w:val="00474E21"/>
    <w:rsid w:val="00474E54"/>
    <w:rsid w:val="00475491"/>
    <w:rsid w:val="004755DE"/>
    <w:rsid w:val="004758F4"/>
    <w:rsid w:val="00476BC0"/>
    <w:rsid w:val="00476DBA"/>
    <w:rsid w:val="004770A7"/>
    <w:rsid w:val="004773F5"/>
    <w:rsid w:val="00477680"/>
    <w:rsid w:val="0048052F"/>
    <w:rsid w:val="004805F4"/>
    <w:rsid w:val="004807E5"/>
    <w:rsid w:val="00481973"/>
    <w:rsid w:val="00481BEC"/>
    <w:rsid w:val="004820AA"/>
    <w:rsid w:val="004827F0"/>
    <w:rsid w:val="00483C9B"/>
    <w:rsid w:val="0048459E"/>
    <w:rsid w:val="0048486F"/>
    <w:rsid w:val="00485283"/>
    <w:rsid w:val="004852CE"/>
    <w:rsid w:val="00487544"/>
    <w:rsid w:val="004879A5"/>
    <w:rsid w:val="004900B1"/>
    <w:rsid w:val="00490675"/>
    <w:rsid w:val="00490A39"/>
    <w:rsid w:val="00490F69"/>
    <w:rsid w:val="004913AC"/>
    <w:rsid w:val="00491B37"/>
    <w:rsid w:val="00491EE4"/>
    <w:rsid w:val="004921D9"/>
    <w:rsid w:val="00492546"/>
    <w:rsid w:val="004928EC"/>
    <w:rsid w:val="00492D55"/>
    <w:rsid w:val="0049314C"/>
    <w:rsid w:val="0049327D"/>
    <w:rsid w:val="00493B53"/>
    <w:rsid w:val="00493DFC"/>
    <w:rsid w:val="00495277"/>
    <w:rsid w:val="00496863"/>
    <w:rsid w:val="004971F9"/>
    <w:rsid w:val="004974F9"/>
    <w:rsid w:val="00497712"/>
    <w:rsid w:val="00497766"/>
    <w:rsid w:val="004A0122"/>
    <w:rsid w:val="004A01EA"/>
    <w:rsid w:val="004A048C"/>
    <w:rsid w:val="004A0ADA"/>
    <w:rsid w:val="004A0B6A"/>
    <w:rsid w:val="004A17E0"/>
    <w:rsid w:val="004A1AA5"/>
    <w:rsid w:val="004A38CE"/>
    <w:rsid w:val="004A3E2A"/>
    <w:rsid w:val="004A406F"/>
    <w:rsid w:val="004A54B5"/>
    <w:rsid w:val="004A6850"/>
    <w:rsid w:val="004A69BB"/>
    <w:rsid w:val="004A6CD4"/>
    <w:rsid w:val="004B0A34"/>
    <w:rsid w:val="004B0F65"/>
    <w:rsid w:val="004B13D8"/>
    <w:rsid w:val="004B1C4D"/>
    <w:rsid w:val="004B211C"/>
    <w:rsid w:val="004B3009"/>
    <w:rsid w:val="004B323F"/>
    <w:rsid w:val="004B3570"/>
    <w:rsid w:val="004B3677"/>
    <w:rsid w:val="004B4C2D"/>
    <w:rsid w:val="004B4D9A"/>
    <w:rsid w:val="004B5E38"/>
    <w:rsid w:val="004B5E9C"/>
    <w:rsid w:val="004B65C8"/>
    <w:rsid w:val="004B67F0"/>
    <w:rsid w:val="004B74F7"/>
    <w:rsid w:val="004B779E"/>
    <w:rsid w:val="004C0000"/>
    <w:rsid w:val="004C05B3"/>
    <w:rsid w:val="004C158D"/>
    <w:rsid w:val="004C16FA"/>
    <w:rsid w:val="004C1A0C"/>
    <w:rsid w:val="004C1A1F"/>
    <w:rsid w:val="004C25A8"/>
    <w:rsid w:val="004C2A05"/>
    <w:rsid w:val="004C38BC"/>
    <w:rsid w:val="004C41B2"/>
    <w:rsid w:val="004C5BD4"/>
    <w:rsid w:val="004C6FD0"/>
    <w:rsid w:val="004C7995"/>
    <w:rsid w:val="004C7EFC"/>
    <w:rsid w:val="004D1347"/>
    <w:rsid w:val="004D1FE5"/>
    <w:rsid w:val="004D26FF"/>
    <w:rsid w:val="004D2D60"/>
    <w:rsid w:val="004D2E0F"/>
    <w:rsid w:val="004D6468"/>
    <w:rsid w:val="004D6B0A"/>
    <w:rsid w:val="004D7BA1"/>
    <w:rsid w:val="004D7ED8"/>
    <w:rsid w:val="004E0219"/>
    <w:rsid w:val="004E0C38"/>
    <w:rsid w:val="004E0CC5"/>
    <w:rsid w:val="004E1C03"/>
    <w:rsid w:val="004E1C51"/>
    <w:rsid w:val="004E1F19"/>
    <w:rsid w:val="004E2F01"/>
    <w:rsid w:val="004E33CE"/>
    <w:rsid w:val="004E3ED1"/>
    <w:rsid w:val="004E3F42"/>
    <w:rsid w:val="004E4969"/>
    <w:rsid w:val="004E4C71"/>
    <w:rsid w:val="004E4E8C"/>
    <w:rsid w:val="004E501F"/>
    <w:rsid w:val="004E51A6"/>
    <w:rsid w:val="004E563C"/>
    <w:rsid w:val="004E59D3"/>
    <w:rsid w:val="004E5A82"/>
    <w:rsid w:val="004E5D38"/>
    <w:rsid w:val="004E5E7D"/>
    <w:rsid w:val="004E6401"/>
    <w:rsid w:val="004E6453"/>
    <w:rsid w:val="004E67DF"/>
    <w:rsid w:val="004E6B5B"/>
    <w:rsid w:val="004E730A"/>
    <w:rsid w:val="004F0410"/>
    <w:rsid w:val="004F095B"/>
    <w:rsid w:val="004F1B4B"/>
    <w:rsid w:val="004F2307"/>
    <w:rsid w:val="004F28B3"/>
    <w:rsid w:val="004F2B4E"/>
    <w:rsid w:val="004F327C"/>
    <w:rsid w:val="004F42C2"/>
    <w:rsid w:val="004F46B2"/>
    <w:rsid w:val="004F4CD6"/>
    <w:rsid w:val="004F4E60"/>
    <w:rsid w:val="004F5037"/>
    <w:rsid w:val="004F5295"/>
    <w:rsid w:val="004F5755"/>
    <w:rsid w:val="004F6635"/>
    <w:rsid w:val="004F6A36"/>
    <w:rsid w:val="004F6F08"/>
    <w:rsid w:val="004F79F1"/>
    <w:rsid w:val="004F7E1B"/>
    <w:rsid w:val="0050005C"/>
    <w:rsid w:val="005002D2"/>
    <w:rsid w:val="00500983"/>
    <w:rsid w:val="00500A94"/>
    <w:rsid w:val="005017D2"/>
    <w:rsid w:val="00501DF1"/>
    <w:rsid w:val="0050215D"/>
    <w:rsid w:val="005022C1"/>
    <w:rsid w:val="005023B7"/>
    <w:rsid w:val="0050289F"/>
    <w:rsid w:val="00502CC1"/>
    <w:rsid w:val="0050311D"/>
    <w:rsid w:val="005038A2"/>
    <w:rsid w:val="005039F2"/>
    <w:rsid w:val="00503FA2"/>
    <w:rsid w:val="00504BC2"/>
    <w:rsid w:val="00504D56"/>
    <w:rsid w:val="00505022"/>
    <w:rsid w:val="00505C5C"/>
    <w:rsid w:val="0050618A"/>
    <w:rsid w:val="005062EF"/>
    <w:rsid w:val="00506BFF"/>
    <w:rsid w:val="00507EEB"/>
    <w:rsid w:val="0051048D"/>
    <w:rsid w:val="00510693"/>
    <w:rsid w:val="00510A4D"/>
    <w:rsid w:val="00510EA0"/>
    <w:rsid w:val="00510F68"/>
    <w:rsid w:val="00511472"/>
    <w:rsid w:val="0051198C"/>
    <w:rsid w:val="00511F29"/>
    <w:rsid w:val="005121CA"/>
    <w:rsid w:val="00512902"/>
    <w:rsid w:val="00512D88"/>
    <w:rsid w:val="00513301"/>
    <w:rsid w:val="00514001"/>
    <w:rsid w:val="00514084"/>
    <w:rsid w:val="00514368"/>
    <w:rsid w:val="00514DE7"/>
    <w:rsid w:val="00514F2D"/>
    <w:rsid w:val="005159EB"/>
    <w:rsid w:val="00515B5C"/>
    <w:rsid w:val="00516639"/>
    <w:rsid w:val="00516CC7"/>
    <w:rsid w:val="005172C8"/>
    <w:rsid w:val="005177BA"/>
    <w:rsid w:val="005206D6"/>
    <w:rsid w:val="00520AAE"/>
    <w:rsid w:val="00520CE8"/>
    <w:rsid w:val="00520FDC"/>
    <w:rsid w:val="005216C3"/>
    <w:rsid w:val="00521CC7"/>
    <w:rsid w:val="005222F0"/>
    <w:rsid w:val="0052230F"/>
    <w:rsid w:val="00522479"/>
    <w:rsid w:val="005229F7"/>
    <w:rsid w:val="00522D0A"/>
    <w:rsid w:val="00523AA9"/>
    <w:rsid w:val="00523C2F"/>
    <w:rsid w:val="00524938"/>
    <w:rsid w:val="00524D99"/>
    <w:rsid w:val="0052535A"/>
    <w:rsid w:val="00525E06"/>
    <w:rsid w:val="00525FC2"/>
    <w:rsid w:val="005265CB"/>
    <w:rsid w:val="00526783"/>
    <w:rsid w:val="00526EF4"/>
    <w:rsid w:val="005274D2"/>
    <w:rsid w:val="005276F6"/>
    <w:rsid w:val="00527718"/>
    <w:rsid w:val="00530671"/>
    <w:rsid w:val="005308CB"/>
    <w:rsid w:val="0053259D"/>
    <w:rsid w:val="0053434C"/>
    <w:rsid w:val="005362CD"/>
    <w:rsid w:val="00536482"/>
    <w:rsid w:val="00537BCC"/>
    <w:rsid w:val="005401BF"/>
    <w:rsid w:val="005416AF"/>
    <w:rsid w:val="0054211C"/>
    <w:rsid w:val="00543504"/>
    <w:rsid w:val="00543700"/>
    <w:rsid w:val="00544622"/>
    <w:rsid w:val="00545415"/>
    <w:rsid w:val="005457F9"/>
    <w:rsid w:val="00545E17"/>
    <w:rsid w:val="00547E26"/>
    <w:rsid w:val="00547E9E"/>
    <w:rsid w:val="00550A3F"/>
    <w:rsid w:val="00550F3D"/>
    <w:rsid w:val="00551AC4"/>
    <w:rsid w:val="00551CCB"/>
    <w:rsid w:val="00552461"/>
    <w:rsid w:val="00552643"/>
    <w:rsid w:val="0055354C"/>
    <w:rsid w:val="00553B50"/>
    <w:rsid w:val="0055513A"/>
    <w:rsid w:val="005558CB"/>
    <w:rsid w:val="00555944"/>
    <w:rsid w:val="00557C8D"/>
    <w:rsid w:val="00557FA0"/>
    <w:rsid w:val="00557FC2"/>
    <w:rsid w:val="00560A0D"/>
    <w:rsid w:val="00561217"/>
    <w:rsid w:val="00561397"/>
    <w:rsid w:val="005624FA"/>
    <w:rsid w:val="00562680"/>
    <w:rsid w:val="00562977"/>
    <w:rsid w:val="00562BE7"/>
    <w:rsid w:val="005636AE"/>
    <w:rsid w:val="00563806"/>
    <w:rsid w:val="00563FE9"/>
    <w:rsid w:val="00565195"/>
    <w:rsid w:val="00565AB6"/>
    <w:rsid w:val="00566A65"/>
    <w:rsid w:val="00566CEA"/>
    <w:rsid w:val="005670E6"/>
    <w:rsid w:val="00567B68"/>
    <w:rsid w:val="00570A75"/>
    <w:rsid w:val="00570F1B"/>
    <w:rsid w:val="0057223A"/>
    <w:rsid w:val="0057224A"/>
    <w:rsid w:val="005727AE"/>
    <w:rsid w:val="00572CDA"/>
    <w:rsid w:val="00572F23"/>
    <w:rsid w:val="005743FA"/>
    <w:rsid w:val="005747A3"/>
    <w:rsid w:val="005751AA"/>
    <w:rsid w:val="00576864"/>
    <w:rsid w:val="00576995"/>
    <w:rsid w:val="00576FCF"/>
    <w:rsid w:val="00577D3C"/>
    <w:rsid w:val="0058028C"/>
    <w:rsid w:val="00580348"/>
    <w:rsid w:val="005803C0"/>
    <w:rsid w:val="005806FB"/>
    <w:rsid w:val="00580FCA"/>
    <w:rsid w:val="0058114D"/>
    <w:rsid w:val="0058267B"/>
    <w:rsid w:val="00582CA4"/>
    <w:rsid w:val="005832DE"/>
    <w:rsid w:val="0058375D"/>
    <w:rsid w:val="00583A61"/>
    <w:rsid w:val="00583EB1"/>
    <w:rsid w:val="00584CEE"/>
    <w:rsid w:val="00584D10"/>
    <w:rsid w:val="00584F41"/>
    <w:rsid w:val="005856BD"/>
    <w:rsid w:val="00586C93"/>
    <w:rsid w:val="00586CB0"/>
    <w:rsid w:val="00587272"/>
    <w:rsid w:val="00590246"/>
    <w:rsid w:val="0059084F"/>
    <w:rsid w:val="00591012"/>
    <w:rsid w:val="0059134C"/>
    <w:rsid w:val="0059426E"/>
    <w:rsid w:val="005943D7"/>
    <w:rsid w:val="005948F1"/>
    <w:rsid w:val="00595566"/>
    <w:rsid w:val="0059585D"/>
    <w:rsid w:val="00595C2D"/>
    <w:rsid w:val="0059604B"/>
    <w:rsid w:val="00596624"/>
    <w:rsid w:val="00596D40"/>
    <w:rsid w:val="00596F34"/>
    <w:rsid w:val="00597373"/>
    <w:rsid w:val="005977C1"/>
    <w:rsid w:val="00597C82"/>
    <w:rsid w:val="005A0E24"/>
    <w:rsid w:val="005A0E4E"/>
    <w:rsid w:val="005A1224"/>
    <w:rsid w:val="005A1EB0"/>
    <w:rsid w:val="005A1FF0"/>
    <w:rsid w:val="005A24EF"/>
    <w:rsid w:val="005A35AB"/>
    <w:rsid w:val="005A46BF"/>
    <w:rsid w:val="005A511E"/>
    <w:rsid w:val="005A56DC"/>
    <w:rsid w:val="005A5DD3"/>
    <w:rsid w:val="005A5E34"/>
    <w:rsid w:val="005A68EB"/>
    <w:rsid w:val="005A6C06"/>
    <w:rsid w:val="005A6F51"/>
    <w:rsid w:val="005A73CD"/>
    <w:rsid w:val="005A761E"/>
    <w:rsid w:val="005A77FA"/>
    <w:rsid w:val="005B07EA"/>
    <w:rsid w:val="005B0954"/>
    <w:rsid w:val="005B0AF5"/>
    <w:rsid w:val="005B1347"/>
    <w:rsid w:val="005B2FEF"/>
    <w:rsid w:val="005B3066"/>
    <w:rsid w:val="005B30EF"/>
    <w:rsid w:val="005B3712"/>
    <w:rsid w:val="005B3813"/>
    <w:rsid w:val="005B5A63"/>
    <w:rsid w:val="005B5B05"/>
    <w:rsid w:val="005B6F69"/>
    <w:rsid w:val="005C0177"/>
    <w:rsid w:val="005C1570"/>
    <w:rsid w:val="005C3F74"/>
    <w:rsid w:val="005C41D6"/>
    <w:rsid w:val="005C4A18"/>
    <w:rsid w:val="005C4ED8"/>
    <w:rsid w:val="005C5506"/>
    <w:rsid w:val="005C557A"/>
    <w:rsid w:val="005C5A79"/>
    <w:rsid w:val="005C69BD"/>
    <w:rsid w:val="005C6CE0"/>
    <w:rsid w:val="005C6CE2"/>
    <w:rsid w:val="005C6CF6"/>
    <w:rsid w:val="005C6E24"/>
    <w:rsid w:val="005C767D"/>
    <w:rsid w:val="005C7809"/>
    <w:rsid w:val="005C7B5B"/>
    <w:rsid w:val="005C7E13"/>
    <w:rsid w:val="005D03D0"/>
    <w:rsid w:val="005D211D"/>
    <w:rsid w:val="005D228B"/>
    <w:rsid w:val="005D26A7"/>
    <w:rsid w:val="005D3818"/>
    <w:rsid w:val="005D3A35"/>
    <w:rsid w:val="005D3D71"/>
    <w:rsid w:val="005D41EC"/>
    <w:rsid w:val="005D5378"/>
    <w:rsid w:val="005D5562"/>
    <w:rsid w:val="005D571C"/>
    <w:rsid w:val="005D5D4D"/>
    <w:rsid w:val="005D6B9D"/>
    <w:rsid w:val="005D6E4A"/>
    <w:rsid w:val="005D72AF"/>
    <w:rsid w:val="005D7AAB"/>
    <w:rsid w:val="005D7C11"/>
    <w:rsid w:val="005D7FAE"/>
    <w:rsid w:val="005E021C"/>
    <w:rsid w:val="005E05E8"/>
    <w:rsid w:val="005E23A3"/>
    <w:rsid w:val="005E3035"/>
    <w:rsid w:val="005E44E9"/>
    <w:rsid w:val="005E517B"/>
    <w:rsid w:val="005E5A88"/>
    <w:rsid w:val="005E67A7"/>
    <w:rsid w:val="005E6C77"/>
    <w:rsid w:val="005E6D42"/>
    <w:rsid w:val="005E6E2D"/>
    <w:rsid w:val="005E74EF"/>
    <w:rsid w:val="005F03F2"/>
    <w:rsid w:val="005F0422"/>
    <w:rsid w:val="005F0518"/>
    <w:rsid w:val="005F10A6"/>
    <w:rsid w:val="005F15EA"/>
    <w:rsid w:val="005F1914"/>
    <w:rsid w:val="005F1AEB"/>
    <w:rsid w:val="005F1D2C"/>
    <w:rsid w:val="005F259C"/>
    <w:rsid w:val="005F27B1"/>
    <w:rsid w:val="005F2B52"/>
    <w:rsid w:val="005F37FC"/>
    <w:rsid w:val="005F4430"/>
    <w:rsid w:val="005F564D"/>
    <w:rsid w:val="005F64FC"/>
    <w:rsid w:val="005F67A4"/>
    <w:rsid w:val="005F7440"/>
    <w:rsid w:val="005F7C9E"/>
    <w:rsid w:val="005F7DBB"/>
    <w:rsid w:val="00600DB1"/>
    <w:rsid w:val="0060116B"/>
    <w:rsid w:val="00601299"/>
    <w:rsid w:val="006021AE"/>
    <w:rsid w:val="006037AA"/>
    <w:rsid w:val="006038C9"/>
    <w:rsid w:val="00604163"/>
    <w:rsid w:val="00604AD5"/>
    <w:rsid w:val="00604C42"/>
    <w:rsid w:val="00606B5A"/>
    <w:rsid w:val="006078B1"/>
    <w:rsid w:val="00607D38"/>
    <w:rsid w:val="00607D8C"/>
    <w:rsid w:val="00610839"/>
    <w:rsid w:val="00610966"/>
    <w:rsid w:val="00611599"/>
    <w:rsid w:val="00611870"/>
    <w:rsid w:val="00611B62"/>
    <w:rsid w:val="00611C0D"/>
    <w:rsid w:val="006130EE"/>
    <w:rsid w:val="0061313E"/>
    <w:rsid w:val="006131A0"/>
    <w:rsid w:val="006140B1"/>
    <w:rsid w:val="00614230"/>
    <w:rsid w:val="00614396"/>
    <w:rsid w:val="006144CF"/>
    <w:rsid w:val="006146CB"/>
    <w:rsid w:val="00614F5E"/>
    <w:rsid w:val="00615510"/>
    <w:rsid w:val="00615FFD"/>
    <w:rsid w:val="00616689"/>
    <w:rsid w:val="00616CED"/>
    <w:rsid w:val="006171DE"/>
    <w:rsid w:val="00617753"/>
    <w:rsid w:val="00617C0B"/>
    <w:rsid w:val="00620BF1"/>
    <w:rsid w:val="00620EF3"/>
    <w:rsid w:val="0062174A"/>
    <w:rsid w:val="006219B6"/>
    <w:rsid w:val="00621AB2"/>
    <w:rsid w:val="00621F74"/>
    <w:rsid w:val="006225D0"/>
    <w:rsid w:val="00622A8B"/>
    <w:rsid w:val="00622D8F"/>
    <w:rsid w:val="006230DD"/>
    <w:rsid w:val="006233D9"/>
    <w:rsid w:val="00623D3C"/>
    <w:rsid w:val="00623DF6"/>
    <w:rsid w:val="0062437D"/>
    <w:rsid w:val="00624C45"/>
    <w:rsid w:val="00624E29"/>
    <w:rsid w:val="006254A8"/>
    <w:rsid w:val="00626AC7"/>
    <w:rsid w:val="00626FDB"/>
    <w:rsid w:val="00627722"/>
    <w:rsid w:val="00627A70"/>
    <w:rsid w:val="00630252"/>
    <w:rsid w:val="00630795"/>
    <w:rsid w:val="00632701"/>
    <w:rsid w:val="00632D01"/>
    <w:rsid w:val="00633EE9"/>
    <w:rsid w:val="00634259"/>
    <w:rsid w:val="006352E8"/>
    <w:rsid w:val="00637471"/>
    <w:rsid w:val="006377BA"/>
    <w:rsid w:val="00637E8F"/>
    <w:rsid w:val="00637ED2"/>
    <w:rsid w:val="006405C9"/>
    <w:rsid w:val="00640CF1"/>
    <w:rsid w:val="0064134D"/>
    <w:rsid w:val="006414C8"/>
    <w:rsid w:val="00641590"/>
    <w:rsid w:val="006424FA"/>
    <w:rsid w:val="00643887"/>
    <w:rsid w:val="0064388A"/>
    <w:rsid w:val="0064397F"/>
    <w:rsid w:val="00643DB5"/>
    <w:rsid w:val="00643FEC"/>
    <w:rsid w:val="006444D9"/>
    <w:rsid w:val="00644522"/>
    <w:rsid w:val="00644961"/>
    <w:rsid w:val="00644BB3"/>
    <w:rsid w:val="00645EF3"/>
    <w:rsid w:val="006461AB"/>
    <w:rsid w:val="00650CEF"/>
    <w:rsid w:val="00652B76"/>
    <w:rsid w:val="0065342B"/>
    <w:rsid w:val="006535FF"/>
    <w:rsid w:val="006544BD"/>
    <w:rsid w:val="0065480E"/>
    <w:rsid w:val="00654A0B"/>
    <w:rsid w:val="00654DD3"/>
    <w:rsid w:val="00655280"/>
    <w:rsid w:val="00655318"/>
    <w:rsid w:val="00655708"/>
    <w:rsid w:val="0065577D"/>
    <w:rsid w:val="0065585B"/>
    <w:rsid w:val="00655F4D"/>
    <w:rsid w:val="006565A8"/>
    <w:rsid w:val="00656C13"/>
    <w:rsid w:val="00656DF1"/>
    <w:rsid w:val="00657D74"/>
    <w:rsid w:val="00660A56"/>
    <w:rsid w:val="00661726"/>
    <w:rsid w:val="00661C53"/>
    <w:rsid w:val="006622A1"/>
    <w:rsid w:val="006629D9"/>
    <w:rsid w:val="0066348A"/>
    <w:rsid w:val="00664058"/>
    <w:rsid w:val="00664EE8"/>
    <w:rsid w:val="00666479"/>
    <w:rsid w:val="00666C1F"/>
    <w:rsid w:val="00667444"/>
    <w:rsid w:val="0066769D"/>
    <w:rsid w:val="00667DF3"/>
    <w:rsid w:val="00670594"/>
    <w:rsid w:val="0067093F"/>
    <w:rsid w:val="00671555"/>
    <w:rsid w:val="0067185D"/>
    <w:rsid w:val="00671947"/>
    <w:rsid w:val="00671B21"/>
    <w:rsid w:val="00671BA7"/>
    <w:rsid w:val="00671D1A"/>
    <w:rsid w:val="0067380E"/>
    <w:rsid w:val="00673A8D"/>
    <w:rsid w:val="006740E9"/>
    <w:rsid w:val="006742B1"/>
    <w:rsid w:val="00675275"/>
    <w:rsid w:val="0067541E"/>
    <w:rsid w:val="006767F1"/>
    <w:rsid w:val="00676917"/>
    <w:rsid w:val="00677029"/>
    <w:rsid w:val="0067742C"/>
    <w:rsid w:val="006776B2"/>
    <w:rsid w:val="006777BA"/>
    <w:rsid w:val="0067799D"/>
    <w:rsid w:val="00677D4A"/>
    <w:rsid w:val="0068037A"/>
    <w:rsid w:val="00680FC0"/>
    <w:rsid w:val="006810FE"/>
    <w:rsid w:val="006819F8"/>
    <w:rsid w:val="00681EF4"/>
    <w:rsid w:val="00683244"/>
    <w:rsid w:val="00683760"/>
    <w:rsid w:val="006844FE"/>
    <w:rsid w:val="00684DF7"/>
    <w:rsid w:val="00685887"/>
    <w:rsid w:val="00685C29"/>
    <w:rsid w:val="0068623A"/>
    <w:rsid w:val="00687394"/>
    <w:rsid w:val="00687CFE"/>
    <w:rsid w:val="006912EB"/>
    <w:rsid w:val="006914ED"/>
    <w:rsid w:val="0069161A"/>
    <w:rsid w:val="00691765"/>
    <w:rsid w:val="0069210C"/>
    <w:rsid w:val="00692340"/>
    <w:rsid w:val="00692C97"/>
    <w:rsid w:val="00694C6A"/>
    <w:rsid w:val="00694FA7"/>
    <w:rsid w:val="0069504B"/>
    <w:rsid w:val="006951C8"/>
    <w:rsid w:val="0069529C"/>
    <w:rsid w:val="00695404"/>
    <w:rsid w:val="00695C17"/>
    <w:rsid w:val="00695E54"/>
    <w:rsid w:val="00696CCD"/>
    <w:rsid w:val="006A0130"/>
    <w:rsid w:val="006A0141"/>
    <w:rsid w:val="006A0C9E"/>
    <w:rsid w:val="006A1EBF"/>
    <w:rsid w:val="006A2BE1"/>
    <w:rsid w:val="006A2D68"/>
    <w:rsid w:val="006A30D9"/>
    <w:rsid w:val="006A341C"/>
    <w:rsid w:val="006A3B35"/>
    <w:rsid w:val="006A3C80"/>
    <w:rsid w:val="006A47CE"/>
    <w:rsid w:val="006A5759"/>
    <w:rsid w:val="006A5B83"/>
    <w:rsid w:val="006A5BD5"/>
    <w:rsid w:val="006A5D58"/>
    <w:rsid w:val="006A5E89"/>
    <w:rsid w:val="006A5EF3"/>
    <w:rsid w:val="006A750B"/>
    <w:rsid w:val="006A7804"/>
    <w:rsid w:val="006B0805"/>
    <w:rsid w:val="006B0860"/>
    <w:rsid w:val="006B1401"/>
    <w:rsid w:val="006B279D"/>
    <w:rsid w:val="006B2BDB"/>
    <w:rsid w:val="006B2CAC"/>
    <w:rsid w:val="006B2F68"/>
    <w:rsid w:val="006B336F"/>
    <w:rsid w:val="006B34F8"/>
    <w:rsid w:val="006B40AC"/>
    <w:rsid w:val="006B42FF"/>
    <w:rsid w:val="006B547C"/>
    <w:rsid w:val="006B5811"/>
    <w:rsid w:val="006B597D"/>
    <w:rsid w:val="006B5A68"/>
    <w:rsid w:val="006B63AE"/>
    <w:rsid w:val="006B671E"/>
    <w:rsid w:val="006B7254"/>
    <w:rsid w:val="006B77BC"/>
    <w:rsid w:val="006C125E"/>
    <w:rsid w:val="006C2977"/>
    <w:rsid w:val="006C2C1E"/>
    <w:rsid w:val="006C2E35"/>
    <w:rsid w:val="006C2F90"/>
    <w:rsid w:val="006C41B1"/>
    <w:rsid w:val="006C43CF"/>
    <w:rsid w:val="006C4E53"/>
    <w:rsid w:val="006C50D6"/>
    <w:rsid w:val="006C591E"/>
    <w:rsid w:val="006C655D"/>
    <w:rsid w:val="006C704F"/>
    <w:rsid w:val="006C79D9"/>
    <w:rsid w:val="006D1447"/>
    <w:rsid w:val="006D30B9"/>
    <w:rsid w:val="006D3115"/>
    <w:rsid w:val="006D3150"/>
    <w:rsid w:val="006D3802"/>
    <w:rsid w:val="006D3AC0"/>
    <w:rsid w:val="006D3D49"/>
    <w:rsid w:val="006D3DE4"/>
    <w:rsid w:val="006D3EE7"/>
    <w:rsid w:val="006D439C"/>
    <w:rsid w:val="006D4534"/>
    <w:rsid w:val="006D4A48"/>
    <w:rsid w:val="006D4D31"/>
    <w:rsid w:val="006D5364"/>
    <w:rsid w:val="006D5BD7"/>
    <w:rsid w:val="006D5D7F"/>
    <w:rsid w:val="006D5F16"/>
    <w:rsid w:val="006D7BCA"/>
    <w:rsid w:val="006E00F6"/>
    <w:rsid w:val="006E071C"/>
    <w:rsid w:val="006E098A"/>
    <w:rsid w:val="006E1136"/>
    <w:rsid w:val="006E1C78"/>
    <w:rsid w:val="006E2897"/>
    <w:rsid w:val="006E2EA4"/>
    <w:rsid w:val="006E30C4"/>
    <w:rsid w:val="006E34B8"/>
    <w:rsid w:val="006E3864"/>
    <w:rsid w:val="006E38D2"/>
    <w:rsid w:val="006E3BD4"/>
    <w:rsid w:val="006E3BDE"/>
    <w:rsid w:val="006E4188"/>
    <w:rsid w:val="006E4BAF"/>
    <w:rsid w:val="006E4F80"/>
    <w:rsid w:val="006E500B"/>
    <w:rsid w:val="006E7178"/>
    <w:rsid w:val="006E7B0B"/>
    <w:rsid w:val="006F000D"/>
    <w:rsid w:val="006F0878"/>
    <w:rsid w:val="006F0B19"/>
    <w:rsid w:val="006F10BE"/>
    <w:rsid w:val="006F14AD"/>
    <w:rsid w:val="006F1A60"/>
    <w:rsid w:val="006F27AA"/>
    <w:rsid w:val="006F39FE"/>
    <w:rsid w:val="006F3BDF"/>
    <w:rsid w:val="006F445D"/>
    <w:rsid w:val="006F5D22"/>
    <w:rsid w:val="006F62F2"/>
    <w:rsid w:val="006F686E"/>
    <w:rsid w:val="006F6CAF"/>
    <w:rsid w:val="006F6CFF"/>
    <w:rsid w:val="006F6E71"/>
    <w:rsid w:val="007009ED"/>
    <w:rsid w:val="00700BAA"/>
    <w:rsid w:val="00700E39"/>
    <w:rsid w:val="00701A3E"/>
    <w:rsid w:val="007020A2"/>
    <w:rsid w:val="00703380"/>
    <w:rsid w:val="00703788"/>
    <w:rsid w:val="00703792"/>
    <w:rsid w:val="00703C1B"/>
    <w:rsid w:val="007041B0"/>
    <w:rsid w:val="00704701"/>
    <w:rsid w:val="0070493C"/>
    <w:rsid w:val="00704C92"/>
    <w:rsid w:val="00704D11"/>
    <w:rsid w:val="00704E03"/>
    <w:rsid w:val="007050CA"/>
    <w:rsid w:val="00705F05"/>
    <w:rsid w:val="00706848"/>
    <w:rsid w:val="007071EE"/>
    <w:rsid w:val="007073D6"/>
    <w:rsid w:val="007074EF"/>
    <w:rsid w:val="007079AF"/>
    <w:rsid w:val="00707DF8"/>
    <w:rsid w:val="00707EBD"/>
    <w:rsid w:val="007103FB"/>
    <w:rsid w:val="00710457"/>
    <w:rsid w:val="00710A72"/>
    <w:rsid w:val="00710E28"/>
    <w:rsid w:val="00710F70"/>
    <w:rsid w:val="0071119B"/>
    <w:rsid w:val="00711371"/>
    <w:rsid w:val="007115EE"/>
    <w:rsid w:val="0071160D"/>
    <w:rsid w:val="00711AB7"/>
    <w:rsid w:val="00712505"/>
    <w:rsid w:val="00712B5E"/>
    <w:rsid w:val="007148DE"/>
    <w:rsid w:val="007148F7"/>
    <w:rsid w:val="00714E4D"/>
    <w:rsid w:val="00715B68"/>
    <w:rsid w:val="00716C0D"/>
    <w:rsid w:val="00716EA4"/>
    <w:rsid w:val="00716ED2"/>
    <w:rsid w:val="00717963"/>
    <w:rsid w:val="0072070E"/>
    <w:rsid w:val="00720901"/>
    <w:rsid w:val="00721240"/>
    <w:rsid w:val="00722A14"/>
    <w:rsid w:val="00722C45"/>
    <w:rsid w:val="00723814"/>
    <w:rsid w:val="0072398D"/>
    <w:rsid w:val="00723E33"/>
    <w:rsid w:val="00723F32"/>
    <w:rsid w:val="00724817"/>
    <w:rsid w:val="00724B16"/>
    <w:rsid w:val="00725172"/>
    <w:rsid w:val="007255A3"/>
    <w:rsid w:val="00725D1C"/>
    <w:rsid w:val="00726405"/>
    <w:rsid w:val="00727C15"/>
    <w:rsid w:val="00727CEB"/>
    <w:rsid w:val="00730AF0"/>
    <w:rsid w:val="007310DA"/>
    <w:rsid w:val="007327D5"/>
    <w:rsid w:val="00732CBA"/>
    <w:rsid w:val="007332B3"/>
    <w:rsid w:val="007332BE"/>
    <w:rsid w:val="00734618"/>
    <w:rsid w:val="007349A9"/>
    <w:rsid w:val="00734FC3"/>
    <w:rsid w:val="0073643A"/>
    <w:rsid w:val="00736AB8"/>
    <w:rsid w:val="00737C02"/>
    <w:rsid w:val="00737DA9"/>
    <w:rsid w:val="00737FF9"/>
    <w:rsid w:val="00740A17"/>
    <w:rsid w:val="00740FFC"/>
    <w:rsid w:val="00741251"/>
    <w:rsid w:val="00741522"/>
    <w:rsid w:val="007415D2"/>
    <w:rsid w:val="0074188E"/>
    <w:rsid w:val="0074199A"/>
    <w:rsid w:val="00741FB7"/>
    <w:rsid w:val="00742FD8"/>
    <w:rsid w:val="007433AB"/>
    <w:rsid w:val="007446A6"/>
    <w:rsid w:val="007452C8"/>
    <w:rsid w:val="00745586"/>
    <w:rsid w:val="00745E11"/>
    <w:rsid w:val="007469E3"/>
    <w:rsid w:val="00746B3B"/>
    <w:rsid w:val="00746D3D"/>
    <w:rsid w:val="00746D8E"/>
    <w:rsid w:val="00746F01"/>
    <w:rsid w:val="00747205"/>
    <w:rsid w:val="007476B8"/>
    <w:rsid w:val="007506FF"/>
    <w:rsid w:val="00750E2A"/>
    <w:rsid w:val="00750E9D"/>
    <w:rsid w:val="0075132A"/>
    <w:rsid w:val="007513B8"/>
    <w:rsid w:val="007525D6"/>
    <w:rsid w:val="00752F0B"/>
    <w:rsid w:val="00755276"/>
    <w:rsid w:val="00756137"/>
    <w:rsid w:val="00756455"/>
    <w:rsid w:val="00756BBA"/>
    <w:rsid w:val="0075724D"/>
    <w:rsid w:val="00757C7C"/>
    <w:rsid w:val="007600D2"/>
    <w:rsid w:val="007603D1"/>
    <w:rsid w:val="007609CA"/>
    <w:rsid w:val="00760EAA"/>
    <w:rsid w:val="007620B9"/>
    <w:rsid w:val="007622BE"/>
    <w:rsid w:val="0076238F"/>
    <w:rsid w:val="007624E6"/>
    <w:rsid w:val="00763116"/>
    <w:rsid w:val="007638E4"/>
    <w:rsid w:val="00763960"/>
    <w:rsid w:val="00763D53"/>
    <w:rsid w:val="00763D59"/>
    <w:rsid w:val="00764CC1"/>
    <w:rsid w:val="0076512D"/>
    <w:rsid w:val="0076666F"/>
    <w:rsid w:val="007667AA"/>
    <w:rsid w:val="00766ABD"/>
    <w:rsid w:val="00766E93"/>
    <w:rsid w:val="00767172"/>
    <w:rsid w:val="00767810"/>
    <w:rsid w:val="0076785E"/>
    <w:rsid w:val="007678B5"/>
    <w:rsid w:val="00770066"/>
    <w:rsid w:val="0077025A"/>
    <w:rsid w:val="00770BCF"/>
    <w:rsid w:val="00770F1A"/>
    <w:rsid w:val="007714DD"/>
    <w:rsid w:val="0077226D"/>
    <w:rsid w:val="00773E5F"/>
    <w:rsid w:val="00773F63"/>
    <w:rsid w:val="0077476D"/>
    <w:rsid w:val="0077579B"/>
    <w:rsid w:val="00775DED"/>
    <w:rsid w:val="00776063"/>
    <w:rsid w:val="0077726F"/>
    <w:rsid w:val="00780ABE"/>
    <w:rsid w:val="00781A53"/>
    <w:rsid w:val="00782FBD"/>
    <w:rsid w:val="0078308E"/>
    <w:rsid w:val="00783215"/>
    <w:rsid w:val="00783ABB"/>
    <w:rsid w:val="00783C79"/>
    <w:rsid w:val="00784374"/>
    <w:rsid w:val="00784726"/>
    <w:rsid w:val="007848C2"/>
    <w:rsid w:val="00784A7C"/>
    <w:rsid w:val="00785268"/>
    <w:rsid w:val="0078532B"/>
    <w:rsid w:val="0078584D"/>
    <w:rsid w:val="00785B59"/>
    <w:rsid w:val="007868FC"/>
    <w:rsid w:val="00787578"/>
    <w:rsid w:val="0078799A"/>
    <w:rsid w:val="0079073F"/>
    <w:rsid w:val="00790C32"/>
    <w:rsid w:val="00790D3B"/>
    <w:rsid w:val="0079120B"/>
    <w:rsid w:val="0079171F"/>
    <w:rsid w:val="00791FEB"/>
    <w:rsid w:val="00794A61"/>
    <w:rsid w:val="00794B9A"/>
    <w:rsid w:val="00794F88"/>
    <w:rsid w:val="0079526C"/>
    <w:rsid w:val="00795FE5"/>
    <w:rsid w:val="007975A0"/>
    <w:rsid w:val="007979F4"/>
    <w:rsid w:val="007A12AF"/>
    <w:rsid w:val="007A270A"/>
    <w:rsid w:val="007A3428"/>
    <w:rsid w:val="007A3590"/>
    <w:rsid w:val="007A3B9F"/>
    <w:rsid w:val="007A42E5"/>
    <w:rsid w:val="007A4DBD"/>
    <w:rsid w:val="007A570C"/>
    <w:rsid w:val="007A694C"/>
    <w:rsid w:val="007B0188"/>
    <w:rsid w:val="007B0393"/>
    <w:rsid w:val="007B08CC"/>
    <w:rsid w:val="007B0CA2"/>
    <w:rsid w:val="007B1185"/>
    <w:rsid w:val="007B1B24"/>
    <w:rsid w:val="007B2187"/>
    <w:rsid w:val="007B2536"/>
    <w:rsid w:val="007B30C9"/>
    <w:rsid w:val="007B3188"/>
    <w:rsid w:val="007B34CD"/>
    <w:rsid w:val="007B35A0"/>
    <w:rsid w:val="007B4480"/>
    <w:rsid w:val="007B4F6D"/>
    <w:rsid w:val="007B55D0"/>
    <w:rsid w:val="007B596F"/>
    <w:rsid w:val="007B5991"/>
    <w:rsid w:val="007B59CE"/>
    <w:rsid w:val="007B6369"/>
    <w:rsid w:val="007B75DC"/>
    <w:rsid w:val="007B7C3D"/>
    <w:rsid w:val="007C08FE"/>
    <w:rsid w:val="007C0C90"/>
    <w:rsid w:val="007C0FC7"/>
    <w:rsid w:val="007C15E5"/>
    <w:rsid w:val="007C3999"/>
    <w:rsid w:val="007C3A51"/>
    <w:rsid w:val="007C47A3"/>
    <w:rsid w:val="007C4E29"/>
    <w:rsid w:val="007C50AB"/>
    <w:rsid w:val="007C5149"/>
    <w:rsid w:val="007C5538"/>
    <w:rsid w:val="007C62B4"/>
    <w:rsid w:val="007C6934"/>
    <w:rsid w:val="007C6A44"/>
    <w:rsid w:val="007C77B6"/>
    <w:rsid w:val="007C792B"/>
    <w:rsid w:val="007C7A92"/>
    <w:rsid w:val="007D04B5"/>
    <w:rsid w:val="007D0AC9"/>
    <w:rsid w:val="007D0B77"/>
    <w:rsid w:val="007D0F5A"/>
    <w:rsid w:val="007D0F5C"/>
    <w:rsid w:val="007D1651"/>
    <w:rsid w:val="007D177B"/>
    <w:rsid w:val="007D202D"/>
    <w:rsid w:val="007D29C9"/>
    <w:rsid w:val="007D2DAE"/>
    <w:rsid w:val="007D3578"/>
    <w:rsid w:val="007D4373"/>
    <w:rsid w:val="007D4A74"/>
    <w:rsid w:val="007D50A3"/>
    <w:rsid w:val="007D52AA"/>
    <w:rsid w:val="007D6D3D"/>
    <w:rsid w:val="007D6D67"/>
    <w:rsid w:val="007D7673"/>
    <w:rsid w:val="007D7948"/>
    <w:rsid w:val="007E06DD"/>
    <w:rsid w:val="007E0719"/>
    <w:rsid w:val="007E0DE0"/>
    <w:rsid w:val="007E0F16"/>
    <w:rsid w:val="007E163F"/>
    <w:rsid w:val="007E19AF"/>
    <w:rsid w:val="007E1BA8"/>
    <w:rsid w:val="007E2423"/>
    <w:rsid w:val="007E2829"/>
    <w:rsid w:val="007E2885"/>
    <w:rsid w:val="007E2984"/>
    <w:rsid w:val="007E2A64"/>
    <w:rsid w:val="007E4501"/>
    <w:rsid w:val="007E48C9"/>
    <w:rsid w:val="007E530E"/>
    <w:rsid w:val="007E5DBC"/>
    <w:rsid w:val="007E62C7"/>
    <w:rsid w:val="007E646A"/>
    <w:rsid w:val="007E650C"/>
    <w:rsid w:val="007E66D4"/>
    <w:rsid w:val="007E6A2C"/>
    <w:rsid w:val="007E70D0"/>
    <w:rsid w:val="007E7166"/>
    <w:rsid w:val="007F0303"/>
    <w:rsid w:val="007F0FAF"/>
    <w:rsid w:val="007F2D72"/>
    <w:rsid w:val="007F3A3F"/>
    <w:rsid w:val="007F44AD"/>
    <w:rsid w:val="007F44C4"/>
    <w:rsid w:val="007F4DD1"/>
    <w:rsid w:val="007F535C"/>
    <w:rsid w:val="007F53CD"/>
    <w:rsid w:val="007F669D"/>
    <w:rsid w:val="007F6AC5"/>
    <w:rsid w:val="007F73A6"/>
    <w:rsid w:val="007F7F40"/>
    <w:rsid w:val="00801032"/>
    <w:rsid w:val="00801AAD"/>
    <w:rsid w:val="008023FF"/>
    <w:rsid w:val="008025AA"/>
    <w:rsid w:val="00802EA2"/>
    <w:rsid w:val="00802F25"/>
    <w:rsid w:val="00803138"/>
    <w:rsid w:val="00803F01"/>
    <w:rsid w:val="00803F54"/>
    <w:rsid w:val="0080445F"/>
    <w:rsid w:val="008044AE"/>
    <w:rsid w:val="00804E44"/>
    <w:rsid w:val="008051AB"/>
    <w:rsid w:val="00805EA1"/>
    <w:rsid w:val="00805FCD"/>
    <w:rsid w:val="00806289"/>
    <w:rsid w:val="008062B2"/>
    <w:rsid w:val="00806EE0"/>
    <w:rsid w:val="00807F7E"/>
    <w:rsid w:val="00811FFE"/>
    <w:rsid w:val="00812289"/>
    <w:rsid w:val="00812DF3"/>
    <w:rsid w:val="00812E85"/>
    <w:rsid w:val="00812EB1"/>
    <w:rsid w:val="008137F1"/>
    <w:rsid w:val="00813D3F"/>
    <w:rsid w:val="008141DB"/>
    <w:rsid w:val="00814536"/>
    <w:rsid w:val="008152A8"/>
    <w:rsid w:val="00815CB8"/>
    <w:rsid w:val="00815DD6"/>
    <w:rsid w:val="00815E30"/>
    <w:rsid w:val="00815ECD"/>
    <w:rsid w:val="0081666D"/>
    <w:rsid w:val="008166F5"/>
    <w:rsid w:val="00816725"/>
    <w:rsid w:val="0081682F"/>
    <w:rsid w:val="00816C84"/>
    <w:rsid w:val="00817261"/>
    <w:rsid w:val="008177F6"/>
    <w:rsid w:val="00817D09"/>
    <w:rsid w:val="008209D3"/>
    <w:rsid w:val="008215EE"/>
    <w:rsid w:val="00821864"/>
    <w:rsid w:val="0082254F"/>
    <w:rsid w:val="00822DF3"/>
    <w:rsid w:val="0082336F"/>
    <w:rsid w:val="008233BE"/>
    <w:rsid w:val="00824609"/>
    <w:rsid w:val="008253B4"/>
    <w:rsid w:val="00825CBD"/>
    <w:rsid w:val="00826DD0"/>
    <w:rsid w:val="00826EDD"/>
    <w:rsid w:val="00827330"/>
    <w:rsid w:val="00827ED2"/>
    <w:rsid w:val="00827EDA"/>
    <w:rsid w:val="0083009A"/>
    <w:rsid w:val="00832129"/>
    <w:rsid w:val="0083217E"/>
    <w:rsid w:val="008322F5"/>
    <w:rsid w:val="00833117"/>
    <w:rsid w:val="008331C3"/>
    <w:rsid w:val="008332F4"/>
    <w:rsid w:val="00833402"/>
    <w:rsid w:val="00834679"/>
    <w:rsid w:val="00834866"/>
    <w:rsid w:val="008354B2"/>
    <w:rsid w:val="00835B7C"/>
    <w:rsid w:val="0083623E"/>
    <w:rsid w:val="008362F6"/>
    <w:rsid w:val="008366C8"/>
    <w:rsid w:val="008378AF"/>
    <w:rsid w:val="00837AE0"/>
    <w:rsid w:val="00837D7C"/>
    <w:rsid w:val="00840128"/>
    <w:rsid w:val="0084019D"/>
    <w:rsid w:val="00840D19"/>
    <w:rsid w:val="00842917"/>
    <w:rsid w:val="00842AF2"/>
    <w:rsid w:val="00842B77"/>
    <w:rsid w:val="00843495"/>
    <w:rsid w:val="008436F9"/>
    <w:rsid w:val="008437EB"/>
    <w:rsid w:val="00843CEA"/>
    <w:rsid w:val="008440FC"/>
    <w:rsid w:val="00844A71"/>
    <w:rsid w:val="00844B10"/>
    <w:rsid w:val="00844D55"/>
    <w:rsid w:val="0084527C"/>
    <w:rsid w:val="00846725"/>
    <w:rsid w:val="00846817"/>
    <w:rsid w:val="00846E8D"/>
    <w:rsid w:val="00847498"/>
    <w:rsid w:val="00847A1A"/>
    <w:rsid w:val="00847A62"/>
    <w:rsid w:val="008506E9"/>
    <w:rsid w:val="008511D8"/>
    <w:rsid w:val="00851938"/>
    <w:rsid w:val="00851D02"/>
    <w:rsid w:val="00851FC6"/>
    <w:rsid w:val="00852166"/>
    <w:rsid w:val="008522BF"/>
    <w:rsid w:val="00852615"/>
    <w:rsid w:val="0085370C"/>
    <w:rsid w:val="0085402E"/>
    <w:rsid w:val="00854043"/>
    <w:rsid w:val="0085474A"/>
    <w:rsid w:val="008549F2"/>
    <w:rsid w:val="00855119"/>
    <w:rsid w:val="00855BB5"/>
    <w:rsid w:val="00856742"/>
    <w:rsid w:val="00856DAF"/>
    <w:rsid w:val="00856DDB"/>
    <w:rsid w:val="00856FE4"/>
    <w:rsid w:val="00857105"/>
    <w:rsid w:val="008573D2"/>
    <w:rsid w:val="00857F06"/>
    <w:rsid w:val="00857F20"/>
    <w:rsid w:val="008603E7"/>
    <w:rsid w:val="008617A5"/>
    <w:rsid w:val="00862A62"/>
    <w:rsid w:val="00862D41"/>
    <w:rsid w:val="00863792"/>
    <w:rsid w:val="00864C5C"/>
    <w:rsid w:val="00864D85"/>
    <w:rsid w:val="00866170"/>
    <w:rsid w:val="0086619A"/>
    <w:rsid w:val="0086655B"/>
    <w:rsid w:val="00866E18"/>
    <w:rsid w:val="008673E0"/>
    <w:rsid w:val="00870096"/>
    <w:rsid w:val="00870A53"/>
    <w:rsid w:val="008715D8"/>
    <w:rsid w:val="008717B2"/>
    <w:rsid w:val="00871D5E"/>
    <w:rsid w:val="00872171"/>
    <w:rsid w:val="0087241B"/>
    <w:rsid w:val="0087252E"/>
    <w:rsid w:val="00872EEB"/>
    <w:rsid w:val="0087320A"/>
    <w:rsid w:val="008732F0"/>
    <w:rsid w:val="0087377A"/>
    <w:rsid w:val="00873BC7"/>
    <w:rsid w:val="00875373"/>
    <w:rsid w:val="00875846"/>
    <w:rsid w:val="00875E61"/>
    <w:rsid w:val="00876440"/>
    <w:rsid w:val="008764E2"/>
    <w:rsid w:val="0087670C"/>
    <w:rsid w:val="00876DD1"/>
    <w:rsid w:val="00877871"/>
    <w:rsid w:val="00877DBB"/>
    <w:rsid w:val="008804BA"/>
    <w:rsid w:val="008806A8"/>
    <w:rsid w:val="00880936"/>
    <w:rsid w:val="00880953"/>
    <w:rsid w:val="00881428"/>
    <w:rsid w:val="008815DE"/>
    <w:rsid w:val="008831CA"/>
    <w:rsid w:val="008838D9"/>
    <w:rsid w:val="00883F2E"/>
    <w:rsid w:val="008840C1"/>
    <w:rsid w:val="008840C5"/>
    <w:rsid w:val="008842BD"/>
    <w:rsid w:val="00885EFE"/>
    <w:rsid w:val="00886302"/>
    <w:rsid w:val="0088637A"/>
    <w:rsid w:val="00886832"/>
    <w:rsid w:val="0088710F"/>
    <w:rsid w:val="008873A1"/>
    <w:rsid w:val="00887BAD"/>
    <w:rsid w:val="00887ECF"/>
    <w:rsid w:val="0089046F"/>
    <w:rsid w:val="0089095E"/>
    <w:rsid w:val="0089110A"/>
    <w:rsid w:val="00891555"/>
    <w:rsid w:val="00891773"/>
    <w:rsid w:val="00893B37"/>
    <w:rsid w:val="00894080"/>
    <w:rsid w:val="0089503D"/>
    <w:rsid w:val="008950B5"/>
    <w:rsid w:val="008955E4"/>
    <w:rsid w:val="008956B8"/>
    <w:rsid w:val="00895D00"/>
    <w:rsid w:val="00897274"/>
    <w:rsid w:val="00897D78"/>
    <w:rsid w:val="008A1A07"/>
    <w:rsid w:val="008A1C19"/>
    <w:rsid w:val="008A1F42"/>
    <w:rsid w:val="008A3117"/>
    <w:rsid w:val="008A332F"/>
    <w:rsid w:val="008A340A"/>
    <w:rsid w:val="008A378B"/>
    <w:rsid w:val="008A3D25"/>
    <w:rsid w:val="008A3FF8"/>
    <w:rsid w:val="008A42A4"/>
    <w:rsid w:val="008A4CC9"/>
    <w:rsid w:val="008A555A"/>
    <w:rsid w:val="008A652B"/>
    <w:rsid w:val="008A6CE1"/>
    <w:rsid w:val="008B0E1B"/>
    <w:rsid w:val="008B1192"/>
    <w:rsid w:val="008B1729"/>
    <w:rsid w:val="008B19C0"/>
    <w:rsid w:val="008B2168"/>
    <w:rsid w:val="008B2249"/>
    <w:rsid w:val="008B282F"/>
    <w:rsid w:val="008B29CA"/>
    <w:rsid w:val="008B398F"/>
    <w:rsid w:val="008B3B9A"/>
    <w:rsid w:val="008B4D68"/>
    <w:rsid w:val="008B5891"/>
    <w:rsid w:val="008B5915"/>
    <w:rsid w:val="008B6310"/>
    <w:rsid w:val="008B7D5A"/>
    <w:rsid w:val="008C0B7C"/>
    <w:rsid w:val="008C0D63"/>
    <w:rsid w:val="008C1054"/>
    <w:rsid w:val="008C1C5E"/>
    <w:rsid w:val="008C1DE5"/>
    <w:rsid w:val="008C2404"/>
    <w:rsid w:val="008C24DD"/>
    <w:rsid w:val="008C2BA3"/>
    <w:rsid w:val="008C3C78"/>
    <w:rsid w:val="008C4059"/>
    <w:rsid w:val="008C4121"/>
    <w:rsid w:val="008C4355"/>
    <w:rsid w:val="008C4773"/>
    <w:rsid w:val="008C4A7B"/>
    <w:rsid w:val="008C4E6B"/>
    <w:rsid w:val="008C5609"/>
    <w:rsid w:val="008C62D1"/>
    <w:rsid w:val="008C7419"/>
    <w:rsid w:val="008C75AA"/>
    <w:rsid w:val="008C7861"/>
    <w:rsid w:val="008D04DE"/>
    <w:rsid w:val="008D0C5F"/>
    <w:rsid w:val="008D2215"/>
    <w:rsid w:val="008D2475"/>
    <w:rsid w:val="008D281D"/>
    <w:rsid w:val="008D2C73"/>
    <w:rsid w:val="008D2F41"/>
    <w:rsid w:val="008D328B"/>
    <w:rsid w:val="008D3C79"/>
    <w:rsid w:val="008D41A3"/>
    <w:rsid w:val="008D4957"/>
    <w:rsid w:val="008D4B4D"/>
    <w:rsid w:val="008D509B"/>
    <w:rsid w:val="008D65C1"/>
    <w:rsid w:val="008D6647"/>
    <w:rsid w:val="008D725F"/>
    <w:rsid w:val="008E035C"/>
    <w:rsid w:val="008E1321"/>
    <w:rsid w:val="008E1D8B"/>
    <w:rsid w:val="008E1F51"/>
    <w:rsid w:val="008E1FC1"/>
    <w:rsid w:val="008E39F0"/>
    <w:rsid w:val="008E3A05"/>
    <w:rsid w:val="008E3E94"/>
    <w:rsid w:val="008E4835"/>
    <w:rsid w:val="008E4DB4"/>
    <w:rsid w:val="008E4E55"/>
    <w:rsid w:val="008E619C"/>
    <w:rsid w:val="008E6B61"/>
    <w:rsid w:val="008E6CDD"/>
    <w:rsid w:val="008E6F02"/>
    <w:rsid w:val="008E7661"/>
    <w:rsid w:val="008E7A1A"/>
    <w:rsid w:val="008F01D6"/>
    <w:rsid w:val="008F0799"/>
    <w:rsid w:val="008F07BC"/>
    <w:rsid w:val="008F139A"/>
    <w:rsid w:val="008F1C6D"/>
    <w:rsid w:val="008F1F9A"/>
    <w:rsid w:val="008F26A5"/>
    <w:rsid w:val="008F2E69"/>
    <w:rsid w:val="008F2F7E"/>
    <w:rsid w:val="008F3E7E"/>
    <w:rsid w:val="008F46D3"/>
    <w:rsid w:val="008F57C8"/>
    <w:rsid w:val="008F5E02"/>
    <w:rsid w:val="008F684F"/>
    <w:rsid w:val="008F6E43"/>
    <w:rsid w:val="008F7A69"/>
    <w:rsid w:val="0090007B"/>
    <w:rsid w:val="00900724"/>
    <w:rsid w:val="0090081B"/>
    <w:rsid w:val="0090146E"/>
    <w:rsid w:val="00901C79"/>
    <w:rsid w:val="00903F41"/>
    <w:rsid w:val="00903FF8"/>
    <w:rsid w:val="0090430B"/>
    <w:rsid w:val="00905014"/>
    <w:rsid w:val="009069EC"/>
    <w:rsid w:val="00906B21"/>
    <w:rsid w:val="00906CF3"/>
    <w:rsid w:val="00907BE1"/>
    <w:rsid w:val="009104B0"/>
    <w:rsid w:val="00910804"/>
    <w:rsid w:val="009109D6"/>
    <w:rsid w:val="0091116F"/>
    <w:rsid w:val="009113F9"/>
    <w:rsid w:val="009117E6"/>
    <w:rsid w:val="00911DBD"/>
    <w:rsid w:val="009124EA"/>
    <w:rsid w:val="0091279E"/>
    <w:rsid w:val="00912FD0"/>
    <w:rsid w:val="009137E3"/>
    <w:rsid w:val="00913B68"/>
    <w:rsid w:val="00913E66"/>
    <w:rsid w:val="0091490D"/>
    <w:rsid w:val="00915D5E"/>
    <w:rsid w:val="00916036"/>
    <w:rsid w:val="0091699E"/>
    <w:rsid w:val="00916B91"/>
    <w:rsid w:val="009170F0"/>
    <w:rsid w:val="009175FD"/>
    <w:rsid w:val="00917C7F"/>
    <w:rsid w:val="009201B1"/>
    <w:rsid w:val="009202D7"/>
    <w:rsid w:val="009209A6"/>
    <w:rsid w:val="009219FE"/>
    <w:rsid w:val="00922EAD"/>
    <w:rsid w:val="0092339F"/>
    <w:rsid w:val="00925671"/>
    <w:rsid w:val="00926799"/>
    <w:rsid w:val="00927EF2"/>
    <w:rsid w:val="009301BB"/>
    <w:rsid w:val="0093031F"/>
    <w:rsid w:val="00930BF4"/>
    <w:rsid w:val="00930C21"/>
    <w:rsid w:val="009323EA"/>
    <w:rsid w:val="00933552"/>
    <w:rsid w:val="0093436B"/>
    <w:rsid w:val="009348A7"/>
    <w:rsid w:val="00934ADC"/>
    <w:rsid w:val="00934CB9"/>
    <w:rsid w:val="00934D1D"/>
    <w:rsid w:val="009353A5"/>
    <w:rsid w:val="00935837"/>
    <w:rsid w:val="00935884"/>
    <w:rsid w:val="009360C1"/>
    <w:rsid w:val="009363F4"/>
    <w:rsid w:val="009371EE"/>
    <w:rsid w:val="00937389"/>
    <w:rsid w:val="00937415"/>
    <w:rsid w:val="009375FC"/>
    <w:rsid w:val="009376E9"/>
    <w:rsid w:val="00937B35"/>
    <w:rsid w:val="009402FF"/>
    <w:rsid w:val="00940B12"/>
    <w:rsid w:val="00940C2A"/>
    <w:rsid w:val="00940E7B"/>
    <w:rsid w:val="00941339"/>
    <w:rsid w:val="00942054"/>
    <w:rsid w:val="00942317"/>
    <w:rsid w:val="009427F2"/>
    <w:rsid w:val="00942934"/>
    <w:rsid w:val="00942A0C"/>
    <w:rsid w:val="009431CE"/>
    <w:rsid w:val="00944AE9"/>
    <w:rsid w:val="00945147"/>
    <w:rsid w:val="00946D4C"/>
    <w:rsid w:val="009471BC"/>
    <w:rsid w:val="00947A7F"/>
    <w:rsid w:val="00947EBA"/>
    <w:rsid w:val="0095008F"/>
    <w:rsid w:val="009507B1"/>
    <w:rsid w:val="009511E5"/>
    <w:rsid w:val="0095125E"/>
    <w:rsid w:val="009514BC"/>
    <w:rsid w:val="00951A73"/>
    <w:rsid w:val="00951F9F"/>
    <w:rsid w:val="009531A9"/>
    <w:rsid w:val="009532F9"/>
    <w:rsid w:val="009533CA"/>
    <w:rsid w:val="009537B5"/>
    <w:rsid w:val="00953F20"/>
    <w:rsid w:val="00953F62"/>
    <w:rsid w:val="009543B5"/>
    <w:rsid w:val="0095463B"/>
    <w:rsid w:val="0095478B"/>
    <w:rsid w:val="0095492E"/>
    <w:rsid w:val="00954F9A"/>
    <w:rsid w:val="00955B59"/>
    <w:rsid w:val="00955CFC"/>
    <w:rsid w:val="00955EB4"/>
    <w:rsid w:val="00955F3E"/>
    <w:rsid w:val="0095607B"/>
    <w:rsid w:val="009569A5"/>
    <w:rsid w:val="00957222"/>
    <w:rsid w:val="00957A82"/>
    <w:rsid w:val="00960B1A"/>
    <w:rsid w:val="00961227"/>
    <w:rsid w:val="009613DB"/>
    <w:rsid w:val="009617DC"/>
    <w:rsid w:val="009619D0"/>
    <w:rsid w:val="00961C07"/>
    <w:rsid w:val="0096250A"/>
    <w:rsid w:val="009626DC"/>
    <w:rsid w:val="009629FD"/>
    <w:rsid w:val="00962DA4"/>
    <w:rsid w:val="00963CBC"/>
    <w:rsid w:val="00964520"/>
    <w:rsid w:val="00965277"/>
    <w:rsid w:val="00965626"/>
    <w:rsid w:val="00965FBB"/>
    <w:rsid w:val="00966B09"/>
    <w:rsid w:val="00966B19"/>
    <w:rsid w:val="0096761E"/>
    <w:rsid w:val="009677A1"/>
    <w:rsid w:val="009702AC"/>
    <w:rsid w:val="00970622"/>
    <w:rsid w:val="00970E9D"/>
    <w:rsid w:val="00971822"/>
    <w:rsid w:val="00971AF9"/>
    <w:rsid w:val="00972221"/>
    <w:rsid w:val="0097413C"/>
    <w:rsid w:val="0097458C"/>
    <w:rsid w:val="00974AFF"/>
    <w:rsid w:val="00975309"/>
    <w:rsid w:val="00977AE1"/>
    <w:rsid w:val="00977F65"/>
    <w:rsid w:val="009806AA"/>
    <w:rsid w:val="00980D58"/>
    <w:rsid w:val="00981210"/>
    <w:rsid w:val="009814F1"/>
    <w:rsid w:val="00981A8B"/>
    <w:rsid w:val="00981B3A"/>
    <w:rsid w:val="00982173"/>
    <w:rsid w:val="00982319"/>
    <w:rsid w:val="0098250E"/>
    <w:rsid w:val="0098262A"/>
    <w:rsid w:val="00982C26"/>
    <w:rsid w:val="00983099"/>
    <w:rsid w:val="0098312A"/>
    <w:rsid w:val="00984065"/>
    <w:rsid w:val="00984382"/>
    <w:rsid w:val="009846CB"/>
    <w:rsid w:val="009849FC"/>
    <w:rsid w:val="009853EB"/>
    <w:rsid w:val="00985433"/>
    <w:rsid w:val="0098586F"/>
    <w:rsid w:val="00986AF2"/>
    <w:rsid w:val="00987DC8"/>
    <w:rsid w:val="00990756"/>
    <w:rsid w:val="00991384"/>
    <w:rsid w:val="0099141A"/>
    <w:rsid w:val="00991E42"/>
    <w:rsid w:val="0099252C"/>
    <w:rsid w:val="0099257A"/>
    <w:rsid w:val="009934AB"/>
    <w:rsid w:val="00993FF6"/>
    <w:rsid w:val="0099438A"/>
    <w:rsid w:val="0099503F"/>
    <w:rsid w:val="009959A1"/>
    <w:rsid w:val="009965D1"/>
    <w:rsid w:val="009966F1"/>
    <w:rsid w:val="0099700F"/>
    <w:rsid w:val="009978CE"/>
    <w:rsid w:val="009A060E"/>
    <w:rsid w:val="009A09C1"/>
    <w:rsid w:val="009A0B2E"/>
    <w:rsid w:val="009A1049"/>
    <w:rsid w:val="009A23C0"/>
    <w:rsid w:val="009A266E"/>
    <w:rsid w:val="009A458A"/>
    <w:rsid w:val="009A4739"/>
    <w:rsid w:val="009A4908"/>
    <w:rsid w:val="009A4A9B"/>
    <w:rsid w:val="009A5BA1"/>
    <w:rsid w:val="009A5EF3"/>
    <w:rsid w:val="009A6EC1"/>
    <w:rsid w:val="009B00CF"/>
    <w:rsid w:val="009B0244"/>
    <w:rsid w:val="009B1717"/>
    <w:rsid w:val="009B19DD"/>
    <w:rsid w:val="009B1BA9"/>
    <w:rsid w:val="009B1D12"/>
    <w:rsid w:val="009B22FD"/>
    <w:rsid w:val="009B27B5"/>
    <w:rsid w:val="009B283B"/>
    <w:rsid w:val="009B2CB8"/>
    <w:rsid w:val="009B2CCD"/>
    <w:rsid w:val="009B3249"/>
    <w:rsid w:val="009B418E"/>
    <w:rsid w:val="009B42E8"/>
    <w:rsid w:val="009B42EC"/>
    <w:rsid w:val="009B42EF"/>
    <w:rsid w:val="009B46CF"/>
    <w:rsid w:val="009B47B5"/>
    <w:rsid w:val="009B4807"/>
    <w:rsid w:val="009B4959"/>
    <w:rsid w:val="009B49C5"/>
    <w:rsid w:val="009B4BDC"/>
    <w:rsid w:val="009B50F2"/>
    <w:rsid w:val="009B5323"/>
    <w:rsid w:val="009B5579"/>
    <w:rsid w:val="009B6261"/>
    <w:rsid w:val="009B652B"/>
    <w:rsid w:val="009B65BD"/>
    <w:rsid w:val="009B74E5"/>
    <w:rsid w:val="009B793D"/>
    <w:rsid w:val="009C04DC"/>
    <w:rsid w:val="009C0764"/>
    <w:rsid w:val="009C0BBF"/>
    <w:rsid w:val="009C1888"/>
    <w:rsid w:val="009C1B69"/>
    <w:rsid w:val="009C2E43"/>
    <w:rsid w:val="009C333D"/>
    <w:rsid w:val="009C333E"/>
    <w:rsid w:val="009C38C8"/>
    <w:rsid w:val="009C3CE6"/>
    <w:rsid w:val="009C4238"/>
    <w:rsid w:val="009C4862"/>
    <w:rsid w:val="009C5049"/>
    <w:rsid w:val="009C5DA8"/>
    <w:rsid w:val="009C61AA"/>
    <w:rsid w:val="009C68EC"/>
    <w:rsid w:val="009C69A5"/>
    <w:rsid w:val="009C6FE1"/>
    <w:rsid w:val="009C75D4"/>
    <w:rsid w:val="009C7ABE"/>
    <w:rsid w:val="009D0228"/>
    <w:rsid w:val="009D02B4"/>
    <w:rsid w:val="009D0928"/>
    <w:rsid w:val="009D1B93"/>
    <w:rsid w:val="009D1F1A"/>
    <w:rsid w:val="009D22B4"/>
    <w:rsid w:val="009D27EE"/>
    <w:rsid w:val="009D2AD0"/>
    <w:rsid w:val="009D31E7"/>
    <w:rsid w:val="009D36CC"/>
    <w:rsid w:val="009D530D"/>
    <w:rsid w:val="009D5774"/>
    <w:rsid w:val="009D6057"/>
    <w:rsid w:val="009D6E63"/>
    <w:rsid w:val="009D6F43"/>
    <w:rsid w:val="009D6F99"/>
    <w:rsid w:val="009D779F"/>
    <w:rsid w:val="009D7FAF"/>
    <w:rsid w:val="009E134B"/>
    <w:rsid w:val="009E161A"/>
    <w:rsid w:val="009E1DF6"/>
    <w:rsid w:val="009E209F"/>
    <w:rsid w:val="009E223F"/>
    <w:rsid w:val="009E2490"/>
    <w:rsid w:val="009E268C"/>
    <w:rsid w:val="009E28B1"/>
    <w:rsid w:val="009E2D51"/>
    <w:rsid w:val="009E2F30"/>
    <w:rsid w:val="009E3726"/>
    <w:rsid w:val="009E3728"/>
    <w:rsid w:val="009E384F"/>
    <w:rsid w:val="009E3A61"/>
    <w:rsid w:val="009E42F5"/>
    <w:rsid w:val="009E453D"/>
    <w:rsid w:val="009E52DA"/>
    <w:rsid w:val="009E53A8"/>
    <w:rsid w:val="009E576F"/>
    <w:rsid w:val="009E5BD7"/>
    <w:rsid w:val="009E6116"/>
    <w:rsid w:val="009E64B1"/>
    <w:rsid w:val="009E6D47"/>
    <w:rsid w:val="009E6E82"/>
    <w:rsid w:val="009E70CC"/>
    <w:rsid w:val="009E76BB"/>
    <w:rsid w:val="009F01CD"/>
    <w:rsid w:val="009F0C25"/>
    <w:rsid w:val="009F0F4D"/>
    <w:rsid w:val="009F1189"/>
    <w:rsid w:val="009F1B6F"/>
    <w:rsid w:val="009F271A"/>
    <w:rsid w:val="009F3361"/>
    <w:rsid w:val="009F36F4"/>
    <w:rsid w:val="009F4175"/>
    <w:rsid w:val="009F4374"/>
    <w:rsid w:val="009F44E2"/>
    <w:rsid w:val="009F4A06"/>
    <w:rsid w:val="009F4CBB"/>
    <w:rsid w:val="009F5761"/>
    <w:rsid w:val="009F5F3A"/>
    <w:rsid w:val="009F656E"/>
    <w:rsid w:val="009F6614"/>
    <w:rsid w:val="009F67D4"/>
    <w:rsid w:val="009F7B37"/>
    <w:rsid w:val="00A00BFB"/>
    <w:rsid w:val="00A00CE6"/>
    <w:rsid w:val="00A00CF5"/>
    <w:rsid w:val="00A016AD"/>
    <w:rsid w:val="00A023ED"/>
    <w:rsid w:val="00A02EAF"/>
    <w:rsid w:val="00A02EF0"/>
    <w:rsid w:val="00A034A2"/>
    <w:rsid w:val="00A03CB8"/>
    <w:rsid w:val="00A0449B"/>
    <w:rsid w:val="00A04D7A"/>
    <w:rsid w:val="00A05401"/>
    <w:rsid w:val="00A054F7"/>
    <w:rsid w:val="00A0569B"/>
    <w:rsid w:val="00A05E68"/>
    <w:rsid w:val="00A0732C"/>
    <w:rsid w:val="00A07B3A"/>
    <w:rsid w:val="00A07CE8"/>
    <w:rsid w:val="00A117BD"/>
    <w:rsid w:val="00A12AB3"/>
    <w:rsid w:val="00A12D21"/>
    <w:rsid w:val="00A13275"/>
    <w:rsid w:val="00A13F45"/>
    <w:rsid w:val="00A14017"/>
    <w:rsid w:val="00A142F1"/>
    <w:rsid w:val="00A14498"/>
    <w:rsid w:val="00A15006"/>
    <w:rsid w:val="00A1502E"/>
    <w:rsid w:val="00A15D9C"/>
    <w:rsid w:val="00A1654D"/>
    <w:rsid w:val="00A17083"/>
    <w:rsid w:val="00A174F7"/>
    <w:rsid w:val="00A17714"/>
    <w:rsid w:val="00A17A5A"/>
    <w:rsid w:val="00A201F1"/>
    <w:rsid w:val="00A207CD"/>
    <w:rsid w:val="00A211FA"/>
    <w:rsid w:val="00A2165D"/>
    <w:rsid w:val="00A21B19"/>
    <w:rsid w:val="00A226E3"/>
    <w:rsid w:val="00A22CBA"/>
    <w:rsid w:val="00A2408E"/>
    <w:rsid w:val="00A24227"/>
    <w:rsid w:val="00A253D0"/>
    <w:rsid w:val="00A25D66"/>
    <w:rsid w:val="00A25DC0"/>
    <w:rsid w:val="00A2635D"/>
    <w:rsid w:val="00A26411"/>
    <w:rsid w:val="00A265D4"/>
    <w:rsid w:val="00A30429"/>
    <w:rsid w:val="00A30820"/>
    <w:rsid w:val="00A31248"/>
    <w:rsid w:val="00A31316"/>
    <w:rsid w:val="00A35CCD"/>
    <w:rsid w:val="00A361B6"/>
    <w:rsid w:val="00A36BE8"/>
    <w:rsid w:val="00A37385"/>
    <w:rsid w:val="00A37F18"/>
    <w:rsid w:val="00A4069C"/>
    <w:rsid w:val="00A4099B"/>
    <w:rsid w:val="00A412A0"/>
    <w:rsid w:val="00A41A21"/>
    <w:rsid w:val="00A41B79"/>
    <w:rsid w:val="00A41D37"/>
    <w:rsid w:val="00A42C3F"/>
    <w:rsid w:val="00A435EC"/>
    <w:rsid w:val="00A43ADD"/>
    <w:rsid w:val="00A43D1C"/>
    <w:rsid w:val="00A453DC"/>
    <w:rsid w:val="00A45432"/>
    <w:rsid w:val="00A45F5F"/>
    <w:rsid w:val="00A46CA2"/>
    <w:rsid w:val="00A46E1B"/>
    <w:rsid w:val="00A471C7"/>
    <w:rsid w:val="00A47230"/>
    <w:rsid w:val="00A50216"/>
    <w:rsid w:val="00A50453"/>
    <w:rsid w:val="00A51B22"/>
    <w:rsid w:val="00A5216A"/>
    <w:rsid w:val="00A526C3"/>
    <w:rsid w:val="00A52706"/>
    <w:rsid w:val="00A52936"/>
    <w:rsid w:val="00A52D8D"/>
    <w:rsid w:val="00A53217"/>
    <w:rsid w:val="00A53415"/>
    <w:rsid w:val="00A53E61"/>
    <w:rsid w:val="00A53E99"/>
    <w:rsid w:val="00A53F0B"/>
    <w:rsid w:val="00A5582A"/>
    <w:rsid w:val="00A56212"/>
    <w:rsid w:val="00A56AF4"/>
    <w:rsid w:val="00A56FF7"/>
    <w:rsid w:val="00A572A5"/>
    <w:rsid w:val="00A57458"/>
    <w:rsid w:val="00A575EA"/>
    <w:rsid w:val="00A57625"/>
    <w:rsid w:val="00A57D12"/>
    <w:rsid w:val="00A60523"/>
    <w:rsid w:val="00A607AD"/>
    <w:rsid w:val="00A60EE9"/>
    <w:rsid w:val="00A613E1"/>
    <w:rsid w:val="00A61899"/>
    <w:rsid w:val="00A62548"/>
    <w:rsid w:val="00A6263E"/>
    <w:rsid w:val="00A62BA7"/>
    <w:rsid w:val="00A62C71"/>
    <w:rsid w:val="00A6458E"/>
    <w:rsid w:val="00A65E65"/>
    <w:rsid w:val="00A66AF4"/>
    <w:rsid w:val="00A66D54"/>
    <w:rsid w:val="00A66E48"/>
    <w:rsid w:val="00A67560"/>
    <w:rsid w:val="00A7056D"/>
    <w:rsid w:val="00A7080C"/>
    <w:rsid w:val="00A71190"/>
    <w:rsid w:val="00A72CCD"/>
    <w:rsid w:val="00A735B3"/>
    <w:rsid w:val="00A736DA"/>
    <w:rsid w:val="00A74A73"/>
    <w:rsid w:val="00A74D83"/>
    <w:rsid w:val="00A74F0E"/>
    <w:rsid w:val="00A75004"/>
    <w:rsid w:val="00A7659E"/>
    <w:rsid w:val="00A76DCF"/>
    <w:rsid w:val="00A76FC4"/>
    <w:rsid w:val="00A813C0"/>
    <w:rsid w:val="00A815BF"/>
    <w:rsid w:val="00A81C70"/>
    <w:rsid w:val="00A820A8"/>
    <w:rsid w:val="00A8216F"/>
    <w:rsid w:val="00A825C1"/>
    <w:rsid w:val="00A82B51"/>
    <w:rsid w:val="00A82F9C"/>
    <w:rsid w:val="00A8343C"/>
    <w:rsid w:val="00A83CBA"/>
    <w:rsid w:val="00A84187"/>
    <w:rsid w:val="00A84475"/>
    <w:rsid w:val="00A849B4"/>
    <w:rsid w:val="00A84E60"/>
    <w:rsid w:val="00A8536C"/>
    <w:rsid w:val="00A855A7"/>
    <w:rsid w:val="00A85686"/>
    <w:rsid w:val="00A85A5F"/>
    <w:rsid w:val="00A85EF7"/>
    <w:rsid w:val="00A901CD"/>
    <w:rsid w:val="00A90349"/>
    <w:rsid w:val="00A9073C"/>
    <w:rsid w:val="00A9085B"/>
    <w:rsid w:val="00A90903"/>
    <w:rsid w:val="00A90BC0"/>
    <w:rsid w:val="00A91183"/>
    <w:rsid w:val="00A92447"/>
    <w:rsid w:val="00A92530"/>
    <w:rsid w:val="00A93422"/>
    <w:rsid w:val="00A94687"/>
    <w:rsid w:val="00A946C4"/>
    <w:rsid w:val="00A94702"/>
    <w:rsid w:val="00A9515B"/>
    <w:rsid w:val="00A952A5"/>
    <w:rsid w:val="00A954BC"/>
    <w:rsid w:val="00A958F0"/>
    <w:rsid w:val="00A95BA0"/>
    <w:rsid w:val="00A96AF5"/>
    <w:rsid w:val="00A9713C"/>
    <w:rsid w:val="00A972F7"/>
    <w:rsid w:val="00A9744C"/>
    <w:rsid w:val="00A97CD2"/>
    <w:rsid w:val="00AA0098"/>
    <w:rsid w:val="00AA03C0"/>
    <w:rsid w:val="00AA0BCD"/>
    <w:rsid w:val="00AA0F2F"/>
    <w:rsid w:val="00AA1298"/>
    <w:rsid w:val="00AA196C"/>
    <w:rsid w:val="00AA1ABC"/>
    <w:rsid w:val="00AA1F3F"/>
    <w:rsid w:val="00AA20C6"/>
    <w:rsid w:val="00AA20F1"/>
    <w:rsid w:val="00AA235D"/>
    <w:rsid w:val="00AA2638"/>
    <w:rsid w:val="00AA2E63"/>
    <w:rsid w:val="00AA55F5"/>
    <w:rsid w:val="00AA69B1"/>
    <w:rsid w:val="00AA6A92"/>
    <w:rsid w:val="00AA6C1B"/>
    <w:rsid w:val="00AB021C"/>
    <w:rsid w:val="00AB0706"/>
    <w:rsid w:val="00AB1CA7"/>
    <w:rsid w:val="00AB24FB"/>
    <w:rsid w:val="00AB2AB3"/>
    <w:rsid w:val="00AB2CA5"/>
    <w:rsid w:val="00AB2F5E"/>
    <w:rsid w:val="00AB33C8"/>
    <w:rsid w:val="00AB4B1E"/>
    <w:rsid w:val="00AB4EF1"/>
    <w:rsid w:val="00AB5A16"/>
    <w:rsid w:val="00AB5C60"/>
    <w:rsid w:val="00AB5D5A"/>
    <w:rsid w:val="00AB621E"/>
    <w:rsid w:val="00AB76D8"/>
    <w:rsid w:val="00AB7789"/>
    <w:rsid w:val="00AC0929"/>
    <w:rsid w:val="00AC1F8A"/>
    <w:rsid w:val="00AC2848"/>
    <w:rsid w:val="00AC2D7B"/>
    <w:rsid w:val="00AC3493"/>
    <w:rsid w:val="00AC3928"/>
    <w:rsid w:val="00AC3B0A"/>
    <w:rsid w:val="00AC44AD"/>
    <w:rsid w:val="00AC467B"/>
    <w:rsid w:val="00AC5592"/>
    <w:rsid w:val="00AC672E"/>
    <w:rsid w:val="00AD01FE"/>
    <w:rsid w:val="00AD06A6"/>
    <w:rsid w:val="00AD07D8"/>
    <w:rsid w:val="00AD092F"/>
    <w:rsid w:val="00AD0BB9"/>
    <w:rsid w:val="00AD16FB"/>
    <w:rsid w:val="00AD178D"/>
    <w:rsid w:val="00AD2A82"/>
    <w:rsid w:val="00AD3053"/>
    <w:rsid w:val="00AD3632"/>
    <w:rsid w:val="00AD43DA"/>
    <w:rsid w:val="00AD5276"/>
    <w:rsid w:val="00AD6845"/>
    <w:rsid w:val="00AD6D92"/>
    <w:rsid w:val="00AD7A20"/>
    <w:rsid w:val="00AE0510"/>
    <w:rsid w:val="00AE05B6"/>
    <w:rsid w:val="00AE1236"/>
    <w:rsid w:val="00AE137A"/>
    <w:rsid w:val="00AE184A"/>
    <w:rsid w:val="00AE2CBD"/>
    <w:rsid w:val="00AE31DA"/>
    <w:rsid w:val="00AE33A4"/>
    <w:rsid w:val="00AE3895"/>
    <w:rsid w:val="00AE42CF"/>
    <w:rsid w:val="00AE48E2"/>
    <w:rsid w:val="00AE4E07"/>
    <w:rsid w:val="00AE5325"/>
    <w:rsid w:val="00AE5B95"/>
    <w:rsid w:val="00AE76E8"/>
    <w:rsid w:val="00AE7981"/>
    <w:rsid w:val="00AE7E1C"/>
    <w:rsid w:val="00AF1821"/>
    <w:rsid w:val="00AF1F22"/>
    <w:rsid w:val="00AF20CA"/>
    <w:rsid w:val="00AF4213"/>
    <w:rsid w:val="00AF54D7"/>
    <w:rsid w:val="00AF5ECE"/>
    <w:rsid w:val="00AF60BF"/>
    <w:rsid w:val="00AF6491"/>
    <w:rsid w:val="00AF6D62"/>
    <w:rsid w:val="00AF7D36"/>
    <w:rsid w:val="00AF7EFF"/>
    <w:rsid w:val="00B02585"/>
    <w:rsid w:val="00B02A31"/>
    <w:rsid w:val="00B02FBD"/>
    <w:rsid w:val="00B0324A"/>
    <w:rsid w:val="00B034B4"/>
    <w:rsid w:val="00B0393E"/>
    <w:rsid w:val="00B04536"/>
    <w:rsid w:val="00B04600"/>
    <w:rsid w:val="00B04D96"/>
    <w:rsid w:val="00B05508"/>
    <w:rsid w:val="00B07355"/>
    <w:rsid w:val="00B07846"/>
    <w:rsid w:val="00B07BD2"/>
    <w:rsid w:val="00B112D4"/>
    <w:rsid w:val="00B119C1"/>
    <w:rsid w:val="00B1229F"/>
    <w:rsid w:val="00B126B1"/>
    <w:rsid w:val="00B12FD2"/>
    <w:rsid w:val="00B13C82"/>
    <w:rsid w:val="00B13E5A"/>
    <w:rsid w:val="00B1532F"/>
    <w:rsid w:val="00B155E2"/>
    <w:rsid w:val="00B1606E"/>
    <w:rsid w:val="00B172A5"/>
    <w:rsid w:val="00B17E6D"/>
    <w:rsid w:val="00B206B3"/>
    <w:rsid w:val="00B208E5"/>
    <w:rsid w:val="00B20F56"/>
    <w:rsid w:val="00B21D7B"/>
    <w:rsid w:val="00B22060"/>
    <w:rsid w:val="00B22F97"/>
    <w:rsid w:val="00B23175"/>
    <w:rsid w:val="00B2320B"/>
    <w:rsid w:val="00B23C8E"/>
    <w:rsid w:val="00B24EB4"/>
    <w:rsid w:val="00B25222"/>
    <w:rsid w:val="00B2525B"/>
    <w:rsid w:val="00B271BB"/>
    <w:rsid w:val="00B3042E"/>
    <w:rsid w:val="00B314C9"/>
    <w:rsid w:val="00B325BE"/>
    <w:rsid w:val="00B32A38"/>
    <w:rsid w:val="00B330AE"/>
    <w:rsid w:val="00B33884"/>
    <w:rsid w:val="00B339CE"/>
    <w:rsid w:val="00B34052"/>
    <w:rsid w:val="00B34C69"/>
    <w:rsid w:val="00B35E30"/>
    <w:rsid w:val="00B364C3"/>
    <w:rsid w:val="00B37AA4"/>
    <w:rsid w:val="00B37AB7"/>
    <w:rsid w:val="00B40380"/>
    <w:rsid w:val="00B4053C"/>
    <w:rsid w:val="00B40847"/>
    <w:rsid w:val="00B42ECE"/>
    <w:rsid w:val="00B433C3"/>
    <w:rsid w:val="00B43A13"/>
    <w:rsid w:val="00B43C19"/>
    <w:rsid w:val="00B43F23"/>
    <w:rsid w:val="00B441A8"/>
    <w:rsid w:val="00B44282"/>
    <w:rsid w:val="00B44C5E"/>
    <w:rsid w:val="00B450F7"/>
    <w:rsid w:val="00B4515A"/>
    <w:rsid w:val="00B45E31"/>
    <w:rsid w:val="00B45F51"/>
    <w:rsid w:val="00B46902"/>
    <w:rsid w:val="00B501B4"/>
    <w:rsid w:val="00B5119E"/>
    <w:rsid w:val="00B516BA"/>
    <w:rsid w:val="00B534DD"/>
    <w:rsid w:val="00B5359F"/>
    <w:rsid w:val="00B535AF"/>
    <w:rsid w:val="00B53B88"/>
    <w:rsid w:val="00B53EB1"/>
    <w:rsid w:val="00B5448C"/>
    <w:rsid w:val="00B54FDF"/>
    <w:rsid w:val="00B558B9"/>
    <w:rsid w:val="00B55E74"/>
    <w:rsid w:val="00B5719E"/>
    <w:rsid w:val="00B60306"/>
    <w:rsid w:val="00B60344"/>
    <w:rsid w:val="00B60482"/>
    <w:rsid w:val="00B6048C"/>
    <w:rsid w:val="00B60BE8"/>
    <w:rsid w:val="00B6139C"/>
    <w:rsid w:val="00B6294A"/>
    <w:rsid w:val="00B62ED9"/>
    <w:rsid w:val="00B6327A"/>
    <w:rsid w:val="00B65BB3"/>
    <w:rsid w:val="00B663B4"/>
    <w:rsid w:val="00B66787"/>
    <w:rsid w:val="00B66CBA"/>
    <w:rsid w:val="00B67C1C"/>
    <w:rsid w:val="00B70EA5"/>
    <w:rsid w:val="00B715CF"/>
    <w:rsid w:val="00B71789"/>
    <w:rsid w:val="00B72115"/>
    <w:rsid w:val="00B72B81"/>
    <w:rsid w:val="00B72C7F"/>
    <w:rsid w:val="00B73081"/>
    <w:rsid w:val="00B73CEF"/>
    <w:rsid w:val="00B73D4B"/>
    <w:rsid w:val="00B74A37"/>
    <w:rsid w:val="00B765D7"/>
    <w:rsid w:val="00B7665C"/>
    <w:rsid w:val="00B770D9"/>
    <w:rsid w:val="00B80622"/>
    <w:rsid w:val="00B80871"/>
    <w:rsid w:val="00B81383"/>
    <w:rsid w:val="00B81CA7"/>
    <w:rsid w:val="00B82412"/>
    <w:rsid w:val="00B82D33"/>
    <w:rsid w:val="00B82E1E"/>
    <w:rsid w:val="00B83E05"/>
    <w:rsid w:val="00B83E3E"/>
    <w:rsid w:val="00B84645"/>
    <w:rsid w:val="00B84774"/>
    <w:rsid w:val="00B84D89"/>
    <w:rsid w:val="00B84FDF"/>
    <w:rsid w:val="00B86117"/>
    <w:rsid w:val="00B867E8"/>
    <w:rsid w:val="00B87014"/>
    <w:rsid w:val="00B871BF"/>
    <w:rsid w:val="00B905FC"/>
    <w:rsid w:val="00B917BD"/>
    <w:rsid w:val="00B91C07"/>
    <w:rsid w:val="00B92065"/>
    <w:rsid w:val="00B93402"/>
    <w:rsid w:val="00B934C9"/>
    <w:rsid w:val="00B935D9"/>
    <w:rsid w:val="00B93FAB"/>
    <w:rsid w:val="00B94039"/>
    <w:rsid w:val="00B94B76"/>
    <w:rsid w:val="00B9517B"/>
    <w:rsid w:val="00B95EE4"/>
    <w:rsid w:val="00B9629E"/>
    <w:rsid w:val="00B9630C"/>
    <w:rsid w:val="00B96377"/>
    <w:rsid w:val="00B97F1F"/>
    <w:rsid w:val="00BA04D3"/>
    <w:rsid w:val="00BA0BC1"/>
    <w:rsid w:val="00BA0DA0"/>
    <w:rsid w:val="00BA101B"/>
    <w:rsid w:val="00BA17F9"/>
    <w:rsid w:val="00BA19B0"/>
    <w:rsid w:val="00BA1F2A"/>
    <w:rsid w:val="00BA2520"/>
    <w:rsid w:val="00BA2730"/>
    <w:rsid w:val="00BA27D7"/>
    <w:rsid w:val="00BA37BB"/>
    <w:rsid w:val="00BA3DA8"/>
    <w:rsid w:val="00BA4F86"/>
    <w:rsid w:val="00BA5A95"/>
    <w:rsid w:val="00BA6099"/>
    <w:rsid w:val="00BA640D"/>
    <w:rsid w:val="00BA661F"/>
    <w:rsid w:val="00BA71D9"/>
    <w:rsid w:val="00BA78AF"/>
    <w:rsid w:val="00BB06D0"/>
    <w:rsid w:val="00BB0AB1"/>
    <w:rsid w:val="00BB0C65"/>
    <w:rsid w:val="00BB0F12"/>
    <w:rsid w:val="00BB1460"/>
    <w:rsid w:val="00BB15F2"/>
    <w:rsid w:val="00BB19F8"/>
    <w:rsid w:val="00BB1D7D"/>
    <w:rsid w:val="00BB2852"/>
    <w:rsid w:val="00BB3A7A"/>
    <w:rsid w:val="00BB3ABD"/>
    <w:rsid w:val="00BB3D7E"/>
    <w:rsid w:val="00BB48A9"/>
    <w:rsid w:val="00BB4F32"/>
    <w:rsid w:val="00BB4FBE"/>
    <w:rsid w:val="00BB5595"/>
    <w:rsid w:val="00BB5BE9"/>
    <w:rsid w:val="00BB5C07"/>
    <w:rsid w:val="00BB6C79"/>
    <w:rsid w:val="00BB776E"/>
    <w:rsid w:val="00BB79CC"/>
    <w:rsid w:val="00BC04B0"/>
    <w:rsid w:val="00BC0785"/>
    <w:rsid w:val="00BC07E6"/>
    <w:rsid w:val="00BC116E"/>
    <w:rsid w:val="00BC2CA0"/>
    <w:rsid w:val="00BC2F27"/>
    <w:rsid w:val="00BC40D0"/>
    <w:rsid w:val="00BC434D"/>
    <w:rsid w:val="00BC6C9E"/>
    <w:rsid w:val="00BC71F2"/>
    <w:rsid w:val="00BC76E3"/>
    <w:rsid w:val="00BC7D6E"/>
    <w:rsid w:val="00BD062E"/>
    <w:rsid w:val="00BD0A70"/>
    <w:rsid w:val="00BD0B43"/>
    <w:rsid w:val="00BD0FE8"/>
    <w:rsid w:val="00BD1078"/>
    <w:rsid w:val="00BD1C26"/>
    <w:rsid w:val="00BD1FF0"/>
    <w:rsid w:val="00BD2098"/>
    <w:rsid w:val="00BD2348"/>
    <w:rsid w:val="00BD2A16"/>
    <w:rsid w:val="00BD2B14"/>
    <w:rsid w:val="00BD3D10"/>
    <w:rsid w:val="00BD3F74"/>
    <w:rsid w:val="00BD44B9"/>
    <w:rsid w:val="00BD476B"/>
    <w:rsid w:val="00BD518D"/>
    <w:rsid w:val="00BD5D5C"/>
    <w:rsid w:val="00BD68D2"/>
    <w:rsid w:val="00BD6DB7"/>
    <w:rsid w:val="00BE089B"/>
    <w:rsid w:val="00BE13BC"/>
    <w:rsid w:val="00BE25BE"/>
    <w:rsid w:val="00BE2AD7"/>
    <w:rsid w:val="00BE3036"/>
    <w:rsid w:val="00BE39B2"/>
    <w:rsid w:val="00BE3F93"/>
    <w:rsid w:val="00BE4175"/>
    <w:rsid w:val="00BE422D"/>
    <w:rsid w:val="00BE49C8"/>
    <w:rsid w:val="00BE4A40"/>
    <w:rsid w:val="00BE5C77"/>
    <w:rsid w:val="00BE6BFC"/>
    <w:rsid w:val="00BE6F2C"/>
    <w:rsid w:val="00BE7006"/>
    <w:rsid w:val="00BE733C"/>
    <w:rsid w:val="00BE7696"/>
    <w:rsid w:val="00BF01E6"/>
    <w:rsid w:val="00BF0617"/>
    <w:rsid w:val="00BF2BF3"/>
    <w:rsid w:val="00BF2C15"/>
    <w:rsid w:val="00BF3C70"/>
    <w:rsid w:val="00BF3C7A"/>
    <w:rsid w:val="00BF4691"/>
    <w:rsid w:val="00BF4700"/>
    <w:rsid w:val="00BF4BAF"/>
    <w:rsid w:val="00BF5B43"/>
    <w:rsid w:val="00BF7403"/>
    <w:rsid w:val="00C00CD2"/>
    <w:rsid w:val="00C0136F"/>
    <w:rsid w:val="00C01640"/>
    <w:rsid w:val="00C02411"/>
    <w:rsid w:val="00C0258D"/>
    <w:rsid w:val="00C02C09"/>
    <w:rsid w:val="00C03A74"/>
    <w:rsid w:val="00C04AFD"/>
    <w:rsid w:val="00C04B73"/>
    <w:rsid w:val="00C04FFA"/>
    <w:rsid w:val="00C0684D"/>
    <w:rsid w:val="00C1080E"/>
    <w:rsid w:val="00C10860"/>
    <w:rsid w:val="00C10D38"/>
    <w:rsid w:val="00C10EC5"/>
    <w:rsid w:val="00C1138D"/>
    <w:rsid w:val="00C11A03"/>
    <w:rsid w:val="00C12116"/>
    <w:rsid w:val="00C12D56"/>
    <w:rsid w:val="00C13EB6"/>
    <w:rsid w:val="00C13FA8"/>
    <w:rsid w:val="00C150D3"/>
    <w:rsid w:val="00C1662C"/>
    <w:rsid w:val="00C16A5B"/>
    <w:rsid w:val="00C16BB7"/>
    <w:rsid w:val="00C16CA4"/>
    <w:rsid w:val="00C16F19"/>
    <w:rsid w:val="00C17382"/>
    <w:rsid w:val="00C20870"/>
    <w:rsid w:val="00C20C24"/>
    <w:rsid w:val="00C2170E"/>
    <w:rsid w:val="00C21EFD"/>
    <w:rsid w:val="00C22400"/>
    <w:rsid w:val="00C234AF"/>
    <w:rsid w:val="00C23639"/>
    <w:rsid w:val="00C239C7"/>
    <w:rsid w:val="00C23D39"/>
    <w:rsid w:val="00C240F4"/>
    <w:rsid w:val="00C2476D"/>
    <w:rsid w:val="00C25B6E"/>
    <w:rsid w:val="00C25B79"/>
    <w:rsid w:val="00C26409"/>
    <w:rsid w:val="00C26901"/>
    <w:rsid w:val="00C30339"/>
    <w:rsid w:val="00C30923"/>
    <w:rsid w:val="00C30CCC"/>
    <w:rsid w:val="00C325DF"/>
    <w:rsid w:val="00C32A64"/>
    <w:rsid w:val="00C32A7E"/>
    <w:rsid w:val="00C32BA3"/>
    <w:rsid w:val="00C32D51"/>
    <w:rsid w:val="00C3352D"/>
    <w:rsid w:val="00C3384D"/>
    <w:rsid w:val="00C33C2D"/>
    <w:rsid w:val="00C34234"/>
    <w:rsid w:val="00C35328"/>
    <w:rsid w:val="00C35587"/>
    <w:rsid w:val="00C355C1"/>
    <w:rsid w:val="00C3562E"/>
    <w:rsid w:val="00C356F1"/>
    <w:rsid w:val="00C35B76"/>
    <w:rsid w:val="00C35F96"/>
    <w:rsid w:val="00C36182"/>
    <w:rsid w:val="00C36424"/>
    <w:rsid w:val="00C36DBA"/>
    <w:rsid w:val="00C37405"/>
    <w:rsid w:val="00C37514"/>
    <w:rsid w:val="00C40087"/>
    <w:rsid w:val="00C4075E"/>
    <w:rsid w:val="00C40869"/>
    <w:rsid w:val="00C40EBC"/>
    <w:rsid w:val="00C41587"/>
    <w:rsid w:val="00C41699"/>
    <w:rsid w:val="00C42D41"/>
    <w:rsid w:val="00C431FC"/>
    <w:rsid w:val="00C43272"/>
    <w:rsid w:val="00C4358A"/>
    <w:rsid w:val="00C439D9"/>
    <w:rsid w:val="00C44940"/>
    <w:rsid w:val="00C44AFF"/>
    <w:rsid w:val="00C451C3"/>
    <w:rsid w:val="00C45D48"/>
    <w:rsid w:val="00C462CA"/>
    <w:rsid w:val="00C468A9"/>
    <w:rsid w:val="00C4718D"/>
    <w:rsid w:val="00C47935"/>
    <w:rsid w:val="00C47A5E"/>
    <w:rsid w:val="00C5021F"/>
    <w:rsid w:val="00C502F9"/>
    <w:rsid w:val="00C50F0B"/>
    <w:rsid w:val="00C51DC8"/>
    <w:rsid w:val="00C521A1"/>
    <w:rsid w:val="00C522CE"/>
    <w:rsid w:val="00C532C7"/>
    <w:rsid w:val="00C53421"/>
    <w:rsid w:val="00C53757"/>
    <w:rsid w:val="00C53980"/>
    <w:rsid w:val="00C540C6"/>
    <w:rsid w:val="00C54528"/>
    <w:rsid w:val="00C54574"/>
    <w:rsid w:val="00C55294"/>
    <w:rsid w:val="00C55419"/>
    <w:rsid w:val="00C55C87"/>
    <w:rsid w:val="00C57165"/>
    <w:rsid w:val="00C57B42"/>
    <w:rsid w:val="00C60561"/>
    <w:rsid w:val="00C60E97"/>
    <w:rsid w:val="00C60F3B"/>
    <w:rsid w:val="00C61635"/>
    <w:rsid w:val="00C63510"/>
    <w:rsid w:val="00C635C2"/>
    <w:rsid w:val="00C64D86"/>
    <w:rsid w:val="00C66249"/>
    <w:rsid w:val="00C66585"/>
    <w:rsid w:val="00C668B7"/>
    <w:rsid w:val="00C67040"/>
    <w:rsid w:val="00C67258"/>
    <w:rsid w:val="00C67281"/>
    <w:rsid w:val="00C67B90"/>
    <w:rsid w:val="00C67EC5"/>
    <w:rsid w:val="00C704F6"/>
    <w:rsid w:val="00C70946"/>
    <w:rsid w:val="00C71C65"/>
    <w:rsid w:val="00C71D58"/>
    <w:rsid w:val="00C72546"/>
    <w:rsid w:val="00C725A9"/>
    <w:rsid w:val="00C7273C"/>
    <w:rsid w:val="00C7584B"/>
    <w:rsid w:val="00C75C32"/>
    <w:rsid w:val="00C76327"/>
    <w:rsid w:val="00C76BC3"/>
    <w:rsid w:val="00C76E40"/>
    <w:rsid w:val="00C773E2"/>
    <w:rsid w:val="00C80597"/>
    <w:rsid w:val="00C806EB"/>
    <w:rsid w:val="00C82067"/>
    <w:rsid w:val="00C82448"/>
    <w:rsid w:val="00C825DB"/>
    <w:rsid w:val="00C829BD"/>
    <w:rsid w:val="00C829E5"/>
    <w:rsid w:val="00C82B89"/>
    <w:rsid w:val="00C82C34"/>
    <w:rsid w:val="00C82E12"/>
    <w:rsid w:val="00C8381E"/>
    <w:rsid w:val="00C847C0"/>
    <w:rsid w:val="00C850F7"/>
    <w:rsid w:val="00C85254"/>
    <w:rsid w:val="00C85CDF"/>
    <w:rsid w:val="00C85DE8"/>
    <w:rsid w:val="00C85E72"/>
    <w:rsid w:val="00C86A01"/>
    <w:rsid w:val="00C86AB2"/>
    <w:rsid w:val="00C86B7F"/>
    <w:rsid w:val="00C8716E"/>
    <w:rsid w:val="00C90071"/>
    <w:rsid w:val="00C900D6"/>
    <w:rsid w:val="00C9060A"/>
    <w:rsid w:val="00C912FD"/>
    <w:rsid w:val="00C914E4"/>
    <w:rsid w:val="00C9208E"/>
    <w:rsid w:val="00C92196"/>
    <w:rsid w:val="00C92426"/>
    <w:rsid w:val="00C92738"/>
    <w:rsid w:val="00C927AD"/>
    <w:rsid w:val="00C93CF2"/>
    <w:rsid w:val="00C941FE"/>
    <w:rsid w:val="00C9428D"/>
    <w:rsid w:val="00C94433"/>
    <w:rsid w:val="00C9492A"/>
    <w:rsid w:val="00C94F8E"/>
    <w:rsid w:val="00C94F98"/>
    <w:rsid w:val="00C95E18"/>
    <w:rsid w:val="00C96397"/>
    <w:rsid w:val="00C970C7"/>
    <w:rsid w:val="00C974B1"/>
    <w:rsid w:val="00CA05AD"/>
    <w:rsid w:val="00CA0625"/>
    <w:rsid w:val="00CA0998"/>
    <w:rsid w:val="00CA16C0"/>
    <w:rsid w:val="00CA17FF"/>
    <w:rsid w:val="00CA1BF4"/>
    <w:rsid w:val="00CA2359"/>
    <w:rsid w:val="00CA256E"/>
    <w:rsid w:val="00CA2AA0"/>
    <w:rsid w:val="00CA38EA"/>
    <w:rsid w:val="00CA39AF"/>
    <w:rsid w:val="00CA3BDA"/>
    <w:rsid w:val="00CA55DC"/>
    <w:rsid w:val="00CA5C8E"/>
    <w:rsid w:val="00CA5CAC"/>
    <w:rsid w:val="00CA70BE"/>
    <w:rsid w:val="00CA7800"/>
    <w:rsid w:val="00CA7976"/>
    <w:rsid w:val="00CA7B52"/>
    <w:rsid w:val="00CB00E5"/>
    <w:rsid w:val="00CB0A05"/>
    <w:rsid w:val="00CB0C4F"/>
    <w:rsid w:val="00CB10EA"/>
    <w:rsid w:val="00CB1377"/>
    <w:rsid w:val="00CB1553"/>
    <w:rsid w:val="00CB1989"/>
    <w:rsid w:val="00CB1A9D"/>
    <w:rsid w:val="00CB35D4"/>
    <w:rsid w:val="00CB3632"/>
    <w:rsid w:val="00CB3BA1"/>
    <w:rsid w:val="00CB4272"/>
    <w:rsid w:val="00CB4BDF"/>
    <w:rsid w:val="00CB5893"/>
    <w:rsid w:val="00CB58BA"/>
    <w:rsid w:val="00CB620D"/>
    <w:rsid w:val="00CB631B"/>
    <w:rsid w:val="00CB67A1"/>
    <w:rsid w:val="00CB6A9D"/>
    <w:rsid w:val="00CB6AF0"/>
    <w:rsid w:val="00CB727C"/>
    <w:rsid w:val="00CB76F6"/>
    <w:rsid w:val="00CC03A3"/>
    <w:rsid w:val="00CC0C20"/>
    <w:rsid w:val="00CC0F33"/>
    <w:rsid w:val="00CC117A"/>
    <w:rsid w:val="00CC1A1C"/>
    <w:rsid w:val="00CC218A"/>
    <w:rsid w:val="00CC2602"/>
    <w:rsid w:val="00CC4D1D"/>
    <w:rsid w:val="00CC574C"/>
    <w:rsid w:val="00CC6309"/>
    <w:rsid w:val="00CC659D"/>
    <w:rsid w:val="00CC66DC"/>
    <w:rsid w:val="00CD00FD"/>
    <w:rsid w:val="00CD021C"/>
    <w:rsid w:val="00CD04B7"/>
    <w:rsid w:val="00CD09F7"/>
    <w:rsid w:val="00CD135A"/>
    <w:rsid w:val="00CD1E54"/>
    <w:rsid w:val="00CD24B3"/>
    <w:rsid w:val="00CD2D8A"/>
    <w:rsid w:val="00CD3B5E"/>
    <w:rsid w:val="00CD3D85"/>
    <w:rsid w:val="00CD4925"/>
    <w:rsid w:val="00CD4B56"/>
    <w:rsid w:val="00CD56E6"/>
    <w:rsid w:val="00CD5AE5"/>
    <w:rsid w:val="00CD5FE3"/>
    <w:rsid w:val="00CD6468"/>
    <w:rsid w:val="00CD69A6"/>
    <w:rsid w:val="00CD6BD2"/>
    <w:rsid w:val="00CD6FA8"/>
    <w:rsid w:val="00CD71DD"/>
    <w:rsid w:val="00CE0321"/>
    <w:rsid w:val="00CE0BB8"/>
    <w:rsid w:val="00CE139B"/>
    <w:rsid w:val="00CE147E"/>
    <w:rsid w:val="00CE1C33"/>
    <w:rsid w:val="00CE3007"/>
    <w:rsid w:val="00CE35F5"/>
    <w:rsid w:val="00CE3743"/>
    <w:rsid w:val="00CE3C59"/>
    <w:rsid w:val="00CE3F65"/>
    <w:rsid w:val="00CE4982"/>
    <w:rsid w:val="00CE5159"/>
    <w:rsid w:val="00CE54B5"/>
    <w:rsid w:val="00CE676B"/>
    <w:rsid w:val="00CE6EB7"/>
    <w:rsid w:val="00CE7B2D"/>
    <w:rsid w:val="00CF0016"/>
    <w:rsid w:val="00CF1117"/>
    <w:rsid w:val="00CF1A07"/>
    <w:rsid w:val="00CF506D"/>
    <w:rsid w:val="00CF68F2"/>
    <w:rsid w:val="00CF71F0"/>
    <w:rsid w:val="00CF77C8"/>
    <w:rsid w:val="00CF7944"/>
    <w:rsid w:val="00D00632"/>
    <w:rsid w:val="00D009DC"/>
    <w:rsid w:val="00D01318"/>
    <w:rsid w:val="00D0167D"/>
    <w:rsid w:val="00D01E48"/>
    <w:rsid w:val="00D027D5"/>
    <w:rsid w:val="00D027E8"/>
    <w:rsid w:val="00D03651"/>
    <w:rsid w:val="00D03F0C"/>
    <w:rsid w:val="00D04C91"/>
    <w:rsid w:val="00D052B9"/>
    <w:rsid w:val="00D05D42"/>
    <w:rsid w:val="00D05DE5"/>
    <w:rsid w:val="00D06898"/>
    <w:rsid w:val="00D06E10"/>
    <w:rsid w:val="00D07061"/>
    <w:rsid w:val="00D07098"/>
    <w:rsid w:val="00D070B4"/>
    <w:rsid w:val="00D07FFD"/>
    <w:rsid w:val="00D10497"/>
    <w:rsid w:val="00D10B2C"/>
    <w:rsid w:val="00D10D1A"/>
    <w:rsid w:val="00D12306"/>
    <w:rsid w:val="00D126BB"/>
    <w:rsid w:val="00D128B1"/>
    <w:rsid w:val="00D12990"/>
    <w:rsid w:val="00D12DCC"/>
    <w:rsid w:val="00D148FF"/>
    <w:rsid w:val="00D15AFE"/>
    <w:rsid w:val="00D175E2"/>
    <w:rsid w:val="00D2048E"/>
    <w:rsid w:val="00D20FC2"/>
    <w:rsid w:val="00D22038"/>
    <w:rsid w:val="00D22513"/>
    <w:rsid w:val="00D22518"/>
    <w:rsid w:val="00D22A23"/>
    <w:rsid w:val="00D22CF2"/>
    <w:rsid w:val="00D22DFB"/>
    <w:rsid w:val="00D23851"/>
    <w:rsid w:val="00D241E0"/>
    <w:rsid w:val="00D24685"/>
    <w:rsid w:val="00D24951"/>
    <w:rsid w:val="00D24F5E"/>
    <w:rsid w:val="00D269DD"/>
    <w:rsid w:val="00D2736E"/>
    <w:rsid w:val="00D273E5"/>
    <w:rsid w:val="00D2787A"/>
    <w:rsid w:val="00D27FDD"/>
    <w:rsid w:val="00D301A7"/>
    <w:rsid w:val="00D30250"/>
    <w:rsid w:val="00D310C5"/>
    <w:rsid w:val="00D3266E"/>
    <w:rsid w:val="00D3276A"/>
    <w:rsid w:val="00D3348A"/>
    <w:rsid w:val="00D3475B"/>
    <w:rsid w:val="00D34A7C"/>
    <w:rsid w:val="00D34CF6"/>
    <w:rsid w:val="00D37D36"/>
    <w:rsid w:val="00D40230"/>
    <w:rsid w:val="00D403BF"/>
    <w:rsid w:val="00D40D17"/>
    <w:rsid w:val="00D40FC1"/>
    <w:rsid w:val="00D41256"/>
    <w:rsid w:val="00D41415"/>
    <w:rsid w:val="00D41C0C"/>
    <w:rsid w:val="00D41D2A"/>
    <w:rsid w:val="00D4252D"/>
    <w:rsid w:val="00D42D81"/>
    <w:rsid w:val="00D4331E"/>
    <w:rsid w:val="00D444C7"/>
    <w:rsid w:val="00D44969"/>
    <w:rsid w:val="00D44D16"/>
    <w:rsid w:val="00D4517F"/>
    <w:rsid w:val="00D4562A"/>
    <w:rsid w:val="00D458B6"/>
    <w:rsid w:val="00D45B05"/>
    <w:rsid w:val="00D45CE8"/>
    <w:rsid w:val="00D45E68"/>
    <w:rsid w:val="00D4607A"/>
    <w:rsid w:val="00D464EE"/>
    <w:rsid w:val="00D46928"/>
    <w:rsid w:val="00D46F89"/>
    <w:rsid w:val="00D4782A"/>
    <w:rsid w:val="00D500EB"/>
    <w:rsid w:val="00D5037E"/>
    <w:rsid w:val="00D50794"/>
    <w:rsid w:val="00D50D11"/>
    <w:rsid w:val="00D51CA8"/>
    <w:rsid w:val="00D52C35"/>
    <w:rsid w:val="00D5351F"/>
    <w:rsid w:val="00D53861"/>
    <w:rsid w:val="00D5423C"/>
    <w:rsid w:val="00D5550C"/>
    <w:rsid w:val="00D55EA2"/>
    <w:rsid w:val="00D5633C"/>
    <w:rsid w:val="00D6008F"/>
    <w:rsid w:val="00D60D81"/>
    <w:rsid w:val="00D614B8"/>
    <w:rsid w:val="00D621D9"/>
    <w:rsid w:val="00D624A9"/>
    <w:rsid w:val="00D62C5E"/>
    <w:rsid w:val="00D62C94"/>
    <w:rsid w:val="00D633B6"/>
    <w:rsid w:val="00D633E6"/>
    <w:rsid w:val="00D6355C"/>
    <w:rsid w:val="00D63E3B"/>
    <w:rsid w:val="00D64866"/>
    <w:rsid w:val="00D64A43"/>
    <w:rsid w:val="00D64DFF"/>
    <w:rsid w:val="00D65C80"/>
    <w:rsid w:val="00D66504"/>
    <w:rsid w:val="00D66862"/>
    <w:rsid w:val="00D66B4D"/>
    <w:rsid w:val="00D670A8"/>
    <w:rsid w:val="00D67974"/>
    <w:rsid w:val="00D7011D"/>
    <w:rsid w:val="00D708C5"/>
    <w:rsid w:val="00D70D24"/>
    <w:rsid w:val="00D70E85"/>
    <w:rsid w:val="00D7140E"/>
    <w:rsid w:val="00D71447"/>
    <w:rsid w:val="00D71B64"/>
    <w:rsid w:val="00D7242F"/>
    <w:rsid w:val="00D72833"/>
    <w:rsid w:val="00D729BE"/>
    <w:rsid w:val="00D72D47"/>
    <w:rsid w:val="00D72E43"/>
    <w:rsid w:val="00D733E6"/>
    <w:rsid w:val="00D73C4F"/>
    <w:rsid w:val="00D73DDE"/>
    <w:rsid w:val="00D742A4"/>
    <w:rsid w:val="00D74957"/>
    <w:rsid w:val="00D74C6E"/>
    <w:rsid w:val="00D7510F"/>
    <w:rsid w:val="00D755FC"/>
    <w:rsid w:val="00D75BA9"/>
    <w:rsid w:val="00D7651E"/>
    <w:rsid w:val="00D76588"/>
    <w:rsid w:val="00D7673F"/>
    <w:rsid w:val="00D7778A"/>
    <w:rsid w:val="00D808F9"/>
    <w:rsid w:val="00D80F4F"/>
    <w:rsid w:val="00D81F81"/>
    <w:rsid w:val="00D82441"/>
    <w:rsid w:val="00D8392E"/>
    <w:rsid w:val="00D83D2D"/>
    <w:rsid w:val="00D84218"/>
    <w:rsid w:val="00D84278"/>
    <w:rsid w:val="00D84672"/>
    <w:rsid w:val="00D851E6"/>
    <w:rsid w:val="00D85B9A"/>
    <w:rsid w:val="00D85F9A"/>
    <w:rsid w:val="00D865E7"/>
    <w:rsid w:val="00D86894"/>
    <w:rsid w:val="00D86A8D"/>
    <w:rsid w:val="00D90ED6"/>
    <w:rsid w:val="00D92588"/>
    <w:rsid w:val="00D92A7F"/>
    <w:rsid w:val="00D92B2D"/>
    <w:rsid w:val="00D9455D"/>
    <w:rsid w:val="00D945BF"/>
    <w:rsid w:val="00D94DCE"/>
    <w:rsid w:val="00D95197"/>
    <w:rsid w:val="00D95453"/>
    <w:rsid w:val="00D95709"/>
    <w:rsid w:val="00D96914"/>
    <w:rsid w:val="00D97A52"/>
    <w:rsid w:val="00DA0A44"/>
    <w:rsid w:val="00DA0BA6"/>
    <w:rsid w:val="00DA130E"/>
    <w:rsid w:val="00DA1395"/>
    <w:rsid w:val="00DA1667"/>
    <w:rsid w:val="00DA24B9"/>
    <w:rsid w:val="00DA3614"/>
    <w:rsid w:val="00DA3C6C"/>
    <w:rsid w:val="00DA3F6C"/>
    <w:rsid w:val="00DA47E7"/>
    <w:rsid w:val="00DA54BA"/>
    <w:rsid w:val="00DA5657"/>
    <w:rsid w:val="00DA646A"/>
    <w:rsid w:val="00DA649D"/>
    <w:rsid w:val="00DA794B"/>
    <w:rsid w:val="00DB060C"/>
    <w:rsid w:val="00DB1E75"/>
    <w:rsid w:val="00DB1FF9"/>
    <w:rsid w:val="00DB2274"/>
    <w:rsid w:val="00DB2547"/>
    <w:rsid w:val="00DB2880"/>
    <w:rsid w:val="00DB35F0"/>
    <w:rsid w:val="00DB3790"/>
    <w:rsid w:val="00DB3F86"/>
    <w:rsid w:val="00DB46BD"/>
    <w:rsid w:val="00DB4778"/>
    <w:rsid w:val="00DB4A2D"/>
    <w:rsid w:val="00DB4F3C"/>
    <w:rsid w:val="00DB4FC6"/>
    <w:rsid w:val="00DB52CD"/>
    <w:rsid w:val="00DB5BF0"/>
    <w:rsid w:val="00DB5D92"/>
    <w:rsid w:val="00DC1B8A"/>
    <w:rsid w:val="00DC1F80"/>
    <w:rsid w:val="00DC269A"/>
    <w:rsid w:val="00DC2ABF"/>
    <w:rsid w:val="00DC318C"/>
    <w:rsid w:val="00DC3D4F"/>
    <w:rsid w:val="00DC43BB"/>
    <w:rsid w:val="00DC4996"/>
    <w:rsid w:val="00DC505A"/>
    <w:rsid w:val="00DC52D3"/>
    <w:rsid w:val="00DC611A"/>
    <w:rsid w:val="00DC6133"/>
    <w:rsid w:val="00DC7200"/>
    <w:rsid w:val="00DC745B"/>
    <w:rsid w:val="00DC7652"/>
    <w:rsid w:val="00DC79DF"/>
    <w:rsid w:val="00DD0563"/>
    <w:rsid w:val="00DD0D7C"/>
    <w:rsid w:val="00DD20E6"/>
    <w:rsid w:val="00DD29C4"/>
    <w:rsid w:val="00DD2B50"/>
    <w:rsid w:val="00DD2C33"/>
    <w:rsid w:val="00DD2F04"/>
    <w:rsid w:val="00DD3482"/>
    <w:rsid w:val="00DD3AC0"/>
    <w:rsid w:val="00DD44C1"/>
    <w:rsid w:val="00DD53A3"/>
    <w:rsid w:val="00DD55BA"/>
    <w:rsid w:val="00DD6804"/>
    <w:rsid w:val="00DD6ADC"/>
    <w:rsid w:val="00DD7594"/>
    <w:rsid w:val="00DD785F"/>
    <w:rsid w:val="00DD7D0C"/>
    <w:rsid w:val="00DD7D0F"/>
    <w:rsid w:val="00DD7F8B"/>
    <w:rsid w:val="00DE0330"/>
    <w:rsid w:val="00DE03DB"/>
    <w:rsid w:val="00DE0EB2"/>
    <w:rsid w:val="00DE1057"/>
    <w:rsid w:val="00DE1575"/>
    <w:rsid w:val="00DE19D1"/>
    <w:rsid w:val="00DE1ABB"/>
    <w:rsid w:val="00DE313A"/>
    <w:rsid w:val="00DE3258"/>
    <w:rsid w:val="00DE3AC4"/>
    <w:rsid w:val="00DE527D"/>
    <w:rsid w:val="00DE52D7"/>
    <w:rsid w:val="00DE57BD"/>
    <w:rsid w:val="00DE727C"/>
    <w:rsid w:val="00DE731F"/>
    <w:rsid w:val="00DE7553"/>
    <w:rsid w:val="00DE79A2"/>
    <w:rsid w:val="00DF0163"/>
    <w:rsid w:val="00DF031D"/>
    <w:rsid w:val="00DF0522"/>
    <w:rsid w:val="00DF0CC4"/>
    <w:rsid w:val="00DF1677"/>
    <w:rsid w:val="00DF3BF1"/>
    <w:rsid w:val="00DF4DEB"/>
    <w:rsid w:val="00DF5372"/>
    <w:rsid w:val="00DF555D"/>
    <w:rsid w:val="00DF5FBD"/>
    <w:rsid w:val="00DF60EE"/>
    <w:rsid w:val="00DF630C"/>
    <w:rsid w:val="00DF6381"/>
    <w:rsid w:val="00DF6985"/>
    <w:rsid w:val="00DF7E86"/>
    <w:rsid w:val="00DF7F6E"/>
    <w:rsid w:val="00E0017F"/>
    <w:rsid w:val="00E003CC"/>
    <w:rsid w:val="00E003F0"/>
    <w:rsid w:val="00E004E9"/>
    <w:rsid w:val="00E00CC8"/>
    <w:rsid w:val="00E00DDA"/>
    <w:rsid w:val="00E01648"/>
    <w:rsid w:val="00E01C1E"/>
    <w:rsid w:val="00E02548"/>
    <w:rsid w:val="00E025FF"/>
    <w:rsid w:val="00E02664"/>
    <w:rsid w:val="00E02773"/>
    <w:rsid w:val="00E028E2"/>
    <w:rsid w:val="00E03E4D"/>
    <w:rsid w:val="00E04051"/>
    <w:rsid w:val="00E048A2"/>
    <w:rsid w:val="00E05A0F"/>
    <w:rsid w:val="00E05B45"/>
    <w:rsid w:val="00E07119"/>
    <w:rsid w:val="00E07D32"/>
    <w:rsid w:val="00E11A41"/>
    <w:rsid w:val="00E11B5C"/>
    <w:rsid w:val="00E12755"/>
    <w:rsid w:val="00E12ED9"/>
    <w:rsid w:val="00E13AD9"/>
    <w:rsid w:val="00E13BC7"/>
    <w:rsid w:val="00E14F9A"/>
    <w:rsid w:val="00E150A6"/>
    <w:rsid w:val="00E15D41"/>
    <w:rsid w:val="00E16405"/>
    <w:rsid w:val="00E16C7E"/>
    <w:rsid w:val="00E1738D"/>
    <w:rsid w:val="00E17CD1"/>
    <w:rsid w:val="00E21B4D"/>
    <w:rsid w:val="00E21DA2"/>
    <w:rsid w:val="00E2203B"/>
    <w:rsid w:val="00E238A3"/>
    <w:rsid w:val="00E241BC"/>
    <w:rsid w:val="00E24B91"/>
    <w:rsid w:val="00E2531E"/>
    <w:rsid w:val="00E257D7"/>
    <w:rsid w:val="00E25C8F"/>
    <w:rsid w:val="00E25D38"/>
    <w:rsid w:val="00E2607E"/>
    <w:rsid w:val="00E27DA1"/>
    <w:rsid w:val="00E27DA2"/>
    <w:rsid w:val="00E30B61"/>
    <w:rsid w:val="00E32137"/>
    <w:rsid w:val="00E3337C"/>
    <w:rsid w:val="00E3532E"/>
    <w:rsid w:val="00E36203"/>
    <w:rsid w:val="00E3754D"/>
    <w:rsid w:val="00E376BC"/>
    <w:rsid w:val="00E37A5D"/>
    <w:rsid w:val="00E37D2F"/>
    <w:rsid w:val="00E37D9C"/>
    <w:rsid w:val="00E40364"/>
    <w:rsid w:val="00E40B8B"/>
    <w:rsid w:val="00E40CD2"/>
    <w:rsid w:val="00E417B8"/>
    <w:rsid w:val="00E4185B"/>
    <w:rsid w:val="00E418C0"/>
    <w:rsid w:val="00E41FE7"/>
    <w:rsid w:val="00E420EA"/>
    <w:rsid w:val="00E425BC"/>
    <w:rsid w:val="00E42A91"/>
    <w:rsid w:val="00E43B9E"/>
    <w:rsid w:val="00E449C9"/>
    <w:rsid w:val="00E44B69"/>
    <w:rsid w:val="00E45439"/>
    <w:rsid w:val="00E45595"/>
    <w:rsid w:val="00E46682"/>
    <w:rsid w:val="00E46A99"/>
    <w:rsid w:val="00E47F74"/>
    <w:rsid w:val="00E47FF2"/>
    <w:rsid w:val="00E504F1"/>
    <w:rsid w:val="00E50691"/>
    <w:rsid w:val="00E50AA3"/>
    <w:rsid w:val="00E51289"/>
    <w:rsid w:val="00E519E5"/>
    <w:rsid w:val="00E51D5D"/>
    <w:rsid w:val="00E52537"/>
    <w:rsid w:val="00E527C9"/>
    <w:rsid w:val="00E52D09"/>
    <w:rsid w:val="00E53587"/>
    <w:rsid w:val="00E53625"/>
    <w:rsid w:val="00E53658"/>
    <w:rsid w:val="00E5365A"/>
    <w:rsid w:val="00E53D04"/>
    <w:rsid w:val="00E5409F"/>
    <w:rsid w:val="00E54522"/>
    <w:rsid w:val="00E548A3"/>
    <w:rsid w:val="00E55AE8"/>
    <w:rsid w:val="00E55AFB"/>
    <w:rsid w:val="00E5686A"/>
    <w:rsid w:val="00E57232"/>
    <w:rsid w:val="00E5758A"/>
    <w:rsid w:val="00E60702"/>
    <w:rsid w:val="00E60FCC"/>
    <w:rsid w:val="00E6167E"/>
    <w:rsid w:val="00E62430"/>
    <w:rsid w:val="00E62E8C"/>
    <w:rsid w:val="00E6356E"/>
    <w:rsid w:val="00E6584F"/>
    <w:rsid w:val="00E664F8"/>
    <w:rsid w:val="00E668CA"/>
    <w:rsid w:val="00E66BCC"/>
    <w:rsid w:val="00E67312"/>
    <w:rsid w:val="00E67679"/>
    <w:rsid w:val="00E6774D"/>
    <w:rsid w:val="00E67BA8"/>
    <w:rsid w:val="00E7180B"/>
    <w:rsid w:val="00E71E8F"/>
    <w:rsid w:val="00E723EE"/>
    <w:rsid w:val="00E72B0B"/>
    <w:rsid w:val="00E73010"/>
    <w:rsid w:val="00E74019"/>
    <w:rsid w:val="00E7414A"/>
    <w:rsid w:val="00E743F7"/>
    <w:rsid w:val="00E74CF4"/>
    <w:rsid w:val="00E74DF2"/>
    <w:rsid w:val="00E751B5"/>
    <w:rsid w:val="00E75D17"/>
    <w:rsid w:val="00E768B2"/>
    <w:rsid w:val="00E770E9"/>
    <w:rsid w:val="00E774C9"/>
    <w:rsid w:val="00E802FB"/>
    <w:rsid w:val="00E82D12"/>
    <w:rsid w:val="00E83CA2"/>
    <w:rsid w:val="00E84AFA"/>
    <w:rsid w:val="00E85B9E"/>
    <w:rsid w:val="00E86082"/>
    <w:rsid w:val="00E861C6"/>
    <w:rsid w:val="00E87609"/>
    <w:rsid w:val="00E87D5B"/>
    <w:rsid w:val="00E900EA"/>
    <w:rsid w:val="00E91013"/>
    <w:rsid w:val="00E912E8"/>
    <w:rsid w:val="00E9134E"/>
    <w:rsid w:val="00E914E8"/>
    <w:rsid w:val="00E92741"/>
    <w:rsid w:val="00E92C6E"/>
    <w:rsid w:val="00E92F46"/>
    <w:rsid w:val="00E934E6"/>
    <w:rsid w:val="00E94710"/>
    <w:rsid w:val="00E94724"/>
    <w:rsid w:val="00E94E09"/>
    <w:rsid w:val="00E94EAB"/>
    <w:rsid w:val="00E94EC9"/>
    <w:rsid w:val="00E95806"/>
    <w:rsid w:val="00E959AC"/>
    <w:rsid w:val="00E95C98"/>
    <w:rsid w:val="00E9655C"/>
    <w:rsid w:val="00E96EFD"/>
    <w:rsid w:val="00E97053"/>
    <w:rsid w:val="00E9730B"/>
    <w:rsid w:val="00E97B05"/>
    <w:rsid w:val="00E97E2E"/>
    <w:rsid w:val="00EA0519"/>
    <w:rsid w:val="00EA0C82"/>
    <w:rsid w:val="00EA102C"/>
    <w:rsid w:val="00EA1142"/>
    <w:rsid w:val="00EA238F"/>
    <w:rsid w:val="00EA375D"/>
    <w:rsid w:val="00EA44FE"/>
    <w:rsid w:val="00EA485D"/>
    <w:rsid w:val="00EA49E0"/>
    <w:rsid w:val="00EA585F"/>
    <w:rsid w:val="00EA5ABD"/>
    <w:rsid w:val="00EA5D1E"/>
    <w:rsid w:val="00EA778C"/>
    <w:rsid w:val="00EA79BE"/>
    <w:rsid w:val="00EA7B8C"/>
    <w:rsid w:val="00EB05B2"/>
    <w:rsid w:val="00EB12BD"/>
    <w:rsid w:val="00EB13F8"/>
    <w:rsid w:val="00EB1510"/>
    <w:rsid w:val="00EB20A6"/>
    <w:rsid w:val="00EB2BFD"/>
    <w:rsid w:val="00EB2F30"/>
    <w:rsid w:val="00EB507C"/>
    <w:rsid w:val="00EB53E8"/>
    <w:rsid w:val="00EB5584"/>
    <w:rsid w:val="00EB5DF8"/>
    <w:rsid w:val="00EB6783"/>
    <w:rsid w:val="00EB6C76"/>
    <w:rsid w:val="00EB6ECB"/>
    <w:rsid w:val="00EC0BE0"/>
    <w:rsid w:val="00EC1B24"/>
    <w:rsid w:val="00EC2159"/>
    <w:rsid w:val="00EC2916"/>
    <w:rsid w:val="00EC3941"/>
    <w:rsid w:val="00EC3D56"/>
    <w:rsid w:val="00EC3F95"/>
    <w:rsid w:val="00EC488B"/>
    <w:rsid w:val="00EC5020"/>
    <w:rsid w:val="00EC56DF"/>
    <w:rsid w:val="00EC654F"/>
    <w:rsid w:val="00EC66B3"/>
    <w:rsid w:val="00EC69F4"/>
    <w:rsid w:val="00EC6C0F"/>
    <w:rsid w:val="00EC725B"/>
    <w:rsid w:val="00EC74F4"/>
    <w:rsid w:val="00EC78A6"/>
    <w:rsid w:val="00ED053F"/>
    <w:rsid w:val="00ED0FBD"/>
    <w:rsid w:val="00ED1139"/>
    <w:rsid w:val="00ED214B"/>
    <w:rsid w:val="00ED2286"/>
    <w:rsid w:val="00ED2B63"/>
    <w:rsid w:val="00ED31C1"/>
    <w:rsid w:val="00ED43C0"/>
    <w:rsid w:val="00ED456F"/>
    <w:rsid w:val="00ED46D5"/>
    <w:rsid w:val="00ED5151"/>
    <w:rsid w:val="00ED56AE"/>
    <w:rsid w:val="00ED57E9"/>
    <w:rsid w:val="00ED5B06"/>
    <w:rsid w:val="00ED6540"/>
    <w:rsid w:val="00ED6F46"/>
    <w:rsid w:val="00ED715D"/>
    <w:rsid w:val="00ED7236"/>
    <w:rsid w:val="00ED7877"/>
    <w:rsid w:val="00ED7D96"/>
    <w:rsid w:val="00EE0033"/>
    <w:rsid w:val="00EE00E0"/>
    <w:rsid w:val="00EE043B"/>
    <w:rsid w:val="00EE084F"/>
    <w:rsid w:val="00EE0A4F"/>
    <w:rsid w:val="00EE1514"/>
    <w:rsid w:val="00EE2664"/>
    <w:rsid w:val="00EE2998"/>
    <w:rsid w:val="00EE2DFC"/>
    <w:rsid w:val="00EE3038"/>
    <w:rsid w:val="00EE39BC"/>
    <w:rsid w:val="00EE437E"/>
    <w:rsid w:val="00EE5CA3"/>
    <w:rsid w:val="00EE5D99"/>
    <w:rsid w:val="00EE70C5"/>
    <w:rsid w:val="00EE7F8C"/>
    <w:rsid w:val="00EF0DB7"/>
    <w:rsid w:val="00EF23FD"/>
    <w:rsid w:val="00EF2640"/>
    <w:rsid w:val="00EF2768"/>
    <w:rsid w:val="00EF2A5F"/>
    <w:rsid w:val="00EF2B3B"/>
    <w:rsid w:val="00EF2C45"/>
    <w:rsid w:val="00EF338E"/>
    <w:rsid w:val="00EF3843"/>
    <w:rsid w:val="00EF3887"/>
    <w:rsid w:val="00EF4755"/>
    <w:rsid w:val="00EF482C"/>
    <w:rsid w:val="00EF4A8F"/>
    <w:rsid w:val="00EF5107"/>
    <w:rsid w:val="00EF596A"/>
    <w:rsid w:val="00EF68AC"/>
    <w:rsid w:val="00EF7BBB"/>
    <w:rsid w:val="00F000A5"/>
    <w:rsid w:val="00F00996"/>
    <w:rsid w:val="00F0176F"/>
    <w:rsid w:val="00F02964"/>
    <w:rsid w:val="00F02DE5"/>
    <w:rsid w:val="00F03302"/>
    <w:rsid w:val="00F039BF"/>
    <w:rsid w:val="00F03B8F"/>
    <w:rsid w:val="00F04168"/>
    <w:rsid w:val="00F04702"/>
    <w:rsid w:val="00F04C5A"/>
    <w:rsid w:val="00F04C87"/>
    <w:rsid w:val="00F04F53"/>
    <w:rsid w:val="00F06460"/>
    <w:rsid w:val="00F06AED"/>
    <w:rsid w:val="00F072B8"/>
    <w:rsid w:val="00F076C2"/>
    <w:rsid w:val="00F10815"/>
    <w:rsid w:val="00F11106"/>
    <w:rsid w:val="00F11698"/>
    <w:rsid w:val="00F11DFA"/>
    <w:rsid w:val="00F12073"/>
    <w:rsid w:val="00F13804"/>
    <w:rsid w:val="00F1385D"/>
    <w:rsid w:val="00F15404"/>
    <w:rsid w:val="00F15794"/>
    <w:rsid w:val="00F1610D"/>
    <w:rsid w:val="00F16E28"/>
    <w:rsid w:val="00F173DC"/>
    <w:rsid w:val="00F202F6"/>
    <w:rsid w:val="00F20914"/>
    <w:rsid w:val="00F2095C"/>
    <w:rsid w:val="00F20A86"/>
    <w:rsid w:val="00F20E90"/>
    <w:rsid w:val="00F211F2"/>
    <w:rsid w:val="00F2224D"/>
    <w:rsid w:val="00F224C1"/>
    <w:rsid w:val="00F22A7A"/>
    <w:rsid w:val="00F23706"/>
    <w:rsid w:val="00F23F97"/>
    <w:rsid w:val="00F240F8"/>
    <w:rsid w:val="00F24A5F"/>
    <w:rsid w:val="00F25188"/>
    <w:rsid w:val="00F25591"/>
    <w:rsid w:val="00F2617B"/>
    <w:rsid w:val="00F2641C"/>
    <w:rsid w:val="00F26471"/>
    <w:rsid w:val="00F26D59"/>
    <w:rsid w:val="00F278A8"/>
    <w:rsid w:val="00F3036E"/>
    <w:rsid w:val="00F3069F"/>
    <w:rsid w:val="00F30E5B"/>
    <w:rsid w:val="00F31996"/>
    <w:rsid w:val="00F3244D"/>
    <w:rsid w:val="00F333FF"/>
    <w:rsid w:val="00F33424"/>
    <w:rsid w:val="00F33E61"/>
    <w:rsid w:val="00F34A47"/>
    <w:rsid w:val="00F350E8"/>
    <w:rsid w:val="00F3584C"/>
    <w:rsid w:val="00F3653E"/>
    <w:rsid w:val="00F376ED"/>
    <w:rsid w:val="00F405B4"/>
    <w:rsid w:val="00F4220D"/>
    <w:rsid w:val="00F42AA9"/>
    <w:rsid w:val="00F42C5E"/>
    <w:rsid w:val="00F430F5"/>
    <w:rsid w:val="00F44FE3"/>
    <w:rsid w:val="00F46463"/>
    <w:rsid w:val="00F46A66"/>
    <w:rsid w:val="00F46A7E"/>
    <w:rsid w:val="00F47D62"/>
    <w:rsid w:val="00F47DAA"/>
    <w:rsid w:val="00F50B5C"/>
    <w:rsid w:val="00F50C9D"/>
    <w:rsid w:val="00F50D7C"/>
    <w:rsid w:val="00F515D7"/>
    <w:rsid w:val="00F51C55"/>
    <w:rsid w:val="00F51D27"/>
    <w:rsid w:val="00F521E2"/>
    <w:rsid w:val="00F522DF"/>
    <w:rsid w:val="00F52F88"/>
    <w:rsid w:val="00F534D7"/>
    <w:rsid w:val="00F53584"/>
    <w:rsid w:val="00F53929"/>
    <w:rsid w:val="00F53BF9"/>
    <w:rsid w:val="00F54E01"/>
    <w:rsid w:val="00F54E1F"/>
    <w:rsid w:val="00F5581E"/>
    <w:rsid w:val="00F55DE7"/>
    <w:rsid w:val="00F56BEF"/>
    <w:rsid w:val="00F57EB7"/>
    <w:rsid w:val="00F60266"/>
    <w:rsid w:val="00F6064F"/>
    <w:rsid w:val="00F606E2"/>
    <w:rsid w:val="00F60A92"/>
    <w:rsid w:val="00F6119C"/>
    <w:rsid w:val="00F61321"/>
    <w:rsid w:val="00F6160D"/>
    <w:rsid w:val="00F6200B"/>
    <w:rsid w:val="00F636C3"/>
    <w:rsid w:val="00F63C37"/>
    <w:rsid w:val="00F646A8"/>
    <w:rsid w:val="00F64814"/>
    <w:rsid w:val="00F64F0D"/>
    <w:rsid w:val="00F659F3"/>
    <w:rsid w:val="00F66888"/>
    <w:rsid w:val="00F67111"/>
    <w:rsid w:val="00F671D5"/>
    <w:rsid w:val="00F67B63"/>
    <w:rsid w:val="00F67CA9"/>
    <w:rsid w:val="00F715AA"/>
    <w:rsid w:val="00F7167C"/>
    <w:rsid w:val="00F71AEC"/>
    <w:rsid w:val="00F71CE0"/>
    <w:rsid w:val="00F7251C"/>
    <w:rsid w:val="00F7257F"/>
    <w:rsid w:val="00F725D8"/>
    <w:rsid w:val="00F72CF1"/>
    <w:rsid w:val="00F72D0E"/>
    <w:rsid w:val="00F73556"/>
    <w:rsid w:val="00F7408D"/>
    <w:rsid w:val="00F7431D"/>
    <w:rsid w:val="00F745F7"/>
    <w:rsid w:val="00F74675"/>
    <w:rsid w:val="00F75A29"/>
    <w:rsid w:val="00F76679"/>
    <w:rsid w:val="00F766AB"/>
    <w:rsid w:val="00F76A33"/>
    <w:rsid w:val="00F76E5B"/>
    <w:rsid w:val="00F76F5D"/>
    <w:rsid w:val="00F77024"/>
    <w:rsid w:val="00F77AF7"/>
    <w:rsid w:val="00F77B16"/>
    <w:rsid w:val="00F8074E"/>
    <w:rsid w:val="00F80FB3"/>
    <w:rsid w:val="00F81B75"/>
    <w:rsid w:val="00F81DAC"/>
    <w:rsid w:val="00F82240"/>
    <w:rsid w:val="00F82919"/>
    <w:rsid w:val="00F8477E"/>
    <w:rsid w:val="00F849AB"/>
    <w:rsid w:val="00F84CCC"/>
    <w:rsid w:val="00F84D1B"/>
    <w:rsid w:val="00F85356"/>
    <w:rsid w:val="00F857D2"/>
    <w:rsid w:val="00F8584E"/>
    <w:rsid w:val="00F85880"/>
    <w:rsid w:val="00F85FF5"/>
    <w:rsid w:val="00F865FD"/>
    <w:rsid w:val="00F86FB7"/>
    <w:rsid w:val="00F87167"/>
    <w:rsid w:val="00F87375"/>
    <w:rsid w:val="00F87561"/>
    <w:rsid w:val="00F87A87"/>
    <w:rsid w:val="00F87C6A"/>
    <w:rsid w:val="00F9104B"/>
    <w:rsid w:val="00F9129A"/>
    <w:rsid w:val="00F92DC2"/>
    <w:rsid w:val="00F9305D"/>
    <w:rsid w:val="00F9326F"/>
    <w:rsid w:val="00F93287"/>
    <w:rsid w:val="00F9330D"/>
    <w:rsid w:val="00F936B3"/>
    <w:rsid w:val="00F93AC9"/>
    <w:rsid w:val="00F94A54"/>
    <w:rsid w:val="00F96FE3"/>
    <w:rsid w:val="00F9789A"/>
    <w:rsid w:val="00F97AB5"/>
    <w:rsid w:val="00FA013B"/>
    <w:rsid w:val="00FA0744"/>
    <w:rsid w:val="00FA12B9"/>
    <w:rsid w:val="00FA133B"/>
    <w:rsid w:val="00FA1EB9"/>
    <w:rsid w:val="00FA2181"/>
    <w:rsid w:val="00FA2776"/>
    <w:rsid w:val="00FA28D9"/>
    <w:rsid w:val="00FA2DDA"/>
    <w:rsid w:val="00FA347E"/>
    <w:rsid w:val="00FA44DD"/>
    <w:rsid w:val="00FA4A26"/>
    <w:rsid w:val="00FA4F7D"/>
    <w:rsid w:val="00FA617E"/>
    <w:rsid w:val="00FA7F7E"/>
    <w:rsid w:val="00FB11BE"/>
    <w:rsid w:val="00FB1AE3"/>
    <w:rsid w:val="00FB2898"/>
    <w:rsid w:val="00FB2FA3"/>
    <w:rsid w:val="00FB338B"/>
    <w:rsid w:val="00FB3DEE"/>
    <w:rsid w:val="00FB4263"/>
    <w:rsid w:val="00FB48CA"/>
    <w:rsid w:val="00FB5DFB"/>
    <w:rsid w:val="00FB61CC"/>
    <w:rsid w:val="00FB6BC0"/>
    <w:rsid w:val="00FB6D6A"/>
    <w:rsid w:val="00FB721D"/>
    <w:rsid w:val="00FB792D"/>
    <w:rsid w:val="00FB79BA"/>
    <w:rsid w:val="00FB7FA3"/>
    <w:rsid w:val="00FC10D4"/>
    <w:rsid w:val="00FC2F33"/>
    <w:rsid w:val="00FC3318"/>
    <w:rsid w:val="00FC50A1"/>
    <w:rsid w:val="00FC5827"/>
    <w:rsid w:val="00FC59CC"/>
    <w:rsid w:val="00FC5BFF"/>
    <w:rsid w:val="00FC6DD7"/>
    <w:rsid w:val="00FC6E86"/>
    <w:rsid w:val="00FC6F42"/>
    <w:rsid w:val="00FC70F4"/>
    <w:rsid w:val="00FC77C0"/>
    <w:rsid w:val="00FD0027"/>
    <w:rsid w:val="00FD1339"/>
    <w:rsid w:val="00FD1CA2"/>
    <w:rsid w:val="00FD1E6F"/>
    <w:rsid w:val="00FD21BF"/>
    <w:rsid w:val="00FD2B8B"/>
    <w:rsid w:val="00FD2E86"/>
    <w:rsid w:val="00FD2F77"/>
    <w:rsid w:val="00FD3666"/>
    <w:rsid w:val="00FD3C1E"/>
    <w:rsid w:val="00FD44C6"/>
    <w:rsid w:val="00FD4A52"/>
    <w:rsid w:val="00FD517D"/>
    <w:rsid w:val="00FD5556"/>
    <w:rsid w:val="00FD6C79"/>
    <w:rsid w:val="00FD7CC8"/>
    <w:rsid w:val="00FE0427"/>
    <w:rsid w:val="00FE050F"/>
    <w:rsid w:val="00FE122A"/>
    <w:rsid w:val="00FE182B"/>
    <w:rsid w:val="00FE196A"/>
    <w:rsid w:val="00FE1E21"/>
    <w:rsid w:val="00FE3F22"/>
    <w:rsid w:val="00FE44C9"/>
    <w:rsid w:val="00FE4ABA"/>
    <w:rsid w:val="00FE5ACA"/>
    <w:rsid w:val="00FF0778"/>
    <w:rsid w:val="00FF1135"/>
    <w:rsid w:val="00FF18CE"/>
    <w:rsid w:val="00FF2576"/>
    <w:rsid w:val="00FF26EB"/>
    <w:rsid w:val="00FF2928"/>
    <w:rsid w:val="00FF2BFB"/>
    <w:rsid w:val="00FF381E"/>
    <w:rsid w:val="00FF3871"/>
    <w:rsid w:val="00FF3AFC"/>
    <w:rsid w:val="00FF420D"/>
    <w:rsid w:val="00FF45AE"/>
    <w:rsid w:val="00FF539B"/>
    <w:rsid w:val="00FF5A6A"/>
    <w:rsid w:val="00FF6551"/>
    <w:rsid w:val="00FF77C5"/>
    <w:rsid w:val="00FF7900"/>
    <w:rsid w:val="00FF7AA7"/>
    <w:rsid w:val="00FF7C13"/>
    <w:rsid w:val="010740BD"/>
    <w:rsid w:val="0125366D"/>
    <w:rsid w:val="014A5E2B"/>
    <w:rsid w:val="016908DE"/>
    <w:rsid w:val="02025461"/>
    <w:rsid w:val="02380E90"/>
    <w:rsid w:val="026774FC"/>
    <w:rsid w:val="02B41984"/>
    <w:rsid w:val="035907E6"/>
    <w:rsid w:val="03832252"/>
    <w:rsid w:val="03D40C77"/>
    <w:rsid w:val="041A7ED8"/>
    <w:rsid w:val="049B749C"/>
    <w:rsid w:val="051261E1"/>
    <w:rsid w:val="05725528"/>
    <w:rsid w:val="057A5BA3"/>
    <w:rsid w:val="06765AA8"/>
    <w:rsid w:val="068C21CA"/>
    <w:rsid w:val="06B5558D"/>
    <w:rsid w:val="06D5624F"/>
    <w:rsid w:val="070B6391"/>
    <w:rsid w:val="070E0B4E"/>
    <w:rsid w:val="07514512"/>
    <w:rsid w:val="07966B1A"/>
    <w:rsid w:val="07A73C1C"/>
    <w:rsid w:val="083C410F"/>
    <w:rsid w:val="094B7B50"/>
    <w:rsid w:val="09F13B26"/>
    <w:rsid w:val="0A0A2828"/>
    <w:rsid w:val="0A173F48"/>
    <w:rsid w:val="0A5F2B10"/>
    <w:rsid w:val="0AAF3796"/>
    <w:rsid w:val="0B51711E"/>
    <w:rsid w:val="0BA96AD9"/>
    <w:rsid w:val="0BDA7019"/>
    <w:rsid w:val="0BDE6804"/>
    <w:rsid w:val="0C9275AC"/>
    <w:rsid w:val="0D223618"/>
    <w:rsid w:val="0D4F0152"/>
    <w:rsid w:val="0DC8130F"/>
    <w:rsid w:val="0DCE1532"/>
    <w:rsid w:val="0EB32AAA"/>
    <w:rsid w:val="0ECB39D4"/>
    <w:rsid w:val="0EE67C8B"/>
    <w:rsid w:val="0F013EAE"/>
    <w:rsid w:val="0F1457B6"/>
    <w:rsid w:val="0F6469E6"/>
    <w:rsid w:val="0FCB79B8"/>
    <w:rsid w:val="1012756E"/>
    <w:rsid w:val="10403535"/>
    <w:rsid w:val="10861AAB"/>
    <w:rsid w:val="10BB03B2"/>
    <w:rsid w:val="11015B72"/>
    <w:rsid w:val="120C1F52"/>
    <w:rsid w:val="13172CDE"/>
    <w:rsid w:val="13534216"/>
    <w:rsid w:val="137361BF"/>
    <w:rsid w:val="137E1625"/>
    <w:rsid w:val="13DC0798"/>
    <w:rsid w:val="14186104"/>
    <w:rsid w:val="14755851"/>
    <w:rsid w:val="147D44ED"/>
    <w:rsid w:val="149D0DEE"/>
    <w:rsid w:val="149D5D1D"/>
    <w:rsid w:val="14CE23B0"/>
    <w:rsid w:val="15954377"/>
    <w:rsid w:val="15A10189"/>
    <w:rsid w:val="16A17D2C"/>
    <w:rsid w:val="16E71482"/>
    <w:rsid w:val="174E03F2"/>
    <w:rsid w:val="18000F6D"/>
    <w:rsid w:val="182A5635"/>
    <w:rsid w:val="18A40BC9"/>
    <w:rsid w:val="18BA5E1D"/>
    <w:rsid w:val="18F7339F"/>
    <w:rsid w:val="1A2A30DF"/>
    <w:rsid w:val="1A3C6701"/>
    <w:rsid w:val="1A6C1BBA"/>
    <w:rsid w:val="1AAC404F"/>
    <w:rsid w:val="1AEB73B7"/>
    <w:rsid w:val="1B053626"/>
    <w:rsid w:val="1B0A6140"/>
    <w:rsid w:val="1B6B6A0B"/>
    <w:rsid w:val="1BF22168"/>
    <w:rsid w:val="1C061FFB"/>
    <w:rsid w:val="1C454170"/>
    <w:rsid w:val="1C4972F3"/>
    <w:rsid w:val="1CA3450A"/>
    <w:rsid w:val="1DAD023F"/>
    <w:rsid w:val="1DCF288F"/>
    <w:rsid w:val="1E2338D9"/>
    <w:rsid w:val="1E777908"/>
    <w:rsid w:val="1EA57152"/>
    <w:rsid w:val="1F5627F9"/>
    <w:rsid w:val="1F5D6901"/>
    <w:rsid w:val="1F775289"/>
    <w:rsid w:val="1FB60294"/>
    <w:rsid w:val="20117C39"/>
    <w:rsid w:val="20D100D8"/>
    <w:rsid w:val="217527F4"/>
    <w:rsid w:val="21E914AE"/>
    <w:rsid w:val="225E0DA7"/>
    <w:rsid w:val="22756F5F"/>
    <w:rsid w:val="23143199"/>
    <w:rsid w:val="23294133"/>
    <w:rsid w:val="2350557D"/>
    <w:rsid w:val="23E869F5"/>
    <w:rsid w:val="24280900"/>
    <w:rsid w:val="24432017"/>
    <w:rsid w:val="245A12B2"/>
    <w:rsid w:val="247906A6"/>
    <w:rsid w:val="24D02B4E"/>
    <w:rsid w:val="24F44C86"/>
    <w:rsid w:val="257E0456"/>
    <w:rsid w:val="260B31F7"/>
    <w:rsid w:val="267D5AB4"/>
    <w:rsid w:val="26E61C61"/>
    <w:rsid w:val="2715112B"/>
    <w:rsid w:val="27264C48"/>
    <w:rsid w:val="27D76959"/>
    <w:rsid w:val="284C3085"/>
    <w:rsid w:val="28911352"/>
    <w:rsid w:val="28913E9A"/>
    <w:rsid w:val="29210C9A"/>
    <w:rsid w:val="296315D6"/>
    <w:rsid w:val="29930F11"/>
    <w:rsid w:val="2A110E94"/>
    <w:rsid w:val="2A1E224B"/>
    <w:rsid w:val="2AF27A86"/>
    <w:rsid w:val="2AF35C03"/>
    <w:rsid w:val="2B195E43"/>
    <w:rsid w:val="2B490B90"/>
    <w:rsid w:val="2B9254CC"/>
    <w:rsid w:val="2BA45A27"/>
    <w:rsid w:val="2BF81500"/>
    <w:rsid w:val="2C4B4C1E"/>
    <w:rsid w:val="2C99503A"/>
    <w:rsid w:val="2D002460"/>
    <w:rsid w:val="2DDF5A7E"/>
    <w:rsid w:val="2EBA0537"/>
    <w:rsid w:val="2EFB6DA3"/>
    <w:rsid w:val="2EFE1F25"/>
    <w:rsid w:val="2F406212"/>
    <w:rsid w:val="2FA417BA"/>
    <w:rsid w:val="306A2DB0"/>
    <w:rsid w:val="309732D2"/>
    <w:rsid w:val="30DD7A62"/>
    <w:rsid w:val="314C4FED"/>
    <w:rsid w:val="3158067E"/>
    <w:rsid w:val="316E2FA4"/>
    <w:rsid w:val="321B43C1"/>
    <w:rsid w:val="32560D2E"/>
    <w:rsid w:val="32944C82"/>
    <w:rsid w:val="32A81A27"/>
    <w:rsid w:val="3332394C"/>
    <w:rsid w:val="34552E43"/>
    <w:rsid w:val="34E03C50"/>
    <w:rsid w:val="34E932BF"/>
    <w:rsid w:val="350062A4"/>
    <w:rsid w:val="351D6123"/>
    <w:rsid w:val="35B6778E"/>
    <w:rsid w:val="35BE35C3"/>
    <w:rsid w:val="35C43EC2"/>
    <w:rsid w:val="35FE0BA4"/>
    <w:rsid w:val="363A38D0"/>
    <w:rsid w:val="372F0F16"/>
    <w:rsid w:val="37790253"/>
    <w:rsid w:val="37AC17EA"/>
    <w:rsid w:val="37F538EE"/>
    <w:rsid w:val="38504871"/>
    <w:rsid w:val="38C83236"/>
    <w:rsid w:val="39DE1F09"/>
    <w:rsid w:val="3A270BF4"/>
    <w:rsid w:val="3A2D60BD"/>
    <w:rsid w:val="3A3F1290"/>
    <w:rsid w:val="3A512FF2"/>
    <w:rsid w:val="3A60099C"/>
    <w:rsid w:val="3A8918CE"/>
    <w:rsid w:val="3ADD023E"/>
    <w:rsid w:val="3B653D90"/>
    <w:rsid w:val="3BA27B5D"/>
    <w:rsid w:val="3DD63ED5"/>
    <w:rsid w:val="3DF45431"/>
    <w:rsid w:val="3E0F3C1D"/>
    <w:rsid w:val="3E143339"/>
    <w:rsid w:val="3E2204FF"/>
    <w:rsid w:val="3ECB5495"/>
    <w:rsid w:val="3F424339"/>
    <w:rsid w:val="404228F2"/>
    <w:rsid w:val="40E070FE"/>
    <w:rsid w:val="40EA2042"/>
    <w:rsid w:val="41003DB0"/>
    <w:rsid w:val="414E282B"/>
    <w:rsid w:val="41F71AB9"/>
    <w:rsid w:val="421361F6"/>
    <w:rsid w:val="422B7AE1"/>
    <w:rsid w:val="422F44A2"/>
    <w:rsid w:val="42B14FAD"/>
    <w:rsid w:val="42B61283"/>
    <w:rsid w:val="42D11AAC"/>
    <w:rsid w:val="42F25864"/>
    <w:rsid w:val="43842BD5"/>
    <w:rsid w:val="438A6CDC"/>
    <w:rsid w:val="439E7EFB"/>
    <w:rsid w:val="43A80D64"/>
    <w:rsid w:val="43FB3B18"/>
    <w:rsid w:val="44AD4902"/>
    <w:rsid w:val="455A14D6"/>
    <w:rsid w:val="465D1FFE"/>
    <w:rsid w:val="46BB2169"/>
    <w:rsid w:val="46F10BCE"/>
    <w:rsid w:val="46F96C0B"/>
    <w:rsid w:val="491E7131"/>
    <w:rsid w:val="494B3459"/>
    <w:rsid w:val="494D48CF"/>
    <w:rsid w:val="49666B92"/>
    <w:rsid w:val="4AA93C99"/>
    <w:rsid w:val="4AC81BBD"/>
    <w:rsid w:val="4B51629E"/>
    <w:rsid w:val="4BC6529C"/>
    <w:rsid w:val="4BC81760"/>
    <w:rsid w:val="4BF31239"/>
    <w:rsid w:val="4C9246AB"/>
    <w:rsid w:val="4CBA0E1F"/>
    <w:rsid w:val="4CF1437A"/>
    <w:rsid w:val="4D825339"/>
    <w:rsid w:val="4DAC647D"/>
    <w:rsid w:val="4E005F07"/>
    <w:rsid w:val="4E7418D9"/>
    <w:rsid w:val="4EDE2348"/>
    <w:rsid w:val="4F9E30E2"/>
    <w:rsid w:val="4FAD5FDA"/>
    <w:rsid w:val="4FC6709B"/>
    <w:rsid w:val="50627C46"/>
    <w:rsid w:val="513656C9"/>
    <w:rsid w:val="513F47AF"/>
    <w:rsid w:val="517C782D"/>
    <w:rsid w:val="51982366"/>
    <w:rsid w:val="51C21AE4"/>
    <w:rsid w:val="520A1796"/>
    <w:rsid w:val="521627B9"/>
    <w:rsid w:val="52B007B9"/>
    <w:rsid w:val="52DC4B00"/>
    <w:rsid w:val="533F6DA3"/>
    <w:rsid w:val="534B2BB6"/>
    <w:rsid w:val="5379537B"/>
    <w:rsid w:val="53AD3B54"/>
    <w:rsid w:val="53E54778"/>
    <w:rsid w:val="53E82F40"/>
    <w:rsid w:val="548337AD"/>
    <w:rsid w:val="548B2661"/>
    <w:rsid w:val="555250C2"/>
    <w:rsid w:val="55545189"/>
    <w:rsid w:val="55835CD9"/>
    <w:rsid w:val="55AC361A"/>
    <w:rsid w:val="56156BD4"/>
    <w:rsid w:val="561D0D07"/>
    <w:rsid w:val="567A4F6C"/>
    <w:rsid w:val="56C45D35"/>
    <w:rsid w:val="56C56E21"/>
    <w:rsid w:val="57A624DB"/>
    <w:rsid w:val="580D3184"/>
    <w:rsid w:val="588A274D"/>
    <w:rsid w:val="58B23912"/>
    <w:rsid w:val="59514715"/>
    <w:rsid w:val="59811349"/>
    <w:rsid w:val="598D6078"/>
    <w:rsid w:val="59AB2B67"/>
    <w:rsid w:val="59B863D7"/>
    <w:rsid w:val="5A18186D"/>
    <w:rsid w:val="5AC47EF0"/>
    <w:rsid w:val="5B14567A"/>
    <w:rsid w:val="5B2B529F"/>
    <w:rsid w:val="5B432946"/>
    <w:rsid w:val="5BDF3E49"/>
    <w:rsid w:val="5CB0558F"/>
    <w:rsid w:val="5D4F6BC6"/>
    <w:rsid w:val="5D695B4F"/>
    <w:rsid w:val="5DD907AD"/>
    <w:rsid w:val="5DE579BA"/>
    <w:rsid w:val="5E5D3E5D"/>
    <w:rsid w:val="5E617599"/>
    <w:rsid w:val="5E7423B8"/>
    <w:rsid w:val="5E767EDE"/>
    <w:rsid w:val="5E9C06C0"/>
    <w:rsid w:val="5EDD34B2"/>
    <w:rsid w:val="5F1444E2"/>
    <w:rsid w:val="5F2502F1"/>
    <w:rsid w:val="5FA57677"/>
    <w:rsid w:val="5FB8156D"/>
    <w:rsid w:val="5FDC55D3"/>
    <w:rsid w:val="60584F1D"/>
    <w:rsid w:val="608E2616"/>
    <w:rsid w:val="60940420"/>
    <w:rsid w:val="60A7051F"/>
    <w:rsid w:val="613D6494"/>
    <w:rsid w:val="61886913"/>
    <w:rsid w:val="618F629E"/>
    <w:rsid w:val="62B01BF9"/>
    <w:rsid w:val="62CE0E43"/>
    <w:rsid w:val="62EA5256"/>
    <w:rsid w:val="63133F4E"/>
    <w:rsid w:val="63947F62"/>
    <w:rsid w:val="63FD6018"/>
    <w:rsid w:val="640843A9"/>
    <w:rsid w:val="640F75B7"/>
    <w:rsid w:val="64290161"/>
    <w:rsid w:val="64BA1C4E"/>
    <w:rsid w:val="64F93632"/>
    <w:rsid w:val="650C604C"/>
    <w:rsid w:val="652F5BBD"/>
    <w:rsid w:val="6585041D"/>
    <w:rsid w:val="658835A0"/>
    <w:rsid w:val="65A57B3F"/>
    <w:rsid w:val="660E4AFE"/>
    <w:rsid w:val="664F7AE6"/>
    <w:rsid w:val="665B137A"/>
    <w:rsid w:val="677C0558"/>
    <w:rsid w:val="67961102"/>
    <w:rsid w:val="67D50BE7"/>
    <w:rsid w:val="68B43AD8"/>
    <w:rsid w:val="691C697F"/>
    <w:rsid w:val="69956E11"/>
    <w:rsid w:val="6A460097"/>
    <w:rsid w:val="6A485263"/>
    <w:rsid w:val="6AB976A5"/>
    <w:rsid w:val="6B79070C"/>
    <w:rsid w:val="6C416086"/>
    <w:rsid w:val="6CB53FE8"/>
    <w:rsid w:val="6D3632BC"/>
    <w:rsid w:val="6DDA72D5"/>
    <w:rsid w:val="6DE333D5"/>
    <w:rsid w:val="6E255143"/>
    <w:rsid w:val="6E3D0511"/>
    <w:rsid w:val="6E4A6972"/>
    <w:rsid w:val="6E66012B"/>
    <w:rsid w:val="6EEC2BE3"/>
    <w:rsid w:val="6F0D3F9D"/>
    <w:rsid w:val="6F196CD5"/>
    <w:rsid w:val="6F221FD2"/>
    <w:rsid w:val="6FE476A3"/>
    <w:rsid w:val="6FF82AC0"/>
    <w:rsid w:val="70647BF1"/>
    <w:rsid w:val="7125222D"/>
    <w:rsid w:val="726B535A"/>
    <w:rsid w:val="726F12F6"/>
    <w:rsid w:val="739432AB"/>
    <w:rsid w:val="739F4DD2"/>
    <w:rsid w:val="74522386"/>
    <w:rsid w:val="74EC04EB"/>
    <w:rsid w:val="75034787"/>
    <w:rsid w:val="75A17B08"/>
    <w:rsid w:val="75B8552F"/>
    <w:rsid w:val="760761F4"/>
    <w:rsid w:val="772C0914"/>
    <w:rsid w:val="777B4F84"/>
    <w:rsid w:val="777D1A9A"/>
    <w:rsid w:val="77866A24"/>
    <w:rsid w:val="77A5608F"/>
    <w:rsid w:val="7843265A"/>
    <w:rsid w:val="78446BBD"/>
    <w:rsid w:val="784713A0"/>
    <w:rsid w:val="78564BB1"/>
    <w:rsid w:val="78585E2C"/>
    <w:rsid w:val="787A166F"/>
    <w:rsid w:val="78E20F42"/>
    <w:rsid w:val="79287E88"/>
    <w:rsid w:val="79C70258"/>
    <w:rsid w:val="79C8155D"/>
    <w:rsid w:val="79ED304D"/>
    <w:rsid w:val="79F842AA"/>
    <w:rsid w:val="7A2F6982"/>
    <w:rsid w:val="7A303BD8"/>
    <w:rsid w:val="7A713A58"/>
    <w:rsid w:val="7A77448A"/>
    <w:rsid w:val="7AC810FF"/>
    <w:rsid w:val="7B1A117B"/>
    <w:rsid w:val="7BA010ED"/>
    <w:rsid w:val="7C20542C"/>
    <w:rsid w:val="7C2A7A42"/>
    <w:rsid w:val="7C9C44FE"/>
    <w:rsid w:val="7CA5738C"/>
    <w:rsid w:val="7DEC5124"/>
    <w:rsid w:val="7F5A294B"/>
    <w:rsid w:val="7F667F95"/>
    <w:rsid w:val="7F7362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100" w:afterLines="100" w:line="400" w:lineRule="exact"/>
      <w:outlineLvl w:val="0"/>
    </w:pPr>
    <w:rPr>
      <w:rFonts w:eastAsia="黑体"/>
      <w:b/>
      <w:bCs/>
      <w:kern w:val="44"/>
      <w:sz w:val="32"/>
      <w:szCs w:val="44"/>
    </w:rPr>
  </w:style>
  <w:style w:type="paragraph" w:styleId="3">
    <w:name w:val="heading 2"/>
    <w:basedOn w:val="1"/>
    <w:next w:val="1"/>
    <w:link w:val="58"/>
    <w:qFormat/>
    <w:uiPriority w:val="9"/>
    <w:pPr>
      <w:overflowPunct w:val="0"/>
      <w:autoSpaceDE w:val="0"/>
      <w:autoSpaceDN w:val="0"/>
      <w:adjustRightInd w:val="0"/>
      <w:spacing w:line="400" w:lineRule="exact"/>
      <w:jc w:val="left"/>
      <w:outlineLvl w:val="1"/>
    </w:pPr>
    <w:rPr>
      <w:rFonts w:hAnsi="Arial"/>
      <w:b/>
      <w:spacing w:val="8"/>
      <w:kern w:val="0"/>
    </w:rPr>
  </w:style>
  <w:style w:type="paragraph" w:styleId="4">
    <w:name w:val="heading 3"/>
    <w:basedOn w:val="1"/>
    <w:next w:val="1"/>
    <w:qFormat/>
    <w:uiPriority w:val="0"/>
    <w:pPr>
      <w:adjustRightInd w:val="0"/>
      <w:spacing w:line="400" w:lineRule="atLeast"/>
      <w:textAlignment w:val="baseline"/>
      <w:outlineLvl w:val="2"/>
    </w:pPr>
    <w:rPr>
      <w:b/>
      <w:spacing w:val="8"/>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260"/>
      <w:jc w:val="left"/>
    </w:pPr>
    <w:rPr>
      <w:rFonts w:ascii="Calibri" w:hAnsi="Calibri"/>
      <w:sz w:val="18"/>
      <w:szCs w:val="18"/>
    </w:rPr>
  </w:style>
  <w:style w:type="paragraph" w:styleId="6">
    <w:name w:val="Normal Indent"/>
    <w:basedOn w:val="1"/>
    <w:qFormat/>
    <w:uiPriority w:val="0"/>
    <w:pPr>
      <w:adjustRightInd w:val="0"/>
      <w:spacing w:line="360" w:lineRule="atLeast"/>
      <w:ind w:firstLine="420"/>
      <w:jc w:val="left"/>
      <w:textAlignment w:val="baseline"/>
    </w:pPr>
    <w:rPr>
      <w:rFonts w:asciiTheme="minorHAnsi" w:hAnsiTheme="minorHAnsi" w:eastAsiaTheme="minorEastAsia" w:cstheme="minorBidi"/>
      <w:kern w:val="0"/>
      <w:sz w:val="24"/>
    </w:rPr>
  </w:style>
  <w:style w:type="paragraph" w:styleId="7">
    <w:name w:val="Document Map"/>
    <w:basedOn w:val="1"/>
    <w:semiHidden/>
    <w:qFormat/>
    <w:uiPriority w:val="0"/>
    <w:pPr>
      <w:shd w:val="clear" w:color="auto" w:fill="000080"/>
    </w:pPr>
  </w:style>
  <w:style w:type="paragraph" w:styleId="8">
    <w:name w:val="annotation text"/>
    <w:basedOn w:val="1"/>
    <w:link w:val="51"/>
    <w:unhideWhenUsed/>
    <w:qFormat/>
    <w:uiPriority w:val="99"/>
    <w:pPr>
      <w:jc w:val="left"/>
    </w:pPr>
  </w:style>
  <w:style w:type="paragraph" w:styleId="9">
    <w:name w:val="Salutation"/>
    <w:basedOn w:val="1"/>
    <w:next w:val="1"/>
    <w:link w:val="37"/>
    <w:qFormat/>
    <w:uiPriority w:val="0"/>
    <w:rPr>
      <w:sz w:val="24"/>
    </w:rPr>
  </w:style>
  <w:style w:type="paragraph" w:styleId="10">
    <w:name w:val="Body Text"/>
    <w:basedOn w:val="1"/>
    <w:qFormat/>
    <w:uiPriority w:val="0"/>
    <w:pPr>
      <w:autoSpaceDE w:val="0"/>
      <w:autoSpaceDN w:val="0"/>
      <w:spacing w:line="320" w:lineRule="atLeast"/>
      <w:textAlignment w:val="bottom"/>
    </w:pPr>
    <w:rPr>
      <w:rFonts w:hAnsi="宋体"/>
      <w:bCs/>
      <w:color w:val="FF0000"/>
      <w:sz w:val="28"/>
    </w:rPr>
  </w:style>
  <w:style w:type="paragraph" w:styleId="11">
    <w:name w:val="Body Text Indent"/>
    <w:basedOn w:val="1"/>
    <w:qFormat/>
    <w:uiPriority w:val="0"/>
    <w:pPr>
      <w:adjustRightInd w:val="0"/>
      <w:spacing w:line="360" w:lineRule="atLeast"/>
      <w:ind w:firstLine="600"/>
      <w:jc w:val="left"/>
      <w:textAlignment w:val="baseline"/>
    </w:pPr>
    <w:rPr>
      <w:rFonts w:ascii="宋体"/>
      <w:spacing w:val="20"/>
    </w:rPr>
  </w:style>
  <w:style w:type="paragraph" w:styleId="12">
    <w:name w:val="toc 5"/>
    <w:basedOn w:val="1"/>
    <w:next w:val="1"/>
    <w:qFormat/>
    <w:uiPriority w:val="0"/>
    <w:pPr>
      <w:ind w:left="840"/>
      <w:jc w:val="left"/>
    </w:pPr>
    <w:rPr>
      <w:rFonts w:ascii="Calibri" w:hAnsi="Calibri"/>
      <w:sz w:val="18"/>
      <w:szCs w:val="18"/>
    </w:rPr>
  </w:style>
  <w:style w:type="paragraph" w:styleId="13">
    <w:name w:val="toc 3"/>
    <w:basedOn w:val="1"/>
    <w:next w:val="1"/>
    <w:qFormat/>
    <w:uiPriority w:val="39"/>
    <w:pPr>
      <w:tabs>
        <w:tab w:val="right" w:leader="dot" w:pos="9367"/>
      </w:tabs>
      <w:spacing w:line="300" w:lineRule="exact"/>
      <w:ind w:left="420"/>
      <w:jc w:val="left"/>
    </w:pPr>
    <w:rPr>
      <w:rFonts w:ascii="Calibri" w:hAnsi="Calibri" w:eastAsia="黑体"/>
      <w:i/>
      <w:iCs/>
    </w:rPr>
  </w:style>
  <w:style w:type="paragraph" w:styleId="14">
    <w:name w:val="Plain Text"/>
    <w:basedOn w:val="1"/>
    <w:link w:val="44"/>
    <w:qFormat/>
    <w:uiPriority w:val="0"/>
    <w:rPr>
      <w:rFonts w:ascii="宋体" w:hAnsi="Courier New"/>
    </w:rPr>
  </w:style>
  <w:style w:type="paragraph" w:styleId="15">
    <w:name w:val="toc 8"/>
    <w:basedOn w:val="1"/>
    <w:next w:val="1"/>
    <w:qFormat/>
    <w:uiPriority w:val="0"/>
    <w:pPr>
      <w:ind w:left="1470"/>
      <w:jc w:val="left"/>
    </w:pPr>
    <w:rPr>
      <w:rFonts w:ascii="Calibri" w:hAnsi="Calibri"/>
      <w:sz w:val="18"/>
      <w:szCs w:val="18"/>
    </w:rPr>
  </w:style>
  <w:style w:type="paragraph" w:styleId="16">
    <w:name w:val="Date"/>
    <w:basedOn w:val="1"/>
    <w:next w:val="1"/>
    <w:qFormat/>
    <w:uiPriority w:val="0"/>
    <w:rPr>
      <w:sz w:val="28"/>
    </w:rPr>
  </w:style>
  <w:style w:type="paragraph" w:styleId="17">
    <w:name w:val="Body Text Indent 2"/>
    <w:basedOn w:val="1"/>
    <w:qFormat/>
    <w:uiPriority w:val="0"/>
    <w:pPr>
      <w:autoSpaceDE w:val="0"/>
      <w:autoSpaceDN w:val="0"/>
      <w:spacing w:line="400" w:lineRule="exact"/>
      <w:ind w:firstLine="420" w:firstLineChars="200"/>
      <w:textAlignment w:val="bottom"/>
    </w:pPr>
    <w:rPr>
      <w:rFonts w:ascii="宋体" w:hAnsi="宋体"/>
      <w:color w:val="000000"/>
    </w:rPr>
  </w:style>
  <w:style w:type="paragraph" w:styleId="18">
    <w:name w:val="Balloon Text"/>
    <w:basedOn w:val="1"/>
    <w:link w:val="43"/>
    <w:qFormat/>
    <w:uiPriority w:val="0"/>
    <w:rPr>
      <w:sz w:val="18"/>
      <w:szCs w:val="18"/>
    </w:rPr>
  </w:style>
  <w:style w:type="paragraph" w:styleId="19">
    <w:name w:val="footer"/>
    <w:basedOn w:val="1"/>
    <w:link w:val="40"/>
    <w:qFormat/>
    <w:uiPriority w:val="99"/>
    <w:pPr>
      <w:tabs>
        <w:tab w:val="center" w:pos="4153"/>
        <w:tab w:val="right" w:pos="8306"/>
      </w:tabs>
      <w:snapToGrid w:val="0"/>
      <w:jc w:val="left"/>
    </w:pPr>
    <w:rPr>
      <w:sz w:val="18"/>
    </w:rPr>
  </w:style>
  <w:style w:type="paragraph" w:styleId="20">
    <w:name w:val="header"/>
    <w:basedOn w:val="1"/>
    <w:link w:val="39"/>
    <w:qFormat/>
    <w:uiPriority w:val="99"/>
    <w:pPr>
      <w:pBdr>
        <w:bottom w:val="single" w:color="auto" w:sz="6" w:space="1"/>
      </w:pBdr>
      <w:tabs>
        <w:tab w:val="center" w:pos="4153"/>
        <w:tab w:val="right" w:pos="8306"/>
      </w:tabs>
      <w:snapToGrid w:val="0"/>
      <w:jc w:val="center"/>
    </w:pPr>
    <w:rPr>
      <w:sz w:val="18"/>
    </w:rPr>
  </w:style>
  <w:style w:type="paragraph" w:styleId="21">
    <w:name w:val="toc 1"/>
    <w:basedOn w:val="1"/>
    <w:next w:val="1"/>
    <w:qFormat/>
    <w:uiPriority w:val="39"/>
    <w:pPr>
      <w:tabs>
        <w:tab w:val="left" w:pos="840"/>
        <w:tab w:val="right" w:leader="dot" w:pos="9367"/>
      </w:tabs>
      <w:spacing w:before="100" w:beforeAutospacing="1" w:line="300" w:lineRule="exact"/>
      <w:jc w:val="left"/>
    </w:pPr>
    <w:rPr>
      <w:rFonts w:ascii="宋体" w:hAnsi="宋体" w:eastAsia="黑体"/>
      <w:b/>
      <w:bCs/>
      <w:snapToGrid w:val="0"/>
      <w:color w:val="000000"/>
      <w:kern w:val="0"/>
      <w:sz w:val="24"/>
      <w:szCs w:val="21"/>
    </w:rPr>
  </w:style>
  <w:style w:type="paragraph" w:styleId="22">
    <w:name w:val="toc 4"/>
    <w:basedOn w:val="1"/>
    <w:next w:val="1"/>
    <w:qFormat/>
    <w:uiPriority w:val="0"/>
    <w:pPr>
      <w:ind w:left="630"/>
      <w:jc w:val="left"/>
    </w:pPr>
    <w:rPr>
      <w:rFonts w:ascii="Calibri" w:hAnsi="Calibri"/>
      <w:sz w:val="18"/>
      <w:szCs w:val="18"/>
    </w:rPr>
  </w:style>
  <w:style w:type="paragraph" w:styleId="23">
    <w:name w:val="toc 6"/>
    <w:basedOn w:val="1"/>
    <w:next w:val="1"/>
    <w:qFormat/>
    <w:uiPriority w:val="0"/>
    <w:pPr>
      <w:ind w:left="1050"/>
      <w:jc w:val="left"/>
    </w:pPr>
    <w:rPr>
      <w:rFonts w:ascii="Calibri" w:hAnsi="Calibri"/>
      <w:sz w:val="18"/>
      <w:szCs w:val="18"/>
    </w:rPr>
  </w:style>
  <w:style w:type="paragraph" w:styleId="24">
    <w:name w:val="toc 2"/>
    <w:basedOn w:val="1"/>
    <w:next w:val="1"/>
    <w:qFormat/>
    <w:uiPriority w:val="39"/>
    <w:pPr>
      <w:ind w:left="210"/>
      <w:jc w:val="left"/>
    </w:pPr>
    <w:rPr>
      <w:rFonts w:ascii="Calibri" w:hAnsi="Calibri" w:eastAsia="黑体"/>
      <w:smallCaps/>
    </w:rPr>
  </w:style>
  <w:style w:type="paragraph" w:styleId="25">
    <w:name w:val="toc 9"/>
    <w:basedOn w:val="1"/>
    <w:next w:val="1"/>
    <w:qFormat/>
    <w:uiPriority w:val="0"/>
    <w:pPr>
      <w:ind w:left="1680"/>
      <w:jc w:val="left"/>
    </w:pPr>
    <w:rPr>
      <w:rFonts w:ascii="Calibri" w:hAnsi="Calibri"/>
      <w:sz w:val="18"/>
      <w:szCs w:val="18"/>
    </w:rPr>
  </w:style>
  <w:style w:type="paragraph" w:styleId="26">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7">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28">
    <w:name w:val="annotation subject"/>
    <w:basedOn w:val="8"/>
    <w:next w:val="8"/>
    <w:link w:val="52"/>
    <w:semiHidden/>
    <w:unhideWhenUsed/>
    <w:qFormat/>
    <w:uiPriority w:val="0"/>
    <w:rPr>
      <w:b/>
      <w:bCs/>
    </w:rPr>
  </w:style>
  <w:style w:type="table" w:styleId="30">
    <w:name w:val="Table Grid"/>
    <w:basedOn w:val="2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Emphasis"/>
    <w:qFormat/>
    <w:uiPriority w:val="20"/>
    <w:rPr>
      <w:color w:val="CC0000"/>
    </w:rPr>
  </w:style>
  <w:style w:type="character" w:styleId="35">
    <w:name w:val="Hyperlink"/>
    <w:qFormat/>
    <w:uiPriority w:val="99"/>
    <w:rPr>
      <w:color w:val="0000FF"/>
      <w:u w:val="single"/>
    </w:rPr>
  </w:style>
  <w:style w:type="character" w:styleId="36">
    <w:name w:val="annotation reference"/>
    <w:basedOn w:val="31"/>
    <w:semiHidden/>
    <w:unhideWhenUsed/>
    <w:qFormat/>
    <w:uiPriority w:val="99"/>
    <w:rPr>
      <w:sz w:val="21"/>
      <w:szCs w:val="21"/>
    </w:rPr>
  </w:style>
  <w:style w:type="character" w:customStyle="1" w:styleId="37">
    <w:name w:val="称呼 字符"/>
    <w:link w:val="9"/>
    <w:qFormat/>
    <w:uiPriority w:val="0"/>
    <w:rPr>
      <w:kern w:val="2"/>
      <w:sz w:val="24"/>
    </w:rPr>
  </w:style>
  <w:style w:type="character" w:customStyle="1" w:styleId="38">
    <w:name w:val="g1"/>
    <w:qFormat/>
    <w:uiPriority w:val="0"/>
    <w:rPr>
      <w:color w:val="008000"/>
    </w:rPr>
  </w:style>
  <w:style w:type="character" w:customStyle="1" w:styleId="39">
    <w:name w:val="页眉 字符"/>
    <w:link w:val="20"/>
    <w:qFormat/>
    <w:uiPriority w:val="99"/>
    <w:rPr>
      <w:kern w:val="2"/>
      <w:sz w:val="18"/>
    </w:rPr>
  </w:style>
  <w:style w:type="character" w:customStyle="1" w:styleId="40">
    <w:name w:val="页脚 字符"/>
    <w:link w:val="19"/>
    <w:qFormat/>
    <w:uiPriority w:val="99"/>
    <w:rPr>
      <w:kern w:val="2"/>
      <w:sz w:val="18"/>
    </w:rPr>
  </w:style>
  <w:style w:type="character" w:customStyle="1" w:styleId="41">
    <w:name w:val="Default Char"/>
    <w:link w:val="42"/>
    <w:qFormat/>
    <w:uiPriority w:val="0"/>
    <w:rPr>
      <w:rFonts w:ascii="黑体" w:eastAsia="黑体"/>
      <w:lang w:val="en-US" w:eastAsia="zh-CN" w:bidi="ar-SA"/>
    </w:rPr>
  </w:style>
  <w:style w:type="paragraph" w:customStyle="1" w:styleId="42">
    <w:name w:val="Default"/>
    <w:link w:val="41"/>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43">
    <w:name w:val="批注框文本 字符"/>
    <w:link w:val="18"/>
    <w:qFormat/>
    <w:uiPriority w:val="0"/>
    <w:rPr>
      <w:kern w:val="2"/>
      <w:sz w:val="18"/>
      <w:szCs w:val="18"/>
    </w:rPr>
  </w:style>
  <w:style w:type="character" w:customStyle="1" w:styleId="44">
    <w:name w:val="纯文本 字符"/>
    <w:link w:val="14"/>
    <w:qFormat/>
    <w:uiPriority w:val="0"/>
    <w:rPr>
      <w:rFonts w:ascii="宋体" w:hAnsi="Courier New"/>
      <w:kern w:val="2"/>
      <w:sz w:val="21"/>
    </w:rPr>
  </w:style>
  <w:style w:type="paragraph" w:customStyle="1" w:styleId="45">
    <w:name w:val="样式1"/>
    <w:basedOn w:val="1"/>
    <w:qFormat/>
    <w:uiPriority w:val="0"/>
    <w:pPr>
      <w:spacing w:line="360" w:lineRule="auto"/>
      <w:ind w:firstLine="200" w:firstLineChars="200"/>
      <w:jc w:val="center"/>
    </w:pPr>
    <w:rPr>
      <w:b/>
      <w:color w:val="008080"/>
      <w:w w:val="200"/>
      <w:sz w:val="44"/>
      <w:szCs w:val="24"/>
    </w:rPr>
  </w:style>
  <w:style w:type="paragraph" w:customStyle="1" w:styleId="46">
    <w:name w:val="表格"/>
    <w:basedOn w:val="1"/>
    <w:qFormat/>
    <w:uiPriority w:val="0"/>
    <w:pPr>
      <w:adjustRightInd w:val="0"/>
      <w:spacing w:before="40" w:after="40"/>
      <w:jc w:val="center"/>
    </w:pPr>
    <w:rPr>
      <w:rFonts w:hint="eastAsia" w:ascii="昆仑仿宋" w:eastAsia="昆仑仿宋"/>
      <w:kern w:val="0"/>
      <w:sz w:val="24"/>
    </w:rPr>
  </w:style>
  <w:style w:type="paragraph" w:customStyle="1" w:styleId="47">
    <w:name w:val="TOC Heading"/>
    <w:basedOn w:val="2"/>
    <w:next w:val="1"/>
    <w:qFormat/>
    <w:uiPriority w:val="39"/>
    <w:pPr>
      <w:widowControl/>
      <w:spacing w:before="480" w:line="276" w:lineRule="auto"/>
      <w:jc w:val="left"/>
      <w:outlineLvl w:val="9"/>
    </w:pPr>
    <w:rPr>
      <w:rFonts w:ascii="Cambria" w:hAnsi="Cambria" w:eastAsia="宋体"/>
      <w:color w:val="365F91"/>
      <w:kern w:val="0"/>
      <w:sz w:val="28"/>
      <w:szCs w:val="28"/>
    </w:rPr>
  </w:style>
  <w:style w:type="paragraph" w:customStyle="1" w:styleId="48">
    <w:name w:val="Char Char Char Char"/>
    <w:basedOn w:val="1"/>
    <w:qFormat/>
    <w:uiPriority w:val="0"/>
    <w:rPr>
      <w:szCs w:val="24"/>
    </w:rPr>
  </w:style>
  <w:style w:type="paragraph" w:customStyle="1" w:styleId="49">
    <w:name w:val="soustitre"/>
    <w:basedOn w:val="1"/>
    <w:qFormat/>
    <w:uiPriority w:val="0"/>
    <w:pPr>
      <w:widowControl/>
      <w:tabs>
        <w:tab w:val="left" w:pos="525"/>
      </w:tabs>
      <w:overflowPunct w:val="0"/>
      <w:autoSpaceDE w:val="0"/>
      <w:autoSpaceDN w:val="0"/>
      <w:adjustRightInd w:val="0"/>
      <w:spacing w:line="400" w:lineRule="exact"/>
      <w:jc w:val="center"/>
      <w:textAlignment w:val="baseline"/>
    </w:pPr>
    <w:rPr>
      <w:rFonts w:ascii="New York" w:hAnsi="New York" w:eastAsia="楷体_GB2312"/>
      <w:kern w:val="0"/>
      <w:position w:val="-6"/>
      <w:sz w:val="24"/>
    </w:rPr>
  </w:style>
  <w:style w:type="paragraph" w:styleId="50">
    <w:name w:val="List Paragraph"/>
    <w:basedOn w:val="1"/>
    <w:qFormat/>
    <w:uiPriority w:val="99"/>
    <w:pPr>
      <w:ind w:firstLine="420" w:firstLineChars="200"/>
    </w:pPr>
  </w:style>
  <w:style w:type="character" w:customStyle="1" w:styleId="51">
    <w:name w:val="批注文字 字符"/>
    <w:basedOn w:val="31"/>
    <w:link w:val="8"/>
    <w:qFormat/>
    <w:uiPriority w:val="99"/>
    <w:rPr>
      <w:kern w:val="2"/>
      <w:sz w:val="21"/>
    </w:rPr>
  </w:style>
  <w:style w:type="character" w:customStyle="1" w:styleId="52">
    <w:name w:val="批注主题 字符"/>
    <w:basedOn w:val="51"/>
    <w:link w:val="28"/>
    <w:semiHidden/>
    <w:qFormat/>
    <w:uiPriority w:val="0"/>
    <w:rPr>
      <w:b/>
      <w:bCs/>
      <w:kern w:val="2"/>
      <w:sz w:val="21"/>
    </w:rPr>
  </w:style>
  <w:style w:type="character" w:customStyle="1" w:styleId="53">
    <w:name w:val="纯文本 Char"/>
    <w:qFormat/>
    <w:uiPriority w:val="0"/>
    <w:rPr>
      <w:rFonts w:ascii="宋体" w:hAnsi="Courier New"/>
      <w:kern w:val="2"/>
      <w:sz w:val="21"/>
    </w:rPr>
  </w:style>
  <w:style w:type="paragraph" w:customStyle="1" w:styleId="54">
    <w:name w:val="正文_13_0"/>
    <w:qFormat/>
    <w:uiPriority w:val="0"/>
    <w:pPr>
      <w:widowControl w:val="0"/>
      <w:jc w:val="both"/>
    </w:pPr>
    <w:rPr>
      <w:rFonts w:ascii="Calibri" w:hAnsi="Calibri" w:eastAsia="宋体" w:cs="Times New Roman"/>
      <w:lang w:val="en-US" w:eastAsia="zh-CN" w:bidi="ar-SA"/>
    </w:rPr>
  </w:style>
  <w:style w:type="character" w:styleId="55">
    <w:name w:val="Placeholder Text"/>
    <w:basedOn w:val="31"/>
    <w:unhideWhenUsed/>
    <w:qFormat/>
    <w:uiPriority w:val="99"/>
    <w:rPr>
      <w:color w:val="808080"/>
    </w:rPr>
  </w:style>
  <w:style w:type="paragraph" w:customStyle="1" w:styleId="56">
    <w:name w:val="Normal_41"/>
    <w:qFormat/>
    <w:uiPriority w:val="0"/>
    <w:pPr>
      <w:spacing w:after="160" w:line="259" w:lineRule="auto"/>
    </w:pPr>
    <w:rPr>
      <w:rFonts w:ascii="黑体" w:hAnsi="黑体" w:eastAsia="黑体" w:cs="黑体"/>
      <w:b/>
      <w:sz w:val="32"/>
      <w:szCs w:val="24"/>
      <w:lang w:val="en-US" w:eastAsia="zh-CN" w:bidi="ar-SA"/>
    </w:rPr>
  </w:style>
  <w:style w:type="paragraph" w:customStyle="1" w:styleId="57">
    <w:name w:val="正文_20_0"/>
    <w:qFormat/>
    <w:uiPriority w:val="0"/>
    <w:pPr>
      <w:widowControl w:val="0"/>
      <w:spacing w:after="160" w:line="259" w:lineRule="auto"/>
      <w:jc w:val="both"/>
    </w:pPr>
    <w:rPr>
      <w:rFonts w:ascii="等线" w:hAnsi="等线" w:eastAsia="宋体" w:cs="Times New Roman"/>
      <w:sz w:val="22"/>
      <w:szCs w:val="24"/>
      <w:lang w:val="en-US" w:eastAsia="zh-CN" w:bidi="ar-SA"/>
    </w:rPr>
  </w:style>
  <w:style w:type="character" w:customStyle="1" w:styleId="58">
    <w:name w:val="标题 2 字符"/>
    <w:basedOn w:val="31"/>
    <w:link w:val="3"/>
    <w:qFormat/>
    <w:uiPriority w:val="9"/>
    <w:rPr>
      <w:rFonts w:hAnsi="Arial"/>
      <w:b/>
      <w:spacing w:val="8"/>
      <w:sz w:val="21"/>
    </w:rPr>
  </w:style>
  <w:style w:type="paragraph" w:customStyle="1" w:styleId="59">
    <w:name w:val="List Paragraph_0"/>
    <w:basedOn w:val="1"/>
    <w:qFormat/>
    <w:uiPriority w:val="99"/>
    <w:pPr>
      <w:ind w:firstLine="420" w:firstLineChars="200"/>
    </w:pPr>
    <w:rPr>
      <w:kern w:val="0"/>
      <w:sz w:val="20"/>
      <w:szCs w:val="21"/>
    </w:rPr>
  </w:style>
  <w:style w:type="paragraph" w:customStyle="1" w:styleId="60">
    <w:name w:val="Normal_4"/>
    <w:qFormat/>
    <w:uiPriority w:val="0"/>
    <w:pPr>
      <w:widowControl w:val="0"/>
      <w:jc w:val="both"/>
    </w:pPr>
    <w:rPr>
      <w:rFonts w:ascii="Times New Roman" w:hAnsi="Times New Roman"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华润水泥采购</Company>
  <Pages>37</Pages>
  <Words>13212</Words>
  <Characters>13903</Characters>
  <Lines>54</Lines>
  <Paragraphs>15</Paragraphs>
  <TotalTime>104</TotalTime>
  <ScaleCrop>false</ScaleCrop>
  <LinksUpToDate>false</LinksUpToDate>
  <CharactersWithSpaces>14763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2025-02-06T09:52:00Z</dcterms:created>
  <dc:creator>wzw</dc:creator>
  <cp:lastModifiedBy>磊油接接</cp:lastModifiedBy>
  <cp:lastPrinted>2016-11-21T06:06:00Z</cp:lastPrinted>
  <dcterms:modified xsi:type="dcterms:W3CDTF">2026-04-29T05:48:51Z</dcterms:modified>
  <dc:title>招 标 书</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74E15E7E33E64DEB9FDF40D76EB67598_12</vt:lpwstr>
  </property>
  <property fmtid="{D5CDD505-2E9C-101B-9397-08002B2CF9AE}" pid="4" name="KSOTemplateDocerSaveRecord">
    <vt:lpwstr>eyJoZGlkIjoiNDllZDZjM2UyZjgxNjlkM2YwZDFlZmZjNDFlNzA0YmQiLCJ1c2VySWQiOiIyNjU3Mzk0MTEifQ==</vt:lpwstr>
  </property>
</Properties>
</file>